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F38A" w14:textId="0BB3B8CD" w:rsidR="00C626D7" w:rsidRPr="00115135" w:rsidRDefault="00EF550D" w:rsidP="008E3FA8">
      <w:pPr>
        <w:pStyle w:val="Heading1"/>
      </w:pPr>
      <w:bookmarkStart w:id="0" w:name="_Hlk143095870"/>
      <w:r w:rsidRPr="00115135">
        <w:t>BUDGET OVERVIEW</w:t>
      </w:r>
    </w:p>
    <w:tbl>
      <w:tblPr>
        <w:tblStyle w:val="Focusbox"/>
        <w:tblW w:w="9639" w:type="dxa"/>
        <w:tblLayout w:type="fixed"/>
        <w:tblLook w:val="04A0" w:firstRow="1" w:lastRow="0" w:firstColumn="1" w:lastColumn="0" w:noHBand="0" w:noVBand="1"/>
      </w:tblPr>
      <w:tblGrid>
        <w:gridCol w:w="9639"/>
      </w:tblGrid>
      <w:tr w:rsidR="00B11A76" w:rsidRPr="0090354C" w14:paraId="39FE8DE1" w14:textId="77777777" w:rsidTr="00D249DC">
        <w:trPr>
          <w:trHeight w:val="1157"/>
        </w:trPr>
        <w:tc>
          <w:tcPr>
            <w:tcW w:w="9639" w:type="dxa"/>
            <w:hideMark/>
          </w:tcPr>
          <w:p w14:paraId="24EF4F52" w14:textId="309CDAAB" w:rsidR="009F4725" w:rsidRPr="0090354C" w:rsidRDefault="00F02609" w:rsidP="005C6776">
            <w:pPr>
              <w:pStyle w:val="Bullet1"/>
            </w:pPr>
            <w:r w:rsidRPr="0090354C">
              <w:t>T</w:t>
            </w:r>
            <w:r w:rsidR="007D1C71" w:rsidRPr="0090354C">
              <w:t xml:space="preserve">he Government’s efforts to repair the budget </w:t>
            </w:r>
            <w:r w:rsidR="00EE3F7E" w:rsidRPr="0090354C">
              <w:t xml:space="preserve">and make it more resilient to continued risks and pressures </w:t>
            </w:r>
            <w:r w:rsidR="007D1C71" w:rsidRPr="0090354C">
              <w:t>are taking</w:t>
            </w:r>
            <w:r w:rsidR="006D298D" w:rsidRPr="0090354C">
              <w:t xml:space="preserve"> </w:t>
            </w:r>
            <w:r w:rsidR="007D1C71" w:rsidRPr="0090354C">
              <w:t>effect. D</w:t>
            </w:r>
            <w:r w:rsidR="00253AA1" w:rsidRPr="0090354C">
              <w:t xml:space="preserve">ebt levels are stabilising and </w:t>
            </w:r>
            <w:r w:rsidR="0057660D" w:rsidRPr="0090354C">
              <w:t xml:space="preserve">the economy </w:t>
            </w:r>
            <w:r w:rsidR="00733C5F" w:rsidRPr="0090354C">
              <w:t>is</w:t>
            </w:r>
            <w:r w:rsidR="0057660D" w:rsidRPr="0090354C">
              <w:t xml:space="preserve"> normalising following the </w:t>
            </w:r>
            <w:r w:rsidR="0045087E" w:rsidRPr="0090354C">
              <w:t>COVID</w:t>
            </w:r>
            <w:r w:rsidR="004D1B0E" w:rsidRPr="0090354C">
              <w:t>-19</w:t>
            </w:r>
            <w:r w:rsidR="0045087E" w:rsidRPr="0090354C">
              <w:t xml:space="preserve"> </w:t>
            </w:r>
            <w:r w:rsidR="0057660D" w:rsidRPr="0090354C">
              <w:t>pandemic</w:t>
            </w:r>
            <w:r w:rsidR="00CA3E66" w:rsidRPr="0090354C">
              <w:t>.</w:t>
            </w:r>
            <w:r w:rsidR="00C82BAF" w:rsidRPr="0090354C">
              <w:t xml:space="preserve"> </w:t>
            </w:r>
          </w:p>
          <w:p w14:paraId="4A509F91" w14:textId="5E2CFE71" w:rsidR="00DD17E7" w:rsidRPr="0090354C" w:rsidRDefault="00221EFE" w:rsidP="005C6776">
            <w:pPr>
              <w:pStyle w:val="Bullet1"/>
            </w:pPr>
            <w:r w:rsidRPr="0090354C">
              <w:t xml:space="preserve">This Budget demonstrates </w:t>
            </w:r>
            <w:r w:rsidR="00B91179" w:rsidRPr="0090354C">
              <w:t xml:space="preserve">continued </w:t>
            </w:r>
            <w:r w:rsidRPr="0090354C">
              <w:t>progress</w:t>
            </w:r>
            <w:r w:rsidR="00FC6801" w:rsidRPr="0090354C">
              <w:t>,</w:t>
            </w:r>
            <w:r w:rsidRPr="0090354C">
              <w:t xml:space="preserve"> </w:t>
            </w:r>
            <w:r w:rsidR="00DE2925" w:rsidRPr="0090354C">
              <w:t>retu</w:t>
            </w:r>
            <w:r w:rsidR="00B91179" w:rsidRPr="0090354C">
              <w:t>r</w:t>
            </w:r>
            <w:r w:rsidR="00DE2925" w:rsidRPr="0090354C">
              <w:t>ning the budget to</w:t>
            </w:r>
            <w:r w:rsidRPr="0090354C">
              <w:t xml:space="preserve"> </w:t>
            </w:r>
            <w:r w:rsidR="00B91179" w:rsidRPr="0090354C">
              <w:t>a sustainable position</w:t>
            </w:r>
            <w:r w:rsidRPr="0090354C">
              <w:t>. The State’s operating position</w:t>
            </w:r>
            <w:r w:rsidR="003B3D2B" w:rsidRPr="0090354C">
              <w:t xml:space="preserve"> </w:t>
            </w:r>
            <w:r w:rsidR="00B91179" w:rsidRPr="0090354C">
              <w:t xml:space="preserve">has improved from a </w:t>
            </w:r>
            <w:r w:rsidR="003B3D2B" w:rsidRPr="0090354C">
              <w:t>$10.</w:t>
            </w:r>
            <w:r w:rsidR="00D207CB" w:rsidRPr="0090354C">
              <w:t>7</w:t>
            </w:r>
            <w:r w:rsidR="003B3D2B" w:rsidRPr="0090354C">
              <w:t xml:space="preserve"> billion deficit in 202</w:t>
            </w:r>
            <w:r w:rsidR="00D207CB" w:rsidRPr="0090354C">
              <w:t>3</w:t>
            </w:r>
            <w:r w:rsidR="00DA4FD0" w:rsidRPr="0090354C">
              <w:noBreakHyphen/>
            </w:r>
            <w:r w:rsidR="003B3D2B" w:rsidRPr="0090354C">
              <w:t>2</w:t>
            </w:r>
            <w:r w:rsidR="00D207CB" w:rsidRPr="0090354C">
              <w:t>4</w:t>
            </w:r>
            <w:r w:rsidR="003B3D2B" w:rsidRPr="0090354C">
              <w:t xml:space="preserve"> to a</w:t>
            </w:r>
            <w:r w:rsidR="00DE2925" w:rsidRPr="0090354C">
              <w:t>n expected</w:t>
            </w:r>
            <w:r w:rsidR="003B3D2B" w:rsidRPr="0090354C">
              <w:t xml:space="preserve"> $5.7</w:t>
            </w:r>
            <w:r w:rsidR="003C646F" w:rsidRPr="0090354C">
              <w:t> </w:t>
            </w:r>
            <w:r w:rsidR="003B3D2B" w:rsidRPr="0090354C">
              <w:t xml:space="preserve">billion deficit in 2024-25. </w:t>
            </w:r>
            <w:r w:rsidR="00DE2925" w:rsidRPr="0090354C">
              <w:t>The Budget</w:t>
            </w:r>
            <w:r w:rsidR="00B91179" w:rsidRPr="0090354C">
              <w:t xml:space="preserve"> projects</w:t>
            </w:r>
            <w:r w:rsidR="00DE2925" w:rsidRPr="0090354C">
              <w:t xml:space="preserve"> a further improvement in 2025-26, to a</w:t>
            </w:r>
            <w:r w:rsidR="003B3D2B" w:rsidRPr="0090354C">
              <w:t xml:space="preserve"> deficit </w:t>
            </w:r>
            <w:r w:rsidR="00A837F4" w:rsidRPr="0090354C">
              <w:t>of $3.</w:t>
            </w:r>
            <w:r w:rsidR="00DE36D5" w:rsidRPr="0090354C">
              <w:t>4</w:t>
            </w:r>
            <w:r w:rsidR="00A837F4" w:rsidRPr="0090354C">
              <w:t xml:space="preserve"> billion</w:t>
            </w:r>
            <w:r w:rsidR="00DE2925" w:rsidRPr="0090354C">
              <w:t xml:space="preserve">, </w:t>
            </w:r>
            <w:r w:rsidR="00B91179" w:rsidRPr="0090354C">
              <w:t>follow</w:t>
            </w:r>
            <w:r w:rsidR="00957615" w:rsidRPr="0090354C">
              <w:t>ed</w:t>
            </w:r>
            <w:r w:rsidR="00B91179" w:rsidRPr="0090354C">
              <w:t xml:space="preserve"> by </w:t>
            </w:r>
            <w:r w:rsidR="000761D6" w:rsidRPr="0090354C">
              <w:t xml:space="preserve">a </w:t>
            </w:r>
            <w:r w:rsidR="00B91179" w:rsidRPr="0090354C">
              <w:t xml:space="preserve">surplus of $1.1 billion in </w:t>
            </w:r>
            <w:r w:rsidR="00AF27A4" w:rsidRPr="0090354C">
              <w:t>each of</w:t>
            </w:r>
            <w:r w:rsidR="00B91179" w:rsidRPr="0090354C">
              <w:t xml:space="preserve"> 202</w:t>
            </w:r>
            <w:r w:rsidR="00D25EDA" w:rsidRPr="0090354C">
              <w:t>7</w:t>
            </w:r>
            <w:r w:rsidR="00B91179" w:rsidRPr="0090354C">
              <w:t>-2</w:t>
            </w:r>
            <w:r w:rsidR="00D25EDA" w:rsidRPr="0090354C">
              <w:t>8</w:t>
            </w:r>
            <w:r w:rsidR="00B91179" w:rsidRPr="0090354C">
              <w:t xml:space="preserve"> and 202</w:t>
            </w:r>
            <w:r w:rsidR="00D25EDA" w:rsidRPr="0090354C">
              <w:t>8</w:t>
            </w:r>
            <w:r w:rsidR="00B91179" w:rsidRPr="0090354C">
              <w:t>-2</w:t>
            </w:r>
            <w:r w:rsidR="00D25EDA" w:rsidRPr="0090354C">
              <w:t>9</w:t>
            </w:r>
            <w:r w:rsidR="00B91179" w:rsidRPr="0090354C">
              <w:t>.</w:t>
            </w:r>
          </w:p>
          <w:p w14:paraId="0D5329D7" w14:textId="784CF74C" w:rsidR="001A6AAF" w:rsidRPr="0090354C" w:rsidRDefault="008A0D57" w:rsidP="005C6776">
            <w:pPr>
              <w:pStyle w:val="Bullet1"/>
            </w:pPr>
            <w:r w:rsidRPr="0090354C">
              <w:t xml:space="preserve">Alongside the improved operating position, the State’s balance sheet is projected to strengthen. </w:t>
            </w:r>
            <w:r w:rsidR="001A6AAF" w:rsidRPr="0090354C">
              <w:t>Gross debt is projected to be $</w:t>
            </w:r>
            <w:r w:rsidR="00C24564" w:rsidRPr="0090354C">
              <w:t>178.8 billion by June 2026, which is $9.4</w:t>
            </w:r>
            <w:r w:rsidR="00AF60A3" w:rsidRPr="0090354C">
              <w:t> </w:t>
            </w:r>
            <w:r w:rsidR="00C24564" w:rsidRPr="0090354C">
              <w:t>billion below the $188.2 billion</w:t>
            </w:r>
            <w:r w:rsidR="00B7151C" w:rsidRPr="0090354C">
              <w:t xml:space="preserve"> projected at the 2023 Pre-</w:t>
            </w:r>
            <w:r w:rsidR="004E68D2" w:rsidRPr="0090354C">
              <w:t>e</w:t>
            </w:r>
            <w:r w:rsidR="00B7151C" w:rsidRPr="0090354C">
              <w:t xml:space="preserve">lection Budget Update. </w:t>
            </w:r>
            <w:r w:rsidRPr="0090354C">
              <w:t>G</w:t>
            </w:r>
            <w:r w:rsidR="00B7151C" w:rsidRPr="0090354C">
              <w:t xml:space="preserve">ross debt </w:t>
            </w:r>
            <w:r w:rsidR="003E2D8F" w:rsidRPr="0090354C">
              <w:t>as a per cent of</w:t>
            </w:r>
            <w:r w:rsidR="00B7151C" w:rsidRPr="0090354C">
              <w:t xml:space="preserve"> gross state product is projected </w:t>
            </w:r>
            <w:r w:rsidR="000E7BF4" w:rsidRPr="0090354C">
              <w:t xml:space="preserve">to </w:t>
            </w:r>
            <w:r w:rsidR="003E2D8F" w:rsidRPr="0090354C">
              <w:t>fall from a</w:t>
            </w:r>
            <w:r w:rsidR="00B7151C" w:rsidRPr="0090354C">
              <w:t xml:space="preserve"> peak </w:t>
            </w:r>
            <w:r w:rsidR="003E2D8F" w:rsidRPr="0090354C">
              <w:t>of</w:t>
            </w:r>
            <w:r w:rsidR="00B7151C" w:rsidRPr="0090354C">
              <w:t xml:space="preserve"> 20.4</w:t>
            </w:r>
            <w:r w:rsidR="00B320C7" w:rsidRPr="0090354C">
              <w:t> </w:t>
            </w:r>
            <w:r w:rsidR="00B7151C" w:rsidRPr="0090354C">
              <w:t>per</w:t>
            </w:r>
            <w:r w:rsidR="00B320C7" w:rsidRPr="0090354C">
              <w:t> </w:t>
            </w:r>
            <w:r w:rsidR="00B7151C" w:rsidRPr="0090354C">
              <w:t>cent by June 2027</w:t>
            </w:r>
            <w:r w:rsidR="00194DCC" w:rsidRPr="0090354C">
              <w:t xml:space="preserve"> to 19.6 per cent by June 2029.</w:t>
            </w:r>
            <w:r w:rsidR="003E2D8F" w:rsidRPr="0090354C">
              <w:t xml:space="preserve"> </w:t>
            </w:r>
          </w:p>
          <w:p w14:paraId="2FD11241" w14:textId="4BBF7A60" w:rsidR="00C55439" w:rsidRPr="0090354C" w:rsidRDefault="009445B8" w:rsidP="005C6776">
            <w:pPr>
              <w:pStyle w:val="Bullet1"/>
            </w:pPr>
            <w:r w:rsidRPr="0090354C">
              <w:t xml:space="preserve">This measured and responsible approach to financial management has also enabled the Government to make significant investments to rebuild essential services and support the </w:t>
            </w:r>
            <w:r w:rsidR="00DD17E7" w:rsidRPr="0090354C">
              <w:t>long-term prosperity of the State</w:t>
            </w:r>
            <w:r w:rsidR="00A168BA" w:rsidRPr="0090354C">
              <w:t>.</w:t>
            </w:r>
            <w:r w:rsidR="00DD17E7" w:rsidRPr="0090354C">
              <w:t xml:space="preserve"> </w:t>
            </w:r>
          </w:p>
          <w:p w14:paraId="3F1216E6" w14:textId="367A144A" w:rsidR="00E90F25" w:rsidRPr="0090354C" w:rsidRDefault="00E90F25" w:rsidP="005C6776">
            <w:pPr>
              <w:pStyle w:val="Bullet1"/>
            </w:pPr>
            <w:r w:rsidRPr="0090354C">
              <w:t>Th</w:t>
            </w:r>
            <w:r w:rsidR="00276EEA" w:rsidRPr="0090354C">
              <w:t>is</w:t>
            </w:r>
            <w:r w:rsidRPr="0090354C">
              <w:t xml:space="preserve"> </w:t>
            </w:r>
            <w:r w:rsidR="00276EEA" w:rsidRPr="0090354C">
              <w:t>B</w:t>
            </w:r>
            <w:r w:rsidRPr="0090354C">
              <w:t xml:space="preserve">udget continues to rebuild essential services with </w:t>
            </w:r>
            <w:r w:rsidR="00D66614" w:rsidRPr="0090354C">
              <w:t>critical</w:t>
            </w:r>
            <w:r w:rsidRPr="0090354C">
              <w:t xml:space="preserve"> investments in: </w:t>
            </w:r>
          </w:p>
          <w:p w14:paraId="4BAC7CE3" w14:textId="17A620CA" w:rsidR="00E90F25" w:rsidRPr="0090354C" w:rsidRDefault="006E0136" w:rsidP="005C6776">
            <w:pPr>
              <w:pStyle w:val="Bullet2"/>
            </w:pPr>
            <w:r w:rsidRPr="0090354C">
              <w:t>s</w:t>
            </w:r>
            <w:r w:rsidR="008845D1" w:rsidRPr="0090354C">
              <w:t xml:space="preserve">upporting </w:t>
            </w:r>
            <w:r w:rsidR="003453A2" w:rsidRPr="0090354C">
              <w:t>c</w:t>
            </w:r>
            <w:r w:rsidR="00DD17E7" w:rsidRPr="0090354C">
              <w:t>hildren and young people in out-of-home care</w:t>
            </w:r>
            <w:r w:rsidR="00E90F25" w:rsidRPr="0090354C">
              <w:t xml:space="preserve"> </w:t>
            </w:r>
          </w:p>
          <w:p w14:paraId="37B310FF" w14:textId="64F576A1" w:rsidR="00E90F25" w:rsidRPr="0090354C" w:rsidRDefault="003453A2" w:rsidP="005C6776">
            <w:pPr>
              <w:pStyle w:val="Bullet2"/>
            </w:pPr>
            <w:r w:rsidRPr="0090354C">
              <w:t>f</w:t>
            </w:r>
            <w:r w:rsidR="00193958" w:rsidRPr="0090354C">
              <w:t xml:space="preserve">acilities and staff at </w:t>
            </w:r>
            <w:r w:rsidR="00E90F25" w:rsidRPr="0090354C">
              <w:t xml:space="preserve">TAFE </w:t>
            </w:r>
            <w:r w:rsidR="00193958" w:rsidRPr="0090354C">
              <w:t>NSW</w:t>
            </w:r>
          </w:p>
          <w:p w14:paraId="7095CCED" w14:textId="01B34F98" w:rsidR="00E90F25" w:rsidRPr="0090354C" w:rsidRDefault="00023D08" w:rsidP="005C6776">
            <w:pPr>
              <w:pStyle w:val="Bullet2"/>
            </w:pPr>
            <w:r w:rsidRPr="0090354C">
              <w:t>measures that</w:t>
            </w:r>
            <w:r w:rsidR="00193958" w:rsidRPr="0090354C">
              <w:t xml:space="preserve"> support victim-survivors of domestic, family and sexual violence in the courts and justice system.</w:t>
            </w:r>
          </w:p>
          <w:p w14:paraId="0D77E61D" w14:textId="7B6C5CD5" w:rsidR="00C7484C" w:rsidRPr="0090354C" w:rsidRDefault="009445B8" w:rsidP="005C6776">
            <w:pPr>
              <w:pStyle w:val="Bullet1"/>
            </w:pPr>
            <w:r w:rsidRPr="0090354C">
              <w:t xml:space="preserve">The Government’s economic growth agenda </w:t>
            </w:r>
            <w:r w:rsidR="00133E2F" w:rsidRPr="0090354C">
              <w:t xml:space="preserve">prioritises focused interventions to </w:t>
            </w:r>
            <w:r w:rsidRPr="0090354C">
              <w:t>improve productivity and facilitate private sector investment</w:t>
            </w:r>
            <w:r w:rsidR="00133E2F" w:rsidRPr="0090354C">
              <w:t>.</w:t>
            </w:r>
          </w:p>
          <w:p w14:paraId="0640D82E" w14:textId="4BFAEB68" w:rsidR="008D2244" w:rsidRPr="0090354C" w:rsidRDefault="00E47CA9" w:rsidP="005C6776">
            <w:pPr>
              <w:pStyle w:val="Bullet1"/>
            </w:pPr>
            <w:r w:rsidRPr="0090354C">
              <w:t xml:space="preserve">The Government will support </w:t>
            </w:r>
            <w:r w:rsidR="009C383C" w:rsidRPr="0090354C">
              <w:t xml:space="preserve">growth through </w:t>
            </w:r>
            <w:r w:rsidR="00ED2439" w:rsidRPr="0090354C">
              <w:t xml:space="preserve">investment </w:t>
            </w:r>
            <w:r w:rsidR="009C383C" w:rsidRPr="0090354C">
              <w:t>in</w:t>
            </w:r>
            <w:r w:rsidR="008D2244" w:rsidRPr="0090354C">
              <w:t>:</w:t>
            </w:r>
          </w:p>
          <w:p w14:paraId="54997BC5" w14:textId="13621CED" w:rsidR="008D2244" w:rsidRPr="0090354C" w:rsidRDefault="002C537E" w:rsidP="005C6776">
            <w:pPr>
              <w:pStyle w:val="Bullet2"/>
            </w:pPr>
            <w:r w:rsidRPr="0090354C">
              <w:t>h</w:t>
            </w:r>
            <w:r w:rsidR="009C383C" w:rsidRPr="0090354C">
              <w:t>ousing</w:t>
            </w:r>
            <w:r w:rsidRPr="0090354C">
              <w:t>,</w:t>
            </w:r>
            <w:r w:rsidR="00D856E7" w:rsidRPr="0090354C">
              <w:t xml:space="preserve"> </w:t>
            </w:r>
            <w:r w:rsidR="00CB5D0E" w:rsidRPr="0090354C">
              <w:t xml:space="preserve">by accelerating </w:t>
            </w:r>
            <w:r w:rsidR="00AB27E1" w:rsidRPr="0090354C">
              <w:t xml:space="preserve">development and </w:t>
            </w:r>
            <w:r w:rsidR="00F9363A" w:rsidRPr="0090354C">
              <w:t xml:space="preserve">enabling </w:t>
            </w:r>
            <w:r w:rsidR="00340B45" w:rsidRPr="0090354C">
              <w:t>more new dwellings</w:t>
            </w:r>
          </w:p>
          <w:p w14:paraId="27514018" w14:textId="37BFE850" w:rsidR="00E84551" w:rsidRPr="0090354C" w:rsidRDefault="00DF2364" w:rsidP="00EC2239">
            <w:pPr>
              <w:pStyle w:val="Bullet2"/>
            </w:pPr>
            <w:r w:rsidRPr="0090354C">
              <w:t>the</w:t>
            </w:r>
            <w:r w:rsidR="00C35249" w:rsidRPr="0090354C">
              <w:t xml:space="preserve"> </w:t>
            </w:r>
            <w:r w:rsidR="000423C0" w:rsidRPr="0090354C">
              <w:t xml:space="preserve">new </w:t>
            </w:r>
            <w:r w:rsidRPr="0090354C">
              <w:t>I</w:t>
            </w:r>
            <w:r w:rsidR="000423C0" w:rsidRPr="0090354C">
              <w:t xml:space="preserve">nvestment Delivery Authority – modelled </w:t>
            </w:r>
            <w:r w:rsidR="00740926" w:rsidRPr="0090354C">
              <w:t>o</w:t>
            </w:r>
            <w:r w:rsidR="000423C0" w:rsidRPr="0090354C">
              <w:t xml:space="preserve">n the successful Housing Delivery Authority </w:t>
            </w:r>
            <w:r w:rsidR="00E81C6D" w:rsidRPr="0090354C">
              <w:t xml:space="preserve">– </w:t>
            </w:r>
            <w:r w:rsidR="00844F7F" w:rsidRPr="0090354C">
              <w:t xml:space="preserve">to identify and clear barriers to significant economic investments </w:t>
            </w:r>
          </w:p>
          <w:p w14:paraId="3B47F929" w14:textId="14781B4F" w:rsidR="000423C0" w:rsidRPr="0090354C" w:rsidRDefault="000423C0" w:rsidP="00EC2239">
            <w:pPr>
              <w:pStyle w:val="Bullet2"/>
            </w:pPr>
            <w:r w:rsidRPr="0090354C">
              <w:t xml:space="preserve">manufacturing and </w:t>
            </w:r>
            <w:r w:rsidR="00F26963" w:rsidRPr="0090354C">
              <w:t>innovation</w:t>
            </w:r>
            <w:r w:rsidRPr="0090354C">
              <w:t xml:space="preserve">, </w:t>
            </w:r>
            <w:r w:rsidR="00DD0DB5" w:rsidRPr="0090354C">
              <w:t xml:space="preserve">to </w:t>
            </w:r>
            <w:r w:rsidR="001E0DA2" w:rsidRPr="0090354C">
              <w:t xml:space="preserve">support </w:t>
            </w:r>
            <w:r w:rsidR="00CF4B9C" w:rsidRPr="0090354C">
              <w:t xml:space="preserve">investment in research into products and services, and </w:t>
            </w:r>
            <w:r w:rsidR="00E61B24" w:rsidRPr="0090354C">
              <w:t>the development of new products</w:t>
            </w:r>
            <w:r w:rsidR="009807E1" w:rsidRPr="0090354C">
              <w:t xml:space="preserve"> and</w:t>
            </w:r>
            <w:r w:rsidR="00E61B24" w:rsidRPr="0090354C">
              <w:t xml:space="preserve"> techniques</w:t>
            </w:r>
          </w:p>
          <w:p w14:paraId="7B28EFF4" w14:textId="532E6BB7" w:rsidR="009D1523" w:rsidRPr="0090354C" w:rsidRDefault="000423C0" w:rsidP="005C6776">
            <w:pPr>
              <w:pStyle w:val="Bullet2"/>
            </w:pPr>
            <w:r w:rsidRPr="0090354C">
              <w:t xml:space="preserve">technology, delivering cost-effective, secure access to services </w:t>
            </w:r>
          </w:p>
          <w:p w14:paraId="5893D27B" w14:textId="6811336D" w:rsidR="00B11A76" w:rsidRPr="0090354C" w:rsidRDefault="009D0F88" w:rsidP="00D249DC">
            <w:pPr>
              <w:pStyle w:val="Bullet2"/>
            </w:pPr>
            <w:r w:rsidRPr="0090354C">
              <w:t>energy</w:t>
            </w:r>
            <w:r w:rsidR="009D525E" w:rsidRPr="0090354C">
              <w:t>,</w:t>
            </w:r>
            <w:r w:rsidRPr="0090354C">
              <w:t xml:space="preserve"> to enable the transition to renewable energy through instigating investment in network, generation, and storage infrastructure</w:t>
            </w:r>
            <w:r w:rsidR="002A3BF8" w:rsidRPr="0090354C">
              <w:t>.</w:t>
            </w:r>
          </w:p>
        </w:tc>
      </w:tr>
    </w:tbl>
    <w:p w14:paraId="7650C2D2" w14:textId="77777777" w:rsidR="004410B5" w:rsidRPr="0090354C" w:rsidRDefault="004410B5" w:rsidP="00D249DC">
      <w:pPr>
        <w:rPr>
          <w:rFonts w:ascii="Public Sans" w:hAnsi="Public Sans"/>
        </w:rPr>
      </w:pPr>
      <w:bookmarkStart w:id="1" w:name="_Hlk198892571"/>
    </w:p>
    <w:p w14:paraId="4E1E4703" w14:textId="78F55F62" w:rsidR="007C0B0C" w:rsidRPr="0090354C" w:rsidRDefault="007C0B0C" w:rsidP="00A45868">
      <w:pPr>
        <w:pStyle w:val="BodyText"/>
      </w:pPr>
      <w:r w:rsidRPr="0090354C">
        <w:t>The 2025-26 Budget outlines a responsible path back to</w:t>
      </w:r>
      <w:r w:rsidR="00FE4E2B">
        <w:t xml:space="preserve"> a</w:t>
      </w:r>
      <w:r w:rsidRPr="0090354C">
        <w:t xml:space="preserve"> moderate surplus, after the largest ever deficit of $15.3 billion in 2021-22.  </w:t>
      </w:r>
    </w:p>
    <w:p w14:paraId="12528D91" w14:textId="58645A11" w:rsidR="007C0B0C" w:rsidRPr="0090354C" w:rsidRDefault="007C0B0C" w:rsidP="00A45868">
      <w:pPr>
        <w:pStyle w:val="BodyText"/>
      </w:pPr>
      <w:r w:rsidRPr="0090354C">
        <w:t>The budget turnaround is supported by a $9.4 billion reduction in the debt projected</w:t>
      </w:r>
      <w:r w:rsidR="001E73B3" w:rsidRPr="0090354C">
        <w:t xml:space="preserve"> </w:t>
      </w:r>
      <w:r w:rsidR="00D12A29" w:rsidRPr="0090354C">
        <w:t>relative to</w:t>
      </w:r>
      <w:r w:rsidR="001E73B3" w:rsidRPr="0090354C">
        <w:t xml:space="preserve"> the 2023</w:t>
      </w:r>
      <w:r w:rsidR="008126AC" w:rsidRPr="0090354C">
        <w:t xml:space="preserve"> Pre-election Budget Update</w:t>
      </w:r>
      <w:r w:rsidRPr="0090354C">
        <w:t xml:space="preserve">, saving </w:t>
      </w:r>
      <w:r w:rsidR="602E5FD5" w:rsidRPr="0090354C">
        <w:t>around</w:t>
      </w:r>
      <w:r w:rsidRPr="0090354C">
        <w:t xml:space="preserve"> $400 million in interest payments every year.  These savings have allowed the NSW Government to make investments to rebuild essential services while outlining a sustainable pathway to surplus. </w:t>
      </w:r>
    </w:p>
    <w:p w14:paraId="040DA8A7" w14:textId="77777777" w:rsidR="007C0B0C" w:rsidRPr="0090354C" w:rsidRDefault="007C0B0C" w:rsidP="00A45868">
      <w:pPr>
        <w:pStyle w:val="BodyText"/>
      </w:pPr>
      <w:r w:rsidRPr="0090354C">
        <w:t xml:space="preserve">The 2025-26 Budget also lays the foundation for our future economic growth with measures that facilitate rapid investment, create jobs, and accelerate the delivery of new homes. </w:t>
      </w:r>
    </w:p>
    <w:p w14:paraId="2F8DDB4F" w14:textId="4FA5CD09" w:rsidR="007C0B0C" w:rsidRPr="0090354C" w:rsidRDefault="007C0B0C" w:rsidP="00A45868">
      <w:pPr>
        <w:pStyle w:val="BodyText"/>
      </w:pPr>
      <w:r w:rsidRPr="0090354C">
        <w:lastRenderedPageBreak/>
        <w:t>Following a global pandemic, bushfires, floods, high inflation and interest rates, families and businesses in New South Wales are under pressure. We are now seeing the first signs that the NSW Government’s fiscal consolidation strategy has avoided additional pressure on inflation without restricting wage growth or increasing joblessness. Inflation declined to 2.3 per cent in the March quarter of 2025.</w:t>
      </w:r>
      <w:r w:rsidR="00FC6801" w:rsidRPr="0090354C">
        <w:t xml:space="preserve"> </w:t>
      </w:r>
      <w:r w:rsidRPr="0090354C">
        <w:t>Having made progress to address inflation and fiscal repair, New</w:t>
      </w:r>
      <w:r w:rsidR="008D2DED">
        <w:t> </w:t>
      </w:r>
      <w:r w:rsidRPr="0090354C">
        <w:t xml:space="preserve">South Wales enters a new economic challenge. The 2025-26 Budget outlines new investments designed to reduce regulation, fast track investment and generate the jobs and prosperity of the future. </w:t>
      </w:r>
    </w:p>
    <w:p w14:paraId="5826AD2B" w14:textId="2ACEBFD8" w:rsidR="004410B5" w:rsidRPr="0090354C" w:rsidRDefault="007C0B0C" w:rsidP="00A45868">
      <w:pPr>
        <w:pStyle w:val="BodyText"/>
        <w:rPr>
          <w:b/>
          <w:color w:val="22272B"/>
          <w:sz w:val="28"/>
          <w:szCs w:val="28"/>
        </w:rPr>
      </w:pPr>
      <w:r w:rsidRPr="0090354C">
        <w:t>The NSW Government’s commitment to responsible budget management has allowed for the</w:t>
      </w:r>
      <w:r w:rsidR="008D2DED">
        <w:t> </w:t>
      </w:r>
      <w:r w:rsidRPr="0090354C">
        <w:t>next step towards rebuilding our essential services after a decade of rising demand. Major</w:t>
      </w:r>
      <w:r w:rsidR="008D2DED">
        <w:t> </w:t>
      </w:r>
      <w:r w:rsidRPr="0090354C">
        <w:t>investments in child protection, TAFE, education and healthcare headline the 2025</w:t>
      </w:r>
      <w:r w:rsidR="008D2DED">
        <w:noBreakHyphen/>
      </w:r>
      <w:r w:rsidRPr="0090354C">
        <w:t>26</w:t>
      </w:r>
      <w:r w:rsidR="008D2DED">
        <w:t> </w:t>
      </w:r>
      <w:r w:rsidRPr="0090354C">
        <w:t xml:space="preserve">Budget. </w:t>
      </w:r>
    </w:p>
    <w:p w14:paraId="5A75DAE2" w14:textId="134EFC03" w:rsidR="00C626D7" w:rsidRPr="0090354C" w:rsidRDefault="006A7F49" w:rsidP="008E3FA8">
      <w:pPr>
        <w:pStyle w:val="11Heading2"/>
      </w:pPr>
      <w:r w:rsidRPr="0090354C">
        <w:t>Economic context</w:t>
      </w:r>
      <w:bookmarkEnd w:id="1"/>
    </w:p>
    <w:p w14:paraId="348B20B6" w14:textId="24E77BFC" w:rsidR="003D23A4" w:rsidRPr="0090354C" w:rsidRDefault="00AE66B7" w:rsidP="00A45868">
      <w:pPr>
        <w:pStyle w:val="BodyText"/>
      </w:pPr>
      <w:r w:rsidRPr="0090354C">
        <w:t xml:space="preserve">The economy is </w:t>
      </w:r>
      <w:r w:rsidR="008068B8" w:rsidRPr="0090354C">
        <w:t>normalising</w:t>
      </w:r>
      <w:r w:rsidRPr="0090354C">
        <w:t xml:space="preserve"> following the </w:t>
      </w:r>
      <w:r w:rsidR="003628D9" w:rsidRPr="0090354C">
        <w:t>COVID</w:t>
      </w:r>
      <w:r w:rsidR="004D1B0E" w:rsidRPr="0090354C">
        <w:t>-19</w:t>
      </w:r>
      <w:r w:rsidR="003628D9" w:rsidRPr="0090354C">
        <w:t xml:space="preserve"> </w:t>
      </w:r>
      <w:r w:rsidRPr="0090354C">
        <w:t>pandemic</w:t>
      </w:r>
      <w:r w:rsidR="00FC2CE9" w:rsidRPr="0090354C">
        <w:t>.</w:t>
      </w:r>
      <w:r w:rsidR="00620503" w:rsidRPr="0090354C">
        <w:t xml:space="preserve"> </w:t>
      </w:r>
      <w:r w:rsidR="003D23A4" w:rsidRPr="0090354C">
        <w:t>Despite a gradual slowdown, the NSW economy ha</w:t>
      </w:r>
      <w:r w:rsidR="00D77C9F" w:rsidRPr="0090354C">
        <w:t>s</w:t>
      </w:r>
      <w:r w:rsidR="003D23A4" w:rsidRPr="0090354C">
        <w:t xml:space="preserve"> avoided recession. </w:t>
      </w:r>
      <w:r w:rsidR="007A0947" w:rsidRPr="0090354C">
        <w:t>Cost-of-living pressures are easing.</w:t>
      </w:r>
      <w:r w:rsidR="007A0947" w:rsidRPr="0090354C" w:rsidDel="0019410E">
        <w:t xml:space="preserve"> </w:t>
      </w:r>
      <w:r w:rsidR="003D23A4" w:rsidRPr="0090354C">
        <w:t>Inflation is back around the R</w:t>
      </w:r>
      <w:r w:rsidR="00FC2CE9" w:rsidRPr="0090354C">
        <w:t xml:space="preserve">eserve </w:t>
      </w:r>
      <w:r w:rsidR="003D23A4" w:rsidRPr="0090354C">
        <w:t>B</w:t>
      </w:r>
      <w:r w:rsidR="00FC2CE9" w:rsidRPr="0090354C">
        <w:t xml:space="preserve">ank of </w:t>
      </w:r>
      <w:r w:rsidR="003D23A4" w:rsidRPr="0090354C">
        <w:t>A</w:t>
      </w:r>
      <w:r w:rsidR="00FC2CE9" w:rsidRPr="0090354C">
        <w:t>ustralia</w:t>
      </w:r>
      <w:r w:rsidR="003D23A4" w:rsidRPr="0090354C">
        <w:t>’s</w:t>
      </w:r>
      <w:r w:rsidR="007F1E91" w:rsidRPr="0090354C">
        <w:t xml:space="preserve"> </w:t>
      </w:r>
      <w:r w:rsidR="003D23A4" w:rsidRPr="0090354C">
        <w:t>target</w:t>
      </w:r>
      <w:r w:rsidR="00640D31" w:rsidRPr="0090354C">
        <w:t xml:space="preserve">, supported by the </w:t>
      </w:r>
      <w:r w:rsidR="0047366D" w:rsidRPr="0090354C">
        <w:t>NSW</w:t>
      </w:r>
      <w:r w:rsidR="00640D31" w:rsidRPr="0090354C">
        <w:t xml:space="preserve"> </w:t>
      </w:r>
      <w:r w:rsidR="002D006C" w:rsidRPr="0090354C">
        <w:t xml:space="preserve">Government’s </w:t>
      </w:r>
      <w:r w:rsidR="00873EC6" w:rsidRPr="0090354C">
        <w:t>fiscal consolidation strategy</w:t>
      </w:r>
      <w:r w:rsidR="003D23A4" w:rsidRPr="0090354C">
        <w:t>.</w:t>
      </w:r>
      <w:r w:rsidR="00873EC6" w:rsidRPr="0090354C">
        <w:t xml:space="preserve"> This has allowed for a </w:t>
      </w:r>
      <w:r w:rsidR="008A57C3" w:rsidRPr="0090354C">
        <w:t>pickup</w:t>
      </w:r>
      <w:r w:rsidR="00873EC6" w:rsidRPr="0090354C">
        <w:t xml:space="preserve"> in real wages growth without a </w:t>
      </w:r>
      <w:r w:rsidR="00A11D52" w:rsidRPr="0090354C">
        <w:t xml:space="preserve">significant </w:t>
      </w:r>
      <w:r w:rsidR="00873EC6" w:rsidRPr="0090354C">
        <w:t>deterioration in the labour market.</w:t>
      </w:r>
      <w:r w:rsidR="003D23A4" w:rsidRPr="0090354C">
        <w:t xml:space="preserve"> </w:t>
      </w:r>
    </w:p>
    <w:p w14:paraId="2B08DDD4" w14:textId="5F7E104C" w:rsidR="008F7965" w:rsidRPr="0090354C" w:rsidRDefault="008E3AF8" w:rsidP="00A45868">
      <w:pPr>
        <w:pStyle w:val="BodyText"/>
      </w:pPr>
      <w:r w:rsidRPr="0090354C">
        <w:t xml:space="preserve">Household consumption is beginning to recover despite uncertainty over the global economy impacting consumer sentiment. </w:t>
      </w:r>
      <w:r w:rsidR="00A86D34" w:rsidRPr="0090354C">
        <w:t xml:space="preserve">This </w:t>
      </w:r>
      <w:r w:rsidRPr="0090354C">
        <w:t xml:space="preserve">recovery is supported by </w:t>
      </w:r>
      <w:r w:rsidR="009E51DB" w:rsidRPr="0090354C">
        <w:t xml:space="preserve">cost-of-living relief measures, </w:t>
      </w:r>
      <w:r w:rsidR="00B4449C" w:rsidRPr="0090354C">
        <w:t xml:space="preserve">real </w:t>
      </w:r>
      <w:r w:rsidR="0013305B" w:rsidRPr="0090354C">
        <w:t>wages</w:t>
      </w:r>
      <w:r w:rsidR="0019410E" w:rsidRPr="0090354C">
        <w:t xml:space="preserve"> growth</w:t>
      </w:r>
      <w:r w:rsidR="009E51DB" w:rsidRPr="0090354C">
        <w:t xml:space="preserve">, and the continued moderation </w:t>
      </w:r>
      <w:r w:rsidR="00CA6BDE" w:rsidRPr="0090354C">
        <w:t xml:space="preserve">of </w:t>
      </w:r>
      <w:r w:rsidR="009E51DB" w:rsidRPr="0090354C">
        <w:t>inflation.</w:t>
      </w:r>
      <w:r w:rsidR="001A6C78" w:rsidRPr="0090354C">
        <w:t xml:space="preserve"> </w:t>
      </w:r>
      <w:r w:rsidR="00B4449C" w:rsidRPr="0090354C">
        <w:t>The labour market remains resilient and is broadly consistent with full employment.</w:t>
      </w:r>
    </w:p>
    <w:p w14:paraId="41C848B2" w14:textId="6E772B52" w:rsidR="00B4449C" w:rsidRPr="0090354C" w:rsidRDefault="00B4449C" w:rsidP="005C6776">
      <w:pPr>
        <w:pStyle w:val="BodyText"/>
      </w:pPr>
      <w:r w:rsidRPr="0090354C">
        <w:t xml:space="preserve">Residential construction has been slower to recover due to material </w:t>
      </w:r>
      <w:r w:rsidR="00980304" w:rsidRPr="0090354C">
        <w:t xml:space="preserve">costs </w:t>
      </w:r>
      <w:r w:rsidR="00D1086B" w:rsidRPr="0090354C">
        <w:t xml:space="preserve">and </w:t>
      </w:r>
      <w:r w:rsidRPr="0090354C">
        <w:t xml:space="preserve">labour constraints. Despite the challenges, there are signs of improvement as new planning reforms begin to take effect, with dwelling approvals </w:t>
      </w:r>
      <w:r w:rsidR="00F418CE" w:rsidRPr="0090354C">
        <w:t>at</w:t>
      </w:r>
      <w:r w:rsidRPr="0090354C">
        <w:t xml:space="preserve"> an almost two-year high in the March quarter 2025. </w:t>
      </w:r>
      <w:r w:rsidR="00D27B8A" w:rsidRPr="0090354C">
        <w:t xml:space="preserve">Nonetheless, housing affordability is expected to remain constrained from a historical perspective. </w:t>
      </w:r>
    </w:p>
    <w:p w14:paraId="0B304B32" w14:textId="31A3E4DD" w:rsidR="0002415E" w:rsidRPr="0090354C" w:rsidRDefault="7637ECAB" w:rsidP="005C6776">
      <w:pPr>
        <w:pStyle w:val="BodyText"/>
      </w:pPr>
      <w:r w:rsidRPr="0090354C">
        <w:t xml:space="preserve">Despite elevated global uncertainty, the NSW economy is </w:t>
      </w:r>
      <w:r w:rsidR="00B4449C" w:rsidRPr="0090354C">
        <w:t>well</w:t>
      </w:r>
      <w:r w:rsidR="004E323E" w:rsidRPr="0090354C">
        <w:t>-</w:t>
      </w:r>
      <w:r w:rsidR="00B4449C" w:rsidRPr="0090354C">
        <w:t xml:space="preserve">positioned </w:t>
      </w:r>
      <w:r w:rsidR="00615D6C" w:rsidRPr="0090354C">
        <w:t>for</w:t>
      </w:r>
      <w:r w:rsidR="00B4449C" w:rsidRPr="0090354C">
        <w:t xml:space="preserve"> an increase in economic growth. Consumer spending is</w:t>
      </w:r>
      <w:r w:rsidR="00FA669A" w:rsidRPr="0090354C">
        <w:t xml:space="preserve"> </w:t>
      </w:r>
      <w:r w:rsidRPr="0090354C">
        <w:t>expected to</w:t>
      </w:r>
      <w:r w:rsidR="00B4449C" w:rsidRPr="0090354C">
        <w:t xml:space="preserve"> lift as cost-of-living pressures continue to ease, supported by real wages growth. Meanwhile, fiscal consolidation is expected to free up resources </w:t>
      </w:r>
      <w:r w:rsidR="00055C74" w:rsidRPr="0090354C">
        <w:t xml:space="preserve">for </w:t>
      </w:r>
      <w:r w:rsidR="00B4449C" w:rsidRPr="0090354C">
        <w:t xml:space="preserve">private infrastructure </w:t>
      </w:r>
      <w:r w:rsidR="00115491" w:rsidRPr="0090354C">
        <w:t>investment</w:t>
      </w:r>
      <w:r w:rsidR="00B240F2" w:rsidRPr="0090354C">
        <w:t>, including housing</w:t>
      </w:r>
      <w:r w:rsidR="00B4449C" w:rsidRPr="0090354C">
        <w:t xml:space="preserve">. NSW </w:t>
      </w:r>
      <w:r w:rsidR="00EA3E1E" w:rsidRPr="0090354C">
        <w:t>s</w:t>
      </w:r>
      <w:r w:rsidR="00B4449C" w:rsidRPr="0090354C">
        <w:t xml:space="preserve">tate final demand is expected to grow by 2¼ per cent in 2025-26. However, weaker exports weigh on the economy, meaning that overall </w:t>
      </w:r>
      <w:r w:rsidR="00CD2F23" w:rsidRPr="0090354C">
        <w:t>gross state product (</w:t>
      </w:r>
      <w:r w:rsidR="00B4449C" w:rsidRPr="0090354C">
        <w:t>GSP</w:t>
      </w:r>
      <w:r w:rsidR="00B320C7" w:rsidRPr="0090354C">
        <w:t>)</w:t>
      </w:r>
      <w:r w:rsidR="00B4449C" w:rsidRPr="0090354C">
        <w:t xml:space="preserve"> growth is expected to be a more subdued 1¾ per cent in 2025-26. </w:t>
      </w:r>
    </w:p>
    <w:p w14:paraId="16685503" w14:textId="778FB784" w:rsidR="00D2384C" w:rsidRPr="0090354C" w:rsidRDefault="00D2384C" w:rsidP="005C6776">
      <w:pPr>
        <w:pStyle w:val="BodyText"/>
      </w:pPr>
      <w:r w:rsidRPr="0090354C">
        <w:t xml:space="preserve">Productivity growth is expected to pick up over the next two to three years, albeit to a lower level than previously expected. Unlocking productivity growth is vital as the NSW economy evolves and is central to the </w:t>
      </w:r>
      <w:r w:rsidR="003C3504" w:rsidRPr="0090354C">
        <w:t>G</w:t>
      </w:r>
      <w:r w:rsidRPr="0090354C">
        <w:t xml:space="preserve">overnment's growth agenda. </w:t>
      </w:r>
    </w:p>
    <w:p w14:paraId="6B37776A" w14:textId="0669741B" w:rsidR="00EF550D" w:rsidRPr="0090354C" w:rsidRDefault="0035637C" w:rsidP="00EF550D">
      <w:pPr>
        <w:pStyle w:val="Table1X"/>
      </w:pPr>
      <w:r w:rsidRPr="0090354C">
        <w:rPr>
          <w:lang w:val="en-US"/>
        </w:rPr>
        <w:t>New South Wales forecasts for real gross state product, Sydney consumer price index and the unemployment rate</w:t>
      </w:r>
      <w:r w:rsidR="001D42ED" w:rsidRPr="0090354C">
        <w:rPr>
          <w:vertAlign w:val="superscript"/>
          <w:lang w:val="en-US"/>
        </w:rPr>
        <w:t>(a)</w:t>
      </w:r>
    </w:p>
    <w:tbl>
      <w:tblPr>
        <w:tblW w:w="9638" w:type="dxa"/>
        <w:tblLayout w:type="fixed"/>
        <w:tblLook w:val="04A0" w:firstRow="1" w:lastRow="0" w:firstColumn="1" w:lastColumn="0" w:noHBand="0" w:noVBand="1"/>
        <w:tblCaption w:val="Table 1.1: New South Wales forecasts for real gross state product, Sydney consumer price index and the unemployment rate"/>
      </w:tblPr>
      <w:tblGrid>
        <w:gridCol w:w="3119"/>
        <w:gridCol w:w="1180"/>
        <w:gridCol w:w="1088"/>
        <w:gridCol w:w="1133"/>
        <w:gridCol w:w="1039"/>
        <w:gridCol w:w="1039"/>
        <w:gridCol w:w="1040"/>
      </w:tblGrid>
      <w:tr w:rsidR="00EF550D" w:rsidRPr="0090354C" w14:paraId="241B58B8" w14:textId="77777777">
        <w:trPr>
          <w:trHeight w:val="283"/>
        </w:trPr>
        <w:tc>
          <w:tcPr>
            <w:tcW w:w="3119" w:type="dxa"/>
            <w:shd w:val="clear" w:color="auto" w:fill="EBEBEB"/>
            <w:noWrap/>
            <w:hideMark/>
          </w:tcPr>
          <w:p w14:paraId="49ED10D2" w14:textId="77777777" w:rsidR="00EF550D" w:rsidRPr="0090354C" w:rsidRDefault="00EF550D">
            <w:pPr>
              <w:jc w:val="center"/>
              <w:rPr>
                <w:rFonts w:ascii="Public Sans" w:hAnsi="Public Sans" w:cs="Arial"/>
                <w:sz w:val="17"/>
                <w:szCs w:val="17"/>
                <w:lang w:eastAsia="en-AU"/>
              </w:rPr>
            </w:pPr>
            <w:r w:rsidRPr="0090354C">
              <w:rPr>
                <w:rFonts w:ascii="Public Sans" w:hAnsi="Public Sans" w:cs="Arial"/>
                <w:sz w:val="17"/>
                <w:szCs w:val="17"/>
                <w:lang w:eastAsia="en-AU"/>
              </w:rPr>
              <w:t> </w:t>
            </w:r>
          </w:p>
        </w:tc>
        <w:tc>
          <w:tcPr>
            <w:tcW w:w="1180" w:type="dxa"/>
            <w:shd w:val="clear" w:color="auto" w:fill="EBEBEB"/>
            <w:noWrap/>
            <w:vAlign w:val="bottom"/>
            <w:hideMark/>
          </w:tcPr>
          <w:p w14:paraId="26AB371C" w14:textId="776F707A" w:rsidR="00EF550D" w:rsidRPr="0090354C" w:rsidRDefault="00EF550D">
            <w:pPr>
              <w:jc w:val="center"/>
              <w:rPr>
                <w:rFonts w:ascii="Public Sans" w:hAnsi="Public Sans" w:cs="Arial"/>
                <w:sz w:val="17"/>
                <w:szCs w:val="17"/>
                <w:lang w:eastAsia="en-AU"/>
              </w:rPr>
            </w:pPr>
            <w:r w:rsidRPr="0090354C">
              <w:rPr>
                <w:rFonts w:ascii="Public Sans" w:hAnsi="Public Sans"/>
                <w:sz w:val="17"/>
                <w:szCs w:val="17"/>
              </w:rPr>
              <w:t>202</w:t>
            </w:r>
            <w:r w:rsidR="00005287" w:rsidRPr="0090354C">
              <w:rPr>
                <w:rFonts w:ascii="Public Sans" w:hAnsi="Public Sans"/>
                <w:sz w:val="17"/>
                <w:szCs w:val="17"/>
              </w:rPr>
              <w:t>3</w:t>
            </w:r>
            <w:r w:rsidRPr="0090354C">
              <w:rPr>
                <w:rFonts w:ascii="Public Sans" w:hAnsi="Public Sans"/>
                <w:sz w:val="17"/>
                <w:szCs w:val="17"/>
              </w:rPr>
              <w:t>-2</w:t>
            </w:r>
            <w:r w:rsidR="00005287" w:rsidRPr="0090354C">
              <w:rPr>
                <w:rFonts w:ascii="Public Sans" w:hAnsi="Public Sans"/>
                <w:sz w:val="17"/>
                <w:szCs w:val="17"/>
              </w:rPr>
              <w:t>4</w:t>
            </w:r>
          </w:p>
        </w:tc>
        <w:tc>
          <w:tcPr>
            <w:tcW w:w="1088" w:type="dxa"/>
            <w:shd w:val="clear" w:color="auto" w:fill="EBEBEB"/>
            <w:noWrap/>
            <w:vAlign w:val="bottom"/>
            <w:hideMark/>
          </w:tcPr>
          <w:p w14:paraId="116DF974" w14:textId="1F3A541E" w:rsidR="00EF550D" w:rsidRPr="0090354C" w:rsidRDefault="00EF550D">
            <w:pPr>
              <w:jc w:val="center"/>
              <w:rPr>
                <w:rFonts w:ascii="Public Sans" w:hAnsi="Public Sans" w:cs="Arial"/>
                <w:sz w:val="17"/>
                <w:szCs w:val="17"/>
                <w:lang w:eastAsia="en-AU"/>
              </w:rPr>
            </w:pPr>
            <w:r w:rsidRPr="0090354C">
              <w:rPr>
                <w:rFonts w:ascii="Public Sans" w:hAnsi="Public Sans"/>
                <w:sz w:val="17"/>
                <w:szCs w:val="17"/>
              </w:rPr>
              <w:t>202</w:t>
            </w:r>
            <w:r w:rsidR="000A1780" w:rsidRPr="0090354C">
              <w:rPr>
                <w:rFonts w:ascii="Public Sans" w:hAnsi="Public Sans"/>
                <w:sz w:val="17"/>
                <w:szCs w:val="17"/>
              </w:rPr>
              <w:t>4</w:t>
            </w:r>
            <w:r w:rsidRPr="0090354C">
              <w:rPr>
                <w:rFonts w:ascii="Public Sans" w:hAnsi="Public Sans"/>
                <w:sz w:val="17"/>
                <w:szCs w:val="17"/>
              </w:rPr>
              <w:t>-2</w:t>
            </w:r>
            <w:r w:rsidR="000A1780" w:rsidRPr="0090354C">
              <w:rPr>
                <w:rFonts w:ascii="Public Sans" w:hAnsi="Public Sans"/>
                <w:sz w:val="17"/>
                <w:szCs w:val="17"/>
              </w:rPr>
              <w:t>5</w:t>
            </w:r>
          </w:p>
        </w:tc>
        <w:tc>
          <w:tcPr>
            <w:tcW w:w="1133" w:type="dxa"/>
            <w:shd w:val="clear" w:color="auto" w:fill="EBEBEB"/>
            <w:noWrap/>
            <w:vAlign w:val="bottom"/>
            <w:hideMark/>
          </w:tcPr>
          <w:p w14:paraId="4307872B" w14:textId="49A93B4A" w:rsidR="00EF550D" w:rsidRPr="0090354C" w:rsidRDefault="00EF550D">
            <w:pPr>
              <w:jc w:val="center"/>
              <w:rPr>
                <w:rFonts w:ascii="Public Sans" w:hAnsi="Public Sans" w:cs="Arial"/>
                <w:sz w:val="17"/>
                <w:szCs w:val="17"/>
                <w:lang w:eastAsia="en-AU"/>
              </w:rPr>
            </w:pPr>
            <w:r w:rsidRPr="0090354C">
              <w:rPr>
                <w:rFonts w:ascii="Public Sans" w:hAnsi="Public Sans"/>
                <w:sz w:val="17"/>
                <w:szCs w:val="17"/>
              </w:rPr>
              <w:t>202</w:t>
            </w:r>
            <w:r w:rsidR="000A1780" w:rsidRPr="0090354C">
              <w:rPr>
                <w:rFonts w:ascii="Public Sans" w:hAnsi="Public Sans"/>
                <w:sz w:val="17"/>
                <w:szCs w:val="17"/>
              </w:rPr>
              <w:t>5</w:t>
            </w:r>
            <w:r w:rsidRPr="0090354C">
              <w:rPr>
                <w:rFonts w:ascii="Public Sans" w:hAnsi="Public Sans"/>
                <w:sz w:val="17"/>
                <w:szCs w:val="17"/>
              </w:rPr>
              <w:t>-2</w:t>
            </w:r>
            <w:r w:rsidR="000A1780" w:rsidRPr="0090354C">
              <w:rPr>
                <w:rFonts w:ascii="Public Sans" w:hAnsi="Public Sans"/>
                <w:sz w:val="17"/>
                <w:szCs w:val="17"/>
              </w:rPr>
              <w:t>6</w:t>
            </w:r>
          </w:p>
        </w:tc>
        <w:tc>
          <w:tcPr>
            <w:tcW w:w="1039" w:type="dxa"/>
            <w:shd w:val="clear" w:color="auto" w:fill="EBEBEB"/>
            <w:noWrap/>
            <w:vAlign w:val="bottom"/>
            <w:hideMark/>
          </w:tcPr>
          <w:p w14:paraId="12D96706" w14:textId="5E3A7348" w:rsidR="00EF550D" w:rsidRPr="0090354C" w:rsidRDefault="00EF550D">
            <w:pPr>
              <w:jc w:val="center"/>
              <w:rPr>
                <w:rFonts w:ascii="Public Sans" w:hAnsi="Public Sans" w:cs="Arial"/>
                <w:sz w:val="17"/>
                <w:szCs w:val="17"/>
                <w:lang w:eastAsia="en-AU"/>
              </w:rPr>
            </w:pPr>
            <w:r w:rsidRPr="0090354C">
              <w:rPr>
                <w:rFonts w:ascii="Public Sans" w:hAnsi="Public Sans"/>
                <w:sz w:val="17"/>
                <w:szCs w:val="17"/>
              </w:rPr>
              <w:t>202</w:t>
            </w:r>
            <w:r w:rsidR="000A1780" w:rsidRPr="0090354C">
              <w:rPr>
                <w:rFonts w:ascii="Public Sans" w:hAnsi="Public Sans"/>
                <w:sz w:val="17"/>
                <w:szCs w:val="17"/>
              </w:rPr>
              <w:t>6</w:t>
            </w:r>
            <w:r w:rsidRPr="0090354C">
              <w:rPr>
                <w:rFonts w:ascii="Public Sans" w:hAnsi="Public Sans"/>
                <w:sz w:val="17"/>
                <w:szCs w:val="17"/>
              </w:rPr>
              <w:t>-2</w:t>
            </w:r>
            <w:r w:rsidR="000A1780" w:rsidRPr="0090354C">
              <w:rPr>
                <w:rFonts w:ascii="Public Sans" w:hAnsi="Public Sans"/>
                <w:sz w:val="17"/>
                <w:szCs w:val="17"/>
              </w:rPr>
              <w:t>7</w:t>
            </w:r>
          </w:p>
        </w:tc>
        <w:tc>
          <w:tcPr>
            <w:tcW w:w="1039" w:type="dxa"/>
            <w:shd w:val="clear" w:color="auto" w:fill="EBEBEB"/>
            <w:noWrap/>
            <w:vAlign w:val="bottom"/>
            <w:hideMark/>
          </w:tcPr>
          <w:p w14:paraId="395201F5" w14:textId="02E132F2" w:rsidR="00EF550D" w:rsidRPr="0090354C" w:rsidRDefault="00EF550D">
            <w:pPr>
              <w:jc w:val="center"/>
              <w:rPr>
                <w:rFonts w:ascii="Public Sans" w:hAnsi="Public Sans" w:cs="Arial"/>
                <w:sz w:val="17"/>
                <w:szCs w:val="17"/>
                <w:lang w:eastAsia="en-AU"/>
              </w:rPr>
            </w:pPr>
            <w:r w:rsidRPr="0090354C">
              <w:rPr>
                <w:rFonts w:ascii="Public Sans" w:hAnsi="Public Sans"/>
                <w:sz w:val="17"/>
                <w:szCs w:val="17"/>
              </w:rPr>
              <w:t>202</w:t>
            </w:r>
            <w:r w:rsidR="000A1780" w:rsidRPr="0090354C">
              <w:rPr>
                <w:rFonts w:ascii="Public Sans" w:hAnsi="Public Sans"/>
                <w:sz w:val="17"/>
                <w:szCs w:val="17"/>
              </w:rPr>
              <w:t>7</w:t>
            </w:r>
            <w:r w:rsidRPr="0090354C">
              <w:rPr>
                <w:rFonts w:ascii="Public Sans" w:hAnsi="Public Sans"/>
                <w:sz w:val="17"/>
                <w:szCs w:val="17"/>
              </w:rPr>
              <w:t>-2</w:t>
            </w:r>
            <w:r w:rsidR="000A1780" w:rsidRPr="0090354C">
              <w:rPr>
                <w:rFonts w:ascii="Public Sans" w:hAnsi="Public Sans"/>
                <w:sz w:val="17"/>
                <w:szCs w:val="17"/>
              </w:rPr>
              <w:t>8</w:t>
            </w:r>
          </w:p>
        </w:tc>
        <w:tc>
          <w:tcPr>
            <w:tcW w:w="1040" w:type="dxa"/>
            <w:shd w:val="clear" w:color="auto" w:fill="EBEBEB"/>
            <w:noWrap/>
            <w:vAlign w:val="bottom"/>
            <w:hideMark/>
          </w:tcPr>
          <w:p w14:paraId="1A21F75D" w14:textId="57FD10C4" w:rsidR="00EF550D" w:rsidRPr="0090354C" w:rsidRDefault="00EF550D">
            <w:pPr>
              <w:jc w:val="center"/>
              <w:rPr>
                <w:rFonts w:ascii="Public Sans" w:hAnsi="Public Sans" w:cs="Arial"/>
                <w:sz w:val="17"/>
                <w:szCs w:val="17"/>
                <w:lang w:eastAsia="en-AU"/>
              </w:rPr>
            </w:pPr>
            <w:r w:rsidRPr="0090354C">
              <w:rPr>
                <w:rFonts w:ascii="Public Sans" w:hAnsi="Public Sans" w:cs="Arial"/>
                <w:sz w:val="17"/>
                <w:szCs w:val="17"/>
                <w:lang w:eastAsia="en-AU"/>
              </w:rPr>
              <w:t>202</w:t>
            </w:r>
            <w:r w:rsidR="000A1780" w:rsidRPr="0090354C">
              <w:rPr>
                <w:rFonts w:ascii="Public Sans" w:hAnsi="Public Sans" w:cs="Arial"/>
                <w:sz w:val="17"/>
                <w:szCs w:val="17"/>
                <w:lang w:eastAsia="en-AU"/>
              </w:rPr>
              <w:t>8</w:t>
            </w:r>
            <w:r w:rsidRPr="0090354C">
              <w:rPr>
                <w:rFonts w:ascii="Public Sans" w:hAnsi="Public Sans" w:cs="Arial"/>
                <w:sz w:val="17"/>
                <w:szCs w:val="17"/>
                <w:lang w:eastAsia="en-AU"/>
              </w:rPr>
              <w:t>-2</w:t>
            </w:r>
            <w:r w:rsidR="000A1780" w:rsidRPr="0090354C">
              <w:rPr>
                <w:rFonts w:ascii="Public Sans" w:hAnsi="Public Sans" w:cs="Arial"/>
                <w:sz w:val="17"/>
                <w:szCs w:val="17"/>
                <w:lang w:eastAsia="en-AU"/>
              </w:rPr>
              <w:t>9</w:t>
            </w:r>
          </w:p>
        </w:tc>
      </w:tr>
      <w:tr w:rsidR="006C7FB3" w:rsidRPr="0090354C" w14:paraId="64FFF2E2" w14:textId="77777777">
        <w:trPr>
          <w:trHeight w:val="283"/>
        </w:trPr>
        <w:tc>
          <w:tcPr>
            <w:tcW w:w="3119" w:type="dxa"/>
            <w:shd w:val="clear" w:color="auto" w:fill="EBEBEB"/>
            <w:noWrap/>
          </w:tcPr>
          <w:p w14:paraId="1AAF44F2" w14:textId="77777777" w:rsidR="006C7FB3" w:rsidRPr="0090354C" w:rsidRDefault="006C7FB3">
            <w:pPr>
              <w:jc w:val="center"/>
              <w:rPr>
                <w:rFonts w:ascii="Public Sans" w:hAnsi="Public Sans" w:cs="Arial"/>
                <w:sz w:val="17"/>
                <w:szCs w:val="17"/>
                <w:lang w:eastAsia="en-AU"/>
              </w:rPr>
            </w:pPr>
          </w:p>
        </w:tc>
        <w:tc>
          <w:tcPr>
            <w:tcW w:w="1180" w:type="dxa"/>
            <w:shd w:val="clear" w:color="auto" w:fill="EBEBEB"/>
            <w:noWrap/>
            <w:vAlign w:val="bottom"/>
          </w:tcPr>
          <w:p w14:paraId="50F4C1A5" w14:textId="5F5D8299" w:rsidR="006C7FB3" w:rsidRPr="0090354C" w:rsidRDefault="006C7FB3">
            <w:pPr>
              <w:jc w:val="center"/>
              <w:rPr>
                <w:rFonts w:ascii="Public Sans" w:hAnsi="Public Sans"/>
                <w:sz w:val="17"/>
                <w:szCs w:val="17"/>
              </w:rPr>
            </w:pPr>
            <w:r w:rsidRPr="0090354C">
              <w:rPr>
                <w:rFonts w:ascii="Public Sans" w:hAnsi="Public Sans"/>
                <w:sz w:val="17"/>
                <w:szCs w:val="17"/>
              </w:rPr>
              <w:t>Outcome</w:t>
            </w:r>
          </w:p>
        </w:tc>
        <w:tc>
          <w:tcPr>
            <w:tcW w:w="1088" w:type="dxa"/>
            <w:shd w:val="clear" w:color="auto" w:fill="EBEBEB"/>
            <w:noWrap/>
            <w:vAlign w:val="bottom"/>
          </w:tcPr>
          <w:p w14:paraId="58B5A697" w14:textId="53ABCFAD" w:rsidR="006C7FB3" w:rsidRPr="0090354C" w:rsidRDefault="006C7FB3">
            <w:pPr>
              <w:jc w:val="center"/>
              <w:rPr>
                <w:rFonts w:ascii="Public Sans" w:hAnsi="Public Sans"/>
                <w:sz w:val="17"/>
                <w:szCs w:val="17"/>
              </w:rPr>
            </w:pPr>
            <w:r w:rsidRPr="0090354C">
              <w:rPr>
                <w:rFonts w:ascii="Public Sans" w:hAnsi="Public Sans"/>
                <w:sz w:val="17"/>
                <w:szCs w:val="17"/>
              </w:rPr>
              <w:t>Forecast</w:t>
            </w:r>
          </w:p>
        </w:tc>
        <w:tc>
          <w:tcPr>
            <w:tcW w:w="1133" w:type="dxa"/>
            <w:shd w:val="clear" w:color="auto" w:fill="EBEBEB"/>
            <w:noWrap/>
            <w:vAlign w:val="bottom"/>
          </w:tcPr>
          <w:p w14:paraId="4BC4CBEA" w14:textId="58A07ACB" w:rsidR="006C7FB3" w:rsidRPr="0090354C" w:rsidRDefault="006C7FB3">
            <w:pPr>
              <w:jc w:val="center"/>
              <w:rPr>
                <w:rFonts w:ascii="Public Sans" w:hAnsi="Public Sans"/>
                <w:sz w:val="17"/>
                <w:szCs w:val="17"/>
              </w:rPr>
            </w:pPr>
            <w:r w:rsidRPr="0090354C">
              <w:rPr>
                <w:rFonts w:ascii="Public Sans" w:hAnsi="Public Sans"/>
                <w:sz w:val="17"/>
                <w:szCs w:val="17"/>
              </w:rPr>
              <w:t>Forecast</w:t>
            </w:r>
          </w:p>
        </w:tc>
        <w:tc>
          <w:tcPr>
            <w:tcW w:w="1039" w:type="dxa"/>
            <w:shd w:val="clear" w:color="auto" w:fill="EBEBEB"/>
            <w:noWrap/>
            <w:vAlign w:val="bottom"/>
          </w:tcPr>
          <w:p w14:paraId="57CFC0C6" w14:textId="1591434F" w:rsidR="006C7FB3" w:rsidRPr="0090354C" w:rsidRDefault="006C7FB3">
            <w:pPr>
              <w:jc w:val="center"/>
              <w:rPr>
                <w:rFonts w:ascii="Public Sans" w:hAnsi="Public Sans"/>
                <w:sz w:val="17"/>
                <w:szCs w:val="17"/>
              </w:rPr>
            </w:pPr>
            <w:r w:rsidRPr="0090354C">
              <w:rPr>
                <w:rFonts w:ascii="Public Sans" w:hAnsi="Public Sans"/>
                <w:sz w:val="17"/>
                <w:szCs w:val="17"/>
              </w:rPr>
              <w:t>Forecast</w:t>
            </w:r>
          </w:p>
        </w:tc>
        <w:tc>
          <w:tcPr>
            <w:tcW w:w="1039" w:type="dxa"/>
            <w:shd w:val="clear" w:color="auto" w:fill="EBEBEB"/>
            <w:noWrap/>
            <w:vAlign w:val="bottom"/>
          </w:tcPr>
          <w:p w14:paraId="582353EE" w14:textId="72570101" w:rsidR="006C7FB3" w:rsidRPr="0090354C" w:rsidRDefault="006C7FB3">
            <w:pPr>
              <w:jc w:val="center"/>
              <w:rPr>
                <w:rFonts w:ascii="Public Sans" w:hAnsi="Public Sans"/>
                <w:sz w:val="17"/>
                <w:szCs w:val="17"/>
              </w:rPr>
            </w:pPr>
            <w:r w:rsidRPr="0090354C">
              <w:rPr>
                <w:rFonts w:ascii="Public Sans" w:hAnsi="Public Sans"/>
                <w:sz w:val="17"/>
                <w:szCs w:val="17"/>
              </w:rPr>
              <w:t>Forecast</w:t>
            </w:r>
          </w:p>
        </w:tc>
        <w:tc>
          <w:tcPr>
            <w:tcW w:w="1040" w:type="dxa"/>
            <w:shd w:val="clear" w:color="auto" w:fill="EBEBEB"/>
            <w:noWrap/>
            <w:vAlign w:val="bottom"/>
          </w:tcPr>
          <w:p w14:paraId="5E57AFCB" w14:textId="4B084F8D" w:rsidR="006C7FB3" w:rsidRPr="0090354C" w:rsidRDefault="006C7FB3">
            <w:pPr>
              <w:jc w:val="center"/>
              <w:rPr>
                <w:rFonts w:ascii="Public Sans" w:hAnsi="Public Sans" w:cs="Arial"/>
                <w:sz w:val="17"/>
                <w:szCs w:val="17"/>
                <w:lang w:eastAsia="en-AU"/>
              </w:rPr>
            </w:pPr>
            <w:r w:rsidRPr="0090354C">
              <w:rPr>
                <w:rFonts w:ascii="Public Sans" w:hAnsi="Public Sans" w:cs="Arial"/>
                <w:sz w:val="17"/>
                <w:szCs w:val="17"/>
                <w:lang w:eastAsia="en-AU"/>
              </w:rPr>
              <w:t>Forecast</w:t>
            </w:r>
          </w:p>
        </w:tc>
      </w:tr>
      <w:tr w:rsidR="00EF550D" w:rsidRPr="0090354C" w14:paraId="4BE624A7" w14:textId="77777777" w:rsidTr="06EEDF4D">
        <w:trPr>
          <w:trHeight w:val="270"/>
        </w:trPr>
        <w:tc>
          <w:tcPr>
            <w:tcW w:w="3119" w:type="dxa"/>
            <w:tcBorders>
              <w:left w:val="nil"/>
              <w:bottom w:val="nil"/>
              <w:right w:val="nil"/>
            </w:tcBorders>
            <w:shd w:val="clear" w:color="auto" w:fill="FFFFFF" w:themeFill="text2"/>
            <w:noWrap/>
            <w:vAlign w:val="bottom"/>
            <w:hideMark/>
          </w:tcPr>
          <w:p w14:paraId="6C3D9997" w14:textId="0E57CE0F" w:rsidR="00EF550D" w:rsidRPr="0090354C" w:rsidRDefault="007D47E8">
            <w:pPr>
              <w:rPr>
                <w:rFonts w:ascii="Public Sans" w:hAnsi="Public Sans" w:cs="Arial"/>
                <w:color w:val="000000"/>
                <w:sz w:val="16"/>
                <w:szCs w:val="16"/>
                <w:lang w:eastAsia="en-AU"/>
              </w:rPr>
            </w:pPr>
            <w:r w:rsidRPr="0090354C">
              <w:rPr>
                <w:rFonts w:ascii="Public Sans" w:hAnsi="Public Sans" w:cs="Arial"/>
                <w:color w:val="000000" w:themeColor="text1"/>
                <w:sz w:val="16"/>
                <w:szCs w:val="16"/>
                <w:lang w:eastAsia="en-AU"/>
              </w:rPr>
              <w:t>Real g</w:t>
            </w:r>
            <w:r w:rsidR="00DA703D" w:rsidRPr="0090354C">
              <w:rPr>
                <w:rFonts w:ascii="Public Sans" w:hAnsi="Public Sans" w:cs="Arial"/>
                <w:color w:val="000000" w:themeColor="text1"/>
                <w:sz w:val="16"/>
                <w:szCs w:val="16"/>
                <w:lang w:eastAsia="en-AU"/>
              </w:rPr>
              <w:t xml:space="preserve">ross </w:t>
            </w:r>
            <w:r w:rsidRPr="0090354C">
              <w:rPr>
                <w:rFonts w:ascii="Public Sans" w:hAnsi="Public Sans" w:cs="Arial"/>
                <w:color w:val="000000" w:themeColor="text1"/>
                <w:sz w:val="16"/>
                <w:szCs w:val="16"/>
                <w:lang w:eastAsia="en-AU"/>
              </w:rPr>
              <w:t>s</w:t>
            </w:r>
            <w:r w:rsidR="00DA703D" w:rsidRPr="0090354C">
              <w:rPr>
                <w:rFonts w:ascii="Public Sans" w:hAnsi="Public Sans" w:cs="Arial"/>
                <w:color w:val="000000" w:themeColor="text1"/>
                <w:sz w:val="16"/>
                <w:szCs w:val="16"/>
                <w:lang w:eastAsia="en-AU"/>
              </w:rPr>
              <w:t xml:space="preserve">tate </w:t>
            </w:r>
            <w:r w:rsidRPr="0090354C">
              <w:rPr>
                <w:rFonts w:ascii="Public Sans" w:hAnsi="Public Sans" w:cs="Arial"/>
                <w:color w:val="000000" w:themeColor="text1"/>
                <w:sz w:val="16"/>
                <w:szCs w:val="16"/>
                <w:lang w:eastAsia="en-AU"/>
              </w:rPr>
              <w:t>p</w:t>
            </w:r>
            <w:r w:rsidR="00DA703D" w:rsidRPr="0090354C">
              <w:rPr>
                <w:rFonts w:ascii="Public Sans" w:hAnsi="Public Sans" w:cs="Arial"/>
                <w:color w:val="000000" w:themeColor="text1"/>
                <w:sz w:val="16"/>
                <w:szCs w:val="16"/>
                <w:lang w:eastAsia="en-AU"/>
              </w:rPr>
              <w:t>roduct</w:t>
            </w:r>
          </w:p>
        </w:tc>
        <w:tc>
          <w:tcPr>
            <w:tcW w:w="1180" w:type="dxa"/>
            <w:tcBorders>
              <w:left w:val="nil"/>
              <w:bottom w:val="nil"/>
              <w:right w:val="nil"/>
            </w:tcBorders>
            <w:shd w:val="clear" w:color="auto" w:fill="FFFFFF" w:themeFill="text2"/>
            <w:noWrap/>
            <w:vAlign w:val="center"/>
          </w:tcPr>
          <w:p w14:paraId="123A2786" w14:textId="490A8B97" w:rsidR="00EF550D" w:rsidRPr="0090354C" w:rsidRDefault="0019157A" w:rsidP="00FE4E2B">
            <w:pPr>
              <w:ind w:left="-389" w:right="331"/>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w:t>
            </w:r>
          </w:p>
        </w:tc>
        <w:tc>
          <w:tcPr>
            <w:tcW w:w="1088" w:type="dxa"/>
            <w:tcBorders>
              <w:left w:val="nil"/>
              <w:bottom w:val="nil"/>
              <w:right w:val="nil"/>
            </w:tcBorders>
            <w:noWrap/>
            <w:vAlign w:val="center"/>
          </w:tcPr>
          <w:p w14:paraId="5C0B0849" w14:textId="3F180D09" w:rsidR="00EF550D" w:rsidRPr="0090354C" w:rsidRDefault="0019157A"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1¾ (¾)</w:t>
            </w:r>
          </w:p>
        </w:tc>
        <w:tc>
          <w:tcPr>
            <w:tcW w:w="1133" w:type="dxa"/>
            <w:tcBorders>
              <w:left w:val="nil"/>
              <w:bottom w:val="nil"/>
              <w:right w:val="nil"/>
            </w:tcBorders>
            <w:noWrap/>
            <w:vAlign w:val="center"/>
          </w:tcPr>
          <w:p w14:paraId="2E49B2BC" w14:textId="5E4A846D" w:rsidR="00EF550D" w:rsidRPr="0090354C" w:rsidRDefault="00F00214"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1¾ (2½)</w:t>
            </w:r>
          </w:p>
        </w:tc>
        <w:tc>
          <w:tcPr>
            <w:tcW w:w="1039" w:type="dxa"/>
            <w:tcBorders>
              <w:left w:val="nil"/>
              <w:bottom w:val="nil"/>
              <w:right w:val="nil"/>
            </w:tcBorders>
            <w:noWrap/>
            <w:vAlign w:val="center"/>
          </w:tcPr>
          <w:p w14:paraId="5C5AA472" w14:textId="18B8F6AD" w:rsidR="00EF550D" w:rsidRPr="0090354C" w:rsidRDefault="00684C3C"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2 ¼</w:t>
            </w:r>
          </w:p>
        </w:tc>
        <w:tc>
          <w:tcPr>
            <w:tcW w:w="1039" w:type="dxa"/>
            <w:tcBorders>
              <w:left w:val="nil"/>
              <w:bottom w:val="nil"/>
              <w:right w:val="nil"/>
            </w:tcBorders>
            <w:noWrap/>
            <w:vAlign w:val="center"/>
          </w:tcPr>
          <w:p w14:paraId="1C639490" w14:textId="62D1E293" w:rsidR="00EF550D" w:rsidRPr="0090354C" w:rsidRDefault="00684C3C"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2 (2¼)</w:t>
            </w:r>
          </w:p>
        </w:tc>
        <w:tc>
          <w:tcPr>
            <w:tcW w:w="1040" w:type="dxa"/>
            <w:tcBorders>
              <w:left w:val="nil"/>
              <w:bottom w:val="nil"/>
              <w:right w:val="nil"/>
            </w:tcBorders>
            <w:noWrap/>
            <w:vAlign w:val="center"/>
          </w:tcPr>
          <w:p w14:paraId="33472869" w14:textId="28EE0908" w:rsidR="00EF550D" w:rsidRPr="0090354C" w:rsidRDefault="00131F9E"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2</w:t>
            </w:r>
          </w:p>
        </w:tc>
      </w:tr>
      <w:tr w:rsidR="00EF550D" w:rsidRPr="0090354C" w14:paraId="7E8FA93A" w14:textId="77777777" w:rsidTr="06EEDF4D">
        <w:trPr>
          <w:trHeight w:val="270"/>
        </w:trPr>
        <w:tc>
          <w:tcPr>
            <w:tcW w:w="3119" w:type="dxa"/>
            <w:tcBorders>
              <w:top w:val="nil"/>
              <w:left w:val="nil"/>
              <w:bottom w:val="nil"/>
              <w:right w:val="nil"/>
            </w:tcBorders>
            <w:shd w:val="clear" w:color="auto" w:fill="FFFFFF" w:themeFill="text2"/>
            <w:noWrap/>
            <w:vAlign w:val="bottom"/>
            <w:hideMark/>
          </w:tcPr>
          <w:p w14:paraId="2131AFDB" w14:textId="43075C50" w:rsidR="00EF550D" w:rsidRPr="0090354C" w:rsidRDefault="007D47E8">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Sydney consumer price index</w:t>
            </w:r>
          </w:p>
        </w:tc>
        <w:tc>
          <w:tcPr>
            <w:tcW w:w="1180" w:type="dxa"/>
            <w:tcBorders>
              <w:top w:val="nil"/>
              <w:left w:val="nil"/>
              <w:bottom w:val="nil"/>
              <w:right w:val="nil"/>
            </w:tcBorders>
            <w:shd w:val="clear" w:color="auto" w:fill="FFFFFF" w:themeFill="text2"/>
            <w:noWrap/>
            <w:vAlign w:val="center"/>
          </w:tcPr>
          <w:p w14:paraId="0A341604" w14:textId="1709B270" w:rsidR="00EF550D" w:rsidRPr="0090354C" w:rsidRDefault="00131F9E" w:rsidP="00FE4E2B">
            <w:pPr>
              <w:ind w:left="-389" w:right="331"/>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4.</w:t>
            </w:r>
            <w:r w:rsidR="00FC7BE4" w:rsidRPr="0090354C">
              <w:rPr>
                <w:rFonts w:ascii="Public Sans" w:hAnsi="Public Sans" w:cs="Arial"/>
                <w:color w:val="000000"/>
                <w:sz w:val="16"/>
                <w:szCs w:val="16"/>
                <w:lang w:eastAsia="en-AU"/>
              </w:rPr>
              <w:t>3</w:t>
            </w:r>
          </w:p>
        </w:tc>
        <w:tc>
          <w:tcPr>
            <w:tcW w:w="1088" w:type="dxa"/>
            <w:tcBorders>
              <w:top w:val="nil"/>
              <w:left w:val="nil"/>
              <w:bottom w:val="nil"/>
              <w:right w:val="nil"/>
            </w:tcBorders>
            <w:noWrap/>
            <w:vAlign w:val="center"/>
          </w:tcPr>
          <w:p w14:paraId="0B3D5D71" w14:textId="650F2A35" w:rsidR="00EF550D" w:rsidRPr="0090354C" w:rsidRDefault="00FC7BE4"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2½ (3)</w:t>
            </w:r>
          </w:p>
        </w:tc>
        <w:tc>
          <w:tcPr>
            <w:tcW w:w="1133" w:type="dxa"/>
            <w:tcBorders>
              <w:top w:val="nil"/>
              <w:left w:val="nil"/>
              <w:bottom w:val="nil"/>
              <w:right w:val="nil"/>
            </w:tcBorders>
            <w:noWrap/>
            <w:vAlign w:val="center"/>
          </w:tcPr>
          <w:p w14:paraId="4C365E30" w14:textId="6D530DB8" w:rsidR="00EF550D" w:rsidRPr="0090354C" w:rsidRDefault="00827E57"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3</w:t>
            </w:r>
          </w:p>
        </w:tc>
        <w:tc>
          <w:tcPr>
            <w:tcW w:w="1039" w:type="dxa"/>
            <w:tcBorders>
              <w:top w:val="nil"/>
              <w:left w:val="nil"/>
              <w:bottom w:val="nil"/>
              <w:right w:val="nil"/>
            </w:tcBorders>
            <w:noWrap/>
            <w:vAlign w:val="center"/>
          </w:tcPr>
          <w:p w14:paraId="5CC842BC" w14:textId="55054137" w:rsidR="00EF550D" w:rsidRPr="0090354C" w:rsidRDefault="00827E57"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2½</w:t>
            </w:r>
          </w:p>
        </w:tc>
        <w:tc>
          <w:tcPr>
            <w:tcW w:w="1039" w:type="dxa"/>
            <w:tcBorders>
              <w:top w:val="nil"/>
              <w:left w:val="nil"/>
              <w:bottom w:val="nil"/>
              <w:right w:val="nil"/>
            </w:tcBorders>
            <w:noWrap/>
            <w:vAlign w:val="center"/>
          </w:tcPr>
          <w:p w14:paraId="09B50456" w14:textId="37732A66" w:rsidR="00EF550D" w:rsidRPr="0090354C" w:rsidRDefault="00827E57"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2½</w:t>
            </w:r>
          </w:p>
        </w:tc>
        <w:tc>
          <w:tcPr>
            <w:tcW w:w="1040" w:type="dxa"/>
            <w:tcBorders>
              <w:top w:val="nil"/>
              <w:left w:val="nil"/>
              <w:bottom w:val="nil"/>
              <w:right w:val="nil"/>
            </w:tcBorders>
            <w:noWrap/>
            <w:vAlign w:val="center"/>
          </w:tcPr>
          <w:p w14:paraId="00740926" w14:textId="582E4FB0" w:rsidR="00EF550D" w:rsidRPr="0090354C" w:rsidRDefault="00131F9E"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2½</w:t>
            </w:r>
          </w:p>
        </w:tc>
      </w:tr>
      <w:tr w:rsidR="00EF550D" w:rsidRPr="0090354C" w14:paraId="1C9426F1" w14:textId="77777777" w:rsidTr="06EEDF4D">
        <w:trPr>
          <w:trHeight w:val="272"/>
        </w:trPr>
        <w:tc>
          <w:tcPr>
            <w:tcW w:w="3119" w:type="dxa"/>
            <w:tcBorders>
              <w:top w:val="nil"/>
              <w:left w:val="nil"/>
              <w:bottom w:val="nil"/>
              <w:right w:val="nil"/>
            </w:tcBorders>
            <w:shd w:val="clear" w:color="auto" w:fill="FFFFFF" w:themeFill="text2"/>
            <w:noWrap/>
            <w:vAlign w:val="bottom"/>
          </w:tcPr>
          <w:p w14:paraId="19EAD3FE" w14:textId="043EAF6D" w:rsidR="00EF550D" w:rsidRPr="0090354C" w:rsidRDefault="002737FA">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Unemployment rate</w:t>
            </w:r>
            <w:r w:rsidR="00321338" w:rsidRPr="0090354C">
              <w:rPr>
                <w:rFonts w:ascii="Public Sans" w:hAnsi="Public Sans" w:cs="Arial"/>
                <w:color w:val="000000"/>
                <w:sz w:val="16"/>
                <w:szCs w:val="16"/>
                <w:vertAlign w:val="superscript"/>
                <w:lang w:eastAsia="en-AU"/>
              </w:rPr>
              <w:t>(b)</w:t>
            </w:r>
          </w:p>
        </w:tc>
        <w:tc>
          <w:tcPr>
            <w:tcW w:w="1180" w:type="dxa"/>
            <w:tcBorders>
              <w:top w:val="nil"/>
              <w:left w:val="nil"/>
              <w:bottom w:val="nil"/>
              <w:right w:val="nil"/>
            </w:tcBorders>
            <w:shd w:val="clear" w:color="auto" w:fill="FFFFFF" w:themeFill="text2"/>
            <w:noWrap/>
            <w:vAlign w:val="center"/>
          </w:tcPr>
          <w:p w14:paraId="60D363EE" w14:textId="2AC2C69E" w:rsidR="00EF550D" w:rsidRPr="0090354C" w:rsidRDefault="008174B9" w:rsidP="00FE4E2B">
            <w:pPr>
              <w:ind w:left="-389" w:right="331"/>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3.9</w:t>
            </w:r>
          </w:p>
        </w:tc>
        <w:tc>
          <w:tcPr>
            <w:tcW w:w="1088" w:type="dxa"/>
            <w:tcBorders>
              <w:top w:val="nil"/>
              <w:left w:val="nil"/>
              <w:bottom w:val="nil"/>
              <w:right w:val="nil"/>
            </w:tcBorders>
            <w:noWrap/>
            <w:vAlign w:val="center"/>
          </w:tcPr>
          <w:p w14:paraId="28AD8531" w14:textId="0ADC0D9D" w:rsidR="00EF550D" w:rsidRPr="0090354C" w:rsidRDefault="008174B9"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4 (4½)</w:t>
            </w:r>
          </w:p>
        </w:tc>
        <w:tc>
          <w:tcPr>
            <w:tcW w:w="1133" w:type="dxa"/>
            <w:tcBorders>
              <w:top w:val="nil"/>
              <w:left w:val="nil"/>
              <w:bottom w:val="nil"/>
              <w:right w:val="nil"/>
            </w:tcBorders>
            <w:noWrap/>
            <w:vAlign w:val="center"/>
          </w:tcPr>
          <w:p w14:paraId="23DB7993" w14:textId="515D86F9" w:rsidR="00EF550D" w:rsidRPr="0090354C" w:rsidRDefault="008174B9"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4¼ (4 ½)</w:t>
            </w:r>
          </w:p>
        </w:tc>
        <w:tc>
          <w:tcPr>
            <w:tcW w:w="1039" w:type="dxa"/>
            <w:tcBorders>
              <w:top w:val="nil"/>
              <w:left w:val="nil"/>
              <w:bottom w:val="nil"/>
              <w:right w:val="nil"/>
            </w:tcBorders>
            <w:noWrap/>
            <w:vAlign w:val="center"/>
          </w:tcPr>
          <w:p w14:paraId="35D3CEE6" w14:textId="4F6521FA" w:rsidR="00EF550D" w:rsidRPr="0090354C" w:rsidRDefault="002B42A9"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4</w:t>
            </w:r>
            <w:r w:rsidR="00230D6F" w:rsidRPr="0090354C">
              <w:rPr>
                <w:rFonts w:ascii="Public Sans" w:hAnsi="Public Sans" w:cs="Arial"/>
                <w:color w:val="000000"/>
                <w:sz w:val="16"/>
                <w:szCs w:val="16"/>
                <w:lang w:eastAsia="en-AU"/>
              </w:rPr>
              <w:t xml:space="preserve">¼ </w:t>
            </w:r>
          </w:p>
        </w:tc>
        <w:tc>
          <w:tcPr>
            <w:tcW w:w="1039" w:type="dxa"/>
            <w:tcBorders>
              <w:top w:val="nil"/>
              <w:left w:val="nil"/>
              <w:bottom w:val="nil"/>
              <w:right w:val="nil"/>
            </w:tcBorders>
            <w:noWrap/>
            <w:vAlign w:val="center"/>
          </w:tcPr>
          <w:p w14:paraId="19B526DF" w14:textId="5D457E64" w:rsidR="00EF550D" w:rsidRPr="0090354C" w:rsidRDefault="002B42A9"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4</w:t>
            </w:r>
          </w:p>
        </w:tc>
        <w:tc>
          <w:tcPr>
            <w:tcW w:w="1040" w:type="dxa"/>
            <w:tcBorders>
              <w:top w:val="nil"/>
              <w:left w:val="nil"/>
              <w:bottom w:val="nil"/>
              <w:right w:val="nil"/>
            </w:tcBorders>
            <w:noWrap/>
            <w:vAlign w:val="center"/>
          </w:tcPr>
          <w:p w14:paraId="55A10044" w14:textId="4E0EB591" w:rsidR="00EF550D" w:rsidRPr="0090354C" w:rsidRDefault="00131F9E" w:rsidP="006C0086">
            <w:pPr>
              <w:jc w:val="center"/>
              <w:rPr>
                <w:rFonts w:ascii="Public Sans" w:hAnsi="Public Sans" w:cs="Arial"/>
                <w:color w:val="000000"/>
                <w:sz w:val="16"/>
                <w:szCs w:val="16"/>
                <w:lang w:eastAsia="en-AU"/>
              </w:rPr>
            </w:pPr>
            <w:r w:rsidRPr="0090354C">
              <w:rPr>
                <w:rFonts w:ascii="Public Sans" w:hAnsi="Public Sans" w:cs="Arial"/>
                <w:color w:val="000000"/>
                <w:sz w:val="16"/>
                <w:szCs w:val="16"/>
                <w:lang w:eastAsia="en-AU"/>
              </w:rPr>
              <w:t>4</w:t>
            </w:r>
          </w:p>
        </w:tc>
      </w:tr>
      <w:tr w:rsidR="00EF550D" w:rsidRPr="0090354C" w14:paraId="349C238F" w14:textId="77777777" w:rsidTr="06EEDF4D">
        <w:trPr>
          <w:trHeight w:val="75"/>
        </w:trPr>
        <w:tc>
          <w:tcPr>
            <w:tcW w:w="3119" w:type="dxa"/>
            <w:tcBorders>
              <w:top w:val="nil"/>
              <w:left w:val="nil"/>
              <w:bottom w:val="single" w:sz="4" w:space="0" w:color="auto"/>
              <w:right w:val="nil"/>
            </w:tcBorders>
            <w:shd w:val="clear" w:color="auto" w:fill="FFFFFF" w:themeFill="text2"/>
            <w:noWrap/>
            <w:vAlign w:val="bottom"/>
            <w:hideMark/>
          </w:tcPr>
          <w:p w14:paraId="71970AED" w14:textId="77777777" w:rsidR="00EF550D" w:rsidRPr="0090354C" w:rsidRDefault="00EF550D">
            <w:pPr>
              <w:rPr>
                <w:rFonts w:ascii="Public Sans" w:hAnsi="Public Sans" w:cs="Arial"/>
                <w:color w:val="000000"/>
                <w:sz w:val="6"/>
                <w:szCs w:val="6"/>
                <w:lang w:eastAsia="en-AU"/>
              </w:rPr>
            </w:pPr>
            <w:r w:rsidRPr="0090354C">
              <w:rPr>
                <w:rFonts w:ascii="Public Sans" w:hAnsi="Public Sans" w:cs="Arial"/>
                <w:color w:val="000000"/>
                <w:sz w:val="6"/>
                <w:szCs w:val="6"/>
                <w:lang w:eastAsia="en-AU"/>
              </w:rPr>
              <w:t> </w:t>
            </w:r>
          </w:p>
        </w:tc>
        <w:tc>
          <w:tcPr>
            <w:tcW w:w="1180" w:type="dxa"/>
            <w:tcBorders>
              <w:top w:val="nil"/>
              <w:left w:val="nil"/>
              <w:bottom w:val="single" w:sz="4" w:space="0" w:color="auto"/>
              <w:right w:val="nil"/>
            </w:tcBorders>
            <w:shd w:val="clear" w:color="auto" w:fill="FFFFFF" w:themeFill="text2"/>
            <w:noWrap/>
            <w:vAlign w:val="bottom"/>
          </w:tcPr>
          <w:p w14:paraId="4A8B2B8B" w14:textId="77777777" w:rsidR="00EF550D" w:rsidRPr="0090354C" w:rsidRDefault="00EF550D">
            <w:pPr>
              <w:rPr>
                <w:rFonts w:ascii="Public Sans" w:hAnsi="Public Sans" w:cs="Arial"/>
                <w:color w:val="000000"/>
                <w:sz w:val="6"/>
                <w:szCs w:val="6"/>
                <w:lang w:eastAsia="en-AU"/>
              </w:rPr>
            </w:pPr>
          </w:p>
        </w:tc>
        <w:tc>
          <w:tcPr>
            <w:tcW w:w="1088" w:type="dxa"/>
            <w:tcBorders>
              <w:top w:val="nil"/>
              <w:left w:val="nil"/>
              <w:bottom w:val="single" w:sz="4" w:space="0" w:color="auto"/>
              <w:right w:val="nil"/>
            </w:tcBorders>
            <w:noWrap/>
            <w:vAlign w:val="center"/>
          </w:tcPr>
          <w:p w14:paraId="581260AA" w14:textId="77777777" w:rsidR="00EF550D" w:rsidRPr="0090354C" w:rsidRDefault="00EF550D">
            <w:pPr>
              <w:ind w:firstLineChars="100" w:firstLine="60"/>
              <w:jc w:val="right"/>
              <w:rPr>
                <w:rFonts w:ascii="Public Sans" w:hAnsi="Public Sans" w:cs="Arial"/>
                <w:sz w:val="6"/>
                <w:szCs w:val="6"/>
                <w:lang w:eastAsia="en-AU"/>
              </w:rPr>
            </w:pPr>
          </w:p>
        </w:tc>
        <w:tc>
          <w:tcPr>
            <w:tcW w:w="1133" w:type="dxa"/>
            <w:tcBorders>
              <w:top w:val="nil"/>
              <w:left w:val="nil"/>
              <w:bottom w:val="single" w:sz="4" w:space="0" w:color="auto"/>
              <w:right w:val="nil"/>
            </w:tcBorders>
            <w:noWrap/>
            <w:vAlign w:val="center"/>
          </w:tcPr>
          <w:p w14:paraId="54134C8C" w14:textId="77777777" w:rsidR="00EF550D" w:rsidRPr="0090354C" w:rsidRDefault="00EF550D">
            <w:pPr>
              <w:ind w:firstLineChars="100" w:firstLine="60"/>
              <w:jc w:val="right"/>
              <w:rPr>
                <w:rFonts w:ascii="Public Sans" w:hAnsi="Public Sans" w:cs="Arial"/>
                <w:sz w:val="6"/>
                <w:szCs w:val="6"/>
                <w:lang w:eastAsia="en-AU"/>
              </w:rPr>
            </w:pPr>
          </w:p>
        </w:tc>
        <w:tc>
          <w:tcPr>
            <w:tcW w:w="1039" w:type="dxa"/>
            <w:tcBorders>
              <w:top w:val="nil"/>
              <w:left w:val="nil"/>
              <w:bottom w:val="single" w:sz="4" w:space="0" w:color="auto"/>
              <w:right w:val="nil"/>
            </w:tcBorders>
            <w:noWrap/>
            <w:vAlign w:val="center"/>
          </w:tcPr>
          <w:p w14:paraId="036C7B31" w14:textId="77777777" w:rsidR="00EF550D" w:rsidRPr="0090354C" w:rsidRDefault="00EF550D">
            <w:pPr>
              <w:ind w:firstLineChars="100" w:firstLine="60"/>
              <w:jc w:val="right"/>
              <w:rPr>
                <w:rFonts w:ascii="Public Sans" w:hAnsi="Public Sans" w:cs="Arial"/>
                <w:sz w:val="6"/>
                <w:szCs w:val="6"/>
                <w:lang w:eastAsia="en-AU"/>
              </w:rPr>
            </w:pPr>
          </w:p>
        </w:tc>
        <w:tc>
          <w:tcPr>
            <w:tcW w:w="1039" w:type="dxa"/>
            <w:tcBorders>
              <w:top w:val="nil"/>
              <w:left w:val="nil"/>
              <w:bottom w:val="single" w:sz="4" w:space="0" w:color="auto"/>
              <w:right w:val="nil"/>
            </w:tcBorders>
            <w:noWrap/>
            <w:vAlign w:val="center"/>
          </w:tcPr>
          <w:p w14:paraId="73BEC297" w14:textId="77777777" w:rsidR="00EF550D" w:rsidRPr="0090354C" w:rsidRDefault="00EF550D">
            <w:pPr>
              <w:ind w:firstLineChars="100" w:firstLine="60"/>
              <w:jc w:val="right"/>
              <w:rPr>
                <w:rFonts w:ascii="Public Sans" w:hAnsi="Public Sans" w:cs="Arial"/>
                <w:sz w:val="6"/>
                <w:szCs w:val="6"/>
                <w:lang w:eastAsia="en-AU"/>
              </w:rPr>
            </w:pPr>
          </w:p>
        </w:tc>
        <w:tc>
          <w:tcPr>
            <w:tcW w:w="1040" w:type="dxa"/>
            <w:tcBorders>
              <w:top w:val="nil"/>
              <w:left w:val="nil"/>
              <w:bottom w:val="single" w:sz="4" w:space="0" w:color="auto"/>
              <w:right w:val="nil"/>
            </w:tcBorders>
            <w:noWrap/>
            <w:vAlign w:val="center"/>
          </w:tcPr>
          <w:p w14:paraId="783C191B" w14:textId="77777777" w:rsidR="00EF550D" w:rsidRPr="0090354C" w:rsidRDefault="00EF550D">
            <w:pPr>
              <w:ind w:firstLineChars="100" w:firstLine="60"/>
              <w:jc w:val="right"/>
              <w:rPr>
                <w:rFonts w:ascii="Public Sans" w:hAnsi="Public Sans" w:cs="Arial"/>
                <w:sz w:val="6"/>
                <w:szCs w:val="6"/>
                <w:lang w:eastAsia="en-AU"/>
              </w:rPr>
            </w:pPr>
          </w:p>
        </w:tc>
      </w:tr>
    </w:tbl>
    <w:p w14:paraId="5AF503FA" w14:textId="77777777" w:rsidR="00833192" w:rsidRPr="0090354C" w:rsidRDefault="00833192" w:rsidP="00833192">
      <w:pPr>
        <w:rPr>
          <w:rFonts w:ascii="Public Sans" w:hAnsi="Public Sans"/>
          <w:sz w:val="6"/>
          <w:szCs w:val="6"/>
          <w:lang w:eastAsia="en-AU"/>
        </w:rPr>
      </w:pPr>
    </w:p>
    <w:p w14:paraId="52228B07" w14:textId="55ABB224" w:rsidR="00F14EDB" w:rsidRPr="0090354C" w:rsidRDefault="00F87F0A" w:rsidP="00D249DC">
      <w:pPr>
        <w:pStyle w:val="Footnotestyle"/>
        <w:numPr>
          <w:ilvl w:val="0"/>
          <w:numId w:val="98"/>
        </w:numPr>
        <w:spacing w:before="0" w:after="0"/>
        <w:ind w:left="357" w:hanging="357"/>
        <w:rPr>
          <w:lang w:eastAsia="en-AU"/>
        </w:rPr>
      </w:pPr>
      <w:r w:rsidRPr="0090354C">
        <w:rPr>
          <w:lang w:eastAsia="en-AU"/>
        </w:rPr>
        <w:t>Forecasts are rounded to the nearest quarter point and are annual average per cent change</w:t>
      </w:r>
      <w:r w:rsidR="002C71D6" w:rsidRPr="0090354C">
        <w:rPr>
          <w:lang w:eastAsia="en-AU"/>
        </w:rPr>
        <w:t>, unless otherwise indicated</w:t>
      </w:r>
      <w:r w:rsidR="00CE78C7" w:rsidRPr="0090354C">
        <w:rPr>
          <w:lang w:eastAsia="en-AU"/>
        </w:rPr>
        <w:t>. 202</w:t>
      </w:r>
      <w:r w:rsidR="00F52F0D" w:rsidRPr="0090354C">
        <w:rPr>
          <w:lang w:eastAsia="en-AU"/>
        </w:rPr>
        <w:t>4-25 Half-Yearly Review forecasts in parentheses where different.</w:t>
      </w:r>
      <w:r w:rsidR="00F14EDB" w:rsidRPr="0090354C">
        <w:rPr>
          <w:lang w:eastAsia="en-AU"/>
        </w:rPr>
        <w:t xml:space="preserve"> </w:t>
      </w:r>
    </w:p>
    <w:p w14:paraId="123C7066" w14:textId="77777777" w:rsidR="00F14EDB" w:rsidRPr="0090354C" w:rsidRDefault="00F14EDB" w:rsidP="00D249DC">
      <w:pPr>
        <w:pStyle w:val="Footnotestyle"/>
        <w:numPr>
          <w:ilvl w:val="0"/>
          <w:numId w:val="98"/>
        </w:numPr>
        <w:spacing w:before="0" w:after="0"/>
        <w:ind w:left="357" w:hanging="357"/>
        <w:rPr>
          <w:lang w:eastAsia="en-AU"/>
        </w:rPr>
      </w:pPr>
      <w:r w:rsidRPr="0090354C">
        <w:rPr>
          <w:lang w:eastAsia="en-AU"/>
        </w:rPr>
        <w:t>June quarter, per cent.</w:t>
      </w:r>
      <w:r w:rsidRPr="0090354C">
        <w:rPr>
          <w:rFonts w:ascii="Times New Roman" w:hAnsi="Times New Roman"/>
          <w:lang w:eastAsia="en-AU"/>
        </w:rPr>
        <w:t> </w:t>
      </w:r>
      <w:r w:rsidRPr="0090354C">
        <w:rPr>
          <w:lang w:eastAsia="en-AU"/>
        </w:rPr>
        <w:t xml:space="preserve">  </w:t>
      </w:r>
    </w:p>
    <w:p w14:paraId="26E68085" w14:textId="52FD51D8" w:rsidR="002E1D68" w:rsidRPr="0090354C" w:rsidRDefault="002E1D68" w:rsidP="00D71ED0">
      <w:pPr>
        <w:spacing w:before="360" w:after="120"/>
        <w:rPr>
          <w:rFonts w:ascii="Public Sans" w:hAnsi="Public Sans"/>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1: Key Budget aggregates for the general government sector"/>
        <w:tblDescription w:val="Table 1.1: Key Budget aggregates for the general government sector"/>
      </w:tblPr>
      <w:tblGrid>
        <w:gridCol w:w="5144"/>
        <w:gridCol w:w="4495"/>
      </w:tblGrid>
      <w:tr w:rsidR="00412E42" w:rsidRPr="0090354C" w14:paraId="03297A92" w14:textId="77777777" w:rsidTr="00BF3E1F">
        <w:tc>
          <w:tcPr>
            <w:tcW w:w="5144" w:type="dxa"/>
          </w:tcPr>
          <w:p w14:paraId="38CDDFF8" w14:textId="5A2FF94F" w:rsidR="00412E42" w:rsidRPr="0090354C" w:rsidRDefault="00412E42" w:rsidP="00D05565">
            <w:pPr>
              <w:pStyle w:val="Chart1X"/>
            </w:pPr>
            <w:r w:rsidRPr="0090354C">
              <w:lastRenderedPageBreak/>
              <w:t xml:space="preserve">Sydney CPI and NSW Unemployment Rate </w:t>
            </w:r>
          </w:p>
          <w:p w14:paraId="14DD1D72" w14:textId="24488052" w:rsidR="001B456E" w:rsidRPr="0090354C" w:rsidRDefault="00F13645" w:rsidP="00247EF7">
            <w:pPr>
              <w:rPr>
                <w:rFonts w:ascii="Public Sans" w:hAnsi="Public Sans"/>
                <w:sz w:val="2"/>
                <w:szCs w:val="2"/>
              </w:rPr>
            </w:pPr>
            <w:r w:rsidRPr="0090354C">
              <w:rPr>
                <w:rFonts w:ascii="Public Sans" w:hAnsi="Public Sans"/>
                <w:noProof/>
              </w:rPr>
              <w:drawing>
                <wp:anchor distT="0" distB="0" distL="114300" distR="114300" simplePos="0" relativeHeight="251658240" behindDoc="1" locked="0" layoutInCell="1" allowOverlap="1" wp14:anchorId="694FEA55" wp14:editId="269E3EA0">
                  <wp:simplePos x="0" y="0"/>
                  <wp:positionH relativeFrom="column">
                    <wp:posOffset>44423</wp:posOffset>
                  </wp:positionH>
                  <wp:positionV relativeFrom="paragraph">
                    <wp:posOffset>55604</wp:posOffset>
                  </wp:positionV>
                  <wp:extent cx="2886075" cy="2124075"/>
                  <wp:effectExtent l="0" t="0" r="0" b="0"/>
                  <wp:wrapTopAndBottom/>
                  <wp:docPr id="490796732" name="Chart 1" descr="Chart 1.1: Sydney CPI and NSW Unemployment Rate ">
                    <a:extLst xmlns:a="http://schemas.openxmlformats.org/drawingml/2006/main">
                      <a:ext uri="{FF2B5EF4-FFF2-40B4-BE49-F238E27FC236}">
                        <a16:creationId xmlns:a16="http://schemas.microsoft.com/office/drawing/2014/main" id="{64CFB162-CD29-4F1B-95BF-5206F655F7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7D20A08" w14:textId="76F0AE93" w:rsidR="00412E42" w:rsidRPr="0090354C" w:rsidRDefault="00412E42" w:rsidP="00F13645">
            <w:pPr>
              <w:pStyle w:val="Source"/>
            </w:pPr>
            <w:r w:rsidRPr="0090354C">
              <w:t>Source: ABS and NSW Treasury</w:t>
            </w:r>
          </w:p>
        </w:tc>
        <w:tc>
          <w:tcPr>
            <w:tcW w:w="4495" w:type="dxa"/>
          </w:tcPr>
          <w:p w14:paraId="5FD7ADB2" w14:textId="1C4BCFF3" w:rsidR="00412E42" w:rsidRPr="0090354C" w:rsidRDefault="00696D17" w:rsidP="00D05565">
            <w:pPr>
              <w:pStyle w:val="Chart1X"/>
              <w:rPr>
                <w:lang w:val="en-US"/>
              </w:rPr>
            </w:pPr>
            <w:r w:rsidRPr="0090354C">
              <w:rPr>
                <w:lang w:val="en-US"/>
              </w:rPr>
              <w:t>NSW real g</w:t>
            </w:r>
            <w:r w:rsidR="00412E42" w:rsidRPr="0090354C">
              <w:rPr>
                <w:lang w:val="en-US"/>
              </w:rPr>
              <w:t xml:space="preserve">ross </w:t>
            </w:r>
            <w:r w:rsidRPr="0090354C">
              <w:rPr>
                <w:lang w:val="en-US"/>
              </w:rPr>
              <w:t>s</w:t>
            </w:r>
            <w:r w:rsidR="00412E42" w:rsidRPr="0090354C">
              <w:rPr>
                <w:lang w:val="en-US"/>
              </w:rPr>
              <w:t xml:space="preserve">tate </w:t>
            </w:r>
            <w:r w:rsidRPr="0090354C">
              <w:rPr>
                <w:lang w:val="en-US"/>
              </w:rPr>
              <w:t>p</w:t>
            </w:r>
            <w:r w:rsidR="00412E42" w:rsidRPr="0090354C">
              <w:rPr>
                <w:lang w:val="en-US"/>
              </w:rPr>
              <w:t>roduct</w:t>
            </w:r>
            <w:r w:rsidR="006755CC" w:rsidRPr="0090354C">
              <w:br/>
            </w:r>
          </w:p>
          <w:p w14:paraId="702F68DE" w14:textId="4FE230B7" w:rsidR="00412E42" w:rsidRPr="0090354C" w:rsidRDefault="000B22E8" w:rsidP="00D05565">
            <w:pPr>
              <w:spacing w:before="120"/>
              <w:rPr>
                <w:rFonts w:ascii="Public Sans" w:hAnsi="Public Sans"/>
              </w:rPr>
            </w:pPr>
            <w:r w:rsidRPr="0090354C">
              <w:rPr>
                <w:rFonts w:ascii="Public Sans" w:hAnsi="Public Sans"/>
                <w:noProof/>
              </w:rPr>
              <w:drawing>
                <wp:inline distT="0" distB="0" distL="0" distR="0" wp14:anchorId="1C2DE612" wp14:editId="31F8FD5A">
                  <wp:extent cx="2607945" cy="2104197"/>
                  <wp:effectExtent l="0" t="0" r="1905" b="0"/>
                  <wp:docPr id="418780901" name="Chart 1" descr="Chart 1.2: NSW real gross state product">
                    <a:extLst xmlns:a="http://schemas.openxmlformats.org/drawingml/2006/main">
                      <a:ext uri="{FF2B5EF4-FFF2-40B4-BE49-F238E27FC236}">
                        <a16:creationId xmlns:a16="http://schemas.microsoft.com/office/drawing/2014/main" id="{08900D04-8292-4CB2-90F5-CB21412E5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D6F95E" w14:textId="77777777" w:rsidR="00412E42" w:rsidRPr="0090354C" w:rsidRDefault="00412E42" w:rsidP="000054F1">
            <w:pPr>
              <w:pStyle w:val="Source"/>
              <w:rPr>
                <w:rFonts w:eastAsia="Calibri"/>
              </w:rPr>
            </w:pPr>
            <w:r w:rsidRPr="0090354C">
              <w:t>Source: ABS and NSW Treasury</w:t>
            </w:r>
          </w:p>
        </w:tc>
      </w:tr>
    </w:tbl>
    <w:p w14:paraId="452A475A" w14:textId="77777777" w:rsidR="006208DE" w:rsidRPr="0090354C" w:rsidRDefault="006208DE" w:rsidP="006208DE">
      <w:pPr>
        <w:rPr>
          <w:rFonts w:ascii="Public Sans" w:hAnsi="Public Sans"/>
        </w:rPr>
      </w:pPr>
    </w:p>
    <w:p w14:paraId="6293C9D6" w14:textId="6783C505" w:rsidR="00A94DA1" w:rsidRPr="0090354C" w:rsidRDefault="0029096B" w:rsidP="005C6776">
      <w:pPr>
        <w:pStyle w:val="BodyText"/>
      </w:pPr>
      <w:r w:rsidRPr="0090354C">
        <w:t>Further details on the movements in the key economic indicators between the 2024</w:t>
      </w:r>
      <w:r w:rsidR="00C32728" w:rsidRPr="0090354C">
        <w:noBreakHyphen/>
      </w:r>
      <w:r w:rsidRPr="0090354C">
        <w:t>25</w:t>
      </w:r>
      <w:r w:rsidR="00C32728" w:rsidRPr="0090354C">
        <w:t> </w:t>
      </w:r>
      <w:r w:rsidRPr="0090354C">
        <w:t>Half</w:t>
      </w:r>
      <w:r w:rsidR="002737FA" w:rsidRPr="0090354C">
        <w:noBreakHyphen/>
      </w:r>
      <w:r w:rsidRPr="0090354C">
        <w:t>Yearly Review and 2025-</w:t>
      </w:r>
      <w:r w:rsidR="00E125DE" w:rsidRPr="0090354C">
        <w:t xml:space="preserve">26 Budget are outlined in Chapter 2 The </w:t>
      </w:r>
      <w:r w:rsidR="006803DF" w:rsidRPr="0090354C">
        <w:t>e</w:t>
      </w:r>
      <w:r w:rsidR="00E125DE" w:rsidRPr="0090354C">
        <w:t xml:space="preserve">conomy. </w:t>
      </w:r>
    </w:p>
    <w:bookmarkEnd w:id="0"/>
    <w:p w14:paraId="01F09133" w14:textId="09E638AA" w:rsidR="00F67607" w:rsidRPr="0090354C" w:rsidRDefault="00303D57" w:rsidP="00303D57">
      <w:pPr>
        <w:pStyle w:val="11Heading2"/>
      </w:pPr>
      <w:r w:rsidRPr="0090354C">
        <w:t>Fiscal context</w:t>
      </w:r>
    </w:p>
    <w:p w14:paraId="5B9987A3" w14:textId="7F235F00" w:rsidR="00090BCB" w:rsidRPr="0090354C" w:rsidRDefault="00802F1C" w:rsidP="005C6776">
      <w:pPr>
        <w:pStyle w:val="BodyText"/>
      </w:pPr>
      <w:r w:rsidRPr="0090354C">
        <w:t>The 2025-26 Budget projects a return to</w:t>
      </w:r>
      <w:r w:rsidR="00505557">
        <w:t xml:space="preserve"> a</w:t>
      </w:r>
      <w:r w:rsidRPr="0090354C">
        <w:t xml:space="preserve"> surplus in 2027-28 (see </w:t>
      </w:r>
      <w:r w:rsidR="006473E5" w:rsidRPr="0090354C">
        <w:t>Chart 1.3</w:t>
      </w:r>
      <w:r w:rsidRPr="0090354C">
        <w:t xml:space="preserve">), which would be the State’s first surplus since the </w:t>
      </w:r>
      <w:r w:rsidR="00505557">
        <w:t>COVID-19</w:t>
      </w:r>
      <w:r w:rsidRPr="0090354C">
        <w:t xml:space="preserve"> pandemic. This marks a significant fiscal milestone for the State, achieved despite pressures from </w:t>
      </w:r>
      <w:r w:rsidR="00445FE8" w:rsidRPr="0090354C">
        <w:t xml:space="preserve">a </w:t>
      </w:r>
      <w:r w:rsidRPr="0090354C">
        <w:t>lower GST revenue share and the investment required to rebuild essential services after years of underfunding.</w:t>
      </w:r>
    </w:p>
    <w:p w14:paraId="5BB5B3DF" w14:textId="079556BC" w:rsidR="00C853F5" w:rsidRPr="0090354C" w:rsidRDefault="00CC3BBC" w:rsidP="005C6776">
      <w:pPr>
        <w:pStyle w:val="BodyText"/>
      </w:pPr>
      <w:r w:rsidRPr="0090354C">
        <w:t xml:space="preserve">However, New South Wales is facing more frequent and costly natural disasters, posing significant </w:t>
      </w:r>
      <w:r w:rsidR="00F126CD" w:rsidRPr="0090354C">
        <w:t xml:space="preserve">additional </w:t>
      </w:r>
      <w:r w:rsidR="4A938901" w:rsidRPr="0090354C">
        <w:t>cost</w:t>
      </w:r>
      <w:r w:rsidR="6A1BFA99" w:rsidRPr="0090354C">
        <w:t>s</w:t>
      </w:r>
      <w:r w:rsidRPr="0090354C">
        <w:t xml:space="preserve">. Reprofiling of disaster expenses, primarily due to timing differences between expenditure and recognition of </w:t>
      </w:r>
      <w:r w:rsidR="006414CB" w:rsidRPr="0090354C">
        <w:t>Australian Government</w:t>
      </w:r>
      <w:r w:rsidRPr="0090354C">
        <w:t xml:space="preserve"> co-funding under the Disaster Recovery Funding Arrangements, </w:t>
      </w:r>
      <w:r w:rsidR="00486517" w:rsidRPr="0090354C">
        <w:t>and approval of new funding for disaster assistance since the Half-</w:t>
      </w:r>
      <w:r w:rsidR="3E4A6EE6" w:rsidRPr="0090354C">
        <w:t>Y</w:t>
      </w:r>
      <w:r w:rsidR="00486517" w:rsidRPr="0090354C">
        <w:t>early Review</w:t>
      </w:r>
      <w:r w:rsidR="003016BC" w:rsidRPr="0090354C">
        <w:t xml:space="preserve"> </w:t>
      </w:r>
      <w:r w:rsidRPr="0090354C">
        <w:t>has worsened the budget result</w:t>
      </w:r>
      <w:r w:rsidR="00B240F2" w:rsidRPr="0090354C">
        <w:t xml:space="preserve"> by </w:t>
      </w:r>
      <w:r w:rsidR="00E07EAB" w:rsidRPr="0090354C">
        <w:t>$</w:t>
      </w:r>
      <w:r w:rsidR="00FD41EE" w:rsidRPr="0090354C">
        <w:t xml:space="preserve">920.9 </w:t>
      </w:r>
      <w:r w:rsidR="00E07EAB" w:rsidRPr="0090354C">
        <w:t xml:space="preserve">million </w:t>
      </w:r>
      <w:r w:rsidR="00B240F2" w:rsidRPr="0090354C">
        <w:t>in</w:t>
      </w:r>
      <w:r w:rsidR="00AD76B5" w:rsidRPr="0090354C">
        <w:t xml:space="preserve"> </w:t>
      </w:r>
      <w:r w:rsidR="00C73D38" w:rsidRPr="0090354C">
        <w:t>2024</w:t>
      </w:r>
      <w:r w:rsidR="00BB640D" w:rsidRPr="0090354C">
        <w:noBreakHyphen/>
      </w:r>
      <w:r w:rsidR="00C73D38" w:rsidRPr="0090354C">
        <w:t xml:space="preserve">25 </w:t>
      </w:r>
      <w:r w:rsidR="00AD76B5" w:rsidRPr="0090354C">
        <w:t xml:space="preserve">and </w:t>
      </w:r>
      <w:r w:rsidR="00E07EAB" w:rsidRPr="0090354C">
        <w:t>$</w:t>
      </w:r>
      <w:r w:rsidR="009E09FE" w:rsidRPr="0090354C">
        <w:t xml:space="preserve">980.9 </w:t>
      </w:r>
      <w:r w:rsidR="001F4460" w:rsidRPr="0090354C">
        <w:t>million</w:t>
      </w:r>
      <w:r w:rsidR="00AD76B5" w:rsidRPr="0090354C">
        <w:t xml:space="preserve"> in 2025-26</w:t>
      </w:r>
      <w:r w:rsidR="00BB640D" w:rsidRPr="0090354C">
        <w:t>.</w:t>
      </w:r>
    </w:p>
    <w:p w14:paraId="2A254005" w14:textId="6CC3C374" w:rsidR="00CC3BBC" w:rsidRPr="0090354C" w:rsidRDefault="00CC3BBC" w:rsidP="00D05565">
      <w:pPr>
        <w:pStyle w:val="Chart1X"/>
      </w:pPr>
      <w:r w:rsidRPr="0090354C">
        <w:t>General government</w:t>
      </w:r>
      <w:r w:rsidR="00E514AF" w:rsidRPr="0090354C">
        <w:t xml:space="preserve"> budget result:</w:t>
      </w:r>
      <w:r w:rsidRPr="0090354C">
        <w:t xml:space="preserve"> 2025-26 </w:t>
      </w:r>
      <w:r w:rsidR="00BB640D" w:rsidRPr="0090354C">
        <w:t>B</w:t>
      </w:r>
      <w:r w:rsidRPr="0090354C">
        <w:t xml:space="preserve">udget </w:t>
      </w:r>
    </w:p>
    <w:p w14:paraId="529A2041" w14:textId="41372AA7" w:rsidR="006310DA" w:rsidRPr="0090354C" w:rsidRDefault="0078771A" w:rsidP="00860710">
      <w:pPr>
        <w:rPr>
          <w:rFonts w:ascii="Public Sans" w:hAnsi="Public Sans"/>
        </w:rPr>
      </w:pPr>
      <w:r w:rsidRPr="0090354C">
        <w:rPr>
          <w:rFonts w:ascii="Public Sans" w:hAnsi="Public Sans"/>
          <w:noProof/>
        </w:rPr>
        <w:drawing>
          <wp:inline distT="0" distB="0" distL="0" distR="0" wp14:anchorId="7C6C13AB" wp14:editId="747B917F">
            <wp:extent cx="5841365" cy="2663687"/>
            <wp:effectExtent l="0" t="0" r="6985" b="3810"/>
            <wp:docPr id="1831772579" name="Chart 1" descr="Chart 1.3: General government budget result: 2025-26 Budget ">
              <a:extLst xmlns:a="http://schemas.openxmlformats.org/drawingml/2006/main">
                <a:ext uri="{FF2B5EF4-FFF2-40B4-BE49-F238E27FC236}">
                  <a16:creationId xmlns:a16="http://schemas.microsoft.com/office/drawing/2014/main" id="{DB4578E9-CBB2-8F43-CD78-8F8CFEFE14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50ED44" w14:textId="00DDD8DE" w:rsidR="005F7E77" w:rsidRPr="0090354C" w:rsidRDefault="00CC6591" w:rsidP="000054F1">
      <w:pPr>
        <w:pStyle w:val="Source"/>
      </w:pPr>
      <w:r w:rsidRPr="0090354C">
        <w:t>Source: NSW Treasury</w:t>
      </w:r>
    </w:p>
    <w:p w14:paraId="27721E2B" w14:textId="77777777" w:rsidR="00F1036E" w:rsidRPr="0090354C" w:rsidRDefault="00F1036E" w:rsidP="000054F1">
      <w:pPr>
        <w:rPr>
          <w:rFonts w:ascii="Public Sans" w:hAnsi="Public Sans"/>
        </w:rPr>
      </w:pPr>
    </w:p>
    <w:p w14:paraId="49CFBF8C" w14:textId="77777777" w:rsidR="00AA1D7D" w:rsidRPr="0090354C" w:rsidRDefault="00AA1D7D">
      <w:pPr>
        <w:spacing w:before="360" w:after="120"/>
        <w:ind w:left="851" w:hanging="851"/>
        <w:rPr>
          <w:rFonts w:ascii="Public Sans" w:hAnsi="Public Sans" w:cs="Arial"/>
          <w:iCs/>
          <w:color w:val="000000" w:themeColor="text1"/>
          <w:sz w:val="22"/>
          <w:lang w:val="en-US" w:eastAsia="en-AU"/>
        </w:rPr>
      </w:pPr>
      <w:r w:rsidRPr="0090354C">
        <w:rPr>
          <w:rFonts w:ascii="Public Sans" w:hAnsi="Public Sans"/>
        </w:rPr>
        <w:br w:type="page"/>
      </w:r>
    </w:p>
    <w:p w14:paraId="55359A27" w14:textId="6EC598AB" w:rsidR="00CC3BBC" w:rsidRPr="0090354C" w:rsidRDefault="004546E0" w:rsidP="00860710">
      <w:pPr>
        <w:pStyle w:val="BodyText"/>
      </w:pPr>
      <w:r w:rsidRPr="0090354C">
        <w:lastRenderedPageBreak/>
        <w:t>The</w:t>
      </w:r>
      <w:r w:rsidR="00CC3BBC" w:rsidRPr="0090354C">
        <w:t xml:space="preserve"> budget result shows improvement, with the deficit </w:t>
      </w:r>
      <w:r w:rsidR="00505557">
        <w:t>improved</w:t>
      </w:r>
      <w:r w:rsidR="00CC3BBC" w:rsidRPr="0090354C">
        <w:t xml:space="preserve"> from 2023-24 </w:t>
      </w:r>
      <w:r w:rsidR="00AD76B5" w:rsidRPr="0090354C">
        <w:t>to 2024-25</w:t>
      </w:r>
      <w:r w:rsidR="00676587" w:rsidRPr="0090354C">
        <w:t xml:space="preserve"> and projected to reach surplus in 2027-28 </w:t>
      </w:r>
      <w:r w:rsidR="00A2255E" w:rsidRPr="0090354C">
        <w:t xml:space="preserve">(see </w:t>
      </w:r>
      <w:r w:rsidR="00BB640D" w:rsidRPr="0090354C">
        <w:t>T</w:t>
      </w:r>
      <w:r w:rsidR="00A2255E" w:rsidRPr="0090354C">
        <w:t>able 1.2)</w:t>
      </w:r>
      <w:r w:rsidR="00676587" w:rsidRPr="0090354C">
        <w:t>. The forecast surplus would represent the first since 2018-19</w:t>
      </w:r>
      <w:r w:rsidR="00345A0C" w:rsidRPr="0090354C">
        <w:t>,</w:t>
      </w:r>
      <w:r w:rsidR="00676587" w:rsidRPr="0090354C">
        <w:t xml:space="preserve"> but faces significant</w:t>
      </w:r>
      <w:r w:rsidR="00CC3BBC" w:rsidRPr="0090354C">
        <w:t xml:space="preserve"> </w:t>
      </w:r>
      <w:r w:rsidR="008C5160" w:rsidRPr="0090354C">
        <w:t>pressures</w:t>
      </w:r>
      <w:r w:rsidR="00EF54D6" w:rsidRPr="0090354C">
        <w:t xml:space="preserve"> </w:t>
      </w:r>
      <w:r w:rsidR="00492FA1" w:rsidRPr="0090354C">
        <w:t>such as</w:t>
      </w:r>
      <w:r w:rsidR="00CC3BBC" w:rsidRPr="0090354C">
        <w:t>:</w:t>
      </w:r>
    </w:p>
    <w:p w14:paraId="1F32CC19" w14:textId="0CB9E2B7" w:rsidR="00A657F0" w:rsidRPr="0090354C" w:rsidRDefault="00A657F0" w:rsidP="00C05FDD">
      <w:pPr>
        <w:pStyle w:val="Bullet1"/>
      </w:pPr>
      <w:r w:rsidRPr="0090354C">
        <w:t>$</w:t>
      </w:r>
      <w:r w:rsidR="00CE329B" w:rsidRPr="0090354C">
        <w:t>3.4</w:t>
      </w:r>
      <w:r w:rsidRPr="0090354C">
        <w:t xml:space="preserve"> billion </w:t>
      </w:r>
      <w:r w:rsidR="016E1490" w:rsidRPr="0090354C">
        <w:t>increase in</w:t>
      </w:r>
      <w:r w:rsidRPr="0090354C">
        <w:t xml:space="preserve"> insurance expenses over five years, </w:t>
      </w:r>
      <w:r w:rsidR="00CE329B" w:rsidRPr="0090354C">
        <w:t xml:space="preserve">of which $2.6 billion relates to the deteriorating performance of the workers’ compensation scheme (see Chart 1.4 below for </w:t>
      </w:r>
      <w:r w:rsidRPr="0090354C">
        <w:t>increasing Treasury Managed Fund liabilities)</w:t>
      </w:r>
      <w:r w:rsidR="002D671E" w:rsidRPr="0090354C">
        <w:t xml:space="preserve">, with </w:t>
      </w:r>
      <w:r w:rsidRPr="0090354C">
        <w:t>$</w:t>
      </w:r>
      <w:r w:rsidR="00CE329B" w:rsidRPr="0090354C">
        <w:t>879.6</w:t>
      </w:r>
      <w:r w:rsidR="381F6D23" w:rsidRPr="0090354C">
        <w:t xml:space="preserve"> million </w:t>
      </w:r>
      <w:r w:rsidR="006D5EB1" w:rsidRPr="0090354C">
        <w:t xml:space="preserve">of this </w:t>
      </w:r>
      <w:r w:rsidRPr="0090354C">
        <w:t xml:space="preserve">deterioration </w:t>
      </w:r>
      <w:r w:rsidR="07EA1B8A" w:rsidRPr="0090354C">
        <w:t>occu</w:t>
      </w:r>
      <w:r w:rsidR="2586C6DE" w:rsidRPr="0090354C">
        <w:t>r</w:t>
      </w:r>
      <w:r w:rsidR="07EA1B8A" w:rsidRPr="0090354C">
        <w:t>r</w:t>
      </w:r>
      <w:r w:rsidR="001F3E38" w:rsidRPr="0090354C">
        <w:t>ing</w:t>
      </w:r>
      <w:r w:rsidR="07EA1B8A" w:rsidRPr="0090354C">
        <w:t xml:space="preserve"> in </w:t>
      </w:r>
      <w:r w:rsidR="00DE6FBE" w:rsidRPr="0090354C">
        <w:t>2</w:t>
      </w:r>
      <w:r w:rsidRPr="0090354C">
        <w:t>0</w:t>
      </w:r>
      <w:r w:rsidR="00BA3009" w:rsidRPr="0090354C">
        <w:t>2</w:t>
      </w:r>
      <w:r w:rsidRPr="0090354C">
        <w:t xml:space="preserve">4-25 </w:t>
      </w:r>
      <w:r w:rsidR="72C699D2" w:rsidRPr="0090354C">
        <w:t xml:space="preserve">since the </w:t>
      </w:r>
      <w:r w:rsidR="4A5290A1" w:rsidRPr="0090354C">
        <w:t>H</w:t>
      </w:r>
      <w:r w:rsidR="72C699D2" w:rsidRPr="0090354C">
        <w:t>alf</w:t>
      </w:r>
      <w:r w:rsidR="33CABE99" w:rsidRPr="0090354C">
        <w:t>-</w:t>
      </w:r>
      <w:r w:rsidR="0006132F" w:rsidRPr="0090354C">
        <w:t>Y</w:t>
      </w:r>
      <w:r w:rsidR="72C699D2" w:rsidRPr="0090354C">
        <w:t>ear</w:t>
      </w:r>
      <w:r w:rsidR="2AF0D4D8" w:rsidRPr="0090354C">
        <w:t>ly</w:t>
      </w:r>
      <w:r w:rsidR="72C699D2" w:rsidRPr="0090354C">
        <w:t xml:space="preserve"> </w:t>
      </w:r>
      <w:r w:rsidR="2445D3AB" w:rsidRPr="0090354C">
        <w:t>R</w:t>
      </w:r>
      <w:r w:rsidR="72C699D2" w:rsidRPr="0090354C">
        <w:t>eview</w:t>
      </w:r>
      <w:r w:rsidR="00550E34" w:rsidRPr="0090354C">
        <w:rPr>
          <w:rStyle w:val="FootnoteReference"/>
        </w:rPr>
        <w:footnoteReference w:id="2"/>
      </w:r>
    </w:p>
    <w:p w14:paraId="70D947F7" w14:textId="0814D579" w:rsidR="00713A55" w:rsidRPr="0090354C" w:rsidRDefault="00713A55" w:rsidP="000054F1">
      <w:pPr>
        <w:pStyle w:val="Bullet1"/>
      </w:pPr>
      <w:r w:rsidRPr="0090354C">
        <w:t>increased costs from natural disasters and uncertainty over the timing of Australian Government contributions</w:t>
      </w:r>
    </w:p>
    <w:p w14:paraId="06A2EF96" w14:textId="2B16FE41" w:rsidR="004D41A6" w:rsidRPr="0090354C" w:rsidRDefault="00122C05" w:rsidP="005F33D4">
      <w:pPr>
        <w:pStyle w:val="Bullet1"/>
      </w:pPr>
      <w:r w:rsidRPr="0090354C">
        <w:t>expenditure</w:t>
      </w:r>
      <w:r w:rsidR="00AF26B1" w:rsidRPr="0090354C">
        <w:t xml:space="preserve"> on natural disasters has increased more than 1</w:t>
      </w:r>
      <w:r w:rsidR="000D5869" w:rsidRPr="0090354C">
        <w:t>,</w:t>
      </w:r>
      <w:r w:rsidR="00AF26B1" w:rsidRPr="0090354C">
        <w:t xml:space="preserve">000 per cent </w:t>
      </w:r>
      <w:r w:rsidR="00FC043D" w:rsidRPr="0090354C">
        <w:t>in the six years since the 20</w:t>
      </w:r>
      <w:r w:rsidR="00C73FF7" w:rsidRPr="0090354C">
        <w:t>1</w:t>
      </w:r>
      <w:r w:rsidR="00FC043D" w:rsidRPr="0090354C">
        <w:t xml:space="preserve">9-20 </w:t>
      </w:r>
      <w:r w:rsidR="00C73FF7" w:rsidRPr="0090354C">
        <w:t>b</w:t>
      </w:r>
      <w:r w:rsidR="00FC043D" w:rsidRPr="0090354C">
        <w:t>ushfires compared to the six years</w:t>
      </w:r>
      <w:r w:rsidR="00F00AEA" w:rsidRPr="0090354C">
        <w:t xml:space="preserve"> prior</w:t>
      </w:r>
      <w:r w:rsidR="00D500E3" w:rsidRPr="0090354C">
        <w:t>.</w:t>
      </w:r>
      <w:r w:rsidR="005F33D4" w:rsidRPr="0090354C">
        <w:t xml:space="preserve"> </w:t>
      </w:r>
      <w:r w:rsidR="004048D1" w:rsidRPr="0090354C">
        <w:t>Since 2019-20, the NSW and Australian Governments have spent an average of $1.6 billion per year</w:t>
      </w:r>
      <w:r w:rsidR="009C5CD2" w:rsidRPr="0090354C">
        <w:t xml:space="preserve"> on disaster relief, compared to </w:t>
      </w:r>
      <w:r w:rsidR="00656512" w:rsidRPr="0090354C">
        <w:t>$154.0 million per year in th</w:t>
      </w:r>
      <w:r w:rsidR="00416FC2" w:rsidRPr="0090354C">
        <w:t>e prior six years</w:t>
      </w:r>
      <w:r w:rsidR="00DE5BF3" w:rsidRPr="0090354C">
        <w:t>.</w:t>
      </w:r>
      <w:r w:rsidR="00883638" w:rsidRPr="0090354C">
        <w:t xml:space="preserve"> </w:t>
      </w:r>
      <w:r w:rsidR="001C28A2" w:rsidRPr="0090354C">
        <w:t>The measures below form part of a further $4.2 billion of disaster relief across the forward estimates</w:t>
      </w:r>
      <w:r w:rsidR="00AF19B7" w:rsidRPr="0090354C">
        <w:t>:</w:t>
      </w:r>
    </w:p>
    <w:p w14:paraId="54F2305D" w14:textId="1B78EC77" w:rsidR="00AF19B7" w:rsidRPr="0090354C" w:rsidRDefault="00211438" w:rsidP="00AF19B7">
      <w:pPr>
        <w:pStyle w:val="Bullet2"/>
      </w:pPr>
      <w:r w:rsidRPr="0090354C">
        <w:t>$154.5 million for disaster recovery and relief measures in response to ex-Tropical Cyclone Alfred</w:t>
      </w:r>
    </w:p>
    <w:p w14:paraId="1CEB4C31" w14:textId="77777777" w:rsidR="00A1724B" w:rsidRPr="0090354C" w:rsidRDefault="00F5222C" w:rsidP="00AF19B7">
      <w:pPr>
        <w:pStyle w:val="Bullet2"/>
      </w:pPr>
      <w:r w:rsidRPr="0090354C">
        <w:t>$358.3 million for disaster recovery and relief measures in response to the May 2025 East Coast floods</w:t>
      </w:r>
    </w:p>
    <w:p w14:paraId="61D094C7" w14:textId="32DD4CF4" w:rsidR="00F5222C" w:rsidRPr="0090354C" w:rsidRDefault="00A1724B" w:rsidP="00AF19B7">
      <w:pPr>
        <w:pStyle w:val="Bullet2"/>
      </w:pPr>
      <w:r w:rsidRPr="0090354C">
        <w:t>$27.0 million for repair and restoration of water and sewer infrastructure in the Central West, damaged by 2022 severe weather and flooding</w:t>
      </w:r>
    </w:p>
    <w:p w14:paraId="1FF360D5" w14:textId="6865052A" w:rsidR="0044701B" w:rsidRPr="0090354C" w:rsidRDefault="00DB4C88" w:rsidP="008F35F0">
      <w:pPr>
        <w:pStyle w:val="Bullet1"/>
        <w:rPr>
          <w:i/>
          <w:kern w:val="28"/>
        </w:rPr>
      </w:pPr>
      <w:r w:rsidRPr="0090354C">
        <w:t>$</w:t>
      </w:r>
      <w:r w:rsidR="00216C4C" w:rsidRPr="0090354C">
        <w:t>790</w:t>
      </w:r>
      <w:r w:rsidR="00DA069B" w:rsidRPr="0090354C">
        <w:t>.7 m</w:t>
      </w:r>
      <w:r w:rsidRPr="0090354C">
        <w:t xml:space="preserve">illion in </w:t>
      </w:r>
      <w:r w:rsidR="00CC3BBC" w:rsidRPr="0090354C">
        <w:t>rising depreciation</w:t>
      </w:r>
      <w:r w:rsidR="003A17C3" w:rsidRPr="0090354C">
        <w:t xml:space="preserve"> and amortisation</w:t>
      </w:r>
      <w:r w:rsidR="00CC3BBC" w:rsidRPr="0090354C">
        <w:t xml:space="preserve"> expenses</w:t>
      </w:r>
      <w:r w:rsidR="00F27577" w:rsidRPr="0090354C">
        <w:t xml:space="preserve"> due to growth in</w:t>
      </w:r>
      <w:r w:rsidR="00505557">
        <w:t xml:space="preserve"> the</w:t>
      </w:r>
      <w:r w:rsidR="00F27577" w:rsidRPr="0090354C">
        <w:t xml:space="preserve"> asset </w:t>
      </w:r>
      <w:r w:rsidR="00DB7583" w:rsidRPr="0090354C">
        <w:t>base</w:t>
      </w:r>
      <w:r w:rsidR="00CC3BBC" w:rsidRPr="0090354C">
        <w:t>.</w:t>
      </w:r>
    </w:p>
    <w:p w14:paraId="03AF0708" w14:textId="65836FFA" w:rsidR="00360109" w:rsidRPr="0090354C" w:rsidRDefault="0004352D" w:rsidP="00D05565">
      <w:pPr>
        <w:pStyle w:val="Chart1X"/>
      </w:pPr>
      <w:r w:rsidRPr="0090354C">
        <w:t xml:space="preserve">Treasury Managed Funds (TMF) liability valuations from 2019-20 to 2028-29 </w:t>
      </w:r>
    </w:p>
    <w:p w14:paraId="0491F0C2" w14:textId="0672619E" w:rsidR="00AE2015" w:rsidRPr="0090354C" w:rsidRDefault="0094743B" w:rsidP="00AE2015">
      <w:pPr>
        <w:rPr>
          <w:rFonts w:ascii="Public Sans" w:hAnsi="Public Sans"/>
        </w:rPr>
      </w:pPr>
      <w:r w:rsidRPr="0090354C">
        <w:rPr>
          <w:rFonts w:ascii="Public Sans" w:hAnsi="Public Sans"/>
          <w:noProof/>
        </w:rPr>
        <w:drawing>
          <wp:inline distT="0" distB="0" distL="0" distR="0" wp14:anchorId="35B3FC19" wp14:editId="405A253F">
            <wp:extent cx="6120765" cy="2830195"/>
            <wp:effectExtent l="0" t="0" r="0" b="8255"/>
            <wp:docPr id="1963998408" name="Chart 1" descr="Chart 1.4: Treasury Managed Funds (TMF) liability valuations from 2019-20 to 2028-29 ">
              <a:extLst xmlns:a="http://schemas.openxmlformats.org/drawingml/2006/main">
                <a:ext uri="{FF2B5EF4-FFF2-40B4-BE49-F238E27FC236}">
                  <a16:creationId xmlns:a16="http://schemas.microsoft.com/office/drawing/2014/main" id="{BEDF2F27-5FD6-FFD6-E046-F361CD473A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09A993" w14:textId="1D158F77" w:rsidR="000054F1" w:rsidRPr="0090354C" w:rsidRDefault="000054F1" w:rsidP="00D249DC">
      <w:pPr>
        <w:pStyle w:val="Source"/>
        <w:spacing w:before="0"/>
        <w:rPr>
          <w:sz w:val="16"/>
          <w:szCs w:val="16"/>
        </w:rPr>
      </w:pPr>
      <w:r w:rsidRPr="0090354C">
        <w:rPr>
          <w:sz w:val="16"/>
          <w:szCs w:val="16"/>
        </w:rPr>
        <w:t>Source: i</w:t>
      </w:r>
      <w:r w:rsidR="11042B87" w:rsidRPr="0090354C">
        <w:rPr>
          <w:sz w:val="16"/>
          <w:szCs w:val="16"/>
        </w:rPr>
        <w:t>c</w:t>
      </w:r>
      <w:r w:rsidRPr="0090354C">
        <w:rPr>
          <w:sz w:val="16"/>
          <w:szCs w:val="16"/>
        </w:rPr>
        <w:t>are</w:t>
      </w:r>
    </w:p>
    <w:p w14:paraId="1A8E8D05" w14:textId="54D7D225" w:rsidR="0038542F" w:rsidRPr="0090354C" w:rsidRDefault="0038542F" w:rsidP="009E14CE">
      <w:pPr>
        <w:spacing w:before="60"/>
        <w:rPr>
          <w:rFonts w:ascii="Public Sans" w:hAnsi="Public Sans"/>
          <w:sz w:val="16"/>
          <w:szCs w:val="16"/>
        </w:rPr>
      </w:pPr>
      <w:r w:rsidRPr="0090354C">
        <w:rPr>
          <w:rFonts w:ascii="Public Sans" w:hAnsi="Public Sans"/>
          <w:sz w:val="16"/>
          <w:szCs w:val="16"/>
        </w:rPr>
        <w:t>Note: Actuals from 2019-20 to 2023-24 are based on published financial statements for S</w:t>
      </w:r>
      <w:r w:rsidR="001740F9">
        <w:rPr>
          <w:rFonts w:ascii="Public Sans" w:hAnsi="Public Sans"/>
          <w:sz w:val="16"/>
          <w:szCs w:val="16"/>
        </w:rPr>
        <w:t>i</w:t>
      </w:r>
      <w:r w:rsidRPr="0090354C">
        <w:rPr>
          <w:rFonts w:ascii="Public Sans" w:hAnsi="Public Sans"/>
          <w:sz w:val="16"/>
          <w:szCs w:val="16"/>
        </w:rPr>
        <w:t xml:space="preserve">Corp at each balance date. Forecast and Budget are based on the latest </w:t>
      </w:r>
      <w:r w:rsidR="00416478" w:rsidRPr="0090354C">
        <w:rPr>
          <w:rFonts w:ascii="Public Sans" w:hAnsi="Public Sans"/>
          <w:sz w:val="16"/>
          <w:szCs w:val="16"/>
        </w:rPr>
        <w:t>2025-</w:t>
      </w:r>
      <w:r w:rsidR="007E2B2F" w:rsidRPr="0090354C">
        <w:rPr>
          <w:rFonts w:ascii="Public Sans" w:hAnsi="Public Sans"/>
          <w:sz w:val="16"/>
          <w:szCs w:val="16"/>
        </w:rPr>
        <w:t>26</w:t>
      </w:r>
      <w:r w:rsidRPr="0090354C">
        <w:rPr>
          <w:rFonts w:ascii="Public Sans" w:hAnsi="Public Sans"/>
          <w:sz w:val="16"/>
          <w:szCs w:val="16"/>
        </w:rPr>
        <w:t xml:space="preserve"> S</w:t>
      </w:r>
      <w:r w:rsidR="002313EE" w:rsidRPr="0090354C">
        <w:rPr>
          <w:rFonts w:ascii="Public Sans" w:hAnsi="Public Sans"/>
          <w:sz w:val="16"/>
          <w:szCs w:val="16"/>
        </w:rPr>
        <w:t xml:space="preserve">tatement of </w:t>
      </w:r>
      <w:r w:rsidRPr="0090354C">
        <w:rPr>
          <w:rFonts w:ascii="Public Sans" w:hAnsi="Public Sans"/>
          <w:sz w:val="16"/>
          <w:szCs w:val="16"/>
        </w:rPr>
        <w:t>B</w:t>
      </w:r>
      <w:r w:rsidR="002313EE" w:rsidRPr="0090354C">
        <w:rPr>
          <w:rFonts w:ascii="Public Sans" w:hAnsi="Public Sans"/>
          <w:sz w:val="16"/>
          <w:szCs w:val="16"/>
        </w:rPr>
        <w:t>u</w:t>
      </w:r>
      <w:r w:rsidR="00856442" w:rsidRPr="0090354C">
        <w:rPr>
          <w:rFonts w:ascii="Public Sans" w:hAnsi="Public Sans"/>
          <w:sz w:val="16"/>
          <w:szCs w:val="16"/>
        </w:rPr>
        <w:t>siness</w:t>
      </w:r>
      <w:r w:rsidR="002313EE" w:rsidRPr="0090354C">
        <w:rPr>
          <w:rFonts w:ascii="Public Sans" w:hAnsi="Public Sans"/>
          <w:sz w:val="16"/>
          <w:szCs w:val="16"/>
        </w:rPr>
        <w:t xml:space="preserve"> </w:t>
      </w:r>
      <w:r w:rsidRPr="0090354C">
        <w:rPr>
          <w:rFonts w:ascii="Public Sans" w:hAnsi="Public Sans"/>
          <w:sz w:val="16"/>
          <w:szCs w:val="16"/>
        </w:rPr>
        <w:t>I</w:t>
      </w:r>
      <w:r w:rsidR="002313EE" w:rsidRPr="0090354C">
        <w:rPr>
          <w:rFonts w:ascii="Public Sans" w:hAnsi="Public Sans"/>
          <w:sz w:val="16"/>
          <w:szCs w:val="16"/>
        </w:rPr>
        <w:t>ntent</w:t>
      </w:r>
      <w:r w:rsidR="00EB272D">
        <w:rPr>
          <w:rFonts w:ascii="Public Sans" w:hAnsi="Public Sans"/>
          <w:sz w:val="16"/>
          <w:szCs w:val="16"/>
        </w:rPr>
        <w:t xml:space="preserve"> Budget</w:t>
      </w:r>
      <w:r w:rsidRPr="0090354C">
        <w:rPr>
          <w:rFonts w:ascii="Public Sans" w:hAnsi="Public Sans"/>
          <w:sz w:val="16"/>
          <w:szCs w:val="16"/>
        </w:rPr>
        <w:t>.</w:t>
      </w:r>
      <w:r w:rsidR="00930840" w:rsidRPr="0090354C">
        <w:rPr>
          <w:rFonts w:ascii="Public Sans" w:hAnsi="Public Sans"/>
          <w:sz w:val="16"/>
          <w:szCs w:val="16"/>
        </w:rPr>
        <w:t xml:space="preserve"> </w:t>
      </w:r>
      <w:r w:rsidRPr="0090354C">
        <w:rPr>
          <w:rFonts w:ascii="Public Sans" w:hAnsi="Public Sans"/>
          <w:sz w:val="16"/>
          <w:szCs w:val="16"/>
        </w:rPr>
        <w:t xml:space="preserve">The </w:t>
      </w:r>
      <w:r w:rsidR="006074ED" w:rsidRPr="0090354C">
        <w:rPr>
          <w:rFonts w:ascii="Public Sans" w:hAnsi="Public Sans"/>
          <w:sz w:val="16"/>
          <w:szCs w:val="16"/>
        </w:rPr>
        <w:t>Pre-Managed Fund Reserve</w:t>
      </w:r>
      <w:r w:rsidRPr="0090354C">
        <w:rPr>
          <w:rFonts w:ascii="Public Sans" w:hAnsi="Public Sans"/>
          <w:sz w:val="16"/>
          <w:szCs w:val="16"/>
        </w:rPr>
        <w:t xml:space="preserve">, </w:t>
      </w:r>
      <w:r w:rsidR="006074ED" w:rsidRPr="0090354C">
        <w:rPr>
          <w:rFonts w:ascii="Public Sans" w:hAnsi="Public Sans"/>
          <w:sz w:val="16"/>
          <w:szCs w:val="16"/>
        </w:rPr>
        <w:t>Government Workers Compensation Account</w:t>
      </w:r>
      <w:r w:rsidRPr="0090354C">
        <w:rPr>
          <w:rFonts w:ascii="Public Sans" w:hAnsi="Public Sans"/>
          <w:sz w:val="16"/>
          <w:szCs w:val="16"/>
        </w:rPr>
        <w:t xml:space="preserve">, and </w:t>
      </w:r>
      <w:r w:rsidR="47C9F530" w:rsidRPr="0090354C">
        <w:rPr>
          <w:rFonts w:ascii="Public Sans" w:hAnsi="Public Sans"/>
          <w:sz w:val="16"/>
          <w:szCs w:val="16"/>
        </w:rPr>
        <w:t xml:space="preserve">Residual Workers Compensation Liabilities of the Crown </w:t>
      </w:r>
      <w:r w:rsidRPr="0090354C">
        <w:rPr>
          <w:rFonts w:ascii="Public Sans" w:hAnsi="Public Sans"/>
          <w:sz w:val="16"/>
          <w:szCs w:val="16"/>
        </w:rPr>
        <w:t xml:space="preserve">were amalgamated into TMF on </w:t>
      </w:r>
      <w:r w:rsidR="60656F49" w:rsidRPr="0090354C">
        <w:rPr>
          <w:rFonts w:ascii="Public Sans" w:hAnsi="Public Sans"/>
          <w:sz w:val="16"/>
          <w:szCs w:val="16"/>
        </w:rPr>
        <w:t>7</w:t>
      </w:r>
      <w:r w:rsidR="00930840" w:rsidRPr="0090354C">
        <w:rPr>
          <w:rFonts w:ascii="Public Sans" w:hAnsi="Public Sans"/>
          <w:sz w:val="16"/>
          <w:szCs w:val="16"/>
        </w:rPr>
        <w:t> </w:t>
      </w:r>
      <w:r w:rsidR="4B4AC816" w:rsidRPr="0090354C">
        <w:rPr>
          <w:rFonts w:ascii="Public Sans" w:hAnsi="Public Sans"/>
          <w:sz w:val="16"/>
          <w:szCs w:val="16"/>
        </w:rPr>
        <w:t>August</w:t>
      </w:r>
      <w:r w:rsidR="000D688F">
        <w:rPr>
          <w:rFonts w:ascii="Public Sans" w:hAnsi="Public Sans"/>
          <w:sz w:val="16"/>
          <w:szCs w:val="16"/>
        </w:rPr>
        <w:t> </w:t>
      </w:r>
      <w:r w:rsidRPr="0090354C">
        <w:rPr>
          <w:rFonts w:ascii="Public Sans" w:hAnsi="Public Sans"/>
          <w:sz w:val="16"/>
          <w:szCs w:val="16"/>
        </w:rPr>
        <w:t>2024.</w:t>
      </w:r>
    </w:p>
    <w:p w14:paraId="3DE1C71D" w14:textId="796255AF" w:rsidR="001B0E07" w:rsidRPr="0090354C" w:rsidRDefault="00495522" w:rsidP="00BF43B3">
      <w:pPr>
        <w:pStyle w:val="BodyText"/>
        <w:spacing w:after="0"/>
        <w:rPr>
          <w:highlight w:val="yellow"/>
        </w:rPr>
      </w:pPr>
      <w:r w:rsidRPr="0090354C">
        <w:t xml:space="preserve">As the State’s infrastructure program has expanded in recent years, the State has seen a commensurate increase in depreciation and amortisation expenses. As seen in Chart 1.5, </w:t>
      </w:r>
      <w:r w:rsidR="00B336E9" w:rsidRPr="0090354C">
        <w:t xml:space="preserve">depreciation </w:t>
      </w:r>
      <w:r w:rsidR="00F661B5" w:rsidRPr="0090354C">
        <w:t xml:space="preserve">and amortisation </w:t>
      </w:r>
      <w:r w:rsidR="00B336E9" w:rsidRPr="0090354C">
        <w:t xml:space="preserve">expenses have </w:t>
      </w:r>
      <w:r w:rsidR="00936D6E" w:rsidRPr="0090354C">
        <w:t xml:space="preserve">more than </w:t>
      </w:r>
      <w:r w:rsidR="00F661B5" w:rsidRPr="0090354C">
        <w:t>doubled</w:t>
      </w:r>
      <w:r w:rsidR="00B336E9" w:rsidRPr="0090354C">
        <w:t xml:space="preserve"> </w:t>
      </w:r>
      <w:r w:rsidR="005B2946" w:rsidRPr="0090354C">
        <w:t xml:space="preserve">between </w:t>
      </w:r>
      <w:r w:rsidR="00F52927" w:rsidRPr="0090354C">
        <w:t>2015-16 ($</w:t>
      </w:r>
      <w:r w:rsidR="007D413D" w:rsidRPr="0090354C">
        <w:t>4.4</w:t>
      </w:r>
      <w:r w:rsidR="00936D6E" w:rsidRPr="0090354C">
        <w:t> </w:t>
      </w:r>
      <w:r w:rsidR="007D413D" w:rsidRPr="0090354C">
        <w:t xml:space="preserve">billion) and </w:t>
      </w:r>
      <w:r w:rsidR="00F661B5" w:rsidRPr="0090354C">
        <w:t>202</w:t>
      </w:r>
      <w:r w:rsidR="00527FF1" w:rsidRPr="0090354C">
        <w:t>4-25</w:t>
      </w:r>
      <w:r w:rsidR="00F661B5" w:rsidRPr="0090354C">
        <w:t xml:space="preserve"> (</w:t>
      </w:r>
      <w:r w:rsidR="004F07D9" w:rsidRPr="0090354C">
        <w:t>$9.</w:t>
      </w:r>
      <w:r w:rsidR="000A252F" w:rsidRPr="0090354C">
        <w:t>7 billion). S</w:t>
      </w:r>
      <w:r w:rsidR="000E01EC" w:rsidRPr="0090354C">
        <w:t>ee Chapter 8 Balance sheet for information on revaluation and depreciation reforms</w:t>
      </w:r>
      <w:r w:rsidR="000A252F" w:rsidRPr="0090354C">
        <w:t xml:space="preserve">. </w:t>
      </w:r>
    </w:p>
    <w:p w14:paraId="5B26E8F7" w14:textId="3FCCE634" w:rsidR="006D6237" w:rsidRPr="0090354C" w:rsidRDefault="006D6237" w:rsidP="00D05565">
      <w:pPr>
        <w:pStyle w:val="Chart1X"/>
      </w:pPr>
      <w:r w:rsidRPr="0090354C">
        <w:lastRenderedPageBreak/>
        <w:t xml:space="preserve">Depreciation </w:t>
      </w:r>
      <w:r w:rsidR="00495522" w:rsidRPr="0090354C">
        <w:t xml:space="preserve">and amortisation </w:t>
      </w:r>
      <w:r w:rsidRPr="0090354C">
        <w:t>expenses</w:t>
      </w:r>
    </w:p>
    <w:p w14:paraId="495D3B9F" w14:textId="1168EC69" w:rsidR="006D6237" w:rsidRPr="0090354C" w:rsidRDefault="00AD2A6C" w:rsidP="006D6237">
      <w:pPr>
        <w:rPr>
          <w:rFonts w:ascii="Public Sans" w:hAnsi="Public Sans"/>
        </w:rPr>
      </w:pPr>
      <w:r w:rsidRPr="0090354C">
        <w:rPr>
          <w:rFonts w:ascii="Public Sans" w:hAnsi="Public Sans"/>
          <w:noProof/>
        </w:rPr>
        <w:drawing>
          <wp:inline distT="0" distB="0" distL="0" distR="0" wp14:anchorId="520B7769" wp14:editId="0AD655F5">
            <wp:extent cx="6118509" cy="2249126"/>
            <wp:effectExtent l="0" t="0" r="0" b="0"/>
            <wp:docPr id="384671330" name="Chart 1" descr="Chart 1.5: Depreciation and amortisation expenses">
              <a:extLst xmlns:a="http://schemas.openxmlformats.org/drawingml/2006/main">
                <a:ext uri="{FF2B5EF4-FFF2-40B4-BE49-F238E27FC236}">
                  <a16:creationId xmlns:a16="http://schemas.microsoft.com/office/drawing/2014/main" id="{31B7964F-AAE3-4D62-B9C6-7C2D54F14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D6237" w:rsidRPr="0090354C">
        <w:rPr>
          <w:rFonts w:ascii="Public Sans" w:hAnsi="Public Sans"/>
          <w:i/>
          <w:iCs/>
          <w:sz w:val="16"/>
          <w:szCs w:val="16"/>
        </w:rPr>
        <w:t>Source: NSW Treasury</w:t>
      </w:r>
    </w:p>
    <w:p w14:paraId="2DD679C2" w14:textId="77777777" w:rsidR="006D6237" w:rsidRPr="0090354C" w:rsidRDefault="006D6237" w:rsidP="00925BF8">
      <w:pPr>
        <w:rPr>
          <w:rFonts w:ascii="Public Sans" w:hAnsi="Public Sans"/>
        </w:rPr>
      </w:pPr>
    </w:p>
    <w:p w14:paraId="797080E3" w14:textId="17EADDC5" w:rsidR="006D6237" w:rsidRPr="0090354C" w:rsidRDefault="006D6237" w:rsidP="0090354C">
      <w:pPr>
        <w:pStyle w:val="Heading3"/>
      </w:pPr>
      <w:r w:rsidRPr="0090354C">
        <w:t>Responsible budget management</w:t>
      </w:r>
    </w:p>
    <w:p w14:paraId="1CD8CCA2" w14:textId="1AFD0968" w:rsidR="00053AB8" w:rsidRPr="0090354C" w:rsidRDefault="001536A7" w:rsidP="005C6776">
      <w:pPr>
        <w:pStyle w:val="BodyText"/>
      </w:pPr>
      <w:r w:rsidRPr="0090354C">
        <w:t xml:space="preserve">Despite </w:t>
      </w:r>
      <w:r w:rsidR="000A252F" w:rsidRPr="0090354C">
        <w:t xml:space="preserve">significant fiscal </w:t>
      </w:r>
      <w:r w:rsidR="00997B6C" w:rsidRPr="0090354C">
        <w:t>challenges</w:t>
      </w:r>
      <w:r w:rsidR="000A252F" w:rsidRPr="0090354C">
        <w:t xml:space="preserve"> and pressures</w:t>
      </w:r>
      <w:r w:rsidRPr="0090354C">
        <w:t>, the</w:t>
      </w:r>
      <w:r w:rsidR="00053AB8" w:rsidRPr="0090354C">
        <w:t xml:space="preserve"> Government remains committed to the two fiscal principles adopted in the 2023</w:t>
      </w:r>
      <w:r w:rsidR="3313AFC4" w:rsidRPr="0090354C">
        <w:t>-</w:t>
      </w:r>
      <w:r w:rsidR="00053AB8" w:rsidRPr="0090354C">
        <w:t>24</w:t>
      </w:r>
      <w:r w:rsidR="00A60872" w:rsidRPr="0090354C">
        <w:t> </w:t>
      </w:r>
      <w:r w:rsidR="00053AB8" w:rsidRPr="0090354C">
        <w:t xml:space="preserve">Budget to guide the State’s fiscal strategy: </w:t>
      </w:r>
    </w:p>
    <w:p w14:paraId="442F3619" w14:textId="77777777" w:rsidR="00053AB8" w:rsidRPr="0090354C" w:rsidRDefault="00053AB8" w:rsidP="005C6776">
      <w:pPr>
        <w:pStyle w:val="Bullet1"/>
      </w:pPr>
      <w:r w:rsidRPr="0090354C">
        <w:t xml:space="preserve">returning to a sustainable operating position </w:t>
      </w:r>
    </w:p>
    <w:p w14:paraId="623B2F5A" w14:textId="77777777" w:rsidR="00053AB8" w:rsidRPr="0090354C" w:rsidRDefault="00053AB8" w:rsidP="005C6776">
      <w:pPr>
        <w:pStyle w:val="Bullet1"/>
      </w:pPr>
      <w:r w:rsidRPr="0090354C">
        <w:t xml:space="preserve">stabilising and then maintaining a sustainable debt position. </w:t>
      </w:r>
    </w:p>
    <w:p w14:paraId="4DA4A5BF" w14:textId="7EF94C6E" w:rsidR="006D6237" w:rsidRPr="0090354C" w:rsidRDefault="006D6237" w:rsidP="005C6776">
      <w:pPr>
        <w:pStyle w:val="BodyText"/>
      </w:pPr>
      <w:r w:rsidRPr="0090354C">
        <w:t xml:space="preserve">Responsible budget management ensures the NSW Government can continue to invest in rebuilding essential services while laying the foundation for our future economic growth. </w:t>
      </w:r>
    </w:p>
    <w:p w14:paraId="3AD8390F" w14:textId="7894FAFB" w:rsidR="00BC2439" w:rsidRPr="0090354C" w:rsidRDefault="00154511" w:rsidP="005C6776">
      <w:pPr>
        <w:pStyle w:val="BodyText"/>
      </w:pPr>
      <w:r w:rsidRPr="0090354C">
        <w:rPr>
          <w:color w:val="auto"/>
        </w:rPr>
        <w:t>T</w:t>
      </w:r>
      <w:r w:rsidR="00053AB8" w:rsidRPr="0090354C">
        <w:rPr>
          <w:color w:val="auto"/>
        </w:rPr>
        <w:t xml:space="preserve">he </w:t>
      </w:r>
      <w:r w:rsidR="00053AB8" w:rsidRPr="0090354C">
        <w:t xml:space="preserve">State’s </w:t>
      </w:r>
      <w:r w:rsidR="009B15B8" w:rsidRPr="0090354C">
        <w:t xml:space="preserve">overall </w:t>
      </w:r>
      <w:r w:rsidR="00053AB8" w:rsidRPr="0090354C">
        <w:t>fiscal position has improved</w:t>
      </w:r>
      <w:r w:rsidR="00BC2439" w:rsidRPr="0090354C">
        <w:t xml:space="preserve"> </w:t>
      </w:r>
      <w:r w:rsidR="008C4A6F" w:rsidRPr="0090354C">
        <w:t xml:space="preserve">over </w:t>
      </w:r>
      <w:r w:rsidR="00D05CA8" w:rsidRPr="0090354C">
        <w:t xml:space="preserve">medium to longer term </w:t>
      </w:r>
      <w:r w:rsidR="00BC2439" w:rsidRPr="0090354C">
        <w:t>with:</w:t>
      </w:r>
    </w:p>
    <w:p w14:paraId="1411B797" w14:textId="1A80B12D" w:rsidR="00BC2439" w:rsidRPr="0090354C" w:rsidRDefault="00ED2C3C" w:rsidP="00D249DC">
      <w:pPr>
        <w:pStyle w:val="Bullet1"/>
      </w:pPr>
      <w:r w:rsidRPr="0090354C">
        <w:t xml:space="preserve">budget </w:t>
      </w:r>
      <w:r w:rsidR="00BC2439" w:rsidRPr="0090354C">
        <w:t>surpluses projected in 2027-28 and 2028-29</w:t>
      </w:r>
    </w:p>
    <w:p w14:paraId="06BCC5BF" w14:textId="5AC1FD45" w:rsidR="00BC2439" w:rsidRPr="0090354C" w:rsidRDefault="00BC2439" w:rsidP="005C6776">
      <w:pPr>
        <w:pStyle w:val="Bullet1"/>
      </w:pPr>
      <w:r w:rsidRPr="0090354C">
        <w:t>gross debt projected to be $</w:t>
      </w:r>
      <w:r w:rsidR="00C81559" w:rsidRPr="0090354C">
        <w:t>178.</w:t>
      </w:r>
      <w:r w:rsidR="00C2321D" w:rsidRPr="0090354C">
        <w:t>8</w:t>
      </w:r>
      <w:r w:rsidR="008F275B" w:rsidRPr="0090354C">
        <w:t xml:space="preserve"> </w:t>
      </w:r>
      <w:r w:rsidRPr="0090354C">
        <w:t xml:space="preserve">billion </w:t>
      </w:r>
      <w:r w:rsidR="00BF58FB">
        <w:t>by</w:t>
      </w:r>
      <w:r w:rsidRPr="0090354C">
        <w:t xml:space="preserve"> June 202</w:t>
      </w:r>
      <w:r w:rsidR="001A635D" w:rsidRPr="0090354C">
        <w:t>6</w:t>
      </w:r>
      <w:r w:rsidRPr="0090354C">
        <w:t>, which is $</w:t>
      </w:r>
      <w:r w:rsidR="001A635D" w:rsidRPr="0090354C">
        <w:t>9.4</w:t>
      </w:r>
      <w:r w:rsidRPr="0090354C">
        <w:t xml:space="preserve"> billion lower than the $188.2</w:t>
      </w:r>
      <w:r w:rsidR="00AF68E9" w:rsidRPr="0090354C">
        <w:t> </w:t>
      </w:r>
      <w:r w:rsidRPr="0090354C">
        <w:t>billion projected in the 2023 Pre-election Budget Update</w:t>
      </w:r>
    </w:p>
    <w:p w14:paraId="26B50CB3" w14:textId="4D6CE99C" w:rsidR="00CA5C97" w:rsidRPr="0090354C" w:rsidRDefault="00FE2B59">
      <w:pPr>
        <w:pStyle w:val="Bullet1"/>
      </w:pPr>
      <w:r w:rsidRPr="0090354C">
        <w:t>g</w:t>
      </w:r>
      <w:r w:rsidR="00CD70AE" w:rsidRPr="0090354C">
        <w:t xml:space="preserve">ross debt to GSP </w:t>
      </w:r>
      <w:r w:rsidR="002E71F5" w:rsidRPr="0090354C">
        <w:t>p</w:t>
      </w:r>
      <w:r w:rsidR="00CD70AE" w:rsidRPr="0090354C">
        <w:t xml:space="preserve">rojected to be 19.5 per cent by June 2025 </w:t>
      </w:r>
      <w:r w:rsidR="00503846" w:rsidRPr="0090354C">
        <w:t>(0.</w:t>
      </w:r>
      <w:r w:rsidR="002E64C7" w:rsidRPr="0090354C">
        <w:t xml:space="preserve">3 </w:t>
      </w:r>
      <w:r w:rsidR="00503846" w:rsidRPr="0090354C">
        <w:t xml:space="preserve">per cent lower than the </w:t>
      </w:r>
      <w:r w:rsidR="007C3A1F" w:rsidRPr="0090354C">
        <w:t xml:space="preserve">2024-25 </w:t>
      </w:r>
      <w:r w:rsidR="00503846" w:rsidRPr="0090354C">
        <w:t xml:space="preserve">Half-Yearly Review) </w:t>
      </w:r>
      <w:r w:rsidR="00CD70AE" w:rsidRPr="0090354C">
        <w:t xml:space="preserve">and remain relatively stable </w:t>
      </w:r>
      <w:r w:rsidR="00E12EEE" w:rsidRPr="0090354C">
        <w:t xml:space="preserve">at </w:t>
      </w:r>
      <w:r w:rsidR="00CF23A6" w:rsidRPr="0090354C">
        <w:t>around 20 per cent of GSP</w:t>
      </w:r>
      <w:r w:rsidR="00CD70AE" w:rsidRPr="0090354C">
        <w:t xml:space="preserve"> over the four years to June 2029</w:t>
      </w:r>
      <w:r w:rsidR="00356BD4" w:rsidRPr="0090354C">
        <w:t>. F</w:t>
      </w:r>
      <w:r w:rsidR="004B5300" w:rsidRPr="0090354C">
        <w:t xml:space="preserve">urther balance sheet movements are outlined in Chapter </w:t>
      </w:r>
      <w:r w:rsidR="000855F5" w:rsidRPr="0090354C">
        <w:t>8</w:t>
      </w:r>
      <w:r w:rsidR="004B5300" w:rsidRPr="0090354C">
        <w:t xml:space="preserve"> Balance </w:t>
      </w:r>
      <w:r w:rsidR="00356BD4" w:rsidRPr="0090354C">
        <w:t>s</w:t>
      </w:r>
      <w:r w:rsidR="004B5300" w:rsidRPr="0090354C">
        <w:t>heet</w:t>
      </w:r>
    </w:p>
    <w:p w14:paraId="5D908FE0" w14:textId="7C3A84A3" w:rsidR="00AE4D37" w:rsidRPr="0090354C" w:rsidRDefault="00CA5C97" w:rsidP="007F1DEB">
      <w:pPr>
        <w:pStyle w:val="Bullet1"/>
      </w:pPr>
      <w:r w:rsidRPr="0090354C">
        <w:t>net de</w:t>
      </w:r>
      <w:r w:rsidR="00496381" w:rsidRPr="0090354C">
        <w:t>b</w:t>
      </w:r>
      <w:r w:rsidRPr="0090354C">
        <w:t xml:space="preserve">t projected to be </w:t>
      </w:r>
      <w:r w:rsidR="00DA742D" w:rsidRPr="0090354C">
        <w:t>$130.7 billion by June 2028 which is $6.5 billion lower compared to the 2024-</w:t>
      </w:r>
      <w:r w:rsidR="00D76FA9" w:rsidRPr="0090354C">
        <w:t>25 Half-Yearly Review. This is mainly driven by a stronger cash operating position over the forward estimates</w:t>
      </w:r>
      <w:r w:rsidR="008462F8" w:rsidRPr="0090354C">
        <w:t xml:space="preserve"> </w:t>
      </w:r>
    </w:p>
    <w:p w14:paraId="20941C73" w14:textId="11A79B66" w:rsidR="00F20FFE" w:rsidRPr="0090354C" w:rsidRDefault="00BC2439" w:rsidP="00DD6CC4">
      <w:pPr>
        <w:pStyle w:val="Bullet1"/>
      </w:pPr>
      <w:r w:rsidRPr="0090354C">
        <w:t>The improved fiscal position is supported by an improved revenue outlook</w:t>
      </w:r>
      <w:r w:rsidR="002C3FFF" w:rsidRPr="0090354C">
        <w:t xml:space="preserve"> while maintaining historically low expense growth</w:t>
      </w:r>
    </w:p>
    <w:p w14:paraId="3C783C19" w14:textId="57E1C935" w:rsidR="00BC2439" w:rsidRPr="0090354C" w:rsidRDefault="00BC2439" w:rsidP="00DD6CC4">
      <w:pPr>
        <w:pStyle w:val="Bullet1"/>
      </w:pPr>
      <w:r w:rsidRPr="353C7C09">
        <w:rPr>
          <w:lang w:val="en-AU"/>
        </w:rPr>
        <w:t>In 2025-26, revenue from the Australian Government is expected to increase</w:t>
      </w:r>
      <w:r w:rsidRPr="353C7C09" w:rsidDel="00486EC3">
        <w:rPr>
          <w:lang w:val="en-AU"/>
        </w:rPr>
        <w:t xml:space="preserve"> </w:t>
      </w:r>
      <w:r w:rsidR="00F27678" w:rsidRPr="353C7C09">
        <w:rPr>
          <w:lang w:val="en-AU"/>
        </w:rPr>
        <w:t xml:space="preserve">by </w:t>
      </w:r>
      <w:r w:rsidR="005B67FC" w:rsidRPr="353C7C09">
        <w:rPr>
          <w:lang w:val="en-AU"/>
        </w:rPr>
        <w:t>$</w:t>
      </w:r>
      <w:r w:rsidR="00007A10" w:rsidRPr="353C7C09">
        <w:rPr>
          <w:lang w:val="en-AU"/>
        </w:rPr>
        <w:t>1.</w:t>
      </w:r>
      <w:r w:rsidR="003E4D2E" w:rsidRPr="353C7C09">
        <w:rPr>
          <w:lang w:val="en-AU"/>
        </w:rPr>
        <w:t>7</w:t>
      </w:r>
      <w:r w:rsidR="00C47280" w:rsidRPr="353C7C09">
        <w:rPr>
          <w:lang w:val="en-AU"/>
        </w:rPr>
        <w:t> </w:t>
      </w:r>
      <w:r w:rsidR="00B14A2D" w:rsidRPr="353C7C09">
        <w:rPr>
          <w:lang w:val="en-AU"/>
        </w:rPr>
        <w:t>billion</w:t>
      </w:r>
      <w:r w:rsidR="005B67FC" w:rsidRPr="353C7C09">
        <w:rPr>
          <w:lang w:val="en-AU"/>
        </w:rPr>
        <w:t xml:space="preserve"> </w:t>
      </w:r>
      <w:r w:rsidR="00444225" w:rsidRPr="353C7C09">
        <w:rPr>
          <w:lang w:val="en-AU"/>
        </w:rPr>
        <w:t>t</w:t>
      </w:r>
      <w:r w:rsidRPr="353C7C09">
        <w:rPr>
          <w:lang w:val="en-AU"/>
        </w:rPr>
        <w:t>o $</w:t>
      </w:r>
      <w:r w:rsidR="00F41053" w:rsidRPr="353C7C09">
        <w:rPr>
          <w:lang w:val="en-AU"/>
        </w:rPr>
        <w:t>49.8</w:t>
      </w:r>
      <w:r w:rsidR="00C51889" w:rsidRPr="353C7C09">
        <w:rPr>
          <w:lang w:val="en-AU"/>
        </w:rPr>
        <w:t> </w:t>
      </w:r>
      <w:r w:rsidRPr="353C7C09">
        <w:rPr>
          <w:lang w:val="en-AU"/>
        </w:rPr>
        <w:t>billion compared to the</w:t>
      </w:r>
      <w:r w:rsidR="006A7D5D" w:rsidRPr="353C7C09">
        <w:rPr>
          <w:lang w:val="en-AU"/>
        </w:rPr>
        <w:t xml:space="preserve"> </w:t>
      </w:r>
      <w:r w:rsidRPr="353C7C09">
        <w:rPr>
          <w:lang w:val="en-AU"/>
        </w:rPr>
        <w:t xml:space="preserve">2024-25 Half-Yearly Review. This is mainly driven by </w:t>
      </w:r>
      <w:r w:rsidR="007D7A98" w:rsidRPr="353C7C09">
        <w:rPr>
          <w:lang w:val="en-AU"/>
        </w:rPr>
        <w:t>the agreement of the landmark Better and Fairer Schools Agreement</w:t>
      </w:r>
      <w:r w:rsidR="0007179E" w:rsidRPr="353C7C09">
        <w:rPr>
          <w:lang w:val="en-AU"/>
        </w:rPr>
        <w:t>,</w:t>
      </w:r>
      <w:r w:rsidR="007D7A98" w:rsidRPr="353C7C09">
        <w:rPr>
          <w:lang w:val="en-AU"/>
        </w:rPr>
        <w:t xml:space="preserve"> a one</w:t>
      </w:r>
      <w:r w:rsidR="00EE5A4C" w:rsidRPr="353C7C09">
        <w:rPr>
          <w:lang w:val="en-AU"/>
        </w:rPr>
        <w:t>-</w:t>
      </w:r>
      <w:r w:rsidR="007D7A98" w:rsidRPr="353C7C09">
        <w:rPr>
          <w:lang w:val="en-AU"/>
        </w:rPr>
        <w:t xml:space="preserve">year extension of the National Health Reform Agreement </w:t>
      </w:r>
      <w:r w:rsidR="0089706C" w:rsidRPr="353C7C09">
        <w:rPr>
          <w:lang w:val="en-AU"/>
        </w:rPr>
        <w:t>and improvements to the national GST pool</w:t>
      </w:r>
      <w:r w:rsidRPr="353C7C09">
        <w:rPr>
          <w:lang w:val="en-AU"/>
        </w:rPr>
        <w:t xml:space="preserve">. Further details on Australian Government revenue </w:t>
      </w:r>
      <w:r w:rsidR="000019E2" w:rsidRPr="353C7C09">
        <w:rPr>
          <w:lang w:val="en-AU"/>
        </w:rPr>
        <w:t>are</w:t>
      </w:r>
      <w:r w:rsidRPr="353C7C09">
        <w:rPr>
          <w:lang w:val="en-AU"/>
        </w:rPr>
        <w:t xml:space="preserve"> outlined in Chapter 6 Federal </w:t>
      </w:r>
      <w:r w:rsidR="00B16D05" w:rsidRPr="353C7C09">
        <w:rPr>
          <w:lang w:val="en-AU"/>
        </w:rPr>
        <w:t>f</w:t>
      </w:r>
      <w:r w:rsidRPr="353C7C09">
        <w:rPr>
          <w:lang w:val="en-AU"/>
        </w:rPr>
        <w:t xml:space="preserve">inancial </w:t>
      </w:r>
      <w:r w:rsidR="00B16D05" w:rsidRPr="353C7C09">
        <w:rPr>
          <w:lang w:val="en-AU"/>
        </w:rPr>
        <w:t>r</w:t>
      </w:r>
      <w:r w:rsidRPr="353C7C09">
        <w:rPr>
          <w:lang w:val="en-AU"/>
        </w:rPr>
        <w:t>elations.</w:t>
      </w:r>
    </w:p>
    <w:p w14:paraId="0D11C464" w14:textId="77777777" w:rsidR="006208DE" w:rsidRPr="0090354C" w:rsidRDefault="006208DE">
      <w:pPr>
        <w:spacing w:before="360" w:after="120"/>
        <w:ind w:left="851" w:hanging="851"/>
        <w:rPr>
          <w:rFonts w:ascii="Public Sans" w:hAnsi="Public Sans"/>
          <w:b/>
          <w:bCs/>
          <w:color w:val="000000" w:themeColor="text1"/>
          <w:kern w:val="28"/>
          <w:sz w:val="26"/>
          <w:szCs w:val="28"/>
        </w:rPr>
      </w:pPr>
      <w:r w:rsidRPr="0090354C">
        <w:rPr>
          <w:rFonts w:ascii="Public Sans" w:hAnsi="Public Sans"/>
        </w:rPr>
        <w:br w:type="page"/>
      </w:r>
    </w:p>
    <w:p w14:paraId="35AA34FC" w14:textId="4455079C" w:rsidR="00B16D05" w:rsidRPr="0090354C" w:rsidRDefault="00C9485C" w:rsidP="0090354C">
      <w:pPr>
        <w:pStyle w:val="Heading3"/>
      </w:pPr>
      <w:r w:rsidRPr="0090354C">
        <w:lastRenderedPageBreak/>
        <w:t>Reducing debt</w:t>
      </w:r>
      <w:r w:rsidR="00766256" w:rsidRPr="0090354C">
        <w:t xml:space="preserve"> to GSP </w:t>
      </w:r>
    </w:p>
    <w:p w14:paraId="4799F370" w14:textId="7A9A6740" w:rsidR="00AE7BD3" w:rsidRPr="0090354C" w:rsidRDefault="00AE7BD3" w:rsidP="005C6776">
      <w:pPr>
        <w:pStyle w:val="BodyText"/>
      </w:pPr>
      <w:r w:rsidRPr="0090354C">
        <w:t xml:space="preserve">The Government has </w:t>
      </w:r>
      <w:r w:rsidR="00DB38FF" w:rsidRPr="0090354C">
        <w:t xml:space="preserve">stabilised </w:t>
      </w:r>
      <w:r w:rsidRPr="0090354C">
        <w:t xml:space="preserve">the State’s debt position while maintaining </w:t>
      </w:r>
      <w:r w:rsidR="00DB38FF" w:rsidRPr="0090354C">
        <w:t>a large</w:t>
      </w:r>
      <w:r w:rsidRPr="0090354C">
        <w:t xml:space="preserve"> infrastructure program</w:t>
      </w:r>
      <w:r w:rsidR="00DB38FF" w:rsidRPr="0090354C">
        <w:t xml:space="preserve"> to meet the service needs of a growing population</w:t>
      </w:r>
      <w:r w:rsidRPr="0090354C">
        <w:t xml:space="preserve">. </w:t>
      </w:r>
      <w:r w:rsidR="000D7A5A" w:rsidRPr="0090354C">
        <w:t>Infrastructure</w:t>
      </w:r>
      <w:r w:rsidR="00660D16" w:rsidRPr="0090354C">
        <w:t xml:space="preserve"> </w:t>
      </w:r>
      <w:r w:rsidRPr="0090354C">
        <w:t xml:space="preserve">investment </w:t>
      </w:r>
      <w:r w:rsidR="00660D16" w:rsidRPr="0090354C">
        <w:t xml:space="preserve">in the </w:t>
      </w:r>
      <w:r w:rsidR="00DA2D4D" w:rsidRPr="0090354C">
        <w:t>n</w:t>
      </w:r>
      <w:r w:rsidR="009F3C18" w:rsidRPr="0090354C">
        <w:t>on-</w:t>
      </w:r>
      <w:r w:rsidR="00DA2D4D" w:rsidRPr="0090354C">
        <w:t>f</w:t>
      </w:r>
      <w:r w:rsidR="009F3C18" w:rsidRPr="0090354C">
        <w:t>inancial</w:t>
      </w:r>
      <w:r w:rsidR="00660D16" w:rsidRPr="0090354C">
        <w:t xml:space="preserve"> </w:t>
      </w:r>
      <w:r w:rsidR="00DA2D4D" w:rsidRPr="0090354C">
        <w:t>p</w:t>
      </w:r>
      <w:r w:rsidR="00660D16" w:rsidRPr="0090354C">
        <w:t xml:space="preserve">ublic </w:t>
      </w:r>
      <w:r w:rsidR="00DA2D4D" w:rsidRPr="0090354C">
        <w:t>s</w:t>
      </w:r>
      <w:r w:rsidR="00660D16" w:rsidRPr="0090354C">
        <w:t xml:space="preserve">ector (NFPS) </w:t>
      </w:r>
      <w:r w:rsidRPr="0090354C">
        <w:t>is projected to be $</w:t>
      </w:r>
      <w:r w:rsidR="007F1DB3" w:rsidRPr="0090354C">
        <w:t>118.3</w:t>
      </w:r>
      <w:r w:rsidRPr="0090354C">
        <w:t xml:space="preserve"> billion over the four years to 2028-29, with:</w:t>
      </w:r>
    </w:p>
    <w:p w14:paraId="781CE900" w14:textId="0FFC084C" w:rsidR="00AE7BD3" w:rsidRPr="0090354C" w:rsidRDefault="00BD0A08" w:rsidP="005C6776">
      <w:pPr>
        <w:pStyle w:val="Bullet1"/>
      </w:pPr>
      <w:r w:rsidRPr="0090354C">
        <w:t xml:space="preserve">additional funding for </w:t>
      </w:r>
      <w:r w:rsidR="00DD5079" w:rsidRPr="0090354C">
        <w:t>schools’</w:t>
      </w:r>
      <w:r w:rsidRPr="0090354C">
        <w:t xml:space="preserve"> infrastructure </w:t>
      </w:r>
      <w:r w:rsidR="004B3ACF" w:rsidRPr="0090354C">
        <w:t xml:space="preserve">helping maintain the </w:t>
      </w:r>
      <w:r w:rsidR="00DA2D4D" w:rsidRPr="0090354C">
        <w:t>g</w:t>
      </w:r>
      <w:r w:rsidR="004B3ACF" w:rsidRPr="0090354C">
        <w:t xml:space="preserve">eneral </w:t>
      </w:r>
      <w:r w:rsidR="00DA2D4D" w:rsidRPr="0090354C">
        <w:t>g</w:t>
      </w:r>
      <w:r w:rsidR="004B3ACF" w:rsidRPr="0090354C">
        <w:t>overnment infrastructure program a</w:t>
      </w:r>
      <w:r w:rsidR="00EB3F76" w:rsidRPr="0090354C">
        <w:t>t</w:t>
      </w:r>
      <w:r w:rsidR="004B3ACF" w:rsidRPr="0090354C">
        <w:t xml:space="preserve"> $86.0 billion</w:t>
      </w:r>
      <w:r w:rsidR="00AE7BD3" w:rsidRPr="0090354C">
        <w:t xml:space="preserve">. An overview of the State’s infrastructure program can be found in </w:t>
      </w:r>
      <w:r w:rsidR="000855F5" w:rsidRPr="0090354C">
        <w:t xml:space="preserve">Budget Paper No.3 </w:t>
      </w:r>
      <w:r w:rsidR="000855F5" w:rsidRPr="0090354C">
        <w:rPr>
          <w:i/>
        </w:rPr>
        <w:t>Infrastructure Statement</w:t>
      </w:r>
    </w:p>
    <w:p w14:paraId="082392A0" w14:textId="3B2D22D9" w:rsidR="00AE7BD3" w:rsidRPr="0090354C" w:rsidRDefault="00190137" w:rsidP="005C6776">
      <w:pPr>
        <w:pStyle w:val="Bullet1"/>
      </w:pPr>
      <w:r w:rsidRPr="0090354C">
        <w:t xml:space="preserve">a </w:t>
      </w:r>
      <w:r w:rsidR="00DA2D4D" w:rsidRPr="0090354C">
        <w:t>p</w:t>
      </w:r>
      <w:r w:rsidRPr="0090354C">
        <w:t xml:space="preserve">ublic </w:t>
      </w:r>
      <w:r w:rsidR="00DA2D4D" w:rsidRPr="0090354C">
        <w:t>n</w:t>
      </w:r>
      <w:r w:rsidRPr="0090354C">
        <w:t>on-</w:t>
      </w:r>
      <w:r w:rsidR="00DA2D4D" w:rsidRPr="0090354C">
        <w:t>f</w:t>
      </w:r>
      <w:r w:rsidRPr="0090354C">
        <w:t xml:space="preserve">inancial </w:t>
      </w:r>
      <w:r w:rsidR="00DA2D4D" w:rsidRPr="0090354C">
        <w:t>c</w:t>
      </w:r>
      <w:r w:rsidRPr="0090354C">
        <w:t xml:space="preserve">orporation infrastructure program of </w:t>
      </w:r>
      <w:r w:rsidR="002528B2" w:rsidRPr="0090354C">
        <w:t>$32.</w:t>
      </w:r>
      <w:r w:rsidR="00EB05BF" w:rsidRPr="0090354C">
        <w:t>6</w:t>
      </w:r>
      <w:r w:rsidR="005706B2" w:rsidRPr="0090354C">
        <w:t xml:space="preserve"> </w:t>
      </w:r>
      <w:r w:rsidR="002528B2" w:rsidRPr="0090354C">
        <w:t>billion</w:t>
      </w:r>
      <w:r w:rsidR="00DA2D4D" w:rsidRPr="0090354C">
        <w:t>. A</w:t>
      </w:r>
      <w:r w:rsidR="00AE7BD3" w:rsidRPr="0090354C">
        <w:t xml:space="preserve">n overview of the </w:t>
      </w:r>
      <w:r w:rsidR="004B6B70" w:rsidRPr="0090354C">
        <w:t xml:space="preserve">government </w:t>
      </w:r>
      <w:r w:rsidR="00AE7BD3" w:rsidRPr="0090354C">
        <w:t>businesses’ infrastructure program</w:t>
      </w:r>
      <w:r w:rsidR="004B6B70" w:rsidRPr="0090354C">
        <w:t>s</w:t>
      </w:r>
      <w:r w:rsidR="00AE7BD3" w:rsidRPr="0090354C">
        <w:t xml:space="preserve"> can be found in Chapter </w:t>
      </w:r>
      <w:r w:rsidR="000855F5" w:rsidRPr="0090354C">
        <w:t>9</w:t>
      </w:r>
      <w:r w:rsidR="00AE7BD3" w:rsidRPr="0090354C">
        <w:t xml:space="preserve"> Government </w:t>
      </w:r>
      <w:r w:rsidR="00DA2D4D" w:rsidRPr="0090354C">
        <w:t>b</w:t>
      </w:r>
      <w:r w:rsidR="00AE7BD3" w:rsidRPr="0090354C">
        <w:t xml:space="preserve">usinesses. </w:t>
      </w:r>
    </w:p>
    <w:p w14:paraId="10D9D164" w14:textId="58BD641B" w:rsidR="001B644C" w:rsidRPr="0090354C" w:rsidRDefault="001B644C" w:rsidP="001B644C">
      <w:pPr>
        <w:pStyle w:val="Table1X"/>
      </w:pPr>
      <w:r w:rsidRPr="0090354C">
        <w:t xml:space="preserve">Key </w:t>
      </w:r>
      <w:r w:rsidR="590E2C32" w:rsidRPr="0090354C">
        <w:t>b</w:t>
      </w:r>
      <w:r w:rsidRPr="0090354C">
        <w:t xml:space="preserve">udget aggregates for the general government sector </w:t>
      </w:r>
    </w:p>
    <w:tbl>
      <w:tblPr>
        <w:tblW w:w="9638" w:type="dxa"/>
        <w:tblLayout w:type="fixed"/>
        <w:tblLook w:val="04A0" w:firstRow="1" w:lastRow="0" w:firstColumn="1" w:lastColumn="0" w:noHBand="0" w:noVBand="1"/>
        <w:tblCaption w:val="Table 1.2: Key budget aggregates for the general government sector "/>
      </w:tblPr>
      <w:tblGrid>
        <w:gridCol w:w="3248"/>
        <w:gridCol w:w="1051"/>
        <w:gridCol w:w="1088"/>
        <w:gridCol w:w="1133"/>
        <w:gridCol w:w="1039"/>
        <w:gridCol w:w="1039"/>
        <w:gridCol w:w="1040"/>
      </w:tblGrid>
      <w:tr w:rsidR="001B644C" w:rsidRPr="0090354C" w14:paraId="00484F64" w14:textId="77777777" w:rsidTr="00387A46">
        <w:trPr>
          <w:trHeight w:val="283"/>
        </w:trPr>
        <w:tc>
          <w:tcPr>
            <w:tcW w:w="3248" w:type="dxa"/>
            <w:shd w:val="clear" w:color="auto" w:fill="EBEBEB"/>
            <w:noWrap/>
            <w:hideMark/>
          </w:tcPr>
          <w:p w14:paraId="0F42A86C" w14:textId="77777777" w:rsidR="001B644C" w:rsidRPr="0090354C" w:rsidRDefault="001B644C">
            <w:pPr>
              <w:jc w:val="center"/>
              <w:rPr>
                <w:rFonts w:ascii="Public Sans" w:hAnsi="Public Sans" w:cs="Arial"/>
                <w:sz w:val="17"/>
                <w:szCs w:val="17"/>
                <w:lang w:eastAsia="en-AU"/>
              </w:rPr>
            </w:pPr>
            <w:r w:rsidRPr="0090354C">
              <w:rPr>
                <w:rFonts w:ascii="Public Sans" w:hAnsi="Public Sans" w:cs="Arial"/>
                <w:sz w:val="17"/>
                <w:szCs w:val="17"/>
                <w:lang w:eastAsia="en-AU"/>
              </w:rPr>
              <w:t> </w:t>
            </w:r>
          </w:p>
        </w:tc>
        <w:tc>
          <w:tcPr>
            <w:tcW w:w="1051" w:type="dxa"/>
            <w:shd w:val="clear" w:color="auto" w:fill="EBEBEB"/>
            <w:noWrap/>
            <w:vAlign w:val="bottom"/>
            <w:hideMark/>
          </w:tcPr>
          <w:p w14:paraId="0B43E877" w14:textId="77777777" w:rsidR="001B644C" w:rsidRPr="0090354C" w:rsidRDefault="001B644C">
            <w:pPr>
              <w:jc w:val="center"/>
              <w:rPr>
                <w:rFonts w:ascii="Public Sans" w:hAnsi="Public Sans" w:cs="Arial"/>
                <w:sz w:val="17"/>
                <w:szCs w:val="17"/>
                <w:lang w:eastAsia="en-AU"/>
              </w:rPr>
            </w:pPr>
            <w:r w:rsidRPr="0090354C">
              <w:rPr>
                <w:rFonts w:ascii="Public Sans" w:hAnsi="Public Sans"/>
                <w:sz w:val="17"/>
                <w:szCs w:val="17"/>
              </w:rPr>
              <w:t>2023-24</w:t>
            </w:r>
          </w:p>
        </w:tc>
        <w:tc>
          <w:tcPr>
            <w:tcW w:w="1088" w:type="dxa"/>
            <w:shd w:val="clear" w:color="auto" w:fill="EBEBEB"/>
            <w:noWrap/>
            <w:vAlign w:val="bottom"/>
            <w:hideMark/>
          </w:tcPr>
          <w:p w14:paraId="4739DDAB" w14:textId="77777777" w:rsidR="001B644C" w:rsidRPr="0090354C" w:rsidRDefault="001B644C">
            <w:pPr>
              <w:jc w:val="center"/>
              <w:rPr>
                <w:rFonts w:ascii="Public Sans" w:hAnsi="Public Sans" w:cs="Arial"/>
                <w:sz w:val="17"/>
                <w:szCs w:val="17"/>
                <w:lang w:eastAsia="en-AU"/>
              </w:rPr>
            </w:pPr>
            <w:r w:rsidRPr="0090354C">
              <w:rPr>
                <w:rFonts w:ascii="Public Sans" w:hAnsi="Public Sans"/>
                <w:sz w:val="17"/>
                <w:szCs w:val="17"/>
              </w:rPr>
              <w:t>2024-25</w:t>
            </w:r>
          </w:p>
        </w:tc>
        <w:tc>
          <w:tcPr>
            <w:tcW w:w="1133" w:type="dxa"/>
            <w:shd w:val="clear" w:color="auto" w:fill="EBEBEB"/>
            <w:noWrap/>
            <w:vAlign w:val="bottom"/>
            <w:hideMark/>
          </w:tcPr>
          <w:p w14:paraId="11F9CB0E" w14:textId="794A2E9D" w:rsidR="001B644C" w:rsidRPr="0090354C" w:rsidRDefault="001B644C">
            <w:pPr>
              <w:jc w:val="center"/>
              <w:rPr>
                <w:rFonts w:ascii="Public Sans" w:hAnsi="Public Sans" w:cs="Arial"/>
                <w:sz w:val="17"/>
                <w:szCs w:val="17"/>
                <w:lang w:eastAsia="en-AU"/>
              </w:rPr>
            </w:pPr>
            <w:r w:rsidRPr="0090354C">
              <w:rPr>
                <w:rFonts w:ascii="Public Sans" w:hAnsi="Public Sans"/>
                <w:sz w:val="17"/>
                <w:szCs w:val="17"/>
              </w:rPr>
              <w:t>2025-26</w:t>
            </w:r>
          </w:p>
        </w:tc>
        <w:tc>
          <w:tcPr>
            <w:tcW w:w="1039" w:type="dxa"/>
            <w:shd w:val="clear" w:color="auto" w:fill="EBEBEB"/>
            <w:noWrap/>
            <w:vAlign w:val="bottom"/>
            <w:hideMark/>
          </w:tcPr>
          <w:p w14:paraId="36EF9B13" w14:textId="77777777" w:rsidR="001B644C" w:rsidRPr="0090354C" w:rsidRDefault="001B644C">
            <w:pPr>
              <w:jc w:val="center"/>
              <w:rPr>
                <w:rFonts w:ascii="Public Sans" w:hAnsi="Public Sans" w:cs="Arial"/>
                <w:sz w:val="17"/>
                <w:szCs w:val="17"/>
                <w:lang w:eastAsia="en-AU"/>
              </w:rPr>
            </w:pPr>
            <w:r w:rsidRPr="0090354C">
              <w:rPr>
                <w:rFonts w:ascii="Public Sans" w:hAnsi="Public Sans"/>
                <w:sz w:val="17"/>
                <w:szCs w:val="17"/>
              </w:rPr>
              <w:t>2026-27</w:t>
            </w:r>
          </w:p>
        </w:tc>
        <w:tc>
          <w:tcPr>
            <w:tcW w:w="1039" w:type="dxa"/>
            <w:shd w:val="clear" w:color="auto" w:fill="EBEBEB"/>
            <w:noWrap/>
            <w:vAlign w:val="bottom"/>
            <w:hideMark/>
          </w:tcPr>
          <w:p w14:paraId="211CEA37" w14:textId="77777777" w:rsidR="001B644C" w:rsidRPr="0090354C" w:rsidRDefault="001B644C">
            <w:pPr>
              <w:jc w:val="center"/>
              <w:rPr>
                <w:rFonts w:ascii="Public Sans" w:hAnsi="Public Sans" w:cs="Arial"/>
                <w:sz w:val="17"/>
                <w:szCs w:val="17"/>
                <w:lang w:eastAsia="en-AU"/>
              </w:rPr>
            </w:pPr>
            <w:r w:rsidRPr="0090354C">
              <w:rPr>
                <w:rFonts w:ascii="Public Sans" w:hAnsi="Public Sans"/>
                <w:sz w:val="17"/>
                <w:szCs w:val="17"/>
              </w:rPr>
              <w:t>2027-28</w:t>
            </w:r>
          </w:p>
        </w:tc>
        <w:tc>
          <w:tcPr>
            <w:tcW w:w="1040" w:type="dxa"/>
            <w:shd w:val="clear" w:color="auto" w:fill="EBEBEB"/>
            <w:noWrap/>
            <w:vAlign w:val="bottom"/>
            <w:hideMark/>
          </w:tcPr>
          <w:p w14:paraId="6D52104D" w14:textId="77777777" w:rsidR="001B644C" w:rsidRPr="0090354C" w:rsidRDefault="001B644C">
            <w:pPr>
              <w:jc w:val="center"/>
              <w:rPr>
                <w:rFonts w:ascii="Public Sans" w:hAnsi="Public Sans" w:cs="Arial"/>
                <w:sz w:val="17"/>
                <w:szCs w:val="17"/>
                <w:lang w:eastAsia="en-AU"/>
              </w:rPr>
            </w:pPr>
            <w:r w:rsidRPr="0090354C">
              <w:rPr>
                <w:rFonts w:ascii="Public Sans" w:hAnsi="Public Sans" w:cs="Arial"/>
                <w:sz w:val="17"/>
                <w:szCs w:val="17"/>
                <w:lang w:eastAsia="en-AU"/>
              </w:rPr>
              <w:t>2028-29</w:t>
            </w:r>
          </w:p>
        </w:tc>
      </w:tr>
      <w:tr w:rsidR="001B644C" w:rsidRPr="0090354C" w14:paraId="377FBA3D" w14:textId="77777777" w:rsidTr="00387A46">
        <w:trPr>
          <w:trHeight w:val="283"/>
        </w:trPr>
        <w:tc>
          <w:tcPr>
            <w:tcW w:w="3248" w:type="dxa"/>
            <w:shd w:val="clear" w:color="auto" w:fill="EBEBEB"/>
            <w:noWrap/>
          </w:tcPr>
          <w:p w14:paraId="711A54B7" w14:textId="77777777" w:rsidR="001B644C" w:rsidRPr="0090354C" w:rsidRDefault="001B644C">
            <w:pPr>
              <w:jc w:val="center"/>
              <w:rPr>
                <w:rFonts w:ascii="Public Sans" w:hAnsi="Public Sans" w:cs="Arial"/>
                <w:sz w:val="17"/>
                <w:szCs w:val="17"/>
                <w:lang w:eastAsia="en-AU"/>
              </w:rPr>
            </w:pPr>
          </w:p>
        </w:tc>
        <w:tc>
          <w:tcPr>
            <w:tcW w:w="1051" w:type="dxa"/>
            <w:shd w:val="clear" w:color="auto" w:fill="EBEBEB"/>
            <w:noWrap/>
          </w:tcPr>
          <w:p w14:paraId="1A30E2D3" w14:textId="77777777" w:rsidR="001B644C" w:rsidRPr="0090354C" w:rsidRDefault="001B644C">
            <w:pPr>
              <w:jc w:val="center"/>
              <w:rPr>
                <w:rFonts w:ascii="Public Sans" w:hAnsi="Public Sans" w:cs="Arial"/>
                <w:sz w:val="17"/>
                <w:szCs w:val="17"/>
                <w:lang w:eastAsia="en-AU"/>
              </w:rPr>
            </w:pPr>
            <w:r w:rsidRPr="0090354C">
              <w:rPr>
                <w:rFonts w:ascii="Public Sans" w:hAnsi="Public Sans" w:cs="Arial"/>
                <w:sz w:val="17"/>
                <w:szCs w:val="17"/>
                <w:lang w:eastAsia="en-AU"/>
              </w:rPr>
              <w:t>Actual</w:t>
            </w:r>
          </w:p>
        </w:tc>
        <w:tc>
          <w:tcPr>
            <w:tcW w:w="1088" w:type="dxa"/>
            <w:shd w:val="clear" w:color="auto" w:fill="EBEBEB"/>
            <w:noWrap/>
          </w:tcPr>
          <w:p w14:paraId="607A818E" w14:textId="77777777" w:rsidR="001B644C" w:rsidRPr="0090354C" w:rsidRDefault="001B644C">
            <w:pPr>
              <w:jc w:val="center"/>
              <w:rPr>
                <w:rFonts w:ascii="Public Sans" w:hAnsi="Public Sans" w:cs="Arial"/>
                <w:sz w:val="17"/>
                <w:szCs w:val="17"/>
                <w:lang w:eastAsia="en-AU"/>
              </w:rPr>
            </w:pPr>
            <w:r w:rsidRPr="0090354C">
              <w:rPr>
                <w:rFonts w:ascii="Public Sans" w:hAnsi="Public Sans" w:cs="Arial"/>
                <w:sz w:val="17"/>
                <w:szCs w:val="17"/>
                <w:lang w:eastAsia="en-AU"/>
              </w:rPr>
              <w:t>Revised</w:t>
            </w:r>
          </w:p>
        </w:tc>
        <w:tc>
          <w:tcPr>
            <w:tcW w:w="1133" w:type="dxa"/>
            <w:shd w:val="clear" w:color="auto" w:fill="EBEBEB"/>
            <w:noWrap/>
          </w:tcPr>
          <w:p w14:paraId="56C91AAC" w14:textId="77777777" w:rsidR="001B644C" w:rsidRPr="0090354C" w:rsidRDefault="001B644C">
            <w:pPr>
              <w:jc w:val="center"/>
              <w:rPr>
                <w:rFonts w:ascii="Public Sans" w:hAnsi="Public Sans" w:cs="Arial"/>
                <w:sz w:val="17"/>
                <w:szCs w:val="17"/>
                <w:lang w:eastAsia="en-AU"/>
              </w:rPr>
            </w:pPr>
            <w:r w:rsidRPr="0090354C">
              <w:rPr>
                <w:rFonts w:ascii="Public Sans" w:hAnsi="Public Sans" w:cs="Arial"/>
                <w:sz w:val="17"/>
                <w:szCs w:val="17"/>
                <w:lang w:eastAsia="en-AU"/>
              </w:rPr>
              <w:t>Budget</w:t>
            </w:r>
          </w:p>
        </w:tc>
        <w:tc>
          <w:tcPr>
            <w:tcW w:w="3118" w:type="dxa"/>
            <w:gridSpan w:val="3"/>
            <w:shd w:val="clear" w:color="auto" w:fill="EBEBEB"/>
            <w:noWrap/>
          </w:tcPr>
          <w:p w14:paraId="7C111C83" w14:textId="77777777" w:rsidR="001B644C" w:rsidRPr="0090354C" w:rsidRDefault="001B644C">
            <w:pPr>
              <w:jc w:val="center"/>
              <w:rPr>
                <w:rFonts w:ascii="Public Sans" w:hAnsi="Public Sans" w:cs="Arial"/>
                <w:sz w:val="17"/>
                <w:szCs w:val="17"/>
                <w:lang w:eastAsia="en-AU"/>
              </w:rPr>
            </w:pPr>
            <w:r w:rsidRPr="0090354C">
              <w:rPr>
                <w:rFonts w:ascii="Public Sans" w:hAnsi="Public Sans" w:cs="Arial"/>
                <w:sz w:val="17"/>
                <w:szCs w:val="17"/>
                <w:lang w:eastAsia="en-AU"/>
              </w:rPr>
              <w:t>Forward Estimates</w:t>
            </w:r>
          </w:p>
        </w:tc>
      </w:tr>
      <w:tr w:rsidR="001B644C" w:rsidRPr="0090354C" w14:paraId="0B0A89B5" w14:textId="77777777" w:rsidTr="00387A46">
        <w:trPr>
          <w:trHeight w:val="270"/>
        </w:trPr>
        <w:tc>
          <w:tcPr>
            <w:tcW w:w="3248" w:type="dxa"/>
            <w:tcBorders>
              <w:left w:val="nil"/>
              <w:bottom w:val="nil"/>
              <w:right w:val="nil"/>
            </w:tcBorders>
            <w:shd w:val="clear" w:color="auto" w:fill="FFFFFF" w:themeFill="text2"/>
            <w:noWrap/>
            <w:vAlign w:val="bottom"/>
            <w:hideMark/>
          </w:tcPr>
          <w:p w14:paraId="3A187853"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Revenue ($m)</w:t>
            </w:r>
          </w:p>
        </w:tc>
        <w:tc>
          <w:tcPr>
            <w:tcW w:w="1051" w:type="dxa"/>
            <w:tcBorders>
              <w:left w:val="nil"/>
              <w:bottom w:val="nil"/>
              <w:right w:val="nil"/>
            </w:tcBorders>
            <w:shd w:val="clear" w:color="auto" w:fill="FFFFFF" w:themeFill="text2"/>
            <w:noWrap/>
            <w:vAlign w:val="center"/>
          </w:tcPr>
          <w:p w14:paraId="57CCCA8A" w14:textId="0E261833" w:rsidR="001B644C" w:rsidRPr="0090354C" w:rsidRDefault="00957606"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110,219</w:t>
            </w:r>
          </w:p>
        </w:tc>
        <w:tc>
          <w:tcPr>
            <w:tcW w:w="1088" w:type="dxa"/>
            <w:tcBorders>
              <w:left w:val="nil"/>
              <w:bottom w:val="nil"/>
              <w:right w:val="nil"/>
            </w:tcBorders>
            <w:noWrap/>
            <w:vAlign w:val="center"/>
          </w:tcPr>
          <w:p w14:paraId="6682E76C" w14:textId="667B0DFA" w:rsidR="001B644C" w:rsidRPr="0090354C" w:rsidRDefault="00957606"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118,090</w:t>
            </w:r>
          </w:p>
        </w:tc>
        <w:tc>
          <w:tcPr>
            <w:tcW w:w="1133" w:type="dxa"/>
            <w:tcBorders>
              <w:left w:val="nil"/>
              <w:bottom w:val="nil"/>
              <w:right w:val="nil"/>
            </w:tcBorders>
            <w:noWrap/>
            <w:vAlign w:val="center"/>
          </w:tcPr>
          <w:p w14:paraId="46F50B87" w14:textId="19D42B88" w:rsidR="001B644C" w:rsidRPr="0090354C" w:rsidRDefault="00A8372D"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124,154</w:t>
            </w:r>
          </w:p>
        </w:tc>
        <w:tc>
          <w:tcPr>
            <w:tcW w:w="1039" w:type="dxa"/>
            <w:tcBorders>
              <w:left w:val="nil"/>
              <w:bottom w:val="nil"/>
              <w:right w:val="nil"/>
            </w:tcBorders>
            <w:noWrap/>
            <w:vAlign w:val="center"/>
          </w:tcPr>
          <w:p w14:paraId="41C80618" w14:textId="7B96AF9C" w:rsidR="001B644C" w:rsidRPr="0090354C" w:rsidRDefault="00A8372D"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128,038</w:t>
            </w:r>
          </w:p>
        </w:tc>
        <w:tc>
          <w:tcPr>
            <w:tcW w:w="1039" w:type="dxa"/>
            <w:tcBorders>
              <w:left w:val="nil"/>
              <w:bottom w:val="nil"/>
              <w:right w:val="nil"/>
            </w:tcBorders>
            <w:noWrap/>
            <w:vAlign w:val="center"/>
          </w:tcPr>
          <w:p w14:paraId="319EAE92" w14:textId="5EDBDE25" w:rsidR="001B644C" w:rsidRPr="0090354C" w:rsidRDefault="00A8372D"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133,232</w:t>
            </w:r>
          </w:p>
        </w:tc>
        <w:tc>
          <w:tcPr>
            <w:tcW w:w="1040" w:type="dxa"/>
            <w:tcBorders>
              <w:left w:val="nil"/>
              <w:bottom w:val="nil"/>
              <w:right w:val="nil"/>
            </w:tcBorders>
            <w:noWrap/>
            <w:vAlign w:val="center"/>
          </w:tcPr>
          <w:p w14:paraId="2F9BE770" w14:textId="33E60FA1" w:rsidR="001B644C" w:rsidRPr="0090354C" w:rsidRDefault="00A8372D"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137,135</w:t>
            </w:r>
          </w:p>
        </w:tc>
      </w:tr>
      <w:tr w:rsidR="001B644C" w:rsidRPr="0090354C" w14:paraId="7984E6A2" w14:textId="77777777" w:rsidTr="00387A46">
        <w:trPr>
          <w:trHeight w:val="224"/>
        </w:trPr>
        <w:tc>
          <w:tcPr>
            <w:tcW w:w="3248" w:type="dxa"/>
            <w:tcBorders>
              <w:top w:val="nil"/>
              <w:left w:val="nil"/>
              <w:bottom w:val="nil"/>
              <w:right w:val="nil"/>
            </w:tcBorders>
            <w:shd w:val="clear" w:color="auto" w:fill="FFFFFF" w:themeFill="text2"/>
            <w:noWrap/>
            <w:vAlign w:val="bottom"/>
            <w:hideMark/>
          </w:tcPr>
          <w:p w14:paraId="2E51AC50"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Per cent of GSP</w:t>
            </w:r>
          </w:p>
        </w:tc>
        <w:tc>
          <w:tcPr>
            <w:tcW w:w="1051" w:type="dxa"/>
            <w:tcBorders>
              <w:top w:val="nil"/>
              <w:left w:val="nil"/>
              <w:bottom w:val="nil"/>
              <w:right w:val="nil"/>
            </w:tcBorders>
            <w:shd w:val="clear" w:color="auto" w:fill="FFFFFF" w:themeFill="text2"/>
            <w:noWrap/>
            <w:vAlign w:val="center"/>
          </w:tcPr>
          <w:p w14:paraId="0E4C3E73" w14:textId="297DDA0F" w:rsidR="001B644C" w:rsidRPr="0090354C" w:rsidRDefault="00E4279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13.4</w:t>
            </w:r>
          </w:p>
        </w:tc>
        <w:tc>
          <w:tcPr>
            <w:tcW w:w="1088" w:type="dxa"/>
            <w:tcBorders>
              <w:top w:val="nil"/>
              <w:left w:val="nil"/>
              <w:bottom w:val="nil"/>
              <w:right w:val="nil"/>
            </w:tcBorders>
            <w:noWrap/>
            <w:vAlign w:val="center"/>
          </w:tcPr>
          <w:p w14:paraId="1E047CE6" w14:textId="5C234957" w:rsidR="001B644C" w:rsidRPr="0090354C" w:rsidRDefault="00E4279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13.9</w:t>
            </w:r>
          </w:p>
        </w:tc>
        <w:tc>
          <w:tcPr>
            <w:tcW w:w="1133" w:type="dxa"/>
            <w:tcBorders>
              <w:top w:val="nil"/>
              <w:left w:val="nil"/>
              <w:bottom w:val="nil"/>
              <w:right w:val="nil"/>
            </w:tcBorders>
            <w:noWrap/>
            <w:vAlign w:val="center"/>
          </w:tcPr>
          <w:p w14:paraId="2D384318" w14:textId="50C16AEB" w:rsidR="001B644C" w:rsidRPr="0090354C" w:rsidRDefault="00E4279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14.1</w:t>
            </w:r>
          </w:p>
        </w:tc>
        <w:tc>
          <w:tcPr>
            <w:tcW w:w="1039" w:type="dxa"/>
            <w:tcBorders>
              <w:top w:val="nil"/>
              <w:left w:val="nil"/>
              <w:bottom w:val="nil"/>
              <w:right w:val="nil"/>
            </w:tcBorders>
            <w:noWrap/>
            <w:vAlign w:val="center"/>
          </w:tcPr>
          <w:p w14:paraId="6272CAC1" w14:textId="272F8AD2" w:rsidR="001B644C" w:rsidRPr="0090354C" w:rsidRDefault="00E4279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13.9</w:t>
            </w:r>
          </w:p>
        </w:tc>
        <w:tc>
          <w:tcPr>
            <w:tcW w:w="1039" w:type="dxa"/>
            <w:tcBorders>
              <w:top w:val="nil"/>
              <w:left w:val="nil"/>
              <w:bottom w:val="nil"/>
              <w:right w:val="nil"/>
            </w:tcBorders>
            <w:noWrap/>
            <w:vAlign w:val="center"/>
          </w:tcPr>
          <w:p w14:paraId="68D9428D" w14:textId="65ED5EC6" w:rsidR="001B644C" w:rsidRPr="0090354C" w:rsidRDefault="00E4279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13.8</w:t>
            </w:r>
          </w:p>
        </w:tc>
        <w:tc>
          <w:tcPr>
            <w:tcW w:w="1040" w:type="dxa"/>
            <w:tcBorders>
              <w:top w:val="nil"/>
              <w:left w:val="nil"/>
              <w:bottom w:val="nil"/>
              <w:right w:val="nil"/>
            </w:tcBorders>
            <w:noWrap/>
            <w:vAlign w:val="center"/>
          </w:tcPr>
          <w:p w14:paraId="71DAFF66" w14:textId="5E59AC84" w:rsidR="001B644C" w:rsidRPr="0090354C" w:rsidRDefault="00E4279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13.5</w:t>
            </w:r>
          </w:p>
        </w:tc>
      </w:tr>
      <w:tr w:rsidR="001B644C" w:rsidRPr="0090354C" w14:paraId="4330BA28" w14:textId="77777777" w:rsidTr="00387A46">
        <w:trPr>
          <w:trHeight w:val="102"/>
        </w:trPr>
        <w:tc>
          <w:tcPr>
            <w:tcW w:w="3248" w:type="dxa"/>
            <w:tcBorders>
              <w:top w:val="nil"/>
              <w:left w:val="nil"/>
              <w:bottom w:val="nil"/>
              <w:right w:val="nil"/>
            </w:tcBorders>
            <w:shd w:val="clear" w:color="auto" w:fill="FFFFFF" w:themeFill="text2"/>
            <w:noWrap/>
            <w:vAlign w:val="bottom"/>
            <w:hideMark/>
          </w:tcPr>
          <w:p w14:paraId="7A90DB58"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 </w:t>
            </w:r>
          </w:p>
        </w:tc>
        <w:tc>
          <w:tcPr>
            <w:tcW w:w="1051" w:type="dxa"/>
            <w:tcBorders>
              <w:top w:val="nil"/>
              <w:left w:val="nil"/>
              <w:bottom w:val="nil"/>
              <w:right w:val="nil"/>
            </w:tcBorders>
            <w:shd w:val="clear" w:color="auto" w:fill="FFFFFF" w:themeFill="text2"/>
            <w:noWrap/>
            <w:vAlign w:val="bottom"/>
          </w:tcPr>
          <w:p w14:paraId="223BC0F9" w14:textId="77777777" w:rsidR="001B644C" w:rsidRPr="0090354C" w:rsidRDefault="001B644C" w:rsidP="00387A46">
            <w:pPr>
              <w:ind w:right="113"/>
              <w:jc w:val="right"/>
              <w:rPr>
                <w:rFonts w:ascii="Public Sans" w:hAnsi="Public Sans" w:cs="Arial"/>
                <w:color w:val="000000"/>
                <w:sz w:val="16"/>
                <w:szCs w:val="16"/>
                <w:lang w:eastAsia="en-AU"/>
              </w:rPr>
            </w:pPr>
          </w:p>
        </w:tc>
        <w:tc>
          <w:tcPr>
            <w:tcW w:w="1088" w:type="dxa"/>
            <w:tcBorders>
              <w:top w:val="nil"/>
              <w:left w:val="nil"/>
              <w:bottom w:val="nil"/>
              <w:right w:val="nil"/>
            </w:tcBorders>
            <w:noWrap/>
            <w:vAlign w:val="bottom"/>
          </w:tcPr>
          <w:p w14:paraId="6966C9A0" w14:textId="77777777" w:rsidR="001B644C" w:rsidRPr="0090354C" w:rsidRDefault="001B644C" w:rsidP="00387A46">
            <w:pPr>
              <w:ind w:right="113"/>
              <w:jc w:val="right"/>
              <w:rPr>
                <w:rFonts w:ascii="Public Sans" w:hAnsi="Public Sans" w:cs="Arial"/>
                <w:color w:val="000000"/>
                <w:sz w:val="16"/>
                <w:szCs w:val="16"/>
                <w:lang w:eastAsia="en-AU"/>
              </w:rPr>
            </w:pPr>
          </w:p>
        </w:tc>
        <w:tc>
          <w:tcPr>
            <w:tcW w:w="1133" w:type="dxa"/>
            <w:tcBorders>
              <w:top w:val="nil"/>
              <w:left w:val="nil"/>
              <w:bottom w:val="nil"/>
              <w:right w:val="nil"/>
            </w:tcBorders>
            <w:noWrap/>
            <w:vAlign w:val="bottom"/>
          </w:tcPr>
          <w:p w14:paraId="2751EFAB"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bottom"/>
          </w:tcPr>
          <w:p w14:paraId="0D644638"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bottom"/>
          </w:tcPr>
          <w:p w14:paraId="5AE696AD" w14:textId="77777777" w:rsidR="001B644C" w:rsidRPr="0090354C" w:rsidRDefault="001B644C" w:rsidP="00387A46">
            <w:pPr>
              <w:ind w:right="113"/>
              <w:jc w:val="right"/>
              <w:rPr>
                <w:rFonts w:ascii="Public Sans" w:hAnsi="Public Sans" w:cs="Arial"/>
                <w:color w:val="000000"/>
                <w:sz w:val="16"/>
                <w:szCs w:val="16"/>
                <w:lang w:eastAsia="en-AU"/>
              </w:rPr>
            </w:pPr>
          </w:p>
        </w:tc>
        <w:tc>
          <w:tcPr>
            <w:tcW w:w="1040" w:type="dxa"/>
            <w:tcBorders>
              <w:top w:val="nil"/>
              <w:left w:val="nil"/>
              <w:bottom w:val="nil"/>
              <w:right w:val="nil"/>
            </w:tcBorders>
            <w:noWrap/>
            <w:vAlign w:val="bottom"/>
          </w:tcPr>
          <w:p w14:paraId="5B2F5DDC" w14:textId="77777777" w:rsidR="001B644C" w:rsidRPr="0090354C" w:rsidRDefault="001B644C" w:rsidP="00387A46">
            <w:pPr>
              <w:ind w:right="113"/>
              <w:jc w:val="right"/>
              <w:rPr>
                <w:rFonts w:ascii="Public Sans" w:hAnsi="Public Sans" w:cs="Arial"/>
                <w:color w:val="000000"/>
                <w:sz w:val="16"/>
                <w:szCs w:val="16"/>
                <w:lang w:eastAsia="en-AU"/>
              </w:rPr>
            </w:pPr>
          </w:p>
        </w:tc>
      </w:tr>
      <w:tr w:rsidR="001B644C" w:rsidRPr="0090354C" w14:paraId="7D07BE6C" w14:textId="77777777" w:rsidTr="00387A46">
        <w:trPr>
          <w:trHeight w:val="270"/>
        </w:trPr>
        <w:tc>
          <w:tcPr>
            <w:tcW w:w="3248" w:type="dxa"/>
            <w:tcBorders>
              <w:top w:val="nil"/>
              <w:left w:val="nil"/>
              <w:bottom w:val="nil"/>
              <w:right w:val="nil"/>
            </w:tcBorders>
            <w:shd w:val="clear" w:color="auto" w:fill="FFFFFF" w:themeFill="text2"/>
            <w:noWrap/>
            <w:vAlign w:val="bottom"/>
            <w:hideMark/>
          </w:tcPr>
          <w:p w14:paraId="3F626653"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Expenses ($m)</w:t>
            </w:r>
          </w:p>
        </w:tc>
        <w:tc>
          <w:tcPr>
            <w:tcW w:w="1051" w:type="dxa"/>
            <w:tcBorders>
              <w:top w:val="nil"/>
              <w:left w:val="nil"/>
              <w:bottom w:val="nil"/>
              <w:right w:val="nil"/>
            </w:tcBorders>
            <w:shd w:val="clear" w:color="auto" w:fill="FFFFFF" w:themeFill="text2"/>
            <w:noWrap/>
            <w:vAlign w:val="center"/>
          </w:tcPr>
          <w:p w14:paraId="3CFC572B" w14:textId="75D16323" w:rsidR="001B644C" w:rsidRPr="0090354C" w:rsidRDefault="00501F5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120,909</w:t>
            </w:r>
          </w:p>
        </w:tc>
        <w:tc>
          <w:tcPr>
            <w:tcW w:w="1088" w:type="dxa"/>
            <w:tcBorders>
              <w:top w:val="nil"/>
              <w:left w:val="nil"/>
              <w:bottom w:val="nil"/>
              <w:right w:val="nil"/>
            </w:tcBorders>
            <w:noWrap/>
            <w:vAlign w:val="center"/>
          </w:tcPr>
          <w:p w14:paraId="37A8DE5E" w14:textId="7CD519D1" w:rsidR="001B644C" w:rsidRPr="0090354C" w:rsidRDefault="00501F5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123,805</w:t>
            </w:r>
          </w:p>
        </w:tc>
        <w:tc>
          <w:tcPr>
            <w:tcW w:w="1133" w:type="dxa"/>
            <w:tcBorders>
              <w:top w:val="nil"/>
              <w:left w:val="nil"/>
              <w:bottom w:val="nil"/>
              <w:right w:val="nil"/>
            </w:tcBorders>
            <w:noWrap/>
            <w:vAlign w:val="center"/>
          </w:tcPr>
          <w:p w14:paraId="64679C81" w14:textId="164C5A8B" w:rsidR="001B644C" w:rsidRPr="0090354C" w:rsidRDefault="00501F5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127,581</w:t>
            </w:r>
          </w:p>
        </w:tc>
        <w:tc>
          <w:tcPr>
            <w:tcW w:w="1039" w:type="dxa"/>
            <w:tcBorders>
              <w:top w:val="nil"/>
              <w:left w:val="nil"/>
              <w:bottom w:val="nil"/>
              <w:right w:val="nil"/>
            </w:tcBorders>
            <w:noWrap/>
            <w:vAlign w:val="center"/>
          </w:tcPr>
          <w:p w14:paraId="75EBF154" w14:textId="0A3A4477" w:rsidR="001B644C" w:rsidRPr="0090354C" w:rsidRDefault="00BB2491"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129,186</w:t>
            </w:r>
          </w:p>
        </w:tc>
        <w:tc>
          <w:tcPr>
            <w:tcW w:w="1039" w:type="dxa"/>
            <w:tcBorders>
              <w:top w:val="nil"/>
              <w:left w:val="nil"/>
              <w:bottom w:val="nil"/>
              <w:right w:val="nil"/>
            </w:tcBorders>
            <w:noWrap/>
            <w:vAlign w:val="center"/>
          </w:tcPr>
          <w:p w14:paraId="77961601" w14:textId="78614505" w:rsidR="001B644C" w:rsidRPr="0090354C" w:rsidRDefault="00BB2491"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132,101</w:t>
            </w:r>
          </w:p>
        </w:tc>
        <w:tc>
          <w:tcPr>
            <w:tcW w:w="1040" w:type="dxa"/>
            <w:tcBorders>
              <w:top w:val="nil"/>
              <w:left w:val="nil"/>
              <w:bottom w:val="nil"/>
              <w:right w:val="nil"/>
            </w:tcBorders>
            <w:noWrap/>
            <w:vAlign w:val="center"/>
          </w:tcPr>
          <w:p w14:paraId="53D7132E" w14:textId="46A1CF12" w:rsidR="001B644C" w:rsidRPr="0090354C" w:rsidRDefault="0090078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136,078</w:t>
            </w:r>
          </w:p>
        </w:tc>
      </w:tr>
      <w:tr w:rsidR="001B644C" w:rsidRPr="0090354C" w14:paraId="1D02C1C1" w14:textId="77777777" w:rsidTr="00387A46">
        <w:trPr>
          <w:trHeight w:val="242"/>
        </w:trPr>
        <w:tc>
          <w:tcPr>
            <w:tcW w:w="3248" w:type="dxa"/>
            <w:tcBorders>
              <w:top w:val="nil"/>
              <w:left w:val="nil"/>
              <w:bottom w:val="nil"/>
              <w:right w:val="nil"/>
            </w:tcBorders>
            <w:shd w:val="clear" w:color="auto" w:fill="FFFFFF" w:themeFill="text2"/>
            <w:noWrap/>
            <w:vAlign w:val="bottom"/>
            <w:hideMark/>
          </w:tcPr>
          <w:p w14:paraId="2D2138F6"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Per cent of GSP</w:t>
            </w:r>
          </w:p>
        </w:tc>
        <w:tc>
          <w:tcPr>
            <w:tcW w:w="1051" w:type="dxa"/>
            <w:tcBorders>
              <w:top w:val="nil"/>
              <w:left w:val="nil"/>
              <w:bottom w:val="nil"/>
              <w:right w:val="nil"/>
            </w:tcBorders>
            <w:shd w:val="clear" w:color="auto" w:fill="FFFFFF" w:themeFill="text2"/>
            <w:noWrap/>
            <w:vAlign w:val="center"/>
          </w:tcPr>
          <w:p w14:paraId="6E92F56E" w14:textId="4F2B7646" w:rsidR="001B644C" w:rsidRPr="0090354C" w:rsidRDefault="00480721"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14.7</w:t>
            </w:r>
          </w:p>
        </w:tc>
        <w:tc>
          <w:tcPr>
            <w:tcW w:w="1088" w:type="dxa"/>
            <w:tcBorders>
              <w:top w:val="nil"/>
              <w:left w:val="nil"/>
              <w:bottom w:val="nil"/>
              <w:right w:val="nil"/>
            </w:tcBorders>
            <w:noWrap/>
            <w:vAlign w:val="center"/>
          </w:tcPr>
          <w:p w14:paraId="16DE626B" w14:textId="42E85E1E" w:rsidR="001B644C" w:rsidRPr="0090354C" w:rsidRDefault="00480721" w:rsidP="00387A46">
            <w:pPr>
              <w:ind w:right="113"/>
              <w:jc w:val="right"/>
              <w:rPr>
                <w:rFonts w:ascii="Public Sans" w:eastAsia="Public Sans" w:hAnsi="Public Sans" w:cs="Public Sans"/>
                <w:sz w:val="16"/>
                <w:szCs w:val="16"/>
              </w:rPr>
            </w:pPr>
            <w:r w:rsidRPr="0090354C">
              <w:rPr>
                <w:rFonts w:ascii="Public Sans" w:hAnsi="Public Sans" w:cs="Arial"/>
                <w:color w:val="000000" w:themeColor="text1"/>
                <w:sz w:val="16"/>
                <w:szCs w:val="16"/>
                <w:lang w:eastAsia="en-AU"/>
              </w:rPr>
              <w:t>14.</w:t>
            </w:r>
            <w:r w:rsidR="005706B2" w:rsidRPr="0090354C">
              <w:rPr>
                <w:rFonts w:ascii="Public Sans" w:hAnsi="Public Sans" w:cs="Arial"/>
                <w:color w:val="000000" w:themeColor="text1"/>
                <w:sz w:val="16"/>
                <w:szCs w:val="16"/>
                <w:lang w:eastAsia="en-AU"/>
              </w:rPr>
              <w:t>5</w:t>
            </w:r>
          </w:p>
        </w:tc>
        <w:tc>
          <w:tcPr>
            <w:tcW w:w="1133" w:type="dxa"/>
            <w:tcBorders>
              <w:top w:val="nil"/>
              <w:left w:val="nil"/>
              <w:bottom w:val="nil"/>
              <w:right w:val="nil"/>
            </w:tcBorders>
            <w:noWrap/>
            <w:vAlign w:val="center"/>
          </w:tcPr>
          <w:p w14:paraId="6C72543F" w14:textId="32E767AC" w:rsidR="001B644C" w:rsidRPr="0090354C" w:rsidRDefault="00480721" w:rsidP="00387A46">
            <w:pPr>
              <w:ind w:right="113"/>
              <w:jc w:val="right"/>
              <w:rPr>
                <w:rFonts w:ascii="Public Sans" w:eastAsia="Public Sans" w:hAnsi="Public Sans" w:cs="Public Sans"/>
                <w:sz w:val="16"/>
                <w:szCs w:val="16"/>
              </w:rPr>
            </w:pPr>
            <w:r w:rsidRPr="0090354C">
              <w:rPr>
                <w:rFonts w:ascii="Public Sans" w:hAnsi="Public Sans" w:cs="Arial"/>
                <w:color w:val="000000"/>
                <w:sz w:val="16"/>
                <w:szCs w:val="16"/>
                <w:lang w:eastAsia="en-AU"/>
              </w:rPr>
              <w:t>14.5</w:t>
            </w:r>
          </w:p>
        </w:tc>
        <w:tc>
          <w:tcPr>
            <w:tcW w:w="1039" w:type="dxa"/>
            <w:tcBorders>
              <w:top w:val="nil"/>
              <w:left w:val="nil"/>
              <w:bottom w:val="nil"/>
              <w:right w:val="nil"/>
            </w:tcBorders>
            <w:noWrap/>
            <w:vAlign w:val="center"/>
          </w:tcPr>
          <w:p w14:paraId="7916E99F" w14:textId="7280EF4C" w:rsidR="001B644C" w:rsidRPr="0090354C" w:rsidRDefault="00480721" w:rsidP="00387A46">
            <w:pPr>
              <w:ind w:right="113"/>
              <w:jc w:val="right"/>
              <w:rPr>
                <w:rFonts w:ascii="Public Sans" w:eastAsia="Public Sans" w:hAnsi="Public Sans" w:cs="Public Sans"/>
                <w:sz w:val="16"/>
                <w:szCs w:val="16"/>
              </w:rPr>
            </w:pPr>
            <w:r w:rsidRPr="0090354C">
              <w:rPr>
                <w:rFonts w:ascii="Public Sans" w:hAnsi="Public Sans" w:cs="Arial"/>
                <w:color w:val="000000"/>
                <w:sz w:val="16"/>
                <w:szCs w:val="16"/>
                <w:lang w:eastAsia="en-AU"/>
              </w:rPr>
              <w:t>14.0</w:t>
            </w:r>
          </w:p>
        </w:tc>
        <w:tc>
          <w:tcPr>
            <w:tcW w:w="1039" w:type="dxa"/>
            <w:tcBorders>
              <w:top w:val="nil"/>
              <w:left w:val="nil"/>
              <w:bottom w:val="nil"/>
              <w:right w:val="nil"/>
            </w:tcBorders>
            <w:noWrap/>
            <w:vAlign w:val="center"/>
          </w:tcPr>
          <w:p w14:paraId="7F0D78F6" w14:textId="57693131" w:rsidR="001B644C" w:rsidRPr="0090354C" w:rsidRDefault="00480721" w:rsidP="00387A46">
            <w:pPr>
              <w:ind w:right="113"/>
              <w:jc w:val="right"/>
              <w:rPr>
                <w:rFonts w:ascii="Public Sans" w:eastAsia="Public Sans" w:hAnsi="Public Sans" w:cs="Public Sans"/>
                <w:sz w:val="16"/>
                <w:szCs w:val="16"/>
              </w:rPr>
            </w:pPr>
            <w:r w:rsidRPr="0090354C">
              <w:rPr>
                <w:rFonts w:ascii="Public Sans" w:hAnsi="Public Sans" w:cs="Arial"/>
                <w:color w:val="000000"/>
                <w:sz w:val="16"/>
                <w:szCs w:val="16"/>
                <w:lang w:eastAsia="en-AU"/>
              </w:rPr>
              <w:t>13.6</w:t>
            </w:r>
          </w:p>
        </w:tc>
        <w:tc>
          <w:tcPr>
            <w:tcW w:w="1040" w:type="dxa"/>
            <w:tcBorders>
              <w:top w:val="nil"/>
              <w:left w:val="nil"/>
              <w:bottom w:val="nil"/>
              <w:right w:val="nil"/>
            </w:tcBorders>
            <w:noWrap/>
            <w:vAlign w:val="center"/>
          </w:tcPr>
          <w:p w14:paraId="42E66D7A" w14:textId="799104EE" w:rsidR="001B644C" w:rsidRPr="0090354C" w:rsidRDefault="00480721" w:rsidP="00387A46">
            <w:pPr>
              <w:ind w:right="113"/>
              <w:jc w:val="right"/>
              <w:rPr>
                <w:rFonts w:ascii="Public Sans" w:eastAsia="Public Sans" w:hAnsi="Public Sans" w:cs="Public Sans"/>
                <w:sz w:val="16"/>
                <w:szCs w:val="16"/>
              </w:rPr>
            </w:pPr>
            <w:r w:rsidRPr="0090354C">
              <w:rPr>
                <w:rFonts w:ascii="Public Sans" w:hAnsi="Public Sans" w:cs="Arial"/>
                <w:color w:val="000000"/>
                <w:sz w:val="16"/>
                <w:szCs w:val="16"/>
                <w:lang w:eastAsia="en-AU"/>
              </w:rPr>
              <w:t>13.4</w:t>
            </w:r>
          </w:p>
        </w:tc>
      </w:tr>
      <w:tr w:rsidR="001B644C" w:rsidRPr="0090354C" w14:paraId="664F87CA" w14:textId="77777777" w:rsidTr="00387A46">
        <w:trPr>
          <w:trHeight w:val="99"/>
        </w:trPr>
        <w:tc>
          <w:tcPr>
            <w:tcW w:w="3248" w:type="dxa"/>
            <w:tcBorders>
              <w:top w:val="nil"/>
              <w:left w:val="nil"/>
              <w:bottom w:val="nil"/>
              <w:right w:val="nil"/>
            </w:tcBorders>
            <w:shd w:val="clear" w:color="auto" w:fill="FFFFFF" w:themeFill="text2"/>
            <w:noWrap/>
            <w:vAlign w:val="bottom"/>
            <w:hideMark/>
          </w:tcPr>
          <w:p w14:paraId="0DCFDA30"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 </w:t>
            </w:r>
          </w:p>
        </w:tc>
        <w:tc>
          <w:tcPr>
            <w:tcW w:w="1051" w:type="dxa"/>
            <w:tcBorders>
              <w:top w:val="nil"/>
              <w:left w:val="nil"/>
              <w:bottom w:val="nil"/>
              <w:right w:val="nil"/>
            </w:tcBorders>
            <w:shd w:val="clear" w:color="auto" w:fill="FFFFFF" w:themeFill="text2"/>
            <w:noWrap/>
            <w:vAlign w:val="bottom"/>
          </w:tcPr>
          <w:p w14:paraId="79F22B71" w14:textId="77777777" w:rsidR="001B644C" w:rsidRPr="0090354C" w:rsidRDefault="001B644C" w:rsidP="00387A46">
            <w:pPr>
              <w:ind w:right="113"/>
              <w:jc w:val="right"/>
              <w:rPr>
                <w:rFonts w:ascii="Public Sans" w:hAnsi="Public Sans" w:cs="Arial"/>
                <w:color w:val="000000"/>
                <w:sz w:val="16"/>
                <w:szCs w:val="16"/>
                <w:lang w:eastAsia="en-AU"/>
              </w:rPr>
            </w:pPr>
          </w:p>
        </w:tc>
        <w:tc>
          <w:tcPr>
            <w:tcW w:w="1088" w:type="dxa"/>
            <w:tcBorders>
              <w:top w:val="nil"/>
              <w:left w:val="nil"/>
              <w:bottom w:val="nil"/>
              <w:right w:val="nil"/>
            </w:tcBorders>
            <w:noWrap/>
            <w:vAlign w:val="bottom"/>
          </w:tcPr>
          <w:p w14:paraId="5A797D3E" w14:textId="77777777" w:rsidR="001B644C" w:rsidRPr="0090354C" w:rsidRDefault="001B644C" w:rsidP="00387A46">
            <w:pPr>
              <w:ind w:right="113"/>
              <w:jc w:val="right"/>
              <w:rPr>
                <w:rFonts w:ascii="Public Sans" w:hAnsi="Public Sans" w:cs="Arial"/>
                <w:color w:val="000000"/>
                <w:sz w:val="16"/>
                <w:szCs w:val="16"/>
                <w:lang w:eastAsia="en-AU"/>
              </w:rPr>
            </w:pPr>
          </w:p>
        </w:tc>
        <w:tc>
          <w:tcPr>
            <w:tcW w:w="1133" w:type="dxa"/>
            <w:tcBorders>
              <w:top w:val="nil"/>
              <w:left w:val="nil"/>
              <w:bottom w:val="nil"/>
              <w:right w:val="nil"/>
            </w:tcBorders>
            <w:noWrap/>
            <w:vAlign w:val="bottom"/>
          </w:tcPr>
          <w:p w14:paraId="01C6A2A5"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bottom"/>
          </w:tcPr>
          <w:p w14:paraId="3C5A55BB"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bottom"/>
          </w:tcPr>
          <w:p w14:paraId="7097ACD7" w14:textId="77777777" w:rsidR="001B644C" w:rsidRPr="0090354C" w:rsidRDefault="001B644C" w:rsidP="00387A46">
            <w:pPr>
              <w:ind w:right="113"/>
              <w:jc w:val="right"/>
              <w:rPr>
                <w:rFonts w:ascii="Public Sans" w:hAnsi="Public Sans" w:cs="Arial"/>
                <w:color w:val="000000"/>
                <w:sz w:val="16"/>
                <w:szCs w:val="16"/>
                <w:lang w:eastAsia="en-AU"/>
              </w:rPr>
            </w:pPr>
          </w:p>
        </w:tc>
        <w:tc>
          <w:tcPr>
            <w:tcW w:w="1040" w:type="dxa"/>
            <w:tcBorders>
              <w:top w:val="nil"/>
              <w:left w:val="nil"/>
              <w:bottom w:val="nil"/>
              <w:right w:val="nil"/>
            </w:tcBorders>
            <w:noWrap/>
            <w:vAlign w:val="bottom"/>
          </w:tcPr>
          <w:p w14:paraId="05CEB702" w14:textId="77777777" w:rsidR="001B644C" w:rsidRPr="0090354C" w:rsidRDefault="001B644C" w:rsidP="00387A46">
            <w:pPr>
              <w:ind w:right="113"/>
              <w:jc w:val="right"/>
              <w:rPr>
                <w:rFonts w:ascii="Public Sans" w:hAnsi="Public Sans" w:cs="Arial"/>
                <w:color w:val="000000"/>
                <w:sz w:val="16"/>
                <w:szCs w:val="16"/>
                <w:lang w:eastAsia="en-AU"/>
              </w:rPr>
            </w:pPr>
          </w:p>
        </w:tc>
      </w:tr>
      <w:tr w:rsidR="001B644C" w:rsidRPr="0090354C" w14:paraId="7405EE29" w14:textId="77777777" w:rsidTr="00387A46">
        <w:trPr>
          <w:trHeight w:val="272"/>
        </w:trPr>
        <w:tc>
          <w:tcPr>
            <w:tcW w:w="3248" w:type="dxa"/>
            <w:tcBorders>
              <w:top w:val="nil"/>
              <w:left w:val="nil"/>
              <w:bottom w:val="nil"/>
              <w:right w:val="nil"/>
            </w:tcBorders>
            <w:shd w:val="clear" w:color="auto" w:fill="FFFFFF" w:themeFill="text2"/>
            <w:noWrap/>
            <w:vAlign w:val="bottom"/>
          </w:tcPr>
          <w:p w14:paraId="141935D7" w14:textId="676F790A"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 xml:space="preserve">Budget </w:t>
            </w:r>
            <w:r w:rsidR="007E39AF" w:rsidRPr="0090354C">
              <w:rPr>
                <w:rFonts w:ascii="Public Sans" w:hAnsi="Public Sans" w:cs="Arial"/>
                <w:color w:val="000000"/>
                <w:sz w:val="16"/>
                <w:szCs w:val="16"/>
                <w:lang w:eastAsia="en-AU"/>
              </w:rPr>
              <w:t>result</w:t>
            </w:r>
            <w:r w:rsidRPr="0090354C">
              <w:rPr>
                <w:rFonts w:ascii="Public Sans" w:hAnsi="Public Sans" w:cs="Arial"/>
                <w:color w:val="000000"/>
                <w:sz w:val="16"/>
                <w:szCs w:val="16"/>
                <w:lang w:eastAsia="en-AU"/>
              </w:rPr>
              <w:t xml:space="preserve"> ($m)</w:t>
            </w:r>
          </w:p>
        </w:tc>
        <w:tc>
          <w:tcPr>
            <w:tcW w:w="1051" w:type="dxa"/>
            <w:tcBorders>
              <w:top w:val="nil"/>
              <w:left w:val="nil"/>
              <w:bottom w:val="nil"/>
              <w:right w:val="nil"/>
            </w:tcBorders>
            <w:shd w:val="clear" w:color="auto" w:fill="FFFFFF" w:themeFill="text2"/>
            <w:noWrap/>
            <w:vAlign w:val="center"/>
          </w:tcPr>
          <w:p w14:paraId="26332A56" w14:textId="57C17740" w:rsidR="001B644C" w:rsidRPr="0090354C" w:rsidRDefault="00537578"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w:t>
            </w:r>
            <w:r w:rsidR="007006BA" w:rsidRPr="0090354C">
              <w:rPr>
                <w:rFonts w:ascii="Public Sans" w:hAnsi="Public Sans" w:cs="Arial"/>
                <w:color w:val="000000"/>
                <w:sz w:val="16"/>
                <w:szCs w:val="16"/>
                <w:lang w:eastAsia="en-AU"/>
              </w:rPr>
              <w:t>10,690</w:t>
            </w:r>
            <w:r w:rsidRPr="0090354C">
              <w:rPr>
                <w:rFonts w:ascii="Public Sans" w:hAnsi="Public Sans" w:cs="Arial"/>
                <w:color w:val="000000"/>
                <w:sz w:val="16"/>
                <w:szCs w:val="16"/>
                <w:lang w:eastAsia="en-AU"/>
              </w:rPr>
              <w:t>)</w:t>
            </w:r>
          </w:p>
        </w:tc>
        <w:tc>
          <w:tcPr>
            <w:tcW w:w="1088" w:type="dxa"/>
            <w:tcBorders>
              <w:top w:val="nil"/>
              <w:left w:val="nil"/>
              <w:bottom w:val="nil"/>
              <w:right w:val="nil"/>
            </w:tcBorders>
            <w:noWrap/>
            <w:vAlign w:val="center"/>
          </w:tcPr>
          <w:p w14:paraId="13EBE5AF" w14:textId="64F381D6" w:rsidR="001B644C" w:rsidRPr="0090354C" w:rsidRDefault="00537578"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w:t>
            </w:r>
            <w:r w:rsidR="00A332F1" w:rsidRPr="0090354C">
              <w:rPr>
                <w:rFonts w:ascii="Public Sans" w:hAnsi="Public Sans" w:cs="Arial"/>
                <w:color w:val="000000"/>
                <w:sz w:val="16"/>
                <w:szCs w:val="16"/>
                <w:lang w:eastAsia="en-AU"/>
              </w:rPr>
              <w:t>5,</w:t>
            </w:r>
            <w:r w:rsidR="00AD044F" w:rsidRPr="0090354C">
              <w:rPr>
                <w:rFonts w:ascii="Public Sans" w:hAnsi="Public Sans" w:cs="Arial"/>
                <w:color w:val="000000"/>
                <w:sz w:val="16"/>
                <w:szCs w:val="16"/>
                <w:lang w:eastAsia="en-AU"/>
              </w:rPr>
              <w:t>715</w:t>
            </w:r>
            <w:r w:rsidRPr="0090354C">
              <w:rPr>
                <w:rFonts w:ascii="Public Sans" w:hAnsi="Public Sans" w:cs="Arial"/>
                <w:color w:val="000000"/>
                <w:sz w:val="16"/>
                <w:szCs w:val="16"/>
                <w:lang w:eastAsia="en-AU"/>
              </w:rPr>
              <w:t>)</w:t>
            </w:r>
          </w:p>
        </w:tc>
        <w:tc>
          <w:tcPr>
            <w:tcW w:w="1133" w:type="dxa"/>
            <w:tcBorders>
              <w:top w:val="nil"/>
              <w:left w:val="nil"/>
              <w:bottom w:val="nil"/>
              <w:right w:val="nil"/>
            </w:tcBorders>
            <w:noWrap/>
            <w:vAlign w:val="center"/>
          </w:tcPr>
          <w:p w14:paraId="5BD72624" w14:textId="2F303408" w:rsidR="001B644C" w:rsidRPr="0090354C" w:rsidRDefault="00537578"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w:t>
            </w:r>
            <w:r w:rsidR="00983A87" w:rsidRPr="0090354C">
              <w:rPr>
                <w:rFonts w:ascii="Public Sans" w:hAnsi="Public Sans" w:cs="Arial"/>
                <w:color w:val="000000"/>
                <w:sz w:val="16"/>
                <w:szCs w:val="16"/>
                <w:lang w:eastAsia="en-AU"/>
              </w:rPr>
              <w:t>3,427</w:t>
            </w:r>
            <w:r w:rsidRPr="0090354C">
              <w:rPr>
                <w:rFonts w:ascii="Public Sans" w:hAnsi="Public Sans" w:cs="Arial"/>
                <w:color w:val="000000"/>
                <w:sz w:val="16"/>
                <w:szCs w:val="16"/>
                <w:lang w:eastAsia="en-AU"/>
              </w:rPr>
              <w:t>)</w:t>
            </w:r>
          </w:p>
        </w:tc>
        <w:tc>
          <w:tcPr>
            <w:tcW w:w="1039" w:type="dxa"/>
            <w:tcBorders>
              <w:top w:val="nil"/>
              <w:left w:val="nil"/>
              <w:bottom w:val="nil"/>
              <w:right w:val="nil"/>
            </w:tcBorders>
            <w:noWrap/>
            <w:vAlign w:val="center"/>
          </w:tcPr>
          <w:p w14:paraId="67DF1C6D" w14:textId="32BFC741" w:rsidR="001B644C" w:rsidRPr="0090354C" w:rsidRDefault="00537578"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w:t>
            </w:r>
            <w:r w:rsidR="00121C30" w:rsidRPr="0090354C">
              <w:rPr>
                <w:rFonts w:ascii="Public Sans" w:hAnsi="Public Sans" w:cs="Arial"/>
                <w:color w:val="000000"/>
                <w:sz w:val="16"/>
                <w:szCs w:val="16"/>
                <w:lang w:eastAsia="en-AU"/>
              </w:rPr>
              <w:t>1,148</w:t>
            </w:r>
            <w:r w:rsidRPr="0090354C">
              <w:rPr>
                <w:rFonts w:ascii="Public Sans" w:hAnsi="Public Sans" w:cs="Arial"/>
                <w:color w:val="000000"/>
                <w:sz w:val="16"/>
                <w:szCs w:val="16"/>
                <w:lang w:eastAsia="en-AU"/>
              </w:rPr>
              <w:t>)</w:t>
            </w:r>
          </w:p>
        </w:tc>
        <w:tc>
          <w:tcPr>
            <w:tcW w:w="1039" w:type="dxa"/>
            <w:tcBorders>
              <w:top w:val="nil"/>
              <w:left w:val="nil"/>
              <w:bottom w:val="nil"/>
              <w:right w:val="nil"/>
            </w:tcBorders>
            <w:noWrap/>
            <w:vAlign w:val="center"/>
          </w:tcPr>
          <w:p w14:paraId="75526A45" w14:textId="6B1AC533" w:rsidR="001B644C" w:rsidRPr="0090354C" w:rsidRDefault="00121C3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1,132</w:t>
            </w:r>
          </w:p>
        </w:tc>
        <w:tc>
          <w:tcPr>
            <w:tcW w:w="1040" w:type="dxa"/>
            <w:tcBorders>
              <w:top w:val="nil"/>
              <w:left w:val="nil"/>
              <w:bottom w:val="nil"/>
              <w:right w:val="nil"/>
            </w:tcBorders>
            <w:noWrap/>
            <w:vAlign w:val="center"/>
          </w:tcPr>
          <w:p w14:paraId="75C3CFC0" w14:textId="7D0C1BCD" w:rsidR="001B644C" w:rsidRPr="0090354C" w:rsidRDefault="00B8523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1,058</w:t>
            </w:r>
          </w:p>
        </w:tc>
      </w:tr>
      <w:tr w:rsidR="001B644C" w:rsidRPr="0090354C" w14:paraId="0C241A2A" w14:textId="77777777" w:rsidTr="00387A46">
        <w:trPr>
          <w:trHeight w:val="210"/>
        </w:trPr>
        <w:tc>
          <w:tcPr>
            <w:tcW w:w="3248" w:type="dxa"/>
            <w:tcBorders>
              <w:top w:val="nil"/>
              <w:left w:val="nil"/>
              <w:bottom w:val="nil"/>
              <w:right w:val="nil"/>
            </w:tcBorders>
            <w:shd w:val="clear" w:color="auto" w:fill="FFFFFF" w:themeFill="text2"/>
            <w:noWrap/>
            <w:vAlign w:val="bottom"/>
          </w:tcPr>
          <w:p w14:paraId="228E8D03"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Per cent of GSP</w:t>
            </w:r>
          </w:p>
        </w:tc>
        <w:tc>
          <w:tcPr>
            <w:tcW w:w="1051" w:type="dxa"/>
            <w:tcBorders>
              <w:top w:val="nil"/>
              <w:left w:val="nil"/>
              <w:bottom w:val="nil"/>
              <w:right w:val="nil"/>
            </w:tcBorders>
            <w:shd w:val="clear" w:color="auto" w:fill="FFFFFF" w:themeFill="text2"/>
            <w:noWrap/>
            <w:vAlign w:val="center"/>
          </w:tcPr>
          <w:p w14:paraId="51C47824" w14:textId="05CFF70A" w:rsidR="001B644C" w:rsidRPr="0090354C" w:rsidRDefault="00537578"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w:t>
            </w:r>
            <w:r w:rsidR="00211330" w:rsidRPr="0090354C">
              <w:rPr>
                <w:rFonts w:ascii="Public Sans" w:hAnsi="Public Sans" w:cs="Arial"/>
                <w:color w:val="000000"/>
                <w:sz w:val="16"/>
                <w:szCs w:val="16"/>
                <w:lang w:eastAsia="en-AU"/>
              </w:rPr>
              <w:t>1.3</w:t>
            </w:r>
            <w:r w:rsidRPr="0090354C">
              <w:rPr>
                <w:rFonts w:ascii="Public Sans" w:hAnsi="Public Sans" w:cs="Arial"/>
                <w:color w:val="000000"/>
                <w:sz w:val="16"/>
                <w:szCs w:val="16"/>
                <w:lang w:eastAsia="en-AU"/>
              </w:rPr>
              <w:t>)</w:t>
            </w:r>
          </w:p>
        </w:tc>
        <w:tc>
          <w:tcPr>
            <w:tcW w:w="1088" w:type="dxa"/>
            <w:tcBorders>
              <w:top w:val="nil"/>
              <w:left w:val="nil"/>
              <w:bottom w:val="nil"/>
              <w:right w:val="nil"/>
            </w:tcBorders>
            <w:noWrap/>
            <w:vAlign w:val="center"/>
          </w:tcPr>
          <w:p w14:paraId="7941E4ED" w14:textId="4E5726E5" w:rsidR="001B644C" w:rsidRPr="0090354C" w:rsidRDefault="00537578"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w:t>
            </w:r>
            <w:r w:rsidR="00211330" w:rsidRPr="0090354C">
              <w:rPr>
                <w:rFonts w:ascii="Public Sans" w:hAnsi="Public Sans" w:cs="Arial"/>
                <w:color w:val="000000"/>
                <w:sz w:val="16"/>
                <w:szCs w:val="16"/>
                <w:lang w:eastAsia="en-AU"/>
              </w:rPr>
              <w:t>0.7</w:t>
            </w:r>
            <w:r w:rsidRPr="0090354C">
              <w:rPr>
                <w:rFonts w:ascii="Public Sans" w:hAnsi="Public Sans" w:cs="Arial"/>
                <w:color w:val="000000"/>
                <w:sz w:val="16"/>
                <w:szCs w:val="16"/>
                <w:lang w:eastAsia="en-AU"/>
              </w:rPr>
              <w:t>)</w:t>
            </w:r>
          </w:p>
        </w:tc>
        <w:tc>
          <w:tcPr>
            <w:tcW w:w="1133" w:type="dxa"/>
            <w:tcBorders>
              <w:top w:val="nil"/>
              <w:left w:val="nil"/>
              <w:bottom w:val="nil"/>
              <w:right w:val="nil"/>
            </w:tcBorders>
            <w:noWrap/>
            <w:vAlign w:val="center"/>
          </w:tcPr>
          <w:p w14:paraId="6FF84EDB" w14:textId="68E90E66" w:rsidR="001B644C" w:rsidRPr="0090354C" w:rsidRDefault="00537578"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w:t>
            </w:r>
            <w:r w:rsidR="00211330" w:rsidRPr="0090354C">
              <w:rPr>
                <w:rFonts w:ascii="Public Sans" w:hAnsi="Public Sans" w:cs="Arial"/>
                <w:color w:val="000000"/>
                <w:sz w:val="16"/>
                <w:szCs w:val="16"/>
                <w:lang w:eastAsia="en-AU"/>
              </w:rPr>
              <w:t>0.4</w:t>
            </w:r>
            <w:r w:rsidRPr="0090354C">
              <w:rPr>
                <w:rFonts w:ascii="Public Sans" w:hAnsi="Public Sans" w:cs="Arial"/>
                <w:color w:val="000000"/>
                <w:sz w:val="16"/>
                <w:szCs w:val="16"/>
                <w:lang w:eastAsia="en-AU"/>
              </w:rPr>
              <w:t>)</w:t>
            </w:r>
          </w:p>
        </w:tc>
        <w:tc>
          <w:tcPr>
            <w:tcW w:w="1039" w:type="dxa"/>
            <w:tcBorders>
              <w:top w:val="nil"/>
              <w:left w:val="nil"/>
              <w:bottom w:val="nil"/>
              <w:right w:val="nil"/>
            </w:tcBorders>
            <w:noWrap/>
            <w:vAlign w:val="center"/>
          </w:tcPr>
          <w:p w14:paraId="23F62404" w14:textId="27804C7B" w:rsidR="001B644C" w:rsidRPr="0090354C" w:rsidRDefault="00537578"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w:t>
            </w:r>
            <w:r w:rsidR="00211330" w:rsidRPr="0090354C">
              <w:rPr>
                <w:rFonts w:ascii="Public Sans" w:hAnsi="Public Sans" w:cs="Arial"/>
                <w:color w:val="000000"/>
                <w:sz w:val="16"/>
                <w:szCs w:val="16"/>
                <w:lang w:eastAsia="en-AU"/>
              </w:rPr>
              <w:t>0.1</w:t>
            </w:r>
            <w:r w:rsidR="00387A46" w:rsidRPr="0090354C">
              <w:rPr>
                <w:rFonts w:ascii="Public Sans" w:hAnsi="Public Sans" w:cs="Arial"/>
                <w:color w:val="000000"/>
                <w:sz w:val="16"/>
                <w:szCs w:val="16"/>
                <w:lang w:eastAsia="en-AU"/>
              </w:rPr>
              <w:t>)</w:t>
            </w:r>
          </w:p>
        </w:tc>
        <w:tc>
          <w:tcPr>
            <w:tcW w:w="1039" w:type="dxa"/>
            <w:tcBorders>
              <w:top w:val="nil"/>
              <w:left w:val="nil"/>
              <w:bottom w:val="nil"/>
              <w:right w:val="nil"/>
            </w:tcBorders>
            <w:noWrap/>
            <w:vAlign w:val="center"/>
          </w:tcPr>
          <w:p w14:paraId="34D07C0E" w14:textId="3D44CAA2" w:rsidR="001B644C" w:rsidRPr="0090354C" w:rsidRDefault="0021133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0.1</w:t>
            </w:r>
          </w:p>
        </w:tc>
        <w:tc>
          <w:tcPr>
            <w:tcW w:w="1040" w:type="dxa"/>
            <w:tcBorders>
              <w:top w:val="nil"/>
              <w:left w:val="nil"/>
              <w:bottom w:val="nil"/>
              <w:right w:val="nil"/>
            </w:tcBorders>
            <w:noWrap/>
            <w:vAlign w:val="center"/>
          </w:tcPr>
          <w:p w14:paraId="3D33ED51" w14:textId="131E84B7" w:rsidR="001B644C" w:rsidRPr="0090354C" w:rsidRDefault="00211330"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0.1</w:t>
            </w:r>
          </w:p>
        </w:tc>
      </w:tr>
      <w:tr w:rsidR="001B644C" w:rsidRPr="0090354C" w14:paraId="735522F4" w14:textId="77777777" w:rsidTr="00387A46">
        <w:trPr>
          <w:trHeight w:val="210"/>
        </w:trPr>
        <w:tc>
          <w:tcPr>
            <w:tcW w:w="3248" w:type="dxa"/>
            <w:tcBorders>
              <w:top w:val="nil"/>
              <w:left w:val="nil"/>
              <w:bottom w:val="nil"/>
              <w:right w:val="nil"/>
            </w:tcBorders>
            <w:shd w:val="clear" w:color="auto" w:fill="FFFFFF" w:themeFill="text2"/>
            <w:noWrap/>
            <w:vAlign w:val="bottom"/>
          </w:tcPr>
          <w:p w14:paraId="600C79A6" w14:textId="77777777" w:rsidR="001B644C" w:rsidRPr="0090354C" w:rsidRDefault="001B644C">
            <w:pPr>
              <w:rPr>
                <w:rFonts w:ascii="Public Sans" w:hAnsi="Public Sans" w:cs="Arial"/>
                <w:color w:val="000000"/>
                <w:sz w:val="16"/>
                <w:szCs w:val="16"/>
                <w:lang w:eastAsia="en-AU"/>
              </w:rPr>
            </w:pPr>
          </w:p>
        </w:tc>
        <w:tc>
          <w:tcPr>
            <w:tcW w:w="1051" w:type="dxa"/>
            <w:tcBorders>
              <w:top w:val="nil"/>
              <w:left w:val="nil"/>
              <w:bottom w:val="nil"/>
              <w:right w:val="nil"/>
            </w:tcBorders>
            <w:shd w:val="clear" w:color="auto" w:fill="FFFFFF" w:themeFill="text2"/>
            <w:noWrap/>
            <w:vAlign w:val="center"/>
          </w:tcPr>
          <w:p w14:paraId="59A3BE94" w14:textId="77777777" w:rsidR="001B644C" w:rsidRPr="0090354C" w:rsidRDefault="001B644C" w:rsidP="00387A46">
            <w:pPr>
              <w:ind w:right="113"/>
              <w:jc w:val="right"/>
              <w:rPr>
                <w:rFonts w:ascii="Public Sans" w:hAnsi="Public Sans" w:cs="Arial"/>
                <w:color w:val="000000"/>
                <w:sz w:val="16"/>
                <w:szCs w:val="16"/>
                <w:lang w:eastAsia="en-AU"/>
              </w:rPr>
            </w:pPr>
          </w:p>
        </w:tc>
        <w:tc>
          <w:tcPr>
            <w:tcW w:w="1088" w:type="dxa"/>
            <w:tcBorders>
              <w:top w:val="nil"/>
              <w:left w:val="nil"/>
              <w:bottom w:val="nil"/>
              <w:right w:val="nil"/>
            </w:tcBorders>
            <w:noWrap/>
            <w:vAlign w:val="center"/>
          </w:tcPr>
          <w:p w14:paraId="79D31578" w14:textId="77777777" w:rsidR="001B644C" w:rsidRPr="0090354C" w:rsidRDefault="001B644C" w:rsidP="00387A46">
            <w:pPr>
              <w:ind w:right="113"/>
              <w:jc w:val="right"/>
              <w:rPr>
                <w:rFonts w:ascii="Public Sans" w:hAnsi="Public Sans" w:cs="Arial"/>
                <w:color w:val="000000"/>
                <w:sz w:val="16"/>
                <w:szCs w:val="16"/>
                <w:lang w:eastAsia="en-AU"/>
              </w:rPr>
            </w:pPr>
          </w:p>
        </w:tc>
        <w:tc>
          <w:tcPr>
            <w:tcW w:w="1133" w:type="dxa"/>
            <w:tcBorders>
              <w:top w:val="nil"/>
              <w:left w:val="nil"/>
              <w:bottom w:val="nil"/>
              <w:right w:val="nil"/>
            </w:tcBorders>
            <w:noWrap/>
            <w:vAlign w:val="center"/>
          </w:tcPr>
          <w:p w14:paraId="31EB9767"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center"/>
          </w:tcPr>
          <w:p w14:paraId="361C192B"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center"/>
          </w:tcPr>
          <w:p w14:paraId="6EFE5CC9" w14:textId="77777777" w:rsidR="001B644C" w:rsidRPr="0090354C" w:rsidRDefault="001B644C" w:rsidP="00387A46">
            <w:pPr>
              <w:ind w:right="113"/>
              <w:jc w:val="right"/>
              <w:rPr>
                <w:rFonts w:ascii="Public Sans" w:hAnsi="Public Sans" w:cs="Arial"/>
                <w:color w:val="000000"/>
                <w:sz w:val="16"/>
                <w:szCs w:val="16"/>
                <w:lang w:eastAsia="en-AU"/>
              </w:rPr>
            </w:pPr>
          </w:p>
        </w:tc>
        <w:tc>
          <w:tcPr>
            <w:tcW w:w="1040" w:type="dxa"/>
            <w:tcBorders>
              <w:top w:val="nil"/>
              <w:left w:val="nil"/>
              <w:bottom w:val="nil"/>
              <w:right w:val="nil"/>
            </w:tcBorders>
            <w:noWrap/>
            <w:vAlign w:val="center"/>
          </w:tcPr>
          <w:p w14:paraId="2F3A86E1" w14:textId="77777777" w:rsidR="001B644C" w:rsidRPr="0090354C" w:rsidRDefault="001B644C" w:rsidP="00387A46">
            <w:pPr>
              <w:ind w:right="113"/>
              <w:jc w:val="right"/>
              <w:rPr>
                <w:rFonts w:ascii="Public Sans" w:hAnsi="Public Sans" w:cs="Arial"/>
                <w:color w:val="000000"/>
                <w:sz w:val="16"/>
                <w:szCs w:val="16"/>
                <w:lang w:eastAsia="en-AU"/>
              </w:rPr>
            </w:pPr>
          </w:p>
        </w:tc>
      </w:tr>
      <w:tr w:rsidR="001B644C" w:rsidRPr="0090354C" w14:paraId="1024999C" w14:textId="77777777" w:rsidTr="00387A46">
        <w:trPr>
          <w:trHeight w:val="210"/>
        </w:trPr>
        <w:tc>
          <w:tcPr>
            <w:tcW w:w="3248" w:type="dxa"/>
            <w:tcBorders>
              <w:top w:val="nil"/>
              <w:left w:val="nil"/>
              <w:bottom w:val="nil"/>
              <w:right w:val="nil"/>
            </w:tcBorders>
            <w:shd w:val="clear" w:color="auto" w:fill="FFFFFF" w:themeFill="text2"/>
            <w:noWrap/>
            <w:vAlign w:val="bottom"/>
          </w:tcPr>
          <w:p w14:paraId="242AD3D8" w14:textId="600C2894"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 xml:space="preserve">Cash </w:t>
            </w:r>
            <w:r w:rsidR="007E39AF" w:rsidRPr="0090354C">
              <w:rPr>
                <w:rFonts w:ascii="Public Sans" w:hAnsi="Public Sans" w:cs="Arial"/>
                <w:color w:val="000000"/>
                <w:sz w:val="16"/>
                <w:szCs w:val="16"/>
                <w:lang w:eastAsia="en-AU"/>
              </w:rPr>
              <w:t>o</w:t>
            </w:r>
            <w:r w:rsidRPr="0090354C">
              <w:rPr>
                <w:rFonts w:ascii="Public Sans" w:hAnsi="Public Sans" w:cs="Arial"/>
                <w:color w:val="000000"/>
                <w:sz w:val="16"/>
                <w:szCs w:val="16"/>
                <w:lang w:eastAsia="en-AU"/>
              </w:rPr>
              <w:t xml:space="preserve">perating </w:t>
            </w:r>
            <w:r w:rsidR="007E39AF" w:rsidRPr="0090354C">
              <w:rPr>
                <w:rFonts w:ascii="Public Sans" w:hAnsi="Public Sans" w:cs="Arial"/>
                <w:color w:val="000000"/>
                <w:sz w:val="16"/>
                <w:szCs w:val="16"/>
                <w:lang w:eastAsia="en-AU"/>
              </w:rPr>
              <w:t>p</w:t>
            </w:r>
            <w:r w:rsidRPr="0090354C">
              <w:rPr>
                <w:rFonts w:ascii="Public Sans" w:hAnsi="Public Sans" w:cs="Arial"/>
                <w:color w:val="000000"/>
                <w:sz w:val="16"/>
                <w:szCs w:val="16"/>
                <w:lang w:eastAsia="en-AU"/>
              </w:rPr>
              <w:t>osition ($m)</w:t>
            </w:r>
          </w:p>
        </w:tc>
        <w:tc>
          <w:tcPr>
            <w:tcW w:w="1051" w:type="dxa"/>
            <w:tcBorders>
              <w:top w:val="nil"/>
              <w:left w:val="nil"/>
              <w:bottom w:val="nil"/>
              <w:right w:val="nil"/>
            </w:tcBorders>
            <w:shd w:val="clear" w:color="auto" w:fill="FFFFFF" w:themeFill="text2"/>
            <w:noWrap/>
            <w:vAlign w:val="center"/>
          </w:tcPr>
          <w:p w14:paraId="1A0DB9D9" w14:textId="5CBDBEEA" w:rsidR="001B644C" w:rsidRPr="0090354C" w:rsidRDefault="00B852BC"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378</w:t>
            </w:r>
          </w:p>
        </w:tc>
        <w:tc>
          <w:tcPr>
            <w:tcW w:w="1088" w:type="dxa"/>
            <w:tcBorders>
              <w:top w:val="nil"/>
              <w:left w:val="nil"/>
              <w:bottom w:val="nil"/>
              <w:right w:val="nil"/>
            </w:tcBorders>
            <w:noWrap/>
            <w:vAlign w:val="center"/>
          </w:tcPr>
          <w:p w14:paraId="1B9F6C09" w14:textId="7651FB42" w:rsidR="001B644C" w:rsidRPr="0090354C" w:rsidRDefault="00F039FF"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2,892</w:t>
            </w:r>
          </w:p>
        </w:tc>
        <w:tc>
          <w:tcPr>
            <w:tcW w:w="1133" w:type="dxa"/>
            <w:tcBorders>
              <w:top w:val="nil"/>
              <w:left w:val="nil"/>
              <w:bottom w:val="nil"/>
              <w:right w:val="nil"/>
            </w:tcBorders>
            <w:noWrap/>
            <w:vAlign w:val="center"/>
          </w:tcPr>
          <w:p w14:paraId="4E006392" w14:textId="42211487" w:rsidR="001B644C" w:rsidRPr="0090354C" w:rsidRDefault="00F039FF"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7,384</w:t>
            </w:r>
          </w:p>
        </w:tc>
        <w:tc>
          <w:tcPr>
            <w:tcW w:w="1039" w:type="dxa"/>
            <w:tcBorders>
              <w:top w:val="nil"/>
              <w:left w:val="nil"/>
              <w:bottom w:val="nil"/>
              <w:right w:val="nil"/>
            </w:tcBorders>
            <w:noWrap/>
            <w:vAlign w:val="center"/>
          </w:tcPr>
          <w:p w14:paraId="7FF8AAC2" w14:textId="0A1D5B22" w:rsidR="001B644C" w:rsidRPr="0090354C" w:rsidRDefault="00F039FF"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10,401</w:t>
            </w:r>
          </w:p>
        </w:tc>
        <w:tc>
          <w:tcPr>
            <w:tcW w:w="1039" w:type="dxa"/>
            <w:tcBorders>
              <w:top w:val="nil"/>
              <w:left w:val="nil"/>
              <w:bottom w:val="nil"/>
              <w:right w:val="nil"/>
            </w:tcBorders>
            <w:noWrap/>
            <w:vAlign w:val="center"/>
          </w:tcPr>
          <w:p w14:paraId="01BBC2B3" w14:textId="233DE3E5" w:rsidR="001B644C" w:rsidRPr="0090354C" w:rsidRDefault="003E6B76"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12,548</w:t>
            </w:r>
          </w:p>
        </w:tc>
        <w:tc>
          <w:tcPr>
            <w:tcW w:w="1040" w:type="dxa"/>
            <w:tcBorders>
              <w:top w:val="nil"/>
              <w:left w:val="nil"/>
              <w:bottom w:val="nil"/>
              <w:right w:val="nil"/>
            </w:tcBorders>
            <w:noWrap/>
            <w:vAlign w:val="center"/>
          </w:tcPr>
          <w:p w14:paraId="1B290800" w14:textId="185C990B" w:rsidR="001B644C" w:rsidRPr="0090354C" w:rsidRDefault="00747482"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12,490</w:t>
            </w:r>
          </w:p>
        </w:tc>
      </w:tr>
      <w:tr w:rsidR="001B644C" w:rsidRPr="0090354C" w14:paraId="6E636A98" w14:textId="77777777" w:rsidTr="00387A46">
        <w:trPr>
          <w:trHeight w:val="210"/>
        </w:trPr>
        <w:tc>
          <w:tcPr>
            <w:tcW w:w="3248" w:type="dxa"/>
            <w:tcBorders>
              <w:top w:val="nil"/>
              <w:left w:val="nil"/>
              <w:bottom w:val="nil"/>
              <w:right w:val="nil"/>
            </w:tcBorders>
            <w:shd w:val="clear" w:color="auto" w:fill="FFFFFF" w:themeFill="text2"/>
            <w:noWrap/>
            <w:vAlign w:val="bottom"/>
          </w:tcPr>
          <w:p w14:paraId="6725A33A"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Per cent of GSP</w:t>
            </w:r>
          </w:p>
        </w:tc>
        <w:tc>
          <w:tcPr>
            <w:tcW w:w="1051" w:type="dxa"/>
            <w:tcBorders>
              <w:top w:val="nil"/>
              <w:left w:val="nil"/>
              <w:bottom w:val="nil"/>
              <w:right w:val="nil"/>
            </w:tcBorders>
            <w:shd w:val="clear" w:color="auto" w:fill="FFFFFF" w:themeFill="text2"/>
            <w:noWrap/>
            <w:vAlign w:val="center"/>
          </w:tcPr>
          <w:p w14:paraId="29F3D2B2" w14:textId="47503DCD" w:rsidR="001B644C" w:rsidRPr="0090354C" w:rsidRDefault="006F769E"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0.1</w:t>
            </w:r>
          </w:p>
        </w:tc>
        <w:tc>
          <w:tcPr>
            <w:tcW w:w="1088" w:type="dxa"/>
            <w:tcBorders>
              <w:top w:val="nil"/>
              <w:left w:val="nil"/>
              <w:bottom w:val="nil"/>
              <w:right w:val="nil"/>
            </w:tcBorders>
            <w:noWrap/>
            <w:vAlign w:val="center"/>
          </w:tcPr>
          <w:p w14:paraId="09E6BC5A" w14:textId="6C5FBD68" w:rsidR="001B644C" w:rsidRPr="0090354C" w:rsidRDefault="006F769E"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0.3</w:t>
            </w:r>
          </w:p>
        </w:tc>
        <w:tc>
          <w:tcPr>
            <w:tcW w:w="1133" w:type="dxa"/>
            <w:tcBorders>
              <w:top w:val="nil"/>
              <w:left w:val="nil"/>
              <w:bottom w:val="nil"/>
              <w:right w:val="nil"/>
            </w:tcBorders>
            <w:noWrap/>
            <w:vAlign w:val="center"/>
          </w:tcPr>
          <w:p w14:paraId="73D47952" w14:textId="2FF23A1D" w:rsidR="001B644C" w:rsidRPr="0090354C" w:rsidRDefault="006F769E"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0.8</w:t>
            </w:r>
          </w:p>
        </w:tc>
        <w:tc>
          <w:tcPr>
            <w:tcW w:w="1039" w:type="dxa"/>
            <w:tcBorders>
              <w:top w:val="nil"/>
              <w:left w:val="nil"/>
              <w:bottom w:val="nil"/>
              <w:right w:val="nil"/>
            </w:tcBorders>
            <w:noWrap/>
            <w:vAlign w:val="center"/>
          </w:tcPr>
          <w:p w14:paraId="393F3A92" w14:textId="7AAC43C6" w:rsidR="001B644C" w:rsidRPr="0090354C" w:rsidRDefault="006F769E"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1.1</w:t>
            </w:r>
          </w:p>
        </w:tc>
        <w:tc>
          <w:tcPr>
            <w:tcW w:w="1039" w:type="dxa"/>
            <w:tcBorders>
              <w:top w:val="nil"/>
              <w:left w:val="nil"/>
              <w:bottom w:val="nil"/>
              <w:right w:val="nil"/>
            </w:tcBorders>
            <w:noWrap/>
            <w:vAlign w:val="center"/>
          </w:tcPr>
          <w:p w14:paraId="49B6CF93" w14:textId="3DB0E995" w:rsidR="001B644C" w:rsidRPr="0090354C" w:rsidRDefault="006F769E"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1.3</w:t>
            </w:r>
          </w:p>
        </w:tc>
        <w:tc>
          <w:tcPr>
            <w:tcW w:w="1040" w:type="dxa"/>
            <w:tcBorders>
              <w:top w:val="nil"/>
              <w:left w:val="nil"/>
              <w:bottom w:val="nil"/>
              <w:right w:val="nil"/>
            </w:tcBorders>
            <w:noWrap/>
            <w:vAlign w:val="center"/>
          </w:tcPr>
          <w:p w14:paraId="054620C2" w14:textId="46FDCD46" w:rsidR="001B644C" w:rsidRPr="0090354C" w:rsidRDefault="006F769E"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1.2</w:t>
            </w:r>
          </w:p>
        </w:tc>
      </w:tr>
      <w:tr w:rsidR="001B644C" w:rsidRPr="0090354C" w14:paraId="487B5866" w14:textId="77777777" w:rsidTr="00387A46">
        <w:trPr>
          <w:trHeight w:val="210"/>
        </w:trPr>
        <w:tc>
          <w:tcPr>
            <w:tcW w:w="3248" w:type="dxa"/>
            <w:tcBorders>
              <w:top w:val="nil"/>
              <w:left w:val="nil"/>
              <w:bottom w:val="nil"/>
              <w:right w:val="nil"/>
            </w:tcBorders>
            <w:shd w:val="clear" w:color="auto" w:fill="FFFFFF" w:themeFill="text2"/>
            <w:noWrap/>
            <w:vAlign w:val="bottom"/>
          </w:tcPr>
          <w:p w14:paraId="76FD4B4B" w14:textId="77777777" w:rsidR="001B644C" w:rsidRPr="0090354C" w:rsidRDefault="001B644C">
            <w:pPr>
              <w:rPr>
                <w:rFonts w:ascii="Public Sans" w:hAnsi="Public Sans" w:cs="Arial"/>
                <w:color w:val="000000"/>
                <w:sz w:val="16"/>
                <w:szCs w:val="16"/>
                <w:lang w:eastAsia="en-AU"/>
              </w:rPr>
            </w:pPr>
          </w:p>
        </w:tc>
        <w:tc>
          <w:tcPr>
            <w:tcW w:w="1051" w:type="dxa"/>
            <w:tcBorders>
              <w:top w:val="nil"/>
              <w:left w:val="nil"/>
              <w:bottom w:val="nil"/>
              <w:right w:val="nil"/>
            </w:tcBorders>
            <w:shd w:val="clear" w:color="auto" w:fill="FFFFFF" w:themeFill="text2"/>
            <w:noWrap/>
            <w:vAlign w:val="center"/>
          </w:tcPr>
          <w:p w14:paraId="6E3E62AC" w14:textId="77777777" w:rsidR="001B644C" w:rsidRPr="0090354C" w:rsidRDefault="001B644C" w:rsidP="00387A46">
            <w:pPr>
              <w:ind w:right="113"/>
              <w:jc w:val="right"/>
              <w:rPr>
                <w:rFonts w:ascii="Public Sans" w:hAnsi="Public Sans" w:cs="Arial"/>
                <w:color w:val="000000"/>
                <w:sz w:val="16"/>
                <w:szCs w:val="16"/>
                <w:lang w:eastAsia="en-AU"/>
              </w:rPr>
            </w:pPr>
          </w:p>
        </w:tc>
        <w:tc>
          <w:tcPr>
            <w:tcW w:w="1088" w:type="dxa"/>
            <w:tcBorders>
              <w:top w:val="nil"/>
              <w:left w:val="nil"/>
              <w:bottom w:val="nil"/>
              <w:right w:val="nil"/>
            </w:tcBorders>
            <w:noWrap/>
            <w:vAlign w:val="center"/>
          </w:tcPr>
          <w:p w14:paraId="6A5C4603" w14:textId="77777777" w:rsidR="001B644C" w:rsidRPr="0090354C" w:rsidRDefault="001B644C" w:rsidP="00387A46">
            <w:pPr>
              <w:ind w:right="113"/>
              <w:jc w:val="right"/>
              <w:rPr>
                <w:rFonts w:ascii="Public Sans" w:hAnsi="Public Sans" w:cs="Arial"/>
                <w:color w:val="000000"/>
                <w:sz w:val="16"/>
                <w:szCs w:val="16"/>
                <w:lang w:eastAsia="en-AU"/>
              </w:rPr>
            </w:pPr>
          </w:p>
        </w:tc>
        <w:tc>
          <w:tcPr>
            <w:tcW w:w="1133" w:type="dxa"/>
            <w:tcBorders>
              <w:top w:val="nil"/>
              <w:left w:val="nil"/>
              <w:bottom w:val="nil"/>
              <w:right w:val="nil"/>
            </w:tcBorders>
            <w:noWrap/>
            <w:vAlign w:val="center"/>
          </w:tcPr>
          <w:p w14:paraId="70F6BFB9"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center"/>
          </w:tcPr>
          <w:p w14:paraId="452605DB"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center"/>
          </w:tcPr>
          <w:p w14:paraId="5EBB80E4" w14:textId="77777777" w:rsidR="001B644C" w:rsidRPr="0090354C" w:rsidRDefault="001B644C" w:rsidP="00387A46">
            <w:pPr>
              <w:ind w:right="113"/>
              <w:jc w:val="right"/>
              <w:rPr>
                <w:rFonts w:ascii="Public Sans" w:hAnsi="Public Sans" w:cs="Arial"/>
                <w:color w:val="000000"/>
                <w:sz w:val="16"/>
                <w:szCs w:val="16"/>
                <w:lang w:eastAsia="en-AU"/>
              </w:rPr>
            </w:pPr>
          </w:p>
        </w:tc>
        <w:tc>
          <w:tcPr>
            <w:tcW w:w="1040" w:type="dxa"/>
            <w:tcBorders>
              <w:top w:val="nil"/>
              <w:left w:val="nil"/>
              <w:bottom w:val="nil"/>
              <w:right w:val="nil"/>
            </w:tcBorders>
            <w:noWrap/>
            <w:vAlign w:val="center"/>
          </w:tcPr>
          <w:p w14:paraId="5A4C9EF7" w14:textId="77777777" w:rsidR="001B644C" w:rsidRPr="0090354C" w:rsidRDefault="001B644C" w:rsidP="00387A46">
            <w:pPr>
              <w:ind w:right="113"/>
              <w:jc w:val="right"/>
              <w:rPr>
                <w:rFonts w:ascii="Public Sans" w:hAnsi="Public Sans" w:cs="Arial"/>
                <w:color w:val="000000"/>
                <w:sz w:val="16"/>
                <w:szCs w:val="16"/>
                <w:lang w:eastAsia="en-AU"/>
              </w:rPr>
            </w:pPr>
          </w:p>
        </w:tc>
      </w:tr>
      <w:tr w:rsidR="001B644C" w:rsidRPr="0090354C" w14:paraId="28A97758" w14:textId="77777777" w:rsidTr="00387A46">
        <w:trPr>
          <w:trHeight w:val="210"/>
        </w:trPr>
        <w:tc>
          <w:tcPr>
            <w:tcW w:w="3248" w:type="dxa"/>
            <w:tcBorders>
              <w:top w:val="nil"/>
              <w:left w:val="nil"/>
              <w:bottom w:val="nil"/>
              <w:right w:val="nil"/>
            </w:tcBorders>
            <w:shd w:val="clear" w:color="auto" w:fill="FFFFFF" w:themeFill="text2"/>
            <w:noWrap/>
            <w:vAlign w:val="bottom"/>
          </w:tcPr>
          <w:p w14:paraId="3EFB25C2" w14:textId="4D7D8DE1"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 xml:space="preserve">Gross </w:t>
            </w:r>
            <w:r w:rsidR="007E39AF" w:rsidRPr="0090354C">
              <w:rPr>
                <w:rFonts w:ascii="Public Sans" w:hAnsi="Public Sans" w:cs="Arial"/>
                <w:color w:val="000000"/>
                <w:sz w:val="16"/>
                <w:szCs w:val="16"/>
                <w:lang w:eastAsia="en-AU"/>
              </w:rPr>
              <w:t>d</w:t>
            </w:r>
            <w:r w:rsidRPr="0090354C">
              <w:rPr>
                <w:rFonts w:ascii="Public Sans" w:hAnsi="Public Sans" w:cs="Arial"/>
                <w:color w:val="000000"/>
                <w:sz w:val="16"/>
                <w:szCs w:val="16"/>
                <w:lang w:eastAsia="en-AU"/>
              </w:rPr>
              <w:t>ebt ($m)</w:t>
            </w:r>
          </w:p>
        </w:tc>
        <w:tc>
          <w:tcPr>
            <w:tcW w:w="1051" w:type="dxa"/>
            <w:tcBorders>
              <w:top w:val="nil"/>
              <w:left w:val="nil"/>
              <w:bottom w:val="nil"/>
              <w:right w:val="nil"/>
            </w:tcBorders>
            <w:shd w:val="clear" w:color="auto" w:fill="FFFFFF" w:themeFill="text2"/>
            <w:noWrap/>
            <w:vAlign w:val="center"/>
          </w:tcPr>
          <w:p w14:paraId="43E4621C" w14:textId="1D825A9D" w:rsidR="001B644C" w:rsidRPr="0090354C" w:rsidRDefault="003E4646"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154,27</w:t>
            </w:r>
            <w:r w:rsidR="00CD4F11" w:rsidRPr="0090354C">
              <w:rPr>
                <w:rFonts w:ascii="Public Sans" w:hAnsi="Public Sans" w:cs="Arial"/>
                <w:color w:val="000000"/>
                <w:sz w:val="16"/>
                <w:szCs w:val="16"/>
                <w:lang w:eastAsia="en-AU"/>
              </w:rPr>
              <w:t>6</w:t>
            </w:r>
          </w:p>
        </w:tc>
        <w:tc>
          <w:tcPr>
            <w:tcW w:w="1088" w:type="dxa"/>
            <w:tcBorders>
              <w:top w:val="nil"/>
              <w:left w:val="nil"/>
              <w:bottom w:val="nil"/>
              <w:right w:val="nil"/>
            </w:tcBorders>
            <w:noWrap/>
            <w:vAlign w:val="center"/>
          </w:tcPr>
          <w:p w14:paraId="2B94B5D3" w14:textId="2CDAF581" w:rsidR="001B644C" w:rsidRPr="0090354C" w:rsidRDefault="002D5453"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166,012</w:t>
            </w:r>
          </w:p>
        </w:tc>
        <w:tc>
          <w:tcPr>
            <w:tcW w:w="1133" w:type="dxa"/>
            <w:tcBorders>
              <w:top w:val="nil"/>
              <w:left w:val="nil"/>
              <w:bottom w:val="nil"/>
              <w:right w:val="nil"/>
            </w:tcBorders>
            <w:noWrap/>
            <w:vAlign w:val="center"/>
          </w:tcPr>
          <w:p w14:paraId="0310177A" w14:textId="67091FBE" w:rsidR="001B644C" w:rsidRPr="0090354C" w:rsidRDefault="002D5453"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178,755</w:t>
            </w:r>
          </w:p>
        </w:tc>
        <w:tc>
          <w:tcPr>
            <w:tcW w:w="1039" w:type="dxa"/>
            <w:tcBorders>
              <w:top w:val="nil"/>
              <w:left w:val="nil"/>
              <w:bottom w:val="nil"/>
              <w:right w:val="nil"/>
            </w:tcBorders>
            <w:noWrap/>
            <w:vAlign w:val="center"/>
          </w:tcPr>
          <w:p w14:paraId="1B616329" w14:textId="097D0EEE" w:rsidR="001B644C" w:rsidRPr="0090354C" w:rsidRDefault="002D5453"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188,3</w:t>
            </w:r>
            <w:r w:rsidR="00611568" w:rsidRPr="0090354C">
              <w:rPr>
                <w:rFonts w:ascii="Public Sans" w:hAnsi="Public Sans" w:cs="Arial"/>
                <w:color w:val="000000"/>
                <w:sz w:val="16"/>
                <w:szCs w:val="16"/>
                <w:lang w:eastAsia="en-AU"/>
              </w:rPr>
              <w:t>40</w:t>
            </w:r>
          </w:p>
        </w:tc>
        <w:tc>
          <w:tcPr>
            <w:tcW w:w="1039" w:type="dxa"/>
            <w:tcBorders>
              <w:top w:val="nil"/>
              <w:left w:val="nil"/>
              <w:bottom w:val="nil"/>
              <w:right w:val="nil"/>
            </w:tcBorders>
            <w:noWrap/>
            <w:vAlign w:val="center"/>
          </w:tcPr>
          <w:p w14:paraId="0225EC73" w14:textId="1DB27B0F" w:rsidR="001B644C" w:rsidRPr="0090354C" w:rsidRDefault="002D5453"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193,609</w:t>
            </w:r>
          </w:p>
        </w:tc>
        <w:tc>
          <w:tcPr>
            <w:tcW w:w="1040" w:type="dxa"/>
            <w:tcBorders>
              <w:top w:val="nil"/>
              <w:left w:val="nil"/>
              <w:bottom w:val="nil"/>
              <w:right w:val="nil"/>
            </w:tcBorders>
            <w:noWrap/>
            <w:vAlign w:val="center"/>
          </w:tcPr>
          <w:p w14:paraId="03ECA603" w14:textId="02BB0FEE" w:rsidR="001B644C" w:rsidRPr="0090354C" w:rsidRDefault="002D5453"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199,6</w:t>
            </w:r>
            <w:r w:rsidR="00943A7C" w:rsidRPr="0090354C">
              <w:rPr>
                <w:rFonts w:ascii="Public Sans" w:hAnsi="Public Sans" w:cs="Arial"/>
                <w:color w:val="000000"/>
                <w:sz w:val="16"/>
                <w:szCs w:val="16"/>
                <w:lang w:eastAsia="en-AU"/>
              </w:rPr>
              <w:t>80</w:t>
            </w:r>
          </w:p>
        </w:tc>
      </w:tr>
      <w:tr w:rsidR="001B644C" w:rsidRPr="0090354C" w14:paraId="6F9933FE" w14:textId="77777777" w:rsidTr="00387A46">
        <w:trPr>
          <w:trHeight w:val="210"/>
        </w:trPr>
        <w:tc>
          <w:tcPr>
            <w:tcW w:w="3248" w:type="dxa"/>
            <w:tcBorders>
              <w:top w:val="nil"/>
              <w:left w:val="nil"/>
              <w:bottom w:val="nil"/>
              <w:right w:val="nil"/>
            </w:tcBorders>
            <w:shd w:val="clear" w:color="auto" w:fill="FFFFFF" w:themeFill="text2"/>
            <w:noWrap/>
            <w:vAlign w:val="bottom"/>
          </w:tcPr>
          <w:p w14:paraId="0854228F"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Per cent of GSP</w:t>
            </w:r>
          </w:p>
        </w:tc>
        <w:tc>
          <w:tcPr>
            <w:tcW w:w="1051" w:type="dxa"/>
            <w:tcBorders>
              <w:top w:val="nil"/>
              <w:left w:val="nil"/>
              <w:bottom w:val="nil"/>
              <w:right w:val="nil"/>
            </w:tcBorders>
            <w:shd w:val="clear" w:color="auto" w:fill="FFFFFF" w:themeFill="text2"/>
            <w:noWrap/>
            <w:vAlign w:val="center"/>
          </w:tcPr>
          <w:p w14:paraId="1EBE8A00" w14:textId="68E78982" w:rsidR="001B644C" w:rsidRPr="0090354C" w:rsidRDefault="00374C3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18.8</w:t>
            </w:r>
          </w:p>
        </w:tc>
        <w:tc>
          <w:tcPr>
            <w:tcW w:w="1088" w:type="dxa"/>
            <w:tcBorders>
              <w:top w:val="nil"/>
              <w:left w:val="nil"/>
              <w:bottom w:val="nil"/>
              <w:right w:val="nil"/>
            </w:tcBorders>
            <w:noWrap/>
            <w:vAlign w:val="center"/>
          </w:tcPr>
          <w:p w14:paraId="0EC0ED1E" w14:textId="159326E2" w:rsidR="001B644C" w:rsidRPr="0090354C" w:rsidRDefault="00374C3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19.5</w:t>
            </w:r>
          </w:p>
        </w:tc>
        <w:tc>
          <w:tcPr>
            <w:tcW w:w="1133" w:type="dxa"/>
            <w:tcBorders>
              <w:top w:val="nil"/>
              <w:left w:val="nil"/>
              <w:bottom w:val="nil"/>
              <w:right w:val="nil"/>
            </w:tcBorders>
            <w:noWrap/>
            <w:vAlign w:val="center"/>
          </w:tcPr>
          <w:p w14:paraId="1A556231" w14:textId="494759BC" w:rsidR="001B644C" w:rsidRPr="0090354C" w:rsidRDefault="00374C3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20.3</w:t>
            </w:r>
          </w:p>
        </w:tc>
        <w:tc>
          <w:tcPr>
            <w:tcW w:w="1039" w:type="dxa"/>
            <w:tcBorders>
              <w:top w:val="nil"/>
              <w:left w:val="nil"/>
              <w:bottom w:val="nil"/>
              <w:right w:val="nil"/>
            </w:tcBorders>
            <w:noWrap/>
            <w:vAlign w:val="center"/>
          </w:tcPr>
          <w:p w14:paraId="58A4BC2A" w14:textId="514A4C86" w:rsidR="001B644C" w:rsidRPr="0090354C" w:rsidRDefault="00374C3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20.4</w:t>
            </w:r>
          </w:p>
        </w:tc>
        <w:tc>
          <w:tcPr>
            <w:tcW w:w="1039" w:type="dxa"/>
            <w:tcBorders>
              <w:top w:val="nil"/>
              <w:left w:val="nil"/>
              <w:bottom w:val="nil"/>
              <w:right w:val="nil"/>
            </w:tcBorders>
            <w:noWrap/>
            <w:vAlign w:val="center"/>
          </w:tcPr>
          <w:p w14:paraId="42D38EF5" w14:textId="2A66989B" w:rsidR="001B644C" w:rsidRPr="0090354C" w:rsidRDefault="00374C3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20.0</w:t>
            </w:r>
          </w:p>
        </w:tc>
        <w:tc>
          <w:tcPr>
            <w:tcW w:w="1040" w:type="dxa"/>
            <w:tcBorders>
              <w:top w:val="nil"/>
              <w:left w:val="nil"/>
              <w:bottom w:val="nil"/>
              <w:right w:val="nil"/>
            </w:tcBorders>
            <w:noWrap/>
            <w:vAlign w:val="center"/>
          </w:tcPr>
          <w:p w14:paraId="49201A2E" w14:textId="3CF949AD" w:rsidR="001B644C" w:rsidRPr="0090354C" w:rsidRDefault="00374C34"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19.6</w:t>
            </w:r>
          </w:p>
        </w:tc>
      </w:tr>
      <w:tr w:rsidR="001B644C" w:rsidRPr="0090354C" w14:paraId="33126FAC" w14:textId="77777777" w:rsidTr="00387A46">
        <w:trPr>
          <w:trHeight w:val="210"/>
        </w:trPr>
        <w:tc>
          <w:tcPr>
            <w:tcW w:w="3248" w:type="dxa"/>
            <w:tcBorders>
              <w:top w:val="nil"/>
              <w:left w:val="nil"/>
              <w:bottom w:val="nil"/>
              <w:right w:val="nil"/>
            </w:tcBorders>
            <w:shd w:val="clear" w:color="auto" w:fill="FFFFFF" w:themeFill="text2"/>
            <w:noWrap/>
            <w:vAlign w:val="bottom"/>
          </w:tcPr>
          <w:p w14:paraId="636C9CF2" w14:textId="77777777" w:rsidR="001B644C" w:rsidRPr="0090354C" w:rsidRDefault="001B644C">
            <w:pPr>
              <w:rPr>
                <w:rFonts w:ascii="Public Sans" w:hAnsi="Public Sans" w:cs="Arial"/>
                <w:color w:val="000000"/>
                <w:sz w:val="16"/>
                <w:szCs w:val="16"/>
                <w:lang w:eastAsia="en-AU"/>
              </w:rPr>
            </w:pPr>
          </w:p>
        </w:tc>
        <w:tc>
          <w:tcPr>
            <w:tcW w:w="1051" w:type="dxa"/>
            <w:tcBorders>
              <w:top w:val="nil"/>
              <w:left w:val="nil"/>
              <w:bottom w:val="nil"/>
              <w:right w:val="nil"/>
            </w:tcBorders>
            <w:shd w:val="clear" w:color="auto" w:fill="FFFFFF" w:themeFill="text2"/>
            <w:noWrap/>
            <w:vAlign w:val="center"/>
          </w:tcPr>
          <w:p w14:paraId="58CDCB8D" w14:textId="77777777" w:rsidR="001B644C" w:rsidRPr="0090354C" w:rsidRDefault="001B644C" w:rsidP="00387A46">
            <w:pPr>
              <w:ind w:right="113"/>
              <w:jc w:val="right"/>
              <w:rPr>
                <w:rFonts w:ascii="Public Sans" w:hAnsi="Public Sans" w:cs="Arial"/>
                <w:color w:val="000000"/>
                <w:sz w:val="16"/>
                <w:szCs w:val="16"/>
                <w:lang w:eastAsia="en-AU"/>
              </w:rPr>
            </w:pPr>
          </w:p>
        </w:tc>
        <w:tc>
          <w:tcPr>
            <w:tcW w:w="1088" w:type="dxa"/>
            <w:tcBorders>
              <w:top w:val="nil"/>
              <w:left w:val="nil"/>
              <w:bottom w:val="nil"/>
              <w:right w:val="nil"/>
            </w:tcBorders>
            <w:noWrap/>
            <w:vAlign w:val="center"/>
          </w:tcPr>
          <w:p w14:paraId="6A06BFAE" w14:textId="77777777" w:rsidR="001B644C" w:rsidRPr="0090354C" w:rsidRDefault="001B644C" w:rsidP="00387A46">
            <w:pPr>
              <w:ind w:right="113"/>
              <w:jc w:val="right"/>
              <w:rPr>
                <w:rFonts w:ascii="Public Sans" w:hAnsi="Public Sans" w:cs="Arial"/>
                <w:color w:val="000000"/>
                <w:sz w:val="16"/>
                <w:szCs w:val="16"/>
                <w:lang w:eastAsia="en-AU"/>
              </w:rPr>
            </w:pPr>
          </w:p>
        </w:tc>
        <w:tc>
          <w:tcPr>
            <w:tcW w:w="1133" w:type="dxa"/>
            <w:tcBorders>
              <w:top w:val="nil"/>
              <w:left w:val="nil"/>
              <w:bottom w:val="nil"/>
              <w:right w:val="nil"/>
            </w:tcBorders>
            <w:noWrap/>
            <w:vAlign w:val="center"/>
          </w:tcPr>
          <w:p w14:paraId="1FF45FCA"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center"/>
          </w:tcPr>
          <w:p w14:paraId="7D0B793C"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center"/>
          </w:tcPr>
          <w:p w14:paraId="3C36DD1F" w14:textId="77777777" w:rsidR="001B644C" w:rsidRPr="0090354C" w:rsidRDefault="001B644C" w:rsidP="00387A46">
            <w:pPr>
              <w:ind w:right="113"/>
              <w:jc w:val="right"/>
              <w:rPr>
                <w:rFonts w:ascii="Public Sans" w:hAnsi="Public Sans" w:cs="Arial"/>
                <w:color w:val="000000"/>
                <w:sz w:val="16"/>
                <w:szCs w:val="16"/>
                <w:lang w:eastAsia="en-AU"/>
              </w:rPr>
            </w:pPr>
          </w:p>
        </w:tc>
        <w:tc>
          <w:tcPr>
            <w:tcW w:w="1040" w:type="dxa"/>
            <w:tcBorders>
              <w:top w:val="nil"/>
              <w:left w:val="nil"/>
              <w:bottom w:val="nil"/>
              <w:right w:val="nil"/>
            </w:tcBorders>
            <w:noWrap/>
            <w:vAlign w:val="center"/>
          </w:tcPr>
          <w:p w14:paraId="1FCDBE83" w14:textId="77777777" w:rsidR="001B644C" w:rsidRPr="0090354C" w:rsidRDefault="001B644C" w:rsidP="00387A46">
            <w:pPr>
              <w:ind w:right="113"/>
              <w:jc w:val="right"/>
              <w:rPr>
                <w:rFonts w:ascii="Public Sans" w:hAnsi="Public Sans" w:cs="Arial"/>
                <w:color w:val="000000"/>
                <w:sz w:val="16"/>
                <w:szCs w:val="16"/>
                <w:lang w:eastAsia="en-AU"/>
              </w:rPr>
            </w:pPr>
          </w:p>
        </w:tc>
      </w:tr>
      <w:tr w:rsidR="001B644C" w:rsidRPr="0090354C" w14:paraId="6D203C84" w14:textId="77777777" w:rsidTr="00387A46">
        <w:trPr>
          <w:trHeight w:val="210"/>
        </w:trPr>
        <w:tc>
          <w:tcPr>
            <w:tcW w:w="3248" w:type="dxa"/>
            <w:tcBorders>
              <w:top w:val="nil"/>
              <w:left w:val="nil"/>
              <w:bottom w:val="nil"/>
              <w:right w:val="nil"/>
            </w:tcBorders>
            <w:shd w:val="clear" w:color="auto" w:fill="FFFFFF" w:themeFill="text2"/>
            <w:noWrap/>
            <w:vAlign w:val="bottom"/>
          </w:tcPr>
          <w:p w14:paraId="6552E948" w14:textId="64B8E1F4"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 xml:space="preserve">Capital </w:t>
            </w:r>
            <w:r w:rsidR="007E39AF" w:rsidRPr="0090354C">
              <w:rPr>
                <w:rFonts w:ascii="Public Sans" w:hAnsi="Public Sans" w:cs="Arial"/>
                <w:color w:val="000000"/>
                <w:sz w:val="16"/>
                <w:szCs w:val="16"/>
                <w:lang w:eastAsia="en-AU"/>
              </w:rPr>
              <w:t>e</w:t>
            </w:r>
            <w:r w:rsidRPr="0090354C">
              <w:rPr>
                <w:rFonts w:ascii="Public Sans" w:hAnsi="Public Sans" w:cs="Arial"/>
                <w:color w:val="000000"/>
                <w:sz w:val="16"/>
                <w:szCs w:val="16"/>
                <w:lang w:eastAsia="en-AU"/>
              </w:rPr>
              <w:t>xpenditure ($m)</w:t>
            </w:r>
          </w:p>
        </w:tc>
        <w:tc>
          <w:tcPr>
            <w:tcW w:w="1051" w:type="dxa"/>
            <w:tcBorders>
              <w:top w:val="nil"/>
              <w:left w:val="nil"/>
              <w:bottom w:val="nil"/>
              <w:right w:val="nil"/>
            </w:tcBorders>
            <w:shd w:val="clear" w:color="auto" w:fill="FFFFFF" w:themeFill="text2"/>
            <w:noWrap/>
            <w:vAlign w:val="center"/>
          </w:tcPr>
          <w:p w14:paraId="38CC5A28" w14:textId="317F8077" w:rsidR="001B644C" w:rsidRPr="0090354C" w:rsidRDefault="00EF6965"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22,919</w:t>
            </w:r>
          </w:p>
        </w:tc>
        <w:tc>
          <w:tcPr>
            <w:tcW w:w="1088" w:type="dxa"/>
            <w:tcBorders>
              <w:top w:val="nil"/>
              <w:left w:val="nil"/>
              <w:bottom w:val="nil"/>
              <w:right w:val="nil"/>
            </w:tcBorders>
            <w:noWrap/>
            <w:vAlign w:val="center"/>
          </w:tcPr>
          <w:p w14:paraId="12AB72B2" w14:textId="0370209D" w:rsidR="001B644C" w:rsidRPr="0090354C" w:rsidRDefault="005B257E"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22,315</w:t>
            </w:r>
          </w:p>
        </w:tc>
        <w:tc>
          <w:tcPr>
            <w:tcW w:w="1133" w:type="dxa"/>
            <w:tcBorders>
              <w:top w:val="nil"/>
              <w:left w:val="nil"/>
              <w:bottom w:val="nil"/>
              <w:right w:val="nil"/>
            </w:tcBorders>
            <w:noWrap/>
            <w:vAlign w:val="center"/>
          </w:tcPr>
          <w:p w14:paraId="565BD90D" w14:textId="7F9FD02B" w:rsidR="001B644C" w:rsidRPr="0090354C" w:rsidRDefault="00A247FA"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22,343</w:t>
            </w:r>
          </w:p>
        </w:tc>
        <w:tc>
          <w:tcPr>
            <w:tcW w:w="1039" w:type="dxa"/>
            <w:tcBorders>
              <w:top w:val="nil"/>
              <w:left w:val="nil"/>
              <w:bottom w:val="nil"/>
              <w:right w:val="nil"/>
            </w:tcBorders>
            <w:noWrap/>
            <w:vAlign w:val="center"/>
          </w:tcPr>
          <w:p w14:paraId="1CA29F04" w14:textId="3101F71C" w:rsidR="001B644C" w:rsidRPr="0090354C" w:rsidRDefault="00A247FA"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22,043</w:t>
            </w:r>
          </w:p>
        </w:tc>
        <w:tc>
          <w:tcPr>
            <w:tcW w:w="1039" w:type="dxa"/>
            <w:tcBorders>
              <w:top w:val="nil"/>
              <w:left w:val="nil"/>
              <w:bottom w:val="nil"/>
              <w:right w:val="nil"/>
            </w:tcBorders>
            <w:noWrap/>
            <w:vAlign w:val="center"/>
          </w:tcPr>
          <w:p w14:paraId="25BB2762" w14:textId="3371BFD2" w:rsidR="001B644C" w:rsidRPr="0090354C" w:rsidRDefault="00A247FA"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21,480</w:t>
            </w:r>
          </w:p>
        </w:tc>
        <w:tc>
          <w:tcPr>
            <w:tcW w:w="1040" w:type="dxa"/>
            <w:tcBorders>
              <w:top w:val="nil"/>
              <w:left w:val="nil"/>
              <w:bottom w:val="nil"/>
              <w:right w:val="nil"/>
            </w:tcBorders>
            <w:noWrap/>
            <w:vAlign w:val="center"/>
          </w:tcPr>
          <w:p w14:paraId="17E2A6A8" w14:textId="2DD89C2E" w:rsidR="001B644C" w:rsidRPr="0090354C" w:rsidRDefault="00A247FA"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20,111</w:t>
            </w:r>
          </w:p>
        </w:tc>
      </w:tr>
      <w:tr w:rsidR="001B644C" w:rsidRPr="0090354C" w14:paraId="69F4A0BB" w14:textId="77777777" w:rsidTr="00387A46">
        <w:trPr>
          <w:trHeight w:val="210"/>
        </w:trPr>
        <w:tc>
          <w:tcPr>
            <w:tcW w:w="3248" w:type="dxa"/>
            <w:tcBorders>
              <w:top w:val="nil"/>
              <w:left w:val="nil"/>
              <w:bottom w:val="nil"/>
              <w:right w:val="nil"/>
            </w:tcBorders>
            <w:shd w:val="clear" w:color="auto" w:fill="FFFFFF" w:themeFill="text2"/>
            <w:noWrap/>
            <w:vAlign w:val="bottom"/>
          </w:tcPr>
          <w:p w14:paraId="08BE8AB8" w14:textId="7777777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Per cent of GSP</w:t>
            </w:r>
          </w:p>
        </w:tc>
        <w:tc>
          <w:tcPr>
            <w:tcW w:w="1051" w:type="dxa"/>
            <w:tcBorders>
              <w:top w:val="nil"/>
              <w:left w:val="nil"/>
              <w:bottom w:val="nil"/>
              <w:right w:val="nil"/>
            </w:tcBorders>
            <w:shd w:val="clear" w:color="auto" w:fill="FFFFFF" w:themeFill="text2"/>
            <w:noWrap/>
            <w:vAlign w:val="center"/>
          </w:tcPr>
          <w:p w14:paraId="10DC6494" w14:textId="0B82CB07" w:rsidR="001B644C" w:rsidRPr="0090354C" w:rsidRDefault="002178C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2.8</w:t>
            </w:r>
          </w:p>
        </w:tc>
        <w:tc>
          <w:tcPr>
            <w:tcW w:w="1088" w:type="dxa"/>
            <w:tcBorders>
              <w:top w:val="nil"/>
              <w:left w:val="nil"/>
              <w:bottom w:val="nil"/>
              <w:right w:val="nil"/>
            </w:tcBorders>
            <w:noWrap/>
            <w:vAlign w:val="center"/>
          </w:tcPr>
          <w:p w14:paraId="720B29ED" w14:textId="33B376DA" w:rsidR="001B644C" w:rsidRPr="0090354C" w:rsidRDefault="002178C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2.6</w:t>
            </w:r>
          </w:p>
        </w:tc>
        <w:tc>
          <w:tcPr>
            <w:tcW w:w="1133" w:type="dxa"/>
            <w:tcBorders>
              <w:top w:val="nil"/>
              <w:left w:val="nil"/>
              <w:bottom w:val="nil"/>
              <w:right w:val="nil"/>
            </w:tcBorders>
            <w:noWrap/>
            <w:vAlign w:val="center"/>
          </w:tcPr>
          <w:p w14:paraId="315450BA" w14:textId="06E36297" w:rsidR="001B644C" w:rsidRPr="0090354C" w:rsidRDefault="002178C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2.5</w:t>
            </w:r>
          </w:p>
        </w:tc>
        <w:tc>
          <w:tcPr>
            <w:tcW w:w="1039" w:type="dxa"/>
            <w:tcBorders>
              <w:top w:val="nil"/>
              <w:left w:val="nil"/>
              <w:bottom w:val="nil"/>
              <w:right w:val="nil"/>
            </w:tcBorders>
            <w:noWrap/>
            <w:vAlign w:val="center"/>
          </w:tcPr>
          <w:p w14:paraId="0AA9AB24" w14:textId="5C49E2B7" w:rsidR="001B644C" w:rsidRPr="0090354C" w:rsidRDefault="002178C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2.4</w:t>
            </w:r>
          </w:p>
        </w:tc>
        <w:tc>
          <w:tcPr>
            <w:tcW w:w="1039" w:type="dxa"/>
            <w:tcBorders>
              <w:top w:val="nil"/>
              <w:left w:val="nil"/>
              <w:bottom w:val="nil"/>
              <w:right w:val="nil"/>
            </w:tcBorders>
            <w:noWrap/>
            <w:vAlign w:val="center"/>
          </w:tcPr>
          <w:p w14:paraId="2A174711" w14:textId="198B7899" w:rsidR="001B644C" w:rsidRPr="0090354C" w:rsidRDefault="000B3B72"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2.2</w:t>
            </w:r>
          </w:p>
        </w:tc>
        <w:tc>
          <w:tcPr>
            <w:tcW w:w="1040" w:type="dxa"/>
            <w:tcBorders>
              <w:top w:val="nil"/>
              <w:left w:val="nil"/>
              <w:bottom w:val="nil"/>
              <w:right w:val="nil"/>
            </w:tcBorders>
            <w:noWrap/>
            <w:vAlign w:val="center"/>
          </w:tcPr>
          <w:p w14:paraId="5A0E197C" w14:textId="169E5190" w:rsidR="001B644C" w:rsidRPr="0090354C" w:rsidRDefault="000B3B72"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2.0</w:t>
            </w:r>
          </w:p>
        </w:tc>
      </w:tr>
      <w:tr w:rsidR="001B644C" w:rsidRPr="0090354C" w14:paraId="5AB9D659" w14:textId="77777777" w:rsidTr="00387A46">
        <w:trPr>
          <w:trHeight w:val="210"/>
        </w:trPr>
        <w:tc>
          <w:tcPr>
            <w:tcW w:w="3248" w:type="dxa"/>
            <w:tcBorders>
              <w:top w:val="nil"/>
              <w:left w:val="nil"/>
              <w:bottom w:val="nil"/>
              <w:right w:val="nil"/>
            </w:tcBorders>
            <w:shd w:val="clear" w:color="auto" w:fill="FFFFFF" w:themeFill="text2"/>
            <w:noWrap/>
            <w:vAlign w:val="bottom"/>
          </w:tcPr>
          <w:p w14:paraId="68C71B58" w14:textId="77777777" w:rsidR="001B644C" w:rsidRPr="0090354C" w:rsidRDefault="001B644C">
            <w:pPr>
              <w:rPr>
                <w:rFonts w:ascii="Public Sans" w:hAnsi="Public Sans" w:cs="Arial"/>
                <w:color w:val="000000"/>
                <w:sz w:val="16"/>
                <w:szCs w:val="16"/>
                <w:lang w:eastAsia="en-AU"/>
              </w:rPr>
            </w:pPr>
          </w:p>
        </w:tc>
        <w:tc>
          <w:tcPr>
            <w:tcW w:w="1051" w:type="dxa"/>
            <w:tcBorders>
              <w:top w:val="nil"/>
              <w:left w:val="nil"/>
              <w:bottom w:val="nil"/>
              <w:right w:val="nil"/>
            </w:tcBorders>
            <w:shd w:val="clear" w:color="auto" w:fill="FFFFFF" w:themeFill="text2"/>
            <w:noWrap/>
            <w:vAlign w:val="center"/>
          </w:tcPr>
          <w:p w14:paraId="3970F103" w14:textId="77777777" w:rsidR="001B644C" w:rsidRPr="0090354C" w:rsidRDefault="001B644C" w:rsidP="00387A46">
            <w:pPr>
              <w:ind w:right="113"/>
              <w:jc w:val="right"/>
              <w:rPr>
                <w:rFonts w:ascii="Public Sans" w:hAnsi="Public Sans" w:cs="Arial"/>
                <w:color w:val="000000"/>
                <w:sz w:val="16"/>
                <w:szCs w:val="16"/>
                <w:lang w:eastAsia="en-AU"/>
              </w:rPr>
            </w:pPr>
          </w:p>
        </w:tc>
        <w:tc>
          <w:tcPr>
            <w:tcW w:w="1088" w:type="dxa"/>
            <w:tcBorders>
              <w:top w:val="nil"/>
              <w:left w:val="nil"/>
              <w:bottom w:val="nil"/>
              <w:right w:val="nil"/>
            </w:tcBorders>
            <w:noWrap/>
            <w:vAlign w:val="center"/>
          </w:tcPr>
          <w:p w14:paraId="3CDAC519" w14:textId="77777777" w:rsidR="001B644C" w:rsidRPr="0090354C" w:rsidRDefault="001B644C" w:rsidP="00387A46">
            <w:pPr>
              <w:ind w:right="113"/>
              <w:jc w:val="right"/>
              <w:rPr>
                <w:rFonts w:ascii="Public Sans" w:hAnsi="Public Sans" w:cs="Arial"/>
                <w:color w:val="000000"/>
                <w:sz w:val="16"/>
                <w:szCs w:val="16"/>
                <w:lang w:eastAsia="en-AU"/>
              </w:rPr>
            </w:pPr>
          </w:p>
        </w:tc>
        <w:tc>
          <w:tcPr>
            <w:tcW w:w="1133" w:type="dxa"/>
            <w:tcBorders>
              <w:top w:val="nil"/>
              <w:left w:val="nil"/>
              <w:bottom w:val="nil"/>
              <w:right w:val="nil"/>
            </w:tcBorders>
            <w:noWrap/>
            <w:vAlign w:val="center"/>
          </w:tcPr>
          <w:p w14:paraId="2FC83516"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center"/>
          </w:tcPr>
          <w:p w14:paraId="2EA96123" w14:textId="77777777" w:rsidR="001B644C" w:rsidRPr="0090354C" w:rsidRDefault="001B644C" w:rsidP="00387A46">
            <w:pPr>
              <w:ind w:right="113"/>
              <w:jc w:val="right"/>
              <w:rPr>
                <w:rFonts w:ascii="Public Sans" w:hAnsi="Public Sans" w:cs="Arial"/>
                <w:color w:val="000000"/>
                <w:sz w:val="16"/>
                <w:szCs w:val="16"/>
                <w:lang w:eastAsia="en-AU"/>
              </w:rPr>
            </w:pPr>
          </w:p>
        </w:tc>
        <w:tc>
          <w:tcPr>
            <w:tcW w:w="1039" w:type="dxa"/>
            <w:tcBorders>
              <w:top w:val="nil"/>
              <w:left w:val="nil"/>
              <w:bottom w:val="nil"/>
              <w:right w:val="nil"/>
            </w:tcBorders>
            <w:noWrap/>
            <w:vAlign w:val="center"/>
          </w:tcPr>
          <w:p w14:paraId="330054E1" w14:textId="77777777" w:rsidR="001B644C" w:rsidRPr="0090354C" w:rsidRDefault="001B644C" w:rsidP="00387A46">
            <w:pPr>
              <w:ind w:right="113"/>
              <w:jc w:val="right"/>
              <w:rPr>
                <w:rFonts w:ascii="Public Sans" w:hAnsi="Public Sans" w:cs="Arial"/>
                <w:color w:val="000000"/>
                <w:sz w:val="16"/>
                <w:szCs w:val="16"/>
                <w:lang w:eastAsia="en-AU"/>
              </w:rPr>
            </w:pPr>
          </w:p>
        </w:tc>
        <w:tc>
          <w:tcPr>
            <w:tcW w:w="1040" w:type="dxa"/>
            <w:tcBorders>
              <w:top w:val="nil"/>
              <w:left w:val="nil"/>
              <w:bottom w:val="nil"/>
              <w:right w:val="nil"/>
            </w:tcBorders>
            <w:noWrap/>
            <w:vAlign w:val="center"/>
          </w:tcPr>
          <w:p w14:paraId="2EC51B6C" w14:textId="77777777" w:rsidR="001B644C" w:rsidRPr="0090354C" w:rsidRDefault="001B644C" w:rsidP="00387A46">
            <w:pPr>
              <w:ind w:right="113"/>
              <w:jc w:val="right"/>
              <w:rPr>
                <w:rFonts w:ascii="Public Sans" w:hAnsi="Public Sans" w:cs="Arial"/>
                <w:color w:val="000000"/>
                <w:sz w:val="16"/>
                <w:szCs w:val="16"/>
                <w:lang w:eastAsia="en-AU"/>
              </w:rPr>
            </w:pPr>
          </w:p>
        </w:tc>
      </w:tr>
      <w:tr w:rsidR="00314092" w:rsidRPr="0090354C" w14:paraId="106B3299" w14:textId="77777777" w:rsidTr="00387A46">
        <w:trPr>
          <w:trHeight w:val="210"/>
        </w:trPr>
        <w:tc>
          <w:tcPr>
            <w:tcW w:w="3248" w:type="dxa"/>
            <w:tcBorders>
              <w:top w:val="nil"/>
              <w:left w:val="nil"/>
              <w:right w:val="nil"/>
            </w:tcBorders>
            <w:shd w:val="clear" w:color="auto" w:fill="FFFFFF" w:themeFill="text2"/>
            <w:noWrap/>
            <w:vAlign w:val="bottom"/>
          </w:tcPr>
          <w:p w14:paraId="2661058D" w14:textId="46B7ECF7" w:rsidR="001B644C" w:rsidRPr="0090354C" w:rsidRDefault="001B644C">
            <w:pPr>
              <w:rPr>
                <w:rFonts w:ascii="Public Sans" w:hAnsi="Public Sans" w:cs="Arial"/>
                <w:color w:val="000000"/>
                <w:sz w:val="16"/>
                <w:szCs w:val="16"/>
                <w:lang w:eastAsia="en-AU"/>
              </w:rPr>
            </w:pPr>
            <w:r w:rsidRPr="0090354C">
              <w:rPr>
                <w:rFonts w:ascii="Public Sans" w:hAnsi="Public Sans" w:cs="Arial"/>
                <w:color w:val="000000"/>
                <w:sz w:val="16"/>
                <w:szCs w:val="16"/>
                <w:lang w:eastAsia="en-AU"/>
              </w:rPr>
              <w:t xml:space="preserve">NFPS </w:t>
            </w:r>
            <w:r w:rsidR="007E39AF" w:rsidRPr="0090354C">
              <w:rPr>
                <w:rFonts w:ascii="Public Sans" w:hAnsi="Public Sans" w:cs="Arial"/>
                <w:color w:val="000000"/>
                <w:sz w:val="16"/>
                <w:szCs w:val="16"/>
                <w:lang w:eastAsia="en-AU"/>
              </w:rPr>
              <w:t>c</w:t>
            </w:r>
            <w:r w:rsidRPr="0090354C">
              <w:rPr>
                <w:rFonts w:ascii="Public Sans" w:hAnsi="Public Sans" w:cs="Arial"/>
                <w:color w:val="000000"/>
                <w:sz w:val="16"/>
                <w:szCs w:val="16"/>
                <w:lang w:eastAsia="en-AU"/>
              </w:rPr>
              <w:t xml:space="preserve">apital </w:t>
            </w:r>
            <w:r w:rsidR="007E39AF" w:rsidRPr="0090354C">
              <w:rPr>
                <w:rFonts w:ascii="Public Sans" w:hAnsi="Public Sans" w:cs="Arial"/>
                <w:color w:val="000000"/>
                <w:sz w:val="16"/>
                <w:szCs w:val="16"/>
                <w:lang w:eastAsia="en-AU"/>
              </w:rPr>
              <w:t>e</w:t>
            </w:r>
            <w:r w:rsidRPr="0090354C">
              <w:rPr>
                <w:rFonts w:ascii="Public Sans" w:hAnsi="Public Sans" w:cs="Arial"/>
                <w:color w:val="000000"/>
                <w:sz w:val="16"/>
                <w:szCs w:val="16"/>
                <w:lang w:eastAsia="en-AU"/>
              </w:rPr>
              <w:t>xpenditure ($m)</w:t>
            </w:r>
          </w:p>
        </w:tc>
        <w:tc>
          <w:tcPr>
            <w:tcW w:w="1051" w:type="dxa"/>
            <w:tcBorders>
              <w:top w:val="nil"/>
              <w:left w:val="nil"/>
              <w:right w:val="nil"/>
            </w:tcBorders>
            <w:noWrap/>
            <w:vAlign w:val="center"/>
          </w:tcPr>
          <w:p w14:paraId="731EB74E" w14:textId="4539B8A7" w:rsidR="001B644C" w:rsidRPr="0090354C" w:rsidRDefault="007522F1" w:rsidP="00387A46">
            <w:pPr>
              <w:ind w:right="113"/>
              <w:jc w:val="right"/>
              <w:rPr>
                <w:rFonts w:ascii="Public Sans" w:hAnsi="Public Sans" w:cs="Arial"/>
                <w:b/>
                <w:color w:val="000000"/>
                <w:sz w:val="16"/>
                <w:szCs w:val="16"/>
                <w:lang w:eastAsia="en-AU"/>
              </w:rPr>
            </w:pPr>
            <w:r w:rsidRPr="0090354C">
              <w:rPr>
                <w:rFonts w:ascii="Public Sans" w:hAnsi="Public Sans" w:cs="Arial"/>
                <w:color w:val="000000" w:themeColor="text1"/>
                <w:sz w:val="16"/>
                <w:szCs w:val="16"/>
                <w:lang w:eastAsia="en-AU"/>
              </w:rPr>
              <w:t>3</w:t>
            </w:r>
            <w:r w:rsidR="00E40E2E" w:rsidRPr="0090354C">
              <w:rPr>
                <w:rFonts w:ascii="Public Sans" w:hAnsi="Public Sans" w:cs="Arial"/>
                <w:color w:val="000000" w:themeColor="text1"/>
                <w:sz w:val="16"/>
                <w:szCs w:val="16"/>
                <w:lang w:eastAsia="en-AU"/>
              </w:rPr>
              <w:t>1</w:t>
            </w:r>
            <w:r w:rsidRPr="0090354C">
              <w:rPr>
                <w:rFonts w:ascii="Public Sans" w:hAnsi="Public Sans" w:cs="Arial"/>
                <w:color w:val="000000" w:themeColor="text1"/>
                <w:sz w:val="16"/>
                <w:szCs w:val="16"/>
                <w:lang w:eastAsia="en-AU"/>
              </w:rPr>
              <w:t>,</w:t>
            </w:r>
            <w:r w:rsidR="00E40E2E" w:rsidRPr="0090354C">
              <w:rPr>
                <w:rFonts w:ascii="Public Sans" w:hAnsi="Public Sans" w:cs="Arial"/>
                <w:color w:val="000000" w:themeColor="text1"/>
                <w:sz w:val="16"/>
                <w:szCs w:val="16"/>
                <w:lang w:eastAsia="en-AU"/>
              </w:rPr>
              <w:t>059</w:t>
            </w:r>
          </w:p>
        </w:tc>
        <w:tc>
          <w:tcPr>
            <w:tcW w:w="1088" w:type="dxa"/>
            <w:tcBorders>
              <w:top w:val="nil"/>
              <w:left w:val="nil"/>
              <w:right w:val="nil"/>
            </w:tcBorders>
            <w:noWrap/>
            <w:vAlign w:val="center"/>
          </w:tcPr>
          <w:p w14:paraId="7C6B174E" w14:textId="67F02DD0" w:rsidR="001B644C" w:rsidRPr="0090354C" w:rsidRDefault="00CB1BA5"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28,646</w:t>
            </w:r>
          </w:p>
        </w:tc>
        <w:tc>
          <w:tcPr>
            <w:tcW w:w="1133" w:type="dxa"/>
            <w:tcBorders>
              <w:top w:val="nil"/>
              <w:left w:val="nil"/>
              <w:right w:val="nil"/>
            </w:tcBorders>
            <w:noWrap/>
            <w:vAlign w:val="center"/>
          </w:tcPr>
          <w:p w14:paraId="336A01CC" w14:textId="041A65E6" w:rsidR="001B644C" w:rsidRPr="0090354C" w:rsidRDefault="00DA318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30,816</w:t>
            </w:r>
          </w:p>
        </w:tc>
        <w:tc>
          <w:tcPr>
            <w:tcW w:w="1039" w:type="dxa"/>
            <w:tcBorders>
              <w:top w:val="nil"/>
              <w:left w:val="nil"/>
              <w:right w:val="nil"/>
            </w:tcBorders>
            <w:noWrap/>
            <w:vAlign w:val="center"/>
          </w:tcPr>
          <w:p w14:paraId="04D3CFB2" w14:textId="03C3DA29" w:rsidR="001B644C" w:rsidRPr="0090354C" w:rsidRDefault="00DA318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30,353</w:t>
            </w:r>
          </w:p>
        </w:tc>
        <w:tc>
          <w:tcPr>
            <w:tcW w:w="1039" w:type="dxa"/>
            <w:tcBorders>
              <w:top w:val="nil"/>
              <w:left w:val="nil"/>
              <w:right w:val="nil"/>
            </w:tcBorders>
            <w:noWrap/>
            <w:vAlign w:val="center"/>
          </w:tcPr>
          <w:p w14:paraId="4CD3984F" w14:textId="0B9513D1" w:rsidR="001B644C" w:rsidRPr="0090354C" w:rsidRDefault="00DA318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29,336</w:t>
            </w:r>
          </w:p>
        </w:tc>
        <w:tc>
          <w:tcPr>
            <w:tcW w:w="1040" w:type="dxa"/>
            <w:tcBorders>
              <w:top w:val="nil"/>
              <w:left w:val="nil"/>
              <w:right w:val="nil"/>
            </w:tcBorders>
            <w:noWrap/>
            <w:vAlign w:val="center"/>
          </w:tcPr>
          <w:p w14:paraId="6C86F4D3" w14:textId="7125DFE3" w:rsidR="001B644C" w:rsidRPr="0090354C" w:rsidRDefault="00DA3187" w:rsidP="00387A46">
            <w:pPr>
              <w:ind w:right="113"/>
              <w:jc w:val="right"/>
              <w:rPr>
                <w:rFonts w:ascii="Public Sans" w:hAnsi="Public Sans" w:cs="Arial"/>
                <w:color w:val="000000"/>
                <w:sz w:val="16"/>
                <w:szCs w:val="16"/>
                <w:lang w:eastAsia="en-AU"/>
              </w:rPr>
            </w:pPr>
            <w:r w:rsidRPr="0090354C">
              <w:rPr>
                <w:rFonts w:ascii="Public Sans" w:hAnsi="Public Sans" w:cs="Arial"/>
                <w:color w:val="000000"/>
                <w:sz w:val="16"/>
                <w:szCs w:val="16"/>
                <w:lang w:eastAsia="en-AU"/>
              </w:rPr>
              <w:t>27,829</w:t>
            </w:r>
          </w:p>
        </w:tc>
      </w:tr>
      <w:tr w:rsidR="001B644C" w:rsidRPr="0090354C" w14:paraId="0538ADC4" w14:textId="77777777" w:rsidTr="00387A46">
        <w:trPr>
          <w:trHeight w:val="210"/>
        </w:trPr>
        <w:tc>
          <w:tcPr>
            <w:tcW w:w="3248" w:type="dxa"/>
            <w:tcBorders>
              <w:top w:val="nil"/>
              <w:left w:val="nil"/>
              <w:bottom w:val="single" w:sz="4" w:space="0" w:color="auto"/>
              <w:right w:val="nil"/>
            </w:tcBorders>
            <w:shd w:val="clear" w:color="auto" w:fill="FFFFFF" w:themeFill="text2"/>
            <w:noWrap/>
            <w:vAlign w:val="bottom"/>
          </w:tcPr>
          <w:p w14:paraId="7B80D971" w14:textId="77777777" w:rsidR="001B644C" w:rsidRPr="0090354C" w:rsidRDefault="001B644C">
            <w:pPr>
              <w:rPr>
                <w:rFonts w:ascii="Public Sans" w:hAnsi="Public Sans" w:cs="Arial"/>
                <w:color w:val="000000"/>
                <w:sz w:val="16"/>
                <w:szCs w:val="16"/>
                <w:lang w:eastAsia="en-AU"/>
              </w:rPr>
            </w:pPr>
          </w:p>
        </w:tc>
        <w:tc>
          <w:tcPr>
            <w:tcW w:w="1051" w:type="dxa"/>
            <w:tcBorders>
              <w:top w:val="nil"/>
              <w:left w:val="nil"/>
              <w:bottom w:val="single" w:sz="4" w:space="0" w:color="auto"/>
              <w:right w:val="nil"/>
            </w:tcBorders>
            <w:shd w:val="clear" w:color="auto" w:fill="FFFFFF" w:themeFill="text2"/>
            <w:noWrap/>
            <w:vAlign w:val="center"/>
          </w:tcPr>
          <w:p w14:paraId="1922B74B" w14:textId="77777777" w:rsidR="001B644C" w:rsidRPr="0090354C" w:rsidRDefault="001B644C">
            <w:pPr>
              <w:jc w:val="right"/>
              <w:rPr>
                <w:rFonts w:ascii="Public Sans" w:hAnsi="Public Sans" w:cs="Arial"/>
                <w:color w:val="000000"/>
                <w:sz w:val="16"/>
                <w:szCs w:val="16"/>
                <w:highlight w:val="yellow"/>
                <w:lang w:eastAsia="en-AU"/>
              </w:rPr>
            </w:pPr>
          </w:p>
        </w:tc>
        <w:tc>
          <w:tcPr>
            <w:tcW w:w="1088" w:type="dxa"/>
            <w:tcBorders>
              <w:top w:val="nil"/>
              <w:left w:val="nil"/>
              <w:bottom w:val="single" w:sz="4" w:space="0" w:color="auto"/>
              <w:right w:val="nil"/>
            </w:tcBorders>
            <w:noWrap/>
            <w:vAlign w:val="center"/>
          </w:tcPr>
          <w:p w14:paraId="63DE79CE" w14:textId="77777777" w:rsidR="001B644C" w:rsidRPr="0090354C" w:rsidRDefault="001B644C">
            <w:pPr>
              <w:jc w:val="right"/>
              <w:rPr>
                <w:rFonts w:ascii="Public Sans" w:hAnsi="Public Sans" w:cs="Arial"/>
                <w:color w:val="000000"/>
                <w:sz w:val="16"/>
                <w:szCs w:val="16"/>
                <w:highlight w:val="yellow"/>
                <w:lang w:eastAsia="en-AU"/>
              </w:rPr>
            </w:pPr>
          </w:p>
        </w:tc>
        <w:tc>
          <w:tcPr>
            <w:tcW w:w="1133" w:type="dxa"/>
            <w:tcBorders>
              <w:top w:val="nil"/>
              <w:left w:val="nil"/>
              <w:bottom w:val="single" w:sz="4" w:space="0" w:color="auto"/>
              <w:right w:val="nil"/>
            </w:tcBorders>
            <w:noWrap/>
            <w:vAlign w:val="center"/>
          </w:tcPr>
          <w:p w14:paraId="68F3D190" w14:textId="77777777" w:rsidR="001B644C" w:rsidRPr="0090354C" w:rsidRDefault="001B644C">
            <w:pPr>
              <w:jc w:val="right"/>
              <w:rPr>
                <w:rFonts w:ascii="Public Sans" w:hAnsi="Public Sans" w:cs="Arial"/>
                <w:color w:val="000000"/>
                <w:sz w:val="16"/>
                <w:szCs w:val="16"/>
                <w:highlight w:val="yellow"/>
                <w:lang w:eastAsia="en-AU"/>
              </w:rPr>
            </w:pPr>
          </w:p>
        </w:tc>
        <w:tc>
          <w:tcPr>
            <w:tcW w:w="1039" w:type="dxa"/>
            <w:tcBorders>
              <w:top w:val="nil"/>
              <w:left w:val="nil"/>
              <w:bottom w:val="single" w:sz="4" w:space="0" w:color="auto"/>
              <w:right w:val="nil"/>
            </w:tcBorders>
            <w:noWrap/>
            <w:vAlign w:val="center"/>
          </w:tcPr>
          <w:p w14:paraId="6CBB7992" w14:textId="77777777" w:rsidR="001B644C" w:rsidRPr="0090354C" w:rsidRDefault="001B644C">
            <w:pPr>
              <w:jc w:val="right"/>
              <w:rPr>
                <w:rFonts w:ascii="Public Sans" w:hAnsi="Public Sans" w:cs="Arial"/>
                <w:color w:val="000000"/>
                <w:sz w:val="16"/>
                <w:szCs w:val="16"/>
                <w:highlight w:val="yellow"/>
                <w:lang w:eastAsia="en-AU"/>
              </w:rPr>
            </w:pPr>
          </w:p>
        </w:tc>
        <w:tc>
          <w:tcPr>
            <w:tcW w:w="1039" w:type="dxa"/>
            <w:tcBorders>
              <w:top w:val="nil"/>
              <w:left w:val="nil"/>
              <w:bottom w:val="single" w:sz="4" w:space="0" w:color="auto"/>
              <w:right w:val="nil"/>
            </w:tcBorders>
            <w:noWrap/>
            <w:vAlign w:val="center"/>
          </w:tcPr>
          <w:p w14:paraId="6F33C455" w14:textId="77777777" w:rsidR="001B644C" w:rsidRPr="0090354C" w:rsidRDefault="001B644C">
            <w:pPr>
              <w:jc w:val="right"/>
              <w:rPr>
                <w:rFonts w:ascii="Public Sans" w:hAnsi="Public Sans" w:cs="Arial"/>
                <w:color w:val="000000"/>
                <w:sz w:val="16"/>
                <w:szCs w:val="16"/>
                <w:highlight w:val="yellow"/>
                <w:lang w:eastAsia="en-AU"/>
              </w:rPr>
            </w:pPr>
          </w:p>
        </w:tc>
        <w:tc>
          <w:tcPr>
            <w:tcW w:w="1040" w:type="dxa"/>
            <w:tcBorders>
              <w:top w:val="nil"/>
              <w:left w:val="nil"/>
              <w:bottom w:val="single" w:sz="4" w:space="0" w:color="auto"/>
              <w:right w:val="nil"/>
            </w:tcBorders>
            <w:noWrap/>
            <w:vAlign w:val="center"/>
          </w:tcPr>
          <w:p w14:paraId="2FFFD91B" w14:textId="77777777" w:rsidR="001B644C" w:rsidRPr="0090354C" w:rsidRDefault="001B644C">
            <w:pPr>
              <w:jc w:val="right"/>
              <w:rPr>
                <w:rFonts w:ascii="Public Sans" w:hAnsi="Public Sans" w:cs="Arial"/>
                <w:color w:val="000000"/>
                <w:sz w:val="16"/>
                <w:szCs w:val="16"/>
                <w:highlight w:val="yellow"/>
                <w:lang w:eastAsia="en-AU"/>
              </w:rPr>
            </w:pPr>
          </w:p>
        </w:tc>
      </w:tr>
    </w:tbl>
    <w:p w14:paraId="5031465D" w14:textId="131C01E0" w:rsidR="00744CBA" w:rsidRPr="0090354C" w:rsidRDefault="00744CBA" w:rsidP="001B644C">
      <w:pPr>
        <w:rPr>
          <w:rFonts w:ascii="Public Sans" w:hAnsi="Public Sans"/>
        </w:rPr>
      </w:pPr>
    </w:p>
    <w:p w14:paraId="6F3F1C06" w14:textId="77777777" w:rsidR="00FD5275" w:rsidRPr="0090354C" w:rsidRDefault="00FD5275" w:rsidP="001B644C">
      <w:pPr>
        <w:rPr>
          <w:rFonts w:ascii="Public Sans" w:hAnsi="Public Sans"/>
        </w:rPr>
      </w:pPr>
    </w:p>
    <w:tbl>
      <w:tblPr>
        <w:tblW w:w="9639" w:type="dxa"/>
        <w:shd w:val="pct5" w:color="auto" w:fill="auto"/>
        <w:tblLayout w:type="fixed"/>
        <w:tblLook w:val="0000" w:firstRow="0" w:lastRow="0" w:firstColumn="0" w:lastColumn="0" w:noHBand="0" w:noVBand="0"/>
      </w:tblPr>
      <w:tblGrid>
        <w:gridCol w:w="9639"/>
      </w:tblGrid>
      <w:tr w:rsidR="001B644C" w:rsidRPr="0090354C" w14:paraId="25725DE9" w14:textId="77777777" w:rsidTr="00CB2A54">
        <w:trPr>
          <w:trHeight w:val="7939"/>
        </w:trPr>
        <w:tc>
          <w:tcPr>
            <w:tcW w:w="9639" w:type="dxa"/>
            <w:shd w:val="pct5" w:color="auto" w:fill="auto"/>
          </w:tcPr>
          <w:p w14:paraId="0238A297" w14:textId="63CDF0DB" w:rsidR="001B644C" w:rsidRPr="0090354C" w:rsidRDefault="001B644C">
            <w:pPr>
              <w:pStyle w:val="Box1XBoxHeading"/>
            </w:pPr>
            <w:r w:rsidRPr="0090354C">
              <w:lastRenderedPageBreak/>
              <w:t>New South Wales keep</w:t>
            </w:r>
            <w:r w:rsidR="00F71081" w:rsidRPr="0090354C">
              <w:t>ing</w:t>
            </w:r>
            <w:r w:rsidRPr="0090354C">
              <w:t xml:space="preserve"> debt in check</w:t>
            </w:r>
          </w:p>
          <w:p w14:paraId="20F40A81" w14:textId="3633C009" w:rsidR="001B644C" w:rsidRPr="0090354C" w:rsidRDefault="001B644C" w:rsidP="005C6776">
            <w:pPr>
              <w:pStyle w:val="BodyText"/>
            </w:pPr>
            <w:r w:rsidRPr="0090354C">
              <w:t>While New South Wales</w:t>
            </w:r>
            <w:r w:rsidR="0027399B" w:rsidRPr="0090354C">
              <w:t>’</w:t>
            </w:r>
            <w:r w:rsidRPr="0090354C">
              <w:t xml:space="preserve"> gross debt ratio rose sharply during the pandemic, more than doubling from 6.2 per cent of GSP </w:t>
            </w:r>
            <w:r w:rsidR="00F67BBF">
              <w:t xml:space="preserve">at June </w:t>
            </w:r>
            <w:r w:rsidRPr="0090354C">
              <w:t xml:space="preserve">2019 to </w:t>
            </w:r>
            <w:r w:rsidR="00264A6C" w:rsidRPr="0090354C">
              <w:t xml:space="preserve">14.1 </w:t>
            </w:r>
            <w:r w:rsidRPr="0090354C">
              <w:t xml:space="preserve">per cent in </w:t>
            </w:r>
            <w:r w:rsidR="00F67BBF">
              <w:t xml:space="preserve">June </w:t>
            </w:r>
            <w:r w:rsidR="00C55F77" w:rsidRPr="0090354C">
              <w:t>2021</w:t>
            </w:r>
            <w:r w:rsidR="00F67BBF">
              <w:t>. T</w:t>
            </w:r>
            <w:r w:rsidR="00DE1267" w:rsidRPr="0090354C">
              <w:t xml:space="preserve">his </w:t>
            </w:r>
            <w:r w:rsidR="00457021" w:rsidRPr="0090354C">
              <w:t>B</w:t>
            </w:r>
            <w:r w:rsidR="00DE1267" w:rsidRPr="0090354C">
              <w:t>udget s</w:t>
            </w:r>
            <w:r w:rsidR="002A50CA" w:rsidRPr="0090354C">
              <w:t>hows</w:t>
            </w:r>
            <w:r w:rsidR="00DE1267" w:rsidRPr="0090354C">
              <w:t xml:space="preserve"> a turnaround w</w:t>
            </w:r>
            <w:r w:rsidR="00014205" w:rsidRPr="0090354C">
              <w:t>ith</w:t>
            </w:r>
            <w:r w:rsidR="00DE1267" w:rsidRPr="0090354C">
              <w:t xml:space="preserve"> </w:t>
            </w:r>
            <w:r w:rsidR="000D38D3" w:rsidRPr="0090354C">
              <w:t xml:space="preserve">growth in </w:t>
            </w:r>
            <w:r w:rsidR="00DE1267" w:rsidRPr="0090354C">
              <w:t xml:space="preserve">debt </w:t>
            </w:r>
            <w:r w:rsidR="005E11FD" w:rsidRPr="0090354C">
              <w:t>levelling</w:t>
            </w:r>
            <w:r w:rsidRPr="0090354C">
              <w:t xml:space="preserve"> off and </w:t>
            </w:r>
            <w:r w:rsidR="002826AE" w:rsidRPr="0090354C">
              <w:t xml:space="preserve">gross debt </w:t>
            </w:r>
            <w:r w:rsidR="001E1460" w:rsidRPr="0090354C">
              <w:t>maintained</w:t>
            </w:r>
            <w:r w:rsidRPr="0090354C">
              <w:t xml:space="preserve"> at around 20</w:t>
            </w:r>
            <w:r w:rsidR="00543449" w:rsidRPr="0090354C">
              <w:t> </w:t>
            </w:r>
            <w:r w:rsidRPr="0090354C">
              <w:t>per</w:t>
            </w:r>
            <w:r w:rsidR="00543449" w:rsidRPr="0090354C">
              <w:t> </w:t>
            </w:r>
            <w:r w:rsidRPr="0090354C">
              <w:t xml:space="preserve">cent of GSP </w:t>
            </w:r>
            <w:r w:rsidR="000833AE" w:rsidRPr="0090354C">
              <w:t>over</w:t>
            </w:r>
            <w:r w:rsidRPr="0090354C">
              <w:t xml:space="preserve"> the forward estimates </w:t>
            </w:r>
            <w:r w:rsidR="000833AE" w:rsidRPr="0090354C">
              <w:t>to</w:t>
            </w:r>
            <w:r w:rsidRPr="0090354C">
              <w:t xml:space="preserve"> June</w:t>
            </w:r>
            <w:r w:rsidR="00D0561F" w:rsidRPr="0090354C">
              <w:t> </w:t>
            </w:r>
            <w:r w:rsidRPr="0090354C">
              <w:t>2029.</w:t>
            </w:r>
            <w:r w:rsidR="003E3380" w:rsidRPr="0090354C">
              <w:t xml:space="preserve"> The projected reduction in gross debt </w:t>
            </w:r>
            <w:r w:rsidR="007B406B" w:rsidRPr="0090354C">
              <w:t>to GSP</w:t>
            </w:r>
            <w:r w:rsidR="003E3380" w:rsidRPr="0090354C">
              <w:t xml:space="preserve"> has been achieved without compromising the delivery of</w:t>
            </w:r>
            <w:r w:rsidR="00221033" w:rsidRPr="0090354C">
              <w:t xml:space="preserve"> the</w:t>
            </w:r>
            <w:r w:rsidR="003E3380" w:rsidRPr="0090354C">
              <w:t xml:space="preserve"> State’s infrastructure program, with continued investment in essential services that support long</w:t>
            </w:r>
            <w:r w:rsidR="00543449" w:rsidRPr="0090354C">
              <w:noBreakHyphen/>
            </w:r>
            <w:r w:rsidR="003E3380" w:rsidRPr="0090354C">
              <w:t>term economic growth.</w:t>
            </w:r>
            <w:r w:rsidR="00890AA6" w:rsidRPr="0090354C">
              <w:t xml:space="preserve"> </w:t>
            </w:r>
          </w:p>
          <w:p w14:paraId="4D3E27F7" w14:textId="707C2B7B" w:rsidR="001B644C" w:rsidRPr="0090354C" w:rsidRDefault="001A48DF" w:rsidP="00D249DC">
            <w:pPr>
              <w:pStyle w:val="BodyText"/>
            </w:pPr>
            <w:r w:rsidRPr="0090354C">
              <w:t xml:space="preserve">This takes pressure off the State’s interest expenses </w:t>
            </w:r>
            <w:r w:rsidR="00AD7771" w:rsidRPr="0090354C">
              <w:t>and helps</w:t>
            </w:r>
            <w:r w:rsidRPr="0090354C">
              <w:t xml:space="preserve"> maintain a triple-A credit rating.</w:t>
            </w:r>
            <w:r w:rsidR="0029102B" w:rsidRPr="0090354C">
              <w:t xml:space="preserve"> Reducing </w:t>
            </w:r>
            <w:r w:rsidR="00BD2654" w:rsidRPr="0090354C">
              <w:t xml:space="preserve">the June 2026 </w:t>
            </w:r>
            <w:r w:rsidR="001C6729" w:rsidRPr="0090354C">
              <w:t xml:space="preserve">projected </w:t>
            </w:r>
            <w:r w:rsidR="003911F6" w:rsidRPr="0090354C">
              <w:t xml:space="preserve">gross </w:t>
            </w:r>
            <w:r w:rsidR="0029102B" w:rsidRPr="0090354C">
              <w:t>debt by $9.</w:t>
            </w:r>
            <w:r w:rsidR="001C6729" w:rsidRPr="0090354C">
              <w:t xml:space="preserve">4 </w:t>
            </w:r>
            <w:r w:rsidR="0029102B" w:rsidRPr="0090354C">
              <w:t>billion</w:t>
            </w:r>
            <w:r w:rsidR="001C6729" w:rsidRPr="0090354C">
              <w:t xml:space="preserve"> in comparison to the 2023 Pre-</w:t>
            </w:r>
            <w:r w:rsidR="00C74514" w:rsidRPr="0090354C">
              <w:t>e</w:t>
            </w:r>
            <w:r w:rsidR="001C6729" w:rsidRPr="0090354C">
              <w:t>lection Budget Update</w:t>
            </w:r>
            <w:r w:rsidR="0029102B" w:rsidRPr="0090354C">
              <w:t xml:space="preserve">, the NSW Government </w:t>
            </w:r>
            <w:r w:rsidR="0029019D" w:rsidRPr="0090354C">
              <w:t>will save</w:t>
            </w:r>
            <w:r w:rsidR="0029102B" w:rsidRPr="0090354C">
              <w:t xml:space="preserve"> </w:t>
            </w:r>
            <w:r w:rsidR="00173D76" w:rsidRPr="0090354C">
              <w:t>around</w:t>
            </w:r>
            <w:r w:rsidR="0029102B" w:rsidRPr="0090354C">
              <w:t xml:space="preserve"> $400 million </w:t>
            </w:r>
            <w:r w:rsidR="00000426" w:rsidRPr="0090354C">
              <w:t xml:space="preserve">in </w:t>
            </w:r>
            <w:r w:rsidR="0029102B" w:rsidRPr="0090354C">
              <w:t>interest expenses</w:t>
            </w:r>
            <w:r w:rsidR="0029019D" w:rsidRPr="0090354C">
              <w:t xml:space="preserve"> per annum</w:t>
            </w:r>
            <w:r w:rsidR="0029102B" w:rsidRPr="0090354C">
              <w:t>. These savings are driving new investments to rebuild essential services</w:t>
            </w:r>
            <w:r w:rsidR="0011460E" w:rsidRPr="0090354C">
              <w:t xml:space="preserve"> and contribute to budget repair. </w:t>
            </w:r>
          </w:p>
          <w:p w14:paraId="06EF2694" w14:textId="3EDC669C" w:rsidR="0073747E" w:rsidRPr="0090354C" w:rsidRDefault="009A623C" w:rsidP="00D05565">
            <w:pPr>
              <w:pStyle w:val="Chart1X"/>
            </w:pPr>
            <w:r w:rsidRPr="0090354C">
              <w:t>General government gross debt</w:t>
            </w:r>
          </w:p>
          <w:p w14:paraId="48C32CBB" w14:textId="48E88DB8" w:rsidR="00E629FB" w:rsidRPr="0090354C" w:rsidRDefault="009F38EE" w:rsidP="00E629FB">
            <w:pPr>
              <w:pStyle w:val="BodyText"/>
            </w:pPr>
            <w:r w:rsidRPr="0090354C">
              <w:rPr>
                <w:noProof/>
              </w:rPr>
              <w:drawing>
                <wp:inline distT="0" distB="0" distL="0" distR="0" wp14:anchorId="1C91B39F" wp14:editId="3EE04A0B">
                  <wp:extent cx="5983605" cy="1989455"/>
                  <wp:effectExtent l="0" t="0" r="0" b="0"/>
                  <wp:docPr id="261301840" name="Chart 1" descr="Chart 1.6: General government gross debt">
                    <a:extLst xmlns:a="http://schemas.openxmlformats.org/drawingml/2006/main">
                      <a:ext uri="{FF2B5EF4-FFF2-40B4-BE49-F238E27FC236}">
                        <a16:creationId xmlns:a16="http://schemas.microsoft.com/office/drawing/2014/main" id="{FF143385-08F6-4CA5-B4B3-0413CBD17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462E7E" w14:textId="1BDB75D5" w:rsidR="0011460E" w:rsidRPr="0090354C" w:rsidRDefault="009F38EE" w:rsidP="00925BF8">
            <w:pPr>
              <w:rPr>
                <w:rFonts w:ascii="Public Sans" w:hAnsi="Public Sans"/>
              </w:rPr>
            </w:pPr>
            <w:r w:rsidRPr="0090354C">
              <w:rPr>
                <w:rFonts w:ascii="Public Sans" w:hAnsi="Public Sans"/>
                <w:i/>
                <w:iCs/>
                <w:sz w:val="16"/>
                <w:szCs w:val="16"/>
              </w:rPr>
              <w:t>Source: NSW Treasury</w:t>
            </w:r>
          </w:p>
        </w:tc>
      </w:tr>
    </w:tbl>
    <w:p w14:paraId="16FA34FC" w14:textId="6C09E2CB" w:rsidR="00CE113A" w:rsidRPr="0090354C" w:rsidRDefault="00CE113A" w:rsidP="009E14CE">
      <w:pPr>
        <w:rPr>
          <w:rFonts w:ascii="Public Sans" w:hAnsi="Public Sans"/>
        </w:rPr>
      </w:pPr>
    </w:p>
    <w:p w14:paraId="497BC497" w14:textId="75A1CB83" w:rsidR="007907AC" w:rsidRPr="0090354C" w:rsidRDefault="007907AC" w:rsidP="007907AC">
      <w:pPr>
        <w:pStyle w:val="11Heading2"/>
      </w:pPr>
      <w:r w:rsidRPr="0090354C">
        <w:t xml:space="preserve">Delivery on </w:t>
      </w:r>
      <w:r w:rsidR="002D3E4D" w:rsidRPr="0090354C">
        <w:t>government</w:t>
      </w:r>
      <w:r w:rsidRPr="0090354C">
        <w:t xml:space="preserve"> priorities </w:t>
      </w:r>
    </w:p>
    <w:p w14:paraId="60052418" w14:textId="6FEA88A9" w:rsidR="00316DC8" w:rsidRPr="0090354C" w:rsidRDefault="00FF48F1" w:rsidP="005C6776">
      <w:pPr>
        <w:pStyle w:val="Normalpublicsans"/>
      </w:pPr>
      <w:r w:rsidRPr="0090354C">
        <w:t xml:space="preserve">Within the economic and fiscal context outlined in the sections above, </w:t>
      </w:r>
      <w:r w:rsidR="00686CEE" w:rsidRPr="0090354C">
        <w:t>the 2025-26 Budget</w:t>
      </w:r>
      <w:r w:rsidR="00790F6F" w:rsidRPr="0090354C">
        <w:t xml:space="preserve"> builds on </w:t>
      </w:r>
      <w:r w:rsidR="00686CEE" w:rsidRPr="0090354C">
        <w:t>the Government</w:t>
      </w:r>
      <w:r w:rsidR="00977746" w:rsidRPr="0090354C">
        <w:t xml:space="preserve">’s work </w:t>
      </w:r>
      <w:r w:rsidR="00613C39" w:rsidRPr="0090354C">
        <w:t xml:space="preserve">over the past two years. </w:t>
      </w:r>
      <w:r w:rsidR="00446149" w:rsidRPr="0090354C">
        <w:t>Chapter 3 Budget priorities details how t</w:t>
      </w:r>
      <w:r w:rsidR="00B8270C" w:rsidRPr="0090354C">
        <w:t>his Budget invests in new and expanded measures to support NSW families across priority areas</w:t>
      </w:r>
      <w:r w:rsidR="004B47FE" w:rsidRPr="0090354C">
        <w:t xml:space="preserve">, </w:t>
      </w:r>
      <w:r w:rsidR="00E9612E" w:rsidRPr="0090354C">
        <w:t xml:space="preserve">including </w:t>
      </w:r>
      <w:r w:rsidR="006E2B0C" w:rsidRPr="0090354C">
        <w:t>the critical areas of</w:t>
      </w:r>
      <w:r w:rsidR="00316DC8" w:rsidRPr="0090354C">
        <w:t>:</w:t>
      </w:r>
    </w:p>
    <w:p w14:paraId="2811429C" w14:textId="202B8B5A" w:rsidR="00316DC8" w:rsidRPr="0090354C" w:rsidRDefault="0060147F" w:rsidP="007515AA">
      <w:pPr>
        <w:pStyle w:val="Bullet1"/>
      </w:pPr>
      <w:r w:rsidRPr="0090354C">
        <w:t xml:space="preserve">rebuilding </w:t>
      </w:r>
      <w:r w:rsidR="006E2B0C" w:rsidRPr="0090354C">
        <w:t xml:space="preserve">essential services </w:t>
      </w:r>
    </w:p>
    <w:p w14:paraId="725498E0" w14:textId="53037486" w:rsidR="00B76766" w:rsidRPr="0090354C" w:rsidRDefault="00534592" w:rsidP="007515AA">
      <w:pPr>
        <w:pStyle w:val="Bullet1"/>
      </w:pPr>
      <w:r w:rsidRPr="0090354C">
        <w:t>investment i</w:t>
      </w:r>
      <w:r w:rsidR="00316DC8" w:rsidRPr="0090354C">
        <w:t xml:space="preserve">n the future of the State </w:t>
      </w:r>
      <w:r w:rsidRPr="0090354C">
        <w:t>with economic growth and prosperity-focused measures</w:t>
      </w:r>
    </w:p>
    <w:p w14:paraId="17939DE9" w14:textId="2AAD201F" w:rsidR="00014E4F" w:rsidRPr="0090354C" w:rsidRDefault="005A081F" w:rsidP="00343C07">
      <w:pPr>
        <w:pStyle w:val="Bullet1"/>
      </w:pPr>
      <w:r w:rsidRPr="0090354C">
        <w:t>access to quality housing</w:t>
      </w:r>
      <w:r w:rsidR="00F00B32" w:rsidRPr="0090354C">
        <w:t xml:space="preserve">. </w:t>
      </w:r>
    </w:p>
    <w:p w14:paraId="18F7AD0A" w14:textId="4CFB3951" w:rsidR="00A26BC1" w:rsidRPr="0090354C" w:rsidRDefault="00A26BC1">
      <w:pPr>
        <w:spacing w:before="360" w:after="120"/>
        <w:ind w:left="851" w:hanging="851"/>
        <w:rPr>
          <w:rFonts w:ascii="Public Sans" w:eastAsiaTheme="minorEastAsia" w:hAnsi="Public Sans"/>
          <w:lang w:eastAsia="en-AU"/>
        </w:rPr>
      </w:pPr>
      <w:r w:rsidRPr="0090354C">
        <w:rPr>
          <w:rFonts w:ascii="Public Sans" w:eastAsiaTheme="minorEastAsia" w:hAnsi="Public Sans"/>
          <w:lang w:eastAsia="en-AU"/>
        </w:rPr>
        <w:br w:type="page"/>
      </w:r>
    </w:p>
    <w:p w14:paraId="5CD2AD65" w14:textId="77777777" w:rsidR="00014E4F" w:rsidRPr="0090354C" w:rsidRDefault="00014E4F" w:rsidP="00FD5275">
      <w:pPr>
        <w:rPr>
          <w:rFonts w:ascii="Public Sans" w:eastAsiaTheme="minorEastAsia" w:hAnsi="Public Sans"/>
          <w:lang w:eastAsia="en-AU"/>
        </w:rPr>
      </w:pPr>
    </w:p>
    <w:tbl>
      <w:tblPr>
        <w:tblStyle w:val="Focusbox"/>
        <w:tblW w:w="0" w:type="auto"/>
        <w:tblLook w:val="04A0" w:firstRow="1" w:lastRow="0" w:firstColumn="1" w:lastColumn="0" w:noHBand="0" w:noVBand="1"/>
      </w:tblPr>
      <w:tblGrid>
        <w:gridCol w:w="9629"/>
      </w:tblGrid>
      <w:tr w:rsidR="007515AA" w:rsidRPr="0090354C" w14:paraId="18B0CE8A" w14:textId="77777777" w:rsidTr="00B11605">
        <w:tc>
          <w:tcPr>
            <w:tcW w:w="9629" w:type="dxa"/>
          </w:tcPr>
          <w:p w14:paraId="2635C863" w14:textId="77777777" w:rsidR="00633418" w:rsidRPr="0090354C" w:rsidRDefault="00633418" w:rsidP="00B11605">
            <w:pPr>
              <w:pStyle w:val="Box1XBoxHeading"/>
            </w:pPr>
            <w:r w:rsidRPr="0090354C">
              <w:t>Delivering on our election commitments</w:t>
            </w:r>
          </w:p>
          <w:p w14:paraId="34E66965" w14:textId="77777777" w:rsidR="00D50E61" w:rsidRPr="0090354C" w:rsidRDefault="00D50E61" w:rsidP="00D50E61">
            <w:pPr>
              <w:pStyle w:val="BodyText"/>
            </w:pPr>
            <w:r w:rsidRPr="0090354C">
              <w:t>Since the Government was elected in March 2023, significant progress has been made in prioritising the needs of essential workers, ensuring safety and justice, providing essential care for communities, and fostering a vibrant future.</w:t>
            </w:r>
          </w:p>
          <w:p w14:paraId="06661805" w14:textId="77777777" w:rsidR="00D50E61" w:rsidRPr="0090354C" w:rsidRDefault="00D50E61" w:rsidP="00D50E61">
            <w:pPr>
              <w:pStyle w:val="BodyText"/>
            </w:pPr>
            <w:r w:rsidRPr="0090354C">
              <w:t>From improving housing supply to upgrading essential healthcare facilities, the Government is working to address the challenges faced by NSW residents and prioritise the wellbeing of the community.</w:t>
            </w:r>
          </w:p>
          <w:p w14:paraId="15B42081" w14:textId="77777777" w:rsidR="00D50E61" w:rsidRPr="0090354C" w:rsidRDefault="00D50E61" w:rsidP="00D50E61">
            <w:pPr>
              <w:pStyle w:val="BodyText"/>
            </w:pPr>
            <w:r w:rsidRPr="0090354C">
              <w:t>The Government has delivered:</w:t>
            </w:r>
          </w:p>
          <w:p w14:paraId="3A4FC08B" w14:textId="1AA53D67" w:rsidR="00D50E61" w:rsidRPr="0090354C" w:rsidRDefault="00D50E61" w:rsidP="00D50E61">
            <w:pPr>
              <w:pStyle w:val="Bullet1"/>
            </w:pPr>
            <w:r w:rsidRPr="0090354C">
              <w:t>lower gross debt, at $9.4 billion less than the Pre-election Budget Update projection of $188.2 billion by June 2026</w:t>
            </w:r>
          </w:p>
          <w:p w14:paraId="209A5982" w14:textId="77777777" w:rsidR="00D50E61" w:rsidRPr="0090354C" w:rsidRDefault="00D50E61" w:rsidP="00D50E61">
            <w:pPr>
              <w:pStyle w:val="Bullet1"/>
            </w:pPr>
            <w:r w:rsidRPr="0090354C">
              <w:t>a stronger teaching workforce and support for students by:</w:t>
            </w:r>
          </w:p>
          <w:p w14:paraId="5C688EDD" w14:textId="77777777" w:rsidR="00D50E61" w:rsidRPr="0090354C" w:rsidRDefault="00D50E61" w:rsidP="00DD6CC4">
            <w:pPr>
              <w:pStyle w:val="Bullet2"/>
            </w:pPr>
            <w:r w:rsidRPr="0090354C">
              <w:t>banning mobile phones in all public high schools, designed to improve the classroom environment and student outcomes</w:t>
            </w:r>
          </w:p>
          <w:p w14:paraId="323DAECB" w14:textId="77777777" w:rsidR="00D50E61" w:rsidRPr="0090354C" w:rsidRDefault="00D50E61" w:rsidP="00DD6CC4">
            <w:pPr>
              <w:pStyle w:val="Bullet2"/>
            </w:pPr>
            <w:r w:rsidRPr="0090354C">
              <w:t>the establishment of an ongoing, targeted literacy and numeracy tutoring program operating in both primary and high schools, focusing on students who need additional support</w:t>
            </w:r>
          </w:p>
          <w:p w14:paraId="03677AEA" w14:textId="50314E84" w:rsidR="00D50E61" w:rsidRPr="0090354C" w:rsidRDefault="00D50E61" w:rsidP="00DD6CC4">
            <w:pPr>
              <w:pStyle w:val="Bullet2"/>
            </w:pPr>
            <w:r w:rsidRPr="0090354C">
              <w:t>converting 10,000 teaching roles and 5,000 school administrative roles from temporary to permanent positions, with the goal of improving educational outcomes for students in the State’s public schools</w:t>
            </w:r>
          </w:p>
          <w:p w14:paraId="33E31C54" w14:textId="77777777" w:rsidR="00D50E61" w:rsidRPr="0090354C" w:rsidRDefault="00D50E61" w:rsidP="009D1DFE">
            <w:pPr>
              <w:pStyle w:val="Bullet1"/>
            </w:pPr>
            <w:r w:rsidRPr="0090354C">
              <w:t>support for health services and women’s health, including:</w:t>
            </w:r>
          </w:p>
          <w:p w14:paraId="2AC29AA2" w14:textId="77777777" w:rsidR="00D50E61" w:rsidRPr="0090354C" w:rsidRDefault="00D50E61" w:rsidP="00DD6CC4">
            <w:pPr>
              <w:pStyle w:val="Bullet2"/>
            </w:pPr>
            <w:r w:rsidRPr="0090354C">
              <w:t xml:space="preserve">funding for Women's Health Centres under the Women's Health Program, to provide a range of health, mental health and social support services for women </w:t>
            </w:r>
          </w:p>
          <w:p w14:paraId="06B303B5" w14:textId="77777777" w:rsidR="00D50E61" w:rsidRPr="0090354C" w:rsidRDefault="00D50E61" w:rsidP="00DD6CC4">
            <w:pPr>
              <w:pStyle w:val="Bullet2"/>
            </w:pPr>
            <w:r w:rsidRPr="0090354C">
              <w:t>29 new McGrath Breast Care Nurses, providing free support to breast cancer patients in metro, regional and remote communities</w:t>
            </w:r>
          </w:p>
          <w:p w14:paraId="1CA1FBD7" w14:textId="4946E767" w:rsidR="00D50E61" w:rsidRPr="0090354C" w:rsidRDefault="00D50E61" w:rsidP="00DD6CC4">
            <w:pPr>
              <w:pStyle w:val="Bullet2"/>
            </w:pPr>
            <w:r w:rsidRPr="0090354C">
              <w:t>expanded pharmacists’ scope of practice, beyond assessment and treatment for urinary tract infections, to also provide people in New South Wales with access to treatment for ear infections, wound management, nausea, gastro, acne, muscle and joint pain at their local pharmacy</w:t>
            </w:r>
          </w:p>
          <w:p w14:paraId="0D472CB8" w14:textId="595597DC" w:rsidR="00D50E61" w:rsidRPr="0090354C" w:rsidRDefault="00D50E61" w:rsidP="009D1DFE">
            <w:pPr>
              <w:pStyle w:val="Bullet1"/>
            </w:pPr>
            <w:r w:rsidRPr="0090354C">
              <w:t xml:space="preserve">transfer duty support for first home buyers by </w:t>
            </w:r>
            <w:r w:rsidR="00DD7220" w:rsidRPr="0090354C">
              <w:t xml:space="preserve">exempting </w:t>
            </w:r>
            <w:r w:rsidRPr="0090354C">
              <w:t xml:space="preserve">transfer duty for first home buyers purchasing a home worth up to $800,000 and </w:t>
            </w:r>
            <w:r w:rsidR="00C00749" w:rsidRPr="0090354C">
              <w:t xml:space="preserve">providing </w:t>
            </w:r>
            <w:r w:rsidRPr="0090354C">
              <w:t xml:space="preserve">a concessional rate </w:t>
            </w:r>
            <w:r w:rsidR="00D77A5A" w:rsidRPr="0090354C">
              <w:t xml:space="preserve">of </w:t>
            </w:r>
            <w:r w:rsidR="00C00749" w:rsidRPr="0090354C">
              <w:t xml:space="preserve">transfer duty </w:t>
            </w:r>
            <w:r w:rsidRPr="0090354C">
              <w:t xml:space="preserve">to first home buyers purchasing a property </w:t>
            </w:r>
            <w:r w:rsidR="006613CD" w:rsidRPr="0090354C">
              <w:t xml:space="preserve">valued </w:t>
            </w:r>
            <w:r w:rsidRPr="0090354C">
              <w:t>up to $1.0 million</w:t>
            </w:r>
          </w:p>
          <w:p w14:paraId="7E8B3880" w14:textId="77777777" w:rsidR="00D50E61" w:rsidRPr="0090354C" w:rsidRDefault="00D50E61" w:rsidP="00D50E61">
            <w:pPr>
              <w:pStyle w:val="Bullet1"/>
            </w:pPr>
            <w:r w:rsidRPr="0090354C">
              <w:t>energy bill relief to eligible households and over 300,000 small businesses</w:t>
            </w:r>
          </w:p>
          <w:p w14:paraId="3E038667" w14:textId="77777777" w:rsidR="00D50E61" w:rsidRPr="0090354C" w:rsidRDefault="00D50E61" w:rsidP="00D50E61">
            <w:pPr>
              <w:pStyle w:val="Bullet1"/>
            </w:pPr>
            <w:r w:rsidRPr="0090354C">
              <w:t>reforms for renters in New South Wales, including:</w:t>
            </w:r>
          </w:p>
          <w:p w14:paraId="2847F9A8" w14:textId="2BED4BEA" w:rsidR="00D50E61" w:rsidRPr="0090354C" w:rsidRDefault="00D50E61" w:rsidP="00DD6CC4">
            <w:pPr>
              <w:pStyle w:val="Bullet2"/>
            </w:pPr>
            <w:r w:rsidRPr="0090354C">
              <w:t>appoint</w:t>
            </w:r>
            <w:r w:rsidR="00BE52F6" w:rsidRPr="0090354C">
              <w:t>ing</w:t>
            </w:r>
            <w:r w:rsidRPr="0090354C">
              <w:t xml:space="preserve"> a NSW Rental Commissioner who is a voice for renters, working closely with the Government, stakeholders and industry</w:t>
            </w:r>
          </w:p>
          <w:p w14:paraId="6C416C82" w14:textId="77777777" w:rsidR="00D50E61" w:rsidRPr="0090354C" w:rsidRDefault="00D50E61" w:rsidP="00DD6CC4">
            <w:pPr>
              <w:pStyle w:val="Bullet2"/>
            </w:pPr>
            <w:r w:rsidRPr="0090354C">
              <w:t xml:space="preserve">protecting renters from unfair evictions by creating reasonable grounds for owners to end a tenancy </w:t>
            </w:r>
          </w:p>
          <w:p w14:paraId="24ECA633" w14:textId="26BCB823" w:rsidR="00D50E61" w:rsidRPr="0090354C" w:rsidRDefault="00D50E61" w:rsidP="00DD6CC4">
            <w:pPr>
              <w:pStyle w:val="Bullet2"/>
            </w:pPr>
            <w:r w:rsidRPr="0090354C">
              <w:t>making it easier for renters to have pets in homes</w:t>
            </w:r>
          </w:p>
          <w:p w14:paraId="482D9B6F" w14:textId="01D998AF" w:rsidR="007515AA" w:rsidRPr="0090354C" w:rsidRDefault="00D50E61" w:rsidP="00B11605">
            <w:pPr>
              <w:pStyle w:val="Bullet1"/>
            </w:pPr>
            <w:r w:rsidRPr="0090354C">
              <w:t>a pilot program of sexual violence liaison officers in five police area commands. These positions will be trained in culturally sensitive practice to work specifically with survivors of sexual violence and act as support officers to allegations of sexual violence</w:t>
            </w:r>
            <w:r w:rsidR="00570955" w:rsidRPr="0090354C">
              <w:t>.</w:t>
            </w:r>
          </w:p>
        </w:tc>
      </w:tr>
    </w:tbl>
    <w:p w14:paraId="1A5CC8B9" w14:textId="77777777" w:rsidR="001F4DC5" w:rsidRPr="0090354C" w:rsidRDefault="001F4DC5" w:rsidP="00EF7187">
      <w:pPr>
        <w:rPr>
          <w:rFonts w:ascii="Public Sans" w:hAnsi="Public Sans"/>
        </w:rPr>
      </w:pPr>
    </w:p>
    <w:p w14:paraId="19B9D560" w14:textId="77777777" w:rsidR="00A26BC1" w:rsidRPr="0090354C" w:rsidRDefault="00A26BC1">
      <w:pPr>
        <w:spacing w:before="360" w:after="120"/>
        <w:ind w:left="851" w:hanging="851"/>
        <w:rPr>
          <w:rFonts w:ascii="Public Sans" w:hAnsi="Public Sans"/>
          <w:b/>
          <w:bCs/>
          <w:color w:val="000000" w:themeColor="text1"/>
          <w:kern w:val="28"/>
          <w:sz w:val="26"/>
          <w:szCs w:val="28"/>
        </w:rPr>
      </w:pPr>
      <w:r w:rsidRPr="0090354C">
        <w:rPr>
          <w:rFonts w:ascii="Public Sans" w:hAnsi="Public Sans"/>
        </w:rPr>
        <w:br w:type="page"/>
      </w:r>
    </w:p>
    <w:p w14:paraId="4E2CDF69" w14:textId="1952D4C9" w:rsidR="001F1A79" w:rsidRPr="0090354C" w:rsidRDefault="0060147F" w:rsidP="0090354C">
      <w:pPr>
        <w:pStyle w:val="Heading3"/>
      </w:pPr>
      <w:r w:rsidRPr="0090354C">
        <w:lastRenderedPageBreak/>
        <w:t>Rebuilding e</w:t>
      </w:r>
      <w:r w:rsidR="001F1A79" w:rsidRPr="0090354C">
        <w:t xml:space="preserve">ssential services </w:t>
      </w:r>
    </w:p>
    <w:p w14:paraId="4BE18714" w14:textId="275052D9" w:rsidR="001F1A79" w:rsidRPr="0090354C" w:rsidRDefault="006B46E2" w:rsidP="00B11605">
      <w:pPr>
        <w:pStyle w:val="Normalpublicsans"/>
      </w:pPr>
      <w:r w:rsidRPr="0090354C">
        <w:t>In the 2025-26 Budget, rebuilding essential services and providing cost-of-living support remain a focus</w:t>
      </w:r>
      <w:r w:rsidR="00B94844" w:rsidRPr="0090354C">
        <w:t>.</w:t>
      </w:r>
      <w:r w:rsidRPr="0090354C">
        <w:t xml:space="preserve"> </w:t>
      </w:r>
      <w:r w:rsidR="00B94844" w:rsidRPr="0090354C">
        <w:t>K</w:t>
      </w:r>
      <w:r w:rsidRPr="0090354C">
        <w:t xml:space="preserve">ey initiatives and programs supported in the Budget </w:t>
      </w:r>
      <w:r w:rsidR="00197845" w:rsidRPr="0090354C">
        <w:t>includ</w:t>
      </w:r>
      <w:r w:rsidR="00B94844" w:rsidRPr="0090354C">
        <w:t>e</w:t>
      </w:r>
      <w:r w:rsidRPr="0090354C">
        <w:t>:</w:t>
      </w:r>
    </w:p>
    <w:p w14:paraId="2868E56A" w14:textId="77777777" w:rsidR="00F60E1D" w:rsidRPr="0090354C" w:rsidRDefault="00F60E1D">
      <w:pPr>
        <w:pStyle w:val="Bullet1"/>
      </w:pPr>
      <w:r w:rsidRPr="0090354C">
        <w:t>$12.4 billion of capital investment to build and upgrade health infrastructure over the next four years, with $3.3 billion in 2025-26</w:t>
      </w:r>
    </w:p>
    <w:p w14:paraId="1FC8950E" w14:textId="14D44F23" w:rsidR="00FF057C" w:rsidRPr="0090354C" w:rsidRDefault="00FF057C">
      <w:pPr>
        <w:pStyle w:val="Bullet1"/>
      </w:pPr>
      <w:r w:rsidRPr="0090354C">
        <w:t>the Essential Health Services package</w:t>
      </w:r>
      <w:r w:rsidR="004843A3" w:rsidRPr="0090354C">
        <w:t xml:space="preserve">, </w:t>
      </w:r>
      <w:r w:rsidR="007B5475" w:rsidRPr="0090354C">
        <w:t>which</w:t>
      </w:r>
      <w:r w:rsidRPr="0090354C">
        <w:t xml:space="preserve"> invests $836.4 million in 2025-26 to support core health services and reduce overdue surgeries</w:t>
      </w:r>
    </w:p>
    <w:p w14:paraId="2E6CC884" w14:textId="37D158C0" w:rsidR="00A94954" w:rsidRPr="0090354C" w:rsidRDefault="00A94954" w:rsidP="00597502">
      <w:pPr>
        <w:pStyle w:val="Bullet1"/>
      </w:pPr>
      <w:r w:rsidRPr="0090354C">
        <w:t>a critical $9</w:t>
      </w:r>
      <w:r w:rsidR="00B1130C" w:rsidRPr="0090354C">
        <w:t>.0</w:t>
      </w:r>
      <w:r w:rsidRPr="0090354C">
        <w:t xml:space="preserve"> billion investment in the school infrastructure pipeline over four years, including new schools and upgrades, and a $50</w:t>
      </w:r>
      <w:r w:rsidR="00B1130C" w:rsidRPr="0090354C">
        <w:t>.0</w:t>
      </w:r>
      <w:r w:rsidRPr="0090354C">
        <w:t xml:space="preserve"> million investment in expanding high potential and gifted student opportunities across New South Wales</w:t>
      </w:r>
    </w:p>
    <w:p w14:paraId="35B1B791" w14:textId="228C0016" w:rsidR="00A94954" w:rsidRPr="0090354C" w:rsidRDefault="00A94954" w:rsidP="00597502">
      <w:pPr>
        <w:pStyle w:val="Bullet1"/>
      </w:pPr>
      <w:r w:rsidRPr="0090354C">
        <w:t>a 10-year agreement with the Australian Government to fully fund schools under the Student Resource Standard (SRS) model, delivering 100 per cent of the SRS by 2035</w:t>
      </w:r>
    </w:p>
    <w:p w14:paraId="7191A7BD" w14:textId="77777777" w:rsidR="004118EE" w:rsidRPr="0090354C" w:rsidRDefault="004118EE" w:rsidP="004118EE">
      <w:pPr>
        <w:pStyle w:val="Bullet1"/>
      </w:pPr>
      <w:r w:rsidRPr="0090354C">
        <w:t xml:space="preserve">$1.2 billion over four years for TAFE to promote ongoing skills development </w:t>
      </w:r>
    </w:p>
    <w:p w14:paraId="557CFF53" w14:textId="6B32A48E" w:rsidR="004C1285" w:rsidRPr="0090354C" w:rsidRDefault="00F55CDA" w:rsidP="00B11605">
      <w:pPr>
        <w:pStyle w:val="Bullet1"/>
      </w:pPr>
      <w:r w:rsidRPr="0090354C">
        <w:t>$10.0 million in 2025-26 to progress work on expanding the public provision of early childhood education and care in New South Wales</w:t>
      </w:r>
    </w:p>
    <w:p w14:paraId="14A3EE3C" w14:textId="4D6DE12E" w:rsidR="00023411" w:rsidRPr="0090354C" w:rsidRDefault="00023411">
      <w:pPr>
        <w:pStyle w:val="Bullet1"/>
      </w:pPr>
      <w:r w:rsidRPr="0090354C">
        <w:t>$1.2 billion child protection package</w:t>
      </w:r>
      <w:r w:rsidR="00695EC0" w:rsidRPr="0090354C">
        <w:t>, providing more</w:t>
      </w:r>
      <w:r w:rsidRPr="0090354C">
        <w:t xml:space="preserve"> support for children and young people in out-of-home care</w:t>
      </w:r>
    </w:p>
    <w:p w14:paraId="63A38533" w14:textId="607B7349" w:rsidR="008B55E4" w:rsidRPr="0090354C" w:rsidRDefault="008B1DCF">
      <w:pPr>
        <w:pStyle w:val="Bullet1"/>
      </w:pPr>
      <w:r w:rsidRPr="0090354C">
        <w:t>$272.</w:t>
      </w:r>
      <w:r w:rsidR="00195AC7" w:rsidRPr="0090354C">
        <w:t xml:space="preserve">7 million </w:t>
      </w:r>
      <w:r w:rsidR="00542502" w:rsidRPr="0090354C">
        <w:t>for</w:t>
      </w:r>
      <w:r w:rsidR="00195AC7" w:rsidRPr="0090354C">
        <w:t xml:space="preserve"> domestic, family and sexual violence </w:t>
      </w:r>
      <w:r w:rsidR="00ED5572" w:rsidRPr="0090354C">
        <w:t>services</w:t>
      </w:r>
      <w:r w:rsidR="00C52FDF" w:rsidRPr="0090354C">
        <w:t>, aiming to r</w:t>
      </w:r>
      <w:r w:rsidR="00C24747" w:rsidRPr="0090354C">
        <w:t xml:space="preserve">educe </w:t>
      </w:r>
      <w:r w:rsidR="00CE1FF2" w:rsidRPr="0090354C">
        <w:t>violence</w:t>
      </w:r>
      <w:r w:rsidR="00603106" w:rsidRPr="0090354C">
        <w:t xml:space="preserve"> against women and children</w:t>
      </w:r>
      <w:r w:rsidR="000F7652" w:rsidRPr="0090354C">
        <w:t xml:space="preserve"> </w:t>
      </w:r>
    </w:p>
    <w:p w14:paraId="52C36082" w14:textId="5E5D7837" w:rsidR="00A97DDA" w:rsidRPr="0090354C" w:rsidRDefault="008A5E3E" w:rsidP="00DD6CC4">
      <w:pPr>
        <w:pStyle w:val="Bullet1"/>
      </w:pPr>
      <w:r w:rsidRPr="0090354C">
        <w:t>$226.8 million to address the increases in demand for the Victims Support Scheme, to ensure continued access to counselling and financial support for victims of violent crime and modern slavery</w:t>
      </w:r>
      <w:r w:rsidR="0070513A" w:rsidRPr="0090354C">
        <w:t>.</w:t>
      </w:r>
    </w:p>
    <w:p w14:paraId="71B55638" w14:textId="77777777" w:rsidR="00222A8D" w:rsidRPr="0090354C" w:rsidRDefault="00222A8D" w:rsidP="0090354C">
      <w:pPr>
        <w:pStyle w:val="Heading3"/>
      </w:pPr>
      <w:r w:rsidRPr="0090354C">
        <w:t>Economic growth and prosperity</w:t>
      </w:r>
    </w:p>
    <w:p w14:paraId="6FBE672D" w14:textId="51CE9ECE" w:rsidR="00A11B6C" w:rsidRPr="0090354C" w:rsidRDefault="00EB1BF8" w:rsidP="00DF0FF6">
      <w:pPr>
        <w:pStyle w:val="Bullet1"/>
      </w:pPr>
      <w:r w:rsidRPr="353C7C09">
        <w:rPr>
          <w:lang w:val="en-AU"/>
        </w:rPr>
        <w:t xml:space="preserve">With the Government’s </w:t>
      </w:r>
      <w:r w:rsidR="00613F63" w:rsidRPr="353C7C09">
        <w:rPr>
          <w:lang w:val="en-AU"/>
        </w:rPr>
        <w:t xml:space="preserve">measures to </w:t>
      </w:r>
      <w:r w:rsidRPr="353C7C09">
        <w:rPr>
          <w:lang w:val="en-AU"/>
        </w:rPr>
        <w:t>repair the budget and make it more resilient to continued risks and pressures taking effect</w:t>
      </w:r>
      <w:r w:rsidR="00613F63" w:rsidRPr="353C7C09">
        <w:rPr>
          <w:lang w:val="en-AU"/>
        </w:rPr>
        <w:t xml:space="preserve">, the 2025-26 Budget </w:t>
      </w:r>
      <w:r w:rsidR="007F783E" w:rsidRPr="353C7C09">
        <w:rPr>
          <w:lang w:val="en-AU"/>
        </w:rPr>
        <w:t xml:space="preserve">expands </w:t>
      </w:r>
      <w:r w:rsidR="002B497D" w:rsidRPr="353C7C09">
        <w:rPr>
          <w:lang w:val="en-AU"/>
        </w:rPr>
        <w:t>the Government’s</w:t>
      </w:r>
      <w:r w:rsidR="007F783E" w:rsidRPr="353C7C09">
        <w:rPr>
          <w:lang w:val="en-AU"/>
        </w:rPr>
        <w:t xml:space="preserve"> focus to the future of the State, </w:t>
      </w:r>
      <w:r w:rsidR="005F644F" w:rsidRPr="353C7C09">
        <w:rPr>
          <w:lang w:val="en-AU"/>
        </w:rPr>
        <w:t>set</w:t>
      </w:r>
      <w:r w:rsidR="007F783E" w:rsidRPr="353C7C09">
        <w:rPr>
          <w:lang w:val="en-AU"/>
        </w:rPr>
        <w:t>ting</w:t>
      </w:r>
      <w:r w:rsidR="005F644F" w:rsidRPr="353C7C09">
        <w:rPr>
          <w:lang w:val="en-AU"/>
        </w:rPr>
        <w:t xml:space="preserve"> a platform for growth and prosperity</w:t>
      </w:r>
      <w:r w:rsidR="00E15BD4" w:rsidRPr="353C7C09">
        <w:rPr>
          <w:lang w:val="en-AU"/>
        </w:rPr>
        <w:t xml:space="preserve"> centred </w:t>
      </w:r>
      <w:r w:rsidR="00C73430" w:rsidRPr="353C7C09">
        <w:rPr>
          <w:lang w:val="en-AU"/>
        </w:rPr>
        <w:t>on adaptability, innovation and productivity.</w:t>
      </w:r>
      <w:r w:rsidR="00106CA2" w:rsidRPr="353C7C09">
        <w:rPr>
          <w:lang w:val="en-AU"/>
        </w:rPr>
        <w:t xml:space="preserve"> This is exemplified in key </w:t>
      </w:r>
      <w:r w:rsidR="00D26B39" w:rsidRPr="353C7C09">
        <w:rPr>
          <w:lang w:val="en-AU"/>
        </w:rPr>
        <w:t>initiative</w:t>
      </w:r>
      <w:r w:rsidR="00B30599" w:rsidRPr="353C7C09">
        <w:rPr>
          <w:lang w:val="en-AU"/>
        </w:rPr>
        <w:t>s including:</w:t>
      </w:r>
    </w:p>
    <w:p w14:paraId="0150BAA4" w14:textId="050FC074" w:rsidR="00FF5981" w:rsidRPr="0090354C" w:rsidRDefault="00FF5981" w:rsidP="00DF0FF6">
      <w:pPr>
        <w:pStyle w:val="Bullet1"/>
      </w:pPr>
      <w:r w:rsidRPr="0090354C">
        <w:t>Investment Delivery Authority to fast</w:t>
      </w:r>
      <w:r w:rsidR="00295B85" w:rsidRPr="0090354C">
        <w:t>-</w:t>
      </w:r>
      <w:r w:rsidRPr="0090354C">
        <w:t>track economic investments and lift productivity</w:t>
      </w:r>
    </w:p>
    <w:p w14:paraId="1114D7A2" w14:textId="23F1F191" w:rsidR="00FF5981" w:rsidRPr="0090354C" w:rsidRDefault="00F1181B" w:rsidP="00DF0FF6">
      <w:pPr>
        <w:pStyle w:val="Bullet1"/>
      </w:pPr>
      <w:r w:rsidRPr="0090354C">
        <w:t>$5</w:t>
      </w:r>
      <w:r w:rsidR="00271F69" w:rsidRPr="0090354C">
        <w:t xml:space="preserve">12.3 </w:t>
      </w:r>
      <w:r w:rsidR="00FF5981" w:rsidRPr="0090354C">
        <w:t>million to grow the creative economy and restore Sydney as a vibrant world-class city, including:</w:t>
      </w:r>
    </w:p>
    <w:p w14:paraId="67A12237" w14:textId="13CD1D52" w:rsidR="00FF5981" w:rsidRPr="0090354C" w:rsidRDefault="00FF5981" w:rsidP="00DF0FF6">
      <w:pPr>
        <w:pStyle w:val="Bullet2"/>
      </w:pPr>
      <w:r w:rsidRPr="0090354C">
        <w:t>the $380.6 million package to support the NSW screen and digital games sector, to grow more local jobs and secure the future of the industry</w:t>
      </w:r>
    </w:p>
    <w:p w14:paraId="5323357B" w14:textId="7320857C" w:rsidR="009E1DCB" w:rsidRPr="0090354C" w:rsidRDefault="00FF5981" w:rsidP="00DF0FF6">
      <w:pPr>
        <w:pStyle w:val="Bullet2"/>
      </w:pPr>
      <w:r w:rsidRPr="353C7C09">
        <w:rPr>
          <w:lang w:val="en-AU"/>
        </w:rPr>
        <w:t>$20.6 million for the Office of the 24-Hour Economy Commissioner to support the nighttime economy and local councils through regulatory reform, precinct-based initiatives and other support</w:t>
      </w:r>
    </w:p>
    <w:p w14:paraId="30D3989D" w14:textId="1F459DDA" w:rsidR="00603B43" w:rsidRPr="0090354C" w:rsidRDefault="00FF5981" w:rsidP="00ED07EF">
      <w:pPr>
        <w:pStyle w:val="Bullet2"/>
      </w:pPr>
      <w:r w:rsidRPr="0090354C">
        <w:t>$20</w:t>
      </w:r>
      <w:r w:rsidR="00746E30" w:rsidRPr="0090354C">
        <w:t>.0</w:t>
      </w:r>
      <w:r w:rsidRPr="0090354C">
        <w:t xml:space="preserve"> million for Sound NSW to continue to support the local music scene</w:t>
      </w:r>
      <w:r w:rsidR="00523ADE" w:rsidRPr="0090354C">
        <w:t>.</w:t>
      </w:r>
    </w:p>
    <w:p w14:paraId="0162E883" w14:textId="77777777" w:rsidR="006228F7" w:rsidRPr="0090354C" w:rsidRDefault="00FF5981" w:rsidP="00DF0FF6">
      <w:pPr>
        <w:pStyle w:val="Bullet1"/>
      </w:pPr>
      <w:r w:rsidRPr="353C7C09">
        <w:rPr>
          <w:lang w:val="en-AU"/>
        </w:rPr>
        <w:t>$135.0 million for Destination NSW events, promotion and industry support to grow the New South Wales visitor econom</w:t>
      </w:r>
      <w:r w:rsidR="00C378D3" w:rsidRPr="353C7C09">
        <w:rPr>
          <w:lang w:val="en-AU"/>
        </w:rPr>
        <w:t>y</w:t>
      </w:r>
    </w:p>
    <w:p w14:paraId="48782A78" w14:textId="2E6F527F" w:rsidR="00FF5981" w:rsidRPr="0090354C" w:rsidRDefault="00FF5981" w:rsidP="00DF0FF6">
      <w:pPr>
        <w:pStyle w:val="Bullet1"/>
      </w:pPr>
      <w:r w:rsidRPr="0090354C">
        <w:t>$100</w:t>
      </w:r>
      <w:r w:rsidR="00D44B09" w:rsidRPr="0090354C">
        <w:t>.0 million</w:t>
      </w:r>
      <w:r w:rsidRPr="0090354C">
        <w:t xml:space="preserve"> to enhance biosecurity measures and $41.2 million for primary industries research</w:t>
      </w:r>
      <w:r w:rsidR="348A2554" w:rsidRPr="0090354C">
        <w:t xml:space="preserve">, in addition to </w:t>
      </w:r>
      <w:r w:rsidRPr="0090354C">
        <w:t>the Government deliver</w:t>
      </w:r>
      <w:r w:rsidR="40D64B78" w:rsidRPr="0090354C">
        <w:t>ing</w:t>
      </w:r>
      <w:r w:rsidRPr="0090354C">
        <w:t xml:space="preserve"> $59.6 million of upgrades to regional research facilities to support regional economic growth</w:t>
      </w:r>
    </w:p>
    <w:p w14:paraId="4396EAD0" w14:textId="77777777" w:rsidR="00FF5981" w:rsidRPr="0090354C" w:rsidRDefault="00FF5981" w:rsidP="00613F63">
      <w:pPr>
        <w:pStyle w:val="Normalpublicsans"/>
      </w:pPr>
    </w:p>
    <w:p w14:paraId="604AAC3C" w14:textId="1383E3BF" w:rsidR="00B30599" w:rsidRPr="0090354C" w:rsidRDefault="00B30599" w:rsidP="00B11605">
      <w:pPr>
        <w:pStyle w:val="Bullet1"/>
      </w:pPr>
      <w:r w:rsidRPr="0090354C">
        <w:lastRenderedPageBreak/>
        <w:t>the $79.2 million Innovation Blueprint package, designed to support innovative businesses to connect with investors and researchers, and to scale opportunities to drive economic growth</w:t>
      </w:r>
      <w:r w:rsidR="00822982" w:rsidRPr="0090354C">
        <w:t xml:space="preserve"> </w:t>
      </w:r>
    </w:p>
    <w:p w14:paraId="2748890E" w14:textId="7034C598" w:rsidR="00D933E0" w:rsidRPr="0090354C" w:rsidRDefault="00803DC7" w:rsidP="009E14CE">
      <w:pPr>
        <w:pStyle w:val="Bullet1"/>
      </w:pPr>
      <w:r w:rsidRPr="0090354C">
        <w:t>$27.3 million to establish the Future Jobs and Investment Authority to coordinate new economic opportunities in coal-producing regions in the Hunter, Illawarra, Central West and North West</w:t>
      </w:r>
      <w:r w:rsidR="006D3313" w:rsidRPr="0090354C">
        <w:t>.</w:t>
      </w:r>
    </w:p>
    <w:p w14:paraId="3914F2A3" w14:textId="588B585D" w:rsidR="00086B14" w:rsidRPr="0090354C" w:rsidRDefault="005A081F" w:rsidP="0090354C">
      <w:pPr>
        <w:pStyle w:val="Heading3"/>
      </w:pPr>
      <w:r w:rsidRPr="0090354C">
        <w:t>Access to quality h</w:t>
      </w:r>
      <w:r w:rsidR="00086B14" w:rsidRPr="0090354C">
        <w:t>ousing</w:t>
      </w:r>
    </w:p>
    <w:p w14:paraId="78A46D5A" w14:textId="77777777" w:rsidR="00661038" w:rsidRPr="0090354C" w:rsidRDefault="002E0565" w:rsidP="00F30A9A">
      <w:pPr>
        <w:pStyle w:val="BodyText"/>
      </w:pPr>
      <w:r w:rsidRPr="0090354C">
        <w:t xml:space="preserve">Support for the housing system and </w:t>
      </w:r>
      <w:r w:rsidR="00E02B86" w:rsidRPr="0090354C">
        <w:t xml:space="preserve">enabling access to quality housing remains a priority. </w:t>
      </w:r>
      <w:r w:rsidR="00A31A48" w:rsidRPr="0090354C">
        <w:t xml:space="preserve">In addition to the </w:t>
      </w:r>
      <w:r w:rsidR="002F77A6" w:rsidRPr="0090354C">
        <w:t xml:space="preserve">measures </w:t>
      </w:r>
      <w:r w:rsidR="002D6334" w:rsidRPr="0090354C">
        <w:t xml:space="preserve">funded over the last two years, this Budget </w:t>
      </w:r>
      <w:r w:rsidR="00111014" w:rsidRPr="0090354C">
        <w:t>includes</w:t>
      </w:r>
      <w:r w:rsidR="00661038" w:rsidRPr="0090354C">
        <w:t xml:space="preserve"> key initiatives such as:</w:t>
      </w:r>
    </w:p>
    <w:p w14:paraId="0C1F34F6" w14:textId="121A61A1" w:rsidR="00B10CFD" w:rsidRPr="0090354C" w:rsidRDefault="00B10CFD" w:rsidP="00B10CFD">
      <w:pPr>
        <w:pStyle w:val="Bullet1"/>
      </w:pPr>
      <w:r w:rsidRPr="0090354C">
        <w:t xml:space="preserve">$1.2 billion </w:t>
      </w:r>
      <w:r w:rsidR="00E84A1E" w:rsidRPr="0090354C">
        <w:t>injection into</w:t>
      </w:r>
      <w:r w:rsidRPr="0090354C">
        <w:t xml:space="preserve"> TAFE</w:t>
      </w:r>
      <w:r w:rsidR="005B5964" w:rsidRPr="0090354C">
        <w:t xml:space="preserve"> </w:t>
      </w:r>
      <w:r w:rsidR="00E84A1E" w:rsidRPr="0090354C">
        <w:t>training</w:t>
      </w:r>
      <w:r w:rsidRPr="0090354C">
        <w:t>, including funding to accelerate the delivery of 4,800 construction trades workers to support our home building agenda</w:t>
      </w:r>
    </w:p>
    <w:p w14:paraId="4C3E69BF" w14:textId="77777777" w:rsidR="0017151D" w:rsidRPr="0090354C" w:rsidRDefault="0017151D" w:rsidP="009D1DFE">
      <w:pPr>
        <w:pStyle w:val="Bullet1"/>
      </w:pPr>
      <w:r w:rsidRPr="0090354C">
        <w:t>$145.1 million to support the ongoing work of the Building Commission NSW to reform the residential building and construction industry and improve consumer outcomes</w:t>
      </w:r>
    </w:p>
    <w:p w14:paraId="116B9F34" w14:textId="77777777" w:rsidR="0017151D" w:rsidRPr="0090354C" w:rsidRDefault="0017151D" w:rsidP="009D1DFE">
      <w:pPr>
        <w:pStyle w:val="Bullet1"/>
      </w:pPr>
      <w:r w:rsidRPr="0090354C">
        <w:t>$83.4 million to accelerate planning approvals, including for large-scale market, social and affordable housing. This includes $10.6 million for additional resources for the newly established Housing Delivery Authority</w:t>
      </w:r>
    </w:p>
    <w:p w14:paraId="68C7470F" w14:textId="77777777" w:rsidR="0017151D" w:rsidRPr="0090354C" w:rsidRDefault="0017151D" w:rsidP="009D1DFE">
      <w:pPr>
        <w:pStyle w:val="Bullet1"/>
      </w:pPr>
      <w:r w:rsidRPr="0090354C">
        <w:t>$20.9 million to support regional councils to bring forward critical enabling infrastructure for new homes during the National Housing Accord period by funding interest on loans</w:t>
      </w:r>
    </w:p>
    <w:p w14:paraId="3FFDFAFE" w14:textId="7AF17116" w:rsidR="0017151D" w:rsidRPr="0090354C" w:rsidRDefault="0017151D" w:rsidP="009D1DFE">
      <w:pPr>
        <w:pStyle w:val="Bullet1"/>
      </w:pPr>
      <w:r w:rsidRPr="0090354C">
        <w:t>$20</w:t>
      </w:r>
      <w:r w:rsidR="00B1130C" w:rsidRPr="0090354C">
        <w:t>.0</w:t>
      </w:r>
      <w:r w:rsidRPr="0090354C">
        <w:t xml:space="preserve"> million to ease pressure on the crisis accommodation system. This is in addition to the $527.6 million support package for homelessness services announced in the 2024</w:t>
      </w:r>
      <w:r w:rsidRPr="0090354C">
        <w:noBreakHyphen/>
        <w:t>25 Budget</w:t>
      </w:r>
      <w:r w:rsidR="00527205" w:rsidRPr="0090354C">
        <w:t>.</w:t>
      </w:r>
    </w:p>
    <w:p w14:paraId="6E13E61B" w14:textId="0FEFCAA2" w:rsidR="00047205" w:rsidRPr="0090354C" w:rsidRDefault="00047205" w:rsidP="00047205">
      <w:pPr>
        <w:pStyle w:val="BodyText"/>
      </w:pPr>
      <w:r w:rsidRPr="0090354C">
        <w:t xml:space="preserve">Further </w:t>
      </w:r>
      <w:r w:rsidR="744487C5" w:rsidRPr="0090354C">
        <w:t>detail</w:t>
      </w:r>
      <w:r w:rsidR="1FE39A87" w:rsidRPr="0090354C">
        <w:t>s</w:t>
      </w:r>
      <w:r w:rsidRPr="0090354C">
        <w:t xml:space="preserve"> on measures supported in this Budget are outlined in Chapter 3 Budget priorities.</w:t>
      </w:r>
    </w:p>
    <w:p w14:paraId="5ACE07D6" w14:textId="77777777" w:rsidR="00086B14" w:rsidRPr="0090354C" w:rsidRDefault="00086B14" w:rsidP="005C6776">
      <w:pPr>
        <w:pStyle w:val="Normalpublicsans"/>
      </w:pPr>
    </w:p>
    <w:p w14:paraId="1C788848" w14:textId="77777777" w:rsidR="00947624" w:rsidRPr="0090354C" w:rsidRDefault="00947624" w:rsidP="005C6776">
      <w:pPr>
        <w:pStyle w:val="Normalpublicsans"/>
      </w:pPr>
    </w:p>
    <w:p w14:paraId="6215EB40" w14:textId="77777777" w:rsidR="00947624" w:rsidRPr="0090354C" w:rsidRDefault="00947624" w:rsidP="005C6776">
      <w:pPr>
        <w:pStyle w:val="Normalpublicsans"/>
      </w:pPr>
    </w:p>
    <w:p w14:paraId="3B7B67AB" w14:textId="77777777" w:rsidR="00947624" w:rsidRPr="0090354C" w:rsidRDefault="00947624" w:rsidP="005C6776">
      <w:pPr>
        <w:pStyle w:val="Normalpublicsans"/>
      </w:pPr>
    </w:p>
    <w:p w14:paraId="3F1243E8" w14:textId="77777777" w:rsidR="00947624" w:rsidRPr="0090354C" w:rsidRDefault="00947624" w:rsidP="005C6776">
      <w:pPr>
        <w:pStyle w:val="Normalpublicsans"/>
      </w:pPr>
    </w:p>
    <w:p w14:paraId="3CECFD11" w14:textId="77777777" w:rsidR="00947624" w:rsidRPr="0090354C" w:rsidRDefault="00947624" w:rsidP="005C6776">
      <w:pPr>
        <w:pStyle w:val="Normalpublicsans"/>
      </w:pPr>
    </w:p>
    <w:p w14:paraId="2C115243" w14:textId="005A8777" w:rsidR="0026425C" w:rsidRPr="0090354C" w:rsidRDefault="0026425C" w:rsidP="005C6776">
      <w:pPr>
        <w:pStyle w:val="Normalpublicsans"/>
      </w:pPr>
    </w:p>
    <w:sectPr w:rsidR="0026425C" w:rsidRPr="0090354C" w:rsidSect="00020DE7">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47D3D" w14:textId="77777777" w:rsidR="002D1176" w:rsidRPr="0057266C" w:rsidRDefault="002D1176">
      <w:r w:rsidRPr="0057266C">
        <w:separator/>
      </w:r>
    </w:p>
  </w:endnote>
  <w:endnote w:type="continuationSeparator" w:id="0">
    <w:p w14:paraId="450E96DA" w14:textId="77777777" w:rsidR="002D1176" w:rsidRPr="0057266C" w:rsidRDefault="002D1176">
      <w:r w:rsidRPr="0057266C">
        <w:continuationSeparator/>
      </w:r>
    </w:p>
  </w:endnote>
  <w:endnote w:type="continuationNotice" w:id="1">
    <w:p w14:paraId="246A57BA" w14:textId="77777777" w:rsidR="002D1176" w:rsidRPr="0057266C" w:rsidRDefault="002D1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charset w:val="4D"/>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8BEC" w14:textId="6FC72FB0" w:rsidR="00ED364A" w:rsidRPr="00037FF6" w:rsidRDefault="00EF550D" w:rsidP="00417897">
    <w:pPr>
      <w:pBdr>
        <w:top w:val="single" w:sz="4" w:space="4" w:color="auto"/>
      </w:pBdr>
      <w:tabs>
        <w:tab w:val="right" w:pos="9639"/>
      </w:tabs>
      <w:rPr>
        <w:rFonts w:ascii="Public Sans" w:hAnsi="Public Sans" w:cs="Arial"/>
        <w:sz w:val="18"/>
        <w:szCs w:val="18"/>
      </w:rPr>
    </w:pPr>
    <w:r w:rsidRPr="00037FF6">
      <w:rPr>
        <w:rFonts w:ascii="Public Sans" w:hAnsi="Public Sans" w:cs="Arial"/>
        <w:sz w:val="18"/>
        <w:szCs w:val="18"/>
      </w:rPr>
      <w:t>1</w:t>
    </w:r>
    <w:r w:rsidR="009E5213" w:rsidRPr="00037FF6">
      <w:rPr>
        <w:rFonts w:ascii="Public Sans" w:hAnsi="Public Sans" w:cs="Arial"/>
        <w:sz w:val="18"/>
        <w:szCs w:val="18"/>
      </w:rPr>
      <w:t xml:space="preserve"> - </w:t>
    </w:r>
    <w:r w:rsidR="009E5213" w:rsidRPr="00037FF6">
      <w:rPr>
        <w:rFonts w:ascii="Public Sans" w:hAnsi="Public Sans" w:cs="Arial"/>
        <w:sz w:val="18"/>
        <w:szCs w:val="18"/>
      </w:rPr>
      <w:fldChar w:fldCharType="begin"/>
    </w:r>
    <w:r w:rsidR="009E5213" w:rsidRPr="00037FF6">
      <w:rPr>
        <w:rFonts w:ascii="Public Sans" w:hAnsi="Public Sans" w:cs="Arial"/>
        <w:sz w:val="18"/>
        <w:szCs w:val="18"/>
      </w:rPr>
      <w:instrText xml:space="preserve"> PAGE   \* MERGEFORMAT </w:instrText>
    </w:r>
    <w:r w:rsidR="009E5213" w:rsidRPr="00037FF6">
      <w:rPr>
        <w:rFonts w:ascii="Public Sans" w:hAnsi="Public Sans" w:cs="Arial"/>
        <w:sz w:val="18"/>
        <w:szCs w:val="18"/>
      </w:rPr>
      <w:fldChar w:fldCharType="separate"/>
    </w:r>
    <w:r w:rsidR="009E5213" w:rsidRPr="00037FF6">
      <w:rPr>
        <w:rFonts w:ascii="Public Sans" w:hAnsi="Public Sans" w:cs="Arial"/>
        <w:sz w:val="18"/>
        <w:szCs w:val="18"/>
      </w:rPr>
      <w:t>2</w:t>
    </w:r>
    <w:r w:rsidR="009E5213" w:rsidRPr="00037FF6">
      <w:rPr>
        <w:rFonts w:ascii="Public Sans" w:hAnsi="Public Sans" w:cs="Arial"/>
        <w:sz w:val="18"/>
        <w:szCs w:val="18"/>
      </w:rPr>
      <w:fldChar w:fldCharType="end"/>
    </w:r>
    <w:r w:rsidR="009E5213" w:rsidRPr="00037FF6">
      <w:rPr>
        <w:rFonts w:ascii="Public Sans" w:hAnsi="Public Sans" w:cs="Arial"/>
        <w:sz w:val="18"/>
        <w:szCs w:val="18"/>
      </w:rPr>
      <w:tab/>
    </w:r>
    <w:r w:rsidR="00EC6E13" w:rsidRPr="00037FF6">
      <w:rPr>
        <w:rFonts w:ascii="Public Sans" w:hAnsi="Public Sans" w:cs="Arial"/>
        <w:sz w:val="18"/>
        <w:szCs w:val="18"/>
      </w:rPr>
      <w:t xml:space="preserve">2025-26 </w:t>
    </w:r>
    <w:r w:rsidR="00146230" w:rsidRPr="00037FF6">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7672" w14:textId="0363A761" w:rsidR="009E5213" w:rsidRPr="00E30892" w:rsidRDefault="00696051" w:rsidP="00733C7C">
    <w:pPr>
      <w:pBdr>
        <w:top w:val="single" w:sz="4" w:space="4" w:color="auto"/>
      </w:pBdr>
      <w:tabs>
        <w:tab w:val="right" w:pos="9639"/>
      </w:tabs>
      <w:rPr>
        <w:rFonts w:ascii="Public Sans" w:hAnsi="Public Sans" w:cs="Arial"/>
        <w:sz w:val="18"/>
        <w:szCs w:val="18"/>
      </w:rPr>
    </w:pPr>
    <w:r w:rsidRPr="00E30892">
      <w:rPr>
        <w:rFonts w:ascii="Public Sans" w:hAnsi="Public Sans" w:cs="Arial"/>
        <w:sz w:val="18"/>
        <w:szCs w:val="18"/>
      </w:rPr>
      <w:t xml:space="preserve">2025-26 </w:t>
    </w:r>
    <w:r w:rsidR="009E5213" w:rsidRPr="00E30892">
      <w:rPr>
        <w:rFonts w:ascii="Public Sans" w:hAnsi="Public Sans" w:cs="Arial"/>
        <w:sz w:val="18"/>
        <w:szCs w:val="18"/>
      </w:rPr>
      <w:t>Budget Statement</w:t>
    </w:r>
    <w:r w:rsidR="009E5213" w:rsidRPr="00E30892">
      <w:rPr>
        <w:rFonts w:ascii="Public Sans" w:hAnsi="Public Sans" w:cs="Arial"/>
        <w:sz w:val="18"/>
        <w:szCs w:val="18"/>
      </w:rPr>
      <w:tab/>
    </w:r>
    <w:r w:rsidR="00EF550D" w:rsidRPr="00E30892">
      <w:rPr>
        <w:rFonts w:ascii="Public Sans" w:hAnsi="Public Sans" w:cs="Arial"/>
        <w:sz w:val="18"/>
        <w:szCs w:val="18"/>
      </w:rPr>
      <w:t>1</w:t>
    </w:r>
    <w:r w:rsidR="009E5213" w:rsidRPr="00E30892">
      <w:rPr>
        <w:rFonts w:ascii="Public Sans" w:hAnsi="Public Sans" w:cs="Arial"/>
        <w:sz w:val="18"/>
        <w:szCs w:val="18"/>
      </w:rPr>
      <w:t xml:space="preserve"> - </w:t>
    </w:r>
    <w:r w:rsidR="009E5213" w:rsidRPr="00E30892">
      <w:rPr>
        <w:rFonts w:ascii="Public Sans" w:hAnsi="Public Sans" w:cs="Arial"/>
        <w:sz w:val="18"/>
        <w:szCs w:val="18"/>
      </w:rPr>
      <w:fldChar w:fldCharType="begin"/>
    </w:r>
    <w:r w:rsidR="009E5213" w:rsidRPr="00E30892">
      <w:rPr>
        <w:rFonts w:ascii="Public Sans" w:hAnsi="Public Sans" w:cs="Arial"/>
        <w:sz w:val="18"/>
        <w:szCs w:val="18"/>
      </w:rPr>
      <w:instrText xml:space="preserve"> PAGE   \* MERGEFORMAT </w:instrText>
    </w:r>
    <w:r w:rsidR="009E5213" w:rsidRPr="00E30892">
      <w:rPr>
        <w:rFonts w:ascii="Public Sans" w:hAnsi="Public Sans" w:cs="Arial"/>
        <w:sz w:val="18"/>
        <w:szCs w:val="18"/>
      </w:rPr>
      <w:fldChar w:fldCharType="separate"/>
    </w:r>
    <w:r w:rsidR="009E5213" w:rsidRPr="00E30892">
      <w:rPr>
        <w:rFonts w:ascii="Public Sans" w:hAnsi="Public Sans" w:cs="Arial"/>
        <w:sz w:val="18"/>
        <w:szCs w:val="18"/>
      </w:rPr>
      <w:t>1</w:t>
    </w:r>
    <w:r w:rsidR="009E5213" w:rsidRPr="00E30892">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8826" w14:textId="6AF75D8D" w:rsidR="00AB2DCE" w:rsidRPr="00037FF6" w:rsidRDefault="00EC6E13" w:rsidP="00986CC4">
    <w:pPr>
      <w:pBdr>
        <w:top w:val="single" w:sz="4" w:space="4" w:color="auto"/>
      </w:pBdr>
      <w:tabs>
        <w:tab w:val="right" w:pos="9639"/>
      </w:tabs>
      <w:rPr>
        <w:rFonts w:ascii="Public Sans" w:hAnsi="Public Sans" w:cs="Arial"/>
        <w:sz w:val="18"/>
        <w:szCs w:val="18"/>
      </w:rPr>
    </w:pPr>
    <w:r w:rsidRPr="00037FF6">
      <w:rPr>
        <w:rFonts w:ascii="Public Sans" w:hAnsi="Public Sans" w:cs="Arial"/>
        <w:sz w:val="18"/>
        <w:szCs w:val="18"/>
      </w:rPr>
      <w:t xml:space="preserve">2025-26 </w:t>
    </w:r>
    <w:r w:rsidR="00146230" w:rsidRPr="00037FF6">
      <w:rPr>
        <w:rFonts w:ascii="Public Sans" w:hAnsi="Public Sans" w:cs="Arial"/>
        <w:sz w:val="18"/>
        <w:szCs w:val="18"/>
      </w:rPr>
      <w:t>Budget Statement</w:t>
    </w:r>
    <w:r w:rsidR="009E5213" w:rsidRPr="00037FF6">
      <w:rPr>
        <w:rFonts w:ascii="Public Sans" w:hAnsi="Public Sans" w:cs="Arial"/>
        <w:sz w:val="18"/>
        <w:szCs w:val="18"/>
      </w:rPr>
      <w:tab/>
    </w:r>
    <w:r w:rsidR="00EF550D" w:rsidRPr="00037FF6">
      <w:rPr>
        <w:rFonts w:ascii="Public Sans" w:hAnsi="Public Sans" w:cs="Arial"/>
        <w:sz w:val="18"/>
        <w:szCs w:val="18"/>
      </w:rPr>
      <w:t>1</w:t>
    </w:r>
    <w:r w:rsidR="009E5213" w:rsidRPr="00037FF6">
      <w:rPr>
        <w:rFonts w:ascii="Public Sans" w:hAnsi="Public Sans" w:cs="Arial"/>
        <w:sz w:val="18"/>
        <w:szCs w:val="18"/>
      </w:rPr>
      <w:t xml:space="preserve"> - </w:t>
    </w:r>
    <w:r w:rsidR="009E5213" w:rsidRPr="00037FF6">
      <w:rPr>
        <w:rFonts w:ascii="Public Sans" w:hAnsi="Public Sans" w:cs="Arial"/>
        <w:sz w:val="18"/>
        <w:szCs w:val="18"/>
      </w:rPr>
      <w:fldChar w:fldCharType="begin"/>
    </w:r>
    <w:r w:rsidR="009E5213" w:rsidRPr="00037FF6">
      <w:rPr>
        <w:rFonts w:ascii="Public Sans" w:hAnsi="Public Sans" w:cs="Arial"/>
        <w:sz w:val="18"/>
        <w:szCs w:val="18"/>
      </w:rPr>
      <w:instrText xml:space="preserve"> PAGE   \* MERGEFORMAT </w:instrText>
    </w:r>
    <w:r w:rsidR="009E5213" w:rsidRPr="00037FF6">
      <w:rPr>
        <w:rFonts w:ascii="Public Sans" w:hAnsi="Public Sans" w:cs="Arial"/>
        <w:sz w:val="18"/>
        <w:szCs w:val="18"/>
      </w:rPr>
      <w:fldChar w:fldCharType="separate"/>
    </w:r>
    <w:r w:rsidR="009E5213" w:rsidRPr="00037FF6">
      <w:rPr>
        <w:rFonts w:ascii="Public Sans" w:hAnsi="Public Sans" w:cs="Arial"/>
        <w:sz w:val="18"/>
        <w:szCs w:val="18"/>
      </w:rPr>
      <w:t>5</w:t>
    </w:r>
    <w:r w:rsidR="009E5213" w:rsidRPr="00037FF6">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B6C70" w14:textId="77777777" w:rsidR="002D1176" w:rsidRPr="0057266C" w:rsidRDefault="002D1176">
      <w:pPr>
        <w:spacing w:before="120"/>
      </w:pPr>
      <w:r w:rsidRPr="0057266C">
        <w:separator/>
      </w:r>
    </w:p>
  </w:footnote>
  <w:footnote w:type="continuationSeparator" w:id="0">
    <w:p w14:paraId="58850FE3" w14:textId="77777777" w:rsidR="002D1176" w:rsidRPr="0057266C" w:rsidRDefault="002D1176">
      <w:pPr>
        <w:spacing w:before="120"/>
      </w:pPr>
      <w:r w:rsidRPr="0057266C">
        <w:continuationSeparator/>
      </w:r>
    </w:p>
  </w:footnote>
  <w:footnote w:type="continuationNotice" w:id="1">
    <w:p w14:paraId="5C76DC54" w14:textId="77777777" w:rsidR="002D1176" w:rsidRPr="0057266C" w:rsidRDefault="002D1176">
      <w:pPr>
        <w:rPr>
          <w:sz w:val="16"/>
        </w:rPr>
      </w:pPr>
    </w:p>
  </w:footnote>
  <w:footnote w:id="2">
    <w:p w14:paraId="69ED8D6E" w14:textId="09EE8EF0" w:rsidR="00550E34" w:rsidRPr="00E12B0D" w:rsidRDefault="00550E34" w:rsidP="005D4024">
      <w:pPr>
        <w:ind w:left="709" w:hanging="284"/>
        <w:rPr>
          <w:rFonts w:ascii="Public Sans" w:hAnsi="Public Sans"/>
          <w:sz w:val="16"/>
          <w:szCs w:val="16"/>
        </w:rPr>
      </w:pPr>
      <w:r w:rsidRPr="00E12B0D">
        <w:rPr>
          <w:rStyle w:val="FootnoteReference"/>
          <w:rFonts w:ascii="Public Sans" w:hAnsi="Public Sans"/>
          <w:sz w:val="16"/>
          <w:szCs w:val="16"/>
        </w:rPr>
        <w:footnoteRef/>
      </w:r>
      <w:r w:rsidRPr="00E12B0D">
        <w:rPr>
          <w:rFonts w:ascii="Public Sans" w:hAnsi="Public Sans"/>
          <w:sz w:val="16"/>
          <w:szCs w:val="16"/>
        </w:rPr>
        <w:t xml:space="preserve"> </w:t>
      </w:r>
      <w:r w:rsidR="00E12B0D">
        <w:rPr>
          <w:rFonts w:ascii="Public Sans" w:hAnsi="Public Sans"/>
          <w:sz w:val="16"/>
          <w:szCs w:val="16"/>
        </w:rPr>
        <w:tab/>
      </w:r>
      <w:r w:rsidR="00331F61" w:rsidRPr="00E12B0D">
        <w:rPr>
          <w:rStyle w:val="FootnoteReference"/>
          <w:rFonts w:ascii="Public Sans" w:hAnsi="Public Sans"/>
          <w:sz w:val="16"/>
          <w:szCs w:val="16"/>
          <w:vertAlign w:val="baseline"/>
        </w:rPr>
        <w:t xml:space="preserve">These figures exclude provisions taken at </w:t>
      </w:r>
      <w:r w:rsidR="001740F9">
        <w:rPr>
          <w:rFonts w:ascii="Public Sans" w:hAnsi="Public Sans"/>
          <w:sz w:val="16"/>
          <w:szCs w:val="16"/>
        </w:rPr>
        <w:t xml:space="preserve">the </w:t>
      </w:r>
      <w:r w:rsidR="00331F61" w:rsidRPr="00E12B0D">
        <w:rPr>
          <w:rStyle w:val="FootnoteReference"/>
          <w:rFonts w:ascii="Public Sans" w:hAnsi="Public Sans"/>
          <w:sz w:val="16"/>
          <w:szCs w:val="16"/>
          <w:vertAlign w:val="baseline"/>
        </w:rPr>
        <w:t>2024-25 Half-Yearly Review to account for the impacts on workers’ compensation expenses associated with the police wage increase and reforms to the Police Officer Support Scheme.</w:t>
      </w:r>
      <w:r w:rsidR="00842C74" w:rsidRPr="00E12B0D">
        <w:rPr>
          <w:rFonts w:ascii="Public Sans" w:hAnsi="Public Sans"/>
          <w:sz w:val="16"/>
          <w:szCs w:val="16"/>
        </w:rPr>
        <w:t xml:space="preserve"> Reforms to workers’ compensation being considered by Parliament will impact the reporting of these figures</w:t>
      </w:r>
      <w:r w:rsidR="00331F61" w:rsidRPr="00E12B0D">
        <w:rPr>
          <w:rFonts w:ascii="Public Sans" w:hAnsi="Public San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EA02" w14:textId="37151E80" w:rsidR="009E5213" w:rsidRPr="0057266C" w:rsidRDefault="00D57F3D" w:rsidP="009E5213">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sidRPr="0057266C">
      <w:rPr>
        <w:rFonts w:ascii="Public Sans" w:eastAsia="Calibri" w:hAnsi="Public Sans" w:cs="Arial"/>
        <w:sz w:val="18"/>
        <w:szCs w:val="18"/>
      </w:rPr>
      <w:t xml:space="preserve">Budget </w:t>
    </w:r>
    <w:r w:rsidR="000477E7" w:rsidRPr="0057266C">
      <w:rPr>
        <w:rFonts w:ascii="Public Sans" w:eastAsia="Calibri" w:hAnsi="Public Sans" w:cs="Arial"/>
        <w:sz w:val="18"/>
        <w:szCs w:val="18"/>
      </w:rPr>
      <w:t>o</w:t>
    </w:r>
    <w:r w:rsidR="00EF550D" w:rsidRPr="0057266C">
      <w:rPr>
        <w:rFonts w:ascii="Public Sans" w:eastAsia="Calibri" w:hAnsi="Public Sans" w:cs="Arial"/>
        <w:sz w:val="18"/>
        <w:szCs w:val="18"/>
      </w:rPr>
      <w:t>verview</w:t>
    </w:r>
  </w:p>
  <w:p w14:paraId="31920B32" w14:textId="77777777" w:rsidR="009E5213" w:rsidRPr="0057266C"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4E94" w14:textId="5F597C56" w:rsidR="009E5213" w:rsidRPr="0057266C" w:rsidRDefault="00D57F3D" w:rsidP="009E5213">
    <w:pPr>
      <w:pBdr>
        <w:bottom w:val="single" w:sz="4" w:space="4" w:color="auto"/>
      </w:pBdr>
      <w:tabs>
        <w:tab w:val="center" w:pos="4153"/>
        <w:tab w:val="right" w:pos="8306"/>
      </w:tabs>
      <w:spacing w:line="192" w:lineRule="auto"/>
      <w:contextualSpacing/>
      <w:jc w:val="right"/>
      <w:rPr>
        <w:rFonts w:ascii="Arial" w:eastAsia="Calibri" w:hAnsi="Arial" w:cs="Arial"/>
        <w:sz w:val="18"/>
        <w:szCs w:val="18"/>
      </w:rPr>
    </w:pPr>
    <w:r w:rsidRPr="0057266C">
      <w:rPr>
        <w:rFonts w:ascii="Public Sans" w:eastAsia="Calibri" w:hAnsi="Public Sans" w:cs="Arial"/>
        <w:sz w:val="18"/>
        <w:szCs w:val="18"/>
      </w:rPr>
      <w:t xml:space="preserve">Budget </w:t>
    </w:r>
    <w:r w:rsidR="000477E7" w:rsidRPr="0057266C">
      <w:rPr>
        <w:rFonts w:ascii="Public Sans" w:eastAsia="Calibri" w:hAnsi="Public Sans" w:cs="Arial"/>
        <w:sz w:val="18"/>
        <w:szCs w:val="18"/>
      </w:rPr>
      <w:t>o</w:t>
    </w:r>
    <w:r w:rsidR="00EF550D" w:rsidRPr="0057266C">
      <w:rPr>
        <w:rFonts w:ascii="Public Sans" w:eastAsia="Calibri" w:hAnsi="Public Sans" w:cs="Arial"/>
        <w:sz w:val="18"/>
        <w:szCs w:val="18"/>
      </w:rPr>
      <w:t>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46E7" w14:textId="48C075D3" w:rsidR="00AB2DCE" w:rsidRPr="0057266C" w:rsidRDefault="00AB2D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321E1"/>
    <w:multiLevelType w:val="hybridMultilevel"/>
    <w:tmpl w:val="E3BE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409615B0"/>
    <w:lvl w:ilvl="0" w:tplc="EF7288F6">
      <w:start w:val="1"/>
      <w:numFmt w:val="decimal"/>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8"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082E79F5"/>
    <w:multiLevelType w:val="multilevel"/>
    <w:tmpl w:val="1CCE5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AA5A65"/>
    <w:multiLevelType w:val="multilevel"/>
    <w:tmpl w:val="36D4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D4175B"/>
    <w:multiLevelType w:val="multilevel"/>
    <w:tmpl w:val="564C0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E1A3D35"/>
    <w:multiLevelType w:val="multilevel"/>
    <w:tmpl w:val="BDA0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9" w15:restartNumberingAfterBreak="0">
    <w:nsid w:val="13EC7247"/>
    <w:multiLevelType w:val="hybridMultilevel"/>
    <w:tmpl w:val="85F47778"/>
    <w:lvl w:ilvl="0" w:tplc="D3B09734">
      <w:start w:val="1"/>
      <w:numFmt w:val="lowerLetter"/>
      <w:lvlText w:val="(%1)"/>
      <w:lvlJc w:val="left"/>
      <w:pPr>
        <w:ind w:left="360" w:hanging="360"/>
      </w:pPr>
      <w:rPr>
        <w:rFonts w:ascii="Public Sans" w:hAnsi="Public San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6415D2"/>
    <w:multiLevelType w:val="multilevel"/>
    <w:tmpl w:val="878C6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8D13ECE"/>
    <w:multiLevelType w:val="multilevel"/>
    <w:tmpl w:val="619E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7" w15:restartNumberingAfterBreak="0">
    <w:nsid w:val="1E27790C"/>
    <w:multiLevelType w:val="multilevel"/>
    <w:tmpl w:val="43CE8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03C5FC2"/>
    <w:multiLevelType w:val="multilevel"/>
    <w:tmpl w:val="D9FE5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49F29A9"/>
    <w:multiLevelType w:val="multilevel"/>
    <w:tmpl w:val="F2682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08A5AD9"/>
    <w:multiLevelType w:val="hybridMultilevel"/>
    <w:tmpl w:val="022CB83C"/>
    <w:lvl w:ilvl="0" w:tplc="5FEA196E">
      <w:numFmt w:val="bullet"/>
      <w:lvlText w:val="-"/>
      <w:lvlJc w:val="left"/>
      <w:pPr>
        <w:ind w:left="410" w:hanging="360"/>
      </w:pPr>
      <w:rPr>
        <w:rFonts w:ascii="Public Sans" w:eastAsia="Times New Roman" w:hAnsi="Public Sans" w:cs="Aria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40"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16F266A"/>
    <w:multiLevelType w:val="multilevel"/>
    <w:tmpl w:val="BB7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7"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7D076AB"/>
    <w:multiLevelType w:val="multilevel"/>
    <w:tmpl w:val="B734F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3A423BDC"/>
    <w:multiLevelType w:val="multilevel"/>
    <w:tmpl w:val="2E909C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3AA32F93"/>
    <w:multiLevelType w:val="multilevel"/>
    <w:tmpl w:val="B74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C54CD5"/>
    <w:multiLevelType w:val="hybridMultilevel"/>
    <w:tmpl w:val="335E16F2"/>
    <w:lvl w:ilvl="0" w:tplc="99C0F8C2">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D0F2591"/>
    <w:multiLevelType w:val="multilevel"/>
    <w:tmpl w:val="C24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55" w15:restartNumberingAfterBreak="0">
    <w:nsid w:val="3E2F4BDA"/>
    <w:multiLevelType w:val="multilevel"/>
    <w:tmpl w:val="47A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5661A71"/>
    <w:multiLevelType w:val="multilevel"/>
    <w:tmpl w:val="4B2A07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62"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71"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AC2A47"/>
    <w:multiLevelType w:val="multilevel"/>
    <w:tmpl w:val="3DE2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6" w15:restartNumberingAfterBreak="0">
    <w:nsid w:val="54836140"/>
    <w:multiLevelType w:val="hybridMultilevel"/>
    <w:tmpl w:val="ED34647C"/>
    <w:lvl w:ilvl="0" w:tplc="7D34DACA">
      <w:start w:val="1"/>
      <w:numFmt w:val="decimal"/>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80" w15:restartNumberingAfterBreak="0">
    <w:nsid w:val="57FA67E4"/>
    <w:multiLevelType w:val="multilevel"/>
    <w:tmpl w:val="E11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9D174D9"/>
    <w:multiLevelType w:val="hybridMultilevel"/>
    <w:tmpl w:val="AD344C0A"/>
    <w:lvl w:ilvl="0" w:tplc="B0B00466">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ACC1F89"/>
    <w:multiLevelType w:val="multilevel"/>
    <w:tmpl w:val="069CD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B731932"/>
    <w:multiLevelType w:val="multilevel"/>
    <w:tmpl w:val="A4AA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D4D159B"/>
    <w:multiLevelType w:val="multilevel"/>
    <w:tmpl w:val="26AE6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4E75030"/>
    <w:multiLevelType w:val="hybridMultilevel"/>
    <w:tmpl w:val="77D24EDE"/>
    <w:lvl w:ilvl="0" w:tplc="AC301ED0">
      <w:start w:val="1"/>
      <w:numFmt w:val="decimal"/>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79B6598"/>
    <w:multiLevelType w:val="multilevel"/>
    <w:tmpl w:val="7C8C75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8107EDB"/>
    <w:multiLevelType w:val="multilevel"/>
    <w:tmpl w:val="D2580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A18611C"/>
    <w:multiLevelType w:val="hybridMultilevel"/>
    <w:tmpl w:val="C716483E"/>
    <w:lvl w:ilvl="0" w:tplc="42422F08">
      <w:start w:val="1"/>
      <w:numFmt w:val="decimal"/>
      <w:lvlText w:val="Table X.%1:"/>
      <w:lvlJc w:val="left"/>
      <w:pPr>
        <w:ind w:left="360" w:hanging="360"/>
      </w:pPr>
      <w:rPr>
        <w:rFonts w:ascii="Public Sans" w:hAnsi="Public Sans" w:hint="default"/>
        <w:b w:val="0"/>
        <w:i/>
        <w:color w:val="4F4F4F"/>
        <w:sz w:val="22"/>
        <w:u w:val="none" w:color="4F4F4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D633B70"/>
    <w:multiLevelType w:val="hybridMultilevel"/>
    <w:tmpl w:val="0E6A68D8"/>
    <w:lvl w:ilvl="0" w:tplc="AD60D99C">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E190132"/>
    <w:multiLevelType w:val="hybridMultilevel"/>
    <w:tmpl w:val="352070E6"/>
    <w:lvl w:ilvl="0" w:tplc="B8C4E81C">
      <w:start w:val="1"/>
      <w:numFmt w:val="decimal"/>
      <w:lvlText w:val="%1)"/>
      <w:lvlJc w:val="left"/>
      <w:pPr>
        <w:ind w:left="1020" w:hanging="360"/>
      </w:pPr>
    </w:lvl>
    <w:lvl w:ilvl="1" w:tplc="1844304E">
      <w:start w:val="1"/>
      <w:numFmt w:val="decimal"/>
      <w:lvlText w:val="%2)"/>
      <w:lvlJc w:val="left"/>
      <w:pPr>
        <w:ind w:left="1020" w:hanging="360"/>
      </w:pPr>
    </w:lvl>
    <w:lvl w:ilvl="2" w:tplc="7C788C8A">
      <w:start w:val="1"/>
      <w:numFmt w:val="decimal"/>
      <w:lvlText w:val="%3)"/>
      <w:lvlJc w:val="left"/>
      <w:pPr>
        <w:ind w:left="1020" w:hanging="360"/>
      </w:pPr>
    </w:lvl>
    <w:lvl w:ilvl="3" w:tplc="FF0E74FA">
      <w:start w:val="1"/>
      <w:numFmt w:val="decimal"/>
      <w:lvlText w:val="%4)"/>
      <w:lvlJc w:val="left"/>
      <w:pPr>
        <w:ind w:left="1020" w:hanging="360"/>
      </w:pPr>
    </w:lvl>
    <w:lvl w:ilvl="4" w:tplc="0FA0BB62">
      <w:start w:val="1"/>
      <w:numFmt w:val="decimal"/>
      <w:lvlText w:val="%5)"/>
      <w:lvlJc w:val="left"/>
      <w:pPr>
        <w:ind w:left="1020" w:hanging="360"/>
      </w:pPr>
    </w:lvl>
    <w:lvl w:ilvl="5" w:tplc="597EB786">
      <w:start w:val="1"/>
      <w:numFmt w:val="decimal"/>
      <w:lvlText w:val="%6)"/>
      <w:lvlJc w:val="left"/>
      <w:pPr>
        <w:ind w:left="1020" w:hanging="360"/>
      </w:pPr>
    </w:lvl>
    <w:lvl w:ilvl="6" w:tplc="345652EC">
      <w:start w:val="1"/>
      <w:numFmt w:val="decimal"/>
      <w:lvlText w:val="%7)"/>
      <w:lvlJc w:val="left"/>
      <w:pPr>
        <w:ind w:left="1020" w:hanging="360"/>
      </w:pPr>
    </w:lvl>
    <w:lvl w:ilvl="7" w:tplc="B45EE8E8">
      <w:start w:val="1"/>
      <w:numFmt w:val="decimal"/>
      <w:lvlText w:val="%8)"/>
      <w:lvlJc w:val="left"/>
      <w:pPr>
        <w:ind w:left="1020" w:hanging="360"/>
      </w:pPr>
    </w:lvl>
    <w:lvl w:ilvl="8" w:tplc="8C58ADEE">
      <w:start w:val="1"/>
      <w:numFmt w:val="decimal"/>
      <w:lvlText w:val="%9)"/>
      <w:lvlJc w:val="left"/>
      <w:pPr>
        <w:ind w:left="1020" w:hanging="360"/>
      </w:pPr>
    </w:lvl>
  </w:abstractNum>
  <w:abstractNum w:abstractNumId="107"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3112603"/>
    <w:multiLevelType w:val="hybridMultilevel"/>
    <w:tmpl w:val="84EA654E"/>
    <w:lvl w:ilvl="0" w:tplc="D6448C4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0"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7AC5890"/>
    <w:multiLevelType w:val="multilevel"/>
    <w:tmpl w:val="A1D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7E01937"/>
    <w:multiLevelType w:val="multilevel"/>
    <w:tmpl w:val="C3BA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82868C0"/>
    <w:multiLevelType w:val="hybridMultilevel"/>
    <w:tmpl w:val="2AC08960"/>
    <w:lvl w:ilvl="0" w:tplc="B3C291A8">
      <w:start w:val="1"/>
      <w:numFmt w:val="decimal"/>
      <w:pStyle w:val="Figure1X"/>
      <w:lvlText w:val="Figure X.%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A2B1097"/>
    <w:multiLevelType w:val="hybridMultilevel"/>
    <w:tmpl w:val="5CA8047E"/>
    <w:lvl w:ilvl="0" w:tplc="D41E0AAE">
      <w:start w:val="1"/>
      <w:numFmt w:val="decimal"/>
      <w:lvlText w:val="%1)"/>
      <w:lvlJc w:val="left"/>
      <w:pPr>
        <w:ind w:left="1020" w:hanging="360"/>
      </w:pPr>
    </w:lvl>
    <w:lvl w:ilvl="1" w:tplc="FE3CE312">
      <w:start w:val="1"/>
      <w:numFmt w:val="decimal"/>
      <w:lvlText w:val="%2)"/>
      <w:lvlJc w:val="left"/>
      <w:pPr>
        <w:ind w:left="1020" w:hanging="360"/>
      </w:pPr>
    </w:lvl>
    <w:lvl w:ilvl="2" w:tplc="AD38AE70">
      <w:start w:val="1"/>
      <w:numFmt w:val="decimal"/>
      <w:lvlText w:val="%3)"/>
      <w:lvlJc w:val="left"/>
      <w:pPr>
        <w:ind w:left="1020" w:hanging="360"/>
      </w:pPr>
    </w:lvl>
    <w:lvl w:ilvl="3" w:tplc="7A06D322">
      <w:start w:val="1"/>
      <w:numFmt w:val="decimal"/>
      <w:lvlText w:val="%4)"/>
      <w:lvlJc w:val="left"/>
      <w:pPr>
        <w:ind w:left="1020" w:hanging="360"/>
      </w:pPr>
    </w:lvl>
    <w:lvl w:ilvl="4" w:tplc="649416F4">
      <w:start w:val="1"/>
      <w:numFmt w:val="decimal"/>
      <w:lvlText w:val="%5)"/>
      <w:lvlJc w:val="left"/>
      <w:pPr>
        <w:ind w:left="1020" w:hanging="360"/>
      </w:pPr>
    </w:lvl>
    <w:lvl w:ilvl="5" w:tplc="EE46904A">
      <w:start w:val="1"/>
      <w:numFmt w:val="decimal"/>
      <w:lvlText w:val="%6)"/>
      <w:lvlJc w:val="left"/>
      <w:pPr>
        <w:ind w:left="1020" w:hanging="360"/>
      </w:pPr>
    </w:lvl>
    <w:lvl w:ilvl="6" w:tplc="FF90FD90">
      <w:start w:val="1"/>
      <w:numFmt w:val="decimal"/>
      <w:lvlText w:val="%7)"/>
      <w:lvlJc w:val="left"/>
      <w:pPr>
        <w:ind w:left="1020" w:hanging="360"/>
      </w:pPr>
    </w:lvl>
    <w:lvl w:ilvl="7" w:tplc="3A869EB6">
      <w:start w:val="1"/>
      <w:numFmt w:val="decimal"/>
      <w:lvlText w:val="%8)"/>
      <w:lvlJc w:val="left"/>
      <w:pPr>
        <w:ind w:left="1020" w:hanging="360"/>
      </w:pPr>
    </w:lvl>
    <w:lvl w:ilvl="8" w:tplc="436AA94A">
      <w:start w:val="1"/>
      <w:numFmt w:val="decimal"/>
      <w:lvlText w:val="%9)"/>
      <w:lvlJc w:val="left"/>
      <w:pPr>
        <w:ind w:left="1020" w:hanging="360"/>
      </w:pPr>
    </w:lvl>
  </w:abstractNum>
  <w:abstractNum w:abstractNumId="121"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AD63D93"/>
    <w:multiLevelType w:val="hybridMultilevel"/>
    <w:tmpl w:val="C9B250A6"/>
    <w:lvl w:ilvl="0" w:tplc="3830FA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CF16D8A"/>
    <w:multiLevelType w:val="multilevel"/>
    <w:tmpl w:val="26806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15:restartNumberingAfterBreak="0">
    <w:nsid w:val="7DE169E5"/>
    <w:multiLevelType w:val="multilevel"/>
    <w:tmpl w:val="A08C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33"/>
  </w:num>
  <w:num w:numId="2" w16cid:durableId="1996883379">
    <w:abstractNumId w:val="19"/>
  </w:num>
  <w:num w:numId="3" w16cid:durableId="255671717">
    <w:abstractNumId w:val="42"/>
  </w:num>
  <w:num w:numId="4" w16cid:durableId="944921910">
    <w:abstractNumId w:val="104"/>
  </w:num>
  <w:num w:numId="5" w16cid:durableId="398749236">
    <w:abstractNumId w:val="98"/>
  </w:num>
  <w:num w:numId="6" w16cid:durableId="138966501">
    <w:abstractNumId w:val="66"/>
  </w:num>
  <w:num w:numId="7" w16cid:durableId="656809923">
    <w:abstractNumId w:val="40"/>
  </w:num>
  <w:num w:numId="8" w16cid:durableId="569657645">
    <w:abstractNumId w:val="61"/>
  </w:num>
  <w:num w:numId="9" w16cid:durableId="245574238">
    <w:abstractNumId w:val="59"/>
  </w:num>
  <w:num w:numId="10" w16cid:durableId="188878145">
    <w:abstractNumId w:val="81"/>
  </w:num>
  <w:num w:numId="11" w16cid:durableId="391320423">
    <w:abstractNumId w:val="44"/>
  </w:num>
  <w:num w:numId="12" w16cid:durableId="391393220">
    <w:abstractNumId w:val="4"/>
  </w:num>
  <w:num w:numId="13" w16cid:durableId="742064803">
    <w:abstractNumId w:val="3"/>
  </w:num>
  <w:num w:numId="14" w16cid:durableId="1393775218">
    <w:abstractNumId w:val="64"/>
  </w:num>
  <w:num w:numId="15" w16cid:durableId="411241496">
    <w:abstractNumId w:val="102"/>
  </w:num>
  <w:num w:numId="16" w16cid:durableId="394359246">
    <w:abstractNumId w:val="34"/>
  </w:num>
  <w:num w:numId="17" w16cid:durableId="850683154">
    <w:abstractNumId w:val="103"/>
  </w:num>
  <w:num w:numId="18" w16cid:durableId="1868331908">
    <w:abstractNumId w:val="70"/>
  </w:num>
  <w:num w:numId="19" w16cid:durableId="1290091537">
    <w:abstractNumId w:val="121"/>
  </w:num>
  <w:num w:numId="20" w16cid:durableId="542593098">
    <w:abstractNumId w:val="72"/>
  </w:num>
  <w:num w:numId="21" w16cid:durableId="1553082212">
    <w:abstractNumId w:val="105"/>
  </w:num>
  <w:num w:numId="22" w16cid:durableId="1807233844">
    <w:abstractNumId w:val="0"/>
  </w:num>
  <w:num w:numId="23" w16cid:durableId="520625010">
    <w:abstractNumId w:val="67"/>
  </w:num>
  <w:num w:numId="24" w16cid:durableId="604308429">
    <w:abstractNumId w:val="56"/>
  </w:num>
  <w:num w:numId="25" w16cid:durableId="158927636">
    <w:abstractNumId w:val="96"/>
  </w:num>
  <w:num w:numId="26" w16cid:durableId="999962685">
    <w:abstractNumId w:val="73"/>
  </w:num>
  <w:num w:numId="27" w16cid:durableId="950090191">
    <w:abstractNumId w:val="93"/>
  </w:num>
  <w:num w:numId="28" w16cid:durableId="87895317">
    <w:abstractNumId w:val="54"/>
  </w:num>
  <w:num w:numId="29" w16cid:durableId="727800497">
    <w:abstractNumId w:val="57"/>
  </w:num>
  <w:num w:numId="30" w16cid:durableId="1929383230">
    <w:abstractNumId w:val="101"/>
  </w:num>
  <w:num w:numId="31" w16cid:durableId="613026023">
    <w:abstractNumId w:val="109"/>
  </w:num>
  <w:num w:numId="32" w16cid:durableId="1229460431">
    <w:abstractNumId w:val="47"/>
  </w:num>
  <w:num w:numId="33" w16cid:durableId="262884168">
    <w:abstractNumId w:val="76"/>
  </w:num>
  <w:num w:numId="34" w16cid:durableId="1433208727">
    <w:abstractNumId w:val="65"/>
  </w:num>
  <w:num w:numId="35" w16cid:durableId="1765496755">
    <w:abstractNumId w:val="119"/>
  </w:num>
  <w:num w:numId="36" w16cid:durableId="1055085254">
    <w:abstractNumId w:val="87"/>
  </w:num>
  <w:num w:numId="37" w16cid:durableId="761806013">
    <w:abstractNumId w:val="78"/>
  </w:num>
  <w:num w:numId="38" w16cid:durableId="1453789243">
    <w:abstractNumId w:val="2"/>
  </w:num>
  <w:num w:numId="39" w16cid:durableId="1617979971">
    <w:abstractNumId w:val="52"/>
  </w:num>
  <w:num w:numId="40" w16cid:durableId="1270621810">
    <w:abstractNumId w:val="69"/>
  </w:num>
  <w:num w:numId="41" w16cid:durableId="783966971">
    <w:abstractNumId w:val="35"/>
  </w:num>
  <w:num w:numId="42" w16cid:durableId="2135782715">
    <w:abstractNumId w:val="29"/>
  </w:num>
  <w:num w:numId="43" w16cid:durableId="447046910">
    <w:abstractNumId w:val="15"/>
  </w:num>
  <w:num w:numId="44" w16cid:durableId="735393617">
    <w:abstractNumId w:val="77"/>
  </w:num>
  <w:num w:numId="45" w16cid:durableId="1570767065">
    <w:abstractNumId w:val="112"/>
  </w:num>
  <w:num w:numId="46" w16cid:durableId="899943030">
    <w:abstractNumId w:val="128"/>
  </w:num>
  <w:num w:numId="47" w16cid:durableId="1962877264">
    <w:abstractNumId w:val="79"/>
  </w:num>
  <w:num w:numId="48" w16cid:durableId="796332572">
    <w:abstractNumId w:val="83"/>
  </w:num>
  <w:num w:numId="49" w16cid:durableId="1708682187">
    <w:abstractNumId w:val="21"/>
  </w:num>
  <w:num w:numId="50" w16cid:durableId="220410582">
    <w:abstractNumId w:val="123"/>
  </w:num>
  <w:num w:numId="51" w16cid:durableId="62527521">
    <w:abstractNumId w:val="117"/>
  </w:num>
  <w:num w:numId="52" w16cid:durableId="1686518500">
    <w:abstractNumId w:val="88"/>
  </w:num>
  <w:num w:numId="53" w16cid:durableId="2107460047">
    <w:abstractNumId w:val="20"/>
  </w:num>
  <w:num w:numId="54" w16cid:durableId="1140463078">
    <w:abstractNumId w:val="38"/>
  </w:num>
  <w:num w:numId="55" w16cid:durableId="1289124565">
    <w:abstractNumId w:val="62"/>
  </w:num>
  <w:num w:numId="56" w16cid:durableId="402918949">
    <w:abstractNumId w:val="91"/>
  </w:num>
  <w:num w:numId="57" w16cid:durableId="1399593453">
    <w:abstractNumId w:val="16"/>
  </w:num>
  <w:num w:numId="58" w16cid:durableId="1239706779">
    <w:abstractNumId w:val="95"/>
  </w:num>
  <w:num w:numId="59" w16cid:durableId="1147436578">
    <w:abstractNumId w:val="118"/>
  </w:num>
  <w:num w:numId="60" w16cid:durableId="1048645305">
    <w:abstractNumId w:val="43"/>
  </w:num>
  <w:num w:numId="61" w16cid:durableId="1953248666">
    <w:abstractNumId w:val="36"/>
  </w:num>
  <w:num w:numId="62" w16cid:durableId="46493347">
    <w:abstractNumId w:val="31"/>
  </w:num>
  <w:num w:numId="63" w16cid:durableId="825900618">
    <w:abstractNumId w:val="110"/>
  </w:num>
  <w:num w:numId="64" w16cid:durableId="1707755831">
    <w:abstractNumId w:val="6"/>
  </w:num>
  <w:num w:numId="65" w16cid:durableId="85998868">
    <w:abstractNumId w:val="126"/>
  </w:num>
  <w:num w:numId="66" w16cid:durableId="1601452920">
    <w:abstractNumId w:val="100"/>
  </w:num>
  <w:num w:numId="67" w16cid:durableId="401414469">
    <w:abstractNumId w:val="63"/>
  </w:num>
  <w:num w:numId="68" w16cid:durableId="878476084">
    <w:abstractNumId w:val="89"/>
  </w:num>
  <w:num w:numId="69" w16cid:durableId="1251505890">
    <w:abstractNumId w:val="94"/>
  </w:num>
  <w:num w:numId="70" w16cid:durableId="103232878">
    <w:abstractNumId w:val="82"/>
  </w:num>
  <w:num w:numId="71" w16cid:durableId="2057580741">
    <w:abstractNumId w:val="8"/>
  </w:num>
  <w:num w:numId="72" w16cid:durableId="1207178984">
    <w:abstractNumId w:val="7"/>
  </w:num>
  <w:num w:numId="73" w16cid:durableId="1444154533">
    <w:abstractNumId w:val="75"/>
  </w:num>
  <w:num w:numId="74" w16cid:durableId="517892986">
    <w:abstractNumId w:val="46"/>
  </w:num>
  <w:num w:numId="75" w16cid:durableId="836968643">
    <w:abstractNumId w:val="23"/>
  </w:num>
  <w:num w:numId="76" w16cid:durableId="695280043">
    <w:abstractNumId w:val="18"/>
  </w:num>
  <w:num w:numId="77" w16cid:durableId="599413421">
    <w:abstractNumId w:val="26"/>
  </w:num>
  <w:num w:numId="78" w16cid:durableId="183373765">
    <w:abstractNumId w:val="71"/>
  </w:num>
  <w:num w:numId="79" w16cid:durableId="824593350">
    <w:abstractNumId w:val="113"/>
  </w:num>
  <w:num w:numId="80" w16cid:durableId="803278928">
    <w:abstractNumId w:val="45"/>
  </w:num>
  <w:num w:numId="81" w16cid:durableId="32929676">
    <w:abstractNumId w:val="17"/>
  </w:num>
  <w:num w:numId="82" w16cid:durableId="443156701">
    <w:abstractNumId w:val="37"/>
  </w:num>
  <w:num w:numId="83" w16cid:durableId="1209486655">
    <w:abstractNumId w:val="9"/>
  </w:num>
  <w:num w:numId="84" w16cid:durableId="929509220">
    <w:abstractNumId w:val="111"/>
  </w:num>
  <w:num w:numId="85" w16cid:durableId="1173184454">
    <w:abstractNumId w:val="32"/>
  </w:num>
  <w:num w:numId="86" w16cid:durableId="140195891">
    <w:abstractNumId w:val="48"/>
  </w:num>
  <w:num w:numId="87" w16cid:durableId="865796964">
    <w:abstractNumId w:val="5"/>
  </w:num>
  <w:num w:numId="88" w16cid:durableId="916743036">
    <w:abstractNumId w:val="11"/>
  </w:num>
  <w:num w:numId="89" w16cid:durableId="1447115474">
    <w:abstractNumId w:val="127"/>
  </w:num>
  <w:num w:numId="90" w16cid:durableId="1041975083">
    <w:abstractNumId w:val="25"/>
  </w:num>
  <w:num w:numId="91" w16cid:durableId="123891229">
    <w:abstractNumId w:val="108"/>
  </w:num>
  <w:num w:numId="92" w16cid:durableId="641009776">
    <w:abstractNumId w:val="90"/>
  </w:num>
  <w:num w:numId="93" w16cid:durableId="1940676276">
    <w:abstractNumId w:val="114"/>
  </w:num>
  <w:num w:numId="94" w16cid:durableId="2109690733">
    <w:abstractNumId w:val="58"/>
  </w:num>
  <w:num w:numId="95" w16cid:durableId="92363650">
    <w:abstractNumId w:val="68"/>
  </w:num>
  <w:num w:numId="96" w16cid:durableId="844783594">
    <w:abstractNumId w:val="92"/>
  </w:num>
  <w:num w:numId="97" w16cid:durableId="1767656258">
    <w:abstractNumId w:val="107"/>
  </w:num>
  <w:num w:numId="98" w16cid:durableId="51077256">
    <w:abstractNumId w:val="122"/>
  </w:num>
  <w:num w:numId="99" w16cid:durableId="1393044954">
    <w:abstractNumId w:val="39"/>
  </w:num>
  <w:num w:numId="100" w16cid:durableId="401872241">
    <w:abstractNumId w:val="14"/>
  </w:num>
  <w:num w:numId="101" w16cid:durableId="813447650">
    <w:abstractNumId w:val="51"/>
  </w:num>
  <w:num w:numId="102" w16cid:durableId="1056051177">
    <w:abstractNumId w:val="74"/>
  </w:num>
  <w:num w:numId="103" w16cid:durableId="1156916230">
    <w:abstractNumId w:val="53"/>
  </w:num>
  <w:num w:numId="104" w16cid:durableId="1271817844">
    <w:abstractNumId w:val="125"/>
  </w:num>
  <w:num w:numId="105" w16cid:durableId="2056659651">
    <w:abstractNumId w:val="80"/>
  </w:num>
  <w:num w:numId="106" w16cid:durableId="754321048">
    <w:abstractNumId w:val="116"/>
  </w:num>
  <w:num w:numId="107" w16cid:durableId="1442267008">
    <w:abstractNumId w:val="55"/>
  </w:num>
  <w:num w:numId="108" w16cid:durableId="147090535">
    <w:abstractNumId w:val="27"/>
  </w:num>
  <w:num w:numId="109" w16cid:durableId="1173036498">
    <w:abstractNumId w:val="30"/>
  </w:num>
  <w:num w:numId="110" w16cid:durableId="2055233557">
    <w:abstractNumId w:val="99"/>
  </w:num>
  <w:num w:numId="111" w16cid:durableId="783882870">
    <w:abstractNumId w:val="28"/>
  </w:num>
  <w:num w:numId="112" w16cid:durableId="683485140">
    <w:abstractNumId w:val="124"/>
  </w:num>
  <w:num w:numId="113" w16cid:durableId="553348877">
    <w:abstractNumId w:val="86"/>
  </w:num>
  <w:num w:numId="114" w16cid:durableId="577401345">
    <w:abstractNumId w:val="41"/>
  </w:num>
  <w:num w:numId="115" w16cid:durableId="704326261">
    <w:abstractNumId w:val="13"/>
  </w:num>
  <w:num w:numId="116" w16cid:durableId="1880895621">
    <w:abstractNumId w:val="49"/>
  </w:num>
  <w:num w:numId="117" w16cid:durableId="29962611">
    <w:abstractNumId w:val="84"/>
  </w:num>
  <w:num w:numId="118" w16cid:durableId="76245750">
    <w:abstractNumId w:val="22"/>
  </w:num>
  <w:num w:numId="119" w16cid:durableId="503473268">
    <w:abstractNumId w:val="10"/>
  </w:num>
  <w:num w:numId="120" w16cid:durableId="1672248532">
    <w:abstractNumId w:val="60"/>
  </w:num>
  <w:num w:numId="121" w16cid:durableId="1942295915">
    <w:abstractNumId w:val="97"/>
  </w:num>
  <w:num w:numId="122" w16cid:durableId="928080438">
    <w:abstractNumId w:val="50"/>
  </w:num>
  <w:num w:numId="123" w16cid:durableId="1178229012">
    <w:abstractNumId w:val="115"/>
  </w:num>
  <w:num w:numId="124" w16cid:durableId="438183727">
    <w:abstractNumId w:val="85"/>
  </w:num>
  <w:num w:numId="125" w16cid:durableId="1329937686">
    <w:abstractNumId w:val="12"/>
  </w:num>
  <w:num w:numId="126" w16cid:durableId="1130048130">
    <w:abstractNumId w:val="24"/>
  </w:num>
  <w:num w:numId="127" w16cid:durableId="364133915">
    <w:abstractNumId w:val="73"/>
  </w:num>
  <w:num w:numId="128" w16cid:durableId="613251987">
    <w:abstractNumId w:val="73"/>
  </w:num>
  <w:num w:numId="129" w16cid:durableId="581642908">
    <w:abstractNumId w:val="73"/>
  </w:num>
  <w:num w:numId="130" w16cid:durableId="350764664">
    <w:abstractNumId w:val="73"/>
  </w:num>
  <w:num w:numId="131" w16cid:durableId="1154684032">
    <w:abstractNumId w:val="96"/>
  </w:num>
  <w:num w:numId="132" w16cid:durableId="1982345304">
    <w:abstractNumId w:val="96"/>
  </w:num>
  <w:num w:numId="133" w16cid:durableId="1705908585">
    <w:abstractNumId w:val="1"/>
  </w:num>
  <w:num w:numId="134" w16cid:durableId="11104724">
    <w:abstractNumId w:val="96"/>
  </w:num>
  <w:num w:numId="135" w16cid:durableId="2067141544">
    <w:abstractNumId w:val="96"/>
  </w:num>
  <w:num w:numId="136" w16cid:durableId="1827360462">
    <w:abstractNumId w:val="109"/>
  </w:num>
  <w:num w:numId="137" w16cid:durableId="2028755397">
    <w:abstractNumId w:val="120"/>
  </w:num>
  <w:num w:numId="138" w16cid:durableId="2000036038">
    <w:abstractNumId w:val="106"/>
  </w:num>
  <w:num w:numId="139" w16cid:durableId="1152020790">
    <w:abstractNumId w:val="96"/>
  </w:num>
  <w:num w:numId="140" w16cid:durableId="1629818199">
    <w:abstractNumId w:val="9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0D"/>
    <w:rsid w:val="00000275"/>
    <w:rsid w:val="00000358"/>
    <w:rsid w:val="00000426"/>
    <w:rsid w:val="00000F2C"/>
    <w:rsid w:val="000018ED"/>
    <w:rsid w:val="000019E2"/>
    <w:rsid w:val="00001CE7"/>
    <w:rsid w:val="000020B7"/>
    <w:rsid w:val="00003099"/>
    <w:rsid w:val="00003C7F"/>
    <w:rsid w:val="0000441C"/>
    <w:rsid w:val="000048B1"/>
    <w:rsid w:val="000048E8"/>
    <w:rsid w:val="00004B7B"/>
    <w:rsid w:val="00004BDA"/>
    <w:rsid w:val="00004FF3"/>
    <w:rsid w:val="00005287"/>
    <w:rsid w:val="000054F1"/>
    <w:rsid w:val="00005515"/>
    <w:rsid w:val="000056DA"/>
    <w:rsid w:val="0000584A"/>
    <w:rsid w:val="00005E79"/>
    <w:rsid w:val="000064C0"/>
    <w:rsid w:val="0000674B"/>
    <w:rsid w:val="00006EFB"/>
    <w:rsid w:val="00007A10"/>
    <w:rsid w:val="00007A8D"/>
    <w:rsid w:val="00007A8E"/>
    <w:rsid w:val="00011061"/>
    <w:rsid w:val="00011A20"/>
    <w:rsid w:val="00011A54"/>
    <w:rsid w:val="0001243A"/>
    <w:rsid w:val="00012813"/>
    <w:rsid w:val="00012D6B"/>
    <w:rsid w:val="000130C2"/>
    <w:rsid w:val="000136BD"/>
    <w:rsid w:val="00013A75"/>
    <w:rsid w:val="00013BFF"/>
    <w:rsid w:val="00014205"/>
    <w:rsid w:val="00014C49"/>
    <w:rsid w:val="00014C71"/>
    <w:rsid w:val="00014E4F"/>
    <w:rsid w:val="00014EA2"/>
    <w:rsid w:val="00014ED1"/>
    <w:rsid w:val="00014EF3"/>
    <w:rsid w:val="00014F32"/>
    <w:rsid w:val="000150AC"/>
    <w:rsid w:val="00015144"/>
    <w:rsid w:val="00015CC4"/>
    <w:rsid w:val="00016175"/>
    <w:rsid w:val="000207E6"/>
    <w:rsid w:val="000208CD"/>
    <w:rsid w:val="000208D9"/>
    <w:rsid w:val="00020CD9"/>
    <w:rsid w:val="00020DE7"/>
    <w:rsid w:val="00020E66"/>
    <w:rsid w:val="0002126A"/>
    <w:rsid w:val="0002128B"/>
    <w:rsid w:val="000212C6"/>
    <w:rsid w:val="000217CC"/>
    <w:rsid w:val="00022B22"/>
    <w:rsid w:val="00022C6B"/>
    <w:rsid w:val="00023411"/>
    <w:rsid w:val="0002363B"/>
    <w:rsid w:val="000239DC"/>
    <w:rsid w:val="00023D08"/>
    <w:rsid w:val="0002415E"/>
    <w:rsid w:val="00024AD1"/>
    <w:rsid w:val="00025412"/>
    <w:rsid w:val="00026524"/>
    <w:rsid w:val="00026CBF"/>
    <w:rsid w:val="00026F56"/>
    <w:rsid w:val="000270E8"/>
    <w:rsid w:val="00027AE2"/>
    <w:rsid w:val="00027F54"/>
    <w:rsid w:val="00030946"/>
    <w:rsid w:val="00030A1F"/>
    <w:rsid w:val="00030B93"/>
    <w:rsid w:val="0003115C"/>
    <w:rsid w:val="000326A5"/>
    <w:rsid w:val="000328C3"/>
    <w:rsid w:val="00032A09"/>
    <w:rsid w:val="00032CEA"/>
    <w:rsid w:val="00032DF2"/>
    <w:rsid w:val="00033004"/>
    <w:rsid w:val="000332BB"/>
    <w:rsid w:val="000333AD"/>
    <w:rsid w:val="00033A3E"/>
    <w:rsid w:val="00033AE3"/>
    <w:rsid w:val="000341FA"/>
    <w:rsid w:val="00035C8E"/>
    <w:rsid w:val="00035F90"/>
    <w:rsid w:val="00036142"/>
    <w:rsid w:val="00036F9A"/>
    <w:rsid w:val="000372DF"/>
    <w:rsid w:val="00037FF6"/>
    <w:rsid w:val="00040D63"/>
    <w:rsid w:val="00040EF5"/>
    <w:rsid w:val="000416F3"/>
    <w:rsid w:val="000418E9"/>
    <w:rsid w:val="000422F1"/>
    <w:rsid w:val="000423C0"/>
    <w:rsid w:val="000428C3"/>
    <w:rsid w:val="00042AF1"/>
    <w:rsid w:val="00043521"/>
    <w:rsid w:val="0004352D"/>
    <w:rsid w:val="000438B7"/>
    <w:rsid w:val="00043A63"/>
    <w:rsid w:val="0004410F"/>
    <w:rsid w:val="00044627"/>
    <w:rsid w:val="00044709"/>
    <w:rsid w:val="000448A1"/>
    <w:rsid w:val="0004514F"/>
    <w:rsid w:val="000455B9"/>
    <w:rsid w:val="00045CA1"/>
    <w:rsid w:val="000460E5"/>
    <w:rsid w:val="00046D61"/>
    <w:rsid w:val="0004711B"/>
    <w:rsid w:val="00047205"/>
    <w:rsid w:val="000475E7"/>
    <w:rsid w:val="000477E7"/>
    <w:rsid w:val="0004785D"/>
    <w:rsid w:val="000502B3"/>
    <w:rsid w:val="00050D00"/>
    <w:rsid w:val="00050F2D"/>
    <w:rsid w:val="00051700"/>
    <w:rsid w:val="0005185E"/>
    <w:rsid w:val="000523D2"/>
    <w:rsid w:val="000524BE"/>
    <w:rsid w:val="000526EF"/>
    <w:rsid w:val="00052870"/>
    <w:rsid w:val="00052F59"/>
    <w:rsid w:val="00053144"/>
    <w:rsid w:val="000534FF"/>
    <w:rsid w:val="00053573"/>
    <w:rsid w:val="000538B3"/>
    <w:rsid w:val="00053AB8"/>
    <w:rsid w:val="00053ABE"/>
    <w:rsid w:val="0005400F"/>
    <w:rsid w:val="00054023"/>
    <w:rsid w:val="00055144"/>
    <w:rsid w:val="00055237"/>
    <w:rsid w:val="000559A4"/>
    <w:rsid w:val="00055C74"/>
    <w:rsid w:val="0005603F"/>
    <w:rsid w:val="000566C7"/>
    <w:rsid w:val="00056D52"/>
    <w:rsid w:val="00057F50"/>
    <w:rsid w:val="00060249"/>
    <w:rsid w:val="0006085C"/>
    <w:rsid w:val="00060AD2"/>
    <w:rsid w:val="00060EE7"/>
    <w:rsid w:val="00060FD2"/>
    <w:rsid w:val="0006132F"/>
    <w:rsid w:val="000613D5"/>
    <w:rsid w:val="0006148E"/>
    <w:rsid w:val="00062B8C"/>
    <w:rsid w:val="00062D6C"/>
    <w:rsid w:val="00063037"/>
    <w:rsid w:val="00063865"/>
    <w:rsid w:val="00063AB3"/>
    <w:rsid w:val="00063E30"/>
    <w:rsid w:val="00063E9E"/>
    <w:rsid w:val="00064233"/>
    <w:rsid w:val="00064994"/>
    <w:rsid w:val="00065225"/>
    <w:rsid w:val="0006525D"/>
    <w:rsid w:val="000653AB"/>
    <w:rsid w:val="00065576"/>
    <w:rsid w:val="00065578"/>
    <w:rsid w:val="00065A54"/>
    <w:rsid w:val="00065B61"/>
    <w:rsid w:val="00065C7B"/>
    <w:rsid w:val="00065DC2"/>
    <w:rsid w:val="00067CA8"/>
    <w:rsid w:val="00070139"/>
    <w:rsid w:val="000702A9"/>
    <w:rsid w:val="00070961"/>
    <w:rsid w:val="000713BC"/>
    <w:rsid w:val="0007179E"/>
    <w:rsid w:val="00071834"/>
    <w:rsid w:val="000720CB"/>
    <w:rsid w:val="00072A5E"/>
    <w:rsid w:val="00072C35"/>
    <w:rsid w:val="00073D77"/>
    <w:rsid w:val="00073F82"/>
    <w:rsid w:val="000746AA"/>
    <w:rsid w:val="00074DF7"/>
    <w:rsid w:val="00075D7D"/>
    <w:rsid w:val="000761D6"/>
    <w:rsid w:val="00076422"/>
    <w:rsid w:val="00076570"/>
    <w:rsid w:val="000768A8"/>
    <w:rsid w:val="00077777"/>
    <w:rsid w:val="00080CBD"/>
    <w:rsid w:val="0008195E"/>
    <w:rsid w:val="00081D3A"/>
    <w:rsid w:val="000821CF"/>
    <w:rsid w:val="0008260F"/>
    <w:rsid w:val="00082670"/>
    <w:rsid w:val="00082D84"/>
    <w:rsid w:val="000833AE"/>
    <w:rsid w:val="0008345C"/>
    <w:rsid w:val="000835F9"/>
    <w:rsid w:val="00085121"/>
    <w:rsid w:val="000855F5"/>
    <w:rsid w:val="00085AC6"/>
    <w:rsid w:val="00086B14"/>
    <w:rsid w:val="00086F22"/>
    <w:rsid w:val="00087887"/>
    <w:rsid w:val="00090997"/>
    <w:rsid w:val="00090B19"/>
    <w:rsid w:val="00090BCB"/>
    <w:rsid w:val="00090C6C"/>
    <w:rsid w:val="00091235"/>
    <w:rsid w:val="000916F3"/>
    <w:rsid w:val="00091D81"/>
    <w:rsid w:val="000931C9"/>
    <w:rsid w:val="00093720"/>
    <w:rsid w:val="00093990"/>
    <w:rsid w:val="00094247"/>
    <w:rsid w:val="0009425A"/>
    <w:rsid w:val="0009489D"/>
    <w:rsid w:val="00094E74"/>
    <w:rsid w:val="000950DB"/>
    <w:rsid w:val="000956A1"/>
    <w:rsid w:val="00095C10"/>
    <w:rsid w:val="00095E43"/>
    <w:rsid w:val="0009628F"/>
    <w:rsid w:val="000967C1"/>
    <w:rsid w:val="00096DC0"/>
    <w:rsid w:val="00097496"/>
    <w:rsid w:val="0009753F"/>
    <w:rsid w:val="0009790B"/>
    <w:rsid w:val="000A0B21"/>
    <w:rsid w:val="000A0C41"/>
    <w:rsid w:val="000A0DBB"/>
    <w:rsid w:val="000A0E65"/>
    <w:rsid w:val="000A1780"/>
    <w:rsid w:val="000A18EA"/>
    <w:rsid w:val="000A252F"/>
    <w:rsid w:val="000A268D"/>
    <w:rsid w:val="000A30B4"/>
    <w:rsid w:val="000A3D69"/>
    <w:rsid w:val="000A4104"/>
    <w:rsid w:val="000A4442"/>
    <w:rsid w:val="000A45D0"/>
    <w:rsid w:val="000A4C9D"/>
    <w:rsid w:val="000A500E"/>
    <w:rsid w:val="000A56D5"/>
    <w:rsid w:val="000A59D7"/>
    <w:rsid w:val="000A5A78"/>
    <w:rsid w:val="000A6ECD"/>
    <w:rsid w:val="000A76EE"/>
    <w:rsid w:val="000A7AAC"/>
    <w:rsid w:val="000A7AD0"/>
    <w:rsid w:val="000A7FA0"/>
    <w:rsid w:val="000B019C"/>
    <w:rsid w:val="000B0565"/>
    <w:rsid w:val="000B0B90"/>
    <w:rsid w:val="000B1262"/>
    <w:rsid w:val="000B1F71"/>
    <w:rsid w:val="000B22E8"/>
    <w:rsid w:val="000B29E2"/>
    <w:rsid w:val="000B2C46"/>
    <w:rsid w:val="000B36BC"/>
    <w:rsid w:val="000B3836"/>
    <w:rsid w:val="000B383E"/>
    <w:rsid w:val="000B3B72"/>
    <w:rsid w:val="000B3E9C"/>
    <w:rsid w:val="000B3EB5"/>
    <w:rsid w:val="000B4841"/>
    <w:rsid w:val="000B5339"/>
    <w:rsid w:val="000B5A56"/>
    <w:rsid w:val="000B76C8"/>
    <w:rsid w:val="000B7896"/>
    <w:rsid w:val="000B7951"/>
    <w:rsid w:val="000B799C"/>
    <w:rsid w:val="000B79FC"/>
    <w:rsid w:val="000B7DD9"/>
    <w:rsid w:val="000C02F9"/>
    <w:rsid w:val="000C048C"/>
    <w:rsid w:val="000C1295"/>
    <w:rsid w:val="000C1B89"/>
    <w:rsid w:val="000C1E9E"/>
    <w:rsid w:val="000C27D6"/>
    <w:rsid w:val="000C293D"/>
    <w:rsid w:val="000C2B30"/>
    <w:rsid w:val="000C2BE0"/>
    <w:rsid w:val="000C2E0E"/>
    <w:rsid w:val="000C2E6A"/>
    <w:rsid w:val="000C2FC8"/>
    <w:rsid w:val="000C31F6"/>
    <w:rsid w:val="000C3346"/>
    <w:rsid w:val="000C33A4"/>
    <w:rsid w:val="000C33D3"/>
    <w:rsid w:val="000C34DD"/>
    <w:rsid w:val="000C390A"/>
    <w:rsid w:val="000C3A9B"/>
    <w:rsid w:val="000C3F18"/>
    <w:rsid w:val="000C42FB"/>
    <w:rsid w:val="000C4A9F"/>
    <w:rsid w:val="000C4BBC"/>
    <w:rsid w:val="000C5D61"/>
    <w:rsid w:val="000C66D7"/>
    <w:rsid w:val="000C72A9"/>
    <w:rsid w:val="000C7696"/>
    <w:rsid w:val="000C7766"/>
    <w:rsid w:val="000D118F"/>
    <w:rsid w:val="000D17E9"/>
    <w:rsid w:val="000D1E40"/>
    <w:rsid w:val="000D27C6"/>
    <w:rsid w:val="000D38D3"/>
    <w:rsid w:val="000D3AEA"/>
    <w:rsid w:val="000D4576"/>
    <w:rsid w:val="000D5625"/>
    <w:rsid w:val="000D5869"/>
    <w:rsid w:val="000D5A76"/>
    <w:rsid w:val="000D5F9F"/>
    <w:rsid w:val="000D688F"/>
    <w:rsid w:val="000D6B19"/>
    <w:rsid w:val="000D6E9D"/>
    <w:rsid w:val="000D6EB5"/>
    <w:rsid w:val="000D7130"/>
    <w:rsid w:val="000D7900"/>
    <w:rsid w:val="000D7A5A"/>
    <w:rsid w:val="000D7D2C"/>
    <w:rsid w:val="000E01EC"/>
    <w:rsid w:val="000E02C6"/>
    <w:rsid w:val="000E088C"/>
    <w:rsid w:val="000E0BEF"/>
    <w:rsid w:val="000E0F9E"/>
    <w:rsid w:val="000E1419"/>
    <w:rsid w:val="000E18D4"/>
    <w:rsid w:val="000E1C7E"/>
    <w:rsid w:val="000E1E0D"/>
    <w:rsid w:val="000E20C4"/>
    <w:rsid w:val="000E21A7"/>
    <w:rsid w:val="000E21C6"/>
    <w:rsid w:val="000E2B09"/>
    <w:rsid w:val="000E2D7C"/>
    <w:rsid w:val="000E2DD9"/>
    <w:rsid w:val="000E3608"/>
    <w:rsid w:val="000E36A6"/>
    <w:rsid w:val="000E4BE8"/>
    <w:rsid w:val="000E50F0"/>
    <w:rsid w:val="000E5CB4"/>
    <w:rsid w:val="000E5D83"/>
    <w:rsid w:val="000E620D"/>
    <w:rsid w:val="000E6521"/>
    <w:rsid w:val="000E71B7"/>
    <w:rsid w:val="000E751B"/>
    <w:rsid w:val="000E758A"/>
    <w:rsid w:val="000E7870"/>
    <w:rsid w:val="000E7BF4"/>
    <w:rsid w:val="000F05ED"/>
    <w:rsid w:val="000F0D89"/>
    <w:rsid w:val="000F154C"/>
    <w:rsid w:val="000F1B06"/>
    <w:rsid w:val="000F1C49"/>
    <w:rsid w:val="000F20D6"/>
    <w:rsid w:val="000F2613"/>
    <w:rsid w:val="000F26E8"/>
    <w:rsid w:val="000F2F12"/>
    <w:rsid w:val="000F366B"/>
    <w:rsid w:val="000F375D"/>
    <w:rsid w:val="000F3CAF"/>
    <w:rsid w:val="000F42DB"/>
    <w:rsid w:val="000F454C"/>
    <w:rsid w:val="000F486F"/>
    <w:rsid w:val="000F5C42"/>
    <w:rsid w:val="000F7055"/>
    <w:rsid w:val="000F730D"/>
    <w:rsid w:val="000F7652"/>
    <w:rsid w:val="000F7C40"/>
    <w:rsid w:val="000F7CDF"/>
    <w:rsid w:val="00100236"/>
    <w:rsid w:val="001003F1"/>
    <w:rsid w:val="001005A9"/>
    <w:rsid w:val="00100813"/>
    <w:rsid w:val="0010093E"/>
    <w:rsid w:val="0010204F"/>
    <w:rsid w:val="0010298A"/>
    <w:rsid w:val="00102E61"/>
    <w:rsid w:val="00102EC0"/>
    <w:rsid w:val="00102F9B"/>
    <w:rsid w:val="00103119"/>
    <w:rsid w:val="00103726"/>
    <w:rsid w:val="00103B88"/>
    <w:rsid w:val="00104A64"/>
    <w:rsid w:val="00104F5E"/>
    <w:rsid w:val="00106B53"/>
    <w:rsid w:val="00106BFA"/>
    <w:rsid w:val="00106CA2"/>
    <w:rsid w:val="00106D97"/>
    <w:rsid w:val="00107067"/>
    <w:rsid w:val="001072BB"/>
    <w:rsid w:val="00110AD9"/>
    <w:rsid w:val="00110F0E"/>
    <w:rsid w:val="00111014"/>
    <w:rsid w:val="00111740"/>
    <w:rsid w:val="001118D4"/>
    <w:rsid w:val="00111A16"/>
    <w:rsid w:val="00111AEF"/>
    <w:rsid w:val="00111BD5"/>
    <w:rsid w:val="00111C3A"/>
    <w:rsid w:val="00112845"/>
    <w:rsid w:val="00113ADD"/>
    <w:rsid w:val="00113BC5"/>
    <w:rsid w:val="00113DF7"/>
    <w:rsid w:val="0011460E"/>
    <w:rsid w:val="001146D4"/>
    <w:rsid w:val="001146F2"/>
    <w:rsid w:val="001147A2"/>
    <w:rsid w:val="00115135"/>
    <w:rsid w:val="00115491"/>
    <w:rsid w:val="00115796"/>
    <w:rsid w:val="00115949"/>
    <w:rsid w:val="00116AFF"/>
    <w:rsid w:val="00116F74"/>
    <w:rsid w:val="001176F3"/>
    <w:rsid w:val="001179FB"/>
    <w:rsid w:val="00117A14"/>
    <w:rsid w:val="001200B7"/>
    <w:rsid w:val="001205DF"/>
    <w:rsid w:val="00120846"/>
    <w:rsid w:val="001209DB"/>
    <w:rsid w:val="00121C30"/>
    <w:rsid w:val="00121F93"/>
    <w:rsid w:val="0012227D"/>
    <w:rsid w:val="00122C05"/>
    <w:rsid w:val="00123B52"/>
    <w:rsid w:val="00123FD7"/>
    <w:rsid w:val="001246F9"/>
    <w:rsid w:val="001254C9"/>
    <w:rsid w:val="00125BC1"/>
    <w:rsid w:val="00125DB8"/>
    <w:rsid w:val="001260B5"/>
    <w:rsid w:val="00127B78"/>
    <w:rsid w:val="0013056C"/>
    <w:rsid w:val="00130693"/>
    <w:rsid w:val="00130735"/>
    <w:rsid w:val="0013142E"/>
    <w:rsid w:val="00131552"/>
    <w:rsid w:val="00131F9E"/>
    <w:rsid w:val="0013305B"/>
    <w:rsid w:val="00133436"/>
    <w:rsid w:val="00133E2F"/>
    <w:rsid w:val="0013437F"/>
    <w:rsid w:val="0013501D"/>
    <w:rsid w:val="0013536C"/>
    <w:rsid w:val="00135847"/>
    <w:rsid w:val="0013635C"/>
    <w:rsid w:val="00136940"/>
    <w:rsid w:val="00136970"/>
    <w:rsid w:val="00136C09"/>
    <w:rsid w:val="001371A5"/>
    <w:rsid w:val="001404C8"/>
    <w:rsid w:val="0014061B"/>
    <w:rsid w:val="00140666"/>
    <w:rsid w:val="00140A44"/>
    <w:rsid w:val="00140AB5"/>
    <w:rsid w:val="00140CB3"/>
    <w:rsid w:val="00140EB3"/>
    <w:rsid w:val="001410A2"/>
    <w:rsid w:val="0014125E"/>
    <w:rsid w:val="0014163A"/>
    <w:rsid w:val="00141725"/>
    <w:rsid w:val="00141844"/>
    <w:rsid w:val="00141998"/>
    <w:rsid w:val="00141D34"/>
    <w:rsid w:val="00141F9E"/>
    <w:rsid w:val="00142B3E"/>
    <w:rsid w:val="001430A5"/>
    <w:rsid w:val="0014363C"/>
    <w:rsid w:val="00143EFB"/>
    <w:rsid w:val="00144387"/>
    <w:rsid w:val="001443D9"/>
    <w:rsid w:val="00144E90"/>
    <w:rsid w:val="00146230"/>
    <w:rsid w:val="001473C1"/>
    <w:rsid w:val="0014756F"/>
    <w:rsid w:val="00147B8F"/>
    <w:rsid w:val="0015000C"/>
    <w:rsid w:val="0015013F"/>
    <w:rsid w:val="00150BBB"/>
    <w:rsid w:val="001511D0"/>
    <w:rsid w:val="00151D73"/>
    <w:rsid w:val="00152133"/>
    <w:rsid w:val="00152F0E"/>
    <w:rsid w:val="001536A7"/>
    <w:rsid w:val="00153772"/>
    <w:rsid w:val="00153777"/>
    <w:rsid w:val="00154047"/>
    <w:rsid w:val="00154511"/>
    <w:rsid w:val="00154606"/>
    <w:rsid w:val="001547D9"/>
    <w:rsid w:val="00154A09"/>
    <w:rsid w:val="00154DAB"/>
    <w:rsid w:val="00155446"/>
    <w:rsid w:val="00155534"/>
    <w:rsid w:val="00155710"/>
    <w:rsid w:val="0015577E"/>
    <w:rsid w:val="00155CF7"/>
    <w:rsid w:val="00156D63"/>
    <w:rsid w:val="00157AE4"/>
    <w:rsid w:val="00160B61"/>
    <w:rsid w:val="001619B2"/>
    <w:rsid w:val="00161BCB"/>
    <w:rsid w:val="0016248C"/>
    <w:rsid w:val="00162AC7"/>
    <w:rsid w:val="0016302E"/>
    <w:rsid w:val="00163318"/>
    <w:rsid w:val="001633AC"/>
    <w:rsid w:val="0016366C"/>
    <w:rsid w:val="00163BDE"/>
    <w:rsid w:val="00163C89"/>
    <w:rsid w:val="00163DB2"/>
    <w:rsid w:val="00163FC9"/>
    <w:rsid w:val="00164591"/>
    <w:rsid w:val="001647CA"/>
    <w:rsid w:val="00164CDF"/>
    <w:rsid w:val="00164CF4"/>
    <w:rsid w:val="00165E3F"/>
    <w:rsid w:val="00165E4A"/>
    <w:rsid w:val="00165F39"/>
    <w:rsid w:val="001675CA"/>
    <w:rsid w:val="00167AB8"/>
    <w:rsid w:val="00170B3B"/>
    <w:rsid w:val="00170DD7"/>
    <w:rsid w:val="0017151D"/>
    <w:rsid w:val="00172189"/>
    <w:rsid w:val="0017224D"/>
    <w:rsid w:val="00172546"/>
    <w:rsid w:val="001726B5"/>
    <w:rsid w:val="00172BB0"/>
    <w:rsid w:val="00172CB0"/>
    <w:rsid w:val="00172E8B"/>
    <w:rsid w:val="00173234"/>
    <w:rsid w:val="001733AA"/>
    <w:rsid w:val="00173978"/>
    <w:rsid w:val="00173AD5"/>
    <w:rsid w:val="00173B27"/>
    <w:rsid w:val="00173D76"/>
    <w:rsid w:val="00173ED3"/>
    <w:rsid w:val="001740F9"/>
    <w:rsid w:val="0017460E"/>
    <w:rsid w:val="00174834"/>
    <w:rsid w:val="001748F7"/>
    <w:rsid w:val="00174965"/>
    <w:rsid w:val="00174E18"/>
    <w:rsid w:val="001754C0"/>
    <w:rsid w:val="00175A85"/>
    <w:rsid w:val="00175D56"/>
    <w:rsid w:val="0017618F"/>
    <w:rsid w:val="00177613"/>
    <w:rsid w:val="00177FB6"/>
    <w:rsid w:val="00180266"/>
    <w:rsid w:val="001804B5"/>
    <w:rsid w:val="001807B6"/>
    <w:rsid w:val="001808DC"/>
    <w:rsid w:val="00180AFF"/>
    <w:rsid w:val="0018120B"/>
    <w:rsid w:val="001814F0"/>
    <w:rsid w:val="00181587"/>
    <w:rsid w:val="00181FB5"/>
    <w:rsid w:val="001821C4"/>
    <w:rsid w:val="0018233A"/>
    <w:rsid w:val="001828FC"/>
    <w:rsid w:val="00182B00"/>
    <w:rsid w:val="00182E4A"/>
    <w:rsid w:val="00182EA3"/>
    <w:rsid w:val="00183078"/>
    <w:rsid w:val="0018312D"/>
    <w:rsid w:val="00183593"/>
    <w:rsid w:val="001840CE"/>
    <w:rsid w:val="00184AAE"/>
    <w:rsid w:val="00184B01"/>
    <w:rsid w:val="00184B97"/>
    <w:rsid w:val="00184F90"/>
    <w:rsid w:val="00185584"/>
    <w:rsid w:val="00185E91"/>
    <w:rsid w:val="00186855"/>
    <w:rsid w:val="00186AFC"/>
    <w:rsid w:val="00186E0A"/>
    <w:rsid w:val="001872B0"/>
    <w:rsid w:val="00187383"/>
    <w:rsid w:val="001875A3"/>
    <w:rsid w:val="00187BCF"/>
    <w:rsid w:val="00190137"/>
    <w:rsid w:val="00190FF1"/>
    <w:rsid w:val="001910BC"/>
    <w:rsid w:val="00191317"/>
    <w:rsid w:val="0019157A"/>
    <w:rsid w:val="00191A9E"/>
    <w:rsid w:val="00191ED1"/>
    <w:rsid w:val="00192173"/>
    <w:rsid w:val="00192AB2"/>
    <w:rsid w:val="001931CF"/>
    <w:rsid w:val="00193958"/>
    <w:rsid w:val="00193CF8"/>
    <w:rsid w:val="0019410E"/>
    <w:rsid w:val="00194786"/>
    <w:rsid w:val="00194DCC"/>
    <w:rsid w:val="0019583C"/>
    <w:rsid w:val="001958CF"/>
    <w:rsid w:val="00195AC7"/>
    <w:rsid w:val="001961CC"/>
    <w:rsid w:val="00196B5E"/>
    <w:rsid w:val="00196B8D"/>
    <w:rsid w:val="00196D6B"/>
    <w:rsid w:val="001976EF"/>
    <w:rsid w:val="00197845"/>
    <w:rsid w:val="00197D5E"/>
    <w:rsid w:val="001A0BCF"/>
    <w:rsid w:val="001A1330"/>
    <w:rsid w:val="001A1D9F"/>
    <w:rsid w:val="001A21AA"/>
    <w:rsid w:val="001A30A0"/>
    <w:rsid w:val="001A328B"/>
    <w:rsid w:val="001A3301"/>
    <w:rsid w:val="001A390B"/>
    <w:rsid w:val="001A3BEA"/>
    <w:rsid w:val="001A4400"/>
    <w:rsid w:val="001A48DF"/>
    <w:rsid w:val="001A48F7"/>
    <w:rsid w:val="001A54E7"/>
    <w:rsid w:val="001A55D7"/>
    <w:rsid w:val="001A5611"/>
    <w:rsid w:val="001A5AD9"/>
    <w:rsid w:val="001A5EA0"/>
    <w:rsid w:val="001A60ED"/>
    <w:rsid w:val="001A6187"/>
    <w:rsid w:val="001A6263"/>
    <w:rsid w:val="001A635D"/>
    <w:rsid w:val="001A6615"/>
    <w:rsid w:val="001A6659"/>
    <w:rsid w:val="001A6AAF"/>
    <w:rsid w:val="001A6BD9"/>
    <w:rsid w:val="001A6C78"/>
    <w:rsid w:val="001A6D35"/>
    <w:rsid w:val="001A7117"/>
    <w:rsid w:val="001A7133"/>
    <w:rsid w:val="001A7358"/>
    <w:rsid w:val="001A7366"/>
    <w:rsid w:val="001A74D3"/>
    <w:rsid w:val="001A7C3E"/>
    <w:rsid w:val="001A7E5E"/>
    <w:rsid w:val="001B0734"/>
    <w:rsid w:val="001B07B9"/>
    <w:rsid w:val="001B0B03"/>
    <w:rsid w:val="001B0E07"/>
    <w:rsid w:val="001B0F15"/>
    <w:rsid w:val="001B1D47"/>
    <w:rsid w:val="001B1FD4"/>
    <w:rsid w:val="001B372D"/>
    <w:rsid w:val="001B456E"/>
    <w:rsid w:val="001B49CB"/>
    <w:rsid w:val="001B5660"/>
    <w:rsid w:val="001B5F16"/>
    <w:rsid w:val="001B60A6"/>
    <w:rsid w:val="001B60BF"/>
    <w:rsid w:val="001B63A0"/>
    <w:rsid w:val="001B644C"/>
    <w:rsid w:val="001B64CC"/>
    <w:rsid w:val="001B6645"/>
    <w:rsid w:val="001B7375"/>
    <w:rsid w:val="001B77F5"/>
    <w:rsid w:val="001B7C4B"/>
    <w:rsid w:val="001B7D6D"/>
    <w:rsid w:val="001C01E1"/>
    <w:rsid w:val="001C0206"/>
    <w:rsid w:val="001C035C"/>
    <w:rsid w:val="001C036F"/>
    <w:rsid w:val="001C115E"/>
    <w:rsid w:val="001C1582"/>
    <w:rsid w:val="001C1714"/>
    <w:rsid w:val="001C1F28"/>
    <w:rsid w:val="001C22FB"/>
    <w:rsid w:val="001C2371"/>
    <w:rsid w:val="001C2759"/>
    <w:rsid w:val="001C27BA"/>
    <w:rsid w:val="001C28A2"/>
    <w:rsid w:val="001C36F3"/>
    <w:rsid w:val="001C45E9"/>
    <w:rsid w:val="001C4A11"/>
    <w:rsid w:val="001C5441"/>
    <w:rsid w:val="001C572A"/>
    <w:rsid w:val="001C5828"/>
    <w:rsid w:val="001C6181"/>
    <w:rsid w:val="001C6729"/>
    <w:rsid w:val="001C6AD6"/>
    <w:rsid w:val="001C6D18"/>
    <w:rsid w:val="001C7623"/>
    <w:rsid w:val="001C7F34"/>
    <w:rsid w:val="001D0F3B"/>
    <w:rsid w:val="001D142B"/>
    <w:rsid w:val="001D15EF"/>
    <w:rsid w:val="001D1925"/>
    <w:rsid w:val="001D2044"/>
    <w:rsid w:val="001D3DF9"/>
    <w:rsid w:val="001D42ED"/>
    <w:rsid w:val="001D46F3"/>
    <w:rsid w:val="001D49F7"/>
    <w:rsid w:val="001D4B45"/>
    <w:rsid w:val="001D4BD5"/>
    <w:rsid w:val="001D5B47"/>
    <w:rsid w:val="001D6511"/>
    <w:rsid w:val="001D7267"/>
    <w:rsid w:val="001D73AE"/>
    <w:rsid w:val="001D7478"/>
    <w:rsid w:val="001D7BB9"/>
    <w:rsid w:val="001E0CDD"/>
    <w:rsid w:val="001E0DA2"/>
    <w:rsid w:val="001E10B9"/>
    <w:rsid w:val="001E1127"/>
    <w:rsid w:val="001E1363"/>
    <w:rsid w:val="001E1460"/>
    <w:rsid w:val="001E18E0"/>
    <w:rsid w:val="001E1E61"/>
    <w:rsid w:val="001E208C"/>
    <w:rsid w:val="001E213F"/>
    <w:rsid w:val="001E24C4"/>
    <w:rsid w:val="001E2A5E"/>
    <w:rsid w:val="001E31D3"/>
    <w:rsid w:val="001E350C"/>
    <w:rsid w:val="001E35BA"/>
    <w:rsid w:val="001E3CC7"/>
    <w:rsid w:val="001E45E7"/>
    <w:rsid w:val="001E508C"/>
    <w:rsid w:val="001E60BA"/>
    <w:rsid w:val="001E6231"/>
    <w:rsid w:val="001E68C5"/>
    <w:rsid w:val="001E6917"/>
    <w:rsid w:val="001E73B3"/>
    <w:rsid w:val="001E7ABA"/>
    <w:rsid w:val="001F01F7"/>
    <w:rsid w:val="001F08BF"/>
    <w:rsid w:val="001F0CD4"/>
    <w:rsid w:val="001F1314"/>
    <w:rsid w:val="001F137E"/>
    <w:rsid w:val="001F1626"/>
    <w:rsid w:val="001F1A79"/>
    <w:rsid w:val="001F20A2"/>
    <w:rsid w:val="001F21B4"/>
    <w:rsid w:val="001F2554"/>
    <w:rsid w:val="001F2CF3"/>
    <w:rsid w:val="001F3107"/>
    <w:rsid w:val="001F35FB"/>
    <w:rsid w:val="001F3AB0"/>
    <w:rsid w:val="001F3E38"/>
    <w:rsid w:val="001F3E6A"/>
    <w:rsid w:val="001F4460"/>
    <w:rsid w:val="001F4DC5"/>
    <w:rsid w:val="001F4E1B"/>
    <w:rsid w:val="001F4EF3"/>
    <w:rsid w:val="001F5E8B"/>
    <w:rsid w:val="001F5FB7"/>
    <w:rsid w:val="001F6AED"/>
    <w:rsid w:val="001F7146"/>
    <w:rsid w:val="001F7377"/>
    <w:rsid w:val="001F75E8"/>
    <w:rsid w:val="001F77C2"/>
    <w:rsid w:val="001F78AF"/>
    <w:rsid w:val="001F7910"/>
    <w:rsid w:val="00200063"/>
    <w:rsid w:val="002004EA"/>
    <w:rsid w:val="00200614"/>
    <w:rsid w:val="002007EF"/>
    <w:rsid w:val="00200BA8"/>
    <w:rsid w:val="00200F08"/>
    <w:rsid w:val="00201A46"/>
    <w:rsid w:val="002020B2"/>
    <w:rsid w:val="0020274A"/>
    <w:rsid w:val="002027FE"/>
    <w:rsid w:val="00202ADB"/>
    <w:rsid w:val="00202BED"/>
    <w:rsid w:val="00203117"/>
    <w:rsid w:val="00203373"/>
    <w:rsid w:val="002033F2"/>
    <w:rsid w:val="0020388B"/>
    <w:rsid w:val="00203962"/>
    <w:rsid w:val="00203E15"/>
    <w:rsid w:val="00204D7D"/>
    <w:rsid w:val="00205B58"/>
    <w:rsid w:val="00205DFA"/>
    <w:rsid w:val="00206A74"/>
    <w:rsid w:val="00206C15"/>
    <w:rsid w:val="00206E96"/>
    <w:rsid w:val="00207649"/>
    <w:rsid w:val="002079CA"/>
    <w:rsid w:val="00207E16"/>
    <w:rsid w:val="00207ED8"/>
    <w:rsid w:val="00207F03"/>
    <w:rsid w:val="002104CD"/>
    <w:rsid w:val="00210FA2"/>
    <w:rsid w:val="00210FF7"/>
    <w:rsid w:val="00211330"/>
    <w:rsid w:val="00211438"/>
    <w:rsid w:val="00211954"/>
    <w:rsid w:val="00211C6B"/>
    <w:rsid w:val="002128AA"/>
    <w:rsid w:val="00212992"/>
    <w:rsid w:val="00212E8D"/>
    <w:rsid w:val="0021319D"/>
    <w:rsid w:val="00213871"/>
    <w:rsid w:val="00213B9C"/>
    <w:rsid w:val="00213CD7"/>
    <w:rsid w:val="0021441B"/>
    <w:rsid w:val="00214B53"/>
    <w:rsid w:val="00214E0B"/>
    <w:rsid w:val="00214F78"/>
    <w:rsid w:val="0021536B"/>
    <w:rsid w:val="002153B8"/>
    <w:rsid w:val="002163F8"/>
    <w:rsid w:val="00216B07"/>
    <w:rsid w:val="00216C4C"/>
    <w:rsid w:val="00216C98"/>
    <w:rsid w:val="002173B6"/>
    <w:rsid w:val="002175AF"/>
    <w:rsid w:val="002178C7"/>
    <w:rsid w:val="00217DCA"/>
    <w:rsid w:val="00217E4F"/>
    <w:rsid w:val="00217F2F"/>
    <w:rsid w:val="00220176"/>
    <w:rsid w:val="00220846"/>
    <w:rsid w:val="00220C1C"/>
    <w:rsid w:val="00220DF8"/>
    <w:rsid w:val="00221033"/>
    <w:rsid w:val="00221285"/>
    <w:rsid w:val="00221B24"/>
    <w:rsid w:val="00221EFE"/>
    <w:rsid w:val="00222624"/>
    <w:rsid w:val="00222784"/>
    <w:rsid w:val="00222A8D"/>
    <w:rsid w:val="0022308F"/>
    <w:rsid w:val="0022331F"/>
    <w:rsid w:val="002234A2"/>
    <w:rsid w:val="00223A67"/>
    <w:rsid w:val="00224058"/>
    <w:rsid w:val="00224171"/>
    <w:rsid w:val="00224C35"/>
    <w:rsid w:val="00225423"/>
    <w:rsid w:val="00225946"/>
    <w:rsid w:val="00225AF0"/>
    <w:rsid w:val="00226816"/>
    <w:rsid w:val="00227600"/>
    <w:rsid w:val="00230D6F"/>
    <w:rsid w:val="002313EE"/>
    <w:rsid w:val="00231422"/>
    <w:rsid w:val="0023154D"/>
    <w:rsid w:val="002317EE"/>
    <w:rsid w:val="00231A36"/>
    <w:rsid w:val="0023264E"/>
    <w:rsid w:val="00232A96"/>
    <w:rsid w:val="00232BFF"/>
    <w:rsid w:val="00232C46"/>
    <w:rsid w:val="00232C53"/>
    <w:rsid w:val="00233AC0"/>
    <w:rsid w:val="00233EB2"/>
    <w:rsid w:val="002342F7"/>
    <w:rsid w:val="00235328"/>
    <w:rsid w:val="002356E2"/>
    <w:rsid w:val="0023687F"/>
    <w:rsid w:val="00236940"/>
    <w:rsid w:val="002373A8"/>
    <w:rsid w:val="002377AA"/>
    <w:rsid w:val="00237935"/>
    <w:rsid w:val="00237B42"/>
    <w:rsid w:val="002401CA"/>
    <w:rsid w:val="002402B5"/>
    <w:rsid w:val="00240551"/>
    <w:rsid w:val="002408E5"/>
    <w:rsid w:val="00240917"/>
    <w:rsid w:val="002414D5"/>
    <w:rsid w:val="00241E24"/>
    <w:rsid w:val="00241E4A"/>
    <w:rsid w:val="00242021"/>
    <w:rsid w:val="00242826"/>
    <w:rsid w:val="002430EB"/>
    <w:rsid w:val="002435FC"/>
    <w:rsid w:val="002437FD"/>
    <w:rsid w:val="00243CF9"/>
    <w:rsid w:val="00244534"/>
    <w:rsid w:val="0024480A"/>
    <w:rsid w:val="00244DE6"/>
    <w:rsid w:val="0024564B"/>
    <w:rsid w:val="00245AF0"/>
    <w:rsid w:val="00245D2A"/>
    <w:rsid w:val="002462B3"/>
    <w:rsid w:val="00247000"/>
    <w:rsid w:val="002474BD"/>
    <w:rsid w:val="00247EF7"/>
    <w:rsid w:val="00250660"/>
    <w:rsid w:val="0025076D"/>
    <w:rsid w:val="002507D7"/>
    <w:rsid w:val="0025118A"/>
    <w:rsid w:val="0025153A"/>
    <w:rsid w:val="00251840"/>
    <w:rsid w:val="002522D3"/>
    <w:rsid w:val="002528B2"/>
    <w:rsid w:val="00252977"/>
    <w:rsid w:val="00252D8D"/>
    <w:rsid w:val="00253523"/>
    <w:rsid w:val="00253A93"/>
    <w:rsid w:val="00253AA1"/>
    <w:rsid w:val="00254064"/>
    <w:rsid w:val="00254799"/>
    <w:rsid w:val="0025503F"/>
    <w:rsid w:val="002559E1"/>
    <w:rsid w:val="00255C1D"/>
    <w:rsid w:val="00255D43"/>
    <w:rsid w:val="00255E2A"/>
    <w:rsid w:val="00255F14"/>
    <w:rsid w:val="0025730F"/>
    <w:rsid w:val="002602E8"/>
    <w:rsid w:val="002605E9"/>
    <w:rsid w:val="00260619"/>
    <w:rsid w:val="00260709"/>
    <w:rsid w:val="00260DD7"/>
    <w:rsid w:val="00261432"/>
    <w:rsid w:val="00261A45"/>
    <w:rsid w:val="00261C66"/>
    <w:rsid w:val="00261DDB"/>
    <w:rsid w:val="00261ECC"/>
    <w:rsid w:val="00262583"/>
    <w:rsid w:val="0026273D"/>
    <w:rsid w:val="00262768"/>
    <w:rsid w:val="002627EF"/>
    <w:rsid w:val="0026290F"/>
    <w:rsid w:val="00262F06"/>
    <w:rsid w:val="002636DB"/>
    <w:rsid w:val="0026425C"/>
    <w:rsid w:val="00264A6C"/>
    <w:rsid w:val="002654E2"/>
    <w:rsid w:val="00265859"/>
    <w:rsid w:val="002666CC"/>
    <w:rsid w:val="002707CA"/>
    <w:rsid w:val="00270A80"/>
    <w:rsid w:val="00270D67"/>
    <w:rsid w:val="00271278"/>
    <w:rsid w:val="00271F69"/>
    <w:rsid w:val="002728E1"/>
    <w:rsid w:val="00272D9C"/>
    <w:rsid w:val="00272EE5"/>
    <w:rsid w:val="0027357A"/>
    <w:rsid w:val="002737FA"/>
    <w:rsid w:val="00273833"/>
    <w:rsid w:val="002738E8"/>
    <w:rsid w:val="0027399B"/>
    <w:rsid w:val="002746B4"/>
    <w:rsid w:val="00274D08"/>
    <w:rsid w:val="002753A7"/>
    <w:rsid w:val="00275433"/>
    <w:rsid w:val="00275841"/>
    <w:rsid w:val="002759EF"/>
    <w:rsid w:val="00275FB0"/>
    <w:rsid w:val="00276129"/>
    <w:rsid w:val="002762FB"/>
    <w:rsid w:val="00276569"/>
    <w:rsid w:val="00276599"/>
    <w:rsid w:val="00276EA7"/>
    <w:rsid w:val="00276EEA"/>
    <w:rsid w:val="0027725D"/>
    <w:rsid w:val="002800F0"/>
    <w:rsid w:val="002801CD"/>
    <w:rsid w:val="0028034F"/>
    <w:rsid w:val="0028077E"/>
    <w:rsid w:val="00280A6F"/>
    <w:rsid w:val="00280B29"/>
    <w:rsid w:val="002817A9"/>
    <w:rsid w:val="00281A56"/>
    <w:rsid w:val="00281AB3"/>
    <w:rsid w:val="00281E3C"/>
    <w:rsid w:val="00282334"/>
    <w:rsid w:val="002826AE"/>
    <w:rsid w:val="00283499"/>
    <w:rsid w:val="002837CE"/>
    <w:rsid w:val="002838A1"/>
    <w:rsid w:val="0028399F"/>
    <w:rsid w:val="002839B3"/>
    <w:rsid w:val="0028431F"/>
    <w:rsid w:val="002843EC"/>
    <w:rsid w:val="002844A8"/>
    <w:rsid w:val="0028526C"/>
    <w:rsid w:val="00285482"/>
    <w:rsid w:val="002857A3"/>
    <w:rsid w:val="00285EB4"/>
    <w:rsid w:val="002862C1"/>
    <w:rsid w:val="0028696B"/>
    <w:rsid w:val="00286AEB"/>
    <w:rsid w:val="00287359"/>
    <w:rsid w:val="00287457"/>
    <w:rsid w:val="00287528"/>
    <w:rsid w:val="00287DC5"/>
    <w:rsid w:val="00287DD9"/>
    <w:rsid w:val="00287FA2"/>
    <w:rsid w:val="0029019D"/>
    <w:rsid w:val="0029096B"/>
    <w:rsid w:val="0029102B"/>
    <w:rsid w:val="00291A15"/>
    <w:rsid w:val="00291D4A"/>
    <w:rsid w:val="002927FC"/>
    <w:rsid w:val="0029334F"/>
    <w:rsid w:val="002933A0"/>
    <w:rsid w:val="0029344D"/>
    <w:rsid w:val="002936DB"/>
    <w:rsid w:val="002938EC"/>
    <w:rsid w:val="002939CD"/>
    <w:rsid w:val="00293B98"/>
    <w:rsid w:val="00294ABC"/>
    <w:rsid w:val="002951E2"/>
    <w:rsid w:val="002956DD"/>
    <w:rsid w:val="002958FE"/>
    <w:rsid w:val="00295B85"/>
    <w:rsid w:val="00296FB9"/>
    <w:rsid w:val="00297875"/>
    <w:rsid w:val="00297C08"/>
    <w:rsid w:val="00297E07"/>
    <w:rsid w:val="002A01FA"/>
    <w:rsid w:val="002A033F"/>
    <w:rsid w:val="002A045E"/>
    <w:rsid w:val="002A0951"/>
    <w:rsid w:val="002A0CF9"/>
    <w:rsid w:val="002A145F"/>
    <w:rsid w:val="002A16CA"/>
    <w:rsid w:val="002A19C7"/>
    <w:rsid w:val="002A224F"/>
    <w:rsid w:val="002A227F"/>
    <w:rsid w:val="002A23B2"/>
    <w:rsid w:val="002A2884"/>
    <w:rsid w:val="002A2DC8"/>
    <w:rsid w:val="002A3430"/>
    <w:rsid w:val="002A3880"/>
    <w:rsid w:val="002A3A2A"/>
    <w:rsid w:val="002A3BF8"/>
    <w:rsid w:val="002A4017"/>
    <w:rsid w:val="002A4340"/>
    <w:rsid w:val="002A4810"/>
    <w:rsid w:val="002A50A1"/>
    <w:rsid w:val="002A50CA"/>
    <w:rsid w:val="002A5FFB"/>
    <w:rsid w:val="002A624A"/>
    <w:rsid w:val="002A635D"/>
    <w:rsid w:val="002A6C76"/>
    <w:rsid w:val="002A6F8C"/>
    <w:rsid w:val="002A71A2"/>
    <w:rsid w:val="002A7F6B"/>
    <w:rsid w:val="002B00A3"/>
    <w:rsid w:val="002B0FE0"/>
    <w:rsid w:val="002B1124"/>
    <w:rsid w:val="002B1A91"/>
    <w:rsid w:val="002B1C06"/>
    <w:rsid w:val="002B1DA8"/>
    <w:rsid w:val="002B1FAC"/>
    <w:rsid w:val="002B2B78"/>
    <w:rsid w:val="002B2BE0"/>
    <w:rsid w:val="002B2FE8"/>
    <w:rsid w:val="002B32AD"/>
    <w:rsid w:val="002B42A9"/>
    <w:rsid w:val="002B470B"/>
    <w:rsid w:val="002B497D"/>
    <w:rsid w:val="002B4F9A"/>
    <w:rsid w:val="002B4FD1"/>
    <w:rsid w:val="002B5E7F"/>
    <w:rsid w:val="002B6305"/>
    <w:rsid w:val="002B64C8"/>
    <w:rsid w:val="002B6A90"/>
    <w:rsid w:val="002B6C30"/>
    <w:rsid w:val="002B707B"/>
    <w:rsid w:val="002B7361"/>
    <w:rsid w:val="002B7574"/>
    <w:rsid w:val="002B769F"/>
    <w:rsid w:val="002B7955"/>
    <w:rsid w:val="002C097F"/>
    <w:rsid w:val="002C0E29"/>
    <w:rsid w:val="002C0E89"/>
    <w:rsid w:val="002C0F13"/>
    <w:rsid w:val="002C0F1E"/>
    <w:rsid w:val="002C1043"/>
    <w:rsid w:val="002C10F9"/>
    <w:rsid w:val="002C14B8"/>
    <w:rsid w:val="002C1899"/>
    <w:rsid w:val="002C1D1D"/>
    <w:rsid w:val="002C1D70"/>
    <w:rsid w:val="002C2258"/>
    <w:rsid w:val="002C268B"/>
    <w:rsid w:val="002C2F46"/>
    <w:rsid w:val="002C376E"/>
    <w:rsid w:val="002C3C77"/>
    <w:rsid w:val="002C3EAE"/>
    <w:rsid w:val="002C3FFF"/>
    <w:rsid w:val="002C430A"/>
    <w:rsid w:val="002C4B48"/>
    <w:rsid w:val="002C4FFD"/>
    <w:rsid w:val="002C5190"/>
    <w:rsid w:val="002C5200"/>
    <w:rsid w:val="002C537E"/>
    <w:rsid w:val="002C57DA"/>
    <w:rsid w:val="002C5CED"/>
    <w:rsid w:val="002C5DF7"/>
    <w:rsid w:val="002C605B"/>
    <w:rsid w:val="002C6209"/>
    <w:rsid w:val="002C6E49"/>
    <w:rsid w:val="002C6FE3"/>
    <w:rsid w:val="002C7010"/>
    <w:rsid w:val="002C7182"/>
    <w:rsid w:val="002C71D6"/>
    <w:rsid w:val="002C7837"/>
    <w:rsid w:val="002C7BC6"/>
    <w:rsid w:val="002C7D1F"/>
    <w:rsid w:val="002C7E71"/>
    <w:rsid w:val="002D006C"/>
    <w:rsid w:val="002D0081"/>
    <w:rsid w:val="002D03BE"/>
    <w:rsid w:val="002D04FB"/>
    <w:rsid w:val="002D0552"/>
    <w:rsid w:val="002D0AF9"/>
    <w:rsid w:val="002D1176"/>
    <w:rsid w:val="002D2273"/>
    <w:rsid w:val="002D29B9"/>
    <w:rsid w:val="002D3E4D"/>
    <w:rsid w:val="002D4A2C"/>
    <w:rsid w:val="002D53AB"/>
    <w:rsid w:val="002D5453"/>
    <w:rsid w:val="002D54A6"/>
    <w:rsid w:val="002D54C7"/>
    <w:rsid w:val="002D569A"/>
    <w:rsid w:val="002D5D96"/>
    <w:rsid w:val="002D6334"/>
    <w:rsid w:val="002D65C7"/>
    <w:rsid w:val="002D671E"/>
    <w:rsid w:val="002D68BB"/>
    <w:rsid w:val="002D73D2"/>
    <w:rsid w:val="002D7A5E"/>
    <w:rsid w:val="002D7BC0"/>
    <w:rsid w:val="002D7D00"/>
    <w:rsid w:val="002E0149"/>
    <w:rsid w:val="002E0565"/>
    <w:rsid w:val="002E06C7"/>
    <w:rsid w:val="002E0CD4"/>
    <w:rsid w:val="002E10E2"/>
    <w:rsid w:val="002E1CCD"/>
    <w:rsid w:val="002E1D68"/>
    <w:rsid w:val="002E36EA"/>
    <w:rsid w:val="002E3A61"/>
    <w:rsid w:val="002E3F4E"/>
    <w:rsid w:val="002E3F8D"/>
    <w:rsid w:val="002E424D"/>
    <w:rsid w:val="002E48A6"/>
    <w:rsid w:val="002E4B73"/>
    <w:rsid w:val="002E5054"/>
    <w:rsid w:val="002E53D9"/>
    <w:rsid w:val="002E561D"/>
    <w:rsid w:val="002E5A4F"/>
    <w:rsid w:val="002E64C7"/>
    <w:rsid w:val="002E6766"/>
    <w:rsid w:val="002E6781"/>
    <w:rsid w:val="002E6936"/>
    <w:rsid w:val="002E6945"/>
    <w:rsid w:val="002E6B06"/>
    <w:rsid w:val="002E6CE6"/>
    <w:rsid w:val="002E71F5"/>
    <w:rsid w:val="002E74F7"/>
    <w:rsid w:val="002F07E2"/>
    <w:rsid w:val="002F0805"/>
    <w:rsid w:val="002F0E89"/>
    <w:rsid w:val="002F124E"/>
    <w:rsid w:val="002F18E8"/>
    <w:rsid w:val="002F19C7"/>
    <w:rsid w:val="002F1A74"/>
    <w:rsid w:val="002F1FA3"/>
    <w:rsid w:val="002F2265"/>
    <w:rsid w:val="002F297E"/>
    <w:rsid w:val="002F2FFD"/>
    <w:rsid w:val="002F318B"/>
    <w:rsid w:val="002F3220"/>
    <w:rsid w:val="002F333D"/>
    <w:rsid w:val="002F34BA"/>
    <w:rsid w:val="002F45F3"/>
    <w:rsid w:val="002F4EC0"/>
    <w:rsid w:val="002F5DFA"/>
    <w:rsid w:val="002F626A"/>
    <w:rsid w:val="002F63B9"/>
    <w:rsid w:val="002F63C1"/>
    <w:rsid w:val="002F65D6"/>
    <w:rsid w:val="002F6666"/>
    <w:rsid w:val="002F7146"/>
    <w:rsid w:val="002F7495"/>
    <w:rsid w:val="002F77A6"/>
    <w:rsid w:val="00300924"/>
    <w:rsid w:val="00300B8E"/>
    <w:rsid w:val="00300B95"/>
    <w:rsid w:val="00300CF5"/>
    <w:rsid w:val="003016BC"/>
    <w:rsid w:val="0030191F"/>
    <w:rsid w:val="00301D90"/>
    <w:rsid w:val="00302525"/>
    <w:rsid w:val="0030267F"/>
    <w:rsid w:val="00302C9D"/>
    <w:rsid w:val="00302D68"/>
    <w:rsid w:val="00302EEB"/>
    <w:rsid w:val="0030317C"/>
    <w:rsid w:val="003033C5"/>
    <w:rsid w:val="003037A6"/>
    <w:rsid w:val="00303AB8"/>
    <w:rsid w:val="00303D57"/>
    <w:rsid w:val="00303DC4"/>
    <w:rsid w:val="00303DD6"/>
    <w:rsid w:val="00303E51"/>
    <w:rsid w:val="00304192"/>
    <w:rsid w:val="0030474E"/>
    <w:rsid w:val="0030480F"/>
    <w:rsid w:val="00304811"/>
    <w:rsid w:val="003048AB"/>
    <w:rsid w:val="00305132"/>
    <w:rsid w:val="00305862"/>
    <w:rsid w:val="003059ED"/>
    <w:rsid w:val="00305CBF"/>
    <w:rsid w:val="00306C4D"/>
    <w:rsid w:val="00306E7B"/>
    <w:rsid w:val="00307068"/>
    <w:rsid w:val="00310149"/>
    <w:rsid w:val="00310A1D"/>
    <w:rsid w:val="00310E59"/>
    <w:rsid w:val="00311663"/>
    <w:rsid w:val="003117A4"/>
    <w:rsid w:val="00311E05"/>
    <w:rsid w:val="00311FD8"/>
    <w:rsid w:val="00312150"/>
    <w:rsid w:val="0031305D"/>
    <w:rsid w:val="00313172"/>
    <w:rsid w:val="003135E5"/>
    <w:rsid w:val="00314092"/>
    <w:rsid w:val="0031460E"/>
    <w:rsid w:val="00314E2D"/>
    <w:rsid w:val="003151DF"/>
    <w:rsid w:val="00315398"/>
    <w:rsid w:val="003153A1"/>
    <w:rsid w:val="003157BA"/>
    <w:rsid w:val="00315EB9"/>
    <w:rsid w:val="00315FFB"/>
    <w:rsid w:val="00316190"/>
    <w:rsid w:val="003163F4"/>
    <w:rsid w:val="003169C0"/>
    <w:rsid w:val="00316BA8"/>
    <w:rsid w:val="00316DC8"/>
    <w:rsid w:val="00317144"/>
    <w:rsid w:val="00317A6C"/>
    <w:rsid w:val="00317C4C"/>
    <w:rsid w:val="00320936"/>
    <w:rsid w:val="003211FF"/>
    <w:rsid w:val="00321338"/>
    <w:rsid w:val="003214E1"/>
    <w:rsid w:val="0032164B"/>
    <w:rsid w:val="00321CB2"/>
    <w:rsid w:val="0032244F"/>
    <w:rsid w:val="00322DE8"/>
    <w:rsid w:val="00322E18"/>
    <w:rsid w:val="00323027"/>
    <w:rsid w:val="003236A7"/>
    <w:rsid w:val="003237C1"/>
    <w:rsid w:val="00323CA5"/>
    <w:rsid w:val="00324DB9"/>
    <w:rsid w:val="00324EC1"/>
    <w:rsid w:val="00325A57"/>
    <w:rsid w:val="00325E5A"/>
    <w:rsid w:val="0032653D"/>
    <w:rsid w:val="003266E8"/>
    <w:rsid w:val="00326FEE"/>
    <w:rsid w:val="00327143"/>
    <w:rsid w:val="003273E6"/>
    <w:rsid w:val="00327405"/>
    <w:rsid w:val="003277C9"/>
    <w:rsid w:val="0032783B"/>
    <w:rsid w:val="00327E74"/>
    <w:rsid w:val="00327EB3"/>
    <w:rsid w:val="00330A7F"/>
    <w:rsid w:val="00330C46"/>
    <w:rsid w:val="00330E96"/>
    <w:rsid w:val="00331111"/>
    <w:rsid w:val="00331500"/>
    <w:rsid w:val="003316F9"/>
    <w:rsid w:val="00331E9B"/>
    <w:rsid w:val="00331F61"/>
    <w:rsid w:val="003320A5"/>
    <w:rsid w:val="00332A2B"/>
    <w:rsid w:val="0033369B"/>
    <w:rsid w:val="0033403A"/>
    <w:rsid w:val="0033436B"/>
    <w:rsid w:val="00334434"/>
    <w:rsid w:val="00334590"/>
    <w:rsid w:val="00334899"/>
    <w:rsid w:val="00334C12"/>
    <w:rsid w:val="00334C2C"/>
    <w:rsid w:val="00335086"/>
    <w:rsid w:val="003352F8"/>
    <w:rsid w:val="00335631"/>
    <w:rsid w:val="00335A1B"/>
    <w:rsid w:val="003362F0"/>
    <w:rsid w:val="0033632A"/>
    <w:rsid w:val="00336390"/>
    <w:rsid w:val="00336A47"/>
    <w:rsid w:val="00336C93"/>
    <w:rsid w:val="00336F6E"/>
    <w:rsid w:val="00337065"/>
    <w:rsid w:val="00337B67"/>
    <w:rsid w:val="00337FD8"/>
    <w:rsid w:val="00340229"/>
    <w:rsid w:val="003402B6"/>
    <w:rsid w:val="00340B45"/>
    <w:rsid w:val="00340D49"/>
    <w:rsid w:val="0034134C"/>
    <w:rsid w:val="003416EB"/>
    <w:rsid w:val="00341E4D"/>
    <w:rsid w:val="00341F74"/>
    <w:rsid w:val="0034228B"/>
    <w:rsid w:val="00343C07"/>
    <w:rsid w:val="00343F26"/>
    <w:rsid w:val="003447B8"/>
    <w:rsid w:val="003449E2"/>
    <w:rsid w:val="00344D99"/>
    <w:rsid w:val="00345004"/>
    <w:rsid w:val="0034518B"/>
    <w:rsid w:val="003453A2"/>
    <w:rsid w:val="00345A0C"/>
    <w:rsid w:val="00345CE8"/>
    <w:rsid w:val="003468A5"/>
    <w:rsid w:val="00346A43"/>
    <w:rsid w:val="003502D7"/>
    <w:rsid w:val="003506A9"/>
    <w:rsid w:val="003506F3"/>
    <w:rsid w:val="003517E7"/>
    <w:rsid w:val="003517FF"/>
    <w:rsid w:val="0035180C"/>
    <w:rsid w:val="00351C5C"/>
    <w:rsid w:val="00352E47"/>
    <w:rsid w:val="00352FD7"/>
    <w:rsid w:val="00353137"/>
    <w:rsid w:val="00353193"/>
    <w:rsid w:val="00353364"/>
    <w:rsid w:val="00353826"/>
    <w:rsid w:val="00354030"/>
    <w:rsid w:val="00354765"/>
    <w:rsid w:val="00354FF9"/>
    <w:rsid w:val="003551B3"/>
    <w:rsid w:val="003552F4"/>
    <w:rsid w:val="00355311"/>
    <w:rsid w:val="003556B1"/>
    <w:rsid w:val="00355B27"/>
    <w:rsid w:val="00356182"/>
    <w:rsid w:val="003561B5"/>
    <w:rsid w:val="0035637C"/>
    <w:rsid w:val="00356B0F"/>
    <w:rsid w:val="00356BD4"/>
    <w:rsid w:val="00357037"/>
    <w:rsid w:val="00357E5F"/>
    <w:rsid w:val="00360088"/>
    <w:rsid w:val="00360109"/>
    <w:rsid w:val="00360BD0"/>
    <w:rsid w:val="00361505"/>
    <w:rsid w:val="00361CC6"/>
    <w:rsid w:val="003621C8"/>
    <w:rsid w:val="003625EA"/>
    <w:rsid w:val="003628D9"/>
    <w:rsid w:val="00363E47"/>
    <w:rsid w:val="00363F48"/>
    <w:rsid w:val="00364525"/>
    <w:rsid w:val="003650F4"/>
    <w:rsid w:val="003673CD"/>
    <w:rsid w:val="00367B67"/>
    <w:rsid w:val="00367FF2"/>
    <w:rsid w:val="00370195"/>
    <w:rsid w:val="0037025A"/>
    <w:rsid w:val="00370CE4"/>
    <w:rsid w:val="00371906"/>
    <w:rsid w:val="00371C57"/>
    <w:rsid w:val="00372C5D"/>
    <w:rsid w:val="00373571"/>
    <w:rsid w:val="00373774"/>
    <w:rsid w:val="00374052"/>
    <w:rsid w:val="0037412F"/>
    <w:rsid w:val="00374305"/>
    <w:rsid w:val="0037461F"/>
    <w:rsid w:val="00374840"/>
    <w:rsid w:val="00374C34"/>
    <w:rsid w:val="00374D00"/>
    <w:rsid w:val="00374D22"/>
    <w:rsid w:val="00375209"/>
    <w:rsid w:val="00375212"/>
    <w:rsid w:val="003759B2"/>
    <w:rsid w:val="00375A52"/>
    <w:rsid w:val="00375C52"/>
    <w:rsid w:val="00375D34"/>
    <w:rsid w:val="003768D2"/>
    <w:rsid w:val="00376E88"/>
    <w:rsid w:val="0037745D"/>
    <w:rsid w:val="00377B39"/>
    <w:rsid w:val="00380591"/>
    <w:rsid w:val="00380B0E"/>
    <w:rsid w:val="00380C84"/>
    <w:rsid w:val="00381A89"/>
    <w:rsid w:val="00381FFF"/>
    <w:rsid w:val="00382345"/>
    <w:rsid w:val="00382660"/>
    <w:rsid w:val="003826B7"/>
    <w:rsid w:val="0038298D"/>
    <w:rsid w:val="00382F80"/>
    <w:rsid w:val="003839C9"/>
    <w:rsid w:val="00383CA5"/>
    <w:rsid w:val="0038542F"/>
    <w:rsid w:val="0038547C"/>
    <w:rsid w:val="0038552D"/>
    <w:rsid w:val="00387A46"/>
    <w:rsid w:val="00387EA0"/>
    <w:rsid w:val="003904B9"/>
    <w:rsid w:val="0039062F"/>
    <w:rsid w:val="00390691"/>
    <w:rsid w:val="003911F6"/>
    <w:rsid w:val="0039156F"/>
    <w:rsid w:val="003917AC"/>
    <w:rsid w:val="00391B24"/>
    <w:rsid w:val="00391B2E"/>
    <w:rsid w:val="00391D67"/>
    <w:rsid w:val="00392F2E"/>
    <w:rsid w:val="00392FD7"/>
    <w:rsid w:val="003933F9"/>
    <w:rsid w:val="003934EE"/>
    <w:rsid w:val="00393AB3"/>
    <w:rsid w:val="0039465D"/>
    <w:rsid w:val="0039546E"/>
    <w:rsid w:val="0039548E"/>
    <w:rsid w:val="00395B61"/>
    <w:rsid w:val="003960EB"/>
    <w:rsid w:val="00396174"/>
    <w:rsid w:val="003962B1"/>
    <w:rsid w:val="00396646"/>
    <w:rsid w:val="00396A25"/>
    <w:rsid w:val="00396C3E"/>
    <w:rsid w:val="0039718E"/>
    <w:rsid w:val="00397915"/>
    <w:rsid w:val="00397992"/>
    <w:rsid w:val="00397BF9"/>
    <w:rsid w:val="00397F51"/>
    <w:rsid w:val="003A17C3"/>
    <w:rsid w:val="003A200B"/>
    <w:rsid w:val="003A230E"/>
    <w:rsid w:val="003A28EF"/>
    <w:rsid w:val="003A2A9B"/>
    <w:rsid w:val="003A3407"/>
    <w:rsid w:val="003A400B"/>
    <w:rsid w:val="003A4309"/>
    <w:rsid w:val="003A4A48"/>
    <w:rsid w:val="003A4EE3"/>
    <w:rsid w:val="003A52B9"/>
    <w:rsid w:val="003A54F0"/>
    <w:rsid w:val="003A61F5"/>
    <w:rsid w:val="003A64C5"/>
    <w:rsid w:val="003A66B9"/>
    <w:rsid w:val="003A68AD"/>
    <w:rsid w:val="003A6B6F"/>
    <w:rsid w:val="003A6E83"/>
    <w:rsid w:val="003A6F5E"/>
    <w:rsid w:val="003A6FEB"/>
    <w:rsid w:val="003A7103"/>
    <w:rsid w:val="003A71C7"/>
    <w:rsid w:val="003A7A26"/>
    <w:rsid w:val="003B0275"/>
    <w:rsid w:val="003B02A2"/>
    <w:rsid w:val="003B0479"/>
    <w:rsid w:val="003B0C34"/>
    <w:rsid w:val="003B14E4"/>
    <w:rsid w:val="003B1F4E"/>
    <w:rsid w:val="003B24E9"/>
    <w:rsid w:val="003B36BF"/>
    <w:rsid w:val="003B3D2B"/>
    <w:rsid w:val="003B404A"/>
    <w:rsid w:val="003B4707"/>
    <w:rsid w:val="003B4C77"/>
    <w:rsid w:val="003B5853"/>
    <w:rsid w:val="003B588F"/>
    <w:rsid w:val="003B6772"/>
    <w:rsid w:val="003B67BF"/>
    <w:rsid w:val="003B6854"/>
    <w:rsid w:val="003B6EEA"/>
    <w:rsid w:val="003B71B3"/>
    <w:rsid w:val="003B7363"/>
    <w:rsid w:val="003B7595"/>
    <w:rsid w:val="003B7B9A"/>
    <w:rsid w:val="003B7F42"/>
    <w:rsid w:val="003C1229"/>
    <w:rsid w:val="003C21E0"/>
    <w:rsid w:val="003C2212"/>
    <w:rsid w:val="003C24D0"/>
    <w:rsid w:val="003C2CF4"/>
    <w:rsid w:val="003C2F56"/>
    <w:rsid w:val="003C3504"/>
    <w:rsid w:val="003C362F"/>
    <w:rsid w:val="003C3D87"/>
    <w:rsid w:val="003C43E6"/>
    <w:rsid w:val="003C47B9"/>
    <w:rsid w:val="003C4AC9"/>
    <w:rsid w:val="003C4BBD"/>
    <w:rsid w:val="003C520B"/>
    <w:rsid w:val="003C5312"/>
    <w:rsid w:val="003C5315"/>
    <w:rsid w:val="003C5879"/>
    <w:rsid w:val="003C5AC3"/>
    <w:rsid w:val="003C5FE3"/>
    <w:rsid w:val="003C6155"/>
    <w:rsid w:val="003C6162"/>
    <w:rsid w:val="003C646F"/>
    <w:rsid w:val="003C65DC"/>
    <w:rsid w:val="003C799F"/>
    <w:rsid w:val="003C7A7C"/>
    <w:rsid w:val="003C7C0E"/>
    <w:rsid w:val="003C7CFD"/>
    <w:rsid w:val="003C7DEF"/>
    <w:rsid w:val="003D0073"/>
    <w:rsid w:val="003D0474"/>
    <w:rsid w:val="003D04B6"/>
    <w:rsid w:val="003D0613"/>
    <w:rsid w:val="003D0CBF"/>
    <w:rsid w:val="003D1764"/>
    <w:rsid w:val="003D18CA"/>
    <w:rsid w:val="003D18F8"/>
    <w:rsid w:val="003D1FE2"/>
    <w:rsid w:val="003D23A4"/>
    <w:rsid w:val="003D27BC"/>
    <w:rsid w:val="003D2D0F"/>
    <w:rsid w:val="003D36A4"/>
    <w:rsid w:val="003D44AB"/>
    <w:rsid w:val="003D462D"/>
    <w:rsid w:val="003D5C7B"/>
    <w:rsid w:val="003D66DD"/>
    <w:rsid w:val="003D6B4A"/>
    <w:rsid w:val="003D6D30"/>
    <w:rsid w:val="003D6E32"/>
    <w:rsid w:val="003D6E77"/>
    <w:rsid w:val="003D74C2"/>
    <w:rsid w:val="003E0D80"/>
    <w:rsid w:val="003E2BBF"/>
    <w:rsid w:val="003E2D8F"/>
    <w:rsid w:val="003E2FB3"/>
    <w:rsid w:val="003E3380"/>
    <w:rsid w:val="003E3D44"/>
    <w:rsid w:val="003E3E27"/>
    <w:rsid w:val="003E4646"/>
    <w:rsid w:val="003E469C"/>
    <w:rsid w:val="003E4D2E"/>
    <w:rsid w:val="003E5211"/>
    <w:rsid w:val="003E5227"/>
    <w:rsid w:val="003E5488"/>
    <w:rsid w:val="003E5C9F"/>
    <w:rsid w:val="003E5D91"/>
    <w:rsid w:val="003E5F86"/>
    <w:rsid w:val="003E6333"/>
    <w:rsid w:val="003E679F"/>
    <w:rsid w:val="003E69AF"/>
    <w:rsid w:val="003E6B4D"/>
    <w:rsid w:val="003E6B76"/>
    <w:rsid w:val="003E700E"/>
    <w:rsid w:val="003E7558"/>
    <w:rsid w:val="003E7671"/>
    <w:rsid w:val="003E7ACD"/>
    <w:rsid w:val="003F064B"/>
    <w:rsid w:val="003F09C9"/>
    <w:rsid w:val="003F10D1"/>
    <w:rsid w:val="003F11D0"/>
    <w:rsid w:val="003F15A6"/>
    <w:rsid w:val="003F2002"/>
    <w:rsid w:val="003F2020"/>
    <w:rsid w:val="003F2112"/>
    <w:rsid w:val="003F22D1"/>
    <w:rsid w:val="003F2CFD"/>
    <w:rsid w:val="003F3220"/>
    <w:rsid w:val="003F3411"/>
    <w:rsid w:val="003F40C6"/>
    <w:rsid w:val="003F4A5D"/>
    <w:rsid w:val="003F4F32"/>
    <w:rsid w:val="003F4FD5"/>
    <w:rsid w:val="003F51B9"/>
    <w:rsid w:val="003F533E"/>
    <w:rsid w:val="003F553E"/>
    <w:rsid w:val="003F58E2"/>
    <w:rsid w:val="003F5B3A"/>
    <w:rsid w:val="003F6943"/>
    <w:rsid w:val="003F69C2"/>
    <w:rsid w:val="003F6F06"/>
    <w:rsid w:val="003F7020"/>
    <w:rsid w:val="003F71BA"/>
    <w:rsid w:val="003F7851"/>
    <w:rsid w:val="003F7C21"/>
    <w:rsid w:val="003F7DC5"/>
    <w:rsid w:val="003F7EBF"/>
    <w:rsid w:val="004005E0"/>
    <w:rsid w:val="00400990"/>
    <w:rsid w:val="00401534"/>
    <w:rsid w:val="004015BA"/>
    <w:rsid w:val="004015CB"/>
    <w:rsid w:val="00401850"/>
    <w:rsid w:val="00401E19"/>
    <w:rsid w:val="00401E41"/>
    <w:rsid w:val="00402417"/>
    <w:rsid w:val="004030FF"/>
    <w:rsid w:val="00403A6D"/>
    <w:rsid w:val="00403C36"/>
    <w:rsid w:val="004040D2"/>
    <w:rsid w:val="00404110"/>
    <w:rsid w:val="004048D1"/>
    <w:rsid w:val="00405D09"/>
    <w:rsid w:val="00406C9B"/>
    <w:rsid w:val="004079F1"/>
    <w:rsid w:val="00410F90"/>
    <w:rsid w:val="004118EE"/>
    <w:rsid w:val="00412428"/>
    <w:rsid w:val="00412753"/>
    <w:rsid w:val="0041299F"/>
    <w:rsid w:val="00412A2D"/>
    <w:rsid w:val="00412BFE"/>
    <w:rsid w:val="00412E42"/>
    <w:rsid w:val="00413390"/>
    <w:rsid w:val="00413E0D"/>
    <w:rsid w:val="0041410E"/>
    <w:rsid w:val="0041462C"/>
    <w:rsid w:val="0041482C"/>
    <w:rsid w:val="00414921"/>
    <w:rsid w:val="00414C32"/>
    <w:rsid w:val="00414FE3"/>
    <w:rsid w:val="00415253"/>
    <w:rsid w:val="004157F5"/>
    <w:rsid w:val="0041632D"/>
    <w:rsid w:val="00416478"/>
    <w:rsid w:val="00416DB2"/>
    <w:rsid w:val="00416FC2"/>
    <w:rsid w:val="0041728B"/>
    <w:rsid w:val="00417897"/>
    <w:rsid w:val="00417A24"/>
    <w:rsid w:val="00420921"/>
    <w:rsid w:val="004214B0"/>
    <w:rsid w:val="004219CD"/>
    <w:rsid w:val="0042247A"/>
    <w:rsid w:val="00422712"/>
    <w:rsid w:val="004232E9"/>
    <w:rsid w:val="00423508"/>
    <w:rsid w:val="004237AA"/>
    <w:rsid w:val="00423C43"/>
    <w:rsid w:val="004246AE"/>
    <w:rsid w:val="00424843"/>
    <w:rsid w:val="00424979"/>
    <w:rsid w:val="00425273"/>
    <w:rsid w:val="004258CE"/>
    <w:rsid w:val="00425B9D"/>
    <w:rsid w:val="00425BCE"/>
    <w:rsid w:val="00425CF5"/>
    <w:rsid w:val="0042698B"/>
    <w:rsid w:val="004274DD"/>
    <w:rsid w:val="00427E8F"/>
    <w:rsid w:val="004309E0"/>
    <w:rsid w:val="004312CD"/>
    <w:rsid w:val="00431A20"/>
    <w:rsid w:val="00431DAD"/>
    <w:rsid w:val="004320BA"/>
    <w:rsid w:val="0043224B"/>
    <w:rsid w:val="00432AE1"/>
    <w:rsid w:val="00432EC8"/>
    <w:rsid w:val="00433038"/>
    <w:rsid w:val="00433AF1"/>
    <w:rsid w:val="00433C3D"/>
    <w:rsid w:val="004341CB"/>
    <w:rsid w:val="0043490D"/>
    <w:rsid w:val="00434944"/>
    <w:rsid w:val="00434C06"/>
    <w:rsid w:val="00434E93"/>
    <w:rsid w:val="004351D4"/>
    <w:rsid w:val="0043544C"/>
    <w:rsid w:val="00435779"/>
    <w:rsid w:val="0043581B"/>
    <w:rsid w:val="00435839"/>
    <w:rsid w:val="004364E4"/>
    <w:rsid w:val="00436E83"/>
    <w:rsid w:val="00437590"/>
    <w:rsid w:val="00440ECE"/>
    <w:rsid w:val="004410B5"/>
    <w:rsid w:val="004412E5"/>
    <w:rsid w:val="00441AD5"/>
    <w:rsid w:val="00441D0F"/>
    <w:rsid w:val="004422D2"/>
    <w:rsid w:val="0044278F"/>
    <w:rsid w:val="00444225"/>
    <w:rsid w:val="00444241"/>
    <w:rsid w:val="00444A3B"/>
    <w:rsid w:val="00444D1E"/>
    <w:rsid w:val="00445685"/>
    <w:rsid w:val="00445C5C"/>
    <w:rsid w:val="00445E77"/>
    <w:rsid w:val="00445FB1"/>
    <w:rsid w:val="00445FE8"/>
    <w:rsid w:val="00446149"/>
    <w:rsid w:val="00446202"/>
    <w:rsid w:val="0044701B"/>
    <w:rsid w:val="004474A9"/>
    <w:rsid w:val="00447E81"/>
    <w:rsid w:val="0045087E"/>
    <w:rsid w:val="00450D09"/>
    <w:rsid w:val="00450D88"/>
    <w:rsid w:val="00450E7F"/>
    <w:rsid w:val="004510FD"/>
    <w:rsid w:val="0045137B"/>
    <w:rsid w:val="00451696"/>
    <w:rsid w:val="00451DC5"/>
    <w:rsid w:val="0045225A"/>
    <w:rsid w:val="00452FFF"/>
    <w:rsid w:val="004536E1"/>
    <w:rsid w:val="0045392D"/>
    <w:rsid w:val="00453DC9"/>
    <w:rsid w:val="00453FAC"/>
    <w:rsid w:val="004546E0"/>
    <w:rsid w:val="00454BFB"/>
    <w:rsid w:val="00454F9E"/>
    <w:rsid w:val="004554CB"/>
    <w:rsid w:val="004554DA"/>
    <w:rsid w:val="00455774"/>
    <w:rsid w:val="00455F04"/>
    <w:rsid w:val="00456AEA"/>
    <w:rsid w:val="00457021"/>
    <w:rsid w:val="0045713C"/>
    <w:rsid w:val="00457173"/>
    <w:rsid w:val="0045719B"/>
    <w:rsid w:val="00457259"/>
    <w:rsid w:val="004574E2"/>
    <w:rsid w:val="004576D4"/>
    <w:rsid w:val="004576EB"/>
    <w:rsid w:val="00460115"/>
    <w:rsid w:val="0046081F"/>
    <w:rsid w:val="00460E0E"/>
    <w:rsid w:val="00460FA1"/>
    <w:rsid w:val="0046282E"/>
    <w:rsid w:val="00463767"/>
    <w:rsid w:val="00463E7B"/>
    <w:rsid w:val="00464125"/>
    <w:rsid w:val="004646E9"/>
    <w:rsid w:val="00464A3E"/>
    <w:rsid w:val="004658A1"/>
    <w:rsid w:val="00465959"/>
    <w:rsid w:val="00465A1A"/>
    <w:rsid w:val="00465D1D"/>
    <w:rsid w:val="00465D79"/>
    <w:rsid w:val="004663BA"/>
    <w:rsid w:val="00466706"/>
    <w:rsid w:val="00466795"/>
    <w:rsid w:val="00466966"/>
    <w:rsid w:val="00467501"/>
    <w:rsid w:val="00467D4A"/>
    <w:rsid w:val="00467D51"/>
    <w:rsid w:val="00470212"/>
    <w:rsid w:val="00470C18"/>
    <w:rsid w:val="00470C1D"/>
    <w:rsid w:val="00470CAD"/>
    <w:rsid w:val="00471082"/>
    <w:rsid w:val="00471379"/>
    <w:rsid w:val="004717DF"/>
    <w:rsid w:val="00471CD5"/>
    <w:rsid w:val="0047229F"/>
    <w:rsid w:val="00472A6B"/>
    <w:rsid w:val="0047366D"/>
    <w:rsid w:val="00473788"/>
    <w:rsid w:val="00474848"/>
    <w:rsid w:val="004748CC"/>
    <w:rsid w:val="00475914"/>
    <w:rsid w:val="0047596A"/>
    <w:rsid w:val="00475A66"/>
    <w:rsid w:val="00475CDC"/>
    <w:rsid w:val="00476145"/>
    <w:rsid w:val="00476EE1"/>
    <w:rsid w:val="00477B6E"/>
    <w:rsid w:val="00477B8B"/>
    <w:rsid w:val="00480721"/>
    <w:rsid w:val="00480D99"/>
    <w:rsid w:val="00480EBA"/>
    <w:rsid w:val="0048115D"/>
    <w:rsid w:val="0048124A"/>
    <w:rsid w:val="00481845"/>
    <w:rsid w:val="00482109"/>
    <w:rsid w:val="004821E1"/>
    <w:rsid w:val="0048309E"/>
    <w:rsid w:val="004836C8"/>
    <w:rsid w:val="00483E0C"/>
    <w:rsid w:val="0048407D"/>
    <w:rsid w:val="004843A3"/>
    <w:rsid w:val="0048468C"/>
    <w:rsid w:val="00486517"/>
    <w:rsid w:val="0048662F"/>
    <w:rsid w:val="0048744B"/>
    <w:rsid w:val="004879E4"/>
    <w:rsid w:val="00487A1E"/>
    <w:rsid w:val="00487C6A"/>
    <w:rsid w:val="00487DCF"/>
    <w:rsid w:val="00487E26"/>
    <w:rsid w:val="004915B3"/>
    <w:rsid w:val="00491ECE"/>
    <w:rsid w:val="0049203D"/>
    <w:rsid w:val="004927A0"/>
    <w:rsid w:val="00492A78"/>
    <w:rsid w:val="00492AE6"/>
    <w:rsid w:val="00492B05"/>
    <w:rsid w:val="00492FA1"/>
    <w:rsid w:val="004931F7"/>
    <w:rsid w:val="00493803"/>
    <w:rsid w:val="00493F13"/>
    <w:rsid w:val="00494903"/>
    <w:rsid w:val="00494BAB"/>
    <w:rsid w:val="00494BF9"/>
    <w:rsid w:val="0049506A"/>
    <w:rsid w:val="00495317"/>
    <w:rsid w:val="00495522"/>
    <w:rsid w:val="0049578C"/>
    <w:rsid w:val="004959D6"/>
    <w:rsid w:val="00495C37"/>
    <w:rsid w:val="00495C72"/>
    <w:rsid w:val="00495F5C"/>
    <w:rsid w:val="00496381"/>
    <w:rsid w:val="004964E0"/>
    <w:rsid w:val="0049650A"/>
    <w:rsid w:val="0049744E"/>
    <w:rsid w:val="00497A79"/>
    <w:rsid w:val="004A0005"/>
    <w:rsid w:val="004A03AB"/>
    <w:rsid w:val="004A0601"/>
    <w:rsid w:val="004A0B7C"/>
    <w:rsid w:val="004A1A49"/>
    <w:rsid w:val="004A212C"/>
    <w:rsid w:val="004A273C"/>
    <w:rsid w:val="004A2C26"/>
    <w:rsid w:val="004A34A7"/>
    <w:rsid w:val="004A3F2D"/>
    <w:rsid w:val="004A3FBE"/>
    <w:rsid w:val="004A40D1"/>
    <w:rsid w:val="004A45C9"/>
    <w:rsid w:val="004A46EA"/>
    <w:rsid w:val="004A4A16"/>
    <w:rsid w:val="004A4B54"/>
    <w:rsid w:val="004A56C4"/>
    <w:rsid w:val="004A5AD3"/>
    <w:rsid w:val="004A5D72"/>
    <w:rsid w:val="004A6308"/>
    <w:rsid w:val="004A675D"/>
    <w:rsid w:val="004A6EB8"/>
    <w:rsid w:val="004A778B"/>
    <w:rsid w:val="004A7880"/>
    <w:rsid w:val="004A7C9A"/>
    <w:rsid w:val="004B0758"/>
    <w:rsid w:val="004B0A09"/>
    <w:rsid w:val="004B10D5"/>
    <w:rsid w:val="004B191E"/>
    <w:rsid w:val="004B1967"/>
    <w:rsid w:val="004B274B"/>
    <w:rsid w:val="004B2800"/>
    <w:rsid w:val="004B28E2"/>
    <w:rsid w:val="004B3017"/>
    <w:rsid w:val="004B30E7"/>
    <w:rsid w:val="004B325E"/>
    <w:rsid w:val="004B3ACF"/>
    <w:rsid w:val="004B3C93"/>
    <w:rsid w:val="004B3FAE"/>
    <w:rsid w:val="004B47FE"/>
    <w:rsid w:val="004B4CE9"/>
    <w:rsid w:val="004B5300"/>
    <w:rsid w:val="004B53D0"/>
    <w:rsid w:val="004B57A5"/>
    <w:rsid w:val="004B5A10"/>
    <w:rsid w:val="004B5BD0"/>
    <w:rsid w:val="004B5EB2"/>
    <w:rsid w:val="004B6537"/>
    <w:rsid w:val="004B687C"/>
    <w:rsid w:val="004B6B70"/>
    <w:rsid w:val="004B6CF2"/>
    <w:rsid w:val="004B7335"/>
    <w:rsid w:val="004B74B9"/>
    <w:rsid w:val="004B7F90"/>
    <w:rsid w:val="004B7FE8"/>
    <w:rsid w:val="004C0481"/>
    <w:rsid w:val="004C063D"/>
    <w:rsid w:val="004C0912"/>
    <w:rsid w:val="004C11B1"/>
    <w:rsid w:val="004C1285"/>
    <w:rsid w:val="004C15EC"/>
    <w:rsid w:val="004C19B9"/>
    <w:rsid w:val="004C1DF1"/>
    <w:rsid w:val="004C1F25"/>
    <w:rsid w:val="004C2028"/>
    <w:rsid w:val="004C22E8"/>
    <w:rsid w:val="004C3475"/>
    <w:rsid w:val="004C360F"/>
    <w:rsid w:val="004C3C35"/>
    <w:rsid w:val="004C3EFF"/>
    <w:rsid w:val="004C40AE"/>
    <w:rsid w:val="004C424C"/>
    <w:rsid w:val="004C43AF"/>
    <w:rsid w:val="004C4850"/>
    <w:rsid w:val="004C5544"/>
    <w:rsid w:val="004C5545"/>
    <w:rsid w:val="004C5761"/>
    <w:rsid w:val="004C580B"/>
    <w:rsid w:val="004C5851"/>
    <w:rsid w:val="004C5A84"/>
    <w:rsid w:val="004C5AAB"/>
    <w:rsid w:val="004C5AB9"/>
    <w:rsid w:val="004C614E"/>
    <w:rsid w:val="004C6189"/>
    <w:rsid w:val="004C63B0"/>
    <w:rsid w:val="004C6A93"/>
    <w:rsid w:val="004C6C7E"/>
    <w:rsid w:val="004C6F2C"/>
    <w:rsid w:val="004C7396"/>
    <w:rsid w:val="004C7861"/>
    <w:rsid w:val="004C7BB0"/>
    <w:rsid w:val="004C7EB9"/>
    <w:rsid w:val="004D0171"/>
    <w:rsid w:val="004D0327"/>
    <w:rsid w:val="004D0798"/>
    <w:rsid w:val="004D12DF"/>
    <w:rsid w:val="004D15AB"/>
    <w:rsid w:val="004D1B0E"/>
    <w:rsid w:val="004D2512"/>
    <w:rsid w:val="004D279F"/>
    <w:rsid w:val="004D2EF3"/>
    <w:rsid w:val="004D324F"/>
    <w:rsid w:val="004D372A"/>
    <w:rsid w:val="004D381D"/>
    <w:rsid w:val="004D3CB7"/>
    <w:rsid w:val="004D3F60"/>
    <w:rsid w:val="004D408C"/>
    <w:rsid w:val="004D41A6"/>
    <w:rsid w:val="004D4219"/>
    <w:rsid w:val="004D4A5E"/>
    <w:rsid w:val="004D5958"/>
    <w:rsid w:val="004D5ADB"/>
    <w:rsid w:val="004D5FFD"/>
    <w:rsid w:val="004D7309"/>
    <w:rsid w:val="004D76A4"/>
    <w:rsid w:val="004D789E"/>
    <w:rsid w:val="004D7B24"/>
    <w:rsid w:val="004E00C9"/>
    <w:rsid w:val="004E0BE6"/>
    <w:rsid w:val="004E12C3"/>
    <w:rsid w:val="004E1344"/>
    <w:rsid w:val="004E1B7F"/>
    <w:rsid w:val="004E1BAD"/>
    <w:rsid w:val="004E1EF2"/>
    <w:rsid w:val="004E207C"/>
    <w:rsid w:val="004E2B4D"/>
    <w:rsid w:val="004E323E"/>
    <w:rsid w:val="004E32A4"/>
    <w:rsid w:val="004E4601"/>
    <w:rsid w:val="004E4816"/>
    <w:rsid w:val="004E518D"/>
    <w:rsid w:val="004E6323"/>
    <w:rsid w:val="004E63D7"/>
    <w:rsid w:val="004E6588"/>
    <w:rsid w:val="004E66F9"/>
    <w:rsid w:val="004E6791"/>
    <w:rsid w:val="004E68D2"/>
    <w:rsid w:val="004E6D8A"/>
    <w:rsid w:val="004E7D17"/>
    <w:rsid w:val="004E7E6E"/>
    <w:rsid w:val="004F0085"/>
    <w:rsid w:val="004F07D9"/>
    <w:rsid w:val="004F1648"/>
    <w:rsid w:val="004F228E"/>
    <w:rsid w:val="004F22B5"/>
    <w:rsid w:val="004F2570"/>
    <w:rsid w:val="004F266A"/>
    <w:rsid w:val="004F2E8A"/>
    <w:rsid w:val="004F3DAF"/>
    <w:rsid w:val="004F3EDA"/>
    <w:rsid w:val="004F41BD"/>
    <w:rsid w:val="004F4706"/>
    <w:rsid w:val="004F4CE8"/>
    <w:rsid w:val="004F57DE"/>
    <w:rsid w:val="004F585C"/>
    <w:rsid w:val="004F5CC5"/>
    <w:rsid w:val="004F5E45"/>
    <w:rsid w:val="004F5F95"/>
    <w:rsid w:val="004F6680"/>
    <w:rsid w:val="004F6EA9"/>
    <w:rsid w:val="004F728E"/>
    <w:rsid w:val="004F7D4A"/>
    <w:rsid w:val="0050007A"/>
    <w:rsid w:val="00500138"/>
    <w:rsid w:val="00500278"/>
    <w:rsid w:val="005002AF"/>
    <w:rsid w:val="0050065E"/>
    <w:rsid w:val="00500E1C"/>
    <w:rsid w:val="0050112E"/>
    <w:rsid w:val="00501487"/>
    <w:rsid w:val="00501848"/>
    <w:rsid w:val="00501F54"/>
    <w:rsid w:val="00501FA9"/>
    <w:rsid w:val="00501FD7"/>
    <w:rsid w:val="0050291D"/>
    <w:rsid w:val="00502CE1"/>
    <w:rsid w:val="00503342"/>
    <w:rsid w:val="00503846"/>
    <w:rsid w:val="00503898"/>
    <w:rsid w:val="00503D7C"/>
    <w:rsid w:val="00504269"/>
    <w:rsid w:val="00504379"/>
    <w:rsid w:val="005045A6"/>
    <w:rsid w:val="0050460C"/>
    <w:rsid w:val="00504B92"/>
    <w:rsid w:val="00504F1D"/>
    <w:rsid w:val="00505036"/>
    <w:rsid w:val="005052CF"/>
    <w:rsid w:val="005052DD"/>
    <w:rsid w:val="00505557"/>
    <w:rsid w:val="005055AE"/>
    <w:rsid w:val="00505AF9"/>
    <w:rsid w:val="00506DF9"/>
    <w:rsid w:val="00506F6D"/>
    <w:rsid w:val="0050758D"/>
    <w:rsid w:val="00507729"/>
    <w:rsid w:val="00507DA5"/>
    <w:rsid w:val="005105AA"/>
    <w:rsid w:val="00510A85"/>
    <w:rsid w:val="00511511"/>
    <w:rsid w:val="00511A97"/>
    <w:rsid w:val="00511CED"/>
    <w:rsid w:val="005124E6"/>
    <w:rsid w:val="00514EE0"/>
    <w:rsid w:val="00515651"/>
    <w:rsid w:val="00515743"/>
    <w:rsid w:val="00515CCA"/>
    <w:rsid w:val="00515E4C"/>
    <w:rsid w:val="00516AC6"/>
    <w:rsid w:val="005176F9"/>
    <w:rsid w:val="00517F41"/>
    <w:rsid w:val="00517F9B"/>
    <w:rsid w:val="0052085E"/>
    <w:rsid w:val="00520E76"/>
    <w:rsid w:val="005210A6"/>
    <w:rsid w:val="00521314"/>
    <w:rsid w:val="00521AEA"/>
    <w:rsid w:val="005227DE"/>
    <w:rsid w:val="00522F18"/>
    <w:rsid w:val="00523054"/>
    <w:rsid w:val="00523723"/>
    <w:rsid w:val="00523943"/>
    <w:rsid w:val="00523ADE"/>
    <w:rsid w:val="00523FCC"/>
    <w:rsid w:val="00525149"/>
    <w:rsid w:val="00525500"/>
    <w:rsid w:val="00526926"/>
    <w:rsid w:val="005270BC"/>
    <w:rsid w:val="00527205"/>
    <w:rsid w:val="00527531"/>
    <w:rsid w:val="0052783C"/>
    <w:rsid w:val="00527D89"/>
    <w:rsid w:val="00527FF1"/>
    <w:rsid w:val="005304EC"/>
    <w:rsid w:val="0053055F"/>
    <w:rsid w:val="00530AFB"/>
    <w:rsid w:val="00530EDC"/>
    <w:rsid w:val="00530EFB"/>
    <w:rsid w:val="0053102A"/>
    <w:rsid w:val="00531160"/>
    <w:rsid w:val="00531390"/>
    <w:rsid w:val="00531C69"/>
    <w:rsid w:val="00531E3F"/>
    <w:rsid w:val="005328B0"/>
    <w:rsid w:val="00533136"/>
    <w:rsid w:val="00533396"/>
    <w:rsid w:val="00533EEE"/>
    <w:rsid w:val="00533F71"/>
    <w:rsid w:val="00534592"/>
    <w:rsid w:val="005345B1"/>
    <w:rsid w:val="00534B19"/>
    <w:rsid w:val="00534F3D"/>
    <w:rsid w:val="005353F9"/>
    <w:rsid w:val="005356D2"/>
    <w:rsid w:val="00535D52"/>
    <w:rsid w:val="00535EFC"/>
    <w:rsid w:val="005364BC"/>
    <w:rsid w:val="005374F4"/>
    <w:rsid w:val="00537578"/>
    <w:rsid w:val="005379AD"/>
    <w:rsid w:val="005400C1"/>
    <w:rsid w:val="00540553"/>
    <w:rsid w:val="005406FE"/>
    <w:rsid w:val="0054092F"/>
    <w:rsid w:val="00540E03"/>
    <w:rsid w:val="00541081"/>
    <w:rsid w:val="00541133"/>
    <w:rsid w:val="00541AC9"/>
    <w:rsid w:val="00541BFD"/>
    <w:rsid w:val="00541D48"/>
    <w:rsid w:val="00542502"/>
    <w:rsid w:val="00542A67"/>
    <w:rsid w:val="00542B87"/>
    <w:rsid w:val="0054307D"/>
    <w:rsid w:val="00543449"/>
    <w:rsid w:val="005434A9"/>
    <w:rsid w:val="00544252"/>
    <w:rsid w:val="005443E2"/>
    <w:rsid w:val="005445A1"/>
    <w:rsid w:val="0054480D"/>
    <w:rsid w:val="005448FE"/>
    <w:rsid w:val="00544A3D"/>
    <w:rsid w:val="00544BE1"/>
    <w:rsid w:val="0054602C"/>
    <w:rsid w:val="00546071"/>
    <w:rsid w:val="00546725"/>
    <w:rsid w:val="005469FE"/>
    <w:rsid w:val="00546EC5"/>
    <w:rsid w:val="00547B90"/>
    <w:rsid w:val="00547C88"/>
    <w:rsid w:val="00550100"/>
    <w:rsid w:val="0055030F"/>
    <w:rsid w:val="005505DE"/>
    <w:rsid w:val="0055082A"/>
    <w:rsid w:val="00550E34"/>
    <w:rsid w:val="00551189"/>
    <w:rsid w:val="0055169C"/>
    <w:rsid w:val="00551C34"/>
    <w:rsid w:val="00551FD3"/>
    <w:rsid w:val="005522EC"/>
    <w:rsid w:val="005524A6"/>
    <w:rsid w:val="00552587"/>
    <w:rsid w:val="0055281D"/>
    <w:rsid w:val="00552973"/>
    <w:rsid w:val="00553523"/>
    <w:rsid w:val="00553EC2"/>
    <w:rsid w:val="005541CC"/>
    <w:rsid w:val="00554719"/>
    <w:rsid w:val="00554796"/>
    <w:rsid w:val="00555234"/>
    <w:rsid w:val="00555559"/>
    <w:rsid w:val="00555D04"/>
    <w:rsid w:val="005563F9"/>
    <w:rsid w:val="00556AD1"/>
    <w:rsid w:val="00556F3D"/>
    <w:rsid w:val="0055737E"/>
    <w:rsid w:val="00560BD2"/>
    <w:rsid w:val="00560BE6"/>
    <w:rsid w:val="00560F8D"/>
    <w:rsid w:val="005617A8"/>
    <w:rsid w:val="005620AE"/>
    <w:rsid w:val="0056218D"/>
    <w:rsid w:val="005623D6"/>
    <w:rsid w:val="00562627"/>
    <w:rsid w:val="005629B0"/>
    <w:rsid w:val="00564025"/>
    <w:rsid w:val="00564588"/>
    <w:rsid w:val="005645E8"/>
    <w:rsid w:val="00564D87"/>
    <w:rsid w:val="00564FB6"/>
    <w:rsid w:val="00565085"/>
    <w:rsid w:val="005650D0"/>
    <w:rsid w:val="0056533E"/>
    <w:rsid w:val="00565990"/>
    <w:rsid w:val="00565F4B"/>
    <w:rsid w:val="0056602C"/>
    <w:rsid w:val="0056618C"/>
    <w:rsid w:val="005661A6"/>
    <w:rsid w:val="00566308"/>
    <w:rsid w:val="0056698E"/>
    <w:rsid w:val="00567532"/>
    <w:rsid w:val="00567652"/>
    <w:rsid w:val="0056771D"/>
    <w:rsid w:val="005679A5"/>
    <w:rsid w:val="00567C96"/>
    <w:rsid w:val="005706B2"/>
    <w:rsid w:val="00570955"/>
    <w:rsid w:val="0057107C"/>
    <w:rsid w:val="00571405"/>
    <w:rsid w:val="0057158D"/>
    <w:rsid w:val="0057182A"/>
    <w:rsid w:val="005722CD"/>
    <w:rsid w:val="00572342"/>
    <w:rsid w:val="0057266C"/>
    <w:rsid w:val="0057296B"/>
    <w:rsid w:val="00572C3B"/>
    <w:rsid w:val="00572EFE"/>
    <w:rsid w:val="00573A9A"/>
    <w:rsid w:val="00573B07"/>
    <w:rsid w:val="00574B6D"/>
    <w:rsid w:val="00574C8D"/>
    <w:rsid w:val="00575433"/>
    <w:rsid w:val="0057571D"/>
    <w:rsid w:val="005765D4"/>
    <w:rsid w:val="00576600"/>
    <w:rsid w:val="0057660D"/>
    <w:rsid w:val="0057686C"/>
    <w:rsid w:val="00576D3D"/>
    <w:rsid w:val="00576D48"/>
    <w:rsid w:val="00577785"/>
    <w:rsid w:val="00577DA4"/>
    <w:rsid w:val="00577DE6"/>
    <w:rsid w:val="00580BC8"/>
    <w:rsid w:val="00580DC2"/>
    <w:rsid w:val="005814DC"/>
    <w:rsid w:val="00581816"/>
    <w:rsid w:val="00581AAC"/>
    <w:rsid w:val="00581BA5"/>
    <w:rsid w:val="005822DC"/>
    <w:rsid w:val="005830D6"/>
    <w:rsid w:val="00583148"/>
    <w:rsid w:val="00583788"/>
    <w:rsid w:val="00583D6A"/>
    <w:rsid w:val="0058431A"/>
    <w:rsid w:val="005844BD"/>
    <w:rsid w:val="0058496D"/>
    <w:rsid w:val="00584C42"/>
    <w:rsid w:val="00584DCA"/>
    <w:rsid w:val="00584EA0"/>
    <w:rsid w:val="00585261"/>
    <w:rsid w:val="005855C7"/>
    <w:rsid w:val="00585A32"/>
    <w:rsid w:val="00586610"/>
    <w:rsid w:val="0058668B"/>
    <w:rsid w:val="00587996"/>
    <w:rsid w:val="00587B16"/>
    <w:rsid w:val="00587C7C"/>
    <w:rsid w:val="0059000B"/>
    <w:rsid w:val="005901F6"/>
    <w:rsid w:val="00590462"/>
    <w:rsid w:val="005904A9"/>
    <w:rsid w:val="00590507"/>
    <w:rsid w:val="005907C3"/>
    <w:rsid w:val="0059081A"/>
    <w:rsid w:val="00590DED"/>
    <w:rsid w:val="00591E18"/>
    <w:rsid w:val="00592B97"/>
    <w:rsid w:val="00593117"/>
    <w:rsid w:val="0059353E"/>
    <w:rsid w:val="005935E2"/>
    <w:rsid w:val="00593C2C"/>
    <w:rsid w:val="00594025"/>
    <w:rsid w:val="00594927"/>
    <w:rsid w:val="00595978"/>
    <w:rsid w:val="00595C43"/>
    <w:rsid w:val="0059679E"/>
    <w:rsid w:val="00596DF2"/>
    <w:rsid w:val="00596FD6"/>
    <w:rsid w:val="00597502"/>
    <w:rsid w:val="00597CA2"/>
    <w:rsid w:val="00597DC7"/>
    <w:rsid w:val="00597E5A"/>
    <w:rsid w:val="005A0650"/>
    <w:rsid w:val="005A081F"/>
    <w:rsid w:val="005A0DA1"/>
    <w:rsid w:val="005A0FE6"/>
    <w:rsid w:val="005A24FC"/>
    <w:rsid w:val="005A29E6"/>
    <w:rsid w:val="005A2C5D"/>
    <w:rsid w:val="005A2F61"/>
    <w:rsid w:val="005A37B5"/>
    <w:rsid w:val="005A3DC2"/>
    <w:rsid w:val="005A3DF2"/>
    <w:rsid w:val="005A3FB4"/>
    <w:rsid w:val="005A44C9"/>
    <w:rsid w:val="005A5386"/>
    <w:rsid w:val="005A57D5"/>
    <w:rsid w:val="005A589A"/>
    <w:rsid w:val="005A6736"/>
    <w:rsid w:val="005A6D7A"/>
    <w:rsid w:val="005A6DD1"/>
    <w:rsid w:val="005A6F5F"/>
    <w:rsid w:val="005A708B"/>
    <w:rsid w:val="005A7359"/>
    <w:rsid w:val="005A7810"/>
    <w:rsid w:val="005A7F6D"/>
    <w:rsid w:val="005B16CE"/>
    <w:rsid w:val="005B1A02"/>
    <w:rsid w:val="005B1AB7"/>
    <w:rsid w:val="005B1C43"/>
    <w:rsid w:val="005B2220"/>
    <w:rsid w:val="005B257E"/>
    <w:rsid w:val="005B27EB"/>
    <w:rsid w:val="005B2896"/>
    <w:rsid w:val="005B2946"/>
    <w:rsid w:val="005B2F91"/>
    <w:rsid w:val="005B30FC"/>
    <w:rsid w:val="005B322E"/>
    <w:rsid w:val="005B3C8F"/>
    <w:rsid w:val="005B4275"/>
    <w:rsid w:val="005B4773"/>
    <w:rsid w:val="005B47AC"/>
    <w:rsid w:val="005B484D"/>
    <w:rsid w:val="005B4FF8"/>
    <w:rsid w:val="005B513B"/>
    <w:rsid w:val="005B51D3"/>
    <w:rsid w:val="005B5964"/>
    <w:rsid w:val="005B5F3D"/>
    <w:rsid w:val="005B6517"/>
    <w:rsid w:val="005B6781"/>
    <w:rsid w:val="005B67FC"/>
    <w:rsid w:val="005B6DCD"/>
    <w:rsid w:val="005B6EEA"/>
    <w:rsid w:val="005B767F"/>
    <w:rsid w:val="005B76B2"/>
    <w:rsid w:val="005B7958"/>
    <w:rsid w:val="005C0212"/>
    <w:rsid w:val="005C04A5"/>
    <w:rsid w:val="005C162B"/>
    <w:rsid w:val="005C190A"/>
    <w:rsid w:val="005C1AFC"/>
    <w:rsid w:val="005C1B66"/>
    <w:rsid w:val="005C1F19"/>
    <w:rsid w:val="005C26F5"/>
    <w:rsid w:val="005C2756"/>
    <w:rsid w:val="005C28E7"/>
    <w:rsid w:val="005C296E"/>
    <w:rsid w:val="005C307E"/>
    <w:rsid w:val="005C37BE"/>
    <w:rsid w:val="005C381B"/>
    <w:rsid w:val="005C3B23"/>
    <w:rsid w:val="005C3E4D"/>
    <w:rsid w:val="005C420B"/>
    <w:rsid w:val="005C421E"/>
    <w:rsid w:val="005C50BE"/>
    <w:rsid w:val="005C53A0"/>
    <w:rsid w:val="005C5B8A"/>
    <w:rsid w:val="005C60F0"/>
    <w:rsid w:val="005C63C9"/>
    <w:rsid w:val="005C6776"/>
    <w:rsid w:val="005C6DB8"/>
    <w:rsid w:val="005C727B"/>
    <w:rsid w:val="005C7447"/>
    <w:rsid w:val="005C77AF"/>
    <w:rsid w:val="005D0176"/>
    <w:rsid w:val="005D0E22"/>
    <w:rsid w:val="005D1041"/>
    <w:rsid w:val="005D110C"/>
    <w:rsid w:val="005D1389"/>
    <w:rsid w:val="005D17DF"/>
    <w:rsid w:val="005D1C73"/>
    <w:rsid w:val="005D1E79"/>
    <w:rsid w:val="005D1E87"/>
    <w:rsid w:val="005D2074"/>
    <w:rsid w:val="005D2206"/>
    <w:rsid w:val="005D246B"/>
    <w:rsid w:val="005D2476"/>
    <w:rsid w:val="005D257E"/>
    <w:rsid w:val="005D287A"/>
    <w:rsid w:val="005D2A2D"/>
    <w:rsid w:val="005D2D36"/>
    <w:rsid w:val="005D2F3C"/>
    <w:rsid w:val="005D2F44"/>
    <w:rsid w:val="005D39DF"/>
    <w:rsid w:val="005D4024"/>
    <w:rsid w:val="005D48FE"/>
    <w:rsid w:val="005D4F0B"/>
    <w:rsid w:val="005D6D7E"/>
    <w:rsid w:val="005D751C"/>
    <w:rsid w:val="005D7B0E"/>
    <w:rsid w:val="005D7B77"/>
    <w:rsid w:val="005E013C"/>
    <w:rsid w:val="005E04A0"/>
    <w:rsid w:val="005E0BC0"/>
    <w:rsid w:val="005E11FD"/>
    <w:rsid w:val="005E1806"/>
    <w:rsid w:val="005E27EB"/>
    <w:rsid w:val="005E282A"/>
    <w:rsid w:val="005E29D5"/>
    <w:rsid w:val="005E2B46"/>
    <w:rsid w:val="005E3475"/>
    <w:rsid w:val="005E3548"/>
    <w:rsid w:val="005E3976"/>
    <w:rsid w:val="005E3EF8"/>
    <w:rsid w:val="005E4A72"/>
    <w:rsid w:val="005E4CD1"/>
    <w:rsid w:val="005E540D"/>
    <w:rsid w:val="005E58B6"/>
    <w:rsid w:val="005E5D35"/>
    <w:rsid w:val="005E63F8"/>
    <w:rsid w:val="005E7515"/>
    <w:rsid w:val="005E7F03"/>
    <w:rsid w:val="005E7F0E"/>
    <w:rsid w:val="005F0071"/>
    <w:rsid w:val="005F0D59"/>
    <w:rsid w:val="005F0E64"/>
    <w:rsid w:val="005F0F92"/>
    <w:rsid w:val="005F11AE"/>
    <w:rsid w:val="005F1E51"/>
    <w:rsid w:val="005F1EE2"/>
    <w:rsid w:val="005F1F40"/>
    <w:rsid w:val="005F2731"/>
    <w:rsid w:val="005F29EA"/>
    <w:rsid w:val="005F32D3"/>
    <w:rsid w:val="005F33D4"/>
    <w:rsid w:val="005F40AC"/>
    <w:rsid w:val="005F4166"/>
    <w:rsid w:val="005F45F5"/>
    <w:rsid w:val="005F46A8"/>
    <w:rsid w:val="005F5AC4"/>
    <w:rsid w:val="005F644F"/>
    <w:rsid w:val="005F7138"/>
    <w:rsid w:val="005F727C"/>
    <w:rsid w:val="005F7E77"/>
    <w:rsid w:val="006000B6"/>
    <w:rsid w:val="006009B1"/>
    <w:rsid w:val="00600B23"/>
    <w:rsid w:val="00600F5D"/>
    <w:rsid w:val="00600FAE"/>
    <w:rsid w:val="0060147F"/>
    <w:rsid w:val="00601AA2"/>
    <w:rsid w:val="00601CD6"/>
    <w:rsid w:val="006021A0"/>
    <w:rsid w:val="00602E0E"/>
    <w:rsid w:val="00602EFF"/>
    <w:rsid w:val="00603106"/>
    <w:rsid w:val="006034E3"/>
    <w:rsid w:val="00603578"/>
    <w:rsid w:val="00603A0B"/>
    <w:rsid w:val="00603B25"/>
    <w:rsid w:val="00603B43"/>
    <w:rsid w:val="00603EE4"/>
    <w:rsid w:val="00604031"/>
    <w:rsid w:val="00604875"/>
    <w:rsid w:val="00604906"/>
    <w:rsid w:val="00605A4B"/>
    <w:rsid w:val="00606320"/>
    <w:rsid w:val="00606760"/>
    <w:rsid w:val="006070BF"/>
    <w:rsid w:val="006070CF"/>
    <w:rsid w:val="006074ED"/>
    <w:rsid w:val="00607627"/>
    <w:rsid w:val="00607CFE"/>
    <w:rsid w:val="00607E6B"/>
    <w:rsid w:val="006105FD"/>
    <w:rsid w:val="00610C7E"/>
    <w:rsid w:val="00610D91"/>
    <w:rsid w:val="00610E03"/>
    <w:rsid w:val="00610FB2"/>
    <w:rsid w:val="00611568"/>
    <w:rsid w:val="006117CE"/>
    <w:rsid w:val="00612257"/>
    <w:rsid w:val="0061259F"/>
    <w:rsid w:val="00612982"/>
    <w:rsid w:val="006129AF"/>
    <w:rsid w:val="006137F3"/>
    <w:rsid w:val="00613950"/>
    <w:rsid w:val="00613C39"/>
    <w:rsid w:val="00613F63"/>
    <w:rsid w:val="00614ADD"/>
    <w:rsid w:val="0061565B"/>
    <w:rsid w:val="00615886"/>
    <w:rsid w:val="00615962"/>
    <w:rsid w:val="00615D6C"/>
    <w:rsid w:val="0061654D"/>
    <w:rsid w:val="00616ECB"/>
    <w:rsid w:val="00617281"/>
    <w:rsid w:val="006174A5"/>
    <w:rsid w:val="00617789"/>
    <w:rsid w:val="00617F21"/>
    <w:rsid w:val="00617FB1"/>
    <w:rsid w:val="00620503"/>
    <w:rsid w:val="00620681"/>
    <w:rsid w:val="006207F7"/>
    <w:rsid w:val="006208DE"/>
    <w:rsid w:val="00620BA6"/>
    <w:rsid w:val="00620BBA"/>
    <w:rsid w:val="00620E9F"/>
    <w:rsid w:val="006214F3"/>
    <w:rsid w:val="00621712"/>
    <w:rsid w:val="006227D6"/>
    <w:rsid w:val="006228F7"/>
    <w:rsid w:val="00622AB7"/>
    <w:rsid w:val="00622DB7"/>
    <w:rsid w:val="00622F30"/>
    <w:rsid w:val="00624055"/>
    <w:rsid w:val="00624389"/>
    <w:rsid w:val="006243DB"/>
    <w:rsid w:val="006245EC"/>
    <w:rsid w:val="00624B71"/>
    <w:rsid w:val="0062502D"/>
    <w:rsid w:val="00625125"/>
    <w:rsid w:val="00625736"/>
    <w:rsid w:val="006257B0"/>
    <w:rsid w:val="0062689A"/>
    <w:rsid w:val="00627629"/>
    <w:rsid w:val="006276A0"/>
    <w:rsid w:val="0063046B"/>
    <w:rsid w:val="006307D8"/>
    <w:rsid w:val="00630A56"/>
    <w:rsid w:val="006310DA"/>
    <w:rsid w:val="00631722"/>
    <w:rsid w:val="00631945"/>
    <w:rsid w:val="006319ED"/>
    <w:rsid w:val="00631E45"/>
    <w:rsid w:val="0063215D"/>
    <w:rsid w:val="00632442"/>
    <w:rsid w:val="006324C2"/>
    <w:rsid w:val="00632F17"/>
    <w:rsid w:val="00633418"/>
    <w:rsid w:val="006336CF"/>
    <w:rsid w:val="00633725"/>
    <w:rsid w:val="006339A4"/>
    <w:rsid w:val="00633B09"/>
    <w:rsid w:val="00633E7D"/>
    <w:rsid w:val="00634BDD"/>
    <w:rsid w:val="00634C9B"/>
    <w:rsid w:val="00635533"/>
    <w:rsid w:val="00635A95"/>
    <w:rsid w:val="00635DBE"/>
    <w:rsid w:val="00635E2C"/>
    <w:rsid w:val="0063603A"/>
    <w:rsid w:val="0063630D"/>
    <w:rsid w:val="00636B3E"/>
    <w:rsid w:val="00636BD9"/>
    <w:rsid w:val="00636D32"/>
    <w:rsid w:val="00637E63"/>
    <w:rsid w:val="00640463"/>
    <w:rsid w:val="00640D31"/>
    <w:rsid w:val="00640E3D"/>
    <w:rsid w:val="006414CB"/>
    <w:rsid w:val="00641B4E"/>
    <w:rsid w:val="00641DFF"/>
    <w:rsid w:val="00641EF9"/>
    <w:rsid w:val="00642509"/>
    <w:rsid w:val="00642E61"/>
    <w:rsid w:val="00643395"/>
    <w:rsid w:val="006441B5"/>
    <w:rsid w:val="006442F7"/>
    <w:rsid w:val="00645C8E"/>
    <w:rsid w:val="0064623D"/>
    <w:rsid w:val="00646727"/>
    <w:rsid w:val="00646AEE"/>
    <w:rsid w:val="00646D2A"/>
    <w:rsid w:val="0064724E"/>
    <w:rsid w:val="006473E5"/>
    <w:rsid w:val="0064797B"/>
    <w:rsid w:val="00647D1D"/>
    <w:rsid w:val="0065001B"/>
    <w:rsid w:val="00650B10"/>
    <w:rsid w:val="00650D36"/>
    <w:rsid w:val="0065127B"/>
    <w:rsid w:val="00651B97"/>
    <w:rsid w:val="00651E38"/>
    <w:rsid w:val="00652A36"/>
    <w:rsid w:val="00652ADF"/>
    <w:rsid w:val="00653060"/>
    <w:rsid w:val="006530AA"/>
    <w:rsid w:val="006533A4"/>
    <w:rsid w:val="006539D9"/>
    <w:rsid w:val="00653FDD"/>
    <w:rsid w:val="00654010"/>
    <w:rsid w:val="00654ADA"/>
    <w:rsid w:val="00654CAE"/>
    <w:rsid w:val="006552EA"/>
    <w:rsid w:val="00655710"/>
    <w:rsid w:val="0065572C"/>
    <w:rsid w:val="0065572D"/>
    <w:rsid w:val="00655AB7"/>
    <w:rsid w:val="00655EA0"/>
    <w:rsid w:val="00655F96"/>
    <w:rsid w:val="00656197"/>
    <w:rsid w:val="00656512"/>
    <w:rsid w:val="00656A3D"/>
    <w:rsid w:val="006570B5"/>
    <w:rsid w:val="00657679"/>
    <w:rsid w:val="0065767C"/>
    <w:rsid w:val="00657813"/>
    <w:rsid w:val="006579D2"/>
    <w:rsid w:val="0066060E"/>
    <w:rsid w:val="00660850"/>
    <w:rsid w:val="006609FA"/>
    <w:rsid w:val="00660D16"/>
    <w:rsid w:val="00661038"/>
    <w:rsid w:val="006613CD"/>
    <w:rsid w:val="0066172B"/>
    <w:rsid w:val="0066193B"/>
    <w:rsid w:val="00661A54"/>
    <w:rsid w:val="00661CBF"/>
    <w:rsid w:val="006620E8"/>
    <w:rsid w:val="00662A6B"/>
    <w:rsid w:val="00662C2D"/>
    <w:rsid w:val="00662EEE"/>
    <w:rsid w:val="0066367D"/>
    <w:rsid w:val="00663ABD"/>
    <w:rsid w:val="00663CD4"/>
    <w:rsid w:val="00663FD2"/>
    <w:rsid w:val="00664521"/>
    <w:rsid w:val="006646A8"/>
    <w:rsid w:val="00664CA7"/>
    <w:rsid w:val="00665052"/>
    <w:rsid w:val="0066601C"/>
    <w:rsid w:val="006664C1"/>
    <w:rsid w:val="006666F3"/>
    <w:rsid w:val="00667B6E"/>
    <w:rsid w:val="00667D6A"/>
    <w:rsid w:val="0067096C"/>
    <w:rsid w:val="00670FC6"/>
    <w:rsid w:val="00671000"/>
    <w:rsid w:val="00671277"/>
    <w:rsid w:val="00671760"/>
    <w:rsid w:val="00671D6B"/>
    <w:rsid w:val="00671F2C"/>
    <w:rsid w:val="0067216B"/>
    <w:rsid w:val="00672265"/>
    <w:rsid w:val="00672BA2"/>
    <w:rsid w:val="0067339C"/>
    <w:rsid w:val="00673AF8"/>
    <w:rsid w:val="00673C13"/>
    <w:rsid w:val="00673F2C"/>
    <w:rsid w:val="006742E9"/>
    <w:rsid w:val="00675531"/>
    <w:rsid w:val="006755CC"/>
    <w:rsid w:val="00675ADC"/>
    <w:rsid w:val="00675CE8"/>
    <w:rsid w:val="00675E2A"/>
    <w:rsid w:val="00676401"/>
    <w:rsid w:val="00676409"/>
    <w:rsid w:val="00676587"/>
    <w:rsid w:val="00676A14"/>
    <w:rsid w:val="0067760F"/>
    <w:rsid w:val="0067761C"/>
    <w:rsid w:val="00680280"/>
    <w:rsid w:val="006803DF"/>
    <w:rsid w:val="00680C20"/>
    <w:rsid w:val="006817E8"/>
    <w:rsid w:val="00682233"/>
    <w:rsid w:val="00683226"/>
    <w:rsid w:val="006833ED"/>
    <w:rsid w:val="006838BD"/>
    <w:rsid w:val="00683B50"/>
    <w:rsid w:val="0068411A"/>
    <w:rsid w:val="00684715"/>
    <w:rsid w:val="00684C3C"/>
    <w:rsid w:val="00685739"/>
    <w:rsid w:val="006857D9"/>
    <w:rsid w:val="0068598F"/>
    <w:rsid w:val="00685AEC"/>
    <w:rsid w:val="00686011"/>
    <w:rsid w:val="00686CEE"/>
    <w:rsid w:val="00687F86"/>
    <w:rsid w:val="006900F0"/>
    <w:rsid w:val="006905D9"/>
    <w:rsid w:val="006908D0"/>
    <w:rsid w:val="00690E2B"/>
    <w:rsid w:val="0069105C"/>
    <w:rsid w:val="00691153"/>
    <w:rsid w:val="006915E9"/>
    <w:rsid w:val="00691A38"/>
    <w:rsid w:val="0069350B"/>
    <w:rsid w:val="006937FD"/>
    <w:rsid w:val="006939E3"/>
    <w:rsid w:val="00693A84"/>
    <w:rsid w:val="00694D1F"/>
    <w:rsid w:val="00695842"/>
    <w:rsid w:val="00695AE5"/>
    <w:rsid w:val="00695EC0"/>
    <w:rsid w:val="00696051"/>
    <w:rsid w:val="0069643F"/>
    <w:rsid w:val="006965EF"/>
    <w:rsid w:val="0069691A"/>
    <w:rsid w:val="00696BA7"/>
    <w:rsid w:val="00696D17"/>
    <w:rsid w:val="00696ECE"/>
    <w:rsid w:val="006974C9"/>
    <w:rsid w:val="006974E5"/>
    <w:rsid w:val="006976CC"/>
    <w:rsid w:val="00697B15"/>
    <w:rsid w:val="00697E65"/>
    <w:rsid w:val="006A12F0"/>
    <w:rsid w:val="006A173E"/>
    <w:rsid w:val="006A180D"/>
    <w:rsid w:val="006A183A"/>
    <w:rsid w:val="006A1C72"/>
    <w:rsid w:val="006A1D2A"/>
    <w:rsid w:val="006A2034"/>
    <w:rsid w:val="006A3189"/>
    <w:rsid w:val="006A358C"/>
    <w:rsid w:val="006A365A"/>
    <w:rsid w:val="006A3987"/>
    <w:rsid w:val="006A3D6A"/>
    <w:rsid w:val="006A4CCC"/>
    <w:rsid w:val="006A4F66"/>
    <w:rsid w:val="006A520F"/>
    <w:rsid w:val="006A5A27"/>
    <w:rsid w:val="006A5A56"/>
    <w:rsid w:val="006A5CEF"/>
    <w:rsid w:val="006A5D54"/>
    <w:rsid w:val="006A613B"/>
    <w:rsid w:val="006A6854"/>
    <w:rsid w:val="006A738E"/>
    <w:rsid w:val="006A75B3"/>
    <w:rsid w:val="006A7653"/>
    <w:rsid w:val="006A7784"/>
    <w:rsid w:val="006A7D46"/>
    <w:rsid w:val="006A7D5D"/>
    <w:rsid w:val="006A7F49"/>
    <w:rsid w:val="006B0871"/>
    <w:rsid w:val="006B09B8"/>
    <w:rsid w:val="006B0AB2"/>
    <w:rsid w:val="006B0E91"/>
    <w:rsid w:val="006B103C"/>
    <w:rsid w:val="006B1561"/>
    <w:rsid w:val="006B1CD4"/>
    <w:rsid w:val="006B1CF2"/>
    <w:rsid w:val="006B225B"/>
    <w:rsid w:val="006B24AA"/>
    <w:rsid w:val="006B26F2"/>
    <w:rsid w:val="006B2801"/>
    <w:rsid w:val="006B284A"/>
    <w:rsid w:val="006B2C15"/>
    <w:rsid w:val="006B2D99"/>
    <w:rsid w:val="006B2E4E"/>
    <w:rsid w:val="006B3BA9"/>
    <w:rsid w:val="006B41BC"/>
    <w:rsid w:val="006B4496"/>
    <w:rsid w:val="006B46E2"/>
    <w:rsid w:val="006B5DAC"/>
    <w:rsid w:val="006B6D6B"/>
    <w:rsid w:val="006B7097"/>
    <w:rsid w:val="006B72FB"/>
    <w:rsid w:val="006B7467"/>
    <w:rsid w:val="006B7E85"/>
    <w:rsid w:val="006C0086"/>
    <w:rsid w:val="006C1224"/>
    <w:rsid w:val="006C1347"/>
    <w:rsid w:val="006C1486"/>
    <w:rsid w:val="006C1B5C"/>
    <w:rsid w:val="006C226C"/>
    <w:rsid w:val="006C31A5"/>
    <w:rsid w:val="006C358E"/>
    <w:rsid w:val="006C3AA6"/>
    <w:rsid w:val="006C3ADD"/>
    <w:rsid w:val="006C3F3E"/>
    <w:rsid w:val="006C4A77"/>
    <w:rsid w:val="006C4B28"/>
    <w:rsid w:val="006C4F7A"/>
    <w:rsid w:val="006C5023"/>
    <w:rsid w:val="006C52D7"/>
    <w:rsid w:val="006C5978"/>
    <w:rsid w:val="006C608B"/>
    <w:rsid w:val="006C66F4"/>
    <w:rsid w:val="006C67A1"/>
    <w:rsid w:val="006C6C41"/>
    <w:rsid w:val="006C7FB3"/>
    <w:rsid w:val="006D0B1B"/>
    <w:rsid w:val="006D0DEE"/>
    <w:rsid w:val="006D13FF"/>
    <w:rsid w:val="006D18B6"/>
    <w:rsid w:val="006D1DB1"/>
    <w:rsid w:val="006D1E61"/>
    <w:rsid w:val="006D2499"/>
    <w:rsid w:val="006D24B7"/>
    <w:rsid w:val="006D298D"/>
    <w:rsid w:val="006D2CD0"/>
    <w:rsid w:val="006D2D93"/>
    <w:rsid w:val="006D3313"/>
    <w:rsid w:val="006D3E0D"/>
    <w:rsid w:val="006D4A9E"/>
    <w:rsid w:val="006D4B92"/>
    <w:rsid w:val="006D53CB"/>
    <w:rsid w:val="006D545C"/>
    <w:rsid w:val="006D5748"/>
    <w:rsid w:val="006D5B96"/>
    <w:rsid w:val="006D5C34"/>
    <w:rsid w:val="006D5EB1"/>
    <w:rsid w:val="006D6012"/>
    <w:rsid w:val="006D6237"/>
    <w:rsid w:val="006D645A"/>
    <w:rsid w:val="006D67D0"/>
    <w:rsid w:val="006D680D"/>
    <w:rsid w:val="006D6BE0"/>
    <w:rsid w:val="006D6E65"/>
    <w:rsid w:val="006D7882"/>
    <w:rsid w:val="006E0008"/>
    <w:rsid w:val="006E0136"/>
    <w:rsid w:val="006E01DA"/>
    <w:rsid w:val="006E03AC"/>
    <w:rsid w:val="006E0550"/>
    <w:rsid w:val="006E0567"/>
    <w:rsid w:val="006E092B"/>
    <w:rsid w:val="006E15A0"/>
    <w:rsid w:val="006E1AA1"/>
    <w:rsid w:val="006E1EB6"/>
    <w:rsid w:val="006E20C3"/>
    <w:rsid w:val="006E286E"/>
    <w:rsid w:val="006E2B0C"/>
    <w:rsid w:val="006E2E2C"/>
    <w:rsid w:val="006E308C"/>
    <w:rsid w:val="006E30D0"/>
    <w:rsid w:val="006E3385"/>
    <w:rsid w:val="006E34A0"/>
    <w:rsid w:val="006E37DA"/>
    <w:rsid w:val="006E3DFD"/>
    <w:rsid w:val="006E4F6B"/>
    <w:rsid w:val="006E528B"/>
    <w:rsid w:val="006E52B5"/>
    <w:rsid w:val="006E66B0"/>
    <w:rsid w:val="006E6F60"/>
    <w:rsid w:val="006E7242"/>
    <w:rsid w:val="006E7DC1"/>
    <w:rsid w:val="006E7E08"/>
    <w:rsid w:val="006F0061"/>
    <w:rsid w:val="006F1785"/>
    <w:rsid w:val="006F1CA1"/>
    <w:rsid w:val="006F1E65"/>
    <w:rsid w:val="006F2417"/>
    <w:rsid w:val="006F28AC"/>
    <w:rsid w:val="006F28F4"/>
    <w:rsid w:val="006F2A2F"/>
    <w:rsid w:val="006F30F6"/>
    <w:rsid w:val="006F32CB"/>
    <w:rsid w:val="006F3653"/>
    <w:rsid w:val="006F3681"/>
    <w:rsid w:val="006F36B5"/>
    <w:rsid w:val="006F3ED2"/>
    <w:rsid w:val="006F4031"/>
    <w:rsid w:val="006F4AC0"/>
    <w:rsid w:val="006F4F97"/>
    <w:rsid w:val="006F50D5"/>
    <w:rsid w:val="006F5341"/>
    <w:rsid w:val="006F5835"/>
    <w:rsid w:val="006F64D6"/>
    <w:rsid w:val="006F71EB"/>
    <w:rsid w:val="006F7584"/>
    <w:rsid w:val="006F769E"/>
    <w:rsid w:val="006F7872"/>
    <w:rsid w:val="006F78F4"/>
    <w:rsid w:val="007000E8"/>
    <w:rsid w:val="007006BA"/>
    <w:rsid w:val="00700E03"/>
    <w:rsid w:val="00701243"/>
    <w:rsid w:val="00701C80"/>
    <w:rsid w:val="0070217C"/>
    <w:rsid w:val="007021B4"/>
    <w:rsid w:val="007022CF"/>
    <w:rsid w:val="00702393"/>
    <w:rsid w:val="007028DA"/>
    <w:rsid w:val="00702B33"/>
    <w:rsid w:val="00702FD8"/>
    <w:rsid w:val="00703DC8"/>
    <w:rsid w:val="00704659"/>
    <w:rsid w:val="0070470E"/>
    <w:rsid w:val="00704AC1"/>
    <w:rsid w:val="00704AE7"/>
    <w:rsid w:val="00704E8D"/>
    <w:rsid w:val="00705083"/>
    <w:rsid w:val="0070513A"/>
    <w:rsid w:val="00705402"/>
    <w:rsid w:val="0070587F"/>
    <w:rsid w:val="007059DA"/>
    <w:rsid w:val="007060F3"/>
    <w:rsid w:val="007074EC"/>
    <w:rsid w:val="00707859"/>
    <w:rsid w:val="007078E5"/>
    <w:rsid w:val="007079E8"/>
    <w:rsid w:val="007100A3"/>
    <w:rsid w:val="0071047D"/>
    <w:rsid w:val="0071054C"/>
    <w:rsid w:val="007116A7"/>
    <w:rsid w:val="00711E86"/>
    <w:rsid w:val="00712127"/>
    <w:rsid w:val="007123BE"/>
    <w:rsid w:val="00712492"/>
    <w:rsid w:val="007125DB"/>
    <w:rsid w:val="00712AAA"/>
    <w:rsid w:val="00712DC6"/>
    <w:rsid w:val="00713936"/>
    <w:rsid w:val="00713A55"/>
    <w:rsid w:val="00713A5E"/>
    <w:rsid w:val="00713A69"/>
    <w:rsid w:val="00713E55"/>
    <w:rsid w:val="00714CDF"/>
    <w:rsid w:val="0071515D"/>
    <w:rsid w:val="007151FC"/>
    <w:rsid w:val="00715615"/>
    <w:rsid w:val="00715AA0"/>
    <w:rsid w:val="00715D32"/>
    <w:rsid w:val="00715D80"/>
    <w:rsid w:val="00716251"/>
    <w:rsid w:val="00716DDA"/>
    <w:rsid w:val="007174B8"/>
    <w:rsid w:val="00717FAA"/>
    <w:rsid w:val="007201A3"/>
    <w:rsid w:val="00720DC2"/>
    <w:rsid w:val="00720DC8"/>
    <w:rsid w:val="00721288"/>
    <w:rsid w:val="00721A1D"/>
    <w:rsid w:val="007224CF"/>
    <w:rsid w:val="00722C86"/>
    <w:rsid w:val="00723293"/>
    <w:rsid w:val="00723591"/>
    <w:rsid w:val="007237D0"/>
    <w:rsid w:val="00723ABC"/>
    <w:rsid w:val="00723DB0"/>
    <w:rsid w:val="00723E91"/>
    <w:rsid w:val="00724BB9"/>
    <w:rsid w:val="00724E65"/>
    <w:rsid w:val="00724EEF"/>
    <w:rsid w:val="00725477"/>
    <w:rsid w:val="007255FC"/>
    <w:rsid w:val="00726721"/>
    <w:rsid w:val="007268E2"/>
    <w:rsid w:val="007270BA"/>
    <w:rsid w:val="007275F2"/>
    <w:rsid w:val="007276D6"/>
    <w:rsid w:val="00727705"/>
    <w:rsid w:val="00727B2D"/>
    <w:rsid w:val="0073097B"/>
    <w:rsid w:val="00730BF6"/>
    <w:rsid w:val="007310F8"/>
    <w:rsid w:val="00731440"/>
    <w:rsid w:val="007314A2"/>
    <w:rsid w:val="0073169E"/>
    <w:rsid w:val="00731975"/>
    <w:rsid w:val="00731A9C"/>
    <w:rsid w:val="00731E59"/>
    <w:rsid w:val="00732E73"/>
    <w:rsid w:val="00733C5F"/>
    <w:rsid w:val="00733C7C"/>
    <w:rsid w:val="00733D9F"/>
    <w:rsid w:val="00734030"/>
    <w:rsid w:val="0073431D"/>
    <w:rsid w:val="0073449E"/>
    <w:rsid w:val="007347AD"/>
    <w:rsid w:val="00734A45"/>
    <w:rsid w:val="00735063"/>
    <w:rsid w:val="00735BC5"/>
    <w:rsid w:val="00735DB8"/>
    <w:rsid w:val="007360F4"/>
    <w:rsid w:val="007362D3"/>
    <w:rsid w:val="0073680C"/>
    <w:rsid w:val="00736844"/>
    <w:rsid w:val="00736A72"/>
    <w:rsid w:val="00736AAB"/>
    <w:rsid w:val="00736FEB"/>
    <w:rsid w:val="0073747E"/>
    <w:rsid w:val="00737545"/>
    <w:rsid w:val="00740926"/>
    <w:rsid w:val="00740999"/>
    <w:rsid w:val="00740ACF"/>
    <w:rsid w:val="00740C10"/>
    <w:rsid w:val="00740F0D"/>
    <w:rsid w:val="007417FF"/>
    <w:rsid w:val="00742013"/>
    <w:rsid w:val="0074211F"/>
    <w:rsid w:val="007425FC"/>
    <w:rsid w:val="0074266D"/>
    <w:rsid w:val="007426FF"/>
    <w:rsid w:val="007428F1"/>
    <w:rsid w:val="00742A3D"/>
    <w:rsid w:val="00743A26"/>
    <w:rsid w:val="00743A95"/>
    <w:rsid w:val="00743DB0"/>
    <w:rsid w:val="00743FCE"/>
    <w:rsid w:val="00744AE7"/>
    <w:rsid w:val="00744CBA"/>
    <w:rsid w:val="007451AC"/>
    <w:rsid w:val="00745291"/>
    <w:rsid w:val="00745B20"/>
    <w:rsid w:val="00746321"/>
    <w:rsid w:val="00746491"/>
    <w:rsid w:val="00746587"/>
    <w:rsid w:val="00746AD5"/>
    <w:rsid w:val="00746E30"/>
    <w:rsid w:val="0074735F"/>
    <w:rsid w:val="00747482"/>
    <w:rsid w:val="0074782D"/>
    <w:rsid w:val="00747F7F"/>
    <w:rsid w:val="007503A9"/>
    <w:rsid w:val="0075072D"/>
    <w:rsid w:val="007514B5"/>
    <w:rsid w:val="007515AA"/>
    <w:rsid w:val="0075182F"/>
    <w:rsid w:val="00751BC3"/>
    <w:rsid w:val="007522F1"/>
    <w:rsid w:val="00752F00"/>
    <w:rsid w:val="00753027"/>
    <w:rsid w:val="007530BC"/>
    <w:rsid w:val="00753281"/>
    <w:rsid w:val="00753501"/>
    <w:rsid w:val="00753D9E"/>
    <w:rsid w:val="00754254"/>
    <w:rsid w:val="00754DA3"/>
    <w:rsid w:val="00755156"/>
    <w:rsid w:val="0075522C"/>
    <w:rsid w:val="00755834"/>
    <w:rsid w:val="007569E2"/>
    <w:rsid w:val="007572AC"/>
    <w:rsid w:val="007579EA"/>
    <w:rsid w:val="00757BCE"/>
    <w:rsid w:val="00757FEF"/>
    <w:rsid w:val="00760455"/>
    <w:rsid w:val="00760537"/>
    <w:rsid w:val="00760C4E"/>
    <w:rsid w:val="0076110A"/>
    <w:rsid w:val="00761298"/>
    <w:rsid w:val="0076151B"/>
    <w:rsid w:val="00761617"/>
    <w:rsid w:val="007617CD"/>
    <w:rsid w:val="00761D3F"/>
    <w:rsid w:val="00762157"/>
    <w:rsid w:val="00762760"/>
    <w:rsid w:val="00763203"/>
    <w:rsid w:val="007634B2"/>
    <w:rsid w:val="00763767"/>
    <w:rsid w:val="00763909"/>
    <w:rsid w:val="00763EE6"/>
    <w:rsid w:val="007640EA"/>
    <w:rsid w:val="007643FE"/>
    <w:rsid w:val="007654D2"/>
    <w:rsid w:val="007657B8"/>
    <w:rsid w:val="00765967"/>
    <w:rsid w:val="00765A86"/>
    <w:rsid w:val="00765AD6"/>
    <w:rsid w:val="00765C9B"/>
    <w:rsid w:val="00766256"/>
    <w:rsid w:val="00766344"/>
    <w:rsid w:val="007667C8"/>
    <w:rsid w:val="007678B6"/>
    <w:rsid w:val="00767E0C"/>
    <w:rsid w:val="00767EC1"/>
    <w:rsid w:val="007701A9"/>
    <w:rsid w:val="007712FB"/>
    <w:rsid w:val="007713B8"/>
    <w:rsid w:val="007724FA"/>
    <w:rsid w:val="00772A44"/>
    <w:rsid w:val="00773676"/>
    <w:rsid w:val="00773750"/>
    <w:rsid w:val="00773825"/>
    <w:rsid w:val="007739CC"/>
    <w:rsid w:val="00774B4E"/>
    <w:rsid w:val="00775523"/>
    <w:rsid w:val="00775E46"/>
    <w:rsid w:val="00776983"/>
    <w:rsid w:val="00776B75"/>
    <w:rsid w:val="00777322"/>
    <w:rsid w:val="0077760A"/>
    <w:rsid w:val="00777A70"/>
    <w:rsid w:val="00780812"/>
    <w:rsid w:val="00780CAF"/>
    <w:rsid w:val="00780CD2"/>
    <w:rsid w:val="00780E20"/>
    <w:rsid w:val="00781D6D"/>
    <w:rsid w:val="00782065"/>
    <w:rsid w:val="0078214B"/>
    <w:rsid w:val="00782555"/>
    <w:rsid w:val="00782804"/>
    <w:rsid w:val="0078291B"/>
    <w:rsid w:val="00782C60"/>
    <w:rsid w:val="00782CB7"/>
    <w:rsid w:val="00782D7F"/>
    <w:rsid w:val="00782E87"/>
    <w:rsid w:val="00782FC7"/>
    <w:rsid w:val="007847D8"/>
    <w:rsid w:val="00784A21"/>
    <w:rsid w:val="00784F66"/>
    <w:rsid w:val="00785081"/>
    <w:rsid w:val="00785E1E"/>
    <w:rsid w:val="0078637D"/>
    <w:rsid w:val="00786456"/>
    <w:rsid w:val="0078693C"/>
    <w:rsid w:val="007871B2"/>
    <w:rsid w:val="00787421"/>
    <w:rsid w:val="00787649"/>
    <w:rsid w:val="0078771A"/>
    <w:rsid w:val="007878E1"/>
    <w:rsid w:val="007903DA"/>
    <w:rsid w:val="007903E9"/>
    <w:rsid w:val="007904E4"/>
    <w:rsid w:val="00790792"/>
    <w:rsid w:val="007907AC"/>
    <w:rsid w:val="00790F6F"/>
    <w:rsid w:val="0079118C"/>
    <w:rsid w:val="00791A69"/>
    <w:rsid w:val="0079240D"/>
    <w:rsid w:val="00792987"/>
    <w:rsid w:val="00792B50"/>
    <w:rsid w:val="007931F8"/>
    <w:rsid w:val="007936C6"/>
    <w:rsid w:val="00793FBC"/>
    <w:rsid w:val="007944C7"/>
    <w:rsid w:val="007945B0"/>
    <w:rsid w:val="00794A9C"/>
    <w:rsid w:val="00794F04"/>
    <w:rsid w:val="007955CE"/>
    <w:rsid w:val="007958B1"/>
    <w:rsid w:val="00795921"/>
    <w:rsid w:val="00795983"/>
    <w:rsid w:val="00795E24"/>
    <w:rsid w:val="00796381"/>
    <w:rsid w:val="00796B99"/>
    <w:rsid w:val="0079756E"/>
    <w:rsid w:val="00797906"/>
    <w:rsid w:val="00797A78"/>
    <w:rsid w:val="00797F28"/>
    <w:rsid w:val="007A0941"/>
    <w:rsid w:val="007A0947"/>
    <w:rsid w:val="007A13B0"/>
    <w:rsid w:val="007A1CCE"/>
    <w:rsid w:val="007A1F8D"/>
    <w:rsid w:val="007A200F"/>
    <w:rsid w:val="007A222E"/>
    <w:rsid w:val="007A2811"/>
    <w:rsid w:val="007A349B"/>
    <w:rsid w:val="007A3944"/>
    <w:rsid w:val="007A4BAB"/>
    <w:rsid w:val="007A4D78"/>
    <w:rsid w:val="007A57EA"/>
    <w:rsid w:val="007A5901"/>
    <w:rsid w:val="007A5F83"/>
    <w:rsid w:val="007A63A5"/>
    <w:rsid w:val="007A6587"/>
    <w:rsid w:val="007A6A1C"/>
    <w:rsid w:val="007A6D18"/>
    <w:rsid w:val="007A7B86"/>
    <w:rsid w:val="007B07E8"/>
    <w:rsid w:val="007B0B63"/>
    <w:rsid w:val="007B0EE7"/>
    <w:rsid w:val="007B11BB"/>
    <w:rsid w:val="007B134A"/>
    <w:rsid w:val="007B15DF"/>
    <w:rsid w:val="007B2340"/>
    <w:rsid w:val="007B2B50"/>
    <w:rsid w:val="007B2D4A"/>
    <w:rsid w:val="007B3881"/>
    <w:rsid w:val="007B3B2D"/>
    <w:rsid w:val="007B406B"/>
    <w:rsid w:val="007B418B"/>
    <w:rsid w:val="007B44FD"/>
    <w:rsid w:val="007B4AB8"/>
    <w:rsid w:val="007B4AE3"/>
    <w:rsid w:val="007B5475"/>
    <w:rsid w:val="007B577F"/>
    <w:rsid w:val="007B5CF7"/>
    <w:rsid w:val="007B69EE"/>
    <w:rsid w:val="007B73AA"/>
    <w:rsid w:val="007B78D8"/>
    <w:rsid w:val="007B7AD9"/>
    <w:rsid w:val="007B7AF4"/>
    <w:rsid w:val="007B7CC8"/>
    <w:rsid w:val="007C0257"/>
    <w:rsid w:val="007C03BF"/>
    <w:rsid w:val="007C0B0C"/>
    <w:rsid w:val="007C0F84"/>
    <w:rsid w:val="007C10A8"/>
    <w:rsid w:val="007C1AD6"/>
    <w:rsid w:val="007C1BA8"/>
    <w:rsid w:val="007C1E16"/>
    <w:rsid w:val="007C2652"/>
    <w:rsid w:val="007C284C"/>
    <w:rsid w:val="007C2DFE"/>
    <w:rsid w:val="007C31FE"/>
    <w:rsid w:val="007C33F4"/>
    <w:rsid w:val="007C3A1F"/>
    <w:rsid w:val="007C3BEB"/>
    <w:rsid w:val="007C40AD"/>
    <w:rsid w:val="007C46D1"/>
    <w:rsid w:val="007C4A53"/>
    <w:rsid w:val="007C5894"/>
    <w:rsid w:val="007C60AE"/>
    <w:rsid w:val="007C64D4"/>
    <w:rsid w:val="007C6B7A"/>
    <w:rsid w:val="007C6DAF"/>
    <w:rsid w:val="007C744C"/>
    <w:rsid w:val="007C74BE"/>
    <w:rsid w:val="007C74DC"/>
    <w:rsid w:val="007C7625"/>
    <w:rsid w:val="007C7A79"/>
    <w:rsid w:val="007D0591"/>
    <w:rsid w:val="007D06EC"/>
    <w:rsid w:val="007D0EE4"/>
    <w:rsid w:val="007D1060"/>
    <w:rsid w:val="007D1241"/>
    <w:rsid w:val="007D127B"/>
    <w:rsid w:val="007D1C71"/>
    <w:rsid w:val="007D1E67"/>
    <w:rsid w:val="007D2606"/>
    <w:rsid w:val="007D262A"/>
    <w:rsid w:val="007D3868"/>
    <w:rsid w:val="007D413D"/>
    <w:rsid w:val="007D47E8"/>
    <w:rsid w:val="007D4D10"/>
    <w:rsid w:val="007D52F1"/>
    <w:rsid w:val="007D5538"/>
    <w:rsid w:val="007D5D7A"/>
    <w:rsid w:val="007D5DD1"/>
    <w:rsid w:val="007D64E6"/>
    <w:rsid w:val="007D6752"/>
    <w:rsid w:val="007D6A8F"/>
    <w:rsid w:val="007D7A98"/>
    <w:rsid w:val="007D7BA8"/>
    <w:rsid w:val="007D7DF3"/>
    <w:rsid w:val="007E096B"/>
    <w:rsid w:val="007E0A72"/>
    <w:rsid w:val="007E0DDB"/>
    <w:rsid w:val="007E1096"/>
    <w:rsid w:val="007E1421"/>
    <w:rsid w:val="007E1928"/>
    <w:rsid w:val="007E1F4B"/>
    <w:rsid w:val="007E2164"/>
    <w:rsid w:val="007E2743"/>
    <w:rsid w:val="007E2B2F"/>
    <w:rsid w:val="007E338F"/>
    <w:rsid w:val="007E3943"/>
    <w:rsid w:val="007E39AF"/>
    <w:rsid w:val="007E4D7D"/>
    <w:rsid w:val="007E4F99"/>
    <w:rsid w:val="007E4FCB"/>
    <w:rsid w:val="007E69B2"/>
    <w:rsid w:val="007E7345"/>
    <w:rsid w:val="007F0D4C"/>
    <w:rsid w:val="007F0D83"/>
    <w:rsid w:val="007F11C2"/>
    <w:rsid w:val="007F1409"/>
    <w:rsid w:val="007F14CE"/>
    <w:rsid w:val="007F1548"/>
    <w:rsid w:val="007F15FE"/>
    <w:rsid w:val="007F1DB3"/>
    <w:rsid w:val="007F1DEB"/>
    <w:rsid w:val="007F1E91"/>
    <w:rsid w:val="007F2314"/>
    <w:rsid w:val="007F2AD5"/>
    <w:rsid w:val="007F3203"/>
    <w:rsid w:val="007F3603"/>
    <w:rsid w:val="007F3BFC"/>
    <w:rsid w:val="007F3C9D"/>
    <w:rsid w:val="007F4647"/>
    <w:rsid w:val="007F4732"/>
    <w:rsid w:val="007F4A2A"/>
    <w:rsid w:val="007F4F67"/>
    <w:rsid w:val="007F55FB"/>
    <w:rsid w:val="007F6254"/>
    <w:rsid w:val="007F6517"/>
    <w:rsid w:val="007F6795"/>
    <w:rsid w:val="007F701E"/>
    <w:rsid w:val="007F7095"/>
    <w:rsid w:val="007F783E"/>
    <w:rsid w:val="007F7D7E"/>
    <w:rsid w:val="00800215"/>
    <w:rsid w:val="00800B6C"/>
    <w:rsid w:val="00801C29"/>
    <w:rsid w:val="00802156"/>
    <w:rsid w:val="00802710"/>
    <w:rsid w:val="00802B5C"/>
    <w:rsid w:val="00802F1C"/>
    <w:rsid w:val="008039B9"/>
    <w:rsid w:val="00803DC7"/>
    <w:rsid w:val="00803FFD"/>
    <w:rsid w:val="008045FB"/>
    <w:rsid w:val="00804C4E"/>
    <w:rsid w:val="00804CDC"/>
    <w:rsid w:val="00804E2C"/>
    <w:rsid w:val="00805E89"/>
    <w:rsid w:val="00805EBE"/>
    <w:rsid w:val="00805FA7"/>
    <w:rsid w:val="008065F4"/>
    <w:rsid w:val="008068B8"/>
    <w:rsid w:val="00806C49"/>
    <w:rsid w:val="0080735A"/>
    <w:rsid w:val="008074CE"/>
    <w:rsid w:val="008074EE"/>
    <w:rsid w:val="00807C7B"/>
    <w:rsid w:val="00807FA6"/>
    <w:rsid w:val="00810372"/>
    <w:rsid w:val="00811629"/>
    <w:rsid w:val="00811634"/>
    <w:rsid w:val="00811995"/>
    <w:rsid w:val="00811D71"/>
    <w:rsid w:val="00812044"/>
    <w:rsid w:val="008126AC"/>
    <w:rsid w:val="00812EA0"/>
    <w:rsid w:val="00813124"/>
    <w:rsid w:val="00813485"/>
    <w:rsid w:val="00813D73"/>
    <w:rsid w:val="008142D2"/>
    <w:rsid w:val="00814338"/>
    <w:rsid w:val="00814840"/>
    <w:rsid w:val="00814A00"/>
    <w:rsid w:val="00814AB7"/>
    <w:rsid w:val="0081561A"/>
    <w:rsid w:val="00815CCC"/>
    <w:rsid w:val="00816082"/>
    <w:rsid w:val="00816608"/>
    <w:rsid w:val="0081678F"/>
    <w:rsid w:val="00816BD1"/>
    <w:rsid w:val="008174B9"/>
    <w:rsid w:val="00817C92"/>
    <w:rsid w:val="008207A1"/>
    <w:rsid w:val="00820934"/>
    <w:rsid w:val="0082175A"/>
    <w:rsid w:val="00821AF6"/>
    <w:rsid w:val="00822075"/>
    <w:rsid w:val="00822547"/>
    <w:rsid w:val="00822982"/>
    <w:rsid w:val="00823426"/>
    <w:rsid w:val="00823517"/>
    <w:rsid w:val="008243F4"/>
    <w:rsid w:val="00824A04"/>
    <w:rsid w:val="0082551B"/>
    <w:rsid w:val="0082559B"/>
    <w:rsid w:val="00825734"/>
    <w:rsid w:val="0082579E"/>
    <w:rsid w:val="00825B01"/>
    <w:rsid w:val="00825CD9"/>
    <w:rsid w:val="00825E41"/>
    <w:rsid w:val="008267BE"/>
    <w:rsid w:val="00826919"/>
    <w:rsid w:val="008274D5"/>
    <w:rsid w:val="008277E1"/>
    <w:rsid w:val="00827E57"/>
    <w:rsid w:val="008304A5"/>
    <w:rsid w:val="00830D09"/>
    <w:rsid w:val="00830F26"/>
    <w:rsid w:val="00831D07"/>
    <w:rsid w:val="00832300"/>
    <w:rsid w:val="008327E8"/>
    <w:rsid w:val="00832971"/>
    <w:rsid w:val="00832978"/>
    <w:rsid w:val="00832E3E"/>
    <w:rsid w:val="00833192"/>
    <w:rsid w:val="00834DB8"/>
    <w:rsid w:val="00835805"/>
    <w:rsid w:val="0083679E"/>
    <w:rsid w:val="00836BF7"/>
    <w:rsid w:val="00837038"/>
    <w:rsid w:val="00837246"/>
    <w:rsid w:val="0084007B"/>
    <w:rsid w:val="008403C1"/>
    <w:rsid w:val="008403F2"/>
    <w:rsid w:val="0084065E"/>
    <w:rsid w:val="00840AD4"/>
    <w:rsid w:val="00841864"/>
    <w:rsid w:val="008419F3"/>
    <w:rsid w:val="00842157"/>
    <w:rsid w:val="008425C9"/>
    <w:rsid w:val="00842C74"/>
    <w:rsid w:val="00842D8B"/>
    <w:rsid w:val="00843276"/>
    <w:rsid w:val="0084397E"/>
    <w:rsid w:val="00843EF1"/>
    <w:rsid w:val="00844123"/>
    <w:rsid w:val="0084419A"/>
    <w:rsid w:val="0084436B"/>
    <w:rsid w:val="008448C7"/>
    <w:rsid w:val="00844C6C"/>
    <w:rsid w:val="00844F7F"/>
    <w:rsid w:val="00845E1E"/>
    <w:rsid w:val="00846093"/>
    <w:rsid w:val="008462F8"/>
    <w:rsid w:val="00846835"/>
    <w:rsid w:val="00846AB8"/>
    <w:rsid w:val="00846D73"/>
    <w:rsid w:val="008470D4"/>
    <w:rsid w:val="008477E1"/>
    <w:rsid w:val="00850590"/>
    <w:rsid w:val="00850BB9"/>
    <w:rsid w:val="00850E26"/>
    <w:rsid w:val="008510E6"/>
    <w:rsid w:val="00851324"/>
    <w:rsid w:val="00851A53"/>
    <w:rsid w:val="00851DA5"/>
    <w:rsid w:val="00851E74"/>
    <w:rsid w:val="00851EB7"/>
    <w:rsid w:val="0085235D"/>
    <w:rsid w:val="0085271D"/>
    <w:rsid w:val="00852A4D"/>
    <w:rsid w:val="00852ADC"/>
    <w:rsid w:val="00853440"/>
    <w:rsid w:val="00853476"/>
    <w:rsid w:val="008538E9"/>
    <w:rsid w:val="00854583"/>
    <w:rsid w:val="0085497F"/>
    <w:rsid w:val="00854AAA"/>
    <w:rsid w:val="00854EFB"/>
    <w:rsid w:val="00855A8E"/>
    <w:rsid w:val="00856442"/>
    <w:rsid w:val="008567D2"/>
    <w:rsid w:val="0085689B"/>
    <w:rsid w:val="008570BD"/>
    <w:rsid w:val="008573C2"/>
    <w:rsid w:val="00857D07"/>
    <w:rsid w:val="0086019F"/>
    <w:rsid w:val="0086038B"/>
    <w:rsid w:val="00860565"/>
    <w:rsid w:val="008605DB"/>
    <w:rsid w:val="00860710"/>
    <w:rsid w:val="00860E74"/>
    <w:rsid w:val="00861512"/>
    <w:rsid w:val="008624D8"/>
    <w:rsid w:val="0086253A"/>
    <w:rsid w:val="00862BFD"/>
    <w:rsid w:val="0086370B"/>
    <w:rsid w:val="00864534"/>
    <w:rsid w:val="00864620"/>
    <w:rsid w:val="00864653"/>
    <w:rsid w:val="00864CEC"/>
    <w:rsid w:val="0086515D"/>
    <w:rsid w:val="008656BE"/>
    <w:rsid w:val="00865C11"/>
    <w:rsid w:val="00866BFC"/>
    <w:rsid w:val="00866CE8"/>
    <w:rsid w:val="00866D1D"/>
    <w:rsid w:val="00866EDE"/>
    <w:rsid w:val="0086714A"/>
    <w:rsid w:val="008671BC"/>
    <w:rsid w:val="00867337"/>
    <w:rsid w:val="00867746"/>
    <w:rsid w:val="008702D8"/>
    <w:rsid w:val="008704DF"/>
    <w:rsid w:val="00870637"/>
    <w:rsid w:val="00870A85"/>
    <w:rsid w:val="0087131B"/>
    <w:rsid w:val="0087141E"/>
    <w:rsid w:val="00872412"/>
    <w:rsid w:val="00872E16"/>
    <w:rsid w:val="00873EC6"/>
    <w:rsid w:val="008743F6"/>
    <w:rsid w:val="0087540B"/>
    <w:rsid w:val="008756A6"/>
    <w:rsid w:val="008758A2"/>
    <w:rsid w:val="008762DB"/>
    <w:rsid w:val="00877381"/>
    <w:rsid w:val="00877F41"/>
    <w:rsid w:val="00880649"/>
    <w:rsid w:val="0088066F"/>
    <w:rsid w:val="00880E6E"/>
    <w:rsid w:val="00880EDE"/>
    <w:rsid w:val="008810F4"/>
    <w:rsid w:val="00881190"/>
    <w:rsid w:val="008819B7"/>
    <w:rsid w:val="00882DC9"/>
    <w:rsid w:val="0088307F"/>
    <w:rsid w:val="00883567"/>
    <w:rsid w:val="00883638"/>
    <w:rsid w:val="008836C0"/>
    <w:rsid w:val="008837BE"/>
    <w:rsid w:val="00883855"/>
    <w:rsid w:val="0088395D"/>
    <w:rsid w:val="008839E0"/>
    <w:rsid w:val="00883B9A"/>
    <w:rsid w:val="00884299"/>
    <w:rsid w:val="00884515"/>
    <w:rsid w:val="008845D1"/>
    <w:rsid w:val="00884650"/>
    <w:rsid w:val="00884CB6"/>
    <w:rsid w:val="00885187"/>
    <w:rsid w:val="00885290"/>
    <w:rsid w:val="00885522"/>
    <w:rsid w:val="00886679"/>
    <w:rsid w:val="00886759"/>
    <w:rsid w:val="00886A0D"/>
    <w:rsid w:val="00886BE9"/>
    <w:rsid w:val="0088728D"/>
    <w:rsid w:val="00887503"/>
    <w:rsid w:val="008906CC"/>
    <w:rsid w:val="00890AA6"/>
    <w:rsid w:val="008910C2"/>
    <w:rsid w:val="0089140F"/>
    <w:rsid w:val="00891642"/>
    <w:rsid w:val="00891D41"/>
    <w:rsid w:val="00892E18"/>
    <w:rsid w:val="00893200"/>
    <w:rsid w:val="00894412"/>
    <w:rsid w:val="008947A8"/>
    <w:rsid w:val="008947E2"/>
    <w:rsid w:val="00894E13"/>
    <w:rsid w:val="0089519F"/>
    <w:rsid w:val="00895544"/>
    <w:rsid w:val="0089591F"/>
    <w:rsid w:val="0089598A"/>
    <w:rsid w:val="008959C4"/>
    <w:rsid w:val="00895AB1"/>
    <w:rsid w:val="00895F29"/>
    <w:rsid w:val="00895F47"/>
    <w:rsid w:val="00896517"/>
    <w:rsid w:val="00896D6D"/>
    <w:rsid w:val="00896F4F"/>
    <w:rsid w:val="0089706C"/>
    <w:rsid w:val="00897AE8"/>
    <w:rsid w:val="00897F21"/>
    <w:rsid w:val="008A0179"/>
    <w:rsid w:val="008A0811"/>
    <w:rsid w:val="008A08E0"/>
    <w:rsid w:val="008A0D57"/>
    <w:rsid w:val="008A1F1B"/>
    <w:rsid w:val="008A2662"/>
    <w:rsid w:val="008A2813"/>
    <w:rsid w:val="008A3104"/>
    <w:rsid w:val="008A32BC"/>
    <w:rsid w:val="008A351C"/>
    <w:rsid w:val="008A3969"/>
    <w:rsid w:val="008A415C"/>
    <w:rsid w:val="008A446C"/>
    <w:rsid w:val="008A4BF1"/>
    <w:rsid w:val="008A554A"/>
    <w:rsid w:val="008A5594"/>
    <w:rsid w:val="008A57C3"/>
    <w:rsid w:val="008A5D66"/>
    <w:rsid w:val="008A5E3E"/>
    <w:rsid w:val="008A613A"/>
    <w:rsid w:val="008A65FA"/>
    <w:rsid w:val="008A6B28"/>
    <w:rsid w:val="008A6B3E"/>
    <w:rsid w:val="008A7672"/>
    <w:rsid w:val="008B00FC"/>
    <w:rsid w:val="008B0468"/>
    <w:rsid w:val="008B0595"/>
    <w:rsid w:val="008B07DC"/>
    <w:rsid w:val="008B0C60"/>
    <w:rsid w:val="008B0E23"/>
    <w:rsid w:val="008B1214"/>
    <w:rsid w:val="008B1C4D"/>
    <w:rsid w:val="008B1DCF"/>
    <w:rsid w:val="008B2062"/>
    <w:rsid w:val="008B3211"/>
    <w:rsid w:val="008B35C0"/>
    <w:rsid w:val="008B3817"/>
    <w:rsid w:val="008B3CA0"/>
    <w:rsid w:val="008B4056"/>
    <w:rsid w:val="008B4332"/>
    <w:rsid w:val="008B4522"/>
    <w:rsid w:val="008B4D14"/>
    <w:rsid w:val="008B4F83"/>
    <w:rsid w:val="008B55E4"/>
    <w:rsid w:val="008B561C"/>
    <w:rsid w:val="008B58CA"/>
    <w:rsid w:val="008B6F40"/>
    <w:rsid w:val="008B6F41"/>
    <w:rsid w:val="008B73B7"/>
    <w:rsid w:val="008B74A1"/>
    <w:rsid w:val="008B7CD3"/>
    <w:rsid w:val="008C00EA"/>
    <w:rsid w:val="008C0167"/>
    <w:rsid w:val="008C0231"/>
    <w:rsid w:val="008C0E53"/>
    <w:rsid w:val="008C10D7"/>
    <w:rsid w:val="008C18D3"/>
    <w:rsid w:val="008C22F0"/>
    <w:rsid w:val="008C231F"/>
    <w:rsid w:val="008C3865"/>
    <w:rsid w:val="008C3B1D"/>
    <w:rsid w:val="008C3BC3"/>
    <w:rsid w:val="008C4A6F"/>
    <w:rsid w:val="008C5160"/>
    <w:rsid w:val="008C5FBC"/>
    <w:rsid w:val="008C67E0"/>
    <w:rsid w:val="008C6CA1"/>
    <w:rsid w:val="008C7148"/>
    <w:rsid w:val="008C7178"/>
    <w:rsid w:val="008D0890"/>
    <w:rsid w:val="008D09A6"/>
    <w:rsid w:val="008D14AD"/>
    <w:rsid w:val="008D15A3"/>
    <w:rsid w:val="008D16D0"/>
    <w:rsid w:val="008D1E21"/>
    <w:rsid w:val="008D1F9B"/>
    <w:rsid w:val="008D2244"/>
    <w:rsid w:val="008D28FF"/>
    <w:rsid w:val="008D2923"/>
    <w:rsid w:val="008D2DED"/>
    <w:rsid w:val="008D2F52"/>
    <w:rsid w:val="008D3025"/>
    <w:rsid w:val="008D31C0"/>
    <w:rsid w:val="008D3BD2"/>
    <w:rsid w:val="008D4052"/>
    <w:rsid w:val="008D4C58"/>
    <w:rsid w:val="008D524C"/>
    <w:rsid w:val="008D5B25"/>
    <w:rsid w:val="008D5BDB"/>
    <w:rsid w:val="008D6453"/>
    <w:rsid w:val="008D7003"/>
    <w:rsid w:val="008D793A"/>
    <w:rsid w:val="008D7AD2"/>
    <w:rsid w:val="008D7D23"/>
    <w:rsid w:val="008D7D35"/>
    <w:rsid w:val="008D7ED6"/>
    <w:rsid w:val="008E053F"/>
    <w:rsid w:val="008E0EAE"/>
    <w:rsid w:val="008E0F7A"/>
    <w:rsid w:val="008E1F3F"/>
    <w:rsid w:val="008E38B6"/>
    <w:rsid w:val="008E3AF8"/>
    <w:rsid w:val="008E3B46"/>
    <w:rsid w:val="008E3CD9"/>
    <w:rsid w:val="008E3DC6"/>
    <w:rsid w:val="008E3FA8"/>
    <w:rsid w:val="008E4252"/>
    <w:rsid w:val="008E449E"/>
    <w:rsid w:val="008E4A7F"/>
    <w:rsid w:val="008E4AE7"/>
    <w:rsid w:val="008E4CD1"/>
    <w:rsid w:val="008E5209"/>
    <w:rsid w:val="008E55CD"/>
    <w:rsid w:val="008E5772"/>
    <w:rsid w:val="008E5941"/>
    <w:rsid w:val="008E5FA1"/>
    <w:rsid w:val="008E62A1"/>
    <w:rsid w:val="008E6856"/>
    <w:rsid w:val="008E7172"/>
    <w:rsid w:val="008E74B7"/>
    <w:rsid w:val="008E7526"/>
    <w:rsid w:val="008E7681"/>
    <w:rsid w:val="008F0152"/>
    <w:rsid w:val="008F03C7"/>
    <w:rsid w:val="008F0C16"/>
    <w:rsid w:val="008F1413"/>
    <w:rsid w:val="008F1447"/>
    <w:rsid w:val="008F1D23"/>
    <w:rsid w:val="008F275B"/>
    <w:rsid w:val="008F2816"/>
    <w:rsid w:val="008F3362"/>
    <w:rsid w:val="008F35A3"/>
    <w:rsid w:val="008F35F0"/>
    <w:rsid w:val="008F38EE"/>
    <w:rsid w:val="008F3A0E"/>
    <w:rsid w:val="008F526D"/>
    <w:rsid w:val="008F71FB"/>
    <w:rsid w:val="008F736E"/>
    <w:rsid w:val="008F73F7"/>
    <w:rsid w:val="008F75DC"/>
    <w:rsid w:val="008F7965"/>
    <w:rsid w:val="008F7C72"/>
    <w:rsid w:val="008F7FE5"/>
    <w:rsid w:val="0090025A"/>
    <w:rsid w:val="009005CE"/>
    <w:rsid w:val="00900787"/>
    <w:rsid w:val="00900FC2"/>
    <w:rsid w:val="0090105E"/>
    <w:rsid w:val="00901371"/>
    <w:rsid w:val="00901F69"/>
    <w:rsid w:val="0090243D"/>
    <w:rsid w:val="0090244A"/>
    <w:rsid w:val="0090309C"/>
    <w:rsid w:val="0090354C"/>
    <w:rsid w:val="00903FFD"/>
    <w:rsid w:val="00904590"/>
    <w:rsid w:val="00904B9D"/>
    <w:rsid w:val="00904DEE"/>
    <w:rsid w:val="009053B9"/>
    <w:rsid w:val="009066BB"/>
    <w:rsid w:val="009068AF"/>
    <w:rsid w:val="009070BE"/>
    <w:rsid w:val="0090759F"/>
    <w:rsid w:val="0090767B"/>
    <w:rsid w:val="009079D9"/>
    <w:rsid w:val="00907ACD"/>
    <w:rsid w:val="00907CA8"/>
    <w:rsid w:val="00907E20"/>
    <w:rsid w:val="00910A4C"/>
    <w:rsid w:val="00911866"/>
    <w:rsid w:val="0091187F"/>
    <w:rsid w:val="00912051"/>
    <w:rsid w:val="0091272E"/>
    <w:rsid w:val="0091363B"/>
    <w:rsid w:val="00913B64"/>
    <w:rsid w:val="00913D5B"/>
    <w:rsid w:val="00913F3A"/>
    <w:rsid w:val="00913FA1"/>
    <w:rsid w:val="0091411B"/>
    <w:rsid w:val="009150D9"/>
    <w:rsid w:val="0091520B"/>
    <w:rsid w:val="00915F41"/>
    <w:rsid w:val="0091610F"/>
    <w:rsid w:val="0091625F"/>
    <w:rsid w:val="0091634D"/>
    <w:rsid w:val="00916362"/>
    <w:rsid w:val="00916C9E"/>
    <w:rsid w:val="009171B1"/>
    <w:rsid w:val="009171BA"/>
    <w:rsid w:val="00917D9A"/>
    <w:rsid w:val="00917DEB"/>
    <w:rsid w:val="0092021F"/>
    <w:rsid w:val="00920C55"/>
    <w:rsid w:val="00921021"/>
    <w:rsid w:val="00921161"/>
    <w:rsid w:val="00921791"/>
    <w:rsid w:val="00921D29"/>
    <w:rsid w:val="00921F18"/>
    <w:rsid w:val="00922429"/>
    <w:rsid w:val="009225AB"/>
    <w:rsid w:val="0092264C"/>
    <w:rsid w:val="0092272F"/>
    <w:rsid w:val="009227DF"/>
    <w:rsid w:val="00922D14"/>
    <w:rsid w:val="00923F19"/>
    <w:rsid w:val="0092485A"/>
    <w:rsid w:val="00925086"/>
    <w:rsid w:val="00925596"/>
    <w:rsid w:val="00925BF8"/>
    <w:rsid w:val="00925C6A"/>
    <w:rsid w:val="00926107"/>
    <w:rsid w:val="00926341"/>
    <w:rsid w:val="009265BD"/>
    <w:rsid w:val="009266FE"/>
    <w:rsid w:val="00926773"/>
    <w:rsid w:val="00927077"/>
    <w:rsid w:val="009270FD"/>
    <w:rsid w:val="0092716A"/>
    <w:rsid w:val="009278B2"/>
    <w:rsid w:val="00930840"/>
    <w:rsid w:val="00930CFA"/>
    <w:rsid w:val="0093152B"/>
    <w:rsid w:val="00931700"/>
    <w:rsid w:val="00932889"/>
    <w:rsid w:val="00932923"/>
    <w:rsid w:val="00933117"/>
    <w:rsid w:val="00933818"/>
    <w:rsid w:val="00933C42"/>
    <w:rsid w:val="009340CC"/>
    <w:rsid w:val="0093432F"/>
    <w:rsid w:val="0093485E"/>
    <w:rsid w:val="00934908"/>
    <w:rsid w:val="00934AEA"/>
    <w:rsid w:val="00934B78"/>
    <w:rsid w:val="00934E1E"/>
    <w:rsid w:val="0093527A"/>
    <w:rsid w:val="00935570"/>
    <w:rsid w:val="009355BB"/>
    <w:rsid w:val="00935C79"/>
    <w:rsid w:val="0093620E"/>
    <w:rsid w:val="00936B91"/>
    <w:rsid w:val="00936D6E"/>
    <w:rsid w:val="00936DF6"/>
    <w:rsid w:val="00937AAE"/>
    <w:rsid w:val="00937AB6"/>
    <w:rsid w:val="00937FF1"/>
    <w:rsid w:val="00940699"/>
    <w:rsid w:val="009406AA"/>
    <w:rsid w:val="009413E1"/>
    <w:rsid w:val="00941583"/>
    <w:rsid w:val="00942057"/>
    <w:rsid w:val="009421B6"/>
    <w:rsid w:val="009424AA"/>
    <w:rsid w:val="009429E2"/>
    <w:rsid w:val="00943A7C"/>
    <w:rsid w:val="00944079"/>
    <w:rsid w:val="009441DF"/>
    <w:rsid w:val="009445B8"/>
    <w:rsid w:val="00944818"/>
    <w:rsid w:val="00944D32"/>
    <w:rsid w:val="00944E08"/>
    <w:rsid w:val="009454E2"/>
    <w:rsid w:val="00945E5C"/>
    <w:rsid w:val="00946A45"/>
    <w:rsid w:val="00946BA5"/>
    <w:rsid w:val="00946BAE"/>
    <w:rsid w:val="0094743B"/>
    <w:rsid w:val="00947624"/>
    <w:rsid w:val="00947B0A"/>
    <w:rsid w:val="009503C8"/>
    <w:rsid w:val="0095084D"/>
    <w:rsid w:val="00951F59"/>
    <w:rsid w:val="00952080"/>
    <w:rsid w:val="00952B3A"/>
    <w:rsid w:val="00952C8F"/>
    <w:rsid w:val="00953719"/>
    <w:rsid w:val="00953C21"/>
    <w:rsid w:val="00953C95"/>
    <w:rsid w:val="00953E6A"/>
    <w:rsid w:val="009543D7"/>
    <w:rsid w:val="00954786"/>
    <w:rsid w:val="009548AC"/>
    <w:rsid w:val="00955DAA"/>
    <w:rsid w:val="00956E94"/>
    <w:rsid w:val="00957441"/>
    <w:rsid w:val="00957606"/>
    <w:rsid w:val="00957615"/>
    <w:rsid w:val="00957834"/>
    <w:rsid w:val="00957955"/>
    <w:rsid w:val="00960153"/>
    <w:rsid w:val="0096054A"/>
    <w:rsid w:val="00960C35"/>
    <w:rsid w:val="00960C36"/>
    <w:rsid w:val="00960E28"/>
    <w:rsid w:val="0096195B"/>
    <w:rsid w:val="00961F0F"/>
    <w:rsid w:val="00962427"/>
    <w:rsid w:val="0096306F"/>
    <w:rsid w:val="00963780"/>
    <w:rsid w:val="00963A88"/>
    <w:rsid w:val="00963D96"/>
    <w:rsid w:val="009641E9"/>
    <w:rsid w:val="0096485B"/>
    <w:rsid w:val="00964E94"/>
    <w:rsid w:val="00964EBD"/>
    <w:rsid w:val="00964FE3"/>
    <w:rsid w:val="00965581"/>
    <w:rsid w:val="00965D64"/>
    <w:rsid w:val="00966454"/>
    <w:rsid w:val="00966930"/>
    <w:rsid w:val="009674D7"/>
    <w:rsid w:val="00970201"/>
    <w:rsid w:val="00970DDF"/>
    <w:rsid w:val="00972294"/>
    <w:rsid w:val="0097285C"/>
    <w:rsid w:val="00972BD8"/>
    <w:rsid w:val="009734F8"/>
    <w:rsid w:val="00973CC9"/>
    <w:rsid w:val="00973F5F"/>
    <w:rsid w:val="009744E9"/>
    <w:rsid w:val="0097460A"/>
    <w:rsid w:val="0097498C"/>
    <w:rsid w:val="00975566"/>
    <w:rsid w:val="00975C3B"/>
    <w:rsid w:val="00975C56"/>
    <w:rsid w:val="00975C74"/>
    <w:rsid w:val="0097614A"/>
    <w:rsid w:val="009763BE"/>
    <w:rsid w:val="009764D4"/>
    <w:rsid w:val="0097660B"/>
    <w:rsid w:val="009766B8"/>
    <w:rsid w:val="00976AF3"/>
    <w:rsid w:val="00977746"/>
    <w:rsid w:val="00977B57"/>
    <w:rsid w:val="00977BE5"/>
    <w:rsid w:val="00977E33"/>
    <w:rsid w:val="009802A0"/>
    <w:rsid w:val="00980304"/>
    <w:rsid w:val="009807E1"/>
    <w:rsid w:val="0098138C"/>
    <w:rsid w:val="009814B2"/>
    <w:rsid w:val="00981CAC"/>
    <w:rsid w:val="00982BDF"/>
    <w:rsid w:val="009830B4"/>
    <w:rsid w:val="009833D5"/>
    <w:rsid w:val="00983A87"/>
    <w:rsid w:val="009849DF"/>
    <w:rsid w:val="0098533E"/>
    <w:rsid w:val="0098571E"/>
    <w:rsid w:val="00985FD2"/>
    <w:rsid w:val="009864F3"/>
    <w:rsid w:val="0098680E"/>
    <w:rsid w:val="00986CC4"/>
    <w:rsid w:val="00987AEE"/>
    <w:rsid w:val="009903C4"/>
    <w:rsid w:val="009903F1"/>
    <w:rsid w:val="00990ADF"/>
    <w:rsid w:val="00990D0F"/>
    <w:rsid w:val="009913CE"/>
    <w:rsid w:val="00991EF1"/>
    <w:rsid w:val="00991F3E"/>
    <w:rsid w:val="00992244"/>
    <w:rsid w:val="00992373"/>
    <w:rsid w:val="00992897"/>
    <w:rsid w:val="009929C4"/>
    <w:rsid w:val="00992A74"/>
    <w:rsid w:val="00992E15"/>
    <w:rsid w:val="0099371E"/>
    <w:rsid w:val="00993ED3"/>
    <w:rsid w:val="009940A7"/>
    <w:rsid w:val="009945D1"/>
    <w:rsid w:val="009947B2"/>
    <w:rsid w:val="00995070"/>
    <w:rsid w:val="009958FA"/>
    <w:rsid w:val="00995C65"/>
    <w:rsid w:val="00995D96"/>
    <w:rsid w:val="0099616B"/>
    <w:rsid w:val="009964D2"/>
    <w:rsid w:val="009964FF"/>
    <w:rsid w:val="00996D58"/>
    <w:rsid w:val="00997B6C"/>
    <w:rsid w:val="00997E4E"/>
    <w:rsid w:val="009A06DC"/>
    <w:rsid w:val="009A1235"/>
    <w:rsid w:val="009A16A7"/>
    <w:rsid w:val="009A17ED"/>
    <w:rsid w:val="009A1A9E"/>
    <w:rsid w:val="009A1C20"/>
    <w:rsid w:val="009A1E7B"/>
    <w:rsid w:val="009A2086"/>
    <w:rsid w:val="009A228A"/>
    <w:rsid w:val="009A2614"/>
    <w:rsid w:val="009A264B"/>
    <w:rsid w:val="009A3300"/>
    <w:rsid w:val="009A33BE"/>
    <w:rsid w:val="009A372A"/>
    <w:rsid w:val="009A3E45"/>
    <w:rsid w:val="009A4D87"/>
    <w:rsid w:val="009A5193"/>
    <w:rsid w:val="009A51CF"/>
    <w:rsid w:val="009A53FE"/>
    <w:rsid w:val="009A545D"/>
    <w:rsid w:val="009A5C72"/>
    <w:rsid w:val="009A5E7E"/>
    <w:rsid w:val="009A623C"/>
    <w:rsid w:val="009A6296"/>
    <w:rsid w:val="009A6589"/>
    <w:rsid w:val="009A683C"/>
    <w:rsid w:val="009A70AD"/>
    <w:rsid w:val="009A77C7"/>
    <w:rsid w:val="009A78AA"/>
    <w:rsid w:val="009B012A"/>
    <w:rsid w:val="009B048D"/>
    <w:rsid w:val="009B07C4"/>
    <w:rsid w:val="009B0A91"/>
    <w:rsid w:val="009B14B6"/>
    <w:rsid w:val="009B15B8"/>
    <w:rsid w:val="009B1A9B"/>
    <w:rsid w:val="009B1D8E"/>
    <w:rsid w:val="009B25D1"/>
    <w:rsid w:val="009B2CA4"/>
    <w:rsid w:val="009B31D1"/>
    <w:rsid w:val="009B32BC"/>
    <w:rsid w:val="009B363B"/>
    <w:rsid w:val="009B3750"/>
    <w:rsid w:val="009B3B3C"/>
    <w:rsid w:val="009B3E45"/>
    <w:rsid w:val="009B41F0"/>
    <w:rsid w:val="009B421E"/>
    <w:rsid w:val="009B4EBC"/>
    <w:rsid w:val="009B5308"/>
    <w:rsid w:val="009B55C3"/>
    <w:rsid w:val="009B5A50"/>
    <w:rsid w:val="009B5C7F"/>
    <w:rsid w:val="009B6D4D"/>
    <w:rsid w:val="009B6D7B"/>
    <w:rsid w:val="009B7ADD"/>
    <w:rsid w:val="009B7C38"/>
    <w:rsid w:val="009C00F0"/>
    <w:rsid w:val="009C059E"/>
    <w:rsid w:val="009C0F4C"/>
    <w:rsid w:val="009C1045"/>
    <w:rsid w:val="009C1CD1"/>
    <w:rsid w:val="009C304C"/>
    <w:rsid w:val="009C383C"/>
    <w:rsid w:val="009C3AB4"/>
    <w:rsid w:val="009C4312"/>
    <w:rsid w:val="009C4434"/>
    <w:rsid w:val="009C448E"/>
    <w:rsid w:val="009C50BD"/>
    <w:rsid w:val="009C5181"/>
    <w:rsid w:val="009C54ED"/>
    <w:rsid w:val="009C5CD2"/>
    <w:rsid w:val="009C7E47"/>
    <w:rsid w:val="009D0302"/>
    <w:rsid w:val="009D035E"/>
    <w:rsid w:val="009D036D"/>
    <w:rsid w:val="009D0AF5"/>
    <w:rsid w:val="009D0B50"/>
    <w:rsid w:val="009D0F88"/>
    <w:rsid w:val="009D11A8"/>
    <w:rsid w:val="009D11B8"/>
    <w:rsid w:val="009D1523"/>
    <w:rsid w:val="009D1963"/>
    <w:rsid w:val="009D1DF4"/>
    <w:rsid w:val="009D1DFE"/>
    <w:rsid w:val="009D1E1E"/>
    <w:rsid w:val="009D29BC"/>
    <w:rsid w:val="009D2C9B"/>
    <w:rsid w:val="009D2E09"/>
    <w:rsid w:val="009D32C9"/>
    <w:rsid w:val="009D32FD"/>
    <w:rsid w:val="009D36E8"/>
    <w:rsid w:val="009D3DBF"/>
    <w:rsid w:val="009D3E37"/>
    <w:rsid w:val="009D43B7"/>
    <w:rsid w:val="009D44BB"/>
    <w:rsid w:val="009D4905"/>
    <w:rsid w:val="009D4B11"/>
    <w:rsid w:val="009D501F"/>
    <w:rsid w:val="009D525E"/>
    <w:rsid w:val="009D5277"/>
    <w:rsid w:val="009D66A5"/>
    <w:rsid w:val="009D7317"/>
    <w:rsid w:val="009D7AEB"/>
    <w:rsid w:val="009D7B10"/>
    <w:rsid w:val="009E005A"/>
    <w:rsid w:val="009E0347"/>
    <w:rsid w:val="009E0502"/>
    <w:rsid w:val="009E05C5"/>
    <w:rsid w:val="009E09FE"/>
    <w:rsid w:val="009E10EC"/>
    <w:rsid w:val="009E14CE"/>
    <w:rsid w:val="009E154E"/>
    <w:rsid w:val="009E1DCB"/>
    <w:rsid w:val="009E2771"/>
    <w:rsid w:val="009E2A20"/>
    <w:rsid w:val="009E2BD8"/>
    <w:rsid w:val="009E2DC0"/>
    <w:rsid w:val="009E34BA"/>
    <w:rsid w:val="009E496B"/>
    <w:rsid w:val="009E51DB"/>
    <w:rsid w:val="009E5213"/>
    <w:rsid w:val="009E5A7C"/>
    <w:rsid w:val="009E643A"/>
    <w:rsid w:val="009E6CD5"/>
    <w:rsid w:val="009E78A7"/>
    <w:rsid w:val="009F03EB"/>
    <w:rsid w:val="009F06B7"/>
    <w:rsid w:val="009F06C4"/>
    <w:rsid w:val="009F07ED"/>
    <w:rsid w:val="009F0C53"/>
    <w:rsid w:val="009F0D97"/>
    <w:rsid w:val="009F0EFC"/>
    <w:rsid w:val="009F13F9"/>
    <w:rsid w:val="009F1714"/>
    <w:rsid w:val="009F1A42"/>
    <w:rsid w:val="009F1DF0"/>
    <w:rsid w:val="009F2131"/>
    <w:rsid w:val="009F2BAB"/>
    <w:rsid w:val="009F2ECC"/>
    <w:rsid w:val="009F3793"/>
    <w:rsid w:val="009F38EE"/>
    <w:rsid w:val="009F3C18"/>
    <w:rsid w:val="009F3E2F"/>
    <w:rsid w:val="009F4725"/>
    <w:rsid w:val="009F48B3"/>
    <w:rsid w:val="009F508E"/>
    <w:rsid w:val="009F51CD"/>
    <w:rsid w:val="009F60ED"/>
    <w:rsid w:val="009F681C"/>
    <w:rsid w:val="009F68E2"/>
    <w:rsid w:val="009F76B8"/>
    <w:rsid w:val="00A00244"/>
    <w:rsid w:val="00A00804"/>
    <w:rsid w:val="00A0155A"/>
    <w:rsid w:val="00A01EA7"/>
    <w:rsid w:val="00A02ED4"/>
    <w:rsid w:val="00A03A1B"/>
    <w:rsid w:val="00A03AF2"/>
    <w:rsid w:val="00A03C67"/>
    <w:rsid w:val="00A03CEE"/>
    <w:rsid w:val="00A04237"/>
    <w:rsid w:val="00A04C1C"/>
    <w:rsid w:val="00A05278"/>
    <w:rsid w:val="00A055B8"/>
    <w:rsid w:val="00A057D5"/>
    <w:rsid w:val="00A05B5D"/>
    <w:rsid w:val="00A05D0E"/>
    <w:rsid w:val="00A05EC1"/>
    <w:rsid w:val="00A0647E"/>
    <w:rsid w:val="00A0663A"/>
    <w:rsid w:val="00A0698A"/>
    <w:rsid w:val="00A07223"/>
    <w:rsid w:val="00A07293"/>
    <w:rsid w:val="00A10839"/>
    <w:rsid w:val="00A109AE"/>
    <w:rsid w:val="00A10AE8"/>
    <w:rsid w:val="00A10DDF"/>
    <w:rsid w:val="00A11131"/>
    <w:rsid w:val="00A11637"/>
    <w:rsid w:val="00A11B6C"/>
    <w:rsid w:val="00A11D52"/>
    <w:rsid w:val="00A11F09"/>
    <w:rsid w:val="00A11F84"/>
    <w:rsid w:val="00A12129"/>
    <w:rsid w:val="00A12ACD"/>
    <w:rsid w:val="00A12AD3"/>
    <w:rsid w:val="00A13223"/>
    <w:rsid w:val="00A13285"/>
    <w:rsid w:val="00A13B95"/>
    <w:rsid w:val="00A141A3"/>
    <w:rsid w:val="00A141E7"/>
    <w:rsid w:val="00A14778"/>
    <w:rsid w:val="00A15212"/>
    <w:rsid w:val="00A15CEA"/>
    <w:rsid w:val="00A15FDE"/>
    <w:rsid w:val="00A168BA"/>
    <w:rsid w:val="00A16E4C"/>
    <w:rsid w:val="00A1724B"/>
    <w:rsid w:val="00A17675"/>
    <w:rsid w:val="00A177F8"/>
    <w:rsid w:val="00A178B6"/>
    <w:rsid w:val="00A17B70"/>
    <w:rsid w:val="00A20393"/>
    <w:rsid w:val="00A20A44"/>
    <w:rsid w:val="00A20C97"/>
    <w:rsid w:val="00A21B71"/>
    <w:rsid w:val="00A21EC1"/>
    <w:rsid w:val="00A22450"/>
    <w:rsid w:val="00A2255E"/>
    <w:rsid w:val="00A22D1E"/>
    <w:rsid w:val="00A22F0F"/>
    <w:rsid w:val="00A22F1B"/>
    <w:rsid w:val="00A22FA3"/>
    <w:rsid w:val="00A23319"/>
    <w:rsid w:val="00A23790"/>
    <w:rsid w:val="00A247FA"/>
    <w:rsid w:val="00A24C50"/>
    <w:rsid w:val="00A24EC6"/>
    <w:rsid w:val="00A24ED0"/>
    <w:rsid w:val="00A256DE"/>
    <w:rsid w:val="00A262E7"/>
    <w:rsid w:val="00A263D4"/>
    <w:rsid w:val="00A26453"/>
    <w:rsid w:val="00A265C4"/>
    <w:rsid w:val="00A26877"/>
    <w:rsid w:val="00A2691D"/>
    <w:rsid w:val="00A26A1D"/>
    <w:rsid w:val="00A26BC1"/>
    <w:rsid w:val="00A26E2C"/>
    <w:rsid w:val="00A26F91"/>
    <w:rsid w:val="00A2796C"/>
    <w:rsid w:val="00A27CF9"/>
    <w:rsid w:val="00A27E95"/>
    <w:rsid w:val="00A27E97"/>
    <w:rsid w:val="00A27EAA"/>
    <w:rsid w:val="00A27FE2"/>
    <w:rsid w:val="00A30258"/>
    <w:rsid w:val="00A30FE6"/>
    <w:rsid w:val="00A31195"/>
    <w:rsid w:val="00A3127A"/>
    <w:rsid w:val="00A3163B"/>
    <w:rsid w:val="00A31A48"/>
    <w:rsid w:val="00A31C8E"/>
    <w:rsid w:val="00A31CCC"/>
    <w:rsid w:val="00A31EB1"/>
    <w:rsid w:val="00A32257"/>
    <w:rsid w:val="00A322EB"/>
    <w:rsid w:val="00A32508"/>
    <w:rsid w:val="00A32640"/>
    <w:rsid w:val="00A326AD"/>
    <w:rsid w:val="00A3300C"/>
    <w:rsid w:val="00A33052"/>
    <w:rsid w:val="00A332F1"/>
    <w:rsid w:val="00A335DF"/>
    <w:rsid w:val="00A33FE7"/>
    <w:rsid w:val="00A3438E"/>
    <w:rsid w:val="00A34437"/>
    <w:rsid w:val="00A34FC1"/>
    <w:rsid w:val="00A35137"/>
    <w:rsid w:val="00A3612E"/>
    <w:rsid w:val="00A37000"/>
    <w:rsid w:val="00A3795C"/>
    <w:rsid w:val="00A37F34"/>
    <w:rsid w:val="00A40132"/>
    <w:rsid w:val="00A402AB"/>
    <w:rsid w:val="00A40BF3"/>
    <w:rsid w:val="00A40EB6"/>
    <w:rsid w:val="00A41465"/>
    <w:rsid w:val="00A416D3"/>
    <w:rsid w:val="00A41CA3"/>
    <w:rsid w:val="00A4224F"/>
    <w:rsid w:val="00A4267C"/>
    <w:rsid w:val="00A427B6"/>
    <w:rsid w:val="00A42F10"/>
    <w:rsid w:val="00A43F59"/>
    <w:rsid w:val="00A4400A"/>
    <w:rsid w:val="00A44807"/>
    <w:rsid w:val="00A45378"/>
    <w:rsid w:val="00A45868"/>
    <w:rsid w:val="00A45DED"/>
    <w:rsid w:val="00A46114"/>
    <w:rsid w:val="00A466E5"/>
    <w:rsid w:val="00A46893"/>
    <w:rsid w:val="00A46CBD"/>
    <w:rsid w:val="00A46DE1"/>
    <w:rsid w:val="00A46FAE"/>
    <w:rsid w:val="00A47519"/>
    <w:rsid w:val="00A50195"/>
    <w:rsid w:val="00A50809"/>
    <w:rsid w:val="00A50FBD"/>
    <w:rsid w:val="00A5124E"/>
    <w:rsid w:val="00A51652"/>
    <w:rsid w:val="00A51771"/>
    <w:rsid w:val="00A51842"/>
    <w:rsid w:val="00A51A01"/>
    <w:rsid w:val="00A522EC"/>
    <w:rsid w:val="00A53325"/>
    <w:rsid w:val="00A533A2"/>
    <w:rsid w:val="00A53715"/>
    <w:rsid w:val="00A54545"/>
    <w:rsid w:val="00A5456D"/>
    <w:rsid w:val="00A54FCE"/>
    <w:rsid w:val="00A55A5B"/>
    <w:rsid w:val="00A56141"/>
    <w:rsid w:val="00A567EF"/>
    <w:rsid w:val="00A568E5"/>
    <w:rsid w:val="00A5773F"/>
    <w:rsid w:val="00A57783"/>
    <w:rsid w:val="00A577E9"/>
    <w:rsid w:val="00A57B3B"/>
    <w:rsid w:val="00A57CEE"/>
    <w:rsid w:val="00A60872"/>
    <w:rsid w:val="00A60D9B"/>
    <w:rsid w:val="00A61F2C"/>
    <w:rsid w:val="00A62728"/>
    <w:rsid w:val="00A63A0F"/>
    <w:rsid w:val="00A63B2A"/>
    <w:rsid w:val="00A63FB7"/>
    <w:rsid w:val="00A64D5D"/>
    <w:rsid w:val="00A64E25"/>
    <w:rsid w:val="00A657F0"/>
    <w:rsid w:val="00A65E2C"/>
    <w:rsid w:val="00A664F4"/>
    <w:rsid w:val="00A66B80"/>
    <w:rsid w:val="00A67241"/>
    <w:rsid w:val="00A67EA2"/>
    <w:rsid w:val="00A703CE"/>
    <w:rsid w:val="00A7084C"/>
    <w:rsid w:val="00A70A60"/>
    <w:rsid w:val="00A70C52"/>
    <w:rsid w:val="00A70E14"/>
    <w:rsid w:val="00A70E2A"/>
    <w:rsid w:val="00A70FB4"/>
    <w:rsid w:val="00A7119C"/>
    <w:rsid w:val="00A713FA"/>
    <w:rsid w:val="00A71A5F"/>
    <w:rsid w:val="00A71D93"/>
    <w:rsid w:val="00A71ED7"/>
    <w:rsid w:val="00A71F0B"/>
    <w:rsid w:val="00A729DD"/>
    <w:rsid w:val="00A72C9A"/>
    <w:rsid w:val="00A732B0"/>
    <w:rsid w:val="00A73394"/>
    <w:rsid w:val="00A73F8A"/>
    <w:rsid w:val="00A750DF"/>
    <w:rsid w:val="00A7541E"/>
    <w:rsid w:val="00A761DA"/>
    <w:rsid w:val="00A762E3"/>
    <w:rsid w:val="00A762F4"/>
    <w:rsid w:val="00A7652C"/>
    <w:rsid w:val="00A76535"/>
    <w:rsid w:val="00A76B5B"/>
    <w:rsid w:val="00A76E57"/>
    <w:rsid w:val="00A77611"/>
    <w:rsid w:val="00A77746"/>
    <w:rsid w:val="00A779B5"/>
    <w:rsid w:val="00A77ACC"/>
    <w:rsid w:val="00A77E35"/>
    <w:rsid w:val="00A81584"/>
    <w:rsid w:val="00A82DAA"/>
    <w:rsid w:val="00A8335D"/>
    <w:rsid w:val="00A83415"/>
    <w:rsid w:val="00A8372D"/>
    <w:rsid w:val="00A837F4"/>
    <w:rsid w:val="00A8420E"/>
    <w:rsid w:val="00A85970"/>
    <w:rsid w:val="00A85DA3"/>
    <w:rsid w:val="00A86D34"/>
    <w:rsid w:val="00A86D8B"/>
    <w:rsid w:val="00A86F75"/>
    <w:rsid w:val="00A87041"/>
    <w:rsid w:val="00A876A5"/>
    <w:rsid w:val="00A87784"/>
    <w:rsid w:val="00A903EA"/>
    <w:rsid w:val="00A90A52"/>
    <w:rsid w:val="00A910F2"/>
    <w:rsid w:val="00A917F1"/>
    <w:rsid w:val="00A92037"/>
    <w:rsid w:val="00A92A05"/>
    <w:rsid w:val="00A92A4B"/>
    <w:rsid w:val="00A9302E"/>
    <w:rsid w:val="00A935DD"/>
    <w:rsid w:val="00A93AE8"/>
    <w:rsid w:val="00A93B2B"/>
    <w:rsid w:val="00A94954"/>
    <w:rsid w:val="00A94A6E"/>
    <w:rsid w:val="00A94B05"/>
    <w:rsid w:val="00A94DA1"/>
    <w:rsid w:val="00A94EE3"/>
    <w:rsid w:val="00A94FC7"/>
    <w:rsid w:val="00A951D3"/>
    <w:rsid w:val="00A9540A"/>
    <w:rsid w:val="00A95B92"/>
    <w:rsid w:val="00A95F26"/>
    <w:rsid w:val="00A96540"/>
    <w:rsid w:val="00A97433"/>
    <w:rsid w:val="00A974D2"/>
    <w:rsid w:val="00A97705"/>
    <w:rsid w:val="00A977F3"/>
    <w:rsid w:val="00A97885"/>
    <w:rsid w:val="00A97DDA"/>
    <w:rsid w:val="00A97E69"/>
    <w:rsid w:val="00AA037A"/>
    <w:rsid w:val="00AA0D09"/>
    <w:rsid w:val="00AA0D9C"/>
    <w:rsid w:val="00AA14E6"/>
    <w:rsid w:val="00AA1777"/>
    <w:rsid w:val="00AA1D7D"/>
    <w:rsid w:val="00AA1E48"/>
    <w:rsid w:val="00AA22FF"/>
    <w:rsid w:val="00AA24D2"/>
    <w:rsid w:val="00AA2931"/>
    <w:rsid w:val="00AA29B8"/>
    <w:rsid w:val="00AA2DA6"/>
    <w:rsid w:val="00AA375D"/>
    <w:rsid w:val="00AA37C3"/>
    <w:rsid w:val="00AA38F0"/>
    <w:rsid w:val="00AA433C"/>
    <w:rsid w:val="00AA4ACB"/>
    <w:rsid w:val="00AA4EB3"/>
    <w:rsid w:val="00AA5067"/>
    <w:rsid w:val="00AA50BB"/>
    <w:rsid w:val="00AA5361"/>
    <w:rsid w:val="00AA5382"/>
    <w:rsid w:val="00AA57E5"/>
    <w:rsid w:val="00AA5A70"/>
    <w:rsid w:val="00AA5BAE"/>
    <w:rsid w:val="00AA6046"/>
    <w:rsid w:val="00AA6AEB"/>
    <w:rsid w:val="00AA6E8E"/>
    <w:rsid w:val="00AA6F43"/>
    <w:rsid w:val="00AA7078"/>
    <w:rsid w:val="00AA7636"/>
    <w:rsid w:val="00AB0308"/>
    <w:rsid w:val="00AB0C81"/>
    <w:rsid w:val="00AB1304"/>
    <w:rsid w:val="00AB2547"/>
    <w:rsid w:val="00AB26BD"/>
    <w:rsid w:val="00AB27E1"/>
    <w:rsid w:val="00AB29F9"/>
    <w:rsid w:val="00AB2DCE"/>
    <w:rsid w:val="00AB31C4"/>
    <w:rsid w:val="00AB407F"/>
    <w:rsid w:val="00AB420D"/>
    <w:rsid w:val="00AB43CD"/>
    <w:rsid w:val="00AB5B52"/>
    <w:rsid w:val="00AB5C1D"/>
    <w:rsid w:val="00AB5E32"/>
    <w:rsid w:val="00AB6783"/>
    <w:rsid w:val="00AB6798"/>
    <w:rsid w:val="00AB6A26"/>
    <w:rsid w:val="00AB7C87"/>
    <w:rsid w:val="00AB7E3E"/>
    <w:rsid w:val="00AB7EF2"/>
    <w:rsid w:val="00AC02CD"/>
    <w:rsid w:val="00AC1967"/>
    <w:rsid w:val="00AC1D92"/>
    <w:rsid w:val="00AC1EAB"/>
    <w:rsid w:val="00AC2999"/>
    <w:rsid w:val="00AC2A96"/>
    <w:rsid w:val="00AC2F57"/>
    <w:rsid w:val="00AC3057"/>
    <w:rsid w:val="00AC30BE"/>
    <w:rsid w:val="00AC36B1"/>
    <w:rsid w:val="00AC37C3"/>
    <w:rsid w:val="00AC37C8"/>
    <w:rsid w:val="00AC4191"/>
    <w:rsid w:val="00AC5C7C"/>
    <w:rsid w:val="00AC5F96"/>
    <w:rsid w:val="00AC65A0"/>
    <w:rsid w:val="00AC6CBF"/>
    <w:rsid w:val="00AC6DCC"/>
    <w:rsid w:val="00AC73E8"/>
    <w:rsid w:val="00AC7895"/>
    <w:rsid w:val="00AD0013"/>
    <w:rsid w:val="00AD01A7"/>
    <w:rsid w:val="00AD01B2"/>
    <w:rsid w:val="00AD044F"/>
    <w:rsid w:val="00AD04CD"/>
    <w:rsid w:val="00AD0B7E"/>
    <w:rsid w:val="00AD0B86"/>
    <w:rsid w:val="00AD0D99"/>
    <w:rsid w:val="00AD0DEC"/>
    <w:rsid w:val="00AD0E98"/>
    <w:rsid w:val="00AD1062"/>
    <w:rsid w:val="00AD14F5"/>
    <w:rsid w:val="00AD162E"/>
    <w:rsid w:val="00AD16D6"/>
    <w:rsid w:val="00AD2063"/>
    <w:rsid w:val="00AD276B"/>
    <w:rsid w:val="00AD296B"/>
    <w:rsid w:val="00AD2A6C"/>
    <w:rsid w:val="00AD2AE4"/>
    <w:rsid w:val="00AD2E6A"/>
    <w:rsid w:val="00AD3322"/>
    <w:rsid w:val="00AD343C"/>
    <w:rsid w:val="00AD34B3"/>
    <w:rsid w:val="00AD3B6D"/>
    <w:rsid w:val="00AD3DA5"/>
    <w:rsid w:val="00AD4AAF"/>
    <w:rsid w:val="00AD4D9B"/>
    <w:rsid w:val="00AD4E22"/>
    <w:rsid w:val="00AD501E"/>
    <w:rsid w:val="00AD5487"/>
    <w:rsid w:val="00AD5B5B"/>
    <w:rsid w:val="00AD5E04"/>
    <w:rsid w:val="00AD6249"/>
    <w:rsid w:val="00AD62F8"/>
    <w:rsid w:val="00AD6AC5"/>
    <w:rsid w:val="00AD7005"/>
    <w:rsid w:val="00AD718C"/>
    <w:rsid w:val="00AD76B5"/>
    <w:rsid w:val="00AD7771"/>
    <w:rsid w:val="00AE09AF"/>
    <w:rsid w:val="00AE181D"/>
    <w:rsid w:val="00AE198E"/>
    <w:rsid w:val="00AE1B4B"/>
    <w:rsid w:val="00AE1F31"/>
    <w:rsid w:val="00AE2015"/>
    <w:rsid w:val="00AE257C"/>
    <w:rsid w:val="00AE25E4"/>
    <w:rsid w:val="00AE271D"/>
    <w:rsid w:val="00AE2CC0"/>
    <w:rsid w:val="00AE31D8"/>
    <w:rsid w:val="00AE36FE"/>
    <w:rsid w:val="00AE4196"/>
    <w:rsid w:val="00AE41F0"/>
    <w:rsid w:val="00AE4336"/>
    <w:rsid w:val="00AE440A"/>
    <w:rsid w:val="00AE45F8"/>
    <w:rsid w:val="00AE4D37"/>
    <w:rsid w:val="00AE59D0"/>
    <w:rsid w:val="00AE5DB2"/>
    <w:rsid w:val="00AE6628"/>
    <w:rsid w:val="00AE66B7"/>
    <w:rsid w:val="00AE74BB"/>
    <w:rsid w:val="00AE74C4"/>
    <w:rsid w:val="00AE7A37"/>
    <w:rsid w:val="00AE7BD3"/>
    <w:rsid w:val="00AE7F70"/>
    <w:rsid w:val="00AF022A"/>
    <w:rsid w:val="00AF061F"/>
    <w:rsid w:val="00AF07FC"/>
    <w:rsid w:val="00AF09FE"/>
    <w:rsid w:val="00AF0C41"/>
    <w:rsid w:val="00AF0EED"/>
    <w:rsid w:val="00AF179B"/>
    <w:rsid w:val="00AF19B7"/>
    <w:rsid w:val="00AF22AD"/>
    <w:rsid w:val="00AF26B1"/>
    <w:rsid w:val="00AF27A4"/>
    <w:rsid w:val="00AF2B99"/>
    <w:rsid w:val="00AF2C6B"/>
    <w:rsid w:val="00AF39B9"/>
    <w:rsid w:val="00AF464A"/>
    <w:rsid w:val="00AF5411"/>
    <w:rsid w:val="00AF60A3"/>
    <w:rsid w:val="00AF60CF"/>
    <w:rsid w:val="00AF676E"/>
    <w:rsid w:val="00AF67F9"/>
    <w:rsid w:val="00AF68E9"/>
    <w:rsid w:val="00AF6A78"/>
    <w:rsid w:val="00B003A5"/>
    <w:rsid w:val="00B00670"/>
    <w:rsid w:val="00B006C4"/>
    <w:rsid w:val="00B008BD"/>
    <w:rsid w:val="00B01903"/>
    <w:rsid w:val="00B0216B"/>
    <w:rsid w:val="00B027A9"/>
    <w:rsid w:val="00B02F5D"/>
    <w:rsid w:val="00B0312A"/>
    <w:rsid w:val="00B0387F"/>
    <w:rsid w:val="00B03C97"/>
    <w:rsid w:val="00B03CC0"/>
    <w:rsid w:val="00B048C8"/>
    <w:rsid w:val="00B049DA"/>
    <w:rsid w:val="00B04AC1"/>
    <w:rsid w:val="00B04E92"/>
    <w:rsid w:val="00B051C1"/>
    <w:rsid w:val="00B051FB"/>
    <w:rsid w:val="00B052CF"/>
    <w:rsid w:val="00B05792"/>
    <w:rsid w:val="00B0583F"/>
    <w:rsid w:val="00B05AC3"/>
    <w:rsid w:val="00B05C1C"/>
    <w:rsid w:val="00B06248"/>
    <w:rsid w:val="00B06FA1"/>
    <w:rsid w:val="00B076FA"/>
    <w:rsid w:val="00B07A61"/>
    <w:rsid w:val="00B07ED2"/>
    <w:rsid w:val="00B10478"/>
    <w:rsid w:val="00B1057B"/>
    <w:rsid w:val="00B10724"/>
    <w:rsid w:val="00B1079E"/>
    <w:rsid w:val="00B10CFD"/>
    <w:rsid w:val="00B1130C"/>
    <w:rsid w:val="00B11605"/>
    <w:rsid w:val="00B116F9"/>
    <w:rsid w:val="00B11A76"/>
    <w:rsid w:val="00B11EB1"/>
    <w:rsid w:val="00B11FC5"/>
    <w:rsid w:val="00B12929"/>
    <w:rsid w:val="00B12B7F"/>
    <w:rsid w:val="00B14302"/>
    <w:rsid w:val="00B144A4"/>
    <w:rsid w:val="00B14A2D"/>
    <w:rsid w:val="00B14C4D"/>
    <w:rsid w:val="00B15450"/>
    <w:rsid w:val="00B15647"/>
    <w:rsid w:val="00B15EEE"/>
    <w:rsid w:val="00B16440"/>
    <w:rsid w:val="00B16561"/>
    <w:rsid w:val="00B16CA0"/>
    <w:rsid w:val="00B16D05"/>
    <w:rsid w:val="00B16D4B"/>
    <w:rsid w:val="00B16E07"/>
    <w:rsid w:val="00B1776D"/>
    <w:rsid w:val="00B2032B"/>
    <w:rsid w:val="00B20B4F"/>
    <w:rsid w:val="00B2121F"/>
    <w:rsid w:val="00B219AD"/>
    <w:rsid w:val="00B219DC"/>
    <w:rsid w:val="00B21CC0"/>
    <w:rsid w:val="00B21EF0"/>
    <w:rsid w:val="00B2263E"/>
    <w:rsid w:val="00B23800"/>
    <w:rsid w:val="00B240F2"/>
    <w:rsid w:val="00B24481"/>
    <w:rsid w:val="00B247B5"/>
    <w:rsid w:val="00B24BFC"/>
    <w:rsid w:val="00B24ECD"/>
    <w:rsid w:val="00B2540A"/>
    <w:rsid w:val="00B25446"/>
    <w:rsid w:val="00B254E8"/>
    <w:rsid w:val="00B25A5A"/>
    <w:rsid w:val="00B26C9B"/>
    <w:rsid w:val="00B26F92"/>
    <w:rsid w:val="00B27C42"/>
    <w:rsid w:val="00B30599"/>
    <w:rsid w:val="00B30A22"/>
    <w:rsid w:val="00B3145D"/>
    <w:rsid w:val="00B31C62"/>
    <w:rsid w:val="00B31DC1"/>
    <w:rsid w:val="00B320C7"/>
    <w:rsid w:val="00B32DA2"/>
    <w:rsid w:val="00B32E3D"/>
    <w:rsid w:val="00B32F2E"/>
    <w:rsid w:val="00B336E9"/>
    <w:rsid w:val="00B33C71"/>
    <w:rsid w:val="00B33CC0"/>
    <w:rsid w:val="00B33F7E"/>
    <w:rsid w:val="00B34162"/>
    <w:rsid w:val="00B351EF"/>
    <w:rsid w:val="00B354B4"/>
    <w:rsid w:val="00B35A0F"/>
    <w:rsid w:val="00B35D5C"/>
    <w:rsid w:val="00B369BD"/>
    <w:rsid w:val="00B36D4E"/>
    <w:rsid w:val="00B37666"/>
    <w:rsid w:val="00B37700"/>
    <w:rsid w:val="00B378E3"/>
    <w:rsid w:val="00B405CA"/>
    <w:rsid w:val="00B4075F"/>
    <w:rsid w:val="00B40C51"/>
    <w:rsid w:val="00B40F94"/>
    <w:rsid w:val="00B421E0"/>
    <w:rsid w:val="00B42393"/>
    <w:rsid w:val="00B42456"/>
    <w:rsid w:val="00B427F9"/>
    <w:rsid w:val="00B42A60"/>
    <w:rsid w:val="00B43048"/>
    <w:rsid w:val="00B43239"/>
    <w:rsid w:val="00B43894"/>
    <w:rsid w:val="00B43E76"/>
    <w:rsid w:val="00B44163"/>
    <w:rsid w:val="00B441C9"/>
    <w:rsid w:val="00B44354"/>
    <w:rsid w:val="00B443C2"/>
    <w:rsid w:val="00B4449C"/>
    <w:rsid w:val="00B44EC0"/>
    <w:rsid w:val="00B4539B"/>
    <w:rsid w:val="00B465C1"/>
    <w:rsid w:val="00B473D2"/>
    <w:rsid w:val="00B50002"/>
    <w:rsid w:val="00B5106D"/>
    <w:rsid w:val="00B5195A"/>
    <w:rsid w:val="00B528B0"/>
    <w:rsid w:val="00B532D8"/>
    <w:rsid w:val="00B53B6D"/>
    <w:rsid w:val="00B53D7F"/>
    <w:rsid w:val="00B54187"/>
    <w:rsid w:val="00B547F1"/>
    <w:rsid w:val="00B54F96"/>
    <w:rsid w:val="00B54F9C"/>
    <w:rsid w:val="00B5534E"/>
    <w:rsid w:val="00B55DBF"/>
    <w:rsid w:val="00B5658E"/>
    <w:rsid w:val="00B5774C"/>
    <w:rsid w:val="00B57FA7"/>
    <w:rsid w:val="00B6010C"/>
    <w:rsid w:val="00B60C93"/>
    <w:rsid w:val="00B612C3"/>
    <w:rsid w:val="00B61351"/>
    <w:rsid w:val="00B61352"/>
    <w:rsid w:val="00B618FC"/>
    <w:rsid w:val="00B61FAF"/>
    <w:rsid w:val="00B62566"/>
    <w:rsid w:val="00B628EA"/>
    <w:rsid w:val="00B62974"/>
    <w:rsid w:val="00B62C4E"/>
    <w:rsid w:val="00B62DE0"/>
    <w:rsid w:val="00B6422A"/>
    <w:rsid w:val="00B6441F"/>
    <w:rsid w:val="00B64CE0"/>
    <w:rsid w:val="00B64EEC"/>
    <w:rsid w:val="00B65618"/>
    <w:rsid w:val="00B6598E"/>
    <w:rsid w:val="00B6621C"/>
    <w:rsid w:val="00B66733"/>
    <w:rsid w:val="00B66D83"/>
    <w:rsid w:val="00B67041"/>
    <w:rsid w:val="00B670AE"/>
    <w:rsid w:val="00B67153"/>
    <w:rsid w:val="00B67E58"/>
    <w:rsid w:val="00B70226"/>
    <w:rsid w:val="00B7024E"/>
    <w:rsid w:val="00B70542"/>
    <w:rsid w:val="00B70D3C"/>
    <w:rsid w:val="00B70FFA"/>
    <w:rsid w:val="00B7136C"/>
    <w:rsid w:val="00B713B8"/>
    <w:rsid w:val="00B714D5"/>
    <w:rsid w:val="00B7151C"/>
    <w:rsid w:val="00B71AF1"/>
    <w:rsid w:val="00B720E8"/>
    <w:rsid w:val="00B72710"/>
    <w:rsid w:val="00B72D3E"/>
    <w:rsid w:val="00B734E1"/>
    <w:rsid w:val="00B735B2"/>
    <w:rsid w:val="00B737B8"/>
    <w:rsid w:val="00B73A26"/>
    <w:rsid w:val="00B73ABA"/>
    <w:rsid w:val="00B74128"/>
    <w:rsid w:val="00B74A45"/>
    <w:rsid w:val="00B750C1"/>
    <w:rsid w:val="00B756AC"/>
    <w:rsid w:val="00B75749"/>
    <w:rsid w:val="00B758DD"/>
    <w:rsid w:val="00B75CA2"/>
    <w:rsid w:val="00B763AB"/>
    <w:rsid w:val="00B76766"/>
    <w:rsid w:val="00B7722E"/>
    <w:rsid w:val="00B807EB"/>
    <w:rsid w:val="00B808E5"/>
    <w:rsid w:val="00B809AC"/>
    <w:rsid w:val="00B80CBE"/>
    <w:rsid w:val="00B81177"/>
    <w:rsid w:val="00B811D6"/>
    <w:rsid w:val="00B81313"/>
    <w:rsid w:val="00B8185D"/>
    <w:rsid w:val="00B81EDE"/>
    <w:rsid w:val="00B82057"/>
    <w:rsid w:val="00B8210B"/>
    <w:rsid w:val="00B824ED"/>
    <w:rsid w:val="00B8270C"/>
    <w:rsid w:val="00B82A95"/>
    <w:rsid w:val="00B82A96"/>
    <w:rsid w:val="00B82EA3"/>
    <w:rsid w:val="00B82FFE"/>
    <w:rsid w:val="00B83125"/>
    <w:rsid w:val="00B83353"/>
    <w:rsid w:val="00B83AA7"/>
    <w:rsid w:val="00B83BF4"/>
    <w:rsid w:val="00B83F88"/>
    <w:rsid w:val="00B84780"/>
    <w:rsid w:val="00B85234"/>
    <w:rsid w:val="00B8525A"/>
    <w:rsid w:val="00B852BC"/>
    <w:rsid w:val="00B857C4"/>
    <w:rsid w:val="00B8611A"/>
    <w:rsid w:val="00B86226"/>
    <w:rsid w:val="00B8650F"/>
    <w:rsid w:val="00B868CE"/>
    <w:rsid w:val="00B86A18"/>
    <w:rsid w:val="00B870CF"/>
    <w:rsid w:val="00B8791C"/>
    <w:rsid w:val="00B87B8B"/>
    <w:rsid w:val="00B90A53"/>
    <w:rsid w:val="00B91179"/>
    <w:rsid w:val="00B915B5"/>
    <w:rsid w:val="00B91686"/>
    <w:rsid w:val="00B91B39"/>
    <w:rsid w:val="00B91C8C"/>
    <w:rsid w:val="00B91CC2"/>
    <w:rsid w:val="00B92E1A"/>
    <w:rsid w:val="00B92EA6"/>
    <w:rsid w:val="00B93337"/>
    <w:rsid w:val="00B94740"/>
    <w:rsid w:val="00B94838"/>
    <w:rsid w:val="00B94844"/>
    <w:rsid w:val="00B94FAC"/>
    <w:rsid w:val="00B95734"/>
    <w:rsid w:val="00B9573B"/>
    <w:rsid w:val="00B962A1"/>
    <w:rsid w:val="00B973F2"/>
    <w:rsid w:val="00B978FC"/>
    <w:rsid w:val="00B97CD1"/>
    <w:rsid w:val="00BA023A"/>
    <w:rsid w:val="00BA0613"/>
    <w:rsid w:val="00BA0810"/>
    <w:rsid w:val="00BA0D35"/>
    <w:rsid w:val="00BA16C7"/>
    <w:rsid w:val="00BA17D1"/>
    <w:rsid w:val="00BA1C30"/>
    <w:rsid w:val="00BA24D2"/>
    <w:rsid w:val="00BA27F5"/>
    <w:rsid w:val="00BA2874"/>
    <w:rsid w:val="00BA3009"/>
    <w:rsid w:val="00BA351C"/>
    <w:rsid w:val="00BA436F"/>
    <w:rsid w:val="00BA4B47"/>
    <w:rsid w:val="00BA5AED"/>
    <w:rsid w:val="00BA6276"/>
    <w:rsid w:val="00BA790F"/>
    <w:rsid w:val="00BA7BC7"/>
    <w:rsid w:val="00BB0608"/>
    <w:rsid w:val="00BB0A6F"/>
    <w:rsid w:val="00BB0A83"/>
    <w:rsid w:val="00BB0D0E"/>
    <w:rsid w:val="00BB1395"/>
    <w:rsid w:val="00BB1D3B"/>
    <w:rsid w:val="00BB1FE5"/>
    <w:rsid w:val="00BB2430"/>
    <w:rsid w:val="00BB2491"/>
    <w:rsid w:val="00BB24F0"/>
    <w:rsid w:val="00BB2EEF"/>
    <w:rsid w:val="00BB31C7"/>
    <w:rsid w:val="00BB36F7"/>
    <w:rsid w:val="00BB38D3"/>
    <w:rsid w:val="00BB395F"/>
    <w:rsid w:val="00BB3B7A"/>
    <w:rsid w:val="00BB41F8"/>
    <w:rsid w:val="00BB46DF"/>
    <w:rsid w:val="00BB4D2A"/>
    <w:rsid w:val="00BB55D6"/>
    <w:rsid w:val="00BB57AB"/>
    <w:rsid w:val="00BB5CD1"/>
    <w:rsid w:val="00BB5D01"/>
    <w:rsid w:val="00BB5E08"/>
    <w:rsid w:val="00BB5EE3"/>
    <w:rsid w:val="00BB60F7"/>
    <w:rsid w:val="00BB63B8"/>
    <w:rsid w:val="00BB63C4"/>
    <w:rsid w:val="00BB640D"/>
    <w:rsid w:val="00BB6A5F"/>
    <w:rsid w:val="00BB6C98"/>
    <w:rsid w:val="00BB71ED"/>
    <w:rsid w:val="00BB7659"/>
    <w:rsid w:val="00BB79A2"/>
    <w:rsid w:val="00BC027B"/>
    <w:rsid w:val="00BC107E"/>
    <w:rsid w:val="00BC11ED"/>
    <w:rsid w:val="00BC1288"/>
    <w:rsid w:val="00BC12D9"/>
    <w:rsid w:val="00BC1D5A"/>
    <w:rsid w:val="00BC1DC0"/>
    <w:rsid w:val="00BC1F1D"/>
    <w:rsid w:val="00BC21FF"/>
    <w:rsid w:val="00BC2439"/>
    <w:rsid w:val="00BC2AAF"/>
    <w:rsid w:val="00BC2C28"/>
    <w:rsid w:val="00BC2CB1"/>
    <w:rsid w:val="00BC30D7"/>
    <w:rsid w:val="00BC38FD"/>
    <w:rsid w:val="00BC3C5A"/>
    <w:rsid w:val="00BC3E8F"/>
    <w:rsid w:val="00BC43FA"/>
    <w:rsid w:val="00BC4E4E"/>
    <w:rsid w:val="00BC5156"/>
    <w:rsid w:val="00BC5802"/>
    <w:rsid w:val="00BC5F6E"/>
    <w:rsid w:val="00BC627F"/>
    <w:rsid w:val="00BC6EF6"/>
    <w:rsid w:val="00BC7695"/>
    <w:rsid w:val="00BC7A5E"/>
    <w:rsid w:val="00BC7F2A"/>
    <w:rsid w:val="00BD021D"/>
    <w:rsid w:val="00BD0290"/>
    <w:rsid w:val="00BD03E1"/>
    <w:rsid w:val="00BD04D7"/>
    <w:rsid w:val="00BD0A08"/>
    <w:rsid w:val="00BD0A2A"/>
    <w:rsid w:val="00BD141D"/>
    <w:rsid w:val="00BD148F"/>
    <w:rsid w:val="00BD2654"/>
    <w:rsid w:val="00BD2D95"/>
    <w:rsid w:val="00BD3847"/>
    <w:rsid w:val="00BD38CA"/>
    <w:rsid w:val="00BD3A99"/>
    <w:rsid w:val="00BD3FA6"/>
    <w:rsid w:val="00BD47C8"/>
    <w:rsid w:val="00BD4981"/>
    <w:rsid w:val="00BD49C0"/>
    <w:rsid w:val="00BD5E84"/>
    <w:rsid w:val="00BD6687"/>
    <w:rsid w:val="00BD684A"/>
    <w:rsid w:val="00BD730F"/>
    <w:rsid w:val="00BD74DC"/>
    <w:rsid w:val="00BD758E"/>
    <w:rsid w:val="00BD788F"/>
    <w:rsid w:val="00BE0098"/>
    <w:rsid w:val="00BE088D"/>
    <w:rsid w:val="00BE0BBB"/>
    <w:rsid w:val="00BE0C1D"/>
    <w:rsid w:val="00BE0EBF"/>
    <w:rsid w:val="00BE136B"/>
    <w:rsid w:val="00BE174B"/>
    <w:rsid w:val="00BE17F3"/>
    <w:rsid w:val="00BE1955"/>
    <w:rsid w:val="00BE287D"/>
    <w:rsid w:val="00BE2CE6"/>
    <w:rsid w:val="00BE30A6"/>
    <w:rsid w:val="00BE3A80"/>
    <w:rsid w:val="00BE3D0A"/>
    <w:rsid w:val="00BE403D"/>
    <w:rsid w:val="00BE4433"/>
    <w:rsid w:val="00BE443A"/>
    <w:rsid w:val="00BE4C15"/>
    <w:rsid w:val="00BE4C7F"/>
    <w:rsid w:val="00BE4F5F"/>
    <w:rsid w:val="00BE51FB"/>
    <w:rsid w:val="00BE52F6"/>
    <w:rsid w:val="00BE572B"/>
    <w:rsid w:val="00BE5E71"/>
    <w:rsid w:val="00BE6005"/>
    <w:rsid w:val="00BE7141"/>
    <w:rsid w:val="00BE76CD"/>
    <w:rsid w:val="00BE7FD9"/>
    <w:rsid w:val="00BF05E8"/>
    <w:rsid w:val="00BF19A8"/>
    <w:rsid w:val="00BF208C"/>
    <w:rsid w:val="00BF2EF0"/>
    <w:rsid w:val="00BF32A1"/>
    <w:rsid w:val="00BF3383"/>
    <w:rsid w:val="00BF3480"/>
    <w:rsid w:val="00BF36FD"/>
    <w:rsid w:val="00BF375F"/>
    <w:rsid w:val="00BF3E1F"/>
    <w:rsid w:val="00BF3F7B"/>
    <w:rsid w:val="00BF43B3"/>
    <w:rsid w:val="00BF4572"/>
    <w:rsid w:val="00BF459A"/>
    <w:rsid w:val="00BF4B22"/>
    <w:rsid w:val="00BF4D34"/>
    <w:rsid w:val="00BF504F"/>
    <w:rsid w:val="00BF5567"/>
    <w:rsid w:val="00BF58FB"/>
    <w:rsid w:val="00BF59E8"/>
    <w:rsid w:val="00BF5E76"/>
    <w:rsid w:val="00BF6099"/>
    <w:rsid w:val="00BF68D6"/>
    <w:rsid w:val="00BF6B47"/>
    <w:rsid w:val="00BF6DDD"/>
    <w:rsid w:val="00BF7175"/>
    <w:rsid w:val="00BF720F"/>
    <w:rsid w:val="00BF73BF"/>
    <w:rsid w:val="00BF7622"/>
    <w:rsid w:val="00BF7B94"/>
    <w:rsid w:val="00BF7BB9"/>
    <w:rsid w:val="00C0064B"/>
    <w:rsid w:val="00C00749"/>
    <w:rsid w:val="00C00C09"/>
    <w:rsid w:val="00C00C0F"/>
    <w:rsid w:val="00C0120D"/>
    <w:rsid w:val="00C01CED"/>
    <w:rsid w:val="00C0202A"/>
    <w:rsid w:val="00C0253B"/>
    <w:rsid w:val="00C03971"/>
    <w:rsid w:val="00C03FE9"/>
    <w:rsid w:val="00C0412B"/>
    <w:rsid w:val="00C046C0"/>
    <w:rsid w:val="00C04E94"/>
    <w:rsid w:val="00C05155"/>
    <w:rsid w:val="00C05ED3"/>
    <w:rsid w:val="00C05FDD"/>
    <w:rsid w:val="00C063BF"/>
    <w:rsid w:val="00C07146"/>
    <w:rsid w:val="00C07473"/>
    <w:rsid w:val="00C07618"/>
    <w:rsid w:val="00C079FB"/>
    <w:rsid w:val="00C103B5"/>
    <w:rsid w:val="00C109AF"/>
    <w:rsid w:val="00C10F39"/>
    <w:rsid w:val="00C11121"/>
    <w:rsid w:val="00C11658"/>
    <w:rsid w:val="00C11CB3"/>
    <w:rsid w:val="00C1216F"/>
    <w:rsid w:val="00C1217D"/>
    <w:rsid w:val="00C125B8"/>
    <w:rsid w:val="00C132BA"/>
    <w:rsid w:val="00C1384F"/>
    <w:rsid w:val="00C144AB"/>
    <w:rsid w:val="00C14892"/>
    <w:rsid w:val="00C14C94"/>
    <w:rsid w:val="00C14D7E"/>
    <w:rsid w:val="00C1506E"/>
    <w:rsid w:val="00C150D6"/>
    <w:rsid w:val="00C15107"/>
    <w:rsid w:val="00C15B29"/>
    <w:rsid w:val="00C15DEE"/>
    <w:rsid w:val="00C16C0E"/>
    <w:rsid w:val="00C16C8B"/>
    <w:rsid w:val="00C17438"/>
    <w:rsid w:val="00C17D94"/>
    <w:rsid w:val="00C20C64"/>
    <w:rsid w:val="00C2154F"/>
    <w:rsid w:val="00C21F43"/>
    <w:rsid w:val="00C22BC8"/>
    <w:rsid w:val="00C2321D"/>
    <w:rsid w:val="00C235E9"/>
    <w:rsid w:val="00C23647"/>
    <w:rsid w:val="00C238BC"/>
    <w:rsid w:val="00C2399B"/>
    <w:rsid w:val="00C23AED"/>
    <w:rsid w:val="00C23F1C"/>
    <w:rsid w:val="00C24452"/>
    <w:rsid w:val="00C24564"/>
    <w:rsid w:val="00C246C6"/>
    <w:rsid w:val="00C24747"/>
    <w:rsid w:val="00C249B0"/>
    <w:rsid w:val="00C25633"/>
    <w:rsid w:val="00C25E1E"/>
    <w:rsid w:val="00C262AE"/>
    <w:rsid w:val="00C26939"/>
    <w:rsid w:val="00C26DE8"/>
    <w:rsid w:val="00C270D5"/>
    <w:rsid w:val="00C273BC"/>
    <w:rsid w:val="00C27C89"/>
    <w:rsid w:val="00C27F07"/>
    <w:rsid w:val="00C306E2"/>
    <w:rsid w:val="00C30774"/>
    <w:rsid w:val="00C30AC9"/>
    <w:rsid w:val="00C30B89"/>
    <w:rsid w:val="00C319A2"/>
    <w:rsid w:val="00C32254"/>
    <w:rsid w:val="00C325F2"/>
    <w:rsid w:val="00C32728"/>
    <w:rsid w:val="00C32957"/>
    <w:rsid w:val="00C32A8E"/>
    <w:rsid w:val="00C32D76"/>
    <w:rsid w:val="00C32FAA"/>
    <w:rsid w:val="00C33CEB"/>
    <w:rsid w:val="00C33D53"/>
    <w:rsid w:val="00C3466B"/>
    <w:rsid w:val="00C34EE3"/>
    <w:rsid w:val="00C35249"/>
    <w:rsid w:val="00C352A9"/>
    <w:rsid w:val="00C35627"/>
    <w:rsid w:val="00C36012"/>
    <w:rsid w:val="00C36057"/>
    <w:rsid w:val="00C36643"/>
    <w:rsid w:val="00C36A0E"/>
    <w:rsid w:val="00C36AE7"/>
    <w:rsid w:val="00C36CCE"/>
    <w:rsid w:val="00C378D3"/>
    <w:rsid w:val="00C379EF"/>
    <w:rsid w:val="00C37C41"/>
    <w:rsid w:val="00C37FEC"/>
    <w:rsid w:val="00C404C8"/>
    <w:rsid w:val="00C40905"/>
    <w:rsid w:val="00C40C0E"/>
    <w:rsid w:val="00C40F9A"/>
    <w:rsid w:val="00C41C2B"/>
    <w:rsid w:val="00C41FF1"/>
    <w:rsid w:val="00C434B4"/>
    <w:rsid w:val="00C4355A"/>
    <w:rsid w:val="00C43644"/>
    <w:rsid w:val="00C43BAB"/>
    <w:rsid w:val="00C43C0C"/>
    <w:rsid w:val="00C43EF7"/>
    <w:rsid w:val="00C44145"/>
    <w:rsid w:val="00C44576"/>
    <w:rsid w:val="00C44693"/>
    <w:rsid w:val="00C45511"/>
    <w:rsid w:val="00C455E7"/>
    <w:rsid w:val="00C455E8"/>
    <w:rsid w:val="00C45EA7"/>
    <w:rsid w:val="00C46327"/>
    <w:rsid w:val="00C46345"/>
    <w:rsid w:val="00C464C8"/>
    <w:rsid w:val="00C46916"/>
    <w:rsid w:val="00C46EB2"/>
    <w:rsid w:val="00C47280"/>
    <w:rsid w:val="00C472FD"/>
    <w:rsid w:val="00C47417"/>
    <w:rsid w:val="00C4786E"/>
    <w:rsid w:val="00C47EFD"/>
    <w:rsid w:val="00C500D9"/>
    <w:rsid w:val="00C5069E"/>
    <w:rsid w:val="00C50717"/>
    <w:rsid w:val="00C50FBC"/>
    <w:rsid w:val="00C517DA"/>
    <w:rsid w:val="00C51889"/>
    <w:rsid w:val="00C519DE"/>
    <w:rsid w:val="00C51AA4"/>
    <w:rsid w:val="00C51D98"/>
    <w:rsid w:val="00C5237F"/>
    <w:rsid w:val="00C52B06"/>
    <w:rsid w:val="00C52FAD"/>
    <w:rsid w:val="00C52FDF"/>
    <w:rsid w:val="00C53CDC"/>
    <w:rsid w:val="00C53DCD"/>
    <w:rsid w:val="00C53E3A"/>
    <w:rsid w:val="00C5407F"/>
    <w:rsid w:val="00C5471F"/>
    <w:rsid w:val="00C54B6C"/>
    <w:rsid w:val="00C54E54"/>
    <w:rsid w:val="00C551EA"/>
    <w:rsid w:val="00C553C0"/>
    <w:rsid w:val="00C55439"/>
    <w:rsid w:val="00C55B0C"/>
    <w:rsid w:val="00C55F36"/>
    <w:rsid w:val="00C55F77"/>
    <w:rsid w:val="00C5618E"/>
    <w:rsid w:val="00C5654A"/>
    <w:rsid w:val="00C568FB"/>
    <w:rsid w:val="00C56B3C"/>
    <w:rsid w:val="00C5760E"/>
    <w:rsid w:val="00C57712"/>
    <w:rsid w:val="00C57809"/>
    <w:rsid w:val="00C578B4"/>
    <w:rsid w:val="00C57A42"/>
    <w:rsid w:val="00C57CEE"/>
    <w:rsid w:val="00C606B7"/>
    <w:rsid w:val="00C60B2E"/>
    <w:rsid w:val="00C615C4"/>
    <w:rsid w:val="00C61954"/>
    <w:rsid w:val="00C61E1B"/>
    <w:rsid w:val="00C61E32"/>
    <w:rsid w:val="00C626D7"/>
    <w:rsid w:val="00C62928"/>
    <w:rsid w:val="00C629E7"/>
    <w:rsid w:val="00C62B52"/>
    <w:rsid w:val="00C62C2E"/>
    <w:rsid w:val="00C6377D"/>
    <w:rsid w:val="00C6380E"/>
    <w:rsid w:val="00C63A6E"/>
    <w:rsid w:val="00C64015"/>
    <w:rsid w:val="00C641A4"/>
    <w:rsid w:val="00C6432B"/>
    <w:rsid w:val="00C644F2"/>
    <w:rsid w:val="00C6460B"/>
    <w:rsid w:val="00C648BF"/>
    <w:rsid w:val="00C64FB6"/>
    <w:rsid w:val="00C65226"/>
    <w:rsid w:val="00C65451"/>
    <w:rsid w:val="00C65870"/>
    <w:rsid w:val="00C65D82"/>
    <w:rsid w:val="00C668C9"/>
    <w:rsid w:val="00C66C92"/>
    <w:rsid w:val="00C6730E"/>
    <w:rsid w:val="00C6776A"/>
    <w:rsid w:val="00C67814"/>
    <w:rsid w:val="00C67B31"/>
    <w:rsid w:val="00C67D1C"/>
    <w:rsid w:val="00C7068C"/>
    <w:rsid w:val="00C70965"/>
    <w:rsid w:val="00C70F0A"/>
    <w:rsid w:val="00C71233"/>
    <w:rsid w:val="00C723BB"/>
    <w:rsid w:val="00C72454"/>
    <w:rsid w:val="00C72535"/>
    <w:rsid w:val="00C72557"/>
    <w:rsid w:val="00C72E0C"/>
    <w:rsid w:val="00C73430"/>
    <w:rsid w:val="00C73D38"/>
    <w:rsid w:val="00C73DDB"/>
    <w:rsid w:val="00C73E23"/>
    <w:rsid w:val="00C73FF7"/>
    <w:rsid w:val="00C74514"/>
    <w:rsid w:val="00C7484C"/>
    <w:rsid w:val="00C74CD2"/>
    <w:rsid w:val="00C74D06"/>
    <w:rsid w:val="00C75086"/>
    <w:rsid w:val="00C75B5F"/>
    <w:rsid w:val="00C75DF2"/>
    <w:rsid w:val="00C76010"/>
    <w:rsid w:val="00C7604B"/>
    <w:rsid w:val="00C764D1"/>
    <w:rsid w:val="00C76E2D"/>
    <w:rsid w:val="00C770E7"/>
    <w:rsid w:val="00C77291"/>
    <w:rsid w:val="00C7769A"/>
    <w:rsid w:val="00C7780D"/>
    <w:rsid w:val="00C779DE"/>
    <w:rsid w:val="00C77DD0"/>
    <w:rsid w:val="00C77F39"/>
    <w:rsid w:val="00C80176"/>
    <w:rsid w:val="00C802E2"/>
    <w:rsid w:val="00C802E5"/>
    <w:rsid w:val="00C812AD"/>
    <w:rsid w:val="00C8140E"/>
    <w:rsid w:val="00C81410"/>
    <w:rsid w:val="00C81427"/>
    <w:rsid w:val="00C81559"/>
    <w:rsid w:val="00C815D6"/>
    <w:rsid w:val="00C817AD"/>
    <w:rsid w:val="00C817CE"/>
    <w:rsid w:val="00C82224"/>
    <w:rsid w:val="00C823EA"/>
    <w:rsid w:val="00C825EE"/>
    <w:rsid w:val="00C82BAF"/>
    <w:rsid w:val="00C82CEC"/>
    <w:rsid w:val="00C8323A"/>
    <w:rsid w:val="00C8353F"/>
    <w:rsid w:val="00C837E3"/>
    <w:rsid w:val="00C83CD9"/>
    <w:rsid w:val="00C84667"/>
    <w:rsid w:val="00C84684"/>
    <w:rsid w:val="00C84C52"/>
    <w:rsid w:val="00C84C8F"/>
    <w:rsid w:val="00C84F91"/>
    <w:rsid w:val="00C851B7"/>
    <w:rsid w:val="00C853F5"/>
    <w:rsid w:val="00C856D6"/>
    <w:rsid w:val="00C857E7"/>
    <w:rsid w:val="00C85AD8"/>
    <w:rsid w:val="00C85DD9"/>
    <w:rsid w:val="00C8668B"/>
    <w:rsid w:val="00C86714"/>
    <w:rsid w:val="00C86E1A"/>
    <w:rsid w:val="00C87287"/>
    <w:rsid w:val="00C872C3"/>
    <w:rsid w:val="00C87513"/>
    <w:rsid w:val="00C87980"/>
    <w:rsid w:val="00C9061C"/>
    <w:rsid w:val="00C90E01"/>
    <w:rsid w:val="00C91470"/>
    <w:rsid w:val="00C9161A"/>
    <w:rsid w:val="00C9177C"/>
    <w:rsid w:val="00C91E85"/>
    <w:rsid w:val="00C92C5A"/>
    <w:rsid w:val="00C92FAD"/>
    <w:rsid w:val="00C93480"/>
    <w:rsid w:val="00C9350E"/>
    <w:rsid w:val="00C940E0"/>
    <w:rsid w:val="00C94696"/>
    <w:rsid w:val="00C9485C"/>
    <w:rsid w:val="00C94860"/>
    <w:rsid w:val="00C9546B"/>
    <w:rsid w:val="00C955EC"/>
    <w:rsid w:val="00C9578F"/>
    <w:rsid w:val="00C957DB"/>
    <w:rsid w:val="00C96507"/>
    <w:rsid w:val="00C96978"/>
    <w:rsid w:val="00C96E60"/>
    <w:rsid w:val="00C97CB6"/>
    <w:rsid w:val="00CA054F"/>
    <w:rsid w:val="00CA1026"/>
    <w:rsid w:val="00CA128B"/>
    <w:rsid w:val="00CA15A0"/>
    <w:rsid w:val="00CA1B64"/>
    <w:rsid w:val="00CA1F16"/>
    <w:rsid w:val="00CA2D58"/>
    <w:rsid w:val="00CA31EE"/>
    <w:rsid w:val="00CA3A47"/>
    <w:rsid w:val="00CA3CB4"/>
    <w:rsid w:val="00CA3E1D"/>
    <w:rsid w:val="00CA3E66"/>
    <w:rsid w:val="00CA3E80"/>
    <w:rsid w:val="00CA401D"/>
    <w:rsid w:val="00CA46A5"/>
    <w:rsid w:val="00CA48BF"/>
    <w:rsid w:val="00CA4A7A"/>
    <w:rsid w:val="00CA4E0B"/>
    <w:rsid w:val="00CA5C97"/>
    <w:rsid w:val="00CA5E0F"/>
    <w:rsid w:val="00CA5F87"/>
    <w:rsid w:val="00CA60DE"/>
    <w:rsid w:val="00CA60E3"/>
    <w:rsid w:val="00CA6296"/>
    <w:rsid w:val="00CA6B4D"/>
    <w:rsid w:val="00CA6BDE"/>
    <w:rsid w:val="00CA7632"/>
    <w:rsid w:val="00CA7CD6"/>
    <w:rsid w:val="00CB0224"/>
    <w:rsid w:val="00CB036C"/>
    <w:rsid w:val="00CB0920"/>
    <w:rsid w:val="00CB1A60"/>
    <w:rsid w:val="00CB1BA5"/>
    <w:rsid w:val="00CB1C2D"/>
    <w:rsid w:val="00CB1CE3"/>
    <w:rsid w:val="00CB2355"/>
    <w:rsid w:val="00CB24EF"/>
    <w:rsid w:val="00CB2997"/>
    <w:rsid w:val="00CB2A54"/>
    <w:rsid w:val="00CB2A93"/>
    <w:rsid w:val="00CB2E2E"/>
    <w:rsid w:val="00CB31AF"/>
    <w:rsid w:val="00CB35B5"/>
    <w:rsid w:val="00CB3EA8"/>
    <w:rsid w:val="00CB423B"/>
    <w:rsid w:val="00CB43F3"/>
    <w:rsid w:val="00CB447A"/>
    <w:rsid w:val="00CB448B"/>
    <w:rsid w:val="00CB51B9"/>
    <w:rsid w:val="00CB52B4"/>
    <w:rsid w:val="00CB5D0E"/>
    <w:rsid w:val="00CB5D3B"/>
    <w:rsid w:val="00CB6388"/>
    <w:rsid w:val="00CB656E"/>
    <w:rsid w:val="00CB65DE"/>
    <w:rsid w:val="00CB6814"/>
    <w:rsid w:val="00CB6F66"/>
    <w:rsid w:val="00CB7778"/>
    <w:rsid w:val="00CC0E15"/>
    <w:rsid w:val="00CC0F00"/>
    <w:rsid w:val="00CC1670"/>
    <w:rsid w:val="00CC1DD8"/>
    <w:rsid w:val="00CC1E36"/>
    <w:rsid w:val="00CC2B43"/>
    <w:rsid w:val="00CC2BEF"/>
    <w:rsid w:val="00CC3BBC"/>
    <w:rsid w:val="00CC47FF"/>
    <w:rsid w:val="00CC4CC5"/>
    <w:rsid w:val="00CC56FD"/>
    <w:rsid w:val="00CC58B6"/>
    <w:rsid w:val="00CC5E9C"/>
    <w:rsid w:val="00CC6591"/>
    <w:rsid w:val="00CC67F6"/>
    <w:rsid w:val="00CC7030"/>
    <w:rsid w:val="00CC7326"/>
    <w:rsid w:val="00CC7714"/>
    <w:rsid w:val="00CC7AF5"/>
    <w:rsid w:val="00CC7E43"/>
    <w:rsid w:val="00CD00B2"/>
    <w:rsid w:val="00CD040D"/>
    <w:rsid w:val="00CD12A3"/>
    <w:rsid w:val="00CD13D0"/>
    <w:rsid w:val="00CD1477"/>
    <w:rsid w:val="00CD1AB0"/>
    <w:rsid w:val="00CD1C57"/>
    <w:rsid w:val="00CD1CF3"/>
    <w:rsid w:val="00CD29F9"/>
    <w:rsid w:val="00CD2F23"/>
    <w:rsid w:val="00CD3080"/>
    <w:rsid w:val="00CD3514"/>
    <w:rsid w:val="00CD3AF6"/>
    <w:rsid w:val="00CD4F11"/>
    <w:rsid w:val="00CD4F1B"/>
    <w:rsid w:val="00CD511B"/>
    <w:rsid w:val="00CD561D"/>
    <w:rsid w:val="00CD5CF7"/>
    <w:rsid w:val="00CD5D3F"/>
    <w:rsid w:val="00CD5F49"/>
    <w:rsid w:val="00CD6EDF"/>
    <w:rsid w:val="00CD70AE"/>
    <w:rsid w:val="00CD7F72"/>
    <w:rsid w:val="00CD7FB4"/>
    <w:rsid w:val="00CE046A"/>
    <w:rsid w:val="00CE07AC"/>
    <w:rsid w:val="00CE113A"/>
    <w:rsid w:val="00CE1317"/>
    <w:rsid w:val="00CE158B"/>
    <w:rsid w:val="00CE19AC"/>
    <w:rsid w:val="00CE19B8"/>
    <w:rsid w:val="00CE1B7E"/>
    <w:rsid w:val="00CE1DA2"/>
    <w:rsid w:val="00CE1FF2"/>
    <w:rsid w:val="00CE24E8"/>
    <w:rsid w:val="00CE26B1"/>
    <w:rsid w:val="00CE2732"/>
    <w:rsid w:val="00CE329B"/>
    <w:rsid w:val="00CE3381"/>
    <w:rsid w:val="00CE3623"/>
    <w:rsid w:val="00CE3BA2"/>
    <w:rsid w:val="00CE4D13"/>
    <w:rsid w:val="00CE578E"/>
    <w:rsid w:val="00CE5A69"/>
    <w:rsid w:val="00CE68EE"/>
    <w:rsid w:val="00CE78C7"/>
    <w:rsid w:val="00CF11D1"/>
    <w:rsid w:val="00CF1328"/>
    <w:rsid w:val="00CF1C78"/>
    <w:rsid w:val="00CF23A6"/>
    <w:rsid w:val="00CF27A5"/>
    <w:rsid w:val="00CF3726"/>
    <w:rsid w:val="00CF3744"/>
    <w:rsid w:val="00CF39A8"/>
    <w:rsid w:val="00CF3AA6"/>
    <w:rsid w:val="00CF3D70"/>
    <w:rsid w:val="00CF3DDB"/>
    <w:rsid w:val="00CF4292"/>
    <w:rsid w:val="00CF4750"/>
    <w:rsid w:val="00CF4B9C"/>
    <w:rsid w:val="00CF4F1F"/>
    <w:rsid w:val="00CF4F91"/>
    <w:rsid w:val="00CF500C"/>
    <w:rsid w:val="00CF754D"/>
    <w:rsid w:val="00CF766C"/>
    <w:rsid w:val="00CF7750"/>
    <w:rsid w:val="00CF7C44"/>
    <w:rsid w:val="00CF7E51"/>
    <w:rsid w:val="00D00009"/>
    <w:rsid w:val="00D0030F"/>
    <w:rsid w:val="00D00364"/>
    <w:rsid w:val="00D0085A"/>
    <w:rsid w:val="00D016D4"/>
    <w:rsid w:val="00D017DA"/>
    <w:rsid w:val="00D0180B"/>
    <w:rsid w:val="00D01BB4"/>
    <w:rsid w:val="00D01C6E"/>
    <w:rsid w:val="00D02110"/>
    <w:rsid w:val="00D026E0"/>
    <w:rsid w:val="00D03973"/>
    <w:rsid w:val="00D03EC1"/>
    <w:rsid w:val="00D04170"/>
    <w:rsid w:val="00D04324"/>
    <w:rsid w:val="00D04C75"/>
    <w:rsid w:val="00D051F0"/>
    <w:rsid w:val="00D05565"/>
    <w:rsid w:val="00D05580"/>
    <w:rsid w:val="00D055A7"/>
    <w:rsid w:val="00D0561F"/>
    <w:rsid w:val="00D05CA8"/>
    <w:rsid w:val="00D05F52"/>
    <w:rsid w:val="00D064EE"/>
    <w:rsid w:val="00D0671F"/>
    <w:rsid w:val="00D0731E"/>
    <w:rsid w:val="00D0739C"/>
    <w:rsid w:val="00D074E0"/>
    <w:rsid w:val="00D076CC"/>
    <w:rsid w:val="00D07E0A"/>
    <w:rsid w:val="00D102A8"/>
    <w:rsid w:val="00D1086B"/>
    <w:rsid w:val="00D108E2"/>
    <w:rsid w:val="00D10CDA"/>
    <w:rsid w:val="00D11382"/>
    <w:rsid w:val="00D11422"/>
    <w:rsid w:val="00D11B76"/>
    <w:rsid w:val="00D11E21"/>
    <w:rsid w:val="00D1254B"/>
    <w:rsid w:val="00D12A29"/>
    <w:rsid w:val="00D13C04"/>
    <w:rsid w:val="00D14F23"/>
    <w:rsid w:val="00D14F27"/>
    <w:rsid w:val="00D16352"/>
    <w:rsid w:val="00D16E42"/>
    <w:rsid w:val="00D16E6D"/>
    <w:rsid w:val="00D170D1"/>
    <w:rsid w:val="00D176FD"/>
    <w:rsid w:val="00D205D5"/>
    <w:rsid w:val="00D207CB"/>
    <w:rsid w:val="00D20C0A"/>
    <w:rsid w:val="00D21077"/>
    <w:rsid w:val="00D214DC"/>
    <w:rsid w:val="00D218C3"/>
    <w:rsid w:val="00D21BD3"/>
    <w:rsid w:val="00D21E3B"/>
    <w:rsid w:val="00D223BF"/>
    <w:rsid w:val="00D22819"/>
    <w:rsid w:val="00D2298B"/>
    <w:rsid w:val="00D2384C"/>
    <w:rsid w:val="00D23E07"/>
    <w:rsid w:val="00D23E66"/>
    <w:rsid w:val="00D241DF"/>
    <w:rsid w:val="00D24276"/>
    <w:rsid w:val="00D243D9"/>
    <w:rsid w:val="00D2459A"/>
    <w:rsid w:val="00D249DC"/>
    <w:rsid w:val="00D24D21"/>
    <w:rsid w:val="00D25214"/>
    <w:rsid w:val="00D259B7"/>
    <w:rsid w:val="00D25EDA"/>
    <w:rsid w:val="00D2692A"/>
    <w:rsid w:val="00D26B39"/>
    <w:rsid w:val="00D2710E"/>
    <w:rsid w:val="00D2729D"/>
    <w:rsid w:val="00D27B8A"/>
    <w:rsid w:val="00D27F30"/>
    <w:rsid w:val="00D303CC"/>
    <w:rsid w:val="00D30A14"/>
    <w:rsid w:val="00D31915"/>
    <w:rsid w:val="00D33030"/>
    <w:rsid w:val="00D333D9"/>
    <w:rsid w:val="00D338B8"/>
    <w:rsid w:val="00D341AA"/>
    <w:rsid w:val="00D343F6"/>
    <w:rsid w:val="00D34F0D"/>
    <w:rsid w:val="00D3535E"/>
    <w:rsid w:val="00D3564C"/>
    <w:rsid w:val="00D359B0"/>
    <w:rsid w:val="00D3674D"/>
    <w:rsid w:val="00D3678D"/>
    <w:rsid w:val="00D36E81"/>
    <w:rsid w:val="00D3763F"/>
    <w:rsid w:val="00D378BA"/>
    <w:rsid w:val="00D40812"/>
    <w:rsid w:val="00D4139D"/>
    <w:rsid w:val="00D41524"/>
    <w:rsid w:val="00D417B9"/>
    <w:rsid w:val="00D42483"/>
    <w:rsid w:val="00D426E4"/>
    <w:rsid w:val="00D42813"/>
    <w:rsid w:val="00D42CE6"/>
    <w:rsid w:val="00D4370E"/>
    <w:rsid w:val="00D43AD4"/>
    <w:rsid w:val="00D43BB2"/>
    <w:rsid w:val="00D4414C"/>
    <w:rsid w:val="00D44785"/>
    <w:rsid w:val="00D44956"/>
    <w:rsid w:val="00D44A09"/>
    <w:rsid w:val="00D44B09"/>
    <w:rsid w:val="00D44D0B"/>
    <w:rsid w:val="00D44E1B"/>
    <w:rsid w:val="00D4537D"/>
    <w:rsid w:val="00D46274"/>
    <w:rsid w:val="00D46307"/>
    <w:rsid w:val="00D46634"/>
    <w:rsid w:val="00D46652"/>
    <w:rsid w:val="00D500E3"/>
    <w:rsid w:val="00D5058E"/>
    <w:rsid w:val="00D50B26"/>
    <w:rsid w:val="00D50C39"/>
    <w:rsid w:val="00D50CA6"/>
    <w:rsid w:val="00D50D64"/>
    <w:rsid w:val="00D50E3E"/>
    <w:rsid w:val="00D50E61"/>
    <w:rsid w:val="00D50FEF"/>
    <w:rsid w:val="00D51805"/>
    <w:rsid w:val="00D51977"/>
    <w:rsid w:val="00D51B97"/>
    <w:rsid w:val="00D51CE6"/>
    <w:rsid w:val="00D51DC8"/>
    <w:rsid w:val="00D51FF7"/>
    <w:rsid w:val="00D52447"/>
    <w:rsid w:val="00D52C62"/>
    <w:rsid w:val="00D53714"/>
    <w:rsid w:val="00D5388D"/>
    <w:rsid w:val="00D547A7"/>
    <w:rsid w:val="00D54A47"/>
    <w:rsid w:val="00D54C5B"/>
    <w:rsid w:val="00D54F6A"/>
    <w:rsid w:val="00D550D2"/>
    <w:rsid w:val="00D55744"/>
    <w:rsid w:val="00D55E60"/>
    <w:rsid w:val="00D55ED9"/>
    <w:rsid w:val="00D56439"/>
    <w:rsid w:val="00D56DE7"/>
    <w:rsid w:val="00D56E30"/>
    <w:rsid w:val="00D574FE"/>
    <w:rsid w:val="00D5781A"/>
    <w:rsid w:val="00D57A31"/>
    <w:rsid w:val="00D57F3D"/>
    <w:rsid w:val="00D60062"/>
    <w:rsid w:val="00D6012A"/>
    <w:rsid w:val="00D60334"/>
    <w:rsid w:val="00D60381"/>
    <w:rsid w:val="00D60874"/>
    <w:rsid w:val="00D60C95"/>
    <w:rsid w:val="00D61270"/>
    <w:rsid w:val="00D619BD"/>
    <w:rsid w:val="00D61E1A"/>
    <w:rsid w:val="00D61FE3"/>
    <w:rsid w:val="00D62B4B"/>
    <w:rsid w:val="00D63272"/>
    <w:rsid w:val="00D63682"/>
    <w:rsid w:val="00D64102"/>
    <w:rsid w:val="00D6549E"/>
    <w:rsid w:val="00D65678"/>
    <w:rsid w:val="00D6607C"/>
    <w:rsid w:val="00D66614"/>
    <w:rsid w:val="00D66AD1"/>
    <w:rsid w:val="00D66B54"/>
    <w:rsid w:val="00D66EB8"/>
    <w:rsid w:val="00D673D2"/>
    <w:rsid w:val="00D6769C"/>
    <w:rsid w:val="00D67B7A"/>
    <w:rsid w:val="00D7096D"/>
    <w:rsid w:val="00D70A03"/>
    <w:rsid w:val="00D711C5"/>
    <w:rsid w:val="00D71244"/>
    <w:rsid w:val="00D71386"/>
    <w:rsid w:val="00D713A1"/>
    <w:rsid w:val="00D7140B"/>
    <w:rsid w:val="00D71BBF"/>
    <w:rsid w:val="00D71ED0"/>
    <w:rsid w:val="00D72545"/>
    <w:rsid w:val="00D72778"/>
    <w:rsid w:val="00D741C1"/>
    <w:rsid w:val="00D743C1"/>
    <w:rsid w:val="00D749F4"/>
    <w:rsid w:val="00D74A5D"/>
    <w:rsid w:val="00D74D91"/>
    <w:rsid w:val="00D757AB"/>
    <w:rsid w:val="00D75C8C"/>
    <w:rsid w:val="00D766D2"/>
    <w:rsid w:val="00D7670D"/>
    <w:rsid w:val="00D7680D"/>
    <w:rsid w:val="00D76DA1"/>
    <w:rsid w:val="00D76FA9"/>
    <w:rsid w:val="00D77474"/>
    <w:rsid w:val="00D777C3"/>
    <w:rsid w:val="00D77A5A"/>
    <w:rsid w:val="00D77C9F"/>
    <w:rsid w:val="00D8022D"/>
    <w:rsid w:val="00D8033E"/>
    <w:rsid w:val="00D8044B"/>
    <w:rsid w:val="00D81599"/>
    <w:rsid w:val="00D817B1"/>
    <w:rsid w:val="00D82731"/>
    <w:rsid w:val="00D829D4"/>
    <w:rsid w:val="00D82D08"/>
    <w:rsid w:val="00D82DD6"/>
    <w:rsid w:val="00D83653"/>
    <w:rsid w:val="00D8385A"/>
    <w:rsid w:val="00D83C92"/>
    <w:rsid w:val="00D845F3"/>
    <w:rsid w:val="00D84855"/>
    <w:rsid w:val="00D84C2C"/>
    <w:rsid w:val="00D85023"/>
    <w:rsid w:val="00D85344"/>
    <w:rsid w:val="00D855CB"/>
    <w:rsid w:val="00D856E7"/>
    <w:rsid w:val="00D86073"/>
    <w:rsid w:val="00D86299"/>
    <w:rsid w:val="00D862F7"/>
    <w:rsid w:val="00D86BC0"/>
    <w:rsid w:val="00D86FD3"/>
    <w:rsid w:val="00D8707E"/>
    <w:rsid w:val="00D87210"/>
    <w:rsid w:val="00D8773D"/>
    <w:rsid w:val="00D90BDA"/>
    <w:rsid w:val="00D911E0"/>
    <w:rsid w:val="00D91569"/>
    <w:rsid w:val="00D9166F"/>
    <w:rsid w:val="00D920EA"/>
    <w:rsid w:val="00D92972"/>
    <w:rsid w:val="00D92D79"/>
    <w:rsid w:val="00D93209"/>
    <w:rsid w:val="00D933E0"/>
    <w:rsid w:val="00D938BF"/>
    <w:rsid w:val="00D9397A"/>
    <w:rsid w:val="00D9434D"/>
    <w:rsid w:val="00D9480E"/>
    <w:rsid w:val="00D9485A"/>
    <w:rsid w:val="00D94874"/>
    <w:rsid w:val="00D9490D"/>
    <w:rsid w:val="00D9512B"/>
    <w:rsid w:val="00D951E9"/>
    <w:rsid w:val="00D95255"/>
    <w:rsid w:val="00D95703"/>
    <w:rsid w:val="00D95C79"/>
    <w:rsid w:val="00D95FFA"/>
    <w:rsid w:val="00D96367"/>
    <w:rsid w:val="00D965C2"/>
    <w:rsid w:val="00D966D2"/>
    <w:rsid w:val="00D96B7A"/>
    <w:rsid w:val="00D96B94"/>
    <w:rsid w:val="00D972DF"/>
    <w:rsid w:val="00D97531"/>
    <w:rsid w:val="00D97B93"/>
    <w:rsid w:val="00D97C0B"/>
    <w:rsid w:val="00DA04B6"/>
    <w:rsid w:val="00DA069B"/>
    <w:rsid w:val="00DA0C87"/>
    <w:rsid w:val="00DA192B"/>
    <w:rsid w:val="00DA1AFF"/>
    <w:rsid w:val="00DA1DE5"/>
    <w:rsid w:val="00DA2091"/>
    <w:rsid w:val="00DA21AF"/>
    <w:rsid w:val="00DA23B7"/>
    <w:rsid w:val="00DA2B42"/>
    <w:rsid w:val="00DA2D4D"/>
    <w:rsid w:val="00DA3187"/>
    <w:rsid w:val="00DA33CF"/>
    <w:rsid w:val="00DA368F"/>
    <w:rsid w:val="00DA36AA"/>
    <w:rsid w:val="00DA3EFB"/>
    <w:rsid w:val="00DA4357"/>
    <w:rsid w:val="00DA4FD0"/>
    <w:rsid w:val="00DA52A8"/>
    <w:rsid w:val="00DA52C4"/>
    <w:rsid w:val="00DA552C"/>
    <w:rsid w:val="00DA5729"/>
    <w:rsid w:val="00DA5995"/>
    <w:rsid w:val="00DA5B56"/>
    <w:rsid w:val="00DA5C9D"/>
    <w:rsid w:val="00DA636D"/>
    <w:rsid w:val="00DA64CA"/>
    <w:rsid w:val="00DA6740"/>
    <w:rsid w:val="00DA6917"/>
    <w:rsid w:val="00DA7012"/>
    <w:rsid w:val="00DA703D"/>
    <w:rsid w:val="00DA71B3"/>
    <w:rsid w:val="00DA7366"/>
    <w:rsid w:val="00DA742D"/>
    <w:rsid w:val="00DA75C8"/>
    <w:rsid w:val="00DA7A37"/>
    <w:rsid w:val="00DB0313"/>
    <w:rsid w:val="00DB07F5"/>
    <w:rsid w:val="00DB0BDE"/>
    <w:rsid w:val="00DB0E2B"/>
    <w:rsid w:val="00DB0EC9"/>
    <w:rsid w:val="00DB121D"/>
    <w:rsid w:val="00DB12B0"/>
    <w:rsid w:val="00DB1401"/>
    <w:rsid w:val="00DB19B2"/>
    <w:rsid w:val="00DB1BA0"/>
    <w:rsid w:val="00DB1E5A"/>
    <w:rsid w:val="00DB2193"/>
    <w:rsid w:val="00DB29B6"/>
    <w:rsid w:val="00DB2A60"/>
    <w:rsid w:val="00DB2F5C"/>
    <w:rsid w:val="00DB33DB"/>
    <w:rsid w:val="00DB38FF"/>
    <w:rsid w:val="00DB3971"/>
    <w:rsid w:val="00DB3998"/>
    <w:rsid w:val="00DB3DD0"/>
    <w:rsid w:val="00DB4657"/>
    <w:rsid w:val="00DB4C88"/>
    <w:rsid w:val="00DB4F41"/>
    <w:rsid w:val="00DB632A"/>
    <w:rsid w:val="00DB6722"/>
    <w:rsid w:val="00DB6D90"/>
    <w:rsid w:val="00DB7583"/>
    <w:rsid w:val="00DB7DC8"/>
    <w:rsid w:val="00DB7FD2"/>
    <w:rsid w:val="00DB7FE1"/>
    <w:rsid w:val="00DC064A"/>
    <w:rsid w:val="00DC0B41"/>
    <w:rsid w:val="00DC0C67"/>
    <w:rsid w:val="00DC0F46"/>
    <w:rsid w:val="00DC101E"/>
    <w:rsid w:val="00DC1132"/>
    <w:rsid w:val="00DC21D2"/>
    <w:rsid w:val="00DC2299"/>
    <w:rsid w:val="00DC280A"/>
    <w:rsid w:val="00DC29F5"/>
    <w:rsid w:val="00DC2CC5"/>
    <w:rsid w:val="00DC3E18"/>
    <w:rsid w:val="00DC40F6"/>
    <w:rsid w:val="00DC47B5"/>
    <w:rsid w:val="00DC4B53"/>
    <w:rsid w:val="00DC52A7"/>
    <w:rsid w:val="00DC52C1"/>
    <w:rsid w:val="00DC58D6"/>
    <w:rsid w:val="00DC6683"/>
    <w:rsid w:val="00DC697F"/>
    <w:rsid w:val="00DC6B21"/>
    <w:rsid w:val="00DC7380"/>
    <w:rsid w:val="00DC75C4"/>
    <w:rsid w:val="00DC7F4D"/>
    <w:rsid w:val="00DC7F60"/>
    <w:rsid w:val="00DD0167"/>
    <w:rsid w:val="00DD04CD"/>
    <w:rsid w:val="00DD04EF"/>
    <w:rsid w:val="00DD065C"/>
    <w:rsid w:val="00DD0DB2"/>
    <w:rsid w:val="00DD0DB5"/>
    <w:rsid w:val="00DD14AB"/>
    <w:rsid w:val="00DD17E7"/>
    <w:rsid w:val="00DD1931"/>
    <w:rsid w:val="00DD2271"/>
    <w:rsid w:val="00DD3088"/>
    <w:rsid w:val="00DD3307"/>
    <w:rsid w:val="00DD387F"/>
    <w:rsid w:val="00DD3CE6"/>
    <w:rsid w:val="00DD4167"/>
    <w:rsid w:val="00DD4198"/>
    <w:rsid w:val="00DD46EF"/>
    <w:rsid w:val="00DD4A1E"/>
    <w:rsid w:val="00DD4C4C"/>
    <w:rsid w:val="00DD4D72"/>
    <w:rsid w:val="00DD5079"/>
    <w:rsid w:val="00DD580A"/>
    <w:rsid w:val="00DD5A6A"/>
    <w:rsid w:val="00DD5E30"/>
    <w:rsid w:val="00DD609D"/>
    <w:rsid w:val="00DD6415"/>
    <w:rsid w:val="00DD6783"/>
    <w:rsid w:val="00DD6875"/>
    <w:rsid w:val="00DD6CC4"/>
    <w:rsid w:val="00DD6FC6"/>
    <w:rsid w:val="00DD7220"/>
    <w:rsid w:val="00DD7AB4"/>
    <w:rsid w:val="00DE00A2"/>
    <w:rsid w:val="00DE0A0E"/>
    <w:rsid w:val="00DE0CB5"/>
    <w:rsid w:val="00DE0E73"/>
    <w:rsid w:val="00DE1121"/>
    <w:rsid w:val="00DE1267"/>
    <w:rsid w:val="00DE131A"/>
    <w:rsid w:val="00DE1B37"/>
    <w:rsid w:val="00DE1D04"/>
    <w:rsid w:val="00DE1DFC"/>
    <w:rsid w:val="00DE22A0"/>
    <w:rsid w:val="00DE2362"/>
    <w:rsid w:val="00DE2925"/>
    <w:rsid w:val="00DE2C5C"/>
    <w:rsid w:val="00DE2C6B"/>
    <w:rsid w:val="00DE33BC"/>
    <w:rsid w:val="00DE36D5"/>
    <w:rsid w:val="00DE37AA"/>
    <w:rsid w:val="00DE3C35"/>
    <w:rsid w:val="00DE3DF9"/>
    <w:rsid w:val="00DE4468"/>
    <w:rsid w:val="00DE4DF6"/>
    <w:rsid w:val="00DE5442"/>
    <w:rsid w:val="00DE5786"/>
    <w:rsid w:val="00DE5956"/>
    <w:rsid w:val="00DE5B6C"/>
    <w:rsid w:val="00DE5BF3"/>
    <w:rsid w:val="00DE5D5E"/>
    <w:rsid w:val="00DE5F70"/>
    <w:rsid w:val="00DE62FF"/>
    <w:rsid w:val="00DE65DF"/>
    <w:rsid w:val="00DE679F"/>
    <w:rsid w:val="00DE6FBE"/>
    <w:rsid w:val="00DE77CE"/>
    <w:rsid w:val="00DE7802"/>
    <w:rsid w:val="00DF0108"/>
    <w:rsid w:val="00DF02B5"/>
    <w:rsid w:val="00DF0FF6"/>
    <w:rsid w:val="00DF1044"/>
    <w:rsid w:val="00DF12CC"/>
    <w:rsid w:val="00DF136B"/>
    <w:rsid w:val="00DF1BE9"/>
    <w:rsid w:val="00DF20C3"/>
    <w:rsid w:val="00DF2364"/>
    <w:rsid w:val="00DF26E7"/>
    <w:rsid w:val="00DF38F4"/>
    <w:rsid w:val="00DF3F95"/>
    <w:rsid w:val="00DF4154"/>
    <w:rsid w:val="00DF4325"/>
    <w:rsid w:val="00DF447D"/>
    <w:rsid w:val="00DF4B79"/>
    <w:rsid w:val="00DF5692"/>
    <w:rsid w:val="00DF5972"/>
    <w:rsid w:val="00DF5996"/>
    <w:rsid w:val="00DF700E"/>
    <w:rsid w:val="00DF7485"/>
    <w:rsid w:val="00DF7E6D"/>
    <w:rsid w:val="00E0035C"/>
    <w:rsid w:val="00E004D2"/>
    <w:rsid w:val="00E009B0"/>
    <w:rsid w:val="00E00D80"/>
    <w:rsid w:val="00E01066"/>
    <w:rsid w:val="00E010B2"/>
    <w:rsid w:val="00E02350"/>
    <w:rsid w:val="00E02B86"/>
    <w:rsid w:val="00E02F44"/>
    <w:rsid w:val="00E03741"/>
    <w:rsid w:val="00E03B82"/>
    <w:rsid w:val="00E03FE4"/>
    <w:rsid w:val="00E0411D"/>
    <w:rsid w:val="00E04BE0"/>
    <w:rsid w:val="00E05260"/>
    <w:rsid w:val="00E052BB"/>
    <w:rsid w:val="00E05461"/>
    <w:rsid w:val="00E0567A"/>
    <w:rsid w:val="00E06508"/>
    <w:rsid w:val="00E06726"/>
    <w:rsid w:val="00E06CD0"/>
    <w:rsid w:val="00E07590"/>
    <w:rsid w:val="00E07EAB"/>
    <w:rsid w:val="00E10465"/>
    <w:rsid w:val="00E10558"/>
    <w:rsid w:val="00E10976"/>
    <w:rsid w:val="00E10D10"/>
    <w:rsid w:val="00E11D91"/>
    <w:rsid w:val="00E123D3"/>
    <w:rsid w:val="00E1245F"/>
    <w:rsid w:val="00E125DE"/>
    <w:rsid w:val="00E12B0D"/>
    <w:rsid w:val="00E12C9D"/>
    <w:rsid w:val="00E12EEE"/>
    <w:rsid w:val="00E13EB3"/>
    <w:rsid w:val="00E14C00"/>
    <w:rsid w:val="00E153F2"/>
    <w:rsid w:val="00E15A22"/>
    <w:rsid w:val="00E15BD4"/>
    <w:rsid w:val="00E15DE6"/>
    <w:rsid w:val="00E15F9D"/>
    <w:rsid w:val="00E1605B"/>
    <w:rsid w:val="00E161A8"/>
    <w:rsid w:val="00E1665A"/>
    <w:rsid w:val="00E16A50"/>
    <w:rsid w:val="00E16A90"/>
    <w:rsid w:val="00E16CBD"/>
    <w:rsid w:val="00E1702A"/>
    <w:rsid w:val="00E1784B"/>
    <w:rsid w:val="00E17BA2"/>
    <w:rsid w:val="00E17BAF"/>
    <w:rsid w:val="00E17BF9"/>
    <w:rsid w:val="00E17C62"/>
    <w:rsid w:val="00E17F18"/>
    <w:rsid w:val="00E20870"/>
    <w:rsid w:val="00E20A67"/>
    <w:rsid w:val="00E20BFC"/>
    <w:rsid w:val="00E21469"/>
    <w:rsid w:val="00E21C36"/>
    <w:rsid w:val="00E21FFA"/>
    <w:rsid w:val="00E22534"/>
    <w:rsid w:val="00E22918"/>
    <w:rsid w:val="00E22FD4"/>
    <w:rsid w:val="00E2336D"/>
    <w:rsid w:val="00E2416D"/>
    <w:rsid w:val="00E24F4E"/>
    <w:rsid w:val="00E250C9"/>
    <w:rsid w:val="00E256E6"/>
    <w:rsid w:val="00E26777"/>
    <w:rsid w:val="00E26D26"/>
    <w:rsid w:val="00E26F92"/>
    <w:rsid w:val="00E278D7"/>
    <w:rsid w:val="00E2798F"/>
    <w:rsid w:val="00E3009B"/>
    <w:rsid w:val="00E303D9"/>
    <w:rsid w:val="00E3088E"/>
    <w:rsid w:val="00E30892"/>
    <w:rsid w:val="00E313C2"/>
    <w:rsid w:val="00E316C4"/>
    <w:rsid w:val="00E31BF4"/>
    <w:rsid w:val="00E31C9B"/>
    <w:rsid w:val="00E320A0"/>
    <w:rsid w:val="00E3229C"/>
    <w:rsid w:val="00E32813"/>
    <w:rsid w:val="00E32B79"/>
    <w:rsid w:val="00E333C1"/>
    <w:rsid w:val="00E3377C"/>
    <w:rsid w:val="00E337C2"/>
    <w:rsid w:val="00E33BAC"/>
    <w:rsid w:val="00E34511"/>
    <w:rsid w:val="00E34D98"/>
    <w:rsid w:val="00E34DF9"/>
    <w:rsid w:val="00E350C8"/>
    <w:rsid w:val="00E3515C"/>
    <w:rsid w:val="00E36242"/>
    <w:rsid w:val="00E36F9C"/>
    <w:rsid w:val="00E3758C"/>
    <w:rsid w:val="00E376C3"/>
    <w:rsid w:val="00E37BE2"/>
    <w:rsid w:val="00E37F53"/>
    <w:rsid w:val="00E40E2E"/>
    <w:rsid w:val="00E417FE"/>
    <w:rsid w:val="00E4192D"/>
    <w:rsid w:val="00E41FD3"/>
    <w:rsid w:val="00E422AA"/>
    <w:rsid w:val="00E42790"/>
    <w:rsid w:val="00E428D7"/>
    <w:rsid w:val="00E432B4"/>
    <w:rsid w:val="00E4343F"/>
    <w:rsid w:val="00E43540"/>
    <w:rsid w:val="00E438C9"/>
    <w:rsid w:val="00E439EF"/>
    <w:rsid w:val="00E43BAE"/>
    <w:rsid w:val="00E43C87"/>
    <w:rsid w:val="00E43F76"/>
    <w:rsid w:val="00E4416C"/>
    <w:rsid w:val="00E44885"/>
    <w:rsid w:val="00E44EFC"/>
    <w:rsid w:val="00E44F7D"/>
    <w:rsid w:val="00E4555A"/>
    <w:rsid w:val="00E45E3A"/>
    <w:rsid w:val="00E472B5"/>
    <w:rsid w:val="00E473AC"/>
    <w:rsid w:val="00E47CA9"/>
    <w:rsid w:val="00E47D8D"/>
    <w:rsid w:val="00E505EB"/>
    <w:rsid w:val="00E507B7"/>
    <w:rsid w:val="00E509FD"/>
    <w:rsid w:val="00E50B5C"/>
    <w:rsid w:val="00E50B9A"/>
    <w:rsid w:val="00E514AF"/>
    <w:rsid w:val="00E51D7A"/>
    <w:rsid w:val="00E52827"/>
    <w:rsid w:val="00E53190"/>
    <w:rsid w:val="00E534D0"/>
    <w:rsid w:val="00E536E7"/>
    <w:rsid w:val="00E5371E"/>
    <w:rsid w:val="00E539E7"/>
    <w:rsid w:val="00E53B70"/>
    <w:rsid w:val="00E542A4"/>
    <w:rsid w:val="00E5430A"/>
    <w:rsid w:val="00E54359"/>
    <w:rsid w:val="00E54B03"/>
    <w:rsid w:val="00E56424"/>
    <w:rsid w:val="00E5662F"/>
    <w:rsid w:val="00E566C9"/>
    <w:rsid w:val="00E566EA"/>
    <w:rsid w:val="00E57520"/>
    <w:rsid w:val="00E57A54"/>
    <w:rsid w:val="00E57C42"/>
    <w:rsid w:val="00E57C71"/>
    <w:rsid w:val="00E60E4B"/>
    <w:rsid w:val="00E61369"/>
    <w:rsid w:val="00E61B24"/>
    <w:rsid w:val="00E6237B"/>
    <w:rsid w:val="00E629FB"/>
    <w:rsid w:val="00E62E45"/>
    <w:rsid w:val="00E6312E"/>
    <w:rsid w:val="00E63264"/>
    <w:rsid w:val="00E638FE"/>
    <w:rsid w:val="00E63BCE"/>
    <w:rsid w:val="00E63FD3"/>
    <w:rsid w:val="00E64A01"/>
    <w:rsid w:val="00E65157"/>
    <w:rsid w:val="00E65725"/>
    <w:rsid w:val="00E65899"/>
    <w:rsid w:val="00E65BE2"/>
    <w:rsid w:val="00E65F6F"/>
    <w:rsid w:val="00E6670A"/>
    <w:rsid w:val="00E669A5"/>
    <w:rsid w:val="00E66A75"/>
    <w:rsid w:val="00E671EB"/>
    <w:rsid w:val="00E6776D"/>
    <w:rsid w:val="00E67916"/>
    <w:rsid w:val="00E67DEB"/>
    <w:rsid w:val="00E70012"/>
    <w:rsid w:val="00E70965"/>
    <w:rsid w:val="00E712FF"/>
    <w:rsid w:val="00E71869"/>
    <w:rsid w:val="00E720C8"/>
    <w:rsid w:val="00E72387"/>
    <w:rsid w:val="00E736A6"/>
    <w:rsid w:val="00E73993"/>
    <w:rsid w:val="00E73AC1"/>
    <w:rsid w:val="00E74A0D"/>
    <w:rsid w:val="00E74A8F"/>
    <w:rsid w:val="00E74BE7"/>
    <w:rsid w:val="00E75055"/>
    <w:rsid w:val="00E75069"/>
    <w:rsid w:val="00E7516F"/>
    <w:rsid w:val="00E75647"/>
    <w:rsid w:val="00E756B8"/>
    <w:rsid w:val="00E7582C"/>
    <w:rsid w:val="00E7608A"/>
    <w:rsid w:val="00E7643B"/>
    <w:rsid w:val="00E766A6"/>
    <w:rsid w:val="00E76C47"/>
    <w:rsid w:val="00E777C1"/>
    <w:rsid w:val="00E77913"/>
    <w:rsid w:val="00E77CDE"/>
    <w:rsid w:val="00E80248"/>
    <w:rsid w:val="00E81905"/>
    <w:rsid w:val="00E819DC"/>
    <w:rsid w:val="00E81C6D"/>
    <w:rsid w:val="00E822D0"/>
    <w:rsid w:val="00E823BE"/>
    <w:rsid w:val="00E8273C"/>
    <w:rsid w:val="00E828BB"/>
    <w:rsid w:val="00E83774"/>
    <w:rsid w:val="00E8395C"/>
    <w:rsid w:val="00E844AC"/>
    <w:rsid w:val="00E84551"/>
    <w:rsid w:val="00E84665"/>
    <w:rsid w:val="00E84A1E"/>
    <w:rsid w:val="00E84B2D"/>
    <w:rsid w:val="00E84C50"/>
    <w:rsid w:val="00E84FEE"/>
    <w:rsid w:val="00E853C8"/>
    <w:rsid w:val="00E857BF"/>
    <w:rsid w:val="00E861B5"/>
    <w:rsid w:val="00E8627C"/>
    <w:rsid w:val="00E8638E"/>
    <w:rsid w:val="00E866DA"/>
    <w:rsid w:val="00E874EC"/>
    <w:rsid w:val="00E879A4"/>
    <w:rsid w:val="00E87C2D"/>
    <w:rsid w:val="00E87F51"/>
    <w:rsid w:val="00E90DA8"/>
    <w:rsid w:val="00E90F25"/>
    <w:rsid w:val="00E9214F"/>
    <w:rsid w:val="00E926C6"/>
    <w:rsid w:val="00E927D0"/>
    <w:rsid w:val="00E928CC"/>
    <w:rsid w:val="00E92B1E"/>
    <w:rsid w:val="00E939D2"/>
    <w:rsid w:val="00E93A71"/>
    <w:rsid w:val="00E93BB9"/>
    <w:rsid w:val="00E94308"/>
    <w:rsid w:val="00E9612E"/>
    <w:rsid w:val="00E961D2"/>
    <w:rsid w:val="00E96309"/>
    <w:rsid w:val="00E967D9"/>
    <w:rsid w:val="00E96BC4"/>
    <w:rsid w:val="00E96CED"/>
    <w:rsid w:val="00E96D3E"/>
    <w:rsid w:val="00E96E41"/>
    <w:rsid w:val="00E96FF5"/>
    <w:rsid w:val="00E9739F"/>
    <w:rsid w:val="00E974C1"/>
    <w:rsid w:val="00E97539"/>
    <w:rsid w:val="00E97804"/>
    <w:rsid w:val="00E97933"/>
    <w:rsid w:val="00E97CC2"/>
    <w:rsid w:val="00E97E75"/>
    <w:rsid w:val="00E97FA2"/>
    <w:rsid w:val="00EA0193"/>
    <w:rsid w:val="00EA04FC"/>
    <w:rsid w:val="00EA0741"/>
    <w:rsid w:val="00EA0F5E"/>
    <w:rsid w:val="00EA0FD3"/>
    <w:rsid w:val="00EA139C"/>
    <w:rsid w:val="00EA13C9"/>
    <w:rsid w:val="00EA196E"/>
    <w:rsid w:val="00EA1AF6"/>
    <w:rsid w:val="00EA1D25"/>
    <w:rsid w:val="00EA2C43"/>
    <w:rsid w:val="00EA3E1E"/>
    <w:rsid w:val="00EA404C"/>
    <w:rsid w:val="00EA4194"/>
    <w:rsid w:val="00EA4EAD"/>
    <w:rsid w:val="00EA513D"/>
    <w:rsid w:val="00EA5C60"/>
    <w:rsid w:val="00EA5D72"/>
    <w:rsid w:val="00EA654F"/>
    <w:rsid w:val="00EA6931"/>
    <w:rsid w:val="00EA6B47"/>
    <w:rsid w:val="00EA6D74"/>
    <w:rsid w:val="00EA7148"/>
    <w:rsid w:val="00EA737B"/>
    <w:rsid w:val="00EB01B7"/>
    <w:rsid w:val="00EB05BF"/>
    <w:rsid w:val="00EB0CC4"/>
    <w:rsid w:val="00EB1256"/>
    <w:rsid w:val="00EB1BF8"/>
    <w:rsid w:val="00EB2029"/>
    <w:rsid w:val="00EB272D"/>
    <w:rsid w:val="00EB278D"/>
    <w:rsid w:val="00EB2D99"/>
    <w:rsid w:val="00EB2EF8"/>
    <w:rsid w:val="00EB3046"/>
    <w:rsid w:val="00EB36DE"/>
    <w:rsid w:val="00EB3AD0"/>
    <w:rsid w:val="00EB3C1D"/>
    <w:rsid w:val="00EB3CA7"/>
    <w:rsid w:val="00EB3E14"/>
    <w:rsid w:val="00EB3F76"/>
    <w:rsid w:val="00EB4305"/>
    <w:rsid w:val="00EB435D"/>
    <w:rsid w:val="00EB4A81"/>
    <w:rsid w:val="00EB4FD7"/>
    <w:rsid w:val="00EB5062"/>
    <w:rsid w:val="00EB534D"/>
    <w:rsid w:val="00EB591B"/>
    <w:rsid w:val="00EB6397"/>
    <w:rsid w:val="00EB7AB7"/>
    <w:rsid w:val="00EC0157"/>
    <w:rsid w:val="00EC07CD"/>
    <w:rsid w:val="00EC0EBB"/>
    <w:rsid w:val="00EC0F1A"/>
    <w:rsid w:val="00EC11BF"/>
    <w:rsid w:val="00EC2239"/>
    <w:rsid w:val="00EC260D"/>
    <w:rsid w:val="00EC2911"/>
    <w:rsid w:val="00EC29E8"/>
    <w:rsid w:val="00EC2A77"/>
    <w:rsid w:val="00EC2B03"/>
    <w:rsid w:val="00EC3C93"/>
    <w:rsid w:val="00EC42CB"/>
    <w:rsid w:val="00EC4AA0"/>
    <w:rsid w:val="00EC5515"/>
    <w:rsid w:val="00EC5AE0"/>
    <w:rsid w:val="00EC5E4C"/>
    <w:rsid w:val="00EC5F5B"/>
    <w:rsid w:val="00EC6E13"/>
    <w:rsid w:val="00EC6EE4"/>
    <w:rsid w:val="00EC717C"/>
    <w:rsid w:val="00EC7924"/>
    <w:rsid w:val="00EC7E6B"/>
    <w:rsid w:val="00ED004E"/>
    <w:rsid w:val="00ED07EF"/>
    <w:rsid w:val="00ED0AE0"/>
    <w:rsid w:val="00ED0DBD"/>
    <w:rsid w:val="00ED178F"/>
    <w:rsid w:val="00ED191D"/>
    <w:rsid w:val="00ED2439"/>
    <w:rsid w:val="00ED27B4"/>
    <w:rsid w:val="00ED2C3C"/>
    <w:rsid w:val="00ED2CD5"/>
    <w:rsid w:val="00ED3247"/>
    <w:rsid w:val="00ED3401"/>
    <w:rsid w:val="00ED364A"/>
    <w:rsid w:val="00ED36BA"/>
    <w:rsid w:val="00ED3951"/>
    <w:rsid w:val="00ED3CF0"/>
    <w:rsid w:val="00ED4227"/>
    <w:rsid w:val="00ED473D"/>
    <w:rsid w:val="00ED4AAD"/>
    <w:rsid w:val="00ED4C01"/>
    <w:rsid w:val="00ED4E33"/>
    <w:rsid w:val="00ED5048"/>
    <w:rsid w:val="00ED539C"/>
    <w:rsid w:val="00ED5572"/>
    <w:rsid w:val="00ED5BC5"/>
    <w:rsid w:val="00ED5F90"/>
    <w:rsid w:val="00ED669B"/>
    <w:rsid w:val="00ED6966"/>
    <w:rsid w:val="00ED6FDE"/>
    <w:rsid w:val="00ED7654"/>
    <w:rsid w:val="00ED76B9"/>
    <w:rsid w:val="00ED788F"/>
    <w:rsid w:val="00ED7AF2"/>
    <w:rsid w:val="00ED7BAA"/>
    <w:rsid w:val="00EE02AA"/>
    <w:rsid w:val="00EE0340"/>
    <w:rsid w:val="00EE0D4C"/>
    <w:rsid w:val="00EE0E99"/>
    <w:rsid w:val="00EE13CA"/>
    <w:rsid w:val="00EE194E"/>
    <w:rsid w:val="00EE1BAD"/>
    <w:rsid w:val="00EE2722"/>
    <w:rsid w:val="00EE2ABE"/>
    <w:rsid w:val="00EE3B15"/>
    <w:rsid w:val="00EE3F7E"/>
    <w:rsid w:val="00EE4978"/>
    <w:rsid w:val="00EE4F95"/>
    <w:rsid w:val="00EE5220"/>
    <w:rsid w:val="00EE55D0"/>
    <w:rsid w:val="00EE5878"/>
    <w:rsid w:val="00EE5A4C"/>
    <w:rsid w:val="00EE5C94"/>
    <w:rsid w:val="00EE5F58"/>
    <w:rsid w:val="00EE614C"/>
    <w:rsid w:val="00EE638C"/>
    <w:rsid w:val="00EE66FE"/>
    <w:rsid w:val="00EE6B6E"/>
    <w:rsid w:val="00EE6EC2"/>
    <w:rsid w:val="00EE7281"/>
    <w:rsid w:val="00EE748E"/>
    <w:rsid w:val="00EE770C"/>
    <w:rsid w:val="00EE775D"/>
    <w:rsid w:val="00EE7847"/>
    <w:rsid w:val="00EE7882"/>
    <w:rsid w:val="00EF0B82"/>
    <w:rsid w:val="00EF0C19"/>
    <w:rsid w:val="00EF1EC5"/>
    <w:rsid w:val="00EF1F30"/>
    <w:rsid w:val="00EF21DA"/>
    <w:rsid w:val="00EF2657"/>
    <w:rsid w:val="00EF267E"/>
    <w:rsid w:val="00EF2862"/>
    <w:rsid w:val="00EF2A86"/>
    <w:rsid w:val="00EF2DB6"/>
    <w:rsid w:val="00EF3001"/>
    <w:rsid w:val="00EF31FF"/>
    <w:rsid w:val="00EF34D2"/>
    <w:rsid w:val="00EF399A"/>
    <w:rsid w:val="00EF3B15"/>
    <w:rsid w:val="00EF40E5"/>
    <w:rsid w:val="00EF4386"/>
    <w:rsid w:val="00EF4817"/>
    <w:rsid w:val="00EF52A4"/>
    <w:rsid w:val="00EF54D6"/>
    <w:rsid w:val="00EF5504"/>
    <w:rsid w:val="00EF550D"/>
    <w:rsid w:val="00EF5A10"/>
    <w:rsid w:val="00EF5D8F"/>
    <w:rsid w:val="00EF6965"/>
    <w:rsid w:val="00EF7187"/>
    <w:rsid w:val="00F000F7"/>
    <w:rsid w:val="00F00214"/>
    <w:rsid w:val="00F00279"/>
    <w:rsid w:val="00F002BD"/>
    <w:rsid w:val="00F0036D"/>
    <w:rsid w:val="00F00AEA"/>
    <w:rsid w:val="00F00B32"/>
    <w:rsid w:val="00F00CD2"/>
    <w:rsid w:val="00F01132"/>
    <w:rsid w:val="00F011B4"/>
    <w:rsid w:val="00F01431"/>
    <w:rsid w:val="00F02053"/>
    <w:rsid w:val="00F0245A"/>
    <w:rsid w:val="00F02609"/>
    <w:rsid w:val="00F02D42"/>
    <w:rsid w:val="00F03003"/>
    <w:rsid w:val="00F03062"/>
    <w:rsid w:val="00F031B1"/>
    <w:rsid w:val="00F0334E"/>
    <w:rsid w:val="00F034B7"/>
    <w:rsid w:val="00F03736"/>
    <w:rsid w:val="00F037D0"/>
    <w:rsid w:val="00F039FF"/>
    <w:rsid w:val="00F03CAA"/>
    <w:rsid w:val="00F0405D"/>
    <w:rsid w:val="00F04F12"/>
    <w:rsid w:val="00F05DE5"/>
    <w:rsid w:val="00F05FB6"/>
    <w:rsid w:val="00F0607A"/>
    <w:rsid w:val="00F0645A"/>
    <w:rsid w:val="00F06E79"/>
    <w:rsid w:val="00F07193"/>
    <w:rsid w:val="00F07417"/>
    <w:rsid w:val="00F07663"/>
    <w:rsid w:val="00F10266"/>
    <w:rsid w:val="00F1036E"/>
    <w:rsid w:val="00F10509"/>
    <w:rsid w:val="00F113FD"/>
    <w:rsid w:val="00F1181B"/>
    <w:rsid w:val="00F11F48"/>
    <w:rsid w:val="00F126CD"/>
    <w:rsid w:val="00F126D0"/>
    <w:rsid w:val="00F13645"/>
    <w:rsid w:val="00F13BC7"/>
    <w:rsid w:val="00F13C20"/>
    <w:rsid w:val="00F14220"/>
    <w:rsid w:val="00F144E2"/>
    <w:rsid w:val="00F14EDB"/>
    <w:rsid w:val="00F15181"/>
    <w:rsid w:val="00F151A4"/>
    <w:rsid w:val="00F15326"/>
    <w:rsid w:val="00F15BF1"/>
    <w:rsid w:val="00F1603F"/>
    <w:rsid w:val="00F16480"/>
    <w:rsid w:val="00F16BA2"/>
    <w:rsid w:val="00F17007"/>
    <w:rsid w:val="00F2027C"/>
    <w:rsid w:val="00F202AB"/>
    <w:rsid w:val="00F20FFE"/>
    <w:rsid w:val="00F211FB"/>
    <w:rsid w:val="00F21B8A"/>
    <w:rsid w:val="00F21D4A"/>
    <w:rsid w:val="00F22D65"/>
    <w:rsid w:val="00F2310A"/>
    <w:rsid w:val="00F23BCF"/>
    <w:rsid w:val="00F23E8B"/>
    <w:rsid w:val="00F24063"/>
    <w:rsid w:val="00F24513"/>
    <w:rsid w:val="00F24ED8"/>
    <w:rsid w:val="00F25113"/>
    <w:rsid w:val="00F254A1"/>
    <w:rsid w:val="00F255E7"/>
    <w:rsid w:val="00F2568C"/>
    <w:rsid w:val="00F25AC4"/>
    <w:rsid w:val="00F26036"/>
    <w:rsid w:val="00F267A1"/>
    <w:rsid w:val="00F26963"/>
    <w:rsid w:val="00F26B0B"/>
    <w:rsid w:val="00F26DCD"/>
    <w:rsid w:val="00F26DDC"/>
    <w:rsid w:val="00F2703C"/>
    <w:rsid w:val="00F27156"/>
    <w:rsid w:val="00F27577"/>
    <w:rsid w:val="00F27678"/>
    <w:rsid w:val="00F27F0B"/>
    <w:rsid w:val="00F30A9A"/>
    <w:rsid w:val="00F30EA7"/>
    <w:rsid w:val="00F31054"/>
    <w:rsid w:val="00F31A9A"/>
    <w:rsid w:val="00F32012"/>
    <w:rsid w:val="00F329CE"/>
    <w:rsid w:val="00F32FDF"/>
    <w:rsid w:val="00F33B17"/>
    <w:rsid w:val="00F34021"/>
    <w:rsid w:val="00F342F4"/>
    <w:rsid w:val="00F3482A"/>
    <w:rsid w:val="00F348F6"/>
    <w:rsid w:val="00F34A5D"/>
    <w:rsid w:val="00F354B3"/>
    <w:rsid w:val="00F35569"/>
    <w:rsid w:val="00F35780"/>
    <w:rsid w:val="00F35B7B"/>
    <w:rsid w:val="00F3650E"/>
    <w:rsid w:val="00F3745A"/>
    <w:rsid w:val="00F376F3"/>
    <w:rsid w:val="00F3786C"/>
    <w:rsid w:val="00F40ECD"/>
    <w:rsid w:val="00F41053"/>
    <w:rsid w:val="00F418CE"/>
    <w:rsid w:val="00F41D19"/>
    <w:rsid w:val="00F41FBE"/>
    <w:rsid w:val="00F4215F"/>
    <w:rsid w:val="00F42731"/>
    <w:rsid w:val="00F42D15"/>
    <w:rsid w:val="00F4365C"/>
    <w:rsid w:val="00F436A0"/>
    <w:rsid w:val="00F4372A"/>
    <w:rsid w:val="00F43FD4"/>
    <w:rsid w:val="00F44531"/>
    <w:rsid w:val="00F44592"/>
    <w:rsid w:val="00F455DC"/>
    <w:rsid w:val="00F456CE"/>
    <w:rsid w:val="00F457CC"/>
    <w:rsid w:val="00F45D83"/>
    <w:rsid w:val="00F45EB9"/>
    <w:rsid w:val="00F46272"/>
    <w:rsid w:val="00F4648C"/>
    <w:rsid w:val="00F46806"/>
    <w:rsid w:val="00F46836"/>
    <w:rsid w:val="00F46874"/>
    <w:rsid w:val="00F46C7C"/>
    <w:rsid w:val="00F46CBC"/>
    <w:rsid w:val="00F471C2"/>
    <w:rsid w:val="00F473C2"/>
    <w:rsid w:val="00F47456"/>
    <w:rsid w:val="00F50875"/>
    <w:rsid w:val="00F50BB3"/>
    <w:rsid w:val="00F50F1E"/>
    <w:rsid w:val="00F51299"/>
    <w:rsid w:val="00F51370"/>
    <w:rsid w:val="00F51795"/>
    <w:rsid w:val="00F51826"/>
    <w:rsid w:val="00F51951"/>
    <w:rsid w:val="00F5222C"/>
    <w:rsid w:val="00F52927"/>
    <w:rsid w:val="00F5298A"/>
    <w:rsid w:val="00F52F0D"/>
    <w:rsid w:val="00F53091"/>
    <w:rsid w:val="00F5359C"/>
    <w:rsid w:val="00F5428B"/>
    <w:rsid w:val="00F54A33"/>
    <w:rsid w:val="00F552EA"/>
    <w:rsid w:val="00F556EA"/>
    <w:rsid w:val="00F55CDA"/>
    <w:rsid w:val="00F56119"/>
    <w:rsid w:val="00F5646B"/>
    <w:rsid w:val="00F56BAA"/>
    <w:rsid w:val="00F56FFA"/>
    <w:rsid w:val="00F57AF3"/>
    <w:rsid w:val="00F57D79"/>
    <w:rsid w:val="00F606A2"/>
    <w:rsid w:val="00F60A56"/>
    <w:rsid w:val="00F60DBE"/>
    <w:rsid w:val="00F60E1D"/>
    <w:rsid w:val="00F60F6F"/>
    <w:rsid w:val="00F61FA6"/>
    <w:rsid w:val="00F622F8"/>
    <w:rsid w:val="00F62F9D"/>
    <w:rsid w:val="00F636B1"/>
    <w:rsid w:val="00F6379C"/>
    <w:rsid w:val="00F64375"/>
    <w:rsid w:val="00F651B9"/>
    <w:rsid w:val="00F6545C"/>
    <w:rsid w:val="00F654AB"/>
    <w:rsid w:val="00F661B5"/>
    <w:rsid w:val="00F6628C"/>
    <w:rsid w:val="00F665C2"/>
    <w:rsid w:val="00F67326"/>
    <w:rsid w:val="00F6743A"/>
    <w:rsid w:val="00F67607"/>
    <w:rsid w:val="00F676F2"/>
    <w:rsid w:val="00F67BBF"/>
    <w:rsid w:val="00F67E8D"/>
    <w:rsid w:val="00F67FCB"/>
    <w:rsid w:val="00F704ED"/>
    <w:rsid w:val="00F70DB6"/>
    <w:rsid w:val="00F71081"/>
    <w:rsid w:val="00F71559"/>
    <w:rsid w:val="00F71F42"/>
    <w:rsid w:val="00F7226F"/>
    <w:rsid w:val="00F7398A"/>
    <w:rsid w:val="00F73B21"/>
    <w:rsid w:val="00F73E24"/>
    <w:rsid w:val="00F73FA8"/>
    <w:rsid w:val="00F745AF"/>
    <w:rsid w:val="00F746CE"/>
    <w:rsid w:val="00F748D3"/>
    <w:rsid w:val="00F74B4B"/>
    <w:rsid w:val="00F74B7B"/>
    <w:rsid w:val="00F74EA9"/>
    <w:rsid w:val="00F75120"/>
    <w:rsid w:val="00F75148"/>
    <w:rsid w:val="00F7529E"/>
    <w:rsid w:val="00F75E9E"/>
    <w:rsid w:val="00F76261"/>
    <w:rsid w:val="00F76812"/>
    <w:rsid w:val="00F76884"/>
    <w:rsid w:val="00F76BA1"/>
    <w:rsid w:val="00F772AA"/>
    <w:rsid w:val="00F77B19"/>
    <w:rsid w:val="00F77DE8"/>
    <w:rsid w:val="00F802BE"/>
    <w:rsid w:val="00F80754"/>
    <w:rsid w:val="00F808AD"/>
    <w:rsid w:val="00F80C85"/>
    <w:rsid w:val="00F80E00"/>
    <w:rsid w:val="00F80E46"/>
    <w:rsid w:val="00F80EE4"/>
    <w:rsid w:val="00F81231"/>
    <w:rsid w:val="00F81540"/>
    <w:rsid w:val="00F8224F"/>
    <w:rsid w:val="00F827CF"/>
    <w:rsid w:val="00F82DD5"/>
    <w:rsid w:val="00F83211"/>
    <w:rsid w:val="00F83557"/>
    <w:rsid w:val="00F83E78"/>
    <w:rsid w:val="00F84260"/>
    <w:rsid w:val="00F8456A"/>
    <w:rsid w:val="00F84D90"/>
    <w:rsid w:val="00F84DEA"/>
    <w:rsid w:val="00F84F26"/>
    <w:rsid w:val="00F85249"/>
    <w:rsid w:val="00F8587D"/>
    <w:rsid w:val="00F85A6A"/>
    <w:rsid w:val="00F86F17"/>
    <w:rsid w:val="00F87F0A"/>
    <w:rsid w:val="00F87F77"/>
    <w:rsid w:val="00F90FEB"/>
    <w:rsid w:val="00F930FB"/>
    <w:rsid w:val="00F9312F"/>
    <w:rsid w:val="00F9363A"/>
    <w:rsid w:val="00F938DC"/>
    <w:rsid w:val="00F939C5"/>
    <w:rsid w:val="00F93BE9"/>
    <w:rsid w:val="00F93E45"/>
    <w:rsid w:val="00F94A1D"/>
    <w:rsid w:val="00F94A97"/>
    <w:rsid w:val="00F94B7F"/>
    <w:rsid w:val="00F95B17"/>
    <w:rsid w:val="00F966F1"/>
    <w:rsid w:val="00F96B13"/>
    <w:rsid w:val="00F96CEE"/>
    <w:rsid w:val="00F97830"/>
    <w:rsid w:val="00F97C0A"/>
    <w:rsid w:val="00F97F00"/>
    <w:rsid w:val="00FA005A"/>
    <w:rsid w:val="00FA02E1"/>
    <w:rsid w:val="00FA0C00"/>
    <w:rsid w:val="00FA0CCF"/>
    <w:rsid w:val="00FA0FEB"/>
    <w:rsid w:val="00FA11A3"/>
    <w:rsid w:val="00FA1C70"/>
    <w:rsid w:val="00FA2BDD"/>
    <w:rsid w:val="00FA32BD"/>
    <w:rsid w:val="00FA4185"/>
    <w:rsid w:val="00FA42FE"/>
    <w:rsid w:val="00FA485F"/>
    <w:rsid w:val="00FA5198"/>
    <w:rsid w:val="00FA5493"/>
    <w:rsid w:val="00FA579F"/>
    <w:rsid w:val="00FA5A64"/>
    <w:rsid w:val="00FA6338"/>
    <w:rsid w:val="00FA669A"/>
    <w:rsid w:val="00FA671C"/>
    <w:rsid w:val="00FA67F2"/>
    <w:rsid w:val="00FA6967"/>
    <w:rsid w:val="00FA75A6"/>
    <w:rsid w:val="00FA79FC"/>
    <w:rsid w:val="00FB036A"/>
    <w:rsid w:val="00FB07C9"/>
    <w:rsid w:val="00FB0DB3"/>
    <w:rsid w:val="00FB1223"/>
    <w:rsid w:val="00FB1672"/>
    <w:rsid w:val="00FB198F"/>
    <w:rsid w:val="00FB1A1D"/>
    <w:rsid w:val="00FB21BA"/>
    <w:rsid w:val="00FB263D"/>
    <w:rsid w:val="00FB2753"/>
    <w:rsid w:val="00FB2ADB"/>
    <w:rsid w:val="00FB2DC0"/>
    <w:rsid w:val="00FB2E2C"/>
    <w:rsid w:val="00FB3016"/>
    <w:rsid w:val="00FB3678"/>
    <w:rsid w:val="00FB3D97"/>
    <w:rsid w:val="00FB4086"/>
    <w:rsid w:val="00FB415F"/>
    <w:rsid w:val="00FB52BA"/>
    <w:rsid w:val="00FB5574"/>
    <w:rsid w:val="00FB5D0A"/>
    <w:rsid w:val="00FB6654"/>
    <w:rsid w:val="00FB73E7"/>
    <w:rsid w:val="00FB7423"/>
    <w:rsid w:val="00FB7668"/>
    <w:rsid w:val="00FB7D1F"/>
    <w:rsid w:val="00FB7E0F"/>
    <w:rsid w:val="00FC043D"/>
    <w:rsid w:val="00FC0914"/>
    <w:rsid w:val="00FC09B3"/>
    <w:rsid w:val="00FC199D"/>
    <w:rsid w:val="00FC2422"/>
    <w:rsid w:val="00FC2CE9"/>
    <w:rsid w:val="00FC3AB3"/>
    <w:rsid w:val="00FC461F"/>
    <w:rsid w:val="00FC4665"/>
    <w:rsid w:val="00FC4C8B"/>
    <w:rsid w:val="00FC50D3"/>
    <w:rsid w:val="00FC5A05"/>
    <w:rsid w:val="00FC631E"/>
    <w:rsid w:val="00FC6801"/>
    <w:rsid w:val="00FC688D"/>
    <w:rsid w:val="00FC6929"/>
    <w:rsid w:val="00FC6C45"/>
    <w:rsid w:val="00FC709B"/>
    <w:rsid w:val="00FC7842"/>
    <w:rsid w:val="00FC7BE4"/>
    <w:rsid w:val="00FD06AB"/>
    <w:rsid w:val="00FD0855"/>
    <w:rsid w:val="00FD09FC"/>
    <w:rsid w:val="00FD147F"/>
    <w:rsid w:val="00FD1668"/>
    <w:rsid w:val="00FD1859"/>
    <w:rsid w:val="00FD19B4"/>
    <w:rsid w:val="00FD1E1C"/>
    <w:rsid w:val="00FD205E"/>
    <w:rsid w:val="00FD2330"/>
    <w:rsid w:val="00FD2C28"/>
    <w:rsid w:val="00FD30C3"/>
    <w:rsid w:val="00FD33BB"/>
    <w:rsid w:val="00FD3A38"/>
    <w:rsid w:val="00FD3C62"/>
    <w:rsid w:val="00FD3E48"/>
    <w:rsid w:val="00FD3F41"/>
    <w:rsid w:val="00FD41EE"/>
    <w:rsid w:val="00FD469E"/>
    <w:rsid w:val="00FD48E1"/>
    <w:rsid w:val="00FD4C27"/>
    <w:rsid w:val="00FD4C65"/>
    <w:rsid w:val="00FD5275"/>
    <w:rsid w:val="00FD52F7"/>
    <w:rsid w:val="00FD5C8F"/>
    <w:rsid w:val="00FD68C0"/>
    <w:rsid w:val="00FD68FD"/>
    <w:rsid w:val="00FD707B"/>
    <w:rsid w:val="00FE01CA"/>
    <w:rsid w:val="00FE09FD"/>
    <w:rsid w:val="00FE1659"/>
    <w:rsid w:val="00FE18A6"/>
    <w:rsid w:val="00FE1971"/>
    <w:rsid w:val="00FE20AB"/>
    <w:rsid w:val="00FE2B59"/>
    <w:rsid w:val="00FE2E7D"/>
    <w:rsid w:val="00FE2E91"/>
    <w:rsid w:val="00FE36C5"/>
    <w:rsid w:val="00FE36DA"/>
    <w:rsid w:val="00FE44D6"/>
    <w:rsid w:val="00FE4C9D"/>
    <w:rsid w:val="00FE4E2B"/>
    <w:rsid w:val="00FE726E"/>
    <w:rsid w:val="00FF057C"/>
    <w:rsid w:val="00FF0E6A"/>
    <w:rsid w:val="00FF12BF"/>
    <w:rsid w:val="00FF146D"/>
    <w:rsid w:val="00FF155A"/>
    <w:rsid w:val="00FF1E60"/>
    <w:rsid w:val="00FF24A1"/>
    <w:rsid w:val="00FF266B"/>
    <w:rsid w:val="00FF26BC"/>
    <w:rsid w:val="00FF2820"/>
    <w:rsid w:val="00FF2B35"/>
    <w:rsid w:val="00FF3650"/>
    <w:rsid w:val="00FF3D66"/>
    <w:rsid w:val="00FF47B3"/>
    <w:rsid w:val="00FF48F1"/>
    <w:rsid w:val="00FF4AF4"/>
    <w:rsid w:val="00FF4FB7"/>
    <w:rsid w:val="00FF5830"/>
    <w:rsid w:val="00FF5908"/>
    <w:rsid w:val="00FF5981"/>
    <w:rsid w:val="00FF5A7F"/>
    <w:rsid w:val="00FF616E"/>
    <w:rsid w:val="00FF6A9F"/>
    <w:rsid w:val="00FF7131"/>
    <w:rsid w:val="00FF7B6A"/>
    <w:rsid w:val="016E1490"/>
    <w:rsid w:val="0202F4C5"/>
    <w:rsid w:val="023C8151"/>
    <w:rsid w:val="03F6B563"/>
    <w:rsid w:val="04BBE60F"/>
    <w:rsid w:val="057A512F"/>
    <w:rsid w:val="05EE98AC"/>
    <w:rsid w:val="0634896B"/>
    <w:rsid w:val="0692BABC"/>
    <w:rsid w:val="06EEDF4D"/>
    <w:rsid w:val="06F712D7"/>
    <w:rsid w:val="076ABBFA"/>
    <w:rsid w:val="07BE5A79"/>
    <w:rsid w:val="07EA1B8A"/>
    <w:rsid w:val="09049F21"/>
    <w:rsid w:val="0A0245FE"/>
    <w:rsid w:val="0A56CDC7"/>
    <w:rsid w:val="0A946FE1"/>
    <w:rsid w:val="0AA28226"/>
    <w:rsid w:val="0BB4D4D3"/>
    <w:rsid w:val="0C08F544"/>
    <w:rsid w:val="0C939FA3"/>
    <w:rsid w:val="0C93F8AA"/>
    <w:rsid w:val="0D00D198"/>
    <w:rsid w:val="0D278E5F"/>
    <w:rsid w:val="0D2F4B33"/>
    <w:rsid w:val="0D400B0C"/>
    <w:rsid w:val="0D5409E8"/>
    <w:rsid w:val="0F058F21"/>
    <w:rsid w:val="0F7A67C2"/>
    <w:rsid w:val="0FDF243D"/>
    <w:rsid w:val="10045527"/>
    <w:rsid w:val="1052A2DD"/>
    <w:rsid w:val="10594A15"/>
    <w:rsid w:val="10B199F0"/>
    <w:rsid w:val="11042B87"/>
    <w:rsid w:val="11C2AB4B"/>
    <w:rsid w:val="11C6BA2D"/>
    <w:rsid w:val="12E63F23"/>
    <w:rsid w:val="13D37BEB"/>
    <w:rsid w:val="13DDC6C2"/>
    <w:rsid w:val="13F56EE4"/>
    <w:rsid w:val="14CDE512"/>
    <w:rsid w:val="14DFE00A"/>
    <w:rsid w:val="1605BB7E"/>
    <w:rsid w:val="160A1EF3"/>
    <w:rsid w:val="16AD45D8"/>
    <w:rsid w:val="18F8EF92"/>
    <w:rsid w:val="1907A6FD"/>
    <w:rsid w:val="193EC585"/>
    <w:rsid w:val="199CB5EB"/>
    <w:rsid w:val="19B95BE7"/>
    <w:rsid w:val="1A539777"/>
    <w:rsid w:val="1AE61327"/>
    <w:rsid w:val="1B338545"/>
    <w:rsid w:val="1B469569"/>
    <w:rsid w:val="1B52F446"/>
    <w:rsid w:val="1BF45A51"/>
    <w:rsid w:val="1C2A59BD"/>
    <w:rsid w:val="1CD5F78D"/>
    <w:rsid w:val="1CE581A2"/>
    <w:rsid w:val="1D2E0E54"/>
    <w:rsid w:val="1D7ECDB0"/>
    <w:rsid w:val="1E119E96"/>
    <w:rsid w:val="1E3D4002"/>
    <w:rsid w:val="1E8A333B"/>
    <w:rsid w:val="1EE85CE8"/>
    <w:rsid w:val="1F144EAD"/>
    <w:rsid w:val="1F28E4BB"/>
    <w:rsid w:val="1F50EB1B"/>
    <w:rsid w:val="1FB57DC4"/>
    <w:rsid w:val="1FE39A87"/>
    <w:rsid w:val="203E3CDA"/>
    <w:rsid w:val="20482431"/>
    <w:rsid w:val="20D266C4"/>
    <w:rsid w:val="21936833"/>
    <w:rsid w:val="21A9B074"/>
    <w:rsid w:val="21C8B979"/>
    <w:rsid w:val="21F92781"/>
    <w:rsid w:val="2219A0D3"/>
    <w:rsid w:val="22B33583"/>
    <w:rsid w:val="23A269C3"/>
    <w:rsid w:val="24161D9A"/>
    <w:rsid w:val="243E3622"/>
    <w:rsid w:val="2445D3AB"/>
    <w:rsid w:val="245F8D8A"/>
    <w:rsid w:val="24DF9B1F"/>
    <w:rsid w:val="252AB993"/>
    <w:rsid w:val="2586C6DE"/>
    <w:rsid w:val="259E932C"/>
    <w:rsid w:val="26CEABF0"/>
    <w:rsid w:val="27D2F615"/>
    <w:rsid w:val="27E869F0"/>
    <w:rsid w:val="27F5E74F"/>
    <w:rsid w:val="28016E0A"/>
    <w:rsid w:val="28370829"/>
    <w:rsid w:val="28CA4A53"/>
    <w:rsid w:val="28F92ADF"/>
    <w:rsid w:val="292EDC7F"/>
    <w:rsid w:val="29437924"/>
    <w:rsid w:val="2999ED66"/>
    <w:rsid w:val="29BE1A9E"/>
    <w:rsid w:val="29E29895"/>
    <w:rsid w:val="2A71D925"/>
    <w:rsid w:val="2AF0D4D8"/>
    <w:rsid w:val="2B724028"/>
    <w:rsid w:val="2BBC975D"/>
    <w:rsid w:val="2BDA07CD"/>
    <w:rsid w:val="2C062992"/>
    <w:rsid w:val="2C42C092"/>
    <w:rsid w:val="2CD2D5CB"/>
    <w:rsid w:val="2DA7F449"/>
    <w:rsid w:val="2DFA8165"/>
    <w:rsid w:val="2E1DDF19"/>
    <w:rsid w:val="2E3D0087"/>
    <w:rsid w:val="2E463997"/>
    <w:rsid w:val="2EDC8277"/>
    <w:rsid w:val="2EE6521E"/>
    <w:rsid w:val="2F03CBE2"/>
    <w:rsid w:val="2F125AAA"/>
    <w:rsid w:val="2F54E291"/>
    <w:rsid w:val="2F6DB7F3"/>
    <w:rsid w:val="2F9CF57C"/>
    <w:rsid w:val="2FB166A3"/>
    <w:rsid w:val="305A2002"/>
    <w:rsid w:val="306231C4"/>
    <w:rsid w:val="31292485"/>
    <w:rsid w:val="31D7766F"/>
    <w:rsid w:val="3217ACA2"/>
    <w:rsid w:val="32188633"/>
    <w:rsid w:val="3266C4E8"/>
    <w:rsid w:val="3313AFC4"/>
    <w:rsid w:val="3343F6E6"/>
    <w:rsid w:val="33CABE99"/>
    <w:rsid w:val="341E44A1"/>
    <w:rsid w:val="348A2554"/>
    <w:rsid w:val="34EDCF20"/>
    <w:rsid w:val="353C7C09"/>
    <w:rsid w:val="367730B7"/>
    <w:rsid w:val="36AA4C25"/>
    <w:rsid w:val="36C51561"/>
    <w:rsid w:val="374AD824"/>
    <w:rsid w:val="37D37E23"/>
    <w:rsid w:val="381F6D23"/>
    <w:rsid w:val="384E5CBD"/>
    <w:rsid w:val="3924AA64"/>
    <w:rsid w:val="3933C087"/>
    <w:rsid w:val="3AA3B37C"/>
    <w:rsid w:val="3AB5BB91"/>
    <w:rsid w:val="3B1830D2"/>
    <w:rsid w:val="3B4770CC"/>
    <w:rsid w:val="3BE39E72"/>
    <w:rsid w:val="3CB5E03A"/>
    <w:rsid w:val="3DAAE976"/>
    <w:rsid w:val="3E180DCE"/>
    <w:rsid w:val="3E4A6EE6"/>
    <w:rsid w:val="3F1460F3"/>
    <w:rsid w:val="3F889FCE"/>
    <w:rsid w:val="401ADCB6"/>
    <w:rsid w:val="4037C055"/>
    <w:rsid w:val="40473BBE"/>
    <w:rsid w:val="40A5D6C7"/>
    <w:rsid w:val="40A8D9A0"/>
    <w:rsid w:val="40D64B78"/>
    <w:rsid w:val="4132123A"/>
    <w:rsid w:val="41889792"/>
    <w:rsid w:val="428316EF"/>
    <w:rsid w:val="436F1B8C"/>
    <w:rsid w:val="43AF1725"/>
    <w:rsid w:val="43B29A01"/>
    <w:rsid w:val="43BD0B1A"/>
    <w:rsid w:val="448AE2A7"/>
    <w:rsid w:val="450D44D0"/>
    <w:rsid w:val="45AE823A"/>
    <w:rsid w:val="464FF97C"/>
    <w:rsid w:val="46989A08"/>
    <w:rsid w:val="472652C2"/>
    <w:rsid w:val="47C9F530"/>
    <w:rsid w:val="4830AFAD"/>
    <w:rsid w:val="4893EFC3"/>
    <w:rsid w:val="496138D0"/>
    <w:rsid w:val="4970693D"/>
    <w:rsid w:val="4983BF92"/>
    <w:rsid w:val="4A5290A1"/>
    <w:rsid w:val="4A938901"/>
    <w:rsid w:val="4AE4A229"/>
    <w:rsid w:val="4B260F2D"/>
    <w:rsid w:val="4B388FC9"/>
    <w:rsid w:val="4B3981C7"/>
    <w:rsid w:val="4B4AC816"/>
    <w:rsid w:val="4B84A314"/>
    <w:rsid w:val="4C4E8C5C"/>
    <w:rsid w:val="4CACDD6A"/>
    <w:rsid w:val="4CDAA91D"/>
    <w:rsid w:val="4D487D8F"/>
    <w:rsid w:val="4DA0A669"/>
    <w:rsid w:val="4DA5B181"/>
    <w:rsid w:val="4DF7B886"/>
    <w:rsid w:val="4E0BC3C9"/>
    <w:rsid w:val="4E4BFE74"/>
    <w:rsid w:val="4E642738"/>
    <w:rsid w:val="4E914E7E"/>
    <w:rsid w:val="4EE1840B"/>
    <w:rsid w:val="4F790931"/>
    <w:rsid w:val="4F848D74"/>
    <w:rsid w:val="5033F8E2"/>
    <w:rsid w:val="50CAE0C8"/>
    <w:rsid w:val="51216C73"/>
    <w:rsid w:val="51714F27"/>
    <w:rsid w:val="531FFF7D"/>
    <w:rsid w:val="54261640"/>
    <w:rsid w:val="54479317"/>
    <w:rsid w:val="54D1C353"/>
    <w:rsid w:val="54E94351"/>
    <w:rsid w:val="550D1681"/>
    <w:rsid w:val="55DE6216"/>
    <w:rsid w:val="55E625D1"/>
    <w:rsid w:val="560C15F3"/>
    <w:rsid w:val="5682A4A4"/>
    <w:rsid w:val="56920F3B"/>
    <w:rsid w:val="56E6DD6E"/>
    <w:rsid w:val="57C22ACB"/>
    <w:rsid w:val="5803085A"/>
    <w:rsid w:val="590E2C32"/>
    <w:rsid w:val="594CDEE0"/>
    <w:rsid w:val="59B7BEFA"/>
    <w:rsid w:val="5A4E423E"/>
    <w:rsid w:val="5ABE29E0"/>
    <w:rsid w:val="5B44935B"/>
    <w:rsid w:val="5B547687"/>
    <w:rsid w:val="5B960C4A"/>
    <w:rsid w:val="5C4FA0B7"/>
    <w:rsid w:val="5C8439D6"/>
    <w:rsid w:val="5CC15B50"/>
    <w:rsid w:val="5CCD9363"/>
    <w:rsid w:val="5D9A0885"/>
    <w:rsid w:val="5DCE9655"/>
    <w:rsid w:val="5E1FE4A7"/>
    <w:rsid w:val="5EBAC770"/>
    <w:rsid w:val="5F54529F"/>
    <w:rsid w:val="5FD74D83"/>
    <w:rsid w:val="602E5FD5"/>
    <w:rsid w:val="60656F49"/>
    <w:rsid w:val="606B7678"/>
    <w:rsid w:val="612BFBC5"/>
    <w:rsid w:val="612CB5A7"/>
    <w:rsid w:val="612E8B0F"/>
    <w:rsid w:val="61362030"/>
    <w:rsid w:val="615A5805"/>
    <w:rsid w:val="6179E22D"/>
    <w:rsid w:val="61A40A75"/>
    <w:rsid w:val="61FCB454"/>
    <w:rsid w:val="625CD90F"/>
    <w:rsid w:val="626A8A46"/>
    <w:rsid w:val="62D0CC7E"/>
    <w:rsid w:val="62DF976D"/>
    <w:rsid w:val="646A4527"/>
    <w:rsid w:val="6472F51E"/>
    <w:rsid w:val="64B32DCA"/>
    <w:rsid w:val="6651B198"/>
    <w:rsid w:val="66999B6E"/>
    <w:rsid w:val="66FD611D"/>
    <w:rsid w:val="671798FD"/>
    <w:rsid w:val="6870F81E"/>
    <w:rsid w:val="68942C69"/>
    <w:rsid w:val="68EF7FA1"/>
    <w:rsid w:val="69A8EBE1"/>
    <w:rsid w:val="6A1BFA99"/>
    <w:rsid w:val="6A86BD18"/>
    <w:rsid w:val="6B4BBF4B"/>
    <w:rsid w:val="6B4F0FB9"/>
    <w:rsid w:val="6BA94DC6"/>
    <w:rsid w:val="6C213924"/>
    <w:rsid w:val="6C2F6A6E"/>
    <w:rsid w:val="6C591BFF"/>
    <w:rsid w:val="6CEA76DC"/>
    <w:rsid w:val="6D5E27E1"/>
    <w:rsid w:val="6E48836F"/>
    <w:rsid w:val="6EBB1954"/>
    <w:rsid w:val="6F202F7E"/>
    <w:rsid w:val="6F542F5A"/>
    <w:rsid w:val="6FDC9727"/>
    <w:rsid w:val="7001E0C7"/>
    <w:rsid w:val="70E149F0"/>
    <w:rsid w:val="70ECBF0B"/>
    <w:rsid w:val="71311D81"/>
    <w:rsid w:val="7190BB02"/>
    <w:rsid w:val="72490E02"/>
    <w:rsid w:val="72932B8C"/>
    <w:rsid w:val="72C01E2E"/>
    <w:rsid w:val="72C699D2"/>
    <w:rsid w:val="732EB02D"/>
    <w:rsid w:val="73D82551"/>
    <w:rsid w:val="744487C5"/>
    <w:rsid w:val="747F1C44"/>
    <w:rsid w:val="7491C090"/>
    <w:rsid w:val="74ECD699"/>
    <w:rsid w:val="7637ECAB"/>
    <w:rsid w:val="763EBE47"/>
    <w:rsid w:val="768EE2FA"/>
    <w:rsid w:val="76EAEB99"/>
    <w:rsid w:val="76F861E3"/>
    <w:rsid w:val="771B4D70"/>
    <w:rsid w:val="771B5CB5"/>
    <w:rsid w:val="77EB8592"/>
    <w:rsid w:val="7816EBEA"/>
    <w:rsid w:val="797E7DD8"/>
    <w:rsid w:val="798AF17E"/>
    <w:rsid w:val="798E0EB3"/>
    <w:rsid w:val="79923FC0"/>
    <w:rsid w:val="7A8F6DC1"/>
    <w:rsid w:val="7A9C737D"/>
    <w:rsid w:val="7AA7FD9B"/>
    <w:rsid w:val="7B450910"/>
    <w:rsid w:val="7B8B3668"/>
    <w:rsid w:val="7C9D6DBE"/>
    <w:rsid w:val="7CB59BEF"/>
    <w:rsid w:val="7D204899"/>
    <w:rsid w:val="7D3D55E2"/>
    <w:rsid w:val="7E6F18D9"/>
    <w:rsid w:val="7F8DC3C2"/>
    <w:rsid w:val="7FA2F7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A6B2B"/>
  <w15:docId w15:val="{CBFA5195-F57A-4A07-93FC-8E6ABC45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lsdException w:name="macro" w:semiHidden="1"/>
    <w:lsdException w:name="toa heading" w:semiHidden="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D74D91"/>
    <w:pPr>
      <w:spacing w:before="0" w:after="0"/>
      <w:ind w:left="0" w:firstLine="0"/>
    </w:pPr>
    <w:rPr>
      <w:lang w:eastAsia="en-US"/>
    </w:rPr>
  </w:style>
  <w:style w:type="paragraph" w:styleId="Heading1">
    <w:name w:val="heading 1"/>
    <w:basedOn w:val="Normal"/>
    <w:next w:val="BodyText"/>
    <w:link w:val="Heading1Char"/>
    <w:qFormat/>
    <w:locked/>
    <w:rsid w:val="00ED539C"/>
    <w:pPr>
      <w:keepNext/>
      <w:numPr>
        <w:numId w:val="70"/>
      </w:numPr>
      <w:spacing w:before="400" w:after="600"/>
      <w:ind w:left="851" w:hanging="851"/>
      <w:outlineLvl w:val="0"/>
    </w:pPr>
    <w:rPr>
      <w:rFonts w:ascii="Public Sans SemiBold" w:hAnsi="Public Sans SemiBold"/>
      <w:caps/>
      <w:color w:val="0B3F47"/>
      <w:kern w:val="28"/>
      <w:sz w:val="40"/>
      <w:szCs w:val="36"/>
    </w:rPr>
  </w:style>
  <w:style w:type="paragraph" w:styleId="Heading2">
    <w:name w:val="heading 2"/>
    <w:aliases w:val="Heading2 Numbered"/>
    <w:basedOn w:val="Normal"/>
    <w:next w:val="BodyText"/>
    <w:link w:val="Heading2Char"/>
    <w:uiPriority w:val="9"/>
    <w:qFormat/>
    <w:rsid w:val="00173234"/>
    <w:pPr>
      <w:keepNext/>
      <w:widowControl w:val="0"/>
      <w:pBdr>
        <w:bottom w:val="single" w:sz="4" w:space="2" w:color="008EBA"/>
      </w:pBdr>
      <w:spacing w:before="240" w:after="100" w:line="240" w:lineRule="atLeast"/>
      <w:ind w:left="360" w:hanging="360"/>
      <w:outlineLvl w:val="1"/>
    </w:pPr>
    <w:rPr>
      <w:rFonts w:ascii="Arial Bold" w:hAnsi="Arial Bold"/>
      <w:b/>
      <w:color w:val="008EBA"/>
      <w:kern w:val="28"/>
      <w:sz w:val="24"/>
      <w:szCs w:val="36"/>
    </w:rPr>
  </w:style>
  <w:style w:type="paragraph" w:styleId="Heading3">
    <w:name w:val="heading 3"/>
    <w:next w:val="BodyText"/>
    <w:link w:val="Heading3Char"/>
    <w:autoRedefine/>
    <w:qFormat/>
    <w:locked/>
    <w:rsid w:val="0090354C"/>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A45868"/>
    <w:pPr>
      <w:spacing w:before="120"/>
      <w:ind w:left="0" w:firstLine="0"/>
    </w:pPr>
    <w:rPr>
      <w:rFonts w:ascii="Public Sans" w:hAnsi="Public Sans" w:cs="Arial"/>
      <w:iCs/>
      <w:color w:val="000000" w:themeColor="text1"/>
      <w:sz w:val="22"/>
      <w:lang w:val="en-US"/>
    </w:rPr>
  </w:style>
  <w:style w:type="paragraph" w:customStyle="1" w:styleId="Bullet1">
    <w:name w:val="Bullet 1"/>
    <w:basedOn w:val="BodyText"/>
    <w:link w:val="Bullet1Char"/>
    <w:autoRedefine/>
    <w:qFormat/>
    <w:locked/>
    <w:rsid w:val="00D00009"/>
    <w:pPr>
      <w:numPr>
        <w:numId w:val="25"/>
      </w:numPr>
      <w:tabs>
        <w:tab w:val="left" w:pos="8647"/>
      </w:tabs>
      <w:ind w:left="284" w:hanging="284"/>
    </w:pPr>
    <w:rPr>
      <w:rFonts w:eastAsiaTheme="minorEastAsia"/>
      <w:szCs w:val="23"/>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D00009"/>
    <w:pPr>
      <w:numPr>
        <w:numId w:val="26"/>
      </w:numPr>
      <w:tabs>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qFormat/>
    <w:locked/>
    <w:rsid w:val="0025730F"/>
    <w:pPr>
      <w:numPr>
        <w:numId w:val="95"/>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600F5D"/>
    <w:pPr>
      <w:numPr>
        <w:numId w:val="5"/>
      </w:numPr>
      <w:ind w:left="851" w:hanging="851"/>
    </w:pPr>
  </w:style>
  <w:style w:type="paragraph" w:customStyle="1" w:styleId="11Heading2">
    <w:name w:val="1.1 Heading 2"/>
    <w:basedOn w:val="Normal"/>
    <w:qFormat/>
    <w:locked/>
    <w:rsid w:val="0090354C"/>
    <w:pPr>
      <w:numPr>
        <w:numId w:val="4"/>
      </w:numPr>
      <w:pBdr>
        <w:bottom w:val="single" w:sz="4" w:space="4" w:color="22272B"/>
      </w:pBdr>
      <w:spacing w:before="360" w:after="120"/>
      <w:ind w:left="851" w:hanging="851"/>
    </w:pPr>
    <w:rPr>
      <w:rFonts w:ascii="Public Sans SemiBold" w:hAnsi="Public Sans SemiBold"/>
      <w:b/>
      <w:color w:val="22272B"/>
      <w:sz w:val="28"/>
    </w:rPr>
  </w:style>
  <w:style w:type="paragraph" w:customStyle="1" w:styleId="Chart1X">
    <w:name w:val="Chart 1.X"/>
    <w:basedOn w:val="Table1X"/>
    <w:next w:val="Normal"/>
    <w:autoRedefine/>
    <w:locked/>
    <w:rsid w:val="00D05565"/>
    <w:pPr>
      <w:keepLines/>
      <w:numPr>
        <w:numId w:val="31"/>
      </w:numPr>
      <w:spacing w:before="0" w:after="0"/>
      <w:ind w:left="1304" w:hanging="1304"/>
    </w:pPr>
    <w:rPr>
      <w:bCs w:val="0"/>
      <w:noProof/>
    </w:rPr>
  </w:style>
  <w:style w:type="character" w:customStyle="1" w:styleId="Heading2Char">
    <w:name w:val="Heading 2 Char"/>
    <w:aliases w:val="Heading2 Numbered Char"/>
    <w:link w:val="Heading2"/>
    <w:uiPriority w:val="9"/>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0354C"/>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D00009"/>
    <w:rPr>
      <w:rFonts w:ascii="Public Sans" w:eastAsiaTheme="minorEastAsia" w:hAnsi="Public Sans" w:cs="Arial"/>
      <w:iCs/>
      <w:color w:val="000000" w:themeColor="text1"/>
      <w:sz w:val="22"/>
      <w:szCs w:val="23"/>
    </w:rPr>
  </w:style>
  <w:style w:type="paragraph" w:customStyle="1" w:styleId="Box1XBoxHeading">
    <w:name w:val="Box 1.X: Box Heading"/>
    <w:basedOn w:val="Normal"/>
    <w:next w:val="Normal"/>
    <w:qFormat/>
    <w:locked/>
    <w:rsid w:val="004040D2"/>
    <w:pPr>
      <w:numPr>
        <w:numId w:val="17"/>
      </w:numPr>
      <w:spacing w:before="80" w:after="60" w:line="240" w:lineRule="atLeast"/>
      <w:ind w:left="1134" w:hanging="1134"/>
    </w:pPr>
    <w:rPr>
      <w:rFonts w:ascii="Public Sans SemiBold" w:hAnsi="Public Sans SemiBold"/>
      <w:b/>
      <w:color w:val="000000" w:themeColor="text1"/>
      <w:sz w:val="22"/>
    </w:rPr>
  </w:style>
  <w:style w:type="paragraph" w:customStyle="1" w:styleId="Box3XBoxHeading">
    <w:name w:val="Box 3.X: Box Heading"/>
    <w:basedOn w:val="Box1XBoxHeading"/>
    <w:next w:val="Normal"/>
    <w:qFormat/>
    <w:locked/>
    <w:rsid w:val="00600F5D"/>
    <w:pPr>
      <w:numPr>
        <w:numId w:val="18"/>
      </w:numPr>
      <w:ind w:left="1134" w:hanging="1134"/>
    </w:pPr>
  </w:style>
  <w:style w:type="paragraph" w:customStyle="1" w:styleId="Box6XBoxHeading">
    <w:name w:val="Box 6.X: Box Heading"/>
    <w:basedOn w:val="Box1XBoxHeading"/>
    <w:autoRedefine/>
    <w:semiHidden/>
    <w:qFormat/>
    <w:locked/>
    <w:rsid w:val="00600F5D"/>
    <w:pPr>
      <w:keepLines/>
      <w:widowControl w:val="0"/>
      <w:numPr>
        <w:numId w:val="21"/>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93"/>
      </w:numPr>
      <w:ind w:left="1134" w:hanging="1134"/>
    </w:pPr>
  </w:style>
  <w:style w:type="paragraph" w:customStyle="1" w:styleId="Chart2X">
    <w:name w:val="Chart 2.X"/>
    <w:basedOn w:val="Chart1X"/>
    <w:next w:val="Normal"/>
    <w:semiHidden/>
    <w:locked/>
    <w:rsid w:val="00FA6338"/>
    <w:pPr>
      <w:numPr>
        <w:numId w:val="32"/>
      </w:numPr>
      <w:ind w:left="1418" w:hanging="1418"/>
    </w:pPr>
  </w:style>
  <w:style w:type="paragraph" w:customStyle="1" w:styleId="Table2X">
    <w:name w:val="Table 2.X"/>
    <w:basedOn w:val="Table1X"/>
    <w:next w:val="Normal"/>
    <w:semiHidden/>
    <w:qFormat/>
    <w:locked/>
    <w:rsid w:val="00B61FAF"/>
    <w:pPr>
      <w:numPr>
        <w:numId w:val="78"/>
      </w:numPr>
      <w:ind w:left="1418" w:hanging="1418"/>
    </w:pPr>
    <w:rPr>
      <w:lang w:val="fr-FR"/>
    </w:rPr>
  </w:style>
  <w:style w:type="paragraph" w:customStyle="1" w:styleId="Table3X">
    <w:name w:val="Table 3.X"/>
    <w:basedOn w:val="Table1X"/>
    <w:next w:val="Normal"/>
    <w:semiHidden/>
    <w:locked/>
    <w:rsid w:val="0086714A"/>
    <w:pPr>
      <w:widowControl w:val="0"/>
      <w:numPr>
        <w:numId w:val="79"/>
      </w:numPr>
      <w:ind w:left="1418" w:hanging="1418"/>
    </w:pPr>
    <w:rPr>
      <w:bCs w:val="0"/>
    </w:rPr>
  </w:style>
  <w:style w:type="paragraph" w:customStyle="1" w:styleId="TableFX">
    <w:name w:val="Table F.X"/>
    <w:basedOn w:val="TableA1X"/>
    <w:next w:val="Normal"/>
    <w:semiHidden/>
    <w:locked/>
    <w:rsid w:val="00913FA1"/>
    <w:pPr>
      <w:widowControl w:val="0"/>
      <w:numPr>
        <w:numId w:val="92"/>
      </w:numPr>
      <w:ind w:left="1418" w:hanging="1418"/>
    </w:pPr>
    <w:rPr>
      <w:bCs w:val="0"/>
    </w:rPr>
  </w:style>
  <w:style w:type="paragraph" w:customStyle="1" w:styleId="31Heading2">
    <w:name w:val="3.1 Heading 2"/>
    <w:basedOn w:val="11Heading2"/>
    <w:next w:val="BodyText"/>
    <w:semiHidden/>
    <w:qFormat/>
    <w:locked/>
    <w:rsid w:val="00600F5D"/>
    <w:pPr>
      <w:numPr>
        <w:numId w:val="6"/>
      </w:numPr>
      <w:ind w:left="851" w:hanging="851"/>
    </w:pPr>
  </w:style>
  <w:style w:type="paragraph" w:customStyle="1" w:styleId="Box71BoxHeading">
    <w:name w:val="Box 7.1 Box Heading"/>
    <w:basedOn w:val="Normal"/>
    <w:autoRedefine/>
    <w:semiHidden/>
    <w:rsid w:val="00173234"/>
    <w:pPr>
      <w:keepLines/>
      <w:widowControl w:val="0"/>
      <w:numPr>
        <w:numId w:val="22"/>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FA6338"/>
    <w:pPr>
      <w:numPr>
        <w:numId w:val="96"/>
      </w:numPr>
      <w:ind w:left="1418" w:hanging="1418"/>
    </w:pPr>
  </w:style>
  <w:style w:type="paragraph" w:customStyle="1" w:styleId="41Heading2">
    <w:name w:val="4.1 Heading 2"/>
    <w:basedOn w:val="11Heading2"/>
    <w:next w:val="BodyText"/>
    <w:semiHidden/>
    <w:qFormat/>
    <w:locked/>
    <w:rsid w:val="00600F5D"/>
    <w:pPr>
      <w:numPr>
        <w:numId w:val="7"/>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9"/>
      </w:numPr>
      <w:ind w:left="1134" w:hanging="1134"/>
    </w:pPr>
    <w:rPr>
      <w:rFonts w:cs="Arial"/>
      <w:lang w:eastAsia="en-AU"/>
    </w:rPr>
  </w:style>
  <w:style w:type="paragraph" w:customStyle="1" w:styleId="Chart4X">
    <w:name w:val="Chart 4.X"/>
    <w:basedOn w:val="Chart1X"/>
    <w:next w:val="Normal"/>
    <w:semiHidden/>
    <w:locked/>
    <w:rsid w:val="00FA6338"/>
    <w:pPr>
      <w:numPr>
        <w:numId w:val="34"/>
      </w:numPr>
      <w:ind w:left="1418" w:hanging="1418"/>
    </w:pPr>
  </w:style>
  <w:style w:type="paragraph" w:customStyle="1" w:styleId="Table4X">
    <w:name w:val="Table 4.X"/>
    <w:basedOn w:val="Table1X"/>
    <w:next w:val="Normal"/>
    <w:semiHidden/>
    <w:locked/>
    <w:rsid w:val="0086714A"/>
    <w:pPr>
      <w:widowControl w:val="0"/>
      <w:numPr>
        <w:numId w:val="80"/>
      </w:numPr>
      <w:ind w:left="1418" w:hanging="1418"/>
    </w:pPr>
    <w:rPr>
      <w:bCs w:val="0"/>
    </w:rPr>
  </w:style>
  <w:style w:type="paragraph" w:customStyle="1" w:styleId="51Heading2">
    <w:name w:val="5.1 Heading 2"/>
    <w:basedOn w:val="11Heading2"/>
    <w:next w:val="BodyText"/>
    <w:semiHidden/>
    <w:qFormat/>
    <w:locked/>
    <w:rsid w:val="00600F5D"/>
    <w:pPr>
      <w:numPr>
        <w:numId w:val="8"/>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20"/>
      </w:numPr>
      <w:ind w:left="1134" w:hanging="1134"/>
    </w:pPr>
  </w:style>
  <w:style w:type="paragraph" w:customStyle="1" w:styleId="Chart5X">
    <w:name w:val="Chart 5.X"/>
    <w:basedOn w:val="Chart1X"/>
    <w:next w:val="Normal"/>
    <w:semiHidden/>
    <w:locked/>
    <w:rsid w:val="00FA6338"/>
    <w:pPr>
      <w:numPr>
        <w:numId w:val="35"/>
      </w:numPr>
      <w:ind w:left="1418" w:hanging="1418"/>
    </w:pPr>
  </w:style>
  <w:style w:type="paragraph" w:customStyle="1" w:styleId="Table5X">
    <w:name w:val="Table 5.X"/>
    <w:basedOn w:val="Table1X"/>
    <w:next w:val="Normal"/>
    <w:semiHidden/>
    <w:locked/>
    <w:rsid w:val="0086714A"/>
    <w:pPr>
      <w:widowControl w:val="0"/>
      <w:numPr>
        <w:numId w:val="81"/>
      </w:numPr>
      <w:ind w:left="1418" w:hanging="1418"/>
    </w:pPr>
    <w:rPr>
      <w:bCs w:val="0"/>
    </w:rPr>
  </w:style>
  <w:style w:type="paragraph" w:customStyle="1" w:styleId="Chart6X">
    <w:name w:val="Chart 6.X"/>
    <w:basedOn w:val="Chart1X"/>
    <w:next w:val="Normal"/>
    <w:semiHidden/>
    <w:qFormat/>
    <w:locked/>
    <w:rsid w:val="00FA6338"/>
    <w:pPr>
      <w:numPr>
        <w:numId w:val="36"/>
      </w:numPr>
      <w:ind w:left="1418" w:hanging="1418"/>
    </w:pPr>
  </w:style>
  <w:style w:type="paragraph" w:customStyle="1" w:styleId="Table6X">
    <w:name w:val="Table 6.X"/>
    <w:basedOn w:val="Table1X"/>
    <w:next w:val="Normal"/>
    <w:semiHidden/>
    <w:qFormat/>
    <w:locked/>
    <w:rsid w:val="0086714A"/>
    <w:pPr>
      <w:widowControl w:val="0"/>
      <w:numPr>
        <w:numId w:val="82"/>
      </w:numPr>
      <w:ind w:left="1418" w:hanging="1418"/>
    </w:pPr>
    <w:rPr>
      <w:bCs w:val="0"/>
    </w:rPr>
  </w:style>
  <w:style w:type="paragraph" w:customStyle="1" w:styleId="71Heading2">
    <w:name w:val="7.1 Heading 2"/>
    <w:basedOn w:val="11Heading2"/>
    <w:next w:val="BodyText"/>
    <w:semiHidden/>
    <w:qFormat/>
    <w:locked/>
    <w:rsid w:val="00600F5D"/>
    <w:pPr>
      <w:numPr>
        <w:numId w:val="10"/>
      </w:numPr>
      <w:ind w:left="851" w:hanging="851"/>
    </w:pPr>
    <w:rPr>
      <w:color w:val="000000" w:themeColor="text1"/>
    </w:rPr>
  </w:style>
  <w:style w:type="paragraph" w:customStyle="1" w:styleId="81Heading2">
    <w:name w:val="8.1 Heading 2"/>
    <w:basedOn w:val="11Heading2"/>
    <w:next w:val="BodyText"/>
    <w:semiHidden/>
    <w:qFormat/>
    <w:locked/>
    <w:rsid w:val="00600F5D"/>
    <w:pPr>
      <w:numPr>
        <w:numId w:val="11"/>
      </w:numPr>
      <w:ind w:left="851" w:hanging="851"/>
    </w:pPr>
    <w:rPr>
      <w:color w:val="000000" w:themeColor="text1"/>
    </w:rPr>
  </w:style>
  <w:style w:type="paragraph" w:customStyle="1" w:styleId="Chart7X">
    <w:name w:val="Chart 7.X"/>
    <w:basedOn w:val="Chart1X"/>
    <w:next w:val="Normal"/>
    <w:semiHidden/>
    <w:qFormat/>
    <w:locked/>
    <w:rsid w:val="00FA6338"/>
    <w:pPr>
      <w:numPr>
        <w:numId w:val="37"/>
      </w:numPr>
      <w:ind w:left="1418" w:hanging="1418"/>
    </w:pPr>
  </w:style>
  <w:style w:type="paragraph" w:customStyle="1" w:styleId="Box7XBoxHeading">
    <w:name w:val="Box 7.X: Box Heading"/>
    <w:basedOn w:val="Box1XBoxHeading"/>
    <w:next w:val="Normal"/>
    <w:semiHidden/>
    <w:qFormat/>
    <w:locked/>
    <w:rsid w:val="00600F5D"/>
    <w:pPr>
      <w:numPr>
        <w:numId w:val="23"/>
      </w:numPr>
      <w:ind w:left="1134" w:hanging="1134"/>
    </w:pPr>
  </w:style>
  <w:style w:type="paragraph" w:customStyle="1" w:styleId="Table7X">
    <w:name w:val="Table 7.X"/>
    <w:basedOn w:val="Table1X"/>
    <w:next w:val="Normal"/>
    <w:semiHidden/>
    <w:qFormat/>
    <w:locked/>
    <w:rsid w:val="0086714A"/>
    <w:pPr>
      <w:numPr>
        <w:numId w:val="83"/>
      </w:numPr>
      <w:ind w:left="1418" w:hanging="1418"/>
    </w:pPr>
  </w:style>
  <w:style w:type="paragraph" w:customStyle="1" w:styleId="ChartEX">
    <w:name w:val="Chart E.X"/>
    <w:basedOn w:val="ChartA1X"/>
    <w:next w:val="Normal"/>
    <w:semiHidden/>
    <w:qFormat/>
    <w:locked/>
    <w:rsid w:val="00FA6338"/>
    <w:pPr>
      <w:numPr>
        <w:numId w:val="46"/>
      </w:numPr>
      <w:ind w:left="1418" w:hanging="1418"/>
    </w:pPr>
  </w:style>
  <w:style w:type="paragraph" w:customStyle="1" w:styleId="ChartA2X">
    <w:name w:val="Chart A2.X"/>
    <w:basedOn w:val="ChartA1X"/>
    <w:next w:val="Normal"/>
    <w:semiHidden/>
    <w:qFormat/>
    <w:locked/>
    <w:rsid w:val="00FA6338"/>
    <w:pPr>
      <w:numPr>
        <w:numId w:val="39"/>
      </w:numPr>
    </w:pPr>
  </w:style>
  <w:style w:type="paragraph" w:customStyle="1" w:styleId="A22Heading2">
    <w:name w:val="A2.2 Heading 2"/>
    <w:basedOn w:val="11Heading2"/>
    <w:next w:val="BodyText"/>
    <w:semiHidden/>
    <w:qFormat/>
    <w:locked/>
    <w:rsid w:val="00600F5D"/>
    <w:pPr>
      <w:numPr>
        <w:numId w:val="13"/>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6"/>
      </w:numPr>
      <w:autoSpaceDE w:val="0"/>
      <w:autoSpaceDN w:val="0"/>
      <w:ind w:left="1418" w:hanging="1418"/>
    </w:pPr>
    <w:rPr>
      <w:rFonts w:cs="Arial"/>
      <w:lang w:eastAsia="en-AU"/>
    </w:rPr>
  </w:style>
  <w:style w:type="paragraph" w:customStyle="1" w:styleId="TableA3X">
    <w:name w:val="Table A3.X"/>
    <w:basedOn w:val="TableA1X"/>
    <w:next w:val="Normal"/>
    <w:semiHidden/>
    <w:qFormat/>
    <w:locked/>
    <w:rsid w:val="0086714A"/>
    <w:pPr>
      <w:widowControl w:val="0"/>
      <w:numPr>
        <w:numId w:val="87"/>
      </w:numPr>
      <w:ind w:left="1418" w:hanging="1418"/>
    </w:pPr>
    <w:rPr>
      <w:bCs w:val="0"/>
    </w:rPr>
  </w:style>
  <w:style w:type="paragraph" w:customStyle="1" w:styleId="A11Heading2">
    <w:name w:val="A1.1 Heading 2"/>
    <w:basedOn w:val="11Heading2"/>
    <w:next w:val="BodyText"/>
    <w:semiHidden/>
    <w:qFormat/>
    <w:locked/>
    <w:rsid w:val="00600F5D"/>
    <w:pPr>
      <w:numPr>
        <w:numId w:val="94"/>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6"/>
      </w:numPr>
      <w:ind w:left="851" w:hanging="851"/>
    </w:pPr>
    <w:rPr>
      <w:rFonts w:eastAsia="Tahoma" w:cs="Tahoma"/>
      <w:color w:val="000000" w:themeColor="text1"/>
    </w:rPr>
  </w:style>
  <w:style w:type="paragraph" w:customStyle="1" w:styleId="ChartA1X">
    <w:name w:val="Chart A1.X"/>
    <w:basedOn w:val="Chart1X"/>
    <w:next w:val="Normal"/>
    <w:semiHidden/>
    <w:qFormat/>
    <w:locked/>
    <w:rsid w:val="00FA6338"/>
    <w:pPr>
      <w:numPr>
        <w:numId w:val="38"/>
      </w:numPr>
      <w:ind w:left="1418" w:hanging="1418"/>
    </w:pPr>
    <w:rPr>
      <w:rFonts w:eastAsia="Tahoma" w:cs="Tahoma"/>
    </w:rPr>
  </w:style>
  <w:style w:type="paragraph" w:customStyle="1" w:styleId="ChartBX">
    <w:name w:val="Chart B.X"/>
    <w:basedOn w:val="ChartA1X"/>
    <w:next w:val="Normal"/>
    <w:semiHidden/>
    <w:qFormat/>
    <w:locked/>
    <w:rsid w:val="00FA6338"/>
    <w:pPr>
      <w:numPr>
        <w:numId w:val="43"/>
      </w:numPr>
      <w:ind w:left="1418" w:hanging="1418"/>
    </w:pPr>
  </w:style>
  <w:style w:type="paragraph" w:customStyle="1" w:styleId="ChartCX">
    <w:name w:val="Chart C.X"/>
    <w:basedOn w:val="ChartA1X"/>
    <w:next w:val="Normal"/>
    <w:semiHidden/>
    <w:qFormat/>
    <w:locked/>
    <w:rsid w:val="00FA6338"/>
    <w:pPr>
      <w:numPr>
        <w:numId w:val="44"/>
      </w:numPr>
      <w:ind w:left="1418" w:hanging="1418"/>
    </w:pPr>
  </w:style>
  <w:style w:type="paragraph" w:customStyle="1" w:styleId="ChartDX">
    <w:name w:val="Chart D.X"/>
    <w:basedOn w:val="ChartA1X"/>
    <w:next w:val="Normal"/>
    <w:semiHidden/>
    <w:qFormat/>
    <w:locked/>
    <w:rsid w:val="00FA6338"/>
    <w:pPr>
      <w:numPr>
        <w:numId w:val="45"/>
      </w:numPr>
      <w:ind w:left="1418" w:hanging="1418"/>
    </w:pPr>
  </w:style>
  <w:style w:type="paragraph" w:customStyle="1" w:styleId="TableA1X">
    <w:name w:val="Table A1.X"/>
    <w:basedOn w:val="Table1X"/>
    <w:next w:val="Normal"/>
    <w:semiHidden/>
    <w:qFormat/>
    <w:locked/>
    <w:rsid w:val="0086714A"/>
    <w:pPr>
      <w:numPr>
        <w:numId w:val="85"/>
      </w:numPr>
      <w:ind w:left="1418" w:hanging="1418"/>
    </w:pPr>
    <w:rPr>
      <w:rFonts w:eastAsia="Tahoma" w:cs="Tahoma"/>
    </w:rPr>
  </w:style>
  <w:style w:type="paragraph" w:customStyle="1" w:styleId="TableBX">
    <w:name w:val="Table B.X"/>
    <w:basedOn w:val="TableA1X"/>
    <w:next w:val="Normal"/>
    <w:semiHidden/>
    <w:qFormat/>
    <w:locked/>
    <w:rsid w:val="0086714A"/>
    <w:pPr>
      <w:numPr>
        <w:numId w:val="88"/>
      </w:numPr>
      <w:ind w:left="1418" w:hanging="1418"/>
    </w:pPr>
  </w:style>
  <w:style w:type="paragraph" w:customStyle="1" w:styleId="TableCX">
    <w:name w:val="Table C.X"/>
    <w:basedOn w:val="TableA1X"/>
    <w:next w:val="Normal"/>
    <w:semiHidden/>
    <w:qFormat/>
    <w:locked/>
    <w:rsid w:val="0086714A"/>
    <w:pPr>
      <w:numPr>
        <w:numId w:val="89"/>
      </w:numPr>
      <w:ind w:left="1418" w:hanging="1418"/>
    </w:pPr>
  </w:style>
  <w:style w:type="paragraph" w:customStyle="1" w:styleId="TableDX">
    <w:name w:val="Table D.X"/>
    <w:basedOn w:val="TableA1X"/>
    <w:next w:val="Normal"/>
    <w:semiHidden/>
    <w:qFormat/>
    <w:locked/>
    <w:rsid w:val="00B61FAF"/>
    <w:pPr>
      <w:numPr>
        <w:numId w:val="90"/>
      </w:numPr>
      <w:ind w:left="1418" w:hanging="1418"/>
    </w:pPr>
  </w:style>
  <w:style w:type="paragraph" w:customStyle="1" w:styleId="ChartA3X">
    <w:name w:val="Chart A3.X"/>
    <w:basedOn w:val="ChartA1X"/>
    <w:next w:val="Normal"/>
    <w:semiHidden/>
    <w:qFormat/>
    <w:locked/>
    <w:rsid w:val="00FA6338"/>
    <w:pPr>
      <w:numPr>
        <w:numId w:val="40"/>
      </w:numPr>
      <w:ind w:left="1418" w:hanging="1418"/>
    </w:pPr>
  </w:style>
  <w:style w:type="paragraph" w:customStyle="1" w:styleId="ChartFX">
    <w:name w:val="Chart F.X"/>
    <w:basedOn w:val="ChartA1X"/>
    <w:next w:val="Normal"/>
    <w:semiHidden/>
    <w:locked/>
    <w:rsid w:val="00FA6338"/>
    <w:pPr>
      <w:numPr>
        <w:numId w:val="47"/>
      </w:numPr>
      <w:ind w:left="1418" w:hanging="1418"/>
    </w:pPr>
  </w:style>
  <w:style w:type="paragraph" w:customStyle="1" w:styleId="61Heading2">
    <w:name w:val="6.1 Heading 2"/>
    <w:basedOn w:val="11Heading2"/>
    <w:next w:val="BodyText"/>
    <w:semiHidden/>
    <w:qFormat/>
    <w:locked/>
    <w:rsid w:val="00600F5D"/>
    <w:pPr>
      <w:numPr>
        <w:numId w:val="9"/>
      </w:numPr>
      <w:ind w:left="851" w:hanging="851"/>
    </w:pPr>
    <w:rPr>
      <w:color w:val="000000" w:themeColor="text1"/>
    </w:rPr>
  </w:style>
  <w:style w:type="paragraph" w:customStyle="1" w:styleId="A31Heading2">
    <w:name w:val="A3.1 Heading 2"/>
    <w:basedOn w:val="11Heading2"/>
    <w:semiHidden/>
    <w:qFormat/>
    <w:locked/>
    <w:rsid w:val="00600F5D"/>
    <w:pPr>
      <w:numPr>
        <w:numId w:val="14"/>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5"/>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9"/>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48"/>
      </w:numPr>
      <w:ind w:left="851" w:hanging="851"/>
    </w:pPr>
  </w:style>
  <w:style w:type="paragraph" w:customStyle="1" w:styleId="E1Heading2">
    <w:name w:val="E.1 Heading 2"/>
    <w:basedOn w:val="11Heading2"/>
    <w:next w:val="BodyText"/>
    <w:semiHidden/>
    <w:qFormat/>
    <w:locked/>
    <w:rsid w:val="00B53B6D"/>
    <w:pPr>
      <w:numPr>
        <w:numId w:val="49"/>
      </w:numPr>
      <w:ind w:left="851" w:hanging="851"/>
    </w:pPr>
  </w:style>
  <w:style w:type="paragraph" w:customStyle="1" w:styleId="F1Heading2">
    <w:name w:val="F.1 Heading 2"/>
    <w:basedOn w:val="11Heading2"/>
    <w:semiHidden/>
    <w:qFormat/>
    <w:locked/>
    <w:rsid w:val="00B53B6D"/>
    <w:pPr>
      <w:numPr>
        <w:numId w:val="50"/>
      </w:numPr>
      <w:ind w:left="851" w:hanging="851"/>
    </w:pPr>
  </w:style>
  <w:style w:type="paragraph" w:customStyle="1" w:styleId="Table8X">
    <w:name w:val="Table 8.X"/>
    <w:basedOn w:val="Table1X"/>
    <w:next w:val="Normal"/>
    <w:semiHidden/>
    <w:qFormat/>
    <w:locked/>
    <w:rsid w:val="0086714A"/>
    <w:pPr>
      <w:numPr>
        <w:numId w:val="84"/>
      </w:numPr>
      <w:ind w:left="1418" w:hanging="1418"/>
    </w:pPr>
  </w:style>
  <w:style w:type="paragraph" w:customStyle="1" w:styleId="ChartA4X">
    <w:name w:val="Chart A4.X"/>
    <w:basedOn w:val="ChartA1X"/>
    <w:next w:val="Normal"/>
    <w:semiHidden/>
    <w:qFormat/>
    <w:locked/>
    <w:rsid w:val="00FA6338"/>
    <w:pPr>
      <w:numPr>
        <w:numId w:val="41"/>
      </w:numPr>
      <w:ind w:left="1418" w:hanging="1418"/>
    </w:pPr>
  </w:style>
  <w:style w:type="paragraph" w:customStyle="1" w:styleId="ChartA5X">
    <w:name w:val="Chart A5.X"/>
    <w:basedOn w:val="ChartA1X"/>
    <w:next w:val="Normal"/>
    <w:semiHidden/>
    <w:qFormat/>
    <w:locked/>
    <w:rsid w:val="00FA6338"/>
    <w:pPr>
      <w:numPr>
        <w:numId w:val="42"/>
      </w:numPr>
      <w:ind w:left="1418" w:hanging="1418"/>
    </w:pPr>
  </w:style>
  <w:style w:type="paragraph" w:customStyle="1" w:styleId="Box8XBoxHeading">
    <w:name w:val="Box 8.X: Box Heading"/>
    <w:basedOn w:val="Box1XBoxHeading"/>
    <w:next w:val="Normal"/>
    <w:semiHidden/>
    <w:qFormat/>
    <w:locked/>
    <w:rsid w:val="00600F5D"/>
    <w:pPr>
      <w:numPr>
        <w:numId w:val="24"/>
      </w:numPr>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0054F1"/>
    <w:pPr>
      <w:widowControl w:val="0"/>
      <w:spacing w:before="120"/>
    </w:pPr>
    <w:rPr>
      <w:rFonts w:ascii="Public Sans" w:hAnsi="Public Sans" w:cs="Arial"/>
      <w:i/>
      <w:noProof/>
      <w:color w:val="000000" w:themeColor="text1"/>
      <w:sz w:val="17"/>
      <w:szCs w:val="17"/>
      <w:lang w:val="en-US" w:eastAsia="en-AU"/>
    </w:rPr>
  </w:style>
  <w:style w:type="paragraph" w:customStyle="1" w:styleId="Bullet2inabox">
    <w:name w:val="Bullet 2 in a box"/>
    <w:basedOn w:val="Bullet1inabox"/>
    <w:semiHidden/>
    <w:qFormat/>
    <w:rsid w:val="00FC688D"/>
    <w:pPr>
      <w:numPr>
        <w:numId w:val="3"/>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qFormat/>
    <w:rsid w:val="00597E5A"/>
    <w:pPr>
      <w:numPr>
        <w:numId w:val="51"/>
      </w:numPr>
    </w:pPr>
  </w:style>
  <w:style w:type="paragraph" w:customStyle="1" w:styleId="Figure2X">
    <w:name w:val="Figure 2.X"/>
    <w:basedOn w:val="Figure1X"/>
    <w:next w:val="Normal"/>
    <w:semiHidden/>
    <w:qFormat/>
    <w:rsid w:val="00597E5A"/>
    <w:pPr>
      <w:numPr>
        <w:numId w:val="52"/>
      </w:numPr>
      <w:ind w:left="1418" w:hanging="1418"/>
    </w:pPr>
  </w:style>
  <w:style w:type="paragraph" w:customStyle="1" w:styleId="Figure3X">
    <w:name w:val="Figure 3.X"/>
    <w:basedOn w:val="Figure1X"/>
    <w:next w:val="Normal"/>
    <w:semiHidden/>
    <w:qFormat/>
    <w:rsid w:val="00597E5A"/>
    <w:pPr>
      <w:numPr>
        <w:numId w:val="53"/>
      </w:numPr>
      <w:ind w:left="1418" w:hanging="1418"/>
    </w:pPr>
  </w:style>
  <w:style w:type="paragraph" w:customStyle="1" w:styleId="Figure4X">
    <w:name w:val="Figure 4.X"/>
    <w:basedOn w:val="Figure1X"/>
    <w:next w:val="Normal"/>
    <w:semiHidden/>
    <w:qFormat/>
    <w:rsid w:val="00597E5A"/>
    <w:pPr>
      <w:numPr>
        <w:numId w:val="54"/>
      </w:numPr>
      <w:ind w:left="1418" w:hanging="1418"/>
    </w:pPr>
  </w:style>
  <w:style w:type="paragraph" w:customStyle="1" w:styleId="Figure5X">
    <w:name w:val="Figure 5.X"/>
    <w:basedOn w:val="Figure1X"/>
    <w:next w:val="Normal"/>
    <w:semiHidden/>
    <w:qFormat/>
    <w:rsid w:val="00597E5A"/>
    <w:pPr>
      <w:numPr>
        <w:numId w:val="55"/>
      </w:numPr>
      <w:ind w:left="1418" w:hanging="1418"/>
    </w:pPr>
  </w:style>
  <w:style w:type="paragraph" w:customStyle="1" w:styleId="Figure6X">
    <w:name w:val="Figure 6.X"/>
    <w:basedOn w:val="Figure1X"/>
    <w:next w:val="Normal"/>
    <w:semiHidden/>
    <w:qFormat/>
    <w:rsid w:val="00597E5A"/>
    <w:pPr>
      <w:numPr>
        <w:numId w:val="56"/>
      </w:numPr>
      <w:ind w:left="1418" w:hanging="1418"/>
    </w:pPr>
  </w:style>
  <w:style w:type="paragraph" w:customStyle="1" w:styleId="Figure7X">
    <w:name w:val="Figure 7.X"/>
    <w:basedOn w:val="Figure1X"/>
    <w:next w:val="Normal"/>
    <w:semiHidden/>
    <w:qFormat/>
    <w:rsid w:val="00597E5A"/>
    <w:pPr>
      <w:numPr>
        <w:numId w:val="57"/>
      </w:numPr>
      <w:ind w:left="1418" w:hanging="1418"/>
    </w:pPr>
  </w:style>
  <w:style w:type="paragraph" w:customStyle="1" w:styleId="Figure8X">
    <w:name w:val="Figure 8.X"/>
    <w:basedOn w:val="Figure7X"/>
    <w:next w:val="Normal"/>
    <w:semiHidden/>
    <w:qFormat/>
    <w:rsid w:val="00597E5A"/>
    <w:pPr>
      <w:numPr>
        <w:numId w:val="58"/>
      </w:numPr>
      <w:ind w:left="1418" w:hanging="1418"/>
    </w:pPr>
  </w:style>
  <w:style w:type="paragraph" w:customStyle="1" w:styleId="FigureA1X">
    <w:name w:val="Figure A1.X"/>
    <w:basedOn w:val="Figure1X"/>
    <w:next w:val="Normal"/>
    <w:semiHidden/>
    <w:qFormat/>
    <w:rsid w:val="00597E5A"/>
    <w:pPr>
      <w:numPr>
        <w:numId w:val="59"/>
      </w:numPr>
      <w:ind w:left="1418" w:hanging="1418"/>
    </w:pPr>
  </w:style>
  <w:style w:type="paragraph" w:customStyle="1" w:styleId="FigureA2X">
    <w:name w:val="Figure A2.X"/>
    <w:basedOn w:val="Figure1X"/>
    <w:next w:val="Normal"/>
    <w:semiHidden/>
    <w:qFormat/>
    <w:rsid w:val="00597E5A"/>
    <w:pPr>
      <w:numPr>
        <w:numId w:val="60"/>
      </w:numPr>
      <w:ind w:left="1418" w:hanging="1418"/>
    </w:pPr>
  </w:style>
  <w:style w:type="paragraph" w:customStyle="1" w:styleId="FigureA3X">
    <w:name w:val="Figure A3.X"/>
    <w:basedOn w:val="Figure1X"/>
    <w:next w:val="Normal"/>
    <w:semiHidden/>
    <w:qFormat/>
    <w:rsid w:val="00597E5A"/>
    <w:pPr>
      <w:numPr>
        <w:numId w:val="61"/>
      </w:numPr>
      <w:ind w:left="1418" w:hanging="1418"/>
    </w:pPr>
  </w:style>
  <w:style w:type="paragraph" w:customStyle="1" w:styleId="FigureA4X">
    <w:name w:val="Figure A4.X"/>
    <w:basedOn w:val="Figure1X"/>
    <w:next w:val="Normal"/>
    <w:semiHidden/>
    <w:qFormat/>
    <w:rsid w:val="00597E5A"/>
    <w:pPr>
      <w:numPr>
        <w:numId w:val="62"/>
      </w:numPr>
      <w:ind w:left="1418" w:hanging="1418"/>
    </w:pPr>
  </w:style>
  <w:style w:type="paragraph" w:customStyle="1" w:styleId="FigureA5X">
    <w:name w:val="Figure A5.X"/>
    <w:basedOn w:val="Figure1X"/>
    <w:next w:val="Normal"/>
    <w:semiHidden/>
    <w:qFormat/>
    <w:rsid w:val="0086714A"/>
    <w:pPr>
      <w:numPr>
        <w:numId w:val="63"/>
      </w:numPr>
      <w:ind w:left="1418" w:hanging="1418"/>
    </w:pPr>
  </w:style>
  <w:style w:type="paragraph" w:customStyle="1" w:styleId="FigureBX">
    <w:name w:val="Figure B.X"/>
    <w:basedOn w:val="Figure1X"/>
    <w:semiHidden/>
    <w:qFormat/>
    <w:rsid w:val="0086714A"/>
    <w:pPr>
      <w:numPr>
        <w:numId w:val="64"/>
      </w:numPr>
      <w:ind w:left="1418" w:hanging="1418"/>
    </w:pPr>
  </w:style>
  <w:style w:type="paragraph" w:customStyle="1" w:styleId="FigureCX">
    <w:name w:val="Figure C.X"/>
    <w:basedOn w:val="Figure1X"/>
    <w:next w:val="Normal"/>
    <w:semiHidden/>
    <w:qFormat/>
    <w:rsid w:val="0086714A"/>
    <w:pPr>
      <w:numPr>
        <w:numId w:val="65"/>
      </w:numPr>
      <w:ind w:left="1418" w:hanging="1418"/>
    </w:pPr>
  </w:style>
  <w:style w:type="paragraph" w:customStyle="1" w:styleId="FigureDX">
    <w:name w:val="Figure D.X"/>
    <w:basedOn w:val="Figure1X"/>
    <w:next w:val="Normal"/>
    <w:semiHidden/>
    <w:qFormat/>
    <w:rsid w:val="0086714A"/>
    <w:pPr>
      <w:numPr>
        <w:numId w:val="66"/>
      </w:numPr>
      <w:ind w:left="1418" w:hanging="1418"/>
    </w:pPr>
  </w:style>
  <w:style w:type="paragraph" w:customStyle="1" w:styleId="FigureEX">
    <w:name w:val="Figure E.X"/>
    <w:basedOn w:val="Figure1X"/>
    <w:next w:val="Normal"/>
    <w:semiHidden/>
    <w:qFormat/>
    <w:rsid w:val="0086714A"/>
    <w:pPr>
      <w:numPr>
        <w:numId w:val="67"/>
      </w:numPr>
      <w:ind w:left="1418" w:hanging="1418"/>
    </w:pPr>
  </w:style>
  <w:style w:type="paragraph" w:customStyle="1" w:styleId="FigureFX">
    <w:name w:val="Figure F.X"/>
    <w:basedOn w:val="Figure1X"/>
    <w:next w:val="Normal"/>
    <w:semiHidden/>
    <w:qFormat/>
    <w:rsid w:val="0086714A"/>
    <w:pPr>
      <w:numPr>
        <w:numId w:val="68"/>
      </w:numPr>
      <w:ind w:left="1418" w:hanging="1418"/>
    </w:pPr>
  </w:style>
  <w:style w:type="paragraph" w:customStyle="1" w:styleId="Bullet3">
    <w:name w:val="Bullet 3"/>
    <w:basedOn w:val="Bullet2"/>
    <w:next w:val="BodyText"/>
    <w:qFormat/>
    <w:rsid w:val="00FA6338"/>
    <w:pPr>
      <w:numPr>
        <w:numId w:val="27"/>
      </w:numPr>
      <w:tabs>
        <w:tab w:val="clear" w:pos="851"/>
        <w:tab w:val="clear" w:pos="8647"/>
      </w:tabs>
      <w:ind w:left="851" w:hanging="284"/>
    </w:pPr>
  </w:style>
  <w:style w:type="paragraph" w:customStyle="1" w:styleId="TableEX">
    <w:name w:val="Table E.X"/>
    <w:basedOn w:val="TableDX"/>
    <w:next w:val="BodyText"/>
    <w:semiHidden/>
    <w:qFormat/>
    <w:rsid w:val="00B61352"/>
    <w:pPr>
      <w:numPr>
        <w:numId w:val="91"/>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A45868"/>
    <w:rPr>
      <w:rFonts w:ascii="Public Sans" w:hAnsi="Public Sans" w:cs="Arial"/>
      <w:iCs/>
      <w:color w:val="000000" w:themeColor="text1"/>
      <w:sz w:val="22"/>
      <w:lang w:val="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8"/>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4E207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ED539C"/>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2E808E"/>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71"/>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72"/>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73"/>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4"/>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5"/>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6"/>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7"/>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4E207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4E207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table" w:customStyle="1" w:styleId="TableGrid2">
    <w:name w:val="Table Grid2"/>
    <w:basedOn w:val="TableNormal"/>
    <w:next w:val="TableGrid"/>
    <w:uiPriority w:val="39"/>
    <w:rsid w:val="00912051"/>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2051"/>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blicsans">
    <w:name w:val="Normal public sans"/>
    <w:basedOn w:val="BodyText"/>
    <w:link w:val="NormalpublicsansChar"/>
    <w:qFormat/>
    <w:rsid w:val="00B14C4D"/>
  </w:style>
  <w:style w:type="character" w:customStyle="1" w:styleId="NormalpublicsansChar">
    <w:name w:val="Normal public sans Char"/>
    <w:basedOn w:val="BodyTextChar"/>
    <w:link w:val="Normalpublicsans"/>
    <w:rsid w:val="00B14C4D"/>
    <w:rPr>
      <w:rFonts w:ascii="Public Sans" w:hAnsi="Public Sans" w:cs="Arial"/>
      <w:iCs/>
      <w:color w:val="000000" w:themeColor="text1"/>
      <w:sz w:val="22"/>
      <w:szCs w:val="16"/>
      <w:lang w:val="en-US" w:eastAsia="en-US"/>
    </w:rPr>
  </w:style>
  <w:style w:type="paragraph" w:styleId="Revision">
    <w:name w:val="Revision"/>
    <w:hidden/>
    <w:uiPriority w:val="99"/>
    <w:semiHidden/>
    <w:rsid w:val="00B14C4D"/>
    <w:pPr>
      <w:spacing w:before="0" w:after="0"/>
      <w:ind w:left="0" w:firstLine="0"/>
    </w:pPr>
    <w:rPr>
      <w:lang w:val="en-US" w:eastAsia="en-US"/>
    </w:rPr>
  </w:style>
  <w:style w:type="table" w:customStyle="1" w:styleId="TableGrid1">
    <w:name w:val="Table Grid1"/>
    <w:basedOn w:val="TableNormal"/>
    <w:next w:val="TableGrid"/>
    <w:uiPriority w:val="39"/>
    <w:rsid w:val="00B14C4D"/>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rsid w:val="00DA5995"/>
    <w:rPr>
      <w:color w:val="2B579A"/>
      <w:shd w:val="clear" w:color="auto" w:fill="E1DFDD"/>
    </w:rPr>
  </w:style>
  <w:style w:type="table" w:customStyle="1" w:styleId="TableGrid4">
    <w:name w:val="Table Grid4"/>
    <w:basedOn w:val="TableNormal"/>
    <w:next w:val="TableGrid"/>
    <w:uiPriority w:val="39"/>
    <w:rsid w:val="00697E65"/>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ing">
    <w:name w:val="Chart heading"/>
    <w:basedOn w:val="BodyText"/>
    <w:link w:val="ChartheadingChar"/>
    <w:qFormat/>
    <w:rsid w:val="00ED3247"/>
    <w:rPr>
      <w:color w:val="22272B"/>
      <w:szCs w:val="16"/>
    </w:rPr>
  </w:style>
  <w:style w:type="character" w:customStyle="1" w:styleId="ChartheadingChar">
    <w:name w:val="Chart heading Char"/>
    <w:basedOn w:val="BodyTextChar"/>
    <w:link w:val="Chartheading"/>
    <w:rsid w:val="00BD03E1"/>
    <w:rPr>
      <w:rFonts w:ascii="Public Sans" w:hAnsi="Public Sans" w:cs="Arial"/>
      <w:iCs/>
      <w:color w:val="22272B"/>
      <w:sz w:val="22"/>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134446">
      <w:bodyDiv w:val="1"/>
      <w:marLeft w:val="0"/>
      <w:marRight w:val="0"/>
      <w:marTop w:val="0"/>
      <w:marBottom w:val="0"/>
      <w:divBdr>
        <w:top w:val="none" w:sz="0" w:space="0" w:color="auto"/>
        <w:left w:val="none" w:sz="0" w:space="0" w:color="auto"/>
        <w:bottom w:val="none" w:sz="0" w:space="0" w:color="auto"/>
        <w:right w:val="none" w:sz="0" w:space="0" w:color="auto"/>
      </w:divBdr>
      <w:divsChild>
        <w:div w:id="215552478">
          <w:marLeft w:val="0"/>
          <w:marRight w:val="0"/>
          <w:marTop w:val="0"/>
          <w:marBottom w:val="0"/>
          <w:divBdr>
            <w:top w:val="none" w:sz="0" w:space="0" w:color="auto"/>
            <w:left w:val="none" w:sz="0" w:space="0" w:color="auto"/>
            <w:bottom w:val="none" w:sz="0" w:space="0" w:color="auto"/>
            <w:right w:val="none" w:sz="0" w:space="0" w:color="auto"/>
          </w:divBdr>
          <w:divsChild>
            <w:div w:id="227687812">
              <w:marLeft w:val="0"/>
              <w:marRight w:val="0"/>
              <w:marTop w:val="0"/>
              <w:marBottom w:val="0"/>
              <w:divBdr>
                <w:top w:val="none" w:sz="0" w:space="0" w:color="auto"/>
                <w:left w:val="none" w:sz="0" w:space="0" w:color="auto"/>
                <w:bottom w:val="none" w:sz="0" w:space="0" w:color="auto"/>
                <w:right w:val="none" w:sz="0" w:space="0" w:color="auto"/>
              </w:divBdr>
            </w:div>
            <w:div w:id="398211972">
              <w:marLeft w:val="0"/>
              <w:marRight w:val="0"/>
              <w:marTop w:val="0"/>
              <w:marBottom w:val="0"/>
              <w:divBdr>
                <w:top w:val="none" w:sz="0" w:space="0" w:color="auto"/>
                <w:left w:val="none" w:sz="0" w:space="0" w:color="auto"/>
                <w:bottom w:val="none" w:sz="0" w:space="0" w:color="auto"/>
                <w:right w:val="none" w:sz="0" w:space="0" w:color="auto"/>
              </w:divBdr>
            </w:div>
            <w:div w:id="608466572">
              <w:marLeft w:val="0"/>
              <w:marRight w:val="0"/>
              <w:marTop w:val="0"/>
              <w:marBottom w:val="0"/>
              <w:divBdr>
                <w:top w:val="none" w:sz="0" w:space="0" w:color="auto"/>
                <w:left w:val="none" w:sz="0" w:space="0" w:color="auto"/>
                <w:bottom w:val="none" w:sz="0" w:space="0" w:color="auto"/>
                <w:right w:val="none" w:sz="0" w:space="0" w:color="auto"/>
              </w:divBdr>
            </w:div>
            <w:div w:id="635061525">
              <w:marLeft w:val="0"/>
              <w:marRight w:val="0"/>
              <w:marTop w:val="0"/>
              <w:marBottom w:val="0"/>
              <w:divBdr>
                <w:top w:val="none" w:sz="0" w:space="0" w:color="auto"/>
                <w:left w:val="none" w:sz="0" w:space="0" w:color="auto"/>
                <w:bottom w:val="none" w:sz="0" w:space="0" w:color="auto"/>
                <w:right w:val="none" w:sz="0" w:space="0" w:color="auto"/>
              </w:divBdr>
            </w:div>
            <w:div w:id="663320399">
              <w:marLeft w:val="0"/>
              <w:marRight w:val="0"/>
              <w:marTop w:val="0"/>
              <w:marBottom w:val="0"/>
              <w:divBdr>
                <w:top w:val="none" w:sz="0" w:space="0" w:color="auto"/>
                <w:left w:val="none" w:sz="0" w:space="0" w:color="auto"/>
                <w:bottom w:val="none" w:sz="0" w:space="0" w:color="auto"/>
                <w:right w:val="none" w:sz="0" w:space="0" w:color="auto"/>
              </w:divBdr>
            </w:div>
            <w:div w:id="720372135">
              <w:marLeft w:val="0"/>
              <w:marRight w:val="0"/>
              <w:marTop w:val="0"/>
              <w:marBottom w:val="0"/>
              <w:divBdr>
                <w:top w:val="none" w:sz="0" w:space="0" w:color="auto"/>
                <w:left w:val="none" w:sz="0" w:space="0" w:color="auto"/>
                <w:bottom w:val="none" w:sz="0" w:space="0" w:color="auto"/>
                <w:right w:val="none" w:sz="0" w:space="0" w:color="auto"/>
              </w:divBdr>
            </w:div>
            <w:div w:id="730428476">
              <w:marLeft w:val="0"/>
              <w:marRight w:val="0"/>
              <w:marTop w:val="0"/>
              <w:marBottom w:val="0"/>
              <w:divBdr>
                <w:top w:val="none" w:sz="0" w:space="0" w:color="auto"/>
                <w:left w:val="none" w:sz="0" w:space="0" w:color="auto"/>
                <w:bottom w:val="none" w:sz="0" w:space="0" w:color="auto"/>
                <w:right w:val="none" w:sz="0" w:space="0" w:color="auto"/>
              </w:divBdr>
            </w:div>
            <w:div w:id="1024478580">
              <w:marLeft w:val="0"/>
              <w:marRight w:val="0"/>
              <w:marTop w:val="0"/>
              <w:marBottom w:val="0"/>
              <w:divBdr>
                <w:top w:val="none" w:sz="0" w:space="0" w:color="auto"/>
                <w:left w:val="none" w:sz="0" w:space="0" w:color="auto"/>
                <w:bottom w:val="none" w:sz="0" w:space="0" w:color="auto"/>
                <w:right w:val="none" w:sz="0" w:space="0" w:color="auto"/>
              </w:divBdr>
            </w:div>
            <w:div w:id="1191459217">
              <w:marLeft w:val="0"/>
              <w:marRight w:val="0"/>
              <w:marTop w:val="0"/>
              <w:marBottom w:val="0"/>
              <w:divBdr>
                <w:top w:val="none" w:sz="0" w:space="0" w:color="auto"/>
                <w:left w:val="none" w:sz="0" w:space="0" w:color="auto"/>
                <w:bottom w:val="none" w:sz="0" w:space="0" w:color="auto"/>
                <w:right w:val="none" w:sz="0" w:space="0" w:color="auto"/>
              </w:divBdr>
            </w:div>
            <w:div w:id="1260092994">
              <w:marLeft w:val="0"/>
              <w:marRight w:val="0"/>
              <w:marTop w:val="0"/>
              <w:marBottom w:val="0"/>
              <w:divBdr>
                <w:top w:val="none" w:sz="0" w:space="0" w:color="auto"/>
                <w:left w:val="none" w:sz="0" w:space="0" w:color="auto"/>
                <w:bottom w:val="none" w:sz="0" w:space="0" w:color="auto"/>
                <w:right w:val="none" w:sz="0" w:space="0" w:color="auto"/>
              </w:divBdr>
            </w:div>
            <w:div w:id="1293632856">
              <w:marLeft w:val="0"/>
              <w:marRight w:val="0"/>
              <w:marTop w:val="0"/>
              <w:marBottom w:val="0"/>
              <w:divBdr>
                <w:top w:val="none" w:sz="0" w:space="0" w:color="auto"/>
                <w:left w:val="none" w:sz="0" w:space="0" w:color="auto"/>
                <w:bottom w:val="none" w:sz="0" w:space="0" w:color="auto"/>
                <w:right w:val="none" w:sz="0" w:space="0" w:color="auto"/>
              </w:divBdr>
            </w:div>
            <w:div w:id="1386761836">
              <w:marLeft w:val="0"/>
              <w:marRight w:val="0"/>
              <w:marTop w:val="0"/>
              <w:marBottom w:val="0"/>
              <w:divBdr>
                <w:top w:val="none" w:sz="0" w:space="0" w:color="auto"/>
                <w:left w:val="none" w:sz="0" w:space="0" w:color="auto"/>
                <w:bottom w:val="none" w:sz="0" w:space="0" w:color="auto"/>
                <w:right w:val="none" w:sz="0" w:space="0" w:color="auto"/>
              </w:divBdr>
            </w:div>
            <w:div w:id="1518470440">
              <w:marLeft w:val="0"/>
              <w:marRight w:val="0"/>
              <w:marTop w:val="0"/>
              <w:marBottom w:val="0"/>
              <w:divBdr>
                <w:top w:val="none" w:sz="0" w:space="0" w:color="auto"/>
                <w:left w:val="none" w:sz="0" w:space="0" w:color="auto"/>
                <w:bottom w:val="none" w:sz="0" w:space="0" w:color="auto"/>
                <w:right w:val="none" w:sz="0" w:space="0" w:color="auto"/>
              </w:divBdr>
            </w:div>
            <w:div w:id="1736855066">
              <w:marLeft w:val="0"/>
              <w:marRight w:val="0"/>
              <w:marTop w:val="0"/>
              <w:marBottom w:val="0"/>
              <w:divBdr>
                <w:top w:val="none" w:sz="0" w:space="0" w:color="auto"/>
                <w:left w:val="none" w:sz="0" w:space="0" w:color="auto"/>
                <w:bottom w:val="none" w:sz="0" w:space="0" w:color="auto"/>
                <w:right w:val="none" w:sz="0" w:space="0" w:color="auto"/>
              </w:divBdr>
            </w:div>
            <w:div w:id="2006660517">
              <w:marLeft w:val="0"/>
              <w:marRight w:val="0"/>
              <w:marTop w:val="0"/>
              <w:marBottom w:val="0"/>
              <w:divBdr>
                <w:top w:val="none" w:sz="0" w:space="0" w:color="auto"/>
                <w:left w:val="none" w:sz="0" w:space="0" w:color="auto"/>
                <w:bottom w:val="none" w:sz="0" w:space="0" w:color="auto"/>
                <w:right w:val="none" w:sz="0" w:space="0" w:color="auto"/>
              </w:divBdr>
            </w:div>
            <w:div w:id="2069450324">
              <w:marLeft w:val="0"/>
              <w:marRight w:val="0"/>
              <w:marTop w:val="0"/>
              <w:marBottom w:val="0"/>
              <w:divBdr>
                <w:top w:val="none" w:sz="0" w:space="0" w:color="auto"/>
                <w:left w:val="none" w:sz="0" w:space="0" w:color="auto"/>
                <w:bottom w:val="none" w:sz="0" w:space="0" w:color="auto"/>
                <w:right w:val="none" w:sz="0" w:space="0" w:color="auto"/>
              </w:divBdr>
            </w:div>
            <w:div w:id="2135364460">
              <w:marLeft w:val="0"/>
              <w:marRight w:val="0"/>
              <w:marTop w:val="0"/>
              <w:marBottom w:val="0"/>
              <w:divBdr>
                <w:top w:val="none" w:sz="0" w:space="0" w:color="auto"/>
                <w:left w:val="none" w:sz="0" w:space="0" w:color="auto"/>
                <w:bottom w:val="none" w:sz="0" w:space="0" w:color="auto"/>
                <w:right w:val="none" w:sz="0" w:space="0" w:color="auto"/>
              </w:divBdr>
            </w:div>
          </w:divsChild>
        </w:div>
        <w:div w:id="827523269">
          <w:marLeft w:val="0"/>
          <w:marRight w:val="0"/>
          <w:marTop w:val="0"/>
          <w:marBottom w:val="0"/>
          <w:divBdr>
            <w:top w:val="none" w:sz="0" w:space="0" w:color="auto"/>
            <w:left w:val="none" w:sz="0" w:space="0" w:color="auto"/>
            <w:bottom w:val="none" w:sz="0" w:space="0" w:color="auto"/>
            <w:right w:val="none" w:sz="0" w:space="0" w:color="auto"/>
          </w:divBdr>
          <w:divsChild>
            <w:div w:id="160701213">
              <w:marLeft w:val="0"/>
              <w:marRight w:val="0"/>
              <w:marTop w:val="0"/>
              <w:marBottom w:val="0"/>
              <w:divBdr>
                <w:top w:val="none" w:sz="0" w:space="0" w:color="auto"/>
                <w:left w:val="none" w:sz="0" w:space="0" w:color="auto"/>
                <w:bottom w:val="none" w:sz="0" w:space="0" w:color="auto"/>
                <w:right w:val="none" w:sz="0" w:space="0" w:color="auto"/>
              </w:divBdr>
            </w:div>
            <w:div w:id="334040710">
              <w:marLeft w:val="0"/>
              <w:marRight w:val="0"/>
              <w:marTop w:val="0"/>
              <w:marBottom w:val="0"/>
              <w:divBdr>
                <w:top w:val="none" w:sz="0" w:space="0" w:color="auto"/>
                <w:left w:val="none" w:sz="0" w:space="0" w:color="auto"/>
                <w:bottom w:val="none" w:sz="0" w:space="0" w:color="auto"/>
                <w:right w:val="none" w:sz="0" w:space="0" w:color="auto"/>
              </w:divBdr>
            </w:div>
            <w:div w:id="638346289">
              <w:marLeft w:val="0"/>
              <w:marRight w:val="0"/>
              <w:marTop w:val="0"/>
              <w:marBottom w:val="0"/>
              <w:divBdr>
                <w:top w:val="none" w:sz="0" w:space="0" w:color="auto"/>
                <w:left w:val="none" w:sz="0" w:space="0" w:color="auto"/>
                <w:bottom w:val="none" w:sz="0" w:space="0" w:color="auto"/>
                <w:right w:val="none" w:sz="0" w:space="0" w:color="auto"/>
              </w:divBdr>
            </w:div>
            <w:div w:id="703946213">
              <w:marLeft w:val="0"/>
              <w:marRight w:val="0"/>
              <w:marTop w:val="0"/>
              <w:marBottom w:val="0"/>
              <w:divBdr>
                <w:top w:val="none" w:sz="0" w:space="0" w:color="auto"/>
                <w:left w:val="none" w:sz="0" w:space="0" w:color="auto"/>
                <w:bottom w:val="none" w:sz="0" w:space="0" w:color="auto"/>
                <w:right w:val="none" w:sz="0" w:space="0" w:color="auto"/>
              </w:divBdr>
            </w:div>
            <w:div w:id="1161965441">
              <w:marLeft w:val="0"/>
              <w:marRight w:val="0"/>
              <w:marTop w:val="0"/>
              <w:marBottom w:val="0"/>
              <w:divBdr>
                <w:top w:val="none" w:sz="0" w:space="0" w:color="auto"/>
                <w:left w:val="none" w:sz="0" w:space="0" w:color="auto"/>
                <w:bottom w:val="none" w:sz="0" w:space="0" w:color="auto"/>
                <w:right w:val="none" w:sz="0" w:space="0" w:color="auto"/>
              </w:divBdr>
            </w:div>
            <w:div w:id="1195003592">
              <w:marLeft w:val="0"/>
              <w:marRight w:val="0"/>
              <w:marTop w:val="0"/>
              <w:marBottom w:val="0"/>
              <w:divBdr>
                <w:top w:val="none" w:sz="0" w:space="0" w:color="auto"/>
                <w:left w:val="none" w:sz="0" w:space="0" w:color="auto"/>
                <w:bottom w:val="none" w:sz="0" w:space="0" w:color="auto"/>
                <w:right w:val="none" w:sz="0" w:space="0" w:color="auto"/>
              </w:divBdr>
            </w:div>
            <w:div w:id="1197695841">
              <w:marLeft w:val="0"/>
              <w:marRight w:val="0"/>
              <w:marTop w:val="0"/>
              <w:marBottom w:val="0"/>
              <w:divBdr>
                <w:top w:val="none" w:sz="0" w:space="0" w:color="auto"/>
                <w:left w:val="none" w:sz="0" w:space="0" w:color="auto"/>
                <w:bottom w:val="none" w:sz="0" w:space="0" w:color="auto"/>
                <w:right w:val="none" w:sz="0" w:space="0" w:color="auto"/>
              </w:divBdr>
            </w:div>
            <w:div w:id="1233849230">
              <w:marLeft w:val="0"/>
              <w:marRight w:val="0"/>
              <w:marTop w:val="0"/>
              <w:marBottom w:val="0"/>
              <w:divBdr>
                <w:top w:val="none" w:sz="0" w:space="0" w:color="auto"/>
                <w:left w:val="none" w:sz="0" w:space="0" w:color="auto"/>
                <w:bottom w:val="none" w:sz="0" w:space="0" w:color="auto"/>
                <w:right w:val="none" w:sz="0" w:space="0" w:color="auto"/>
              </w:divBdr>
            </w:div>
            <w:div w:id="1242717458">
              <w:marLeft w:val="0"/>
              <w:marRight w:val="0"/>
              <w:marTop w:val="0"/>
              <w:marBottom w:val="0"/>
              <w:divBdr>
                <w:top w:val="none" w:sz="0" w:space="0" w:color="auto"/>
                <w:left w:val="none" w:sz="0" w:space="0" w:color="auto"/>
                <w:bottom w:val="none" w:sz="0" w:space="0" w:color="auto"/>
                <w:right w:val="none" w:sz="0" w:space="0" w:color="auto"/>
              </w:divBdr>
            </w:div>
            <w:div w:id="1717506778">
              <w:marLeft w:val="0"/>
              <w:marRight w:val="0"/>
              <w:marTop w:val="0"/>
              <w:marBottom w:val="0"/>
              <w:divBdr>
                <w:top w:val="none" w:sz="0" w:space="0" w:color="auto"/>
                <w:left w:val="none" w:sz="0" w:space="0" w:color="auto"/>
                <w:bottom w:val="none" w:sz="0" w:space="0" w:color="auto"/>
                <w:right w:val="none" w:sz="0" w:space="0" w:color="auto"/>
              </w:divBdr>
            </w:div>
            <w:div w:id="20646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6153">
      <w:bodyDiv w:val="1"/>
      <w:marLeft w:val="0"/>
      <w:marRight w:val="0"/>
      <w:marTop w:val="0"/>
      <w:marBottom w:val="0"/>
      <w:divBdr>
        <w:top w:val="none" w:sz="0" w:space="0" w:color="auto"/>
        <w:left w:val="none" w:sz="0" w:space="0" w:color="auto"/>
        <w:bottom w:val="none" w:sz="0" w:space="0" w:color="auto"/>
        <w:right w:val="none" w:sz="0" w:space="0" w:color="auto"/>
      </w:divBdr>
    </w:div>
    <w:div w:id="824050553">
      <w:bodyDiv w:val="1"/>
      <w:marLeft w:val="0"/>
      <w:marRight w:val="0"/>
      <w:marTop w:val="0"/>
      <w:marBottom w:val="0"/>
      <w:divBdr>
        <w:top w:val="none" w:sz="0" w:space="0" w:color="auto"/>
        <w:left w:val="none" w:sz="0" w:space="0" w:color="auto"/>
        <w:bottom w:val="none" w:sz="0" w:space="0" w:color="auto"/>
        <w:right w:val="none" w:sz="0" w:space="0" w:color="auto"/>
      </w:divBdr>
    </w:div>
    <w:div w:id="1225525836">
      <w:bodyDiv w:val="1"/>
      <w:marLeft w:val="0"/>
      <w:marRight w:val="0"/>
      <w:marTop w:val="0"/>
      <w:marBottom w:val="0"/>
      <w:divBdr>
        <w:top w:val="none" w:sz="0" w:space="0" w:color="auto"/>
        <w:left w:val="none" w:sz="0" w:space="0" w:color="auto"/>
        <w:bottom w:val="none" w:sz="0" w:space="0" w:color="auto"/>
        <w:right w:val="none" w:sz="0" w:space="0" w:color="auto"/>
      </w:divBdr>
      <w:divsChild>
        <w:div w:id="935095830">
          <w:marLeft w:val="0"/>
          <w:marRight w:val="0"/>
          <w:marTop w:val="0"/>
          <w:marBottom w:val="0"/>
          <w:divBdr>
            <w:top w:val="none" w:sz="0" w:space="0" w:color="auto"/>
            <w:left w:val="none" w:sz="0" w:space="0" w:color="auto"/>
            <w:bottom w:val="none" w:sz="0" w:space="0" w:color="auto"/>
            <w:right w:val="none" w:sz="0" w:space="0" w:color="auto"/>
          </w:divBdr>
        </w:div>
        <w:div w:id="1118373945">
          <w:marLeft w:val="0"/>
          <w:marRight w:val="0"/>
          <w:marTop w:val="0"/>
          <w:marBottom w:val="0"/>
          <w:divBdr>
            <w:top w:val="none" w:sz="0" w:space="0" w:color="auto"/>
            <w:left w:val="none" w:sz="0" w:space="0" w:color="auto"/>
            <w:bottom w:val="none" w:sz="0" w:space="0" w:color="auto"/>
            <w:right w:val="none" w:sz="0" w:space="0" w:color="auto"/>
          </w:divBdr>
        </w:div>
        <w:div w:id="1163854373">
          <w:marLeft w:val="0"/>
          <w:marRight w:val="0"/>
          <w:marTop w:val="0"/>
          <w:marBottom w:val="0"/>
          <w:divBdr>
            <w:top w:val="none" w:sz="0" w:space="0" w:color="auto"/>
            <w:left w:val="none" w:sz="0" w:space="0" w:color="auto"/>
            <w:bottom w:val="none" w:sz="0" w:space="0" w:color="auto"/>
            <w:right w:val="none" w:sz="0" w:space="0" w:color="auto"/>
          </w:divBdr>
        </w:div>
        <w:div w:id="1242643449">
          <w:marLeft w:val="0"/>
          <w:marRight w:val="0"/>
          <w:marTop w:val="0"/>
          <w:marBottom w:val="0"/>
          <w:divBdr>
            <w:top w:val="none" w:sz="0" w:space="0" w:color="auto"/>
            <w:left w:val="none" w:sz="0" w:space="0" w:color="auto"/>
            <w:bottom w:val="none" w:sz="0" w:space="0" w:color="auto"/>
            <w:right w:val="none" w:sz="0" w:space="0" w:color="auto"/>
          </w:divBdr>
        </w:div>
        <w:div w:id="1343973048">
          <w:marLeft w:val="0"/>
          <w:marRight w:val="0"/>
          <w:marTop w:val="0"/>
          <w:marBottom w:val="0"/>
          <w:divBdr>
            <w:top w:val="none" w:sz="0" w:space="0" w:color="auto"/>
            <w:left w:val="none" w:sz="0" w:space="0" w:color="auto"/>
            <w:bottom w:val="none" w:sz="0" w:space="0" w:color="auto"/>
            <w:right w:val="none" w:sz="0" w:space="0" w:color="auto"/>
          </w:divBdr>
        </w:div>
        <w:div w:id="1424061003">
          <w:marLeft w:val="0"/>
          <w:marRight w:val="0"/>
          <w:marTop w:val="0"/>
          <w:marBottom w:val="0"/>
          <w:divBdr>
            <w:top w:val="none" w:sz="0" w:space="0" w:color="auto"/>
            <w:left w:val="none" w:sz="0" w:space="0" w:color="auto"/>
            <w:bottom w:val="none" w:sz="0" w:space="0" w:color="auto"/>
            <w:right w:val="none" w:sz="0" w:space="0" w:color="auto"/>
          </w:divBdr>
        </w:div>
        <w:div w:id="1738018414">
          <w:marLeft w:val="0"/>
          <w:marRight w:val="0"/>
          <w:marTop w:val="0"/>
          <w:marBottom w:val="0"/>
          <w:divBdr>
            <w:top w:val="none" w:sz="0" w:space="0" w:color="auto"/>
            <w:left w:val="none" w:sz="0" w:space="0" w:color="auto"/>
            <w:bottom w:val="none" w:sz="0" w:space="0" w:color="auto"/>
            <w:right w:val="none" w:sz="0" w:space="0" w:color="auto"/>
          </w:divBdr>
        </w:div>
        <w:div w:id="1922135055">
          <w:marLeft w:val="0"/>
          <w:marRight w:val="0"/>
          <w:marTop w:val="0"/>
          <w:marBottom w:val="0"/>
          <w:divBdr>
            <w:top w:val="none" w:sz="0" w:space="0" w:color="auto"/>
            <w:left w:val="none" w:sz="0" w:space="0" w:color="auto"/>
            <w:bottom w:val="none" w:sz="0" w:space="0" w:color="auto"/>
            <w:right w:val="none" w:sz="0" w:space="0" w:color="auto"/>
          </w:divBdr>
        </w:div>
        <w:div w:id="2072851944">
          <w:marLeft w:val="0"/>
          <w:marRight w:val="0"/>
          <w:marTop w:val="0"/>
          <w:marBottom w:val="0"/>
          <w:divBdr>
            <w:top w:val="none" w:sz="0" w:space="0" w:color="auto"/>
            <w:left w:val="none" w:sz="0" w:space="0" w:color="auto"/>
            <w:bottom w:val="none" w:sz="0" w:space="0" w:color="auto"/>
            <w:right w:val="none" w:sz="0" w:space="0" w:color="auto"/>
          </w:divBdr>
        </w:div>
        <w:div w:id="2145927491">
          <w:marLeft w:val="0"/>
          <w:marRight w:val="0"/>
          <w:marTop w:val="0"/>
          <w:marBottom w:val="0"/>
          <w:divBdr>
            <w:top w:val="none" w:sz="0" w:space="0" w:color="auto"/>
            <w:left w:val="none" w:sz="0" w:space="0" w:color="auto"/>
            <w:bottom w:val="none" w:sz="0" w:space="0" w:color="auto"/>
            <w:right w:val="none" w:sz="0" w:space="0" w:color="auto"/>
          </w:divBdr>
        </w:div>
      </w:divsChild>
    </w:div>
    <w:div w:id="1226717375">
      <w:bodyDiv w:val="1"/>
      <w:marLeft w:val="0"/>
      <w:marRight w:val="0"/>
      <w:marTop w:val="0"/>
      <w:marBottom w:val="0"/>
      <w:divBdr>
        <w:top w:val="none" w:sz="0" w:space="0" w:color="auto"/>
        <w:left w:val="none" w:sz="0" w:space="0" w:color="auto"/>
        <w:bottom w:val="none" w:sz="0" w:space="0" w:color="auto"/>
        <w:right w:val="none" w:sz="0" w:space="0" w:color="auto"/>
      </w:divBdr>
      <w:divsChild>
        <w:div w:id="522132285">
          <w:marLeft w:val="0"/>
          <w:marRight w:val="0"/>
          <w:marTop w:val="0"/>
          <w:marBottom w:val="0"/>
          <w:divBdr>
            <w:top w:val="none" w:sz="0" w:space="0" w:color="auto"/>
            <w:left w:val="none" w:sz="0" w:space="0" w:color="auto"/>
            <w:bottom w:val="none" w:sz="0" w:space="0" w:color="auto"/>
            <w:right w:val="none" w:sz="0" w:space="0" w:color="auto"/>
          </w:divBdr>
        </w:div>
        <w:div w:id="529951600">
          <w:marLeft w:val="0"/>
          <w:marRight w:val="0"/>
          <w:marTop w:val="0"/>
          <w:marBottom w:val="0"/>
          <w:divBdr>
            <w:top w:val="none" w:sz="0" w:space="0" w:color="auto"/>
            <w:left w:val="none" w:sz="0" w:space="0" w:color="auto"/>
            <w:bottom w:val="none" w:sz="0" w:space="0" w:color="auto"/>
            <w:right w:val="none" w:sz="0" w:space="0" w:color="auto"/>
          </w:divBdr>
        </w:div>
        <w:div w:id="540362123">
          <w:marLeft w:val="0"/>
          <w:marRight w:val="0"/>
          <w:marTop w:val="0"/>
          <w:marBottom w:val="0"/>
          <w:divBdr>
            <w:top w:val="none" w:sz="0" w:space="0" w:color="auto"/>
            <w:left w:val="none" w:sz="0" w:space="0" w:color="auto"/>
            <w:bottom w:val="none" w:sz="0" w:space="0" w:color="auto"/>
            <w:right w:val="none" w:sz="0" w:space="0" w:color="auto"/>
          </w:divBdr>
        </w:div>
        <w:div w:id="560022798">
          <w:marLeft w:val="0"/>
          <w:marRight w:val="0"/>
          <w:marTop w:val="0"/>
          <w:marBottom w:val="0"/>
          <w:divBdr>
            <w:top w:val="none" w:sz="0" w:space="0" w:color="auto"/>
            <w:left w:val="none" w:sz="0" w:space="0" w:color="auto"/>
            <w:bottom w:val="none" w:sz="0" w:space="0" w:color="auto"/>
            <w:right w:val="none" w:sz="0" w:space="0" w:color="auto"/>
          </w:divBdr>
        </w:div>
        <w:div w:id="646085301">
          <w:marLeft w:val="0"/>
          <w:marRight w:val="0"/>
          <w:marTop w:val="0"/>
          <w:marBottom w:val="0"/>
          <w:divBdr>
            <w:top w:val="none" w:sz="0" w:space="0" w:color="auto"/>
            <w:left w:val="none" w:sz="0" w:space="0" w:color="auto"/>
            <w:bottom w:val="none" w:sz="0" w:space="0" w:color="auto"/>
            <w:right w:val="none" w:sz="0" w:space="0" w:color="auto"/>
          </w:divBdr>
        </w:div>
        <w:div w:id="780876285">
          <w:marLeft w:val="0"/>
          <w:marRight w:val="0"/>
          <w:marTop w:val="0"/>
          <w:marBottom w:val="0"/>
          <w:divBdr>
            <w:top w:val="none" w:sz="0" w:space="0" w:color="auto"/>
            <w:left w:val="none" w:sz="0" w:space="0" w:color="auto"/>
            <w:bottom w:val="none" w:sz="0" w:space="0" w:color="auto"/>
            <w:right w:val="none" w:sz="0" w:space="0" w:color="auto"/>
          </w:divBdr>
        </w:div>
        <w:div w:id="899906758">
          <w:marLeft w:val="0"/>
          <w:marRight w:val="0"/>
          <w:marTop w:val="0"/>
          <w:marBottom w:val="0"/>
          <w:divBdr>
            <w:top w:val="none" w:sz="0" w:space="0" w:color="auto"/>
            <w:left w:val="none" w:sz="0" w:space="0" w:color="auto"/>
            <w:bottom w:val="none" w:sz="0" w:space="0" w:color="auto"/>
            <w:right w:val="none" w:sz="0" w:space="0" w:color="auto"/>
          </w:divBdr>
        </w:div>
        <w:div w:id="1045787367">
          <w:marLeft w:val="0"/>
          <w:marRight w:val="0"/>
          <w:marTop w:val="0"/>
          <w:marBottom w:val="0"/>
          <w:divBdr>
            <w:top w:val="none" w:sz="0" w:space="0" w:color="auto"/>
            <w:left w:val="none" w:sz="0" w:space="0" w:color="auto"/>
            <w:bottom w:val="none" w:sz="0" w:space="0" w:color="auto"/>
            <w:right w:val="none" w:sz="0" w:space="0" w:color="auto"/>
          </w:divBdr>
        </w:div>
        <w:div w:id="1505393862">
          <w:marLeft w:val="0"/>
          <w:marRight w:val="0"/>
          <w:marTop w:val="0"/>
          <w:marBottom w:val="0"/>
          <w:divBdr>
            <w:top w:val="none" w:sz="0" w:space="0" w:color="auto"/>
            <w:left w:val="none" w:sz="0" w:space="0" w:color="auto"/>
            <w:bottom w:val="none" w:sz="0" w:space="0" w:color="auto"/>
            <w:right w:val="none" w:sz="0" w:space="0" w:color="auto"/>
          </w:divBdr>
        </w:div>
        <w:div w:id="2044749495">
          <w:marLeft w:val="0"/>
          <w:marRight w:val="0"/>
          <w:marTop w:val="0"/>
          <w:marBottom w:val="0"/>
          <w:divBdr>
            <w:top w:val="none" w:sz="0" w:space="0" w:color="auto"/>
            <w:left w:val="none" w:sz="0" w:space="0" w:color="auto"/>
            <w:bottom w:val="none" w:sz="0" w:space="0" w:color="auto"/>
            <w:right w:val="none" w:sz="0" w:space="0" w:color="auto"/>
          </w:divBdr>
        </w:div>
      </w:divsChild>
    </w:div>
    <w:div w:id="1327438570">
      <w:bodyDiv w:val="1"/>
      <w:marLeft w:val="0"/>
      <w:marRight w:val="0"/>
      <w:marTop w:val="0"/>
      <w:marBottom w:val="0"/>
      <w:divBdr>
        <w:top w:val="none" w:sz="0" w:space="0" w:color="auto"/>
        <w:left w:val="none" w:sz="0" w:space="0" w:color="auto"/>
        <w:bottom w:val="none" w:sz="0" w:space="0" w:color="auto"/>
        <w:right w:val="none" w:sz="0" w:space="0" w:color="auto"/>
      </w:divBdr>
      <w:divsChild>
        <w:div w:id="2076660687">
          <w:marLeft w:val="0"/>
          <w:marRight w:val="0"/>
          <w:marTop w:val="0"/>
          <w:marBottom w:val="0"/>
          <w:divBdr>
            <w:top w:val="none" w:sz="0" w:space="0" w:color="auto"/>
            <w:left w:val="none" w:sz="0" w:space="0" w:color="auto"/>
            <w:bottom w:val="none" w:sz="0" w:space="0" w:color="auto"/>
            <w:right w:val="none" w:sz="0" w:space="0" w:color="auto"/>
          </w:divBdr>
        </w:div>
      </w:divsChild>
    </w:div>
    <w:div w:id="1397362153">
      <w:bodyDiv w:val="1"/>
      <w:marLeft w:val="0"/>
      <w:marRight w:val="0"/>
      <w:marTop w:val="0"/>
      <w:marBottom w:val="0"/>
      <w:divBdr>
        <w:top w:val="none" w:sz="0" w:space="0" w:color="auto"/>
        <w:left w:val="none" w:sz="0" w:space="0" w:color="auto"/>
        <w:bottom w:val="none" w:sz="0" w:space="0" w:color="auto"/>
        <w:right w:val="none" w:sz="0" w:space="0" w:color="auto"/>
      </w:divBdr>
      <w:divsChild>
        <w:div w:id="841357989">
          <w:marLeft w:val="0"/>
          <w:marRight w:val="0"/>
          <w:marTop w:val="0"/>
          <w:marBottom w:val="0"/>
          <w:divBdr>
            <w:top w:val="none" w:sz="0" w:space="0" w:color="auto"/>
            <w:left w:val="none" w:sz="0" w:space="0" w:color="auto"/>
            <w:bottom w:val="none" w:sz="0" w:space="0" w:color="auto"/>
            <w:right w:val="none" w:sz="0" w:space="0" w:color="auto"/>
          </w:divBdr>
          <w:divsChild>
            <w:div w:id="248462709">
              <w:marLeft w:val="0"/>
              <w:marRight w:val="0"/>
              <w:marTop w:val="0"/>
              <w:marBottom w:val="0"/>
              <w:divBdr>
                <w:top w:val="none" w:sz="0" w:space="0" w:color="auto"/>
                <w:left w:val="none" w:sz="0" w:space="0" w:color="auto"/>
                <w:bottom w:val="none" w:sz="0" w:space="0" w:color="auto"/>
                <w:right w:val="none" w:sz="0" w:space="0" w:color="auto"/>
              </w:divBdr>
            </w:div>
            <w:div w:id="326834459">
              <w:marLeft w:val="0"/>
              <w:marRight w:val="0"/>
              <w:marTop w:val="0"/>
              <w:marBottom w:val="0"/>
              <w:divBdr>
                <w:top w:val="none" w:sz="0" w:space="0" w:color="auto"/>
                <w:left w:val="none" w:sz="0" w:space="0" w:color="auto"/>
                <w:bottom w:val="none" w:sz="0" w:space="0" w:color="auto"/>
                <w:right w:val="none" w:sz="0" w:space="0" w:color="auto"/>
              </w:divBdr>
            </w:div>
            <w:div w:id="352072916">
              <w:marLeft w:val="0"/>
              <w:marRight w:val="0"/>
              <w:marTop w:val="0"/>
              <w:marBottom w:val="0"/>
              <w:divBdr>
                <w:top w:val="none" w:sz="0" w:space="0" w:color="auto"/>
                <w:left w:val="none" w:sz="0" w:space="0" w:color="auto"/>
                <w:bottom w:val="none" w:sz="0" w:space="0" w:color="auto"/>
                <w:right w:val="none" w:sz="0" w:space="0" w:color="auto"/>
              </w:divBdr>
            </w:div>
            <w:div w:id="436146146">
              <w:marLeft w:val="0"/>
              <w:marRight w:val="0"/>
              <w:marTop w:val="0"/>
              <w:marBottom w:val="0"/>
              <w:divBdr>
                <w:top w:val="none" w:sz="0" w:space="0" w:color="auto"/>
                <w:left w:val="none" w:sz="0" w:space="0" w:color="auto"/>
                <w:bottom w:val="none" w:sz="0" w:space="0" w:color="auto"/>
                <w:right w:val="none" w:sz="0" w:space="0" w:color="auto"/>
              </w:divBdr>
            </w:div>
            <w:div w:id="488180405">
              <w:marLeft w:val="0"/>
              <w:marRight w:val="0"/>
              <w:marTop w:val="0"/>
              <w:marBottom w:val="0"/>
              <w:divBdr>
                <w:top w:val="none" w:sz="0" w:space="0" w:color="auto"/>
                <w:left w:val="none" w:sz="0" w:space="0" w:color="auto"/>
                <w:bottom w:val="none" w:sz="0" w:space="0" w:color="auto"/>
                <w:right w:val="none" w:sz="0" w:space="0" w:color="auto"/>
              </w:divBdr>
            </w:div>
            <w:div w:id="513152301">
              <w:marLeft w:val="0"/>
              <w:marRight w:val="0"/>
              <w:marTop w:val="0"/>
              <w:marBottom w:val="0"/>
              <w:divBdr>
                <w:top w:val="none" w:sz="0" w:space="0" w:color="auto"/>
                <w:left w:val="none" w:sz="0" w:space="0" w:color="auto"/>
                <w:bottom w:val="none" w:sz="0" w:space="0" w:color="auto"/>
                <w:right w:val="none" w:sz="0" w:space="0" w:color="auto"/>
              </w:divBdr>
            </w:div>
            <w:div w:id="542441927">
              <w:marLeft w:val="0"/>
              <w:marRight w:val="0"/>
              <w:marTop w:val="0"/>
              <w:marBottom w:val="0"/>
              <w:divBdr>
                <w:top w:val="none" w:sz="0" w:space="0" w:color="auto"/>
                <w:left w:val="none" w:sz="0" w:space="0" w:color="auto"/>
                <w:bottom w:val="none" w:sz="0" w:space="0" w:color="auto"/>
                <w:right w:val="none" w:sz="0" w:space="0" w:color="auto"/>
              </w:divBdr>
            </w:div>
            <w:div w:id="572087042">
              <w:marLeft w:val="0"/>
              <w:marRight w:val="0"/>
              <w:marTop w:val="0"/>
              <w:marBottom w:val="0"/>
              <w:divBdr>
                <w:top w:val="none" w:sz="0" w:space="0" w:color="auto"/>
                <w:left w:val="none" w:sz="0" w:space="0" w:color="auto"/>
                <w:bottom w:val="none" w:sz="0" w:space="0" w:color="auto"/>
                <w:right w:val="none" w:sz="0" w:space="0" w:color="auto"/>
              </w:divBdr>
            </w:div>
            <w:div w:id="952633896">
              <w:marLeft w:val="0"/>
              <w:marRight w:val="0"/>
              <w:marTop w:val="0"/>
              <w:marBottom w:val="0"/>
              <w:divBdr>
                <w:top w:val="none" w:sz="0" w:space="0" w:color="auto"/>
                <w:left w:val="none" w:sz="0" w:space="0" w:color="auto"/>
                <w:bottom w:val="none" w:sz="0" w:space="0" w:color="auto"/>
                <w:right w:val="none" w:sz="0" w:space="0" w:color="auto"/>
              </w:divBdr>
            </w:div>
            <w:div w:id="1143695224">
              <w:marLeft w:val="0"/>
              <w:marRight w:val="0"/>
              <w:marTop w:val="0"/>
              <w:marBottom w:val="0"/>
              <w:divBdr>
                <w:top w:val="none" w:sz="0" w:space="0" w:color="auto"/>
                <w:left w:val="none" w:sz="0" w:space="0" w:color="auto"/>
                <w:bottom w:val="none" w:sz="0" w:space="0" w:color="auto"/>
                <w:right w:val="none" w:sz="0" w:space="0" w:color="auto"/>
              </w:divBdr>
            </w:div>
            <w:div w:id="1205291596">
              <w:marLeft w:val="0"/>
              <w:marRight w:val="0"/>
              <w:marTop w:val="0"/>
              <w:marBottom w:val="0"/>
              <w:divBdr>
                <w:top w:val="none" w:sz="0" w:space="0" w:color="auto"/>
                <w:left w:val="none" w:sz="0" w:space="0" w:color="auto"/>
                <w:bottom w:val="none" w:sz="0" w:space="0" w:color="auto"/>
                <w:right w:val="none" w:sz="0" w:space="0" w:color="auto"/>
              </w:divBdr>
            </w:div>
            <w:div w:id="1411195800">
              <w:marLeft w:val="0"/>
              <w:marRight w:val="0"/>
              <w:marTop w:val="0"/>
              <w:marBottom w:val="0"/>
              <w:divBdr>
                <w:top w:val="none" w:sz="0" w:space="0" w:color="auto"/>
                <w:left w:val="none" w:sz="0" w:space="0" w:color="auto"/>
                <w:bottom w:val="none" w:sz="0" w:space="0" w:color="auto"/>
                <w:right w:val="none" w:sz="0" w:space="0" w:color="auto"/>
              </w:divBdr>
            </w:div>
            <w:div w:id="1523547086">
              <w:marLeft w:val="0"/>
              <w:marRight w:val="0"/>
              <w:marTop w:val="0"/>
              <w:marBottom w:val="0"/>
              <w:divBdr>
                <w:top w:val="none" w:sz="0" w:space="0" w:color="auto"/>
                <w:left w:val="none" w:sz="0" w:space="0" w:color="auto"/>
                <w:bottom w:val="none" w:sz="0" w:space="0" w:color="auto"/>
                <w:right w:val="none" w:sz="0" w:space="0" w:color="auto"/>
              </w:divBdr>
            </w:div>
            <w:div w:id="1588339748">
              <w:marLeft w:val="0"/>
              <w:marRight w:val="0"/>
              <w:marTop w:val="0"/>
              <w:marBottom w:val="0"/>
              <w:divBdr>
                <w:top w:val="none" w:sz="0" w:space="0" w:color="auto"/>
                <w:left w:val="none" w:sz="0" w:space="0" w:color="auto"/>
                <w:bottom w:val="none" w:sz="0" w:space="0" w:color="auto"/>
                <w:right w:val="none" w:sz="0" w:space="0" w:color="auto"/>
              </w:divBdr>
            </w:div>
            <w:div w:id="1623919047">
              <w:marLeft w:val="0"/>
              <w:marRight w:val="0"/>
              <w:marTop w:val="0"/>
              <w:marBottom w:val="0"/>
              <w:divBdr>
                <w:top w:val="none" w:sz="0" w:space="0" w:color="auto"/>
                <w:left w:val="none" w:sz="0" w:space="0" w:color="auto"/>
                <w:bottom w:val="none" w:sz="0" w:space="0" w:color="auto"/>
                <w:right w:val="none" w:sz="0" w:space="0" w:color="auto"/>
              </w:divBdr>
            </w:div>
            <w:div w:id="1918201687">
              <w:marLeft w:val="0"/>
              <w:marRight w:val="0"/>
              <w:marTop w:val="0"/>
              <w:marBottom w:val="0"/>
              <w:divBdr>
                <w:top w:val="none" w:sz="0" w:space="0" w:color="auto"/>
                <w:left w:val="none" w:sz="0" w:space="0" w:color="auto"/>
                <w:bottom w:val="none" w:sz="0" w:space="0" w:color="auto"/>
                <w:right w:val="none" w:sz="0" w:space="0" w:color="auto"/>
              </w:divBdr>
            </w:div>
            <w:div w:id="2009013294">
              <w:marLeft w:val="0"/>
              <w:marRight w:val="0"/>
              <w:marTop w:val="0"/>
              <w:marBottom w:val="0"/>
              <w:divBdr>
                <w:top w:val="none" w:sz="0" w:space="0" w:color="auto"/>
                <w:left w:val="none" w:sz="0" w:space="0" w:color="auto"/>
                <w:bottom w:val="none" w:sz="0" w:space="0" w:color="auto"/>
                <w:right w:val="none" w:sz="0" w:space="0" w:color="auto"/>
              </w:divBdr>
            </w:div>
          </w:divsChild>
        </w:div>
        <w:div w:id="910117145">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
            <w:div w:id="858085677">
              <w:marLeft w:val="0"/>
              <w:marRight w:val="0"/>
              <w:marTop w:val="0"/>
              <w:marBottom w:val="0"/>
              <w:divBdr>
                <w:top w:val="none" w:sz="0" w:space="0" w:color="auto"/>
                <w:left w:val="none" w:sz="0" w:space="0" w:color="auto"/>
                <w:bottom w:val="none" w:sz="0" w:space="0" w:color="auto"/>
                <w:right w:val="none" w:sz="0" w:space="0" w:color="auto"/>
              </w:divBdr>
            </w:div>
            <w:div w:id="963654905">
              <w:marLeft w:val="0"/>
              <w:marRight w:val="0"/>
              <w:marTop w:val="0"/>
              <w:marBottom w:val="0"/>
              <w:divBdr>
                <w:top w:val="none" w:sz="0" w:space="0" w:color="auto"/>
                <w:left w:val="none" w:sz="0" w:space="0" w:color="auto"/>
                <w:bottom w:val="none" w:sz="0" w:space="0" w:color="auto"/>
                <w:right w:val="none" w:sz="0" w:space="0" w:color="auto"/>
              </w:divBdr>
            </w:div>
            <w:div w:id="968169307">
              <w:marLeft w:val="0"/>
              <w:marRight w:val="0"/>
              <w:marTop w:val="0"/>
              <w:marBottom w:val="0"/>
              <w:divBdr>
                <w:top w:val="none" w:sz="0" w:space="0" w:color="auto"/>
                <w:left w:val="none" w:sz="0" w:space="0" w:color="auto"/>
                <w:bottom w:val="none" w:sz="0" w:space="0" w:color="auto"/>
                <w:right w:val="none" w:sz="0" w:space="0" w:color="auto"/>
              </w:divBdr>
            </w:div>
            <w:div w:id="969944381">
              <w:marLeft w:val="0"/>
              <w:marRight w:val="0"/>
              <w:marTop w:val="0"/>
              <w:marBottom w:val="0"/>
              <w:divBdr>
                <w:top w:val="none" w:sz="0" w:space="0" w:color="auto"/>
                <w:left w:val="none" w:sz="0" w:space="0" w:color="auto"/>
                <w:bottom w:val="none" w:sz="0" w:space="0" w:color="auto"/>
                <w:right w:val="none" w:sz="0" w:space="0" w:color="auto"/>
              </w:divBdr>
            </w:div>
            <w:div w:id="1070229297">
              <w:marLeft w:val="0"/>
              <w:marRight w:val="0"/>
              <w:marTop w:val="0"/>
              <w:marBottom w:val="0"/>
              <w:divBdr>
                <w:top w:val="none" w:sz="0" w:space="0" w:color="auto"/>
                <w:left w:val="none" w:sz="0" w:space="0" w:color="auto"/>
                <w:bottom w:val="none" w:sz="0" w:space="0" w:color="auto"/>
                <w:right w:val="none" w:sz="0" w:space="0" w:color="auto"/>
              </w:divBdr>
            </w:div>
            <w:div w:id="1072628861">
              <w:marLeft w:val="0"/>
              <w:marRight w:val="0"/>
              <w:marTop w:val="0"/>
              <w:marBottom w:val="0"/>
              <w:divBdr>
                <w:top w:val="none" w:sz="0" w:space="0" w:color="auto"/>
                <w:left w:val="none" w:sz="0" w:space="0" w:color="auto"/>
                <w:bottom w:val="none" w:sz="0" w:space="0" w:color="auto"/>
                <w:right w:val="none" w:sz="0" w:space="0" w:color="auto"/>
              </w:divBdr>
            </w:div>
            <w:div w:id="1124813334">
              <w:marLeft w:val="0"/>
              <w:marRight w:val="0"/>
              <w:marTop w:val="0"/>
              <w:marBottom w:val="0"/>
              <w:divBdr>
                <w:top w:val="none" w:sz="0" w:space="0" w:color="auto"/>
                <w:left w:val="none" w:sz="0" w:space="0" w:color="auto"/>
                <w:bottom w:val="none" w:sz="0" w:space="0" w:color="auto"/>
                <w:right w:val="none" w:sz="0" w:space="0" w:color="auto"/>
              </w:divBdr>
            </w:div>
            <w:div w:id="1770730631">
              <w:marLeft w:val="0"/>
              <w:marRight w:val="0"/>
              <w:marTop w:val="0"/>
              <w:marBottom w:val="0"/>
              <w:divBdr>
                <w:top w:val="none" w:sz="0" w:space="0" w:color="auto"/>
                <w:left w:val="none" w:sz="0" w:space="0" w:color="auto"/>
                <w:bottom w:val="none" w:sz="0" w:space="0" w:color="auto"/>
                <w:right w:val="none" w:sz="0" w:space="0" w:color="auto"/>
              </w:divBdr>
            </w:div>
            <w:div w:id="2029215285">
              <w:marLeft w:val="0"/>
              <w:marRight w:val="0"/>
              <w:marTop w:val="0"/>
              <w:marBottom w:val="0"/>
              <w:divBdr>
                <w:top w:val="none" w:sz="0" w:space="0" w:color="auto"/>
                <w:left w:val="none" w:sz="0" w:space="0" w:color="auto"/>
                <w:bottom w:val="none" w:sz="0" w:space="0" w:color="auto"/>
                <w:right w:val="none" w:sz="0" w:space="0" w:color="auto"/>
              </w:divBdr>
            </w:div>
            <w:div w:id="21359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1468">
      <w:bodyDiv w:val="1"/>
      <w:marLeft w:val="0"/>
      <w:marRight w:val="0"/>
      <w:marTop w:val="0"/>
      <w:marBottom w:val="0"/>
      <w:divBdr>
        <w:top w:val="none" w:sz="0" w:space="0" w:color="auto"/>
        <w:left w:val="none" w:sz="0" w:space="0" w:color="auto"/>
        <w:bottom w:val="none" w:sz="0" w:space="0" w:color="auto"/>
        <w:right w:val="none" w:sz="0" w:space="0" w:color="auto"/>
      </w:divBdr>
    </w:div>
    <w:div w:id="1755012149">
      <w:bodyDiv w:val="1"/>
      <w:marLeft w:val="0"/>
      <w:marRight w:val="0"/>
      <w:marTop w:val="0"/>
      <w:marBottom w:val="0"/>
      <w:divBdr>
        <w:top w:val="none" w:sz="0" w:space="0" w:color="auto"/>
        <w:left w:val="none" w:sz="0" w:space="0" w:color="auto"/>
        <w:bottom w:val="none" w:sz="0" w:space="0" w:color="auto"/>
        <w:right w:val="none" w:sz="0" w:space="0" w:color="auto"/>
      </w:divBdr>
      <w:divsChild>
        <w:div w:id="1951743403">
          <w:marLeft w:val="0"/>
          <w:marRight w:val="0"/>
          <w:marTop w:val="0"/>
          <w:marBottom w:val="0"/>
          <w:divBdr>
            <w:top w:val="none" w:sz="0" w:space="0" w:color="auto"/>
            <w:left w:val="none" w:sz="0" w:space="0" w:color="auto"/>
            <w:bottom w:val="none" w:sz="0" w:space="0" w:color="auto"/>
            <w:right w:val="none" w:sz="0" w:space="0" w:color="auto"/>
          </w:divBdr>
        </w:div>
      </w:divsChild>
    </w:div>
    <w:div w:id="1786920380">
      <w:bodyDiv w:val="1"/>
      <w:marLeft w:val="0"/>
      <w:marRight w:val="0"/>
      <w:marTop w:val="0"/>
      <w:marBottom w:val="0"/>
      <w:divBdr>
        <w:top w:val="none" w:sz="0" w:space="0" w:color="auto"/>
        <w:left w:val="none" w:sz="0" w:space="0" w:color="auto"/>
        <w:bottom w:val="none" w:sz="0" w:space="0" w:color="auto"/>
        <w:right w:val="none" w:sz="0" w:space="0" w:color="auto"/>
      </w:divBdr>
      <w:divsChild>
        <w:div w:id="1403795863">
          <w:marLeft w:val="0"/>
          <w:marRight w:val="0"/>
          <w:marTop w:val="0"/>
          <w:marBottom w:val="0"/>
          <w:divBdr>
            <w:top w:val="none" w:sz="0" w:space="0" w:color="auto"/>
            <w:left w:val="none" w:sz="0" w:space="0" w:color="auto"/>
            <w:bottom w:val="none" w:sz="0" w:space="0" w:color="auto"/>
            <w:right w:val="none" w:sz="0" w:space="0" w:color="auto"/>
          </w:divBdr>
        </w:div>
        <w:div w:id="1778595880">
          <w:marLeft w:val="0"/>
          <w:marRight w:val="0"/>
          <w:marTop w:val="0"/>
          <w:marBottom w:val="0"/>
          <w:divBdr>
            <w:top w:val="none" w:sz="0" w:space="0" w:color="auto"/>
            <w:left w:val="none" w:sz="0" w:space="0" w:color="auto"/>
            <w:bottom w:val="none" w:sz="0" w:space="0" w:color="auto"/>
            <w:right w:val="none" w:sz="0" w:space="0" w:color="auto"/>
          </w:divBdr>
        </w:div>
        <w:div w:id="1854222451">
          <w:marLeft w:val="0"/>
          <w:marRight w:val="0"/>
          <w:marTop w:val="0"/>
          <w:marBottom w:val="0"/>
          <w:divBdr>
            <w:top w:val="none" w:sz="0" w:space="0" w:color="auto"/>
            <w:left w:val="none" w:sz="0" w:space="0" w:color="auto"/>
            <w:bottom w:val="none" w:sz="0" w:space="0" w:color="auto"/>
            <w:right w:val="none" w:sz="0" w:space="0" w:color="auto"/>
          </w:divBdr>
        </w:div>
      </w:divsChild>
    </w:div>
    <w:div w:id="1832942451">
      <w:bodyDiv w:val="1"/>
      <w:marLeft w:val="0"/>
      <w:marRight w:val="0"/>
      <w:marTop w:val="0"/>
      <w:marBottom w:val="0"/>
      <w:divBdr>
        <w:top w:val="none" w:sz="0" w:space="0" w:color="auto"/>
        <w:left w:val="none" w:sz="0" w:space="0" w:color="auto"/>
        <w:bottom w:val="none" w:sz="0" w:space="0" w:color="auto"/>
        <w:right w:val="none" w:sz="0" w:space="0" w:color="auto"/>
      </w:divBdr>
    </w:div>
    <w:div w:id="1898199246">
      <w:bodyDiv w:val="1"/>
      <w:marLeft w:val="0"/>
      <w:marRight w:val="0"/>
      <w:marTop w:val="0"/>
      <w:marBottom w:val="0"/>
      <w:divBdr>
        <w:top w:val="none" w:sz="0" w:space="0" w:color="auto"/>
        <w:left w:val="none" w:sz="0" w:space="0" w:color="auto"/>
        <w:bottom w:val="none" w:sz="0" w:space="0" w:color="auto"/>
        <w:right w:val="none" w:sz="0" w:space="0" w:color="auto"/>
      </w:divBdr>
      <w:divsChild>
        <w:div w:id="1381781038">
          <w:marLeft w:val="0"/>
          <w:marRight w:val="0"/>
          <w:marTop w:val="0"/>
          <w:marBottom w:val="0"/>
          <w:divBdr>
            <w:top w:val="none" w:sz="0" w:space="0" w:color="auto"/>
            <w:left w:val="none" w:sz="0" w:space="0" w:color="auto"/>
            <w:bottom w:val="none" w:sz="0" w:space="0" w:color="auto"/>
            <w:right w:val="none" w:sz="0" w:space="0" w:color="auto"/>
          </w:divBdr>
        </w:div>
        <w:div w:id="1610892379">
          <w:marLeft w:val="0"/>
          <w:marRight w:val="0"/>
          <w:marTop w:val="0"/>
          <w:marBottom w:val="0"/>
          <w:divBdr>
            <w:top w:val="none" w:sz="0" w:space="0" w:color="auto"/>
            <w:left w:val="none" w:sz="0" w:space="0" w:color="auto"/>
            <w:bottom w:val="none" w:sz="0" w:space="0" w:color="auto"/>
            <w:right w:val="none" w:sz="0" w:space="0" w:color="auto"/>
          </w:divBdr>
        </w:div>
        <w:div w:id="2137867859">
          <w:marLeft w:val="0"/>
          <w:marRight w:val="0"/>
          <w:marTop w:val="0"/>
          <w:marBottom w:val="0"/>
          <w:divBdr>
            <w:top w:val="none" w:sz="0" w:space="0" w:color="auto"/>
            <w:left w:val="none" w:sz="0" w:space="0" w:color="auto"/>
            <w:bottom w:val="none" w:sz="0" w:space="0" w:color="auto"/>
            <w:right w:val="none" w:sz="0" w:space="0" w:color="auto"/>
          </w:divBdr>
        </w:div>
      </w:divsChild>
    </w:div>
    <w:div w:id="2130582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nswgov.sharepoint.com/sites/BudgetStatement/Shared%20Documents/Budget%20Statement/09.%20Ch%209%20-%20Balance%20sheet/Copy%20of%20Copy%20of%20Budget%20Papers%20-%20Charts%20and%20Table%20template%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49957987924777"/>
          <c:y val="6.1025622918211467E-2"/>
          <c:w val="0.80690120576756397"/>
          <c:h val="0.86434041817082585"/>
        </c:manualLayout>
      </c:layout>
      <c:lineChart>
        <c:grouping val="standard"/>
        <c:varyColors val="0"/>
        <c:ser>
          <c:idx val="0"/>
          <c:order val="0"/>
          <c:tx>
            <c:strRef>
              <c:f>'CPI &amp; Urate'!$B$2</c:f>
              <c:strCache>
                <c:ptCount val="1"/>
                <c:pt idx="0">
                  <c:v>Sydney Headline CPI, through the year growth</c:v>
                </c:pt>
              </c:strCache>
            </c:strRef>
          </c:tx>
          <c:spPr>
            <a:ln w="22225" cap="rnd">
              <a:solidFill>
                <a:srgbClr val="0B3F47"/>
              </a:solidFill>
              <a:round/>
            </a:ln>
            <a:effectLst/>
          </c:spPr>
          <c:marker>
            <c:symbol val="none"/>
          </c:marker>
          <c:cat>
            <c:numRef>
              <c:f>'CPI &amp; Urate'!$A$3:$A$162</c:f>
              <c:numCache>
                <c:formatCode>mmm\-yy</c:formatCode>
                <c:ptCount val="160"/>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numCache>
            </c:numRef>
          </c:cat>
          <c:val>
            <c:numRef>
              <c:f>'CPI &amp; Urate'!$B$3:$B$162</c:f>
              <c:numCache>
                <c:formatCode>General</c:formatCode>
                <c:ptCount val="160"/>
                <c:pt idx="4" formatCode="0.0">
                  <c:v>5.8823529411764719</c:v>
                </c:pt>
                <c:pt idx="5" formatCode="0.0">
                  <c:v>6.3176895306859215</c:v>
                </c:pt>
                <c:pt idx="6" formatCode="0.0">
                  <c:v>4.7957371225577416</c:v>
                </c:pt>
                <c:pt idx="7" formatCode="0.0">
                  <c:v>2.9720279720279574</c:v>
                </c:pt>
                <c:pt idx="8" formatCode="0.0">
                  <c:v>2.7777777777777901</c:v>
                </c:pt>
                <c:pt idx="9" formatCode="0.0">
                  <c:v>1.5280135823429575</c:v>
                </c:pt>
                <c:pt idx="10" formatCode="0.0">
                  <c:v>1.3559322033898313</c:v>
                </c:pt>
                <c:pt idx="11" formatCode="0.0">
                  <c:v>1.0186757215619791</c:v>
                </c:pt>
                <c:pt idx="12" formatCode="0.0">
                  <c:v>0.8445945945946054</c:v>
                </c:pt>
                <c:pt idx="13" formatCode="0.0">
                  <c:v>0.33444816053511683</c:v>
                </c:pt>
                <c:pt idx="14" formatCode="0.0">
                  <c:v>1.0033444816053505</c:v>
                </c:pt>
                <c:pt idx="15" formatCode="0.0">
                  <c:v>1.6806722689075571</c:v>
                </c:pt>
                <c:pt idx="16" formatCode="0.0">
                  <c:v>1.675041876046901</c:v>
                </c:pt>
                <c:pt idx="17" formatCode="0.0">
                  <c:v>1.3333333333333197</c:v>
                </c:pt>
                <c:pt idx="18" formatCode="0.0">
                  <c:v>0.82781456953642252</c:v>
                </c:pt>
                <c:pt idx="19" formatCode="0.0">
                  <c:v>1.4876033057851235</c:v>
                </c:pt>
                <c:pt idx="20" formatCode="0.0">
                  <c:v>2.1416803953871355</c:v>
                </c:pt>
                <c:pt idx="21" formatCode="0.0">
                  <c:v>2.6315789473684292</c:v>
                </c:pt>
                <c:pt idx="22" formatCode="0.0">
                  <c:v>4.269293924466333</c:v>
                </c:pt>
                <c:pt idx="23" formatCode="0.0">
                  <c:v>4.8859934853420217</c:v>
                </c:pt>
                <c:pt idx="24" formatCode="0.0">
                  <c:v>5.6451612903225756</c:v>
                </c:pt>
                <c:pt idx="25" formatCode="0.0">
                  <c:v>5.9294871794871806</c:v>
                </c:pt>
                <c:pt idx="26" formatCode="0.0">
                  <c:v>4.7244094488188892</c:v>
                </c:pt>
                <c:pt idx="27" formatCode="0.0">
                  <c:v>4.0372670807453215</c:v>
                </c:pt>
                <c:pt idx="28" formatCode="0.0">
                  <c:v>2.4427480916030531</c:v>
                </c:pt>
                <c:pt idx="29" formatCode="0.0">
                  <c:v>1.6641452344932084</c:v>
                </c:pt>
                <c:pt idx="30" formatCode="0.0">
                  <c:v>1.2030075187969835</c:v>
                </c:pt>
                <c:pt idx="31" formatCode="0.0">
                  <c:v>0.14925373134326847</c:v>
                </c:pt>
                <c:pt idx="32" formatCode="0.0">
                  <c:v>-0.29806259314454353</c:v>
                </c:pt>
                <c:pt idx="33" formatCode="0.0">
                  <c:v>-0.14880952380953438</c:v>
                </c:pt>
                <c:pt idx="34" formatCode="0.0">
                  <c:v>0.14858841010403356</c:v>
                </c:pt>
                <c:pt idx="35" formatCode="0.0">
                  <c:v>1.0432190760059745</c:v>
                </c:pt>
                <c:pt idx="36" formatCode="0.0">
                  <c:v>1.6442451420029869</c:v>
                </c:pt>
                <c:pt idx="37" formatCode="0.0">
                  <c:v>1.9374068554396606</c:v>
                </c:pt>
                <c:pt idx="38" formatCode="0.0">
                  <c:v>1.4836795252225476</c:v>
                </c:pt>
                <c:pt idx="39" formatCode="0.0">
                  <c:v>1.3274336283185972</c:v>
                </c:pt>
                <c:pt idx="40" formatCode="0.0">
                  <c:v>1.9117647058823461</c:v>
                </c:pt>
                <c:pt idx="41" formatCode="0.0">
                  <c:v>1.9005847953216248</c:v>
                </c:pt>
                <c:pt idx="42" formatCode="0.0">
                  <c:v>2.7777777777777679</c:v>
                </c:pt>
                <c:pt idx="43" formatCode="0.0">
                  <c:v>3.2023289665211063</c:v>
                </c:pt>
                <c:pt idx="44" formatCode="0.0">
                  <c:v>6.0606060606060552</c:v>
                </c:pt>
                <c:pt idx="45" formatCode="0.0">
                  <c:v>5.8823529411764719</c:v>
                </c:pt>
                <c:pt idx="46" formatCode="0.0">
                  <c:v>6.4011379800853474</c:v>
                </c:pt>
                <c:pt idx="47" formatCode="0.0">
                  <c:v>6.3469675599435726</c:v>
                </c:pt>
                <c:pt idx="48" formatCode="0.0">
                  <c:v>2.857142857142847</c:v>
                </c:pt>
                <c:pt idx="49" formatCode="0.0">
                  <c:v>3.3875338753387441</c:v>
                </c:pt>
                <c:pt idx="50" formatCode="0.0">
                  <c:v>2.941176470588247</c:v>
                </c:pt>
                <c:pt idx="51" formatCode="0.0">
                  <c:v>2.7851458885941538</c:v>
                </c:pt>
                <c:pt idx="52" formatCode="0.0">
                  <c:v>3.0423280423280685</c:v>
                </c:pt>
                <c:pt idx="53" formatCode="0.0">
                  <c:v>2.7522935779816571</c:v>
                </c:pt>
                <c:pt idx="54" formatCode="0.0">
                  <c:v>3.1168831168831179</c:v>
                </c:pt>
                <c:pt idx="55" formatCode="0.0">
                  <c:v>2.4516129032258194</c:v>
                </c:pt>
                <c:pt idx="56" formatCode="0.0">
                  <c:v>2.0539152759948553</c:v>
                </c:pt>
                <c:pt idx="57" formatCode="0.0">
                  <c:v>2.2959183673469274</c:v>
                </c:pt>
                <c:pt idx="58" formatCode="0.0">
                  <c:v>1.8891687657430767</c:v>
                </c:pt>
                <c:pt idx="59" formatCode="0.0">
                  <c:v>2.267002518891692</c:v>
                </c:pt>
                <c:pt idx="60" formatCode="0.0">
                  <c:v>2.6415094339622636</c:v>
                </c:pt>
                <c:pt idx="61" formatCode="0.0">
                  <c:v>2.6184538653366562</c:v>
                </c:pt>
                <c:pt idx="62" formatCode="0.0">
                  <c:v>2.2249690976514191</c:v>
                </c:pt>
                <c:pt idx="63" formatCode="0.0">
                  <c:v>2.4630541871921263</c:v>
                </c:pt>
                <c:pt idx="64" formatCode="0.0">
                  <c:v>2.941176470588247</c:v>
                </c:pt>
                <c:pt idx="65" formatCode="0.0">
                  <c:v>2.4301336573511634</c:v>
                </c:pt>
                <c:pt idx="66" formatCode="0.0">
                  <c:v>2.7811366384522307</c:v>
                </c:pt>
                <c:pt idx="67" formatCode="0.0">
                  <c:v>3.8461538461538547</c:v>
                </c:pt>
                <c:pt idx="68" formatCode="0.0">
                  <c:v>3.8095238095238182</c:v>
                </c:pt>
                <c:pt idx="69" formatCode="0.0">
                  <c:v>3.2028469750889688</c:v>
                </c:pt>
                <c:pt idx="70" formatCode="0.0">
                  <c:v>2.2352941176470686</c:v>
                </c:pt>
                <c:pt idx="71" formatCode="0.0">
                  <c:v>1.736111111111116</c:v>
                </c:pt>
                <c:pt idx="72" formatCode="0.0">
                  <c:v>1.261467889908241</c:v>
                </c:pt>
                <c:pt idx="73" formatCode="0.0">
                  <c:v>2.4137931034482696</c:v>
                </c:pt>
                <c:pt idx="74" formatCode="0.0">
                  <c:v>3.9125431530494748</c:v>
                </c:pt>
                <c:pt idx="75" formatCode="0.0">
                  <c:v>4.3230944254835091</c:v>
                </c:pt>
                <c:pt idx="76" formatCode="0.0">
                  <c:v>4.9830124575311441</c:v>
                </c:pt>
                <c:pt idx="77" formatCode="0.0">
                  <c:v>3.7037037037037202</c:v>
                </c:pt>
                <c:pt idx="78" formatCode="0.0">
                  <c:v>2.4363233665559259</c:v>
                </c:pt>
                <c:pt idx="79" formatCode="0.0">
                  <c:v>1.3086150490730697</c:v>
                </c:pt>
                <c:pt idx="80" formatCode="0.0">
                  <c:v>1.2944983818770295</c:v>
                </c:pt>
                <c:pt idx="81" formatCode="0.0">
                  <c:v>2.1645021645021689</c:v>
                </c:pt>
                <c:pt idx="82" formatCode="0.0">
                  <c:v>2.9189189189189113</c:v>
                </c:pt>
                <c:pt idx="83" formatCode="0.0">
                  <c:v>2.906350914962319</c:v>
                </c:pt>
                <c:pt idx="84" formatCode="0.0">
                  <c:v>2.5559105431309792</c:v>
                </c:pt>
                <c:pt idx="85" formatCode="0.0">
                  <c:v>2.4364406779660897</c:v>
                </c:pt>
                <c:pt idx="86" formatCode="0.0">
                  <c:v>3.1512605042016695</c:v>
                </c:pt>
                <c:pt idx="87" formatCode="0.0">
                  <c:v>3.7656903765690419</c:v>
                </c:pt>
                <c:pt idx="88" formatCode="0.0">
                  <c:v>3.7383177570093462</c:v>
                </c:pt>
                <c:pt idx="89" formatCode="0.0">
                  <c:v>3.2057911065149991</c:v>
                </c:pt>
                <c:pt idx="90" formatCode="0.0">
                  <c:v>1.731160896130346</c:v>
                </c:pt>
                <c:pt idx="91" formatCode="0.0">
                  <c:v>1.3104838709677491</c:v>
                </c:pt>
                <c:pt idx="92" formatCode="0.0">
                  <c:v>2.3023023023023059</c:v>
                </c:pt>
                <c:pt idx="93" formatCode="0.0">
                  <c:v>2.5050100200400882</c:v>
                </c:pt>
                <c:pt idx="94" formatCode="0.0">
                  <c:v>2.8028028028028062</c:v>
                </c:pt>
                <c:pt idx="95" formatCode="0.0">
                  <c:v>2.5870646766169125</c:v>
                </c:pt>
                <c:pt idx="96" formatCode="0.0">
                  <c:v>2.0547945205479312</c:v>
                </c:pt>
                <c:pt idx="97" formatCode="0.0">
                  <c:v>2.6392961876832821</c:v>
                </c:pt>
                <c:pt idx="98" formatCode="0.0">
                  <c:v>2.8237585199610393</c:v>
                </c:pt>
                <c:pt idx="99" formatCode="0.0">
                  <c:v>2.812803103782735</c:v>
                </c:pt>
                <c:pt idx="100" formatCode="0.0">
                  <c:v>2.2051773729625967</c:v>
                </c:pt>
                <c:pt idx="101" formatCode="0.0">
                  <c:v>1.7142857142857126</c:v>
                </c:pt>
                <c:pt idx="102" formatCode="0.0">
                  <c:v>1.6098484848484862</c:v>
                </c:pt>
                <c:pt idx="103" formatCode="0.0">
                  <c:v>2.1698113207547109</c:v>
                </c:pt>
                <c:pt idx="104" formatCode="0.0">
                  <c:v>1.8761726078799335</c:v>
                </c:pt>
                <c:pt idx="105" formatCode="0.0">
                  <c:v>1.9662921348314599</c:v>
                </c:pt>
                <c:pt idx="106" formatCode="0.0">
                  <c:v>1.3047530288909703</c:v>
                </c:pt>
                <c:pt idx="107" formatCode="0.0">
                  <c:v>0.92336103416434945</c:v>
                </c:pt>
                <c:pt idx="108" formatCode="0.0">
                  <c:v>1.6574585635359185</c:v>
                </c:pt>
                <c:pt idx="109" formatCode="0.0">
                  <c:v>1.8365472910927494</c:v>
                </c:pt>
                <c:pt idx="110" formatCode="0.0">
                  <c:v>2.3919043238270321</c:v>
                </c:pt>
                <c:pt idx="111" formatCode="0.0">
                  <c:v>2.1957913998170264</c:v>
                </c:pt>
                <c:pt idx="112" formatCode="0.0">
                  <c:v>1.9021739130434812</c:v>
                </c:pt>
                <c:pt idx="113" formatCode="0.0">
                  <c:v>2.1641118124436254</c:v>
                </c:pt>
                <c:pt idx="114" formatCode="0.0">
                  <c:v>2.0664869721473522</c:v>
                </c:pt>
                <c:pt idx="115" formatCode="0.0">
                  <c:v>2.0590868397493356</c:v>
                </c:pt>
                <c:pt idx="116" formatCode="0.0">
                  <c:v>1.9555555555555548</c:v>
                </c:pt>
                <c:pt idx="117" formatCode="0.0">
                  <c:v>1.6769638128861564</c:v>
                </c:pt>
                <c:pt idx="118" formatCode="0.0">
                  <c:v>1.3204225352112742</c:v>
                </c:pt>
                <c:pt idx="119" formatCode="0.0">
                  <c:v>1.6666666666666607</c:v>
                </c:pt>
                <c:pt idx="120" formatCode="0.0">
                  <c:v>1.5693112467306092</c:v>
                </c:pt>
                <c:pt idx="121" formatCode="0.0">
                  <c:v>1.649305555555558</c:v>
                </c:pt>
                <c:pt idx="122" formatCode="0.0">
                  <c:v>1.9982623805386623</c:v>
                </c:pt>
                <c:pt idx="123" formatCode="0.0">
                  <c:v>-1.035375323554788</c:v>
                </c:pt>
                <c:pt idx="124" formatCode="0.0">
                  <c:v>0.25751072961373023</c:v>
                </c:pt>
                <c:pt idx="125" formatCode="0.0">
                  <c:v>0.76857386848847575</c:v>
                </c:pt>
                <c:pt idx="126" formatCode="0.0">
                  <c:v>0.93696763202724132</c:v>
                </c:pt>
                <c:pt idx="127" formatCode="0.0">
                  <c:v>4.0976460331298981</c:v>
                </c:pt>
                <c:pt idx="128" formatCode="0.0">
                  <c:v>2.9109589041095951</c:v>
                </c:pt>
                <c:pt idx="129" formatCode="0.0">
                  <c:v>3.050847457627115</c:v>
                </c:pt>
                <c:pt idx="130" formatCode="0.0">
                  <c:v>4.3881856540084474</c:v>
                </c:pt>
                <c:pt idx="131" formatCode="0.0">
                  <c:v>5.2763819095477338</c:v>
                </c:pt>
                <c:pt idx="132" formatCode="0.0">
                  <c:v>6.9883527454242866</c:v>
                </c:pt>
                <c:pt idx="133" formatCode="0.0">
                  <c:v>7.6480263157894912</c:v>
                </c:pt>
                <c:pt idx="134" formatCode="0.0">
                  <c:v>7.275666936135794</c:v>
                </c:pt>
                <c:pt idx="135" formatCode="0.0">
                  <c:v>6.6030230708034932</c:v>
                </c:pt>
                <c:pt idx="136" formatCode="0.0">
                  <c:v>5.5987558320373276</c:v>
                </c:pt>
                <c:pt idx="137" formatCode="0.0">
                  <c:v>4.2016806722689148</c:v>
                </c:pt>
                <c:pt idx="138" formatCode="0.0">
                  <c:v>3.7678975131876458</c:v>
                </c:pt>
                <c:pt idx="139" formatCode="0.0">
                  <c:v>3.8059701492537235</c:v>
                </c:pt>
                <c:pt idx="140" formatCode="0.0">
                  <c:v>2.9455081001472649</c:v>
                </c:pt>
                <c:pt idx="141" formatCode="0.0">
                  <c:v>2.4193548387096753</c:v>
                </c:pt>
                <c:pt idx="142" formatCode="0.0">
                  <c:v>2.3238925199709604</c:v>
                </c:pt>
                <c:pt idx="143" formatCode="0.0">
                  <c:v>2.23452209862225</c:v>
                </c:pt>
                <c:pt idx="144" formatCode="0.0">
                  <c:v>2.5381803978725515</c:v>
                </c:pt>
                <c:pt idx="145" formatCode="0.0">
                  <c:v>3.0782134483327184</c:v>
                </c:pt>
                <c:pt idx="146" formatCode="0.0">
                  <c:v>3.4113302489480191</c:v>
                </c:pt>
                <c:pt idx="147" formatCode="0.0">
                  <c:v>3.2964889727834077</c:v>
                </c:pt>
                <c:pt idx="148" formatCode="0.0">
                  <c:v>2.8720336681280969</c:v>
                </c:pt>
                <c:pt idx="149" formatCode="0.0">
                  <c:v>2.6985678116625</c:v>
                </c:pt>
                <c:pt idx="150" formatCode="0.0">
                  <c:v>2.4606889700156387</c:v>
                </c:pt>
                <c:pt idx="151" formatCode="0.0">
                  <c:v>2.451832711938323</c:v>
                </c:pt>
                <c:pt idx="152" formatCode="0.0">
                  <c:v>2.6227354452072547</c:v>
                </c:pt>
                <c:pt idx="153" formatCode="0.0">
                  <c:v>2.7063541966372497</c:v>
                </c:pt>
                <c:pt idx="154" formatCode="0.0">
                  <c:v>2.6111970598170728</c:v>
                </c:pt>
                <c:pt idx="155" formatCode="0.0">
                  <c:v>2.4305438440637346</c:v>
                </c:pt>
                <c:pt idx="156" formatCode="0.0">
                  <c:v>2.5374960269981131</c:v>
                </c:pt>
                <c:pt idx="157" formatCode="0.0">
                  <c:v>2.5247078625231438</c:v>
                </c:pt>
                <c:pt idx="158" formatCode="0.0">
                  <c:v>2.525470085941123</c:v>
                </c:pt>
                <c:pt idx="159" formatCode="0.0">
                  <c:v>2.4725696639372075</c:v>
                </c:pt>
              </c:numCache>
            </c:numRef>
          </c:val>
          <c:smooth val="0"/>
          <c:extLst>
            <c:ext xmlns:c16="http://schemas.microsoft.com/office/drawing/2014/chart" uri="{C3380CC4-5D6E-409C-BE32-E72D297353CC}">
              <c16:uniqueId val="{00000000-CCCD-4B9F-8922-6BCB5BB86D0F}"/>
            </c:ext>
          </c:extLst>
        </c:ser>
        <c:ser>
          <c:idx val="1"/>
          <c:order val="1"/>
          <c:tx>
            <c:strRef>
              <c:f>'CPI &amp; Urate'!$C$2</c:f>
              <c:strCache>
                <c:ptCount val="1"/>
                <c:pt idx="0">
                  <c:v>NSW Unemployment Rate</c:v>
                </c:pt>
              </c:strCache>
            </c:strRef>
          </c:tx>
          <c:spPr>
            <a:ln w="22225" cap="rnd">
              <a:solidFill>
                <a:srgbClr val="2E808E"/>
              </a:solidFill>
              <a:round/>
            </a:ln>
            <a:effectLst/>
          </c:spPr>
          <c:marker>
            <c:symbol val="none"/>
          </c:marker>
          <c:dPt>
            <c:idx val="136"/>
            <c:marker>
              <c:symbol val="none"/>
            </c:marker>
            <c:bubble3D val="0"/>
            <c:extLst>
              <c:ext xmlns:c16="http://schemas.microsoft.com/office/drawing/2014/chart" uri="{C3380CC4-5D6E-409C-BE32-E72D297353CC}">
                <c16:uniqueId val="{00000001-CCCD-4B9F-8922-6BCB5BB86D0F}"/>
              </c:ext>
            </c:extLst>
          </c:dPt>
          <c:cat>
            <c:numRef>
              <c:f>'CPI &amp; Urate'!$A$3:$A$162</c:f>
              <c:numCache>
                <c:formatCode>mmm\-yy</c:formatCode>
                <c:ptCount val="160"/>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numCache>
            </c:numRef>
          </c:cat>
          <c:val>
            <c:numRef>
              <c:f>'CPI &amp; Urate'!$C$3:$C$162</c:f>
              <c:numCache>
                <c:formatCode>#,##0.0</c:formatCode>
                <c:ptCount val="160"/>
                <c:pt idx="0">
                  <c:v>6.2486173535795606</c:v>
                </c:pt>
                <c:pt idx="1">
                  <c:v>5.7480306256353897</c:v>
                </c:pt>
                <c:pt idx="2">
                  <c:v>6.2676941533343298</c:v>
                </c:pt>
                <c:pt idx="3">
                  <c:v>6.2562839836741473</c:v>
                </c:pt>
                <c:pt idx="4">
                  <c:v>6.7083370090334409</c:v>
                </c:pt>
                <c:pt idx="5">
                  <c:v>7.0011682671252631</c:v>
                </c:pt>
                <c:pt idx="6">
                  <c:v>7.8684827677649478</c:v>
                </c:pt>
                <c:pt idx="7">
                  <c:v>8.4800428603247582</c:v>
                </c:pt>
                <c:pt idx="8">
                  <c:v>9.2549641839905448</c:v>
                </c:pt>
                <c:pt idx="9">
                  <c:v>9.8455115775138147</c:v>
                </c:pt>
                <c:pt idx="10">
                  <c:v>9.69127426368809</c:v>
                </c:pt>
                <c:pt idx="11">
                  <c:v>10.003542900841991</c:v>
                </c:pt>
                <c:pt idx="12">
                  <c:v>10.51699864833447</c:v>
                </c:pt>
                <c:pt idx="13">
                  <c:v>11.117695335334915</c:v>
                </c:pt>
                <c:pt idx="14">
                  <c:v>10.943165626342413</c:v>
                </c:pt>
                <c:pt idx="15">
                  <c:v>10.661114813703801</c:v>
                </c:pt>
                <c:pt idx="16">
                  <c:v>10.566167177628266</c:v>
                </c:pt>
                <c:pt idx="17">
                  <c:v>10.707817201172745</c:v>
                </c:pt>
                <c:pt idx="18">
                  <c:v>10.146045592520576</c:v>
                </c:pt>
                <c:pt idx="19">
                  <c:v>9.8796117903224605</c:v>
                </c:pt>
                <c:pt idx="20">
                  <c:v>9.3153970665889521</c:v>
                </c:pt>
                <c:pt idx="21">
                  <c:v>8.8579771624167254</c:v>
                </c:pt>
                <c:pt idx="22">
                  <c:v>8.4268576449256294</c:v>
                </c:pt>
                <c:pt idx="23">
                  <c:v>7.7521901595654059</c:v>
                </c:pt>
                <c:pt idx="24">
                  <c:v>7.6691441491121921</c:v>
                </c:pt>
                <c:pt idx="25">
                  <c:v>7.5620125619691585</c:v>
                </c:pt>
                <c:pt idx="26">
                  <c:v>7.698568486876546</c:v>
                </c:pt>
                <c:pt idx="27">
                  <c:v>7.9055430814483376</c:v>
                </c:pt>
                <c:pt idx="28">
                  <c:v>8.0201142992767309</c:v>
                </c:pt>
                <c:pt idx="29">
                  <c:v>7.6954810659696253</c:v>
                </c:pt>
                <c:pt idx="30">
                  <c:v>7.8253988919009458</c:v>
                </c:pt>
                <c:pt idx="31">
                  <c:v>7.7281646005752522</c:v>
                </c:pt>
                <c:pt idx="32">
                  <c:v>7.7584730201165799</c:v>
                </c:pt>
                <c:pt idx="33">
                  <c:v>7.451889985953156</c:v>
                </c:pt>
                <c:pt idx="34">
                  <c:v>7.2562790291429247</c:v>
                </c:pt>
                <c:pt idx="35">
                  <c:v>7.1561065292715424</c:v>
                </c:pt>
                <c:pt idx="36">
                  <c:v>7.1536389997035528</c:v>
                </c:pt>
                <c:pt idx="37">
                  <c:v>6.6830694509705006</c:v>
                </c:pt>
                <c:pt idx="38">
                  <c:v>6.4963072865454068</c:v>
                </c:pt>
                <c:pt idx="39">
                  <c:v>6.1515070148414281</c:v>
                </c:pt>
                <c:pt idx="40">
                  <c:v>6.3962871627171944</c:v>
                </c:pt>
                <c:pt idx="41">
                  <c:v>5.6865120334979222</c:v>
                </c:pt>
                <c:pt idx="42">
                  <c:v>5.7813949077175799</c:v>
                </c:pt>
                <c:pt idx="43">
                  <c:v>5.3639429140143786</c:v>
                </c:pt>
                <c:pt idx="44">
                  <c:v>5.0438944490246005</c:v>
                </c:pt>
                <c:pt idx="45">
                  <c:v>5.391803812386307</c:v>
                </c:pt>
                <c:pt idx="46">
                  <c:v>5.4973879157287193</c:v>
                </c:pt>
                <c:pt idx="47">
                  <c:v>5.8218625699052682</c:v>
                </c:pt>
                <c:pt idx="48">
                  <c:v>6.1409462676810751</c:v>
                </c:pt>
                <c:pt idx="49">
                  <c:v>6.3562758311904766</c:v>
                </c:pt>
                <c:pt idx="50">
                  <c:v>6.0786183194607757</c:v>
                </c:pt>
                <c:pt idx="51">
                  <c:v>6.1141187104496648</c:v>
                </c:pt>
                <c:pt idx="52">
                  <c:v>5.8447426047507225</c:v>
                </c:pt>
                <c:pt idx="53">
                  <c:v>5.7965363756489401</c:v>
                </c:pt>
                <c:pt idx="54">
                  <c:v>5.8109247431019808</c:v>
                </c:pt>
                <c:pt idx="55">
                  <c:v>5.8176435487526019</c:v>
                </c:pt>
                <c:pt idx="56">
                  <c:v>5.7457190937257048</c:v>
                </c:pt>
                <c:pt idx="57">
                  <c:v>5.4729449469787221</c:v>
                </c:pt>
                <c:pt idx="58">
                  <c:v>5.2830251787225553</c:v>
                </c:pt>
                <c:pt idx="59">
                  <c:v>5.3786623611881073</c:v>
                </c:pt>
                <c:pt idx="60">
                  <c:v>5.367981089261006</c:v>
                </c:pt>
                <c:pt idx="61">
                  <c:v>5.117179516917628</c:v>
                </c:pt>
                <c:pt idx="62">
                  <c:v>5.3040856350143963</c:v>
                </c:pt>
                <c:pt idx="63">
                  <c:v>5.0252481349223643</c:v>
                </c:pt>
                <c:pt idx="64">
                  <c:v>5.0346441945871021</c:v>
                </c:pt>
                <c:pt idx="65">
                  <c:v>5.2053486044118369</c:v>
                </c:pt>
                <c:pt idx="66">
                  <c:v>5.2773166613301683</c:v>
                </c:pt>
                <c:pt idx="67">
                  <c:v>5.272103557016619</c:v>
                </c:pt>
                <c:pt idx="68">
                  <c:v>5.1647610712872734</c:v>
                </c:pt>
                <c:pt idx="69">
                  <c:v>4.8046448197289493</c:v>
                </c:pt>
                <c:pt idx="70">
                  <c:v>5.0714078210386759</c:v>
                </c:pt>
                <c:pt idx="71">
                  <c:v>4.8348454957360874</c:v>
                </c:pt>
                <c:pt idx="72">
                  <c:v>4.6731600129923976</c:v>
                </c:pt>
                <c:pt idx="73">
                  <c:v>4.6427382529155565</c:v>
                </c:pt>
                <c:pt idx="74">
                  <c:v>4.4114593712203618</c:v>
                </c:pt>
                <c:pt idx="75">
                  <c:v>4.6304309949147218</c:v>
                </c:pt>
                <c:pt idx="76">
                  <c:v>4.7938071436155631</c:v>
                </c:pt>
                <c:pt idx="77">
                  <c:v>5.2036178587725823</c:v>
                </c:pt>
                <c:pt idx="78">
                  <c:v>6.1304916454270497</c:v>
                </c:pt>
                <c:pt idx="79">
                  <c:v>6.3468034041500125</c:v>
                </c:pt>
                <c:pt idx="80">
                  <c:v>5.7853108838488847</c:v>
                </c:pt>
                <c:pt idx="81">
                  <c:v>5.9756421792377328</c:v>
                </c:pt>
                <c:pt idx="82">
                  <c:v>5.4910744454565368</c:v>
                </c:pt>
                <c:pt idx="83">
                  <c:v>5.4329275783028042</c:v>
                </c:pt>
                <c:pt idx="84">
                  <c:v>5.1215597851252443</c:v>
                </c:pt>
                <c:pt idx="85">
                  <c:v>5.0153892440185031</c:v>
                </c:pt>
                <c:pt idx="86">
                  <c:v>4.9048639456177021</c:v>
                </c:pt>
                <c:pt idx="87">
                  <c:v>5.1403339167205662</c:v>
                </c:pt>
                <c:pt idx="88">
                  <c:v>5.3370249031276646</c:v>
                </c:pt>
                <c:pt idx="89">
                  <c:v>5.3425504862637174</c:v>
                </c:pt>
                <c:pt idx="90">
                  <c:v>4.9762882378707491</c:v>
                </c:pt>
                <c:pt idx="91">
                  <c:v>5.078066189210138</c:v>
                </c:pt>
                <c:pt idx="92">
                  <c:v>5.0506992106310866</c:v>
                </c:pt>
                <c:pt idx="93">
                  <c:v>5.0981104530817305</c:v>
                </c:pt>
                <c:pt idx="94">
                  <c:v>5.2567697079972131</c:v>
                </c:pt>
                <c:pt idx="95">
                  <c:v>5.4998428935780028</c:v>
                </c:pt>
                <c:pt idx="96">
                  <c:v>5.7215286404361505</c:v>
                </c:pt>
                <c:pt idx="97">
                  <c:v>5.8999309050684481</c:v>
                </c:pt>
                <c:pt idx="98">
                  <c:v>5.4813522906629242</c:v>
                </c:pt>
                <c:pt idx="99">
                  <c:v>5.6190291120023339</c:v>
                </c:pt>
                <c:pt idx="100">
                  <c:v>5.8005257575358922</c:v>
                </c:pt>
                <c:pt idx="101">
                  <c:v>5.9779558554349981</c:v>
                </c:pt>
                <c:pt idx="102">
                  <c:v>6.1085402945935963</c:v>
                </c:pt>
                <c:pt idx="103">
                  <c:v>5.7762382064463793</c:v>
                </c:pt>
                <c:pt idx="104">
                  <c:v>5.8627564066211741</c:v>
                </c:pt>
                <c:pt idx="105">
                  <c:v>5.2738129805460439</c:v>
                </c:pt>
                <c:pt idx="106">
                  <c:v>5.3219343170431772</c:v>
                </c:pt>
                <c:pt idx="107">
                  <c:v>5.1568025931434214</c:v>
                </c:pt>
                <c:pt idx="108">
                  <c:v>4.9972650375954322</c:v>
                </c:pt>
                <c:pt idx="109">
                  <c:v>5.0235620426813687</c:v>
                </c:pt>
                <c:pt idx="110">
                  <c:v>5.1428265697466902</c:v>
                </c:pt>
                <c:pt idx="111">
                  <c:v>4.7444559172054399</c:v>
                </c:pt>
                <c:pt idx="112">
                  <c:v>4.8531695981320802</c:v>
                </c:pt>
                <c:pt idx="113">
                  <c:v>4.7559475463733101</c:v>
                </c:pt>
                <c:pt idx="114">
                  <c:v>5.030083706428778</c:v>
                </c:pt>
                <c:pt idx="115">
                  <c:v>4.856618968658049</c:v>
                </c:pt>
                <c:pt idx="116">
                  <c:v>4.6609790545764884</c:v>
                </c:pt>
                <c:pt idx="117">
                  <c:v>4.4362818377263622</c:v>
                </c:pt>
                <c:pt idx="118">
                  <c:v>4.2410232199863911</c:v>
                </c:pt>
                <c:pt idx="119">
                  <c:v>4.619282718138666</c:v>
                </c:pt>
                <c:pt idx="120">
                  <c:v>4.4647342112879036</c:v>
                </c:pt>
                <c:pt idx="121">
                  <c:v>4.6846219721655942</c:v>
                </c:pt>
                <c:pt idx="122">
                  <c:v>4.6568469520325628</c:v>
                </c:pt>
                <c:pt idx="123">
                  <c:v>6.4878482597159088</c:v>
                </c:pt>
                <c:pt idx="124">
                  <c:v>6.8623530734497802</c:v>
                </c:pt>
                <c:pt idx="125">
                  <c:v>6.4401525883749891</c:v>
                </c:pt>
                <c:pt idx="126">
                  <c:v>5.6997611875018794</c:v>
                </c:pt>
                <c:pt idx="127">
                  <c:v>5.2404799001469407</c:v>
                </c:pt>
                <c:pt idx="128">
                  <c:v>4.6602323677972697</c:v>
                </c:pt>
                <c:pt idx="129">
                  <c:v>4.7477722970474456</c:v>
                </c:pt>
                <c:pt idx="130">
                  <c:v>3.9602722998571966</c:v>
                </c:pt>
                <c:pt idx="131">
                  <c:v>3.6749088546934816</c:v>
                </c:pt>
                <c:pt idx="132">
                  <c:v>3.4119062945337939</c:v>
                </c:pt>
                <c:pt idx="133">
                  <c:v>3.2016813592436049</c:v>
                </c:pt>
                <c:pt idx="134">
                  <c:v>3.2337003050263338</c:v>
                </c:pt>
                <c:pt idx="135">
                  <c:v>3.1610281840919225</c:v>
                </c:pt>
                <c:pt idx="136">
                  <c:v>3.4425990291967592</c:v>
                </c:pt>
                <c:pt idx="137">
                  <c:v>3.5068226267748441</c:v>
                </c:pt>
                <c:pt idx="138">
                  <c:v>3.8555504902289308</c:v>
                </c:pt>
                <c:pt idx="139">
                  <c:v>3.898021371659711</c:v>
                </c:pt>
                <c:pt idx="140">
                  <c:v>3.9594851550906291</c:v>
                </c:pt>
                <c:pt idx="141">
                  <c:v>3.9203037362371087</c:v>
                </c:pt>
                <c:pt idx="142">
                  <c:v>4.0913094604242763</c:v>
                </c:pt>
                <c:pt idx="143">
                  <c:v>4.1106144916327247</c:v>
                </c:pt>
                <c:pt idx="144">
                  <c:v>4.2230709866674196</c:v>
                </c:pt>
                <c:pt idx="145">
                  <c:v>4.3635468588632689</c:v>
                </c:pt>
                <c:pt idx="146">
                  <c:v>4.3725959033431145</c:v>
                </c:pt>
                <c:pt idx="147">
                  <c:v>4.3604642961387485</c:v>
                </c:pt>
                <c:pt idx="148">
                  <c:v>4.3438823103821811</c:v>
                </c:pt>
                <c:pt idx="149">
                  <c:v>4.269817086182595</c:v>
                </c:pt>
                <c:pt idx="150">
                  <c:v>4.2277769411736763</c:v>
                </c:pt>
                <c:pt idx="151">
                  <c:v>4.1576413896096254</c:v>
                </c:pt>
                <c:pt idx="152">
                  <c:v>4.096854146480271</c:v>
                </c:pt>
                <c:pt idx="153">
                  <c:v>4.0245507784174954</c:v>
                </c:pt>
                <c:pt idx="154">
                  <c:v>4.0416360968399685</c:v>
                </c:pt>
                <c:pt idx="155">
                  <c:v>4.0124315214337711</c:v>
                </c:pt>
                <c:pt idx="156">
                  <c:v>3.986975128586892</c:v>
                </c:pt>
                <c:pt idx="157">
                  <c:v>3.9723410270903314</c:v>
                </c:pt>
                <c:pt idx="158">
                  <c:v>3.992171248379242</c:v>
                </c:pt>
                <c:pt idx="159">
                  <c:v>3.9833106885940737</c:v>
                </c:pt>
              </c:numCache>
            </c:numRef>
          </c:val>
          <c:smooth val="0"/>
          <c:extLst>
            <c:ext xmlns:c16="http://schemas.microsoft.com/office/drawing/2014/chart" uri="{C3380CC4-5D6E-409C-BE32-E72D297353CC}">
              <c16:uniqueId val="{00000002-CCCD-4B9F-8922-6BCB5BB86D0F}"/>
            </c:ext>
          </c:extLst>
        </c:ser>
        <c:dLbls>
          <c:showLegendKey val="0"/>
          <c:showVal val="0"/>
          <c:showCatName val="0"/>
          <c:showSerName val="0"/>
          <c:showPercent val="0"/>
          <c:showBubbleSize val="0"/>
        </c:dLbls>
        <c:smooth val="0"/>
        <c:axId val="226614703"/>
        <c:axId val="226612783"/>
      </c:lineChart>
      <c:dateAx>
        <c:axId val="226614703"/>
        <c:scaling>
          <c:orientation val="minMax"/>
          <c:max val="45717"/>
          <c:min val="38412"/>
        </c:scaling>
        <c:delete val="0"/>
        <c:axPos val="b"/>
        <c:numFmt formatCode="mmm\-yy"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crossAx val="226612783"/>
        <c:crosses val="autoZero"/>
        <c:auto val="0"/>
        <c:lblOffset val="100"/>
        <c:baseTimeUnit val="months"/>
        <c:majorUnit val="4"/>
        <c:majorTimeUnit val="years"/>
      </c:dateAx>
      <c:valAx>
        <c:axId val="226612783"/>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crossAx val="226614703"/>
        <c:crosses val="autoZero"/>
        <c:crossBetween val="between"/>
        <c:majorUnit val="2"/>
      </c:valAx>
      <c:spPr>
        <a:noFill/>
        <a:ln>
          <a:noFill/>
        </a:ln>
        <a:effectLst/>
      </c:spPr>
    </c:plotArea>
    <c:legend>
      <c:legendPos val="t"/>
      <c:layout>
        <c:manualLayout>
          <c:xMode val="edge"/>
          <c:yMode val="edge"/>
          <c:x val="7.8799753991147151E-2"/>
          <c:y val="0.75934230194319885"/>
          <c:w val="0.67518377034553845"/>
          <c:h val="0.19407412638442617"/>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ysClr val="windowText" lastClr="000000"/>
          </a:solidFill>
          <a:latin typeface="Public San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03611111111112"/>
          <c:y val="6.4675925925925928E-2"/>
          <c:w val="0.80645694444444449"/>
          <c:h val="0.85622546296296309"/>
        </c:manualLayout>
      </c:layout>
      <c:barChart>
        <c:barDir val="col"/>
        <c:grouping val="clustered"/>
        <c:varyColors val="0"/>
        <c:ser>
          <c:idx val="0"/>
          <c:order val="0"/>
          <c:tx>
            <c:strRef>
              <c:f>'GSP and GSP per capita'!$C$2</c:f>
              <c:strCache>
                <c:ptCount val="1"/>
                <c:pt idx="0">
                  <c:v>GSP</c:v>
                </c:pt>
              </c:strCache>
            </c:strRef>
          </c:tx>
          <c:spPr>
            <a:solidFill>
              <a:srgbClr val="2E808E"/>
            </a:solidFill>
            <a:ln>
              <a:solidFill>
                <a:srgbClr val="2E808E"/>
              </a:solidFill>
            </a:ln>
            <a:effectLst/>
          </c:spPr>
          <c:invertIfNegative val="0"/>
          <c:cat>
            <c:strRef>
              <c:f>'GSP and GSP per capita'!$B$3:$B$42</c:f>
              <c:strCache>
                <c:ptCount val="40"/>
                <c:pt idx="0">
                  <c:v>1989-90</c:v>
                </c:pt>
                <c:pt idx="1">
                  <c:v>1990-91</c:v>
                </c:pt>
                <c:pt idx="2">
                  <c:v>1991-92</c:v>
                </c:pt>
                <c:pt idx="3">
                  <c:v>1992-93</c:v>
                </c:pt>
                <c:pt idx="4">
                  <c:v>1993-94</c:v>
                </c:pt>
                <c:pt idx="5">
                  <c:v>1994-95</c:v>
                </c:pt>
                <c:pt idx="6">
                  <c:v>1995-96</c:v>
                </c:pt>
                <c:pt idx="7">
                  <c:v>1996-97</c:v>
                </c:pt>
                <c:pt idx="8">
                  <c:v>1997-98</c:v>
                </c:pt>
                <c:pt idx="9">
                  <c:v>1998-99</c:v>
                </c:pt>
                <c:pt idx="10">
                  <c:v>1999-00</c:v>
                </c:pt>
                <c:pt idx="11">
                  <c:v>2000-01</c:v>
                </c:pt>
                <c:pt idx="12">
                  <c:v>2001-02</c:v>
                </c:pt>
                <c:pt idx="13">
                  <c:v>2002-03</c:v>
                </c:pt>
                <c:pt idx="14">
                  <c:v>2003-04</c:v>
                </c:pt>
                <c:pt idx="15">
                  <c:v>2004-05</c:v>
                </c:pt>
                <c:pt idx="16">
                  <c:v>2005-06</c:v>
                </c:pt>
                <c:pt idx="17">
                  <c:v>2006-07</c:v>
                </c:pt>
                <c:pt idx="18">
                  <c:v>2007-08</c:v>
                </c:pt>
                <c:pt idx="19">
                  <c:v>2008-09</c:v>
                </c:pt>
                <c:pt idx="20">
                  <c:v>2009-10</c:v>
                </c:pt>
                <c:pt idx="21">
                  <c:v>2010-11</c:v>
                </c:pt>
                <c:pt idx="22">
                  <c:v>2011-12</c:v>
                </c:pt>
                <c:pt idx="23">
                  <c:v>2012-13</c:v>
                </c:pt>
                <c:pt idx="24">
                  <c:v>2013-14</c:v>
                </c:pt>
                <c:pt idx="25">
                  <c:v>2014-15</c:v>
                </c:pt>
                <c:pt idx="26">
                  <c:v>2015-16</c:v>
                </c:pt>
                <c:pt idx="27">
                  <c:v>2016-17</c:v>
                </c:pt>
                <c:pt idx="28">
                  <c:v>2017-18</c:v>
                </c:pt>
                <c:pt idx="29">
                  <c:v>2018-19</c:v>
                </c:pt>
                <c:pt idx="30">
                  <c:v>2019-20</c:v>
                </c:pt>
                <c:pt idx="31">
                  <c:v>2020-21</c:v>
                </c:pt>
                <c:pt idx="32">
                  <c:v>2021-22</c:v>
                </c:pt>
                <c:pt idx="33">
                  <c:v>2022-23</c:v>
                </c:pt>
                <c:pt idx="34">
                  <c:v>2023-24</c:v>
                </c:pt>
                <c:pt idx="35">
                  <c:v>2024-25</c:v>
                </c:pt>
                <c:pt idx="36">
                  <c:v>2025-26</c:v>
                </c:pt>
                <c:pt idx="37">
                  <c:v>2026-27</c:v>
                </c:pt>
                <c:pt idx="38">
                  <c:v>2027-28</c:v>
                </c:pt>
                <c:pt idx="39">
                  <c:v>2028-29</c:v>
                </c:pt>
              </c:strCache>
            </c:strRef>
          </c:cat>
          <c:val>
            <c:numRef>
              <c:f>'GSP and GSP per capita'!$C$3:$C$42</c:f>
              <c:numCache>
                <c:formatCode>#,##0.0</c:formatCode>
                <c:ptCount val="40"/>
                <c:pt idx="1">
                  <c:v>0.44454823489028517</c:v>
                </c:pt>
                <c:pt idx="2">
                  <c:v>0.18431527435804895</c:v>
                </c:pt>
                <c:pt idx="3">
                  <c:v>2.8074541108050965</c:v>
                </c:pt>
                <c:pt idx="4">
                  <c:v>3.6962599538749474</c:v>
                </c:pt>
                <c:pt idx="5">
                  <c:v>3.6722993440636564</c:v>
                </c:pt>
                <c:pt idx="6">
                  <c:v>3.8559130155405352</c:v>
                </c:pt>
                <c:pt idx="7">
                  <c:v>3.2791677120607154</c:v>
                </c:pt>
                <c:pt idx="8">
                  <c:v>3.6984101152613302</c:v>
                </c:pt>
                <c:pt idx="9">
                  <c:v>4.8242561534227679</c:v>
                </c:pt>
                <c:pt idx="10">
                  <c:v>4.3991451229699274</c:v>
                </c:pt>
                <c:pt idx="11">
                  <c:v>1.7274918945880735</c:v>
                </c:pt>
                <c:pt idx="12">
                  <c:v>1.8583289748953957</c:v>
                </c:pt>
                <c:pt idx="13">
                  <c:v>2.0803581457293774</c:v>
                </c:pt>
                <c:pt idx="14">
                  <c:v>2.7614257083349747</c:v>
                </c:pt>
                <c:pt idx="15">
                  <c:v>1.3376826502789596</c:v>
                </c:pt>
                <c:pt idx="16">
                  <c:v>1.2371931545878123</c:v>
                </c:pt>
                <c:pt idx="17">
                  <c:v>1.7029263046853371</c:v>
                </c:pt>
                <c:pt idx="18">
                  <c:v>2.0684132208384387</c:v>
                </c:pt>
                <c:pt idx="19">
                  <c:v>1.4453176197683604</c:v>
                </c:pt>
                <c:pt idx="20">
                  <c:v>1.5877285976981348</c:v>
                </c:pt>
                <c:pt idx="21">
                  <c:v>2.0158817544495333</c:v>
                </c:pt>
                <c:pt idx="22">
                  <c:v>2.4216010915990349</c:v>
                </c:pt>
                <c:pt idx="23">
                  <c:v>2.1994420943637571</c:v>
                </c:pt>
                <c:pt idx="24">
                  <c:v>2.3261884640108033</c:v>
                </c:pt>
                <c:pt idx="25">
                  <c:v>2.7368014898149218</c:v>
                </c:pt>
                <c:pt idx="26">
                  <c:v>3.6897247954162049</c:v>
                </c:pt>
                <c:pt idx="27">
                  <c:v>2.516718253279282</c:v>
                </c:pt>
                <c:pt idx="28">
                  <c:v>2.2284935914749671</c:v>
                </c:pt>
                <c:pt idx="29">
                  <c:v>2.5843638560376858</c:v>
                </c:pt>
                <c:pt idx="30">
                  <c:v>-0.63092800153694562</c:v>
                </c:pt>
                <c:pt idx="31">
                  <c:v>2.2563132639837447</c:v>
                </c:pt>
                <c:pt idx="32">
                  <c:v>2.4875321970734943</c:v>
                </c:pt>
                <c:pt idx="33">
                  <c:v>4.1575539145174867</c:v>
                </c:pt>
                <c:pt idx="34">
                  <c:v>1.2157056021028456</c:v>
                </c:pt>
                <c:pt idx="35">
                  <c:v>1.6993296351053511</c:v>
                </c:pt>
                <c:pt idx="36">
                  <c:v>1.7679295944310836</c:v>
                </c:pt>
                <c:pt idx="37">
                  <c:v>2.1610932473890898</c:v>
                </c:pt>
                <c:pt idx="38">
                  <c:v>2.0548858257453118</c:v>
                </c:pt>
                <c:pt idx="39">
                  <c:v>2.107367887306677</c:v>
                </c:pt>
              </c:numCache>
            </c:numRef>
          </c:val>
          <c:extLst>
            <c:ext xmlns:c16="http://schemas.microsoft.com/office/drawing/2014/chart" uri="{C3380CC4-5D6E-409C-BE32-E72D297353CC}">
              <c16:uniqueId val="{00000000-34DF-4DBD-AD8D-6D73AC37C5EE}"/>
            </c:ext>
          </c:extLst>
        </c:ser>
        <c:ser>
          <c:idx val="1"/>
          <c:order val="1"/>
          <c:tx>
            <c:strRef>
              <c:f>'GSP and GSP per capita'!$D$2</c:f>
              <c:strCache>
                <c:ptCount val="1"/>
                <c:pt idx="0">
                  <c:v>GSP Per Capita</c:v>
                </c:pt>
              </c:strCache>
            </c:strRef>
          </c:tx>
          <c:spPr>
            <a:solidFill>
              <a:srgbClr val="0B3F47"/>
            </a:solidFill>
            <a:ln>
              <a:solidFill>
                <a:srgbClr val="0B3F47"/>
              </a:solidFill>
            </a:ln>
            <a:effectLst/>
          </c:spPr>
          <c:invertIfNegative val="0"/>
          <c:cat>
            <c:strRef>
              <c:f>'GSP and GSP per capita'!$B$3:$B$42</c:f>
              <c:strCache>
                <c:ptCount val="40"/>
                <c:pt idx="0">
                  <c:v>1989-90</c:v>
                </c:pt>
                <c:pt idx="1">
                  <c:v>1990-91</c:v>
                </c:pt>
                <c:pt idx="2">
                  <c:v>1991-92</c:v>
                </c:pt>
                <c:pt idx="3">
                  <c:v>1992-93</c:v>
                </c:pt>
                <c:pt idx="4">
                  <c:v>1993-94</c:v>
                </c:pt>
                <c:pt idx="5">
                  <c:v>1994-95</c:v>
                </c:pt>
                <c:pt idx="6">
                  <c:v>1995-96</c:v>
                </c:pt>
                <c:pt idx="7">
                  <c:v>1996-97</c:v>
                </c:pt>
                <c:pt idx="8">
                  <c:v>1997-98</c:v>
                </c:pt>
                <c:pt idx="9">
                  <c:v>1998-99</c:v>
                </c:pt>
                <c:pt idx="10">
                  <c:v>1999-00</c:v>
                </c:pt>
                <c:pt idx="11">
                  <c:v>2000-01</c:v>
                </c:pt>
                <c:pt idx="12">
                  <c:v>2001-02</c:v>
                </c:pt>
                <c:pt idx="13">
                  <c:v>2002-03</c:v>
                </c:pt>
                <c:pt idx="14">
                  <c:v>2003-04</c:v>
                </c:pt>
                <c:pt idx="15">
                  <c:v>2004-05</c:v>
                </c:pt>
                <c:pt idx="16">
                  <c:v>2005-06</c:v>
                </c:pt>
                <c:pt idx="17">
                  <c:v>2006-07</c:v>
                </c:pt>
                <c:pt idx="18">
                  <c:v>2007-08</c:v>
                </c:pt>
                <c:pt idx="19">
                  <c:v>2008-09</c:v>
                </c:pt>
                <c:pt idx="20">
                  <c:v>2009-10</c:v>
                </c:pt>
                <c:pt idx="21">
                  <c:v>2010-11</c:v>
                </c:pt>
                <c:pt idx="22">
                  <c:v>2011-12</c:v>
                </c:pt>
                <c:pt idx="23">
                  <c:v>2012-13</c:v>
                </c:pt>
                <c:pt idx="24">
                  <c:v>2013-14</c:v>
                </c:pt>
                <c:pt idx="25">
                  <c:v>2014-15</c:v>
                </c:pt>
                <c:pt idx="26">
                  <c:v>2015-16</c:v>
                </c:pt>
                <c:pt idx="27">
                  <c:v>2016-17</c:v>
                </c:pt>
                <c:pt idx="28">
                  <c:v>2017-18</c:v>
                </c:pt>
                <c:pt idx="29">
                  <c:v>2018-19</c:v>
                </c:pt>
                <c:pt idx="30">
                  <c:v>2019-20</c:v>
                </c:pt>
                <c:pt idx="31">
                  <c:v>2020-21</c:v>
                </c:pt>
                <c:pt idx="32">
                  <c:v>2021-22</c:v>
                </c:pt>
                <c:pt idx="33">
                  <c:v>2022-23</c:v>
                </c:pt>
                <c:pt idx="34">
                  <c:v>2023-24</c:v>
                </c:pt>
                <c:pt idx="35">
                  <c:v>2024-25</c:v>
                </c:pt>
                <c:pt idx="36">
                  <c:v>2025-26</c:v>
                </c:pt>
                <c:pt idx="37">
                  <c:v>2026-27</c:v>
                </c:pt>
                <c:pt idx="38">
                  <c:v>2027-28</c:v>
                </c:pt>
                <c:pt idx="39">
                  <c:v>2028-29</c:v>
                </c:pt>
              </c:strCache>
            </c:strRef>
          </c:cat>
          <c:val>
            <c:numRef>
              <c:f>'GSP and GSP per capita'!$D$3:$D$42</c:f>
              <c:numCache>
                <c:formatCode>0.0;\-0.0;0.0;@</c:formatCode>
                <c:ptCount val="40"/>
                <c:pt idx="1">
                  <c:v>-0.6</c:v>
                </c:pt>
                <c:pt idx="2">
                  <c:v>-0.9</c:v>
                </c:pt>
                <c:pt idx="3">
                  <c:v>2</c:v>
                </c:pt>
                <c:pt idx="4">
                  <c:v>3</c:v>
                </c:pt>
                <c:pt idx="5">
                  <c:v>2.8</c:v>
                </c:pt>
                <c:pt idx="6">
                  <c:v>2.6</c:v>
                </c:pt>
                <c:pt idx="7">
                  <c:v>2.1</c:v>
                </c:pt>
                <c:pt idx="8">
                  <c:v>2.7</c:v>
                </c:pt>
                <c:pt idx="9">
                  <c:v>3.8</c:v>
                </c:pt>
                <c:pt idx="10">
                  <c:v>3.2</c:v>
                </c:pt>
                <c:pt idx="11">
                  <c:v>0.5</c:v>
                </c:pt>
                <c:pt idx="12">
                  <c:v>0.7</c:v>
                </c:pt>
                <c:pt idx="13">
                  <c:v>1.4</c:v>
                </c:pt>
                <c:pt idx="14">
                  <c:v>2.2000000000000002</c:v>
                </c:pt>
                <c:pt idx="15">
                  <c:v>0.8</c:v>
                </c:pt>
                <c:pt idx="16">
                  <c:v>0.5</c:v>
                </c:pt>
                <c:pt idx="17">
                  <c:v>0.7</c:v>
                </c:pt>
                <c:pt idx="18">
                  <c:v>0.6</c:v>
                </c:pt>
                <c:pt idx="19">
                  <c:v>-0.3</c:v>
                </c:pt>
                <c:pt idx="20">
                  <c:v>0.2</c:v>
                </c:pt>
                <c:pt idx="21">
                  <c:v>0.9</c:v>
                </c:pt>
                <c:pt idx="22">
                  <c:v>1.3</c:v>
                </c:pt>
                <c:pt idx="23">
                  <c:v>0.9</c:v>
                </c:pt>
                <c:pt idx="24">
                  <c:v>0.9</c:v>
                </c:pt>
                <c:pt idx="25">
                  <c:v>1.3</c:v>
                </c:pt>
                <c:pt idx="26">
                  <c:v>2.2000000000000002</c:v>
                </c:pt>
                <c:pt idx="27">
                  <c:v>0.9</c:v>
                </c:pt>
                <c:pt idx="28">
                  <c:v>0.9</c:v>
                </c:pt>
                <c:pt idx="29">
                  <c:v>1.3</c:v>
                </c:pt>
                <c:pt idx="30">
                  <c:v>-1.7</c:v>
                </c:pt>
                <c:pt idx="31">
                  <c:v>2.2000000000000002</c:v>
                </c:pt>
                <c:pt idx="32">
                  <c:v>2.4</c:v>
                </c:pt>
                <c:pt idx="33">
                  <c:v>2.2999999999999998</c:v>
                </c:pt>
                <c:pt idx="34">
                  <c:v>-1</c:v>
                </c:pt>
                <c:pt idx="35" formatCode="#,##0.0">
                  <c:v>0.33932551624558105</c:v>
                </c:pt>
                <c:pt idx="36" formatCode="#,##0.0">
                  <c:v>0.5541274609158986</c:v>
                </c:pt>
                <c:pt idx="37" formatCode="#,##0.0">
                  <c:v>1.0606811957739826</c:v>
                </c:pt>
                <c:pt idx="38" formatCode="#,##0.0">
                  <c:v>0.97591988967584697</c:v>
                </c:pt>
                <c:pt idx="39" formatCode="#,##0.0">
                  <c:v>1.022411288951397</c:v>
                </c:pt>
              </c:numCache>
            </c:numRef>
          </c:val>
          <c:extLst>
            <c:ext xmlns:c16="http://schemas.microsoft.com/office/drawing/2014/chart" uri="{C3380CC4-5D6E-409C-BE32-E72D297353CC}">
              <c16:uniqueId val="{00000001-34DF-4DBD-AD8D-6D73AC37C5EE}"/>
            </c:ext>
          </c:extLst>
        </c:ser>
        <c:dLbls>
          <c:showLegendKey val="0"/>
          <c:showVal val="0"/>
          <c:showCatName val="0"/>
          <c:showSerName val="0"/>
          <c:showPercent val="0"/>
          <c:showBubbleSize val="0"/>
        </c:dLbls>
        <c:gapWidth val="500"/>
        <c:overlap val="-100"/>
        <c:axId val="226614703"/>
        <c:axId val="226612783"/>
      </c:barChart>
      <c:catAx>
        <c:axId val="226614703"/>
        <c:scaling>
          <c:orientation val="minMax"/>
          <c:min val="31"/>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Public Sans" pitchFamily="2" charset="0"/>
                <a:ea typeface="+mn-ea"/>
                <a:cs typeface="+mn-cs"/>
              </a:defRPr>
            </a:pPr>
            <a:endParaRPr lang="en-US"/>
          </a:p>
        </c:txPr>
        <c:crossAx val="226612783"/>
        <c:crosses val="autoZero"/>
        <c:auto val="1"/>
        <c:lblAlgn val="ctr"/>
        <c:lblOffset val="100"/>
        <c:tickLblSkip val="3"/>
        <c:noMultiLvlLbl val="1"/>
      </c:catAx>
      <c:valAx>
        <c:axId val="226612783"/>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Public Sans" pitchFamily="2" charset="0"/>
                    <a:ea typeface="+mn-ea"/>
                    <a:cs typeface="+mn-cs"/>
                  </a:defRPr>
                </a:pPr>
                <a:r>
                  <a:rPr lang="en-AU"/>
                  <a:t>Per cent growth, annual average</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Public Sans" pitchFamily="2" charset="0"/>
                  <a:ea typeface="+mn-ea"/>
                  <a:cs typeface="+mn-cs"/>
                </a:defRPr>
              </a:pPr>
              <a:endParaRPr lang="en-A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Public Sans" pitchFamily="2" charset="0"/>
                <a:ea typeface="+mn-ea"/>
                <a:cs typeface="+mn-cs"/>
              </a:defRPr>
            </a:pPr>
            <a:endParaRPr lang="en-US"/>
          </a:p>
        </c:txPr>
        <c:crossAx val="226614703"/>
        <c:crosses val="autoZero"/>
        <c:crossBetween val="between"/>
        <c:majorUnit val="2"/>
      </c:valAx>
      <c:spPr>
        <a:noFill/>
        <a:ln>
          <a:noFill/>
        </a:ln>
        <a:effectLst/>
      </c:spPr>
    </c:plotArea>
    <c:legend>
      <c:legendPos val="b"/>
      <c:layout>
        <c:manualLayout>
          <c:xMode val="edge"/>
          <c:yMode val="edge"/>
          <c:x val="0.22281965173181423"/>
          <c:y val="0.1199406082802436"/>
          <c:w val="0.3129010416666666"/>
          <c:h val="0.23015867706227325"/>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latin typeface="Public Sans" pitchFamily="2"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Sheet1!$AI$16</c:f>
              <c:strCache>
                <c:ptCount val="1"/>
                <c:pt idx="0">
                  <c:v>General government budget result</c:v>
                </c:pt>
              </c:strCache>
            </c:strRef>
          </c:tx>
          <c:spPr>
            <a:solidFill>
              <a:schemeClr val="accent1"/>
            </a:solidFill>
            <a:ln>
              <a:noFill/>
            </a:ln>
            <a:effectLst/>
          </c:spPr>
          <c:invertIfNegative val="0"/>
          <c:cat>
            <c:strRef>
              <c:f>Sheet1!$AJ$1:$AN$1</c:f>
              <c:strCache>
                <c:ptCount val="5"/>
                <c:pt idx="0">
                  <c:v>2024-25</c:v>
                </c:pt>
                <c:pt idx="1">
                  <c:v>2025-26</c:v>
                </c:pt>
                <c:pt idx="2">
                  <c:v>2026-27</c:v>
                </c:pt>
                <c:pt idx="3">
                  <c:v>2027-28</c:v>
                </c:pt>
                <c:pt idx="4">
                  <c:v>2028-29</c:v>
                </c:pt>
              </c:strCache>
            </c:strRef>
          </c:cat>
          <c:val>
            <c:numRef>
              <c:f>Sheet1!$AJ$16:$AN$16</c:f>
              <c:numCache>
                <c:formatCode>0</c:formatCode>
                <c:ptCount val="5"/>
                <c:pt idx="0">
                  <c:v>-5715.4326883800404</c:v>
                </c:pt>
                <c:pt idx="1">
                  <c:v>-3427.03760840008</c:v>
                </c:pt>
                <c:pt idx="2">
                  <c:v>-1148.0936811701199</c:v>
                </c:pt>
                <c:pt idx="3">
                  <c:v>1131.56786907984</c:v>
                </c:pt>
                <c:pt idx="4">
                  <c:v>1057.6502126694199</c:v>
                </c:pt>
              </c:numCache>
            </c:numRef>
          </c:val>
          <c:extLst>
            <c:ext xmlns:c16="http://schemas.microsoft.com/office/drawing/2014/chart" uri="{C3380CC4-5D6E-409C-BE32-E72D297353CC}">
              <c16:uniqueId val="{00000000-BC70-48D1-97B6-B2B58D29C046}"/>
            </c:ext>
          </c:extLst>
        </c:ser>
        <c:dLbls>
          <c:showLegendKey val="0"/>
          <c:showVal val="0"/>
          <c:showCatName val="0"/>
          <c:showSerName val="0"/>
          <c:showPercent val="0"/>
          <c:showBubbleSize val="0"/>
        </c:dLbls>
        <c:gapWidth val="219"/>
        <c:overlap val="-27"/>
        <c:axId val="381861407"/>
        <c:axId val="381854207"/>
      </c:barChart>
      <c:catAx>
        <c:axId val="38186140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81854207"/>
        <c:crosses val="autoZero"/>
        <c:auto val="1"/>
        <c:lblAlgn val="ctr"/>
        <c:lblOffset val="100"/>
        <c:noMultiLvlLbl val="0"/>
      </c:catAx>
      <c:valAx>
        <c:axId val="381854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81861407"/>
        <c:crosses val="autoZero"/>
        <c:crossBetween val="between"/>
        <c:dispUnits>
          <c:builtInUnit val="thousan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532724259140813E-2"/>
          <c:y val="5.1935290677850819E-2"/>
          <c:w val="0.89071823538397565"/>
          <c:h val="0.75776368766109758"/>
        </c:manualLayout>
      </c:layout>
      <c:barChart>
        <c:barDir val="col"/>
        <c:grouping val="clustered"/>
        <c:varyColors val="0"/>
        <c:ser>
          <c:idx val="0"/>
          <c:order val="0"/>
          <c:spPr>
            <a:solidFill>
              <a:schemeClr val="accent1"/>
            </a:solidFill>
            <a:ln>
              <a:noFill/>
            </a:ln>
            <a:effectLst/>
          </c:spPr>
          <c:invertIfNegative val="0"/>
          <c:cat>
            <c:strRef>
              <c:f>Fiscaloutlook_Overview_Charts!$AE$157:$AN$157</c:f>
              <c:strCache>
                <c:ptCount val="10"/>
                <c:pt idx="0">
                  <c:v>2019-20</c:v>
                </c:pt>
                <c:pt idx="1">
                  <c:v>2020-21</c:v>
                </c:pt>
                <c:pt idx="2">
                  <c:v>2021-22</c:v>
                </c:pt>
                <c:pt idx="3">
                  <c:v>2022-23</c:v>
                </c:pt>
                <c:pt idx="4">
                  <c:v>2023-24</c:v>
                </c:pt>
                <c:pt idx="5">
                  <c:v>2024-25 Forecast</c:v>
                </c:pt>
                <c:pt idx="6">
                  <c:v>2025-26 Budget</c:v>
                </c:pt>
                <c:pt idx="7">
                  <c:v>2026-27                 Forward Estimate</c:v>
                </c:pt>
                <c:pt idx="8">
                  <c:v>2027-28           Forward Estimate</c:v>
                </c:pt>
                <c:pt idx="9">
                  <c:v>2028-29                 Forward Estimate</c:v>
                </c:pt>
              </c:strCache>
            </c:strRef>
          </c:cat>
          <c:val>
            <c:numRef>
              <c:f>Fiscaloutlook_Overview_Charts!$AE$159:$AN$159</c:f>
              <c:numCache>
                <c:formatCode>_-* #,##0_-;\-* #,##0_-;_-* "-"??_-;_-@_-</c:formatCode>
                <c:ptCount val="10"/>
                <c:pt idx="0">
                  <c:v>10534917000</c:v>
                </c:pt>
                <c:pt idx="1">
                  <c:v>11734534000</c:v>
                </c:pt>
                <c:pt idx="2">
                  <c:v>13527613000</c:v>
                </c:pt>
                <c:pt idx="3">
                  <c:v>15490593000</c:v>
                </c:pt>
                <c:pt idx="4">
                  <c:v>17828762000</c:v>
                </c:pt>
                <c:pt idx="5">
                  <c:v>20625611000</c:v>
                </c:pt>
                <c:pt idx="6">
                  <c:v>21857798000</c:v>
                </c:pt>
                <c:pt idx="7">
                  <c:v>23182929000</c:v>
                </c:pt>
                <c:pt idx="8">
                  <c:v>24558160000</c:v>
                </c:pt>
                <c:pt idx="9">
                  <c:v>26056264000</c:v>
                </c:pt>
              </c:numCache>
            </c:numRef>
          </c:val>
          <c:extLst>
            <c:ext xmlns:c16="http://schemas.microsoft.com/office/drawing/2014/chart" uri="{C3380CC4-5D6E-409C-BE32-E72D297353CC}">
              <c16:uniqueId val="{00000000-B746-482F-841D-FB011D42E43C}"/>
            </c:ext>
          </c:extLst>
        </c:ser>
        <c:dLbls>
          <c:showLegendKey val="0"/>
          <c:showVal val="0"/>
          <c:showCatName val="0"/>
          <c:showSerName val="0"/>
          <c:showPercent val="0"/>
          <c:showBubbleSize val="0"/>
        </c:dLbls>
        <c:gapWidth val="219"/>
        <c:overlap val="-27"/>
        <c:axId val="1214106544"/>
        <c:axId val="1214107024"/>
      </c:barChart>
      <c:catAx>
        <c:axId val="121410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ublic Sans" pitchFamily="2" charset="0"/>
                <a:ea typeface="+mn-ea"/>
                <a:cs typeface="+mn-cs"/>
              </a:defRPr>
            </a:pPr>
            <a:endParaRPr lang="en-US"/>
          </a:p>
        </c:txPr>
        <c:crossAx val="1214107024"/>
        <c:crosses val="autoZero"/>
        <c:auto val="1"/>
        <c:lblAlgn val="ctr"/>
        <c:lblOffset val="100"/>
        <c:noMultiLvlLbl val="0"/>
      </c:catAx>
      <c:valAx>
        <c:axId val="121410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Public Sans" pitchFamily="2" charset="0"/>
                    <a:ea typeface="+mn-ea"/>
                    <a:cs typeface="+mn-cs"/>
                  </a:defRPr>
                </a:pPr>
                <a:r>
                  <a:rPr lang="en-US"/>
                  <a:t>$ billions</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Public Sans" pitchFamily="2" charset="0"/>
                <a:ea typeface="+mn-ea"/>
                <a:cs typeface="+mn-cs"/>
              </a:defRPr>
            </a:pPr>
            <a:endParaRPr lang="en-US"/>
          </a:p>
        </c:txPr>
        <c:crossAx val="1214106544"/>
        <c:crosses val="autoZero"/>
        <c:crossBetween val="between"/>
        <c:dispUnits>
          <c:builtInUnit val="b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Public Sans" pitchFamily="2"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Fiscaloutlook_Overview_Charts!$O$28</c:f>
              <c:strCache>
                <c:ptCount val="1"/>
                <c:pt idx="0">
                  <c:v>Depreciation expenses ($ billion) - Left axis</c:v>
                </c:pt>
              </c:strCache>
            </c:strRef>
          </c:tx>
          <c:spPr>
            <a:solidFill>
              <a:schemeClr val="accent1"/>
            </a:solidFill>
            <a:ln w="22225">
              <a:noFill/>
            </a:ln>
            <a:effectLst/>
          </c:spPr>
          <c:invertIfNegative val="0"/>
          <c:cat>
            <c:strRef>
              <c:f>Fiscaloutlook_Overview_Charts!$P$27:$Y$27</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Fiscaloutlook_Overview_Charts!$P$28:$Y$28</c:f>
              <c:numCache>
                <c:formatCode>#,##0.0</c:formatCode>
                <c:ptCount val="10"/>
                <c:pt idx="0">
                  <c:v>4.4048817549499999</c:v>
                </c:pt>
                <c:pt idx="1">
                  <c:v>4.6136030000000003</c:v>
                </c:pt>
                <c:pt idx="2">
                  <c:v>4.8725929390245799</c:v>
                </c:pt>
                <c:pt idx="3">
                  <c:v>5.1923970176800003</c:v>
                </c:pt>
                <c:pt idx="4">
                  <c:v>6.3849215763262803</c:v>
                </c:pt>
                <c:pt idx="5">
                  <c:v>6.9299576556683107</c:v>
                </c:pt>
                <c:pt idx="6">
                  <c:v>7.1009827123099294</c:v>
                </c:pt>
                <c:pt idx="7">
                  <c:v>7.8841118870933995</c:v>
                </c:pt>
                <c:pt idx="8">
                  <c:v>8.6012948124412194</c:v>
                </c:pt>
                <c:pt idx="9">
                  <c:v>9.6577189900201077</c:v>
                </c:pt>
              </c:numCache>
            </c:numRef>
          </c:val>
          <c:extLst>
            <c:ext xmlns:c16="http://schemas.microsoft.com/office/drawing/2014/chart" uri="{C3380CC4-5D6E-409C-BE32-E72D297353CC}">
              <c16:uniqueId val="{00000000-036F-4A6E-A0FE-0BC6B90E1748}"/>
            </c:ext>
          </c:extLst>
        </c:ser>
        <c:dLbls>
          <c:showLegendKey val="0"/>
          <c:showVal val="0"/>
          <c:showCatName val="0"/>
          <c:showSerName val="0"/>
          <c:showPercent val="0"/>
          <c:showBubbleSize val="0"/>
        </c:dLbls>
        <c:gapWidth val="150"/>
        <c:axId val="232151680"/>
        <c:axId val="232182144"/>
      </c:barChart>
      <c:catAx>
        <c:axId val="232151680"/>
        <c:scaling>
          <c:orientation val="minMax"/>
        </c:scaling>
        <c:delete val="0"/>
        <c:axPos val="b"/>
        <c:numFmt formatCode="General" sourceLinked="0"/>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232182144"/>
        <c:crosses val="autoZero"/>
        <c:auto val="1"/>
        <c:lblAlgn val="ctr"/>
        <c:lblOffset val="100"/>
        <c:noMultiLvlLbl val="0"/>
      </c:catAx>
      <c:valAx>
        <c:axId val="232182144"/>
        <c:scaling>
          <c:orientation val="minMax"/>
        </c:scaling>
        <c:delete val="0"/>
        <c:axPos val="l"/>
        <c:majorGridlines>
          <c:spPr>
            <a:ln w="3175" cap="flat" cmpd="sng" algn="ctr">
              <a:solidFill>
                <a:srgbClr val="DFDCDA"/>
              </a:solidFill>
              <a:prstDash val="solid"/>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AU" b="0"/>
                  <a:t>$</a:t>
                </a:r>
                <a:r>
                  <a:rPr lang="en-AU" b="0" baseline="0"/>
                  <a:t> billions</a:t>
                </a:r>
                <a:endParaRPr lang="en-AU" b="0"/>
              </a:p>
            </c:rich>
          </c:tx>
          <c:layout>
            <c:manualLayout>
              <c:xMode val="edge"/>
              <c:yMode val="edge"/>
              <c:x val="1.3007069065740364E-2"/>
              <c:y val="0.3812699064211058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AU"/>
            </a:p>
          </c:txPr>
        </c:title>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232151680"/>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'9.1 Gross debt'!$E$16</c:f>
              <c:strCache>
                <c:ptCount val="1"/>
                <c:pt idx="0">
                  <c:v>Gross Debt 2022-23 PEBU</c:v>
                </c:pt>
              </c:strCache>
            </c:strRef>
          </c:tx>
          <c:spPr>
            <a:solidFill>
              <a:srgbClr val="0B3F47"/>
            </a:solidFill>
            <a:ln>
              <a:noFill/>
            </a:ln>
            <a:effectLst/>
          </c:spPr>
          <c:invertIfNegative val="0"/>
          <c:cat>
            <c:numRef>
              <c:f>'9.1 Gross debt'!$F$15:$J$15</c:f>
              <c:numCache>
                <c:formatCode>mmm\-yy</c:formatCode>
                <c:ptCount val="5"/>
                <c:pt idx="0">
                  <c:v>45809</c:v>
                </c:pt>
                <c:pt idx="1">
                  <c:v>46174</c:v>
                </c:pt>
                <c:pt idx="2">
                  <c:v>46539</c:v>
                </c:pt>
                <c:pt idx="3">
                  <c:v>46905</c:v>
                </c:pt>
                <c:pt idx="4">
                  <c:v>47300</c:v>
                </c:pt>
              </c:numCache>
            </c:numRef>
          </c:cat>
          <c:val>
            <c:numRef>
              <c:f>'9.1 Gross debt'!$F$16:$J$16</c:f>
              <c:numCache>
                <c:formatCode>_("$"* #,##0.00_);_("$"* \(#,##0.00\);_("$"* "-"??_);_(@_)</c:formatCode>
                <c:ptCount val="5"/>
                <c:pt idx="0">
                  <c:v>171586</c:v>
                </c:pt>
                <c:pt idx="1">
                  <c:v>188197</c:v>
                </c:pt>
              </c:numCache>
            </c:numRef>
          </c:val>
          <c:extLst>
            <c:ext xmlns:c16="http://schemas.microsoft.com/office/drawing/2014/chart" uri="{C3380CC4-5D6E-409C-BE32-E72D297353CC}">
              <c16:uniqueId val="{00000000-CD7F-4014-940E-31622849A1A2}"/>
            </c:ext>
          </c:extLst>
        </c:ser>
        <c:ser>
          <c:idx val="2"/>
          <c:order val="2"/>
          <c:tx>
            <c:strRef>
              <c:f>'9.1 Gross debt'!$E$17</c:f>
              <c:strCache>
                <c:ptCount val="1"/>
                <c:pt idx="0">
                  <c:v>Gross Debt 2025-26 Budget</c:v>
                </c:pt>
              </c:strCache>
            </c:strRef>
          </c:tx>
          <c:spPr>
            <a:solidFill>
              <a:schemeClr val="accent3"/>
            </a:solidFill>
            <a:ln cmpd="sng">
              <a:solidFill>
                <a:schemeClr val="tx2"/>
              </a:solidFill>
            </a:ln>
            <a:effectLst/>
          </c:spPr>
          <c:invertIfNegative val="0"/>
          <c:cat>
            <c:numRef>
              <c:f>'9.1 Gross debt'!$F$15:$J$15</c:f>
              <c:numCache>
                <c:formatCode>mmm\-yy</c:formatCode>
                <c:ptCount val="5"/>
                <c:pt idx="0">
                  <c:v>45809</c:v>
                </c:pt>
                <c:pt idx="1">
                  <c:v>46174</c:v>
                </c:pt>
                <c:pt idx="2">
                  <c:v>46539</c:v>
                </c:pt>
                <c:pt idx="3">
                  <c:v>46905</c:v>
                </c:pt>
                <c:pt idx="4">
                  <c:v>47300</c:v>
                </c:pt>
              </c:numCache>
            </c:numRef>
          </c:cat>
          <c:val>
            <c:numRef>
              <c:f>'9.1 Gross debt'!$F$17:$J$17</c:f>
              <c:numCache>
                <c:formatCode>_("$"* #,##0.00_);_("$"* \(#,##0.00\);_("$"* "-"??_);_(@_)</c:formatCode>
                <c:ptCount val="5"/>
                <c:pt idx="0">
                  <c:v>166012</c:v>
                </c:pt>
                <c:pt idx="1">
                  <c:v>178755</c:v>
                </c:pt>
                <c:pt idx="2">
                  <c:v>188340</c:v>
                </c:pt>
                <c:pt idx="3">
                  <c:v>193609</c:v>
                </c:pt>
                <c:pt idx="4">
                  <c:v>199680</c:v>
                </c:pt>
              </c:numCache>
            </c:numRef>
          </c:val>
          <c:extLst>
            <c:ext xmlns:c16="http://schemas.microsoft.com/office/drawing/2014/chart" uri="{C3380CC4-5D6E-409C-BE32-E72D297353CC}">
              <c16:uniqueId val="{00000001-CD7F-4014-940E-31622849A1A2}"/>
            </c:ext>
          </c:extLst>
        </c:ser>
        <c:dLbls>
          <c:showLegendKey val="0"/>
          <c:showVal val="0"/>
          <c:showCatName val="0"/>
          <c:showSerName val="0"/>
          <c:showPercent val="0"/>
          <c:showBubbleSize val="0"/>
        </c:dLbls>
        <c:gapWidth val="150"/>
        <c:axId val="235566800"/>
        <c:axId val="16435184"/>
      </c:barChart>
      <c:lineChart>
        <c:grouping val="standard"/>
        <c:varyColors val="0"/>
        <c:ser>
          <c:idx val="1"/>
          <c:order val="1"/>
          <c:tx>
            <c:strRef>
              <c:f>'9.1 Gross debt'!$E$18</c:f>
              <c:strCache>
                <c:ptCount val="1"/>
                <c:pt idx="0">
                  <c:v>Gross Debt to GSP (right axis)</c:v>
                </c:pt>
              </c:strCache>
            </c:strRef>
          </c:tx>
          <c:spPr>
            <a:ln w="28575" cap="rnd">
              <a:solidFill>
                <a:schemeClr val="accent2"/>
              </a:solidFill>
              <a:round/>
            </a:ln>
            <a:effectLst/>
          </c:spPr>
          <c:marker>
            <c:symbol val="none"/>
          </c:marker>
          <c:cat>
            <c:numRef>
              <c:f>'9.1 Gross debt'!$F$15:$G$15</c:f>
              <c:numCache>
                <c:formatCode>mmm\-yy</c:formatCode>
                <c:ptCount val="2"/>
                <c:pt idx="0">
                  <c:v>45809</c:v>
                </c:pt>
                <c:pt idx="1">
                  <c:v>46174</c:v>
                </c:pt>
              </c:numCache>
            </c:numRef>
          </c:cat>
          <c:val>
            <c:numRef>
              <c:f>'9.1 Gross debt'!$F$18:$J$18</c:f>
              <c:numCache>
                <c:formatCode>0.0%</c:formatCode>
                <c:ptCount val="5"/>
                <c:pt idx="0">
                  <c:v>0.19500000000000001</c:v>
                </c:pt>
                <c:pt idx="1">
                  <c:v>0.20300000000000001</c:v>
                </c:pt>
                <c:pt idx="2">
                  <c:v>0.20399999999999999</c:v>
                </c:pt>
                <c:pt idx="3">
                  <c:v>0.2</c:v>
                </c:pt>
                <c:pt idx="4">
                  <c:v>0.19600000000000001</c:v>
                </c:pt>
              </c:numCache>
            </c:numRef>
          </c:val>
          <c:smooth val="0"/>
          <c:extLst>
            <c:ext xmlns:c16="http://schemas.microsoft.com/office/drawing/2014/chart" uri="{C3380CC4-5D6E-409C-BE32-E72D297353CC}">
              <c16:uniqueId val="{00000002-CD7F-4014-940E-31622849A1A2}"/>
            </c:ext>
          </c:extLst>
        </c:ser>
        <c:dLbls>
          <c:showLegendKey val="0"/>
          <c:showVal val="0"/>
          <c:showCatName val="0"/>
          <c:showSerName val="0"/>
          <c:showPercent val="0"/>
          <c:showBubbleSize val="0"/>
        </c:dLbls>
        <c:marker val="1"/>
        <c:smooth val="0"/>
        <c:axId val="347818927"/>
        <c:axId val="347823247"/>
      </c:lineChart>
      <c:catAx>
        <c:axId val="235566800"/>
        <c:scaling>
          <c:orientation val="minMax"/>
        </c:scaling>
        <c:delete val="0"/>
        <c:axPos val="b"/>
        <c:numFmt formatCode="mmm\-yy"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435184"/>
        <c:crosses val="autoZero"/>
        <c:auto val="0"/>
        <c:lblAlgn val="ctr"/>
        <c:lblOffset val="100"/>
        <c:noMultiLvlLbl val="0"/>
      </c:catAx>
      <c:valAx>
        <c:axId val="1643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5566800"/>
        <c:crosses val="autoZero"/>
        <c:crossBetween val="between"/>
        <c:dispUnits>
          <c:builtInUnit val="thousands"/>
          <c:dispUnitsLbl>
            <c:layout>
              <c:manualLayout>
                <c:xMode val="edge"/>
                <c:yMode val="edge"/>
                <c:x val="2.276019035795572E-2"/>
                <c:y val="0.3384930384930384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billions</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valAx>
        <c:axId val="347823247"/>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Share of GSP</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47818927"/>
        <c:crosses val="max"/>
        <c:crossBetween val="between"/>
      </c:valAx>
      <c:dateAx>
        <c:axId val="347818927"/>
        <c:scaling>
          <c:orientation val="minMax"/>
        </c:scaling>
        <c:delete val="1"/>
        <c:axPos val="b"/>
        <c:numFmt formatCode="mmm\-yy" sourceLinked="1"/>
        <c:majorTickMark val="out"/>
        <c:minorTickMark val="none"/>
        <c:tickLblPos val="nextTo"/>
        <c:crossAx val="347823247"/>
        <c:crosses val="autoZero"/>
        <c:auto val="1"/>
        <c:lblOffset val="100"/>
        <c:baseTimeUnit val="years"/>
      </c:date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0.54951</cdr:x>
      <cdr:y>0.07518</cdr:y>
    </cdr:from>
    <cdr:to>
      <cdr:x>0.55613</cdr:x>
      <cdr:y>0.90267</cdr:y>
    </cdr:to>
    <cdr:cxnSp macro="">
      <cdr:nvCxnSpPr>
        <cdr:cNvPr id="2" name="Straight Connector 1">
          <a:extLst xmlns:a="http://schemas.openxmlformats.org/drawingml/2006/main">
            <a:ext uri="{FF2B5EF4-FFF2-40B4-BE49-F238E27FC236}">
              <a16:creationId xmlns:a16="http://schemas.microsoft.com/office/drawing/2014/main" id="{E7A64E82-6C8B-9338-B7A6-3285099F4102}"/>
            </a:ext>
          </a:extLst>
        </cdr:cNvPr>
        <cdr:cNvCxnSpPr/>
      </cdr:nvCxnSpPr>
      <cdr:spPr>
        <a:xfrm xmlns:a="http://schemas.openxmlformats.org/drawingml/2006/main">
          <a:off x="1512544" y="165652"/>
          <a:ext cx="18213" cy="1823367"/>
        </a:xfrm>
        <a:prstGeom xmlns:a="http://schemas.openxmlformats.org/drawingml/2006/main" prst="line">
          <a:avLst/>
        </a:prstGeom>
        <a:ln xmlns:a="http://schemas.openxmlformats.org/drawingml/2006/main" w="9525" cap="flat" cmpd="sng" algn="ctr">
          <a:solidFill>
            <a:schemeClr val="dk1"/>
          </a:solidFill>
          <a:prstDash val="sys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0.57988</cdr:x>
      <cdr:y>0.05935</cdr:y>
    </cdr:from>
    <cdr:to>
      <cdr:x>0.74445</cdr:x>
      <cdr:y>0.16764</cdr:y>
    </cdr:to>
    <cdr:sp macro="" textlink="">
      <cdr:nvSpPr>
        <cdr:cNvPr id="3" name="TextBox 1">
          <a:extLst xmlns:a="http://schemas.openxmlformats.org/drawingml/2006/main">
            <a:ext uri="{FF2B5EF4-FFF2-40B4-BE49-F238E27FC236}">
              <a16:creationId xmlns:a16="http://schemas.microsoft.com/office/drawing/2014/main" id="{B5068A29-925B-FB15-871A-8AEB19C7BF0A}"/>
            </a:ext>
          </a:extLst>
        </cdr:cNvPr>
        <cdr:cNvSpPr txBox="1"/>
      </cdr:nvSpPr>
      <cdr:spPr>
        <a:xfrm xmlns:a="http://schemas.openxmlformats.org/drawingml/2006/main">
          <a:off x="1670050" y="128190"/>
          <a:ext cx="473967" cy="233908"/>
        </a:xfrm>
        <a:prstGeom xmlns:a="http://schemas.openxmlformats.org/drawingml/2006/main" prst="rect">
          <a:avLst/>
        </a:prstGeom>
      </cdr:spPr>
      <cdr:txBody>
        <a:bodyPr xmlns:a="http://schemas.openxmlformats.org/drawingml/2006/main" wrap="square" lIns="0" r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latin typeface="Arial" panose="020B0604020202020204" pitchFamily="34" charset="0"/>
              <a:cs typeface="Arial" panose="020B0604020202020204" pitchFamily="34" charset="0"/>
            </a:rPr>
            <a:t>Forecast</a:t>
          </a:r>
        </a:p>
      </cdr:txBody>
    </cdr:sp>
  </cdr:relSizeAnchor>
</c:userShape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3.xml><?xml version="1.0" encoding="utf-8"?>
<ds:datastoreItem xmlns:ds="http://schemas.openxmlformats.org/officeDocument/2006/customXml" ds:itemID="{CE9E9FD7-6E6C-41F1-AB66-B4A654C66101}">
  <ds:schemaRefs>
    <ds:schemaRef ds:uri="http://schemas.microsoft.com/office/infopath/2007/PartnerControls"/>
    <ds:schemaRef ds:uri="9f0ac7ce-5f57-4ea0-9af7-01d4f3f1ccae"/>
    <ds:schemaRef ds:uri="http://www.w3.org/XML/1998/namespace"/>
    <ds:schemaRef ds:uri="http://purl.org/dc/dcmitype/"/>
    <ds:schemaRef ds:uri="1c478e85-8130-4c67-8ee4-8bdf1c0e6049"/>
    <ds:schemaRef ds:uri="801a5968-9419-4033-b9de-7ffe8168468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89AEF75-0933-41D6-9D5C-01F74AD25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3339</Words>
  <Characters>19036</Characters>
  <Application>Microsoft Office Word</Application>
  <DocSecurity>0</DocSecurity>
  <Lines>158</Lines>
  <Paragraphs>44</Paragraphs>
  <ScaleCrop>false</ScaleCrop>
  <Company>NSW Treasury</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Chapter 1: Budget Overview</dc:title>
  <dc:subject/>
  <dc:creator>F Lavorato</dc:creator>
  <cp:keywords/>
  <cp:lastModifiedBy>Amany Tahir</cp:lastModifiedBy>
  <cp:revision>2</cp:revision>
  <cp:lastPrinted>2025-06-19T18:55:00Z</cp:lastPrinted>
  <dcterms:created xsi:type="dcterms:W3CDTF">2025-06-22T07:14:00Z</dcterms:created>
  <dcterms:modified xsi:type="dcterms:W3CDTF">2025-06-22T07:14:00Z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8727900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