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780F6B" w14:textId="5B4BC6B5" w:rsidR="00167744" w:rsidRPr="00ED2B8E" w:rsidRDefault="00167744" w:rsidP="00167744">
      <w:pPr>
        <w:rPr>
          <w:rFonts w:eastAsia="Yu Mincho"/>
          <w:sz w:val="2"/>
          <w:szCs w:val="2"/>
          <w:lang w:val="en-AU" w:eastAsia="zh-CN"/>
        </w:rPr>
      </w:pPr>
      <w:bookmarkStart w:id="0" w:name="_Hlk143095870"/>
    </w:p>
    <w:p w14:paraId="5453A8D7" w14:textId="08B835C6" w:rsidR="00C626D7" w:rsidRPr="00A903EA" w:rsidRDefault="00EB6B4F" w:rsidP="006E7FFB">
      <w:pPr>
        <w:pStyle w:val="Heading1"/>
        <w:numPr>
          <w:ilvl w:val="0"/>
          <w:numId w:val="94"/>
        </w:numPr>
        <w:ind w:left="851" w:hanging="851"/>
      </w:pPr>
      <w:r>
        <w:t>budget</w:t>
      </w:r>
      <w:r w:rsidR="008616EA">
        <w:t xml:space="preserve"> priorities</w:t>
      </w:r>
    </w:p>
    <w:tbl>
      <w:tblPr>
        <w:tblW w:w="9639" w:type="dxa"/>
        <w:jc w:val="center"/>
        <w:shd w:val="pct5" w:color="auto" w:fill="auto"/>
        <w:tblLayout w:type="fixed"/>
        <w:tblLook w:val="0000" w:firstRow="0" w:lastRow="0" w:firstColumn="0" w:lastColumn="0" w:noHBand="0" w:noVBand="0"/>
      </w:tblPr>
      <w:tblGrid>
        <w:gridCol w:w="9639"/>
      </w:tblGrid>
      <w:tr w:rsidR="006653CE" w:rsidRPr="00A903EA" w14:paraId="5856B2A9" w14:textId="77777777" w:rsidTr="007D7243">
        <w:trPr>
          <w:trHeight w:val="1157"/>
          <w:jc w:val="center"/>
        </w:trPr>
        <w:tc>
          <w:tcPr>
            <w:tcW w:w="9639" w:type="dxa"/>
            <w:shd w:val="pct5" w:color="auto" w:fill="auto"/>
          </w:tcPr>
          <w:p w14:paraId="7BF916D8" w14:textId="78EB2AA5" w:rsidR="00F405E6" w:rsidRDefault="00F405E6" w:rsidP="00262998">
            <w:pPr>
              <w:pStyle w:val="Bullet1"/>
            </w:pPr>
            <w:r w:rsidRPr="1BC3ABD5">
              <w:rPr>
                <w:lang w:val="en-US"/>
              </w:rPr>
              <w:t>Th</w:t>
            </w:r>
            <w:r w:rsidR="00B45599" w:rsidRPr="1BC3ABD5">
              <w:rPr>
                <w:lang w:val="en-US"/>
              </w:rPr>
              <w:t>e</w:t>
            </w:r>
            <w:r w:rsidRPr="1BC3ABD5">
              <w:rPr>
                <w:lang w:val="en-US"/>
              </w:rPr>
              <w:t xml:space="preserve"> </w:t>
            </w:r>
            <w:r w:rsidR="00B363A4" w:rsidRPr="1BC3ABD5">
              <w:rPr>
                <w:lang w:val="en-US"/>
              </w:rPr>
              <w:t xml:space="preserve">Government has made </w:t>
            </w:r>
            <w:r w:rsidR="00034490" w:rsidRPr="1BC3ABD5">
              <w:rPr>
                <w:lang w:val="en-US"/>
              </w:rPr>
              <w:t>tough decisions</w:t>
            </w:r>
            <w:r w:rsidR="0082775D" w:rsidRPr="1BC3ABD5">
              <w:rPr>
                <w:lang w:val="en-US"/>
              </w:rPr>
              <w:t xml:space="preserve"> </w:t>
            </w:r>
            <w:r w:rsidR="00B363A4" w:rsidRPr="1BC3ABD5">
              <w:rPr>
                <w:lang w:val="en-US"/>
              </w:rPr>
              <w:t xml:space="preserve">so it can invest more in </w:t>
            </w:r>
            <w:r w:rsidR="00073581" w:rsidRPr="1BC3ABD5">
              <w:rPr>
                <w:lang w:val="en-US"/>
              </w:rPr>
              <w:t>improv</w:t>
            </w:r>
            <w:r w:rsidR="00B363A4" w:rsidRPr="1BC3ABD5">
              <w:rPr>
                <w:lang w:val="en-US"/>
              </w:rPr>
              <w:t>ing</w:t>
            </w:r>
            <w:r w:rsidR="00073581" w:rsidRPr="1BC3ABD5">
              <w:rPr>
                <w:lang w:val="en-US"/>
              </w:rPr>
              <w:t xml:space="preserve"> </w:t>
            </w:r>
            <w:r w:rsidR="0096485E" w:rsidRPr="1BC3ABD5">
              <w:rPr>
                <w:lang w:val="en-US"/>
              </w:rPr>
              <w:t xml:space="preserve">essential </w:t>
            </w:r>
            <w:r w:rsidR="00D75E71" w:rsidRPr="1BC3ABD5">
              <w:rPr>
                <w:lang w:val="en-US"/>
              </w:rPr>
              <w:t xml:space="preserve">services </w:t>
            </w:r>
            <w:r w:rsidR="006C4423" w:rsidRPr="1BC3ABD5">
              <w:rPr>
                <w:lang w:val="en-US"/>
              </w:rPr>
              <w:t xml:space="preserve">for </w:t>
            </w:r>
            <w:r w:rsidR="0064001E" w:rsidRPr="1BC3ABD5">
              <w:rPr>
                <w:lang w:val="en-US"/>
              </w:rPr>
              <w:t xml:space="preserve">the </w:t>
            </w:r>
            <w:r w:rsidR="006C4423" w:rsidRPr="1BC3ABD5">
              <w:rPr>
                <w:lang w:val="en-US"/>
              </w:rPr>
              <w:t>people of New South Wales</w:t>
            </w:r>
            <w:r w:rsidR="00785833" w:rsidRPr="1BC3ABD5">
              <w:rPr>
                <w:lang w:val="en-US"/>
              </w:rPr>
              <w:t>.</w:t>
            </w:r>
            <w:r w:rsidR="0064001E" w:rsidRPr="1BC3ABD5">
              <w:rPr>
                <w:lang w:val="en-US"/>
              </w:rPr>
              <w:t xml:space="preserve"> </w:t>
            </w:r>
            <w:r w:rsidR="00B363A4" w:rsidRPr="1BC3ABD5">
              <w:rPr>
                <w:lang w:val="en-US"/>
              </w:rPr>
              <w:t>It is investing more in</w:t>
            </w:r>
            <w:r w:rsidR="00E56273" w:rsidRPr="1BC3ABD5">
              <w:rPr>
                <w:lang w:val="en-US"/>
              </w:rPr>
              <w:t xml:space="preserve"> </w:t>
            </w:r>
            <w:r w:rsidR="00BB3D1F" w:rsidRPr="1BC3ABD5">
              <w:rPr>
                <w:lang w:val="en-US"/>
              </w:rPr>
              <w:t xml:space="preserve">health, </w:t>
            </w:r>
            <w:r w:rsidR="000309FF" w:rsidRPr="1BC3ABD5">
              <w:rPr>
                <w:lang w:val="en-US"/>
              </w:rPr>
              <w:t xml:space="preserve">education, social justice and </w:t>
            </w:r>
            <w:r w:rsidR="00B363A4" w:rsidRPr="1BC3ABD5">
              <w:rPr>
                <w:lang w:val="en-US"/>
              </w:rPr>
              <w:t xml:space="preserve">support for children in </w:t>
            </w:r>
            <w:r w:rsidR="000309FF" w:rsidRPr="1BC3ABD5">
              <w:rPr>
                <w:lang w:val="en-US"/>
              </w:rPr>
              <w:t>out</w:t>
            </w:r>
            <w:r w:rsidR="000017F4" w:rsidRPr="1BC3ABD5">
              <w:rPr>
                <w:lang w:val="en-US"/>
              </w:rPr>
              <w:t>-</w:t>
            </w:r>
            <w:r w:rsidR="000309FF" w:rsidRPr="1BC3ABD5">
              <w:rPr>
                <w:lang w:val="en-US"/>
              </w:rPr>
              <w:t>of</w:t>
            </w:r>
            <w:r w:rsidR="000017F4" w:rsidRPr="1BC3ABD5">
              <w:rPr>
                <w:lang w:val="en-US"/>
              </w:rPr>
              <w:t>-</w:t>
            </w:r>
            <w:r w:rsidR="000309FF" w:rsidRPr="1BC3ABD5">
              <w:rPr>
                <w:lang w:val="en-US"/>
              </w:rPr>
              <w:t xml:space="preserve">home care. </w:t>
            </w:r>
          </w:p>
          <w:p w14:paraId="6B6D256F" w14:textId="7CF4F5CA" w:rsidR="006653CE" w:rsidRDefault="004651D1" w:rsidP="00262998">
            <w:pPr>
              <w:pStyle w:val="Bullet1"/>
            </w:pPr>
            <w:r w:rsidRPr="1BC3ABD5">
              <w:rPr>
                <w:lang w:val="en-US"/>
              </w:rPr>
              <w:t xml:space="preserve">The 2025–26 Budget is </w:t>
            </w:r>
            <w:r w:rsidR="00143589" w:rsidRPr="1BC3ABD5">
              <w:rPr>
                <w:lang w:val="en-US"/>
              </w:rPr>
              <w:t>continuing t</w:t>
            </w:r>
            <w:r w:rsidR="00B12952" w:rsidRPr="1BC3ABD5">
              <w:rPr>
                <w:lang w:val="en-US"/>
              </w:rPr>
              <w:t xml:space="preserve">o support </w:t>
            </w:r>
            <w:r w:rsidR="00C37CFE" w:rsidRPr="1BC3ABD5">
              <w:rPr>
                <w:lang w:val="en-US"/>
              </w:rPr>
              <w:t xml:space="preserve">NSW households with </w:t>
            </w:r>
            <w:r w:rsidR="00B12952" w:rsidRPr="1BC3ABD5">
              <w:rPr>
                <w:lang w:val="en-US"/>
              </w:rPr>
              <w:t>t</w:t>
            </w:r>
            <w:r w:rsidR="00143589" w:rsidRPr="1BC3ABD5">
              <w:rPr>
                <w:lang w:val="en-US"/>
              </w:rPr>
              <w:t>he</w:t>
            </w:r>
            <w:r w:rsidR="00C37CFE" w:rsidRPr="1BC3ABD5">
              <w:rPr>
                <w:lang w:val="en-US"/>
              </w:rPr>
              <w:t xml:space="preserve"> impacts of </w:t>
            </w:r>
            <w:r w:rsidRPr="1BC3ABD5">
              <w:rPr>
                <w:lang w:val="en-US"/>
              </w:rPr>
              <w:t>cost</w:t>
            </w:r>
            <w:r w:rsidR="009279EC">
              <w:rPr>
                <w:lang w:val="en-US"/>
              </w:rPr>
              <w:t xml:space="preserve"> </w:t>
            </w:r>
            <w:r w:rsidRPr="1BC3ABD5">
              <w:rPr>
                <w:lang w:val="en-US"/>
              </w:rPr>
              <w:t>of</w:t>
            </w:r>
            <w:r w:rsidR="009279EC">
              <w:rPr>
                <w:lang w:val="en-US"/>
              </w:rPr>
              <w:t xml:space="preserve"> </w:t>
            </w:r>
            <w:r w:rsidRPr="1BC3ABD5">
              <w:rPr>
                <w:lang w:val="en-US"/>
              </w:rPr>
              <w:t xml:space="preserve">living </w:t>
            </w:r>
            <w:r w:rsidR="00A04A9A" w:rsidRPr="1BC3ABD5">
              <w:rPr>
                <w:lang w:val="en-US"/>
              </w:rPr>
              <w:t xml:space="preserve">through measures such as energy bill relief, </w:t>
            </w:r>
            <w:r w:rsidR="009136F5" w:rsidRPr="1BC3ABD5">
              <w:rPr>
                <w:lang w:val="en-US"/>
              </w:rPr>
              <w:t>expand</w:t>
            </w:r>
            <w:r w:rsidR="009E44A8" w:rsidRPr="1BC3ABD5">
              <w:rPr>
                <w:lang w:val="en-US"/>
              </w:rPr>
              <w:t>ed</w:t>
            </w:r>
            <w:r w:rsidR="009136F5" w:rsidRPr="1BC3ABD5">
              <w:rPr>
                <w:lang w:val="en-US"/>
              </w:rPr>
              <w:t xml:space="preserve"> support</w:t>
            </w:r>
            <w:r w:rsidR="008107C0" w:rsidRPr="1BC3ABD5">
              <w:rPr>
                <w:lang w:val="en-US"/>
              </w:rPr>
              <w:t xml:space="preserve"> for first home buyers </w:t>
            </w:r>
            <w:r w:rsidR="005E4C84" w:rsidRPr="1BC3ABD5">
              <w:rPr>
                <w:lang w:val="en-US"/>
              </w:rPr>
              <w:t xml:space="preserve">and </w:t>
            </w:r>
            <w:r w:rsidR="007C3830" w:rsidRPr="1BC3ABD5">
              <w:rPr>
                <w:lang w:val="en-US"/>
              </w:rPr>
              <w:t>reform</w:t>
            </w:r>
            <w:r w:rsidR="009136F5" w:rsidRPr="1BC3ABD5">
              <w:rPr>
                <w:lang w:val="en-US"/>
              </w:rPr>
              <w:t>s</w:t>
            </w:r>
            <w:r w:rsidR="007C3830" w:rsidRPr="1BC3ABD5">
              <w:rPr>
                <w:lang w:val="en-US"/>
              </w:rPr>
              <w:t xml:space="preserve"> </w:t>
            </w:r>
            <w:r w:rsidR="00A54A5A" w:rsidRPr="1BC3ABD5">
              <w:rPr>
                <w:lang w:val="en-US"/>
              </w:rPr>
              <w:t>to create a better and fairer system for renters</w:t>
            </w:r>
            <w:r w:rsidR="009B07D9" w:rsidRPr="1BC3ABD5">
              <w:rPr>
                <w:lang w:val="en-US"/>
              </w:rPr>
              <w:t>.</w:t>
            </w:r>
            <w:r w:rsidR="006653CE" w:rsidRPr="1BC3ABD5">
              <w:rPr>
                <w:lang w:val="en-US"/>
              </w:rPr>
              <w:t xml:space="preserve"> </w:t>
            </w:r>
          </w:p>
          <w:p w14:paraId="5E3CAA1B" w14:textId="7F10808C" w:rsidR="006653CE" w:rsidRPr="00FB3016" w:rsidRDefault="0088360C" w:rsidP="00262998">
            <w:pPr>
              <w:pStyle w:val="Bullet1"/>
            </w:pPr>
            <w:r w:rsidRPr="1BC3ABD5">
              <w:rPr>
                <w:lang w:val="en-US"/>
              </w:rPr>
              <w:t>Th</w:t>
            </w:r>
            <w:r w:rsidR="00DF0D56" w:rsidRPr="1BC3ABD5">
              <w:rPr>
                <w:lang w:val="en-US"/>
              </w:rPr>
              <w:t xml:space="preserve">is </w:t>
            </w:r>
            <w:r w:rsidR="000A015F" w:rsidRPr="1BC3ABD5">
              <w:rPr>
                <w:lang w:val="en-US"/>
              </w:rPr>
              <w:t>B</w:t>
            </w:r>
            <w:r w:rsidR="00DF0D56" w:rsidRPr="1BC3ABD5">
              <w:rPr>
                <w:lang w:val="en-US"/>
              </w:rPr>
              <w:t>udget also</w:t>
            </w:r>
            <w:r w:rsidRPr="1BC3ABD5">
              <w:rPr>
                <w:lang w:val="en-US"/>
              </w:rPr>
              <w:t xml:space="preserve"> </w:t>
            </w:r>
            <w:r w:rsidR="00B363A4" w:rsidRPr="1BC3ABD5">
              <w:rPr>
                <w:lang w:val="en-US"/>
              </w:rPr>
              <w:t>invests</w:t>
            </w:r>
            <w:r w:rsidRPr="1BC3ABD5">
              <w:rPr>
                <w:lang w:val="en-US"/>
              </w:rPr>
              <w:t xml:space="preserve"> in </w:t>
            </w:r>
            <w:r w:rsidR="00B363A4" w:rsidRPr="1BC3ABD5">
              <w:rPr>
                <w:lang w:val="en-US"/>
              </w:rPr>
              <w:t xml:space="preserve">initiatives that will support </w:t>
            </w:r>
            <w:r w:rsidRPr="1BC3ABD5">
              <w:rPr>
                <w:lang w:val="en-US"/>
              </w:rPr>
              <w:t>economic growth</w:t>
            </w:r>
            <w:r w:rsidR="00C24A92" w:rsidRPr="1BC3ABD5">
              <w:rPr>
                <w:lang w:val="en-US"/>
              </w:rPr>
              <w:t xml:space="preserve"> </w:t>
            </w:r>
            <w:r w:rsidR="00B363A4" w:rsidRPr="1BC3ABD5">
              <w:rPr>
                <w:lang w:val="en-US"/>
              </w:rPr>
              <w:t>and help achieve</w:t>
            </w:r>
            <w:r w:rsidR="00C24A92" w:rsidRPr="1BC3ABD5">
              <w:rPr>
                <w:lang w:val="en-US"/>
              </w:rPr>
              <w:t xml:space="preserve"> a more divers</w:t>
            </w:r>
            <w:r w:rsidR="00B363A4" w:rsidRPr="1BC3ABD5">
              <w:rPr>
                <w:lang w:val="en-US"/>
              </w:rPr>
              <w:t>e</w:t>
            </w:r>
            <w:r w:rsidR="00D4640E" w:rsidRPr="1BC3ABD5">
              <w:rPr>
                <w:lang w:val="en-US"/>
              </w:rPr>
              <w:t xml:space="preserve"> and s</w:t>
            </w:r>
            <w:r w:rsidR="00DD11DC" w:rsidRPr="1BC3ABD5">
              <w:rPr>
                <w:lang w:val="en-US"/>
              </w:rPr>
              <w:t>trengthened</w:t>
            </w:r>
            <w:r w:rsidR="00D4640E" w:rsidRPr="1BC3ABD5">
              <w:rPr>
                <w:lang w:val="en-US"/>
              </w:rPr>
              <w:t xml:space="preserve"> economy that is able to adapt to future economic shocks</w:t>
            </w:r>
            <w:r w:rsidR="00DD11DC" w:rsidRPr="1BC3ABD5">
              <w:rPr>
                <w:lang w:val="en-US"/>
              </w:rPr>
              <w:t xml:space="preserve"> and</w:t>
            </w:r>
            <w:r w:rsidR="002B064F" w:rsidRPr="1BC3ABD5">
              <w:rPr>
                <w:lang w:val="en-US"/>
              </w:rPr>
              <w:t xml:space="preserve"> opportunities.</w:t>
            </w:r>
          </w:p>
        </w:tc>
      </w:tr>
    </w:tbl>
    <w:p w14:paraId="183B24B2" w14:textId="77777777" w:rsidR="00262998" w:rsidRDefault="00262998" w:rsidP="00A6366A"/>
    <w:p w14:paraId="288130B9" w14:textId="20E9E357" w:rsidR="00C626D7" w:rsidRPr="002817A9" w:rsidRDefault="00382BC1" w:rsidP="007C0F25">
      <w:pPr>
        <w:pStyle w:val="31Heading2"/>
      </w:pPr>
      <w:r>
        <w:t xml:space="preserve">Building </w:t>
      </w:r>
      <w:r w:rsidR="00163429">
        <w:t>a platform for</w:t>
      </w:r>
      <w:r>
        <w:t xml:space="preserve"> future</w:t>
      </w:r>
      <w:r w:rsidR="00163429">
        <w:t xml:space="preserve"> growth and prosperity</w:t>
      </w:r>
    </w:p>
    <w:p w14:paraId="204DE25B" w14:textId="41A9E895" w:rsidR="00B001C8" w:rsidRDefault="00785424" w:rsidP="0049481D">
      <w:pPr>
        <w:pStyle w:val="BodyText"/>
      </w:pPr>
      <w:bookmarkStart w:id="1" w:name="_Hlk193723207"/>
      <w:r w:rsidRPr="6BA29F45">
        <w:t xml:space="preserve">The 2025-26 Budget builds on the </w:t>
      </w:r>
      <w:r w:rsidR="00A75FC5" w:rsidRPr="6BA29F45">
        <w:t xml:space="preserve">work </w:t>
      </w:r>
      <w:r w:rsidR="00DD11DC">
        <w:t>of</w:t>
      </w:r>
      <w:r w:rsidR="00A75FC5" w:rsidRPr="6BA29F45">
        <w:t xml:space="preserve"> the Government over the past </w:t>
      </w:r>
      <w:r w:rsidR="00DD11DC">
        <w:t>two</w:t>
      </w:r>
      <w:r w:rsidR="00B133E4" w:rsidRPr="6BA29F45">
        <w:t xml:space="preserve"> years. </w:t>
      </w:r>
      <w:r w:rsidR="00DD11DC">
        <w:t xml:space="preserve">It </w:t>
      </w:r>
      <w:r w:rsidR="00B001C8">
        <w:t>delivers</w:t>
      </w:r>
      <w:r w:rsidR="00DD11DC">
        <w:t xml:space="preserve"> more of the essential services that underpin the health and prosperity of</w:t>
      </w:r>
      <w:r w:rsidR="00B001C8">
        <w:t xml:space="preserve"> people in New So</w:t>
      </w:r>
      <w:r w:rsidR="00D0242E">
        <w:t>u</w:t>
      </w:r>
      <w:r w:rsidR="00B001C8">
        <w:t xml:space="preserve">th Wales and targets investments that will strengthen and diversify our economy. </w:t>
      </w:r>
    </w:p>
    <w:p w14:paraId="2CAA28EC" w14:textId="37207CF0" w:rsidR="009159DF" w:rsidRDefault="001A6F1B" w:rsidP="006F6718">
      <w:pPr>
        <w:pStyle w:val="BodyText"/>
      </w:pPr>
      <w:r>
        <w:t>This Budget reaffirms the Government’s commitment</w:t>
      </w:r>
      <w:r w:rsidR="00BB1B88">
        <w:t xml:space="preserve"> to </w:t>
      </w:r>
      <w:r w:rsidR="00D56FCD">
        <w:t>building a better New South Wales through</w:t>
      </w:r>
      <w:r w:rsidR="00BB1B88">
        <w:t>:</w:t>
      </w:r>
    </w:p>
    <w:p w14:paraId="16F0A773" w14:textId="009A0B3A" w:rsidR="00BB1B88" w:rsidRDefault="00541113" w:rsidP="00262998">
      <w:pPr>
        <w:pStyle w:val="Bullet1"/>
      </w:pPr>
      <w:r>
        <w:t>fiscal</w:t>
      </w:r>
      <w:r w:rsidR="00BB1B88">
        <w:t xml:space="preserve"> repair and </w:t>
      </w:r>
      <w:r w:rsidR="00D36EB9">
        <w:t>responsible fiscal management</w:t>
      </w:r>
    </w:p>
    <w:p w14:paraId="2954A5B8" w14:textId="77777777" w:rsidR="00D36EB9" w:rsidRDefault="00EB778D" w:rsidP="00262998">
      <w:pPr>
        <w:pStyle w:val="Bullet1"/>
      </w:pPr>
      <w:r>
        <w:t>d</w:t>
      </w:r>
      <w:r w:rsidR="00D36EB9">
        <w:t>eliver</w:t>
      </w:r>
      <w:r>
        <w:t xml:space="preserve">ing </w:t>
      </w:r>
      <w:r w:rsidR="00764AC0">
        <w:t xml:space="preserve">high quality </w:t>
      </w:r>
      <w:r w:rsidR="001A05BE">
        <w:t xml:space="preserve">services </w:t>
      </w:r>
      <w:r w:rsidR="006405BA">
        <w:t xml:space="preserve">and outcomes </w:t>
      </w:r>
      <w:r w:rsidR="001A05BE">
        <w:t xml:space="preserve">that support communities </w:t>
      </w:r>
    </w:p>
    <w:p w14:paraId="2F664D80" w14:textId="72DC4AA7" w:rsidR="006405BA" w:rsidRDefault="00CD1187" w:rsidP="00262998">
      <w:pPr>
        <w:pStyle w:val="Bullet1"/>
      </w:pPr>
      <w:r w:rsidRPr="1BC3ABD5">
        <w:rPr>
          <w:lang w:val="en-US"/>
        </w:rPr>
        <w:t xml:space="preserve">investing in the drivers </w:t>
      </w:r>
      <w:r w:rsidR="00197042" w:rsidRPr="1BC3ABD5">
        <w:rPr>
          <w:lang w:val="en-US"/>
        </w:rPr>
        <w:t xml:space="preserve">of </w:t>
      </w:r>
      <w:r w:rsidRPr="1BC3ABD5">
        <w:rPr>
          <w:lang w:val="en-US"/>
        </w:rPr>
        <w:t xml:space="preserve">future </w:t>
      </w:r>
      <w:r w:rsidR="00197042" w:rsidRPr="1BC3ABD5">
        <w:rPr>
          <w:lang w:val="en-US"/>
        </w:rPr>
        <w:t>economic</w:t>
      </w:r>
      <w:r w:rsidR="009A0667" w:rsidRPr="1BC3ABD5">
        <w:rPr>
          <w:lang w:val="en-US"/>
        </w:rPr>
        <w:t xml:space="preserve"> growth</w:t>
      </w:r>
      <w:r w:rsidR="00197042" w:rsidRPr="1BC3ABD5">
        <w:rPr>
          <w:lang w:val="en-US"/>
        </w:rPr>
        <w:t>.</w:t>
      </w:r>
    </w:p>
    <w:p w14:paraId="2AB2A130" w14:textId="5940CA2F" w:rsidR="000C7FEC" w:rsidRDefault="000C7FEC" w:rsidP="00FF6D49">
      <w:pPr>
        <w:pStyle w:val="BodyText"/>
        <w:rPr>
          <w:lang w:val="en-US"/>
        </w:rPr>
      </w:pPr>
      <w:r>
        <w:rPr>
          <w:lang w:val="en-US"/>
        </w:rPr>
        <w:t>Refer to Box 1.</w:t>
      </w:r>
      <w:r w:rsidR="00D71545">
        <w:rPr>
          <w:lang w:val="en-US"/>
        </w:rPr>
        <w:t>2</w:t>
      </w:r>
      <w:r>
        <w:rPr>
          <w:lang w:val="en-US"/>
        </w:rPr>
        <w:t xml:space="preserve"> of Chapter 1 Budget </w:t>
      </w:r>
      <w:r w:rsidR="00E0515D">
        <w:rPr>
          <w:lang w:val="en-US"/>
        </w:rPr>
        <w:t>o</w:t>
      </w:r>
      <w:r>
        <w:rPr>
          <w:lang w:val="en-US"/>
        </w:rPr>
        <w:t xml:space="preserve">verview for further detail on the </w:t>
      </w:r>
      <w:r w:rsidR="00483258">
        <w:rPr>
          <w:lang w:val="en-US"/>
        </w:rPr>
        <w:t xml:space="preserve">Government’s </w:t>
      </w:r>
      <w:r w:rsidR="00C55B63">
        <w:rPr>
          <w:lang w:val="en-US"/>
        </w:rPr>
        <w:t xml:space="preserve">delivery of its </w:t>
      </w:r>
      <w:r w:rsidR="00483258">
        <w:rPr>
          <w:lang w:val="en-US"/>
        </w:rPr>
        <w:t>election commitment</w:t>
      </w:r>
      <w:r w:rsidR="001D1FC1">
        <w:rPr>
          <w:lang w:val="en-US"/>
        </w:rPr>
        <w:t>s</w:t>
      </w:r>
      <w:r w:rsidR="00483258">
        <w:rPr>
          <w:lang w:val="en-US"/>
        </w:rPr>
        <w:t xml:space="preserve">. </w:t>
      </w:r>
    </w:p>
    <w:p w14:paraId="0922A845" w14:textId="5997AC1C" w:rsidR="004813F0" w:rsidRDefault="00953D34" w:rsidP="00FF6D49">
      <w:pPr>
        <w:pStyle w:val="BodyText"/>
      </w:pPr>
      <w:r w:rsidRPr="6BA29F45">
        <w:rPr>
          <w:lang w:val="en-US"/>
        </w:rPr>
        <w:t xml:space="preserve">The 2025-26 Budget </w:t>
      </w:r>
      <w:r w:rsidR="00BB2D27" w:rsidRPr="1536A65F">
        <w:rPr>
          <w:lang w:val="en-US"/>
        </w:rPr>
        <w:t>in</w:t>
      </w:r>
      <w:r w:rsidR="00C87526">
        <w:rPr>
          <w:lang w:val="en-US"/>
        </w:rPr>
        <w:t>vests</w:t>
      </w:r>
      <w:r w:rsidR="00336307" w:rsidRPr="6BA29F45">
        <w:rPr>
          <w:lang w:val="en-US"/>
        </w:rPr>
        <w:t xml:space="preserve"> in new and expanded measures to support</w:t>
      </w:r>
      <w:r w:rsidR="00F16A5B" w:rsidRPr="6BA29F45">
        <w:rPr>
          <w:lang w:val="en-US"/>
        </w:rPr>
        <w:t xml:space="preserve"> </w:t>
      </w:r>
      <w:r w:rsidR="00193750" w:rsidRPr="6BA29F45">
        <w:rPr>
          <w:lang w:val="en-US"/>
        </w:rPr>
        <w:t>NSW families</w:t>
      </w:r>
      <w:r w:rsidR="003C21FE">
        <w:rPr>
          <w:lang w:val="en-US"/>
        </w:rPr>
        <w:t xml:space="preserve"> </w:t>
      </w:r>
      <w:r w:rsidR="00966954">
        <w:rPr>
          <w:lang w:val="en-US"/>
        </w:rPr>
        <w:t>across</w:t>
      </w:r>
      <w:r w:rsidR="00193750" w:rsidRPr="6BA29F45">
        <w:rPr>
          <w:lang w:val="en-US"/>
        </w:rPr>
        <w:t xml:space="preserve"> priority areas such as health, education, transport and protecting the most vulnerable in the community.</w:t>
      </w:r>
      <w:bookmarkEnd w:id="1"/>
    </w:p>
    <w:p w14:paraId="31D5C22B" w14:textId="74B2ADB9" w:rsidR="001860EA" w:rsidRPr="00B51701" w:rsidRDefault="001860EA" w:rsidP="003634B9">
      <w:pPr>
        <w:pStyle w:val="31Heading2"/>
        <w:rPr>
          <w:i/>
          <w:color w:val="000000" w:themeColor="text1"/>
          <w:kern w:val="28"/>
          <w:sz w:val="20"/>
        </w:rPr>
      </w:pPr>
      <w:r w:rsidRPr="00B63F26">
        <w:t xml:space="preserve">Continuing </w:t>
      </w:r>
      <w:r w:rsidR="00423353">
        <w:t>fiscal</w:t>
      </w:r>
      <w:r w:rsidR="00C56E20">
        <w:t xml:space="preserve"> repair and responsible </w:t>
      </w:r>
      <w:r w:rsidRPr="00B63F26">
        <w:t>fi</w:t>
      </w:r>
      <w:r w:rsidR="00423353">
        <w:t>nancial</w:t>
      </w:r>
      <w:r w:rsidRPr="00B63F26">
        <w:t xml:space="preserve"> management</w:t>
      </w:r>
    </w:p>
    <w:p w14:paraId="7086ADDB" w14:textId="370BAC96" w:rsidR="001860EA" w:rsidRPr="002817A9" w:rsidRDefault="00EC5151" w:rsidP="001860EA">
      <w:pPr>
        <w:pStyle w:val="BodyText"/>
      </w:pPr>
      <w:r w:rsidRPr="35E98D55">
        <w:rPr>
          <w:lang w:val="en-US"/>
        </w:rPr>
        <w:t xml:space="preserve">This </w:t>
      </w:r>
      <w:r w:rsidR="00C03616" w:rsidRPr="35E98D55">
        <w:rPr>
          <w:lang w:val="en-US"/>
        </w:rPr>
        <w:t>Government</w:t>
      </w:r>
      <w:r w:rsidRPr="35E98D55">
        <w:rPr>
          <w:lang w:val="en-US"/>
        </w:rPr>
        <w:t xml:space="preserve"> continues to focus on returning the State’s finances to a </w:t>
      </w:r>
      <w:r w:rsidR="00211BE9" w:rsidRPr="35E98D55">
        <w:rPr>
          <w:lang w:val="en-US"/>
        </w:rPr>
        <w:t xml:space="preserve">stable </w:t>
      </w:r>
      <w:r w:rsidR="00135150" w:rsidRPr="35E98D55">
        <w:rPr>
          <w:lang w:val="en-US"/>
        </w:rPr>
        <w:t>footing</w:t>
      </w:r>
      <w:r w:rsidR="00EB6D37" w:rsidRPr="35E98D55">
        <w:rPr>
          <w:lang w:val="en-US"/>
        </w:rPr>
        <w:t xml:space="preserve">. </w:t>
      </w:r>
      <w:r w:rsidR="00EA77B2">
        <w:rPr>
          <w:lang w:val="en-US"/>
        </w:rPr>
        <w:t>This</w:t>
      </w:r>
      <w:r w:rsidR="00A41211" w:rsidRPr="35E98D55">
        <w:rPr>
          <w:lang w:val="en-US"/>
        </w:rPr>
        <w:t xml:space="preserve"> gives the Government the ability to rebuild and enhance the </w:t>
      </w:r>
      <w:r w:rsidR="002E4930" w:rsidRPr="35E98D55">
        <w:rPr>
          <w:lang w:val="en-US"/>
        </w:rPr>
        <w:t>delivery of essential services to the community, in areas such as health, education and transport</w:t>
      </w:r>
      <w:r w:rsidR="003B3A68" w:rsidRPr="35E98D55">
        <w:rPr>
          <w:lang w:val="en-US"/>
        </w:rPr>
        <w:t xml:space="preserve">. </w:t>
      </w:r>
    </w:p>
    <w:p w14:paraId="5E29EE3C" w14:textId="27566188" w:rsidR="004A5DAB" w:rsidRDefault="00C56E20" w:rsidP="00AE0BA3">
      <w:pPr>
        <w:pStyle w:val="Heading3"/>
      </w:pPr>
      <w:r>
        <w:t>Responsible management of the State’s finances</w:t>
      </w:r>
    </w:p>
    <w:p w14:paraId="314BBE45" w14:textId="77777777" w:rsidR="00850B13" w:rsidRDefault="004573F8" w:rsidP="00EA03C9">
      <w:pPr>
        <w:pStyle w:val="BodyText"/>
      </w:pPr>
      <w:r w:rsidRPr="6BA29F45">
        <w:t xml:space="preserve">This Budget builds on the </w:t>
      </w:r>
      <w:r w:rsidR="006836F7">
        <w:t xml:space="preserve">Government’s </w:t>
      </w:r>
      <w:r w:rsidRPr="6BA29F45">
        <w:t>successful</w:t>
      </w:r>
      <w:r>
        <w:t xml:space="preserve"> work</w:t>
      </w:r>
      <w:r w:rsidRPr="6BA29F45">
        <w:t xml:space="preserve"> to improve the fiscal position and outlook, </w:t>
      </w:r>
      <w:r>
        <w:t xml:space="preserve">with initiatives </w:t>
      </w:r>
      <w:r w:rsidRPr="6BA29F45">
        <w:t>that aim to ensure the financial strength of the State into the future.</w:t>
      </w:r>
      <w:r w:rsidR="00FF4FC0">
        <w:t xml:space="preserve"> </w:t>
      </w:r>
    </w:p>
    <w:p w14:paraId="4414CD13" w14:textId="059B48FD" w:rsidR="006836F7" w:rsidRDefault="00FF4FC0" w:rsidP="006836F7">
      <w:pPr>
        <w:pStyle w:val="BodyText"/>
      </w:pPr>
      <w:r>
        <w:t>These initiatives include</w:t>
      </w:r>
      <w:r w:rsidR="006836F7">
        <w:t>:</w:t>
      </w:r>
    </w:p>
    <w:p w14:paraId="221ADA5E" w14:textId="26BBC3F7" w:rsidR="003451DA" w:rsidRPr="00441C2B" w:rsidRDefault="0032488F" w:rsidP="00262998">
      <w:pPr>
        <w:pStyle w:val="Bullet1"/>
      </w:pPr>
      <w:r w:rsidRPr="1BC3ABD5">
        <w:rPr>
          <w:lang w:val="en-US"/>
        </w:rPr>
        <w:t xml:space="preserve">completed </w:t>
      </w:r>
      <w:r w:rsidR="00170BA3" w:rsidRPr="1BC3ABD5">
        <w:rPr>
          <w:lang w:val="en-US"/>
        </w:rPr>
        <w:t>a</w:t>
      </w:r>
      <w:r w:rsidR="00584F8D" w:rsidRPr="1BC3ABD5">
        <w:rPr>
          <w:lang w:val="en-US"/>
        </w:rPr>
        <w:t xml:space="preserve"> Comprehensive Expenditure Review</w:t>
      </w:r>
      <w:r w:rsidR="00EF5F5C" w:rsidRPr="1BC3ABD5">
        <w:rPr>
          <w:lang w:val="en-US"/>
        </w:rPr>
        <w:t>,</w:t>
      </w:r>
      <w:r w:rsidR="00584F8D" w:rsidRPr="1BC3ABD5">
        <w:rPr>
          <w:lang w:val="en-US"/>
        </w:rPr>
        <w:t xml:space="preserve"> </w:t>
      </w:r>
      <w:r w:rsidR="001A082F" w:rsidRPr="1BC3ABD5">
        <w:rPr>
          <w:lang w:val="en-US"/>
        </w:rPr>
        <w:t>which</w:t>
      </w:r>
      <w:r w:rsidR="009545A6" w:rsidRPr="1BC3ABD5">
        <w:rPr>
          <w:lang w:val="en-US"/>
        </w:rPr>
        <w:t xml:space="preserve"> </w:t>
      </w:r>
      <w:r w:rsidR="003451DA" w:rsidRPr="1BC3ABD5">
        <w:rPr>
          <w:lang w:val="en-US"/>
        </w:rPr>
        <w:t>identified $13.0 billion in savings, reprioritisation and other budget improvement measures. More than $11.0 billion of these measures are complete or on track for completion, with the remaining underway or in planning</w:t>
      </w:r>
    </w:p>
    <w:p w14:paraId="698AD7AF" w14:textId="0C599075" w:rsidR="009545A6" w:rsidRPr="00FE253C" w:rsidRDefault="00170BA3" w:rsidP="00262998">
      <w:pPr>
        <w:pStyle w:val="Bullet1"/>
      </w:pPr>
      <w:r w:rsidRPr="1BC3ABD5">
        <w:rPr>
          <w:lang w:val="en-US"/>
        </w:rPr>
        <w:t>undert</w:t>
      </w:r>
      <w:r w:rsidR="00E06C02" w:rsidRPr="1BC3ABD5">
        <w:rPr>
          <w:lang w:val="en-US"/>
        </w:rPr>
        <w:t>ook</w:t>
      </w:r>
      <w:r w:rsidRPr="1BC3ABD5">
        <w:rPr>
          <w:lang w:val="en-US"/>
        </w:rPr>
        <w:t xml:space="preserve"> a </w:t>
      </w:r>
      <w:r w:rsidR="00C03F3A" w:rsidRPr="1BC3ABD5">
        <w:rPr>
          <w:lang w:val="en-US"/>
        </w:rPr>
        <w:t xml:space="preserve">Strategic Infrastructure Review which identified and prioritised projects </w:t>
      </w:r>
      <w:r w:rsidR="00403390" w:rsidRPr="1BC3ABD5">
        <w:rPr>
          <w:lang w:val="en-US"/>
        </w:rPr>
        <w:t>th</w:t>
      </w:r>
      <w:r w:rsidR="00341697" w:rsidRPr="1BC3ABD5">
        <w:rPr>
          <w:lang w:val="en-US"/>
        </w:rPr>
        <w:t xml:space="preserve">e Government should continue, </w:t>
      </w:r>
      <w:r w:rsidR="00597CC7" w:rsidRPr="1BC3ABD5">
        <w:rPr>
          <w:lang w:val="en-US"/>
        </w:rPr>
        <w:t>delay or descope</w:t>
      </w:r>
    </w:p>
    <w:p w14:paraId="5A4C0A26" w14:textId="261D8E69" w:rsidR="00FE253C" w:rsidRPr="00E7507A" w:rsidRDefault="00A22C43" w:rsidP="00FE253C">
      <w:pPr>
        <w:pStyle w:val="Bullet1"/>
      </w:pPr>
      <w:r w:rsidRPr="0A3596B1">
        <w:rPr>
          <w:lang w:val="en-US"/>
        </w:rPr>
        <w:lastRenderedPageBreak/>
        <w:t>ceas</w:t>
      </w:r>
      <w:r w:rsidR="32CFF800" w:rsidRPr="0A3596B1">
        <w:rPr>
          <w:lang w:val="en-US"/>
        </w:rPr>
        <w:t>ed</w:t>
      </w:r>
      <w:r w:rsidRPr="1BC3ABD5">
        <w:rPr>
          <w:lang w:val="en-US"/>
        </w:rPr>
        <w:t xml:space="preserve"> contributions into the </w:t>
      </w:r>
      <w:r w:rsidR="0052470A" w:rsidRPr="1BC3ABD5">
        <w:rPr>
          <w:lang w:val="en-US"/>
        </w:rPr>
        <w:t xml:space="preserve">NSW Generations (Debt Retirement) </w:t>
      </w:r>
      <w:r w:rsidR="002242C8" w:rsidRPr="1BC3ABD5">
        <w:rPr>
          <w:lang w:val="en-US"/>
        </w:rPr>
        <w:t>Fund</w:t>
      </w:r>
      <w:r w:rsidRPr="1BC3ABD5">
        <w:rPr>
          <w:lang w:val="en-US"/>
        </w:rPr>
        <w:t xml:space="preserve"> in March 2024 and approv</w:t>
      </w:r>
      <w:r w:rsidR="18E9267F" w:rsidRPr="0A3596B1">
        <w:rPr>
          <w:lang w:val="en-US"/>
        </w:rPr>
        <w:t>ed</w:t>
      </w:r>
      <w:r w:rsidRPr="1BC3ABD5">
        <w:rPr>
          <w:lang w:val="en-US"/>
        </w:rPr>
        <w:t xml:space="preserve"> the NGF Management Framework to establish principles for any future NGF contributions</w:t>
      </w:r>
    </w:p>
    <w:p w14:paraId="106FF625" w14:textId="25EF1B99" w:rsidR="00597CC7" w:rsidRPr="00441C2B" w:rsidRDefault="00F37DA4" w:rsidP="00262998">
      <w:pPr>
        <w:pStyle w:val="Bullet1"/>
      </w:pPr>
      <w:r w:rsidRPr="1BC3ABD5">
        <w:rPr>
          <w:lang w:val="en-US"/>
        </w:rPr>
        <w:t>collat</w:t>
      </w:r>
      <w:r w:rsidR="00170BA3" w:rsidRPr="1BC3ABD5">
        <w:rPr>
          <w:lang w:val="en-US"/>
        </w:rPr>
        <w:t xml:space="preserve">ed </w:t>
      </w:r>
      <w:r w:rsidR="00654EBB">
        <w:rPr>
          <w:lang w:val="en-US"/>
        </w:rPr>
        <w:t xml:space="preserve">several of </w:t>
      </w:r>
      <w:r w:rsidR="00170BA3" w:rsidRPr="1BC3ABD5">
        <w:rPr>
          <w:lang w:val="en-US"/>
        </w:rPr>
        <w:t xml:space="preserve">the State’s </w:t>
      </w:r>
      <w:r w:rsidRPr="1BC3ABD5">
        <w:rPr>
          <w:lang w:val="en-US"/>
        </w:rPr>
        <w:t>investment funds into a single master fund</w:t>
      </w:r>
      <w:r w:rsidR="00DF458B" w:rsidRPr="1BC3ABD5">
        <w:rPr>
          <w:lang w:val="en-US"/>
        </w:rPr>
        <w:t xml:space="preserve"> known as One</w:t>
      </w:r>
      <w:r w:rsidR="0083040C" w:rsidRPr="1BC3ABD5">
        <w:rPr>
          <w:lang w:val="en-US"/>
        </w:rPr>
        <w:t>F</w:t>
      </w:r>
      <w:r w:rsidR="00DF458B" w:rsidRPr="1BC3ABD5">
        <w:rPr>
          <w:lang w:val="en-US"/>
        </w:rPr>
        <w:t>und.</w:t>
      </w:r>
    </w:p>
    <w:p w14:paraId="7C4A138B" w14:textId="10F159AC" w:rsidR="004573F8" w:rsidRDefault="003726A5" w:rsidP="004573F8">
      <w:pPr>
        <w:pStyle w:val="BodyText"/>
      </w:pPr>
      <w:r w:rsidRPr="35E98D55">
        <w:rPr>
          <w:lang w:val="en-US"/>
        </w:rPr>
        <w:t xml:space="preserve">As part of the 2025-26 Budget, the Government has introduced additional measures </w:t>
      </w:r>
      <w:r w:rsidR="007A257B" w:rsidRPr="35E98D55">
        <w:rPr>
          <w:lang w:val="en-US"/>
        </w:rPr>
        <w:t>that</w:t>
      </w:r>
      <w:r w:rsidRPr="35E98D55">
        <w:rPr>
          <w:lang w:val="en-US"/>
        </w:rPr>
        <w:t xml:space="preserve"> build on </w:t>
      </w:r>
      <w:r w:rsidRPr="1536A65F">
        <w:rPr>
          <w:lang w:val="en-US"/>
        </w:rPr>
        <w:t>the</w:t>
      </w:r>
      <w:r w:rsidR="001916F5">
        <w:rPr>
          <w:lang w:val="en-US"/>
        </w:rPr>
        <w:t>se</w:t>
      </w:r>
      <w:r w:rsidRPr="35E98D55">
        <w:rPr>
          <w:lang w:val="en-US"/>
        </w:rPr>
        <w:t xml:space="preserve"> </w:t>
      </w:r>
      <w:r w:rsidR="004573F8" w:rsidRPr="35E98D55">
        <w:rPr>
          <w:lang w:val="en-US"/>
        </w:rPr>
        <w:t>to ensure the</w:t>
      </w:r>
      <w:r w:rsidR="007A257B" w:rsidRPr="35E98D55">
        <w:rPr>
          <w:lang w:val="en-US"/>
        </w:rPr>
        <w:t xml:space="preserve"> future</w:t>
      </w:r>
      <w:r w:rsidR="004573F8" w:rsidRPr="35E98D55">
        <w:rPr>
          <w:lang w:val="en-US"/>
        </w:rPr>
        <w:t xml:space="preserve"> financial strength of the State</w:t>
      </w:r>
      <w:r w:rsidR="00B123DD" w:rsidRPr="35E98D55">
        <w:rPr>
          <w:lang w:val="en-US"/>
        </w:rPr>
        <w:t>,</w:t>
      </w:r>
      <w:r w:rsidR="004573F8" w:rsidRPr="35E98D55" w:rsidDel="007A257B">
        <w:rPr>
          <w:lang w:val="en-US"/>
        </w:rPr>
        <w:t xml:space="preserve"> </w:t>
      </w:r>
      <w:r w:rsidR="00FF4FC0" w:rsidRPr="1536A65F">
        <w:rPr>
          <w:lang w:val="en-US"/>
        </w:rPr>
        <w:t>includ</w:t>
      </w:r>
      <w:r w:rsidR="00B123DD" w:rsidRPr="1536A65F">
        <w:rPr>
          <w:lang w:val="en-US"/>
        </w:rPr>
        <w:t>ing</w:t>
      </w:r>
      <w:r w:rsidR="00FF4FC0" w:rsidRPr="1536A65F">
        <w:rPr>
          <w:lang w:val="en-US"/>
        </w:rPr>
        <w:t>:</w:t>
      </w:r>
    </w:p>
    <w:p w14:paraId="2676781B" w14:textId="39E68A47" w:rsidR="001E6CE0" w:rsidRDefault="00883618" w:rsidP="00262998">
      <w:pPr>
        <w:pStyle w:val="Bullet1"/>
      </w:pPr>
      <w:r w:rsidRPr="1BC3ABD5">
        <w:rPr>
          <w:lang w:val="en-US"/>
        </w:rPr>
        <w:t>i</w:t>
      </w:r>
      <w:r w:rsidR="00957219" w:rsidRPr="1BC3ABD5">
        <w:rPr>
          <w:lang w:val="en-US"/>
        </w:rPr>
        <w:t>mplementation of</w:t>
      </w:r>
      <w:r w:rsidR="001E6CE0" w:rsidRPr="1BC3ABD5">
        <w:rPr>
          <w:lang w:val="en-US"/>
        </w:rPr>
        <w:t xml:space="preserve"> Phase 2 of OneFund, which includes pooling the Lifetime Care and Support Authority Fund, Workers Compensation (Dust Diseases) Fund and Motor Accidents Injury Treatment and Care Benefits Fund into the master fund structure</w:t>
      </w:r>
    </w:p>
    <w:p w14:paraId="3AB071F2" w14:textId="3AA917E4" w:rsidR="003D06BF" w:rsidRDefault="00441C2B" w:rsidP="00262998">
      <w:pPr>
        <w:pStyle w:val="Bullet1"/>
      </w:pPr>
      <w:r w:rsidRPr="1BC3ABD5">
        <w:rPr>
          <w:lang w:val="en-US"/>
        </w:rPr>
        <w:t>a</w:t>
      </w:r>
      <w:r w:rsidR="001E6CE0" w:rsidRPr="1BC3ABD5">
        <w:rPr>
          <w:lang w:val="en-US"/>
        </w:rPr>
        <w:t xml:space="preserve"> Contributions and Transfers Framework </w:t>
      </w:r>
      <w:r w:rsidR="004B11FA" w:rsidRPr="1BC3ABD5">
        <w:rPr>
          <w:lang w:val="en-US"/>
        </w:rPr>
        <w:t>that</w:t>
      </w:r>
      <w:r w:rsidR="001E6CE0" w:rsidRPr="1BC3ABD5">
        <w:rPr>
          <w:lang w:val="en-US"/>
        </w:rPr>
        <w:t xml:space="preserve"> </w:t>
      </w:r>
      <w:r w:rsidRPr="1BC3ABD5">
        <w:rPr>
          <w:lang w:val="en-US"/>
        </w:rPr>
        <w:t>minimises the need to fund schemes via debt</w:t>
      </w:r>
      <w:r w:rsidR="001E6CE0" w:rsidRPr="1BC3ABD5">
        <w:rPr>
          <w:lang w:val="en-US"/>
        </w:rPr>
        <w:t xml:space="preserve"> by making use of available resources within OneFund to manage scheme liabilities more efficiently on a portfolio basis</w:t>
      </w:r>
      <w:r w:rsidR="003D06BF" w:rsidRPr="1BC3ABD5">
        <w:rPr>
          <w:lang w:val="en-US"/>
        </w:rPr>
        <w:t>.</w:t>
      </w:r>
    </w:p>
    <w:p w14:paraId="1D3FF74B" w14:textId="5D9694EE" w:rsidR="00DF5D51" w:rsidRPr="002602E8" w:rsidRDefault="00DF5D51" w:rsidP="00AE0BA3">
      <w:pPr>
        <w:pStyle w:val="Heading3"/>
        <w:rPr>
          <w:lang w:val="en-US"/>
        </w:rPr>
      </w:pPr>
      <w:r w:rsidRPr="35E98D55">
        <w:rPr>
          <w:lang w:val="en-US"/>
        </w:rPr>
        <w:t>Building public sector capability</w:t>
      </w:r>
      <w:r w:rsidR="00C56E20" w:rsidRPr="35E98D55">
        <w:rPr>
          <w:lang w:val="en-US"/>
        </w:rPr>
        <w:t xml:space="preserve"> and capacity</w:t>
      </w:r>
    </w:p>
    <w:p w14:paraId="44BABAF0" w14:textId="77777777" w:rsidR="008906AF" w:rsidRPr="00441C2B" w:rsidRDefault="008906AF" w:rsidP="00441C2B">
      <w:pPr>
        <w:pStyle w:val="BodyText"/>
      </w:pPr>
      <w:r w:rsidRPr="00441C2B">
        <w:t xml:space="preserve">Since 2023, the Government has delivered significant industrial relations reforms, including: </w:t>
      </w:r>
    </w:p>
    <w:p w14:paraId="4AA25DEE" w14:textId="77777777" w:rsidR="008906AF" w:rsidRPr="00441C2B" w:rsidRDefault="008906AF" w:rsidP="00262998">
      <w:pPr>
        <w:pStyle w:val="Bullet1"/>
      </w:pPr>
      <w:r w:rsidRPr="00441C2B">
        <w:t>abolishing the wages cap</w:t>
      </w:r>
    </w:p>
    <w:p w14:paraId="51FA5E02" w14:textId="5E5F2CD8" w:rsidR="008906AF" w:rsidRPr="00441C2B" w:rsidRDefault="008906AF" w:rsidP="00262998">
      <w:pPr>
        <w:pStyle w:val="Bullet1"/>
      </w:pPr>
      <w:r w:rsidRPr="1BC3ABD5">
        <w:rPr>
          <w:lang w:val="en-US"/>
        </w:rPr>
        <w:t xml:space="preserve">introducing a mutual </w:t>
      </w:r>
      <w:r w:rsidR="005E40ED" w:rsidRPr="1BC3ABD5">
        <w:rPr>
          <w:lang w:val="en-US"/>
        </w:rPr>
        <w:t xml:space="preserve">gains </w:t>
      </w:r>
      <w:r w:rsidRPr="1BC3ABD5">
        <w:rPr>
          <w:lang w:val="en-US"/>
        </w:rPr>
        <w:t>bargaining approach</w:t>
      </w:r>
      <w:r w:rsidR="00A54A5A" w:rsidRPr="1BC3ABD5">
        <w:rPr>
          <w:lang w:val="en-US"/>
        </w:rPr>
        <w:t xml:space="preserve"> through the </w:t>
      </w:r>
      <w:r w:rsidR="00A54A5A" w:rsidRPr="1BC3ABD5">
        <w:rPr>
          <w:i/>
          <w:lang w:val="en-US"/>
        </w:rPr>
        <w:t>Fair Pay and Bargaining Policy</w:t>
      </w:r>
    </w:p>
    <w:p w14:paraId="2582AEB3" w14:textId="77777777" w:rsidR="00AE2D95" w:rsidRDefault="008906AF" w:rsidP="00262998">
      <w:pPr>
        <w:pStyle w:val="Bullet1"/>
      </w:pPr>
      <w:r w:rsidRPr="00441C2B">
        <w:t>delivering the biggest pay increase to essential workers in over a decade</w:t>
      </w:r>
    </w:p>
    <w:p w14:paraId="03624F5D" w14:textId="17399CD0" w:rsidR="00FD5B09" w:rsidRDefault="00AE2D95" w:rsidP="00262998">
      <w:pPr>
        <w:pStyle w:val="Bullet1"/>
      </w:pPr>
      <w:r>
        <w:t xml:space="preserve">record pay increases </w:t>
      </w:r>
      <w:r w:rsidR="00FD5B09">
        <w:t xml:space="preserve">for </w:t>
      </w:r>
      <w:r>
        <w:t>paramedics</w:t>
      </w:r>
      <w:r w:rsidR="00136AF1">
        <w:t xml:space="preserve"> in recognition </w:t>
      </w:r>
      <w:r w:rsidR="00AF4A02">
        <w:t xml:space="preserve">of </w:t>
      </w:r>
      <w:r w:rsidR="0037783C">
        <w:t xml:space="preserve">the move towards </w:t>
      </w:r>
      <w:r w:rsidR="00136AF1">
        <w:t>university</w:t>
      </w:r>
      <w:r w:rsidR="00FD5B09">
        <w:t xml:space="preserve"> qualifications and professional registration requirements</w:t>
      </w:r>
    </w:p>
    <w:p w14:paraId="3DCA71CC" w14:textId="463EB324" w:rsidR="001D2BBB" w:rsidRDefault="001304CA" w:rsidP="00262998">
      <w:pPr>
        <w:pStyle w:val="Bullet1"/>
      </w:pPr>
      <w:r>
        <w:t xml:space="preserve">introducing the </w:t>
      </w:r>
      <w:r w:rsidR="00354D5F">
        <w:t xml:space="preserve">Safe Staffing Levels </w:t>
      </w:r>
      <w:r w:rsidR="007E2A0D">
        <w:t>P</w:t>
      </w:r>
      <w:r w:rsidR="00354D5F">
        <w:t xml:space="preserve">olicy </w:t>
      </w:r>
      <w:r>
        <w:t xml:space="preserve">in NSW </w:t>
      </w:r>
      <w:r w:rsidR="00663FAD">
        <w:t>Heal</w:t>
      </w:r>
      <w:r w:rsidR="00B66296">
        <w:t>t</w:t>
      </w:r>
      <w:r w:rsidR="00663FAD">
        <w:t>h</w:t>
      </w:r>
      <w:r w:rsidR="008A1718">
        <w:t>.</w:t>
      </w:r>
      <w:r w:rsidR="008906AF" w:rsidRPr="00441C2B">
        <w:t xml:space="preserve"> </w:t>
      </w:r>
    </w:p>
    <w:p w14:paraId="0A07D481" w14:textId="55094BB5" w:rsidR="00DF5D51" w:rsidRDefault="00F40AB9" w:rsidP="00AE0BA3">
      <w:pPr>
        <w:pStyle w:val="Heading3"/>
      </w:pPr>
      <w:r>
        <w:t>Enhancing</w:t>
      </w:r>
      <w:r w:rsidR="00DF5D51">
        <w:t xml:space="preserve"> workforce pay and conditions </w:t>
      </w:r>
    </w:p>
    <w:p w14:paraId="523CDC0F" w14:textId="35E1D301" w:rsidR="00DF5D51" w:rsidRDefault="00DF5D51" w:rsidP="00441C2B">
      <w:pPr>
        <w:pStyle w:val="BodyText"/>
      </w:pPr>
      <w:r>
        <w:t>The mutual</w:t>
      </w:r>
      <w:r w:rsidRPr="00441C2B">
        <w:t xml:space="preserve"> </w:t>
      </w:r>
      <w:r w:rsidR="00996AFA">
        <w:t>gains</w:t>
      </w:r>
      <w:r>
        <w:t xml:space="preserve"> bargaining framework </w:t>
      </w:r>
      <w:r w:rsidR="006435A8" w:rsidRPr="00441C2B">
        <w:t>introduced by the Government</w:t>
      </w:r>
      <w:r w:rsidRPr="00441C2B">
        <w:t xml:space="preserve"> </w:t>
      </w:r>
      <w:r>
        <w:t>is deliver</w:t>
      </w:r>
      <w:r w:rsidR="00F238BB">
        <w:t>ing</w:t>
      </w:r>
      <w:r>
        <w:t xml:space="preserve"> pay increases for essential workers while driving productivity and efficiency in public sector workplaces, including: </w:t>
      </w:r>
    </w:p>
    <w:p w14:paraId="03D315DA" w14:textId="21E96CD8" w:rsidR="00DF5D51" w:rsidRDefault="00EF5691" w:rsidP="00262998">
      <w:pPr>
        <w:pStyle w:val="Bullet1"/>
      </w:pPr>
      <w:r w:rsidRPr="1BC3ABD5">
        <w:rPr>
          <w:lang w:val="en-US"/>
        </w:rPr>
        <w:t>a</w:t>
      </w:r>
      <w:r w:rsidR="00E97A39" w:rsidRPr="1BC3ABD5">
        <w:rPr>
          <w:lang w:val="en-US"/>
        </w:rPr>
        <w:t xml:space="preserve"> pay</w:t>
      </w:r>
      <w:r w:rsidR="00DF5D51" w:rsidRPr="1BC3ABD5">
        <w:rPr>
          <w:lang w:val="en-US"/>
        </w:rPr>
        <w:t xml:space="preserve"> increase for more than 90,000 Crown employees (including</w:t>
      </w:r>
      <w:r w:rsidR="00C5506C" w:rsidRPr="1BC3ABD5">
        <w:rPr>
          <w:lang w:val="en-US"/>
        </w:rPr>
        <w:t xml:space="preserve"> </w:t>
      </w:r>
      <w:r w:rsidR="00AE1693" w:rsidRPr="1BC3ABD5">
        <w:rPr>
          <w:lang w:val="en-US"/>
        </w:rPr>
        <w:t>corrections officers, transport workers</w:t>
      </w:r>
      <w:r w:rsidR="00DF5D51" w:rsidRPr="1BC3ABD5">
        <w:rPr>
          <w:lang w:val="en-US"/>
        </w:rPr>
        <w:t>, school assistants and other essential workers) in exchange for overhauling redeployment policies to reduce redundancy costs, and modernising awards to remove outdated allowances</w:t>
      </w:r>
    </w:p>
    <w:p w14:paraId="71C7365B" w14:textId="37951B28" w:rsidR="00DF5D51" w:rsidRDefault="00EF5691" w:rsidP="00262998">
      <w:pPr>
        <w:pStyle w:val="Bullet1"/>
      </w:pPr>
      <w:r w:rsidRPr="3215B8CB">
        <w:t>a</w:t>
      </w:r>
      <w:r w:rsidR="00DF5D51" w:rsidRPr="3215B8CB">
        <w:t xml:space="preserve">n historic </w:t>
      </w:r>
      <w:r w:rsidR="00E63E44">
        <w:t>pay</w:t>
      </w:r>
      <w:r w:rsidR="00E63E44" w:rsidRPr="3215B8CB">
        <w:t xml:space="preserve"> </w:t>
      </w:r>
      <w:r w:rsidR="00DF5D51" w:rsidRPr="3215B8CB">
        <w:t>increase for NSW Police officers offset by savings from reforms to the Police Blue Ribbon Insurance Scheme</w:t>
      </w:r>
      <w:r w:rsidR="0042597B">
        <w:t>, plus</w:t>
      </w:r>
      <w:r w:rsidR="00B70EDD">
        <w:t xml:space="preserve"> improve</w:t>
      </w:r>
      <w:r w:rsidR="00A925FF">
        <w:t>d</w:t>
      </w:r>
      <w:r w:rsidR="00B70EDD">
        <w:t xml:space="preserve"> flexibility</w:t>
      </w:r>
      <w:r w:rsidR="00A925FF">
        <w:t xml:space="preserve"> arrangements</w:t>
      </w:r>
    </w:p>
    <w:p w14:paraId="786AD0F1" w14:textId="59C8F9CF" w:rsidR="00DA5E17" w:rsidRDefault="001C57A8" w:rsidP="00262998">
      <w:pPr>
        <w:pStyle w:val="Bullet1"/>
      </w:pPr>
      <w:r>
        <w:t>mu</w:t>
      </w:r>
      <w:r w:rsidR="00DA5E17">
        <w:t>lti</w:t>
      </w:r>
      <w:r w:rsidR="00D14CA0">
        <w:t xml:space="preserve">-year </w:t>
      </w:r>
      <w:r w:rsidR="00614005">
        <w:t xml:space="preserve">pay </w:t>
      </w:r>
      <w:r w:rsidR="00D14CA0">
        <w:t>increases for teachers in our public schools and TAFE teachers</w:t>
      </w:r>
      <w:r w:rsidR="00C073EC">
        <w:t>, combined with conversion of temporary to permanent staffing</w:t>
      </w:r>
      <w:r w:rsidR="00614005">
        <w:t>.</w:t>
      </w:r>
    </w:p>
    <w:p w14:paraId="12E053C3" w14:textId="216FCE26" w:rsidR="00CC50A3" w:rsidRDefault="00F875C5" w:rsidP="007E14D4">
      <w:pPr>
        <w:pStyle w:val="BodyText"/>
      </w:pPr>
      <w:r w:rsidRPr="1BC3ABD5">
        <w:rPr>
          <w:lang w:val="en-US"/>
        </w:rPr>
        <w:t>B</w:t>
      </w:r>
      <w:r w:rsidR="00CC50A3" w:rsidRPr="1BC3ABD5">
        <w:rPr>
          <w:lang w:val="en-US"/>
        </w:rPr>
        <w:t>etter pay and conditions provide certainty and financial security to our essential public sector workforces</w:t>
      </w:r>
      <w:r w:rsidR="0029066E">
        <w:rPr>
          <w:lang w:val="en-US"/>
        </w:rPr>
        <w:t xml:space="preserve">. This </w:t>
      </w:r>
      <w:r w:rsidR="00BC5C12">
        <w:rPr>
          <w:lang w:val="en-US"/>
        </w:rPr>
        <w:t>help</w:t>
      </w:r>
      <w:r w:rsidR="0029066E">
        <w:rPr>
          <w:lang w:val="en-US"/>
        </w:rPr>
        <w:t>s</w:t>
      </w:r>
      <w:r w:rsidR="00BC5C12">
        <w:rPr>
          <w:lang w:val="en-US"/>
        </w:rPr>
        <w:t xml:space="preserve"> </w:t>
      </w:r>
      <w:r w:rsidR="00F637A8">
        <w:rPr>
          <w:lang w:val="en-US"/>
        </w:rPr>
        <w:t xml:space="preserve">to </w:t>
      </w:r>
      <w:r w:rsidR="00CC50A3" w:rsidRPr="1BC3ABD5">
        <w:rPr>
          <w:lang w:val="en-US"/>
        </w:rPr>
        <w:t>attract and retain highly skilled and qualified workers and reduce vacancies, supporting:</w:t>
      </w:r>
    </w:p>
    <w:p w14:paraId="42FA279F" w14:textId="77777777" w:rsidR="00CC50A3" w:rsidRPr="007E14D4" w:rsidRDefault="00CC50A3" w:rsidP="007E14D4">
      <w:pPr>
        <w:pStyle w:val="Bullet1"/>
      </w:pPr>
      <w:r w:rsidRPr="007E14D4">
        <w:t>enhanced safety for our community by ensuring we have police on our streets</w:t>
      </w:r>
    </w:p>
    <w:p w14:paraId="11CED90E" w14:textId="3AF95F0E" w:rsidR="00CC50A3" w:rsidRDefault="00CC50A3" w:rsidP="007E14D4">
      <w:pPr>
        <w:pStyle w:val="Bullet1"/>
      </w:pPr>
      <w:r w:rsidRPr="489C9A66">
        <w:rPr>
          <w:lang w:val="en-US"/>
        </w:rPr>
        <w:t>quality education and support for our students by providing permanent teachers and support staff in our classrooms</w:t>
      </w:r>
      <w:r w:rsidR="00C601BC" w:rsidRPr="489C9A66">
        <w:rPr>
          <w:lang w:val="en-US"/>
        </w:rPr>
        <w:t xml:space="preserve">, ultimately </w:t>
      </w:r>
      <w:r w:rsidR="005B7841" w:rsidRPr="489C9A66">
        <w:rPr>
          <w:lang w:val="en-US"/>
        </w:rPr>
        <w:t>benefitting students and educational outcomes</w:t>
      </w:r>
    </w:p>
    <w:p w14:paraId="53DCED50" w14:textId="278E6170" w:rsidR="00663FAD" w:rsidRDefault="00663FAD" w:rsidP="007E14D4">
      <w:pPr>
        <w:pStyle w:val="Bullet1"/>
      </w:pPr>
      <w:r>
        <w:t xml:space="preserve">improved patient care </w:t>
      </w:r>
      <w:r w:rsidR="0060667F">
        <w:t>through the roll out of</w:t>
      </w:r>
      <w:r>
        <w:t xml:space="preserve"> minimum staffing levels in hospitals, particularly in emergency </w:t>
      </w:r>
      <w:r w:rsidR="007A1374">
        <w:t xml:space="preserve">departments </w:t>
      </w:r>
      <w:r w:rsidR="00B66296">
        <w:t>and critical care units</w:t>
      </w:r>
    </w:p>
    <w:p w14:paraId="563F4870" w14:textId="6D863183" w:rsidR="00002FDD" w:rsidRDefault="00CC50A3" w:rsidP="007E14D4">
      <w:pPr>
        <w:pStyle w:val="Bullet1"/>
        <w:rPr>
          <w:lang w:val="en-US"/>
        </w:rPr>
      </w:pPr>
      <w:r w:rsidRPr="1BC3ABD5">
        <w:rPr>
          <w:lang w:val="en-US"/>
        </w:rPr>
        <w:t>timely emergency response by accredited paramedics receiving professional rates of pay</w:t>
      </w:r>
      <w:r w:rsidR="007172B8">
        <w:rPr>
          <w:lang w:val="en-US"/>
        </w:rPr>
        <w:t>.</w:t>
      </w:r>
    </w:p>
    <w:p w14:paraId="242E7220" w14:textId="77777777" w:rsidR="00865E18" w:rsidRDefault="00865E18" w:rsidP="00754C8F">
      <w:pPr>
        <w:pStyle w:val="Bullet1"/>
        <w:numPr>
          <w:ilvl w:val="0"/>
          <w:numId w:val="0"/>
        </w:numPr>
        <w:ind w:left="284"/>
        <w:rPr>
          <w:lang w:val="en-US"/>
        </w:rPr>
      </w:pPr>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9638"/>
      </w:tblGrid>
      <w:tr w:rsidR="006435A8" w14:paraId="3AD29670" w14:textId="77777777" w:rsidTr="009435FA">
        <w:tc>
          <w:tcPr>
            <w:tcW w:w="9638" w:type="dxa"/>
            <w:shd w:val="pct5" w:color="auto" w:fill="auto"/>
          </w:tcPr>
          <w:p w14:paraId="568B2044" w14:textId="11FB824F" w:rsidR="006435A8" w:rsidRDefault="00D16979" w:rsidP="00FA5661">
            <w:pPr>
              <w:pStyle w:val="Box3XBoxHeading"/>
              <w:ind w:left="1171" w:hanging="1171"/>
            </w:pPr>
            <w:r>
              <w:lastRenderedPageBreak/>
              <w:t>The benefits of the Government</w:t>
            </w:r>
            <w:r w:rsidR="00FA5661">
              <w:t>’</w:t>
            </w:r>
            <w:r>
              <w:t xml:space="preserve">s </w:t>
            </w:r>
            <w:r w:rsidR="00B23E88">
              <w:t xml:space="preserve">investment in essential workers with the </w:t>
            </w:r>
            <w:r w:rsidR="00D502E1" w:rsidRPr="009279EC">
              <w:rPr>
                <w:i/>
                <w:iCs/>
              </w:rPr>
              <w:t>Fair Pay and Bargaining P</w:t>
            </w:r>
            <w:r w:rsidR="006D6C63" w:rsidRPr="009279EC">
              <w:rPr>
                <w:i/>
                <w:iCs/>
              </w:rPr>
              <w:t>olicy</w:t>
            </w:r>
            <w:r w:rsidR="006D6C63" w:rsidDel="00B23E88">
              <w:t xml:space="preserve"> </w:t>
            </w:r>
          </w:p>
          <w:p w14:paraId="1D6C049C" w14:textId="77777777" w:rsidR="00903AFD" w:rsidRDefault="00903AFD" w:rsidP="006E1A42">
            <w:pPr>
              <w:pStyle w:val="BodyText"/>
            </w:pPr>
            <w:r w:rsidRPr="553DFAC7">
              <w:t xml:space="preserve">The Government’s </w:t>
            </w:r>
            <w:r w:rsidRPr="553DFAC7">
              <w:rPr>
                <w:i/>
              </w:rPr>
              <w:t>Fair Pay and Bargaining Policy</w:t>
            </w:r>
            <w:r w:rsidRPr="553DFAC7">
              <w:t xml:space="preserve"> and investments in essential workers has delivered benefits, including: </w:t>
            </w:r>
          </w:p>
          <w:p w14:paraId="53F98A2B" w14:textId="5C86447C" w:rsidR="00903AFD" w:rsidRDefault="00903AFD" w:rsidP="00262998">
            <w:pPr>
              <w:pStyle w:val="Bullet1"/>
            </w:pPr>
            <w:r>
              <w:t>rebuilding the teaching workforce</w:t>
            </w:r>
            <w:r w:rsidR="005F0832">
              <w:t xml:space="preserve"> </w:t>
            </w:r>
            <w:r w:rsidR="004D0AB6">
              <w:t xml:space="preserve">and </w:t>
            </w:r>
            <w:r w:rsidR="007B3204">
              <w:t>reducing administr</w:t>
            </w:r>
            <w:r w:rsidR="007274B0">
              <w:t>ative burden</w:t>
            </w:r>
            <w:r w:rsidR="00AE56B8">
              <w:t>:</w:t>
            </w:r>
            <w:r w:rsidR="002041EB">
              <w:t xml:space="preserve"> </w:t>
            </w:r>
            <w:r>
              <w:t>with public school teacher vacancies falling to a four-year low at the start of the 2025 school year</w:t>
            </w:r>
            <w:r w:rsidR="00D1041D">
              <w:t>, teacher resignations</w:t>
            </w:r>
            <w:r w:rsidR="001A1713">
              <w:t xml:space="preserve"> falling for the first time in 13 years and the number of merged</w:t>
            </w:r>
            <w:r w:rsidR="00AA67D8">
              <w:t xml:space="preserve"> and cancelled classes halved</w:t>
            </w:r>
          </w:p>
          <w:p w14:paraId="273687FD" w14:textId="488BBF96" w:rsidR="00903AFD" w:rsidRDefault="00903AFD" w:rsidP="00262998">
            <w:pPr>
              <w:pStyle w:val="Bullet1"/>
            </w:pPr>
            <w:r>
              <w:t>enhancing job security for TAFE teachers</w:t>
            </w:r>
            <w:r w:rsidR="00AE56B8">
              <w:t>:</w:t>
            </w:r>
            <w:r>
              <w:t xml:space="preserve"> with more than </w:t>
            </w:r>
            <w:r w:rsidR="00A044D4">
              <w:t>3</w:t>
            </w:r>
            <w:r w:rsidR="002B2040">
              <w:t>,0</w:t>
            </w:r>
            <w:r>
              <w:t>00 casual TAFE teachers and delivery support staff made permanent</w:t>
            </w:r>
          </w:p>
          <w:p w14:paraId="720BABC1" w14:textId="3441CB30" w:rsidR="00903AFD" w:rsidRDefault="00903AFD" w:rsidP="00262998">
            <w:pPr>
              <w:pStyle w:val="Bullet1"/>
            </w:pPr>
            <w:r>
              <w:t>bolstering the police’s frontline capabilities</w:t>
            </w:r>
            <w:r w:rsidR="00AE56B8">
              <w:t>:</w:t>
            </w:r>
            <w:r>
              <w:t xml:space="preserve"> with </w:t>
            </w:r>
            <w:r w:rsidR="002D49D6">
              <w:t xml:space="preserve">applications to join the NSW Police Force increasing by over 70 per cent over the last two years and </w:t>
            </w:r>
            <w:r>
              <w:t>the largest class of NSW Police Force recruits in 11 years attesting at the Police Academy in May 2025</w:t>
            </w:r>
          </w:p>
          <w:p w14:paraId="2F020439" w14:textId="0AE06994" w:rsidR="001F4061" w:rsidRPr="00A02D8B" w:rsidRDefault="00903AFD" w:rsidP="00262998">
            <w:pPr>
              <w:pStyle w:val="Bullet1"/>
            </w:pPr>
            <w:r w:rsidRPr="477D0D72">
              <w:t>securing essential workers in regional areas through initiatives such as</w:t>
            </w:r>
            <w:r w:rsidR="00230F1C">
              <w:t>:</w:t>
            </w:r>
            <w:r w:rsidRPr="477D0D72">
              <w:t xml:space="preserve"> </w:t>
            </w:r>
          </w:p>
          <w:p w14:paraId="26635BAC" w14:textId="77777777" w:rsidR="001F4061" w:rsidRPr="00A02D8B" w:rsidRDefault="00903AFD" w:rsidP="007E14D4">
            <w:pPr>
              <w:pStyle w:val="Bullet2"/>
            </w:pPr>
            <w:r w:rsidRPr="477D0D72">
              <w:t xml:space="preserve">the key worker housing program that provides workers with stable and affordable housing, </w:t>
            </w:r>
            <w:r w:rsidR="00883618" w:rsidRPr="477D0D72">
              <w:t xml:space="preserve">and </w:t>
            </w:r>
          </w:p>
          <w:p w14:paraId="41805DD1" w14:textId="25FE3DDD" w:rsidR="001F4061" w:rsidRPr="00A02D8B" w:rsidRDefault="00903AFD" w:rsidP="007E14D4">
            <w:pPr>
              <w:pStyle w:val="Bullet2"/>
            </w:pPr>
            <w:r w:rsidRPr="477D0D72">
              <w:t xml:space="preserve">various allowances and incentive schemes to support regional workers, including the Regional Skills Relocation Grant, Rural Health Workforce Incentive Scheme and </w:t>
            </w:r>
            <w:r w:rsidR="008E42EB">
              <w:t>r</w:t>
            </w:r>
            <w:r w:rsidRPr="477D0D72">
              <w:t xml:space="preserve">emote </w:t>
            </w:r>
            <w:r w:rsidR="008E42EB">
              <w:t>a</w:t>
            </w:r>
            <w:r w:rsidRPr="477D0D72">
              <w:t xml:space="preserve">rea </w:t>
            </w:r>
            <w:r w:rsidR="008E42EB">
              <w:t>l</w:t>
            </w:r>
            <w:r w:rsidRPr="477D0D72">
              <w:t xml:space="preserve">iving </w:t>
            </w:r>
            <w:r w:rsidR="008E42EB">
              <w:t>a</w:t>
            </w:r>
            <w:r w:rsidRPr="477D0D72">
              <w:t>llowance</w:t>
            </w:r>
            <w:r w:rsidR="008E42EB">
              <w:t>s</w:t>
            </w:r>
            <w:r w:rsidRPr="477D0D72">
              <w:t xml:space="preserve">. </w:t>
            </w:r>
          </w:p>
          <w:p w14:paraId="1CB0845D" w14:textId="6B4EB21F" w:rsidR="006435A8" w:rsidRDefault="00903AFD" w:rsidP="007E14D4">
            <w:pPr>
              <w:pStyle w:val="BodyText"/>
            </w:pPr>
            <w:r w:rsidRPr="1BC3ABD5">
              <w:rPr>
                <w:lang w:val="en-US"/>
              </w:rPr>
              <w:t>These programs help attract and retain talent</w:t>
            </w:r>
            <w:r w:rsidR="00D11646">
              <w:rPr>
                <w:lang w:val="en-US"/>
              </w:rPr>
              <w:t>, particularly</w:t>
            </w:r>
            <w:r w:rsidRPr="1BC3ABD5">
              <w:rPr>
                <w:lang w:val="en-US"/>
              </w:rPr>
              <w:t xml:space="preserve"> to regional areas</w:t>
            </w:r>
            <w:r w:rsidR="00D11646">
              <w:rPr>
                <w:lang w:val="en-US"/>
              </w:rPr>
              <w:t>,</w:t>
            </w:r>
            <w:r w:rsidRPr="1BC3ABD5">
              <w:rPr>
                <w:lang w:val="en-US"/>
              </w:rPr>
              <w:t xml:space="preserve"> in sectors like healthcare, education and emergency services.</w:t>
            </w:r>
          </w:p>
        </w:tc>
      </w:tr>
    </w:tbl>
    <w:p w14:paraId="0A76A5DE" w14:textId="77777777" w:rsidR="00380221" w:rsidRDefault="00380221" w:rsidP="00E35197"/>
    <w:p w14:paraId="1469BA7C" w14:textId="77777777" w:rsidR="00DF5D51" w:rsidRDefault="00DF5D51" w:rsidP="00441C2B">
      <w:pPr>
        <w:pStyle w:val="BodyText"/>
      </w:pPr>
      <w:r>
        <w:t>The Government has also introduced a range of reforms that enhance job security of community service workers in New South Wales by:</w:t>
      </w:r>
    </w:p>
    <w:p w14:paraId="626B6C41" w14:textId="155EA78E" w:rsidR="00C56E20" w:rsidRDefault="0068592F" w:rsidP="00262998">
      <w:pPr>
        <w:pStyle w:val="Bullet1"/>
      </w:pPr>
      <w:r w:rsidRPr="1BC3ABD5">
        <w:rPr>
          <w:lang w:val="en-US"/>
        </w:rPr>
        <w:t>p</w:t>
      </w:r>
      <w:r w:rsidR="00DF5D51" w:rsidRPr="1BC3ABD5">
        <w:rPr>
          <w:lang w:val="en-US"/>
        </w:rPr>
        <w:t xml:space="preserve">roviding greater funding certainty </w:t>
      </w:r>
      <w:r w:rsidR="005E2E94" w:rsidRPr="1BC3ABD5">
        <w:rPr>
          <w:lang w:val="en-US"/>
        </w:rPr>
        <w:t xml:space="preserve">and job security </w:t>
      </w:r>
      <w:r w:rsidR="00DF5D51" w:rsidRPr="1BC3ABD5">
        <w:rPr>
          <w:lang w:val="en-US"/>
        </w:rPr>
        <w:t>to community service organisations by offering longer-term arrangements up to five</w:t>
      </w:r>
      <w:r w:rsidR="00521411">
        <w:rPr>
          <w:lang w:val="en-US"/>
        </w:rPr>
        <w:t xml:space="preserve"> </w:t>
      </w:r>
      <w:r w:rsidR="00DF5D51" w:rsidRPr="1BC3ABD5">
        <w:rPr>
          <w:lang w:val="en-US"/>
        </w:rPr>
        <w:t>years</w:t>
      </w:r>
    </w:p>
    <w:p w14:paraId="5DDF1A5A" w14:textId="5F9ACB21" w:rsidR="00DA3E09" w:rsidRPr="00A4430D" w:rsidRDefault="0068592F" w:rsidP="00262998">
      <w:pPr>
        <w:pStyle w:val="Bullet1"/>
        <w:rPr>
          <w:rFonts w:ascii="Public Sans SemiBold" w:hAnsi="Public Sans SemiBold"/>
          <w:kern w:val="28"/>
          <w:sz w:val="26"/>
          <w:szCs w:val="26"/>
          <w:lang w:val="en-US"/>
        </w:rPr>
      </w:pPr>
      <w:r w:rsidRPr="631DF427">
        <w:rPr>
          <w:lang w:val="en-US"/>
        </w:rPr>
        <w:t>i</w:t>
      </w:r>
      <w:r w:rsidR="00DF5D51" w:rsidRPr="631DF427">
        <w:rPr>
          <w:lang w:val="en-US"/>
        </w:rPr>
        <w:t>ntroducing the Community Services Industry scheme, a new portable long service leave scheme allow</w:t>
      </w:r>
      <w:r w:rsidR="00840CF5" w:rsidRPr="631DF427">
        <w:rPr>
          <w:lang w:val="en-US"/>
        </w:rPr>
        <w:t xml:space="preserve">ing </w:t>
      </w:r>
      <w:r w:rsidR="00DF5D51" w:rsidRPr="631DF427">
        <w:rPr>
          <w:lang w:val="en-US"/>
        </w:rPr>
        <w:t xml:space="preserve">eligible workers to accrue long service leave after seven years of service regardless of the number of employers. </w:t>
      </w:r>
    </w:p>
    <w:p w14:paraId="086010B6" w14:textId="144FEFDF" w:rsidR="001860EA" w:rsidRPr="005E77BA" w:rsidRDefault="001860EA" w:rsidP="00CA521E">
      <w:pPr>
        <w:pStyle w:val="31Heading2"/>
        <w:rPr>
          <w:i/>
          <w:color w:val="000000" w:themeColor="text1"/>
          <w:kern w:val="28"/>
          <w:sz w:val="20"/>
        </w:rPr>
      </w:pPr>
      <w:r w:rsidRPr="00393F14">
        <w:t>Deliver</w:t>
      </w:r>
      <w:r>
        <w:t>ing</w:t>
      </w:r>
      <w:r w:rsidRPr="00393F14">
        <w:t xml:space="preserve"> on </w:t>
      </w:r>
      <w:r>
        <w:t>our</w:t>
      </w:r>
      <w:r w:rsidRPr="00393F14">
        <w:t xml:space="preserve"> priorities</w:t>
      </w:r>
    </w:p>
    <w:p w14:paraId="5702A1B0" w14:textId="2E86F1A9" w:rsidR="001860EA" w:rsidRDefault="003C103A" w:rsidP="001860EA">
      <w:pPr>
        <w:pStyle w:val="BodyText"/>
        <w:rPr>
          <w:lang w:val="en-US"/>
        </w:rPr>
      </w:pPr>
      <w:r>
        <w:rPr>
          <w:lang w:val="en-US"/>
        </w:rPr>
        <w:t xml:space="preserve">The Government is continuing to deliver on its </w:t>
      </w:r>
      <w:r w:rsidR="00776199">
        <w:rPr>
          <w:lang w:val="en-US"/>
        </w:rPr>
        <w:t>priorities, including housing, essential services</w:t>
      </w:r>
      <w:r w:rsidR="001A2E2A">
        <w:rPr>
          <w:lang w:val="en-US"/>
        </w:rPr>
        <w:t xml:space="preserve"> and infrastructure </w:t>
      </w:r>
      <w:r w:rsidR="00776199">
        <w:rPr>
          <w:lang w:val="en-US"/>
        </w:rPr>
        <w:t xml:space="preserve">and cost-of-living support. The </w:t>
      </w:r>
      <w:r w:rsidR="007B0FAF">
        <w:rPr>
          <w:lang w:val="en-US"/>
        </w:rPr>
        <w:t>investment</w:t>
      </w:r>
      <w:r w:rsidR="00776199">
        <w:rPr>
          <w:lang w:val="en-US"/>
        </w:rPr>
        <w:t xml:space="preserve"> in this Budge</w:t>
      </w:r>
      <w:r w:rsidR="00955A1B">
        <w:rPr>
          <w:lang w:val="en-US"/>
        </w:rPr>
        <w:t>t</w:t>
      </w:r>
      <w:r w:rsidR="00776199">
        <w:rPr>
          <w:lang w:val="en-US"/>
        </w:rPr>
        <w:t xml:space="preserve"> builds on the support provided </w:t>
      </w:r>
      <w:r w:rsidR="00C57E3F">
        <w:rPr>
          <w:lang w:val="en-US"/>
        </w:rPr>
        <w:t>over the last two</w:t>
      </w:r>
      <w:r w:rsidR="007B0FAF">
        <w:rPr>
          <w:lang w:val="en-US"/>
        </w:rPr>
        <w:t xml:space="preserve"> years</w:t>
      </w:r>
      <w:r w:rsidR="00B23E88">
        <w:rPr>
          <w:lang w:val="en-US"/>
        </w:rPr>
        <w:t xml:space="preserve"> and looks to the future economic prosperity of the State</w:t>
      </w:r>
      <w:r w:rsidR="001860EA">
        <w:rPr>
          <w:lang w:val="en-US"/>
        </w:rPr>
        <w:t>.</w:t>
      </w:r>
    </w:p>
    <w:p w14:paraId="5291F971" w14:textId="7AF31C0E" w:rsidR="00A11214" w:rsidRDefault="00A11214" w:rsidP="00A11214">
      <w:pPr>
        <w:pStyle w:val="Heading3"/>
      </w:pPr>
      <w:r>
        <w:t xml:space="preserve">Jobs </w:t>
      </w:r>
      <w:r w:rsidR="00043F98">
        <w:t>and industry</w:t>
      </w:r>
    </w:p>
    <w:p w14:paraId="2F6552BD" w14:textId="0DFC5595" w:rsidR="00E34D38" w:rsidRPr="00E34D38" w:rsidRDefault="00E34D38" w:rsidP="000815B6">
      <w:pPr>
        <w:pStyle w:val="BodyText"/>
      </w:pPr>
      <w:r w:rsidRPr="0D464620">
        <w:rPr>
          <w:lang w:val="en-US"/>
        </w:rPr>
        <w:t>T</w:t>
      </w:r>
      <w:r w:rsidR="007342B2" w:rsidRPr="0D464620">
        <w:rPr>
          <w:lang w:val="en-US"/>
        </w:rPr>
        <w:t xml:space="preserve">he Budget </w:t>
      </w:r>
      <w:r w:rsidR="001D7BDD" w:rsidRPr="0D464620">
        <w:rPr>
          <w:lang w:val="en-US"/>
        </w:rPr>
        <w:t>provides</w:t>
      </w:r>
      <w:r w:rsidR="007342B2" w:rsidRPr="0D464620">
        <w:rPr>
          <w:lang w:val="en-US"/>
        </w:rPr>
        <w:t xml:space="preserve"> support to </w:t>
      </w:r>
      <w:r w:rsidR="009469A0" w:rsidRPr="0D464620">
        <w:rPr>
          <w:lang w:val="en-US"/>
        </w:rPr>
        <w:t xml:space="preserve">ensure New South Wales can attract </w:t>
      </w:r>
      <w:r w:rsidR="00C229F4" w:rsidRPr="0D464620">
        <w:rPr>
          <w:lang w:val="en-US"/>
        </w:rPr>
        <w:t xml:space="preserve">investment and take advantage of </w:t>
      </w:r>
      <w:r w:rsidR="00E41A35">
        <w:rPr>
          <w:lang w:val="en-US"/>
        </w:rPr>
        <w:t xml:space="preserve">the </w:t>
      </w:r>
      <w:r w:rsidR="00C229F4" w:rsidRPr="0D464620">
        <w:rPr>
          <w:lang w:val="en-US"/>
        </w:rPr>
        <w:t xml:space="preserve">technology </w:t>
      </w:r>
      <w:r w:rsidR="00E41A35">
        <w:rPr>
          <w:lang w:val="en-US"/>
        </w:rPr>
        <w:t xml:space="preserve">needed </w:t>
      </w:r>
      <w:r w:rsidR="00E059CD" w:rsidRPr="0D464620">
        <w:rPr>
          <w:lang w:val="en-US"/>
        </w:rPr>
        <w:t>to help our businesses grow</w:t>
      </w:r>
      <w:r w:rsidR="001D7BDD">
        <w:rPr>
          <w:lang w:val="en-US"/>
        </w:rPr>
        <w:t>, including:</w:t>
      </w:r>
    </w:p>
    <w:p w14:paraId="0C4006BB" w14:textId="1EF1FB00" w:rsidR="00E0006A" w:rsidRDefault="00E0006A" w:rsidP="001D7BDD">
      <w:pPr>
        <w:pStyle w:val="Bullet1"/>
      </w:pPr>
      <w:r w:rsidRPr="001D7BDD">
        <w:t>creati</w:t>
      </w:r>
      <w:r w:rsidR="001D7BDD" w:rsidRPr="001D7BDD">
        <w:t>on of</w:t>
      </w:r>
      <w:r w:rsidRPr="4D226BF6">
        <w:t xml:space="preserve"> a new Investment Delivery Authority to fast-track proposals valued over $1.0</w:t>
      </w:r>
      <w:r w:rsidR="001D7BDD">
        <w:t> </w:t>
      </w:r>
      <w:r w:rsidRPr="4D226BF6">
        <w:t>billion through the planning system</w:t>
      </w:r>
    </w:p>
    <w:p w14:paraId="3944F9EF" w14:textId="7BB2E7E5" w:rsidR="0083290F" w:rsidRDefault="0083290F" w:rsidP="0083290F">
      <w:pPr>
        <w:pStyle w:val="Bullet1"/>
      </w:pPr>
      <w:r>
        <w:t>$5</w:t>
      </w:r>
      <w:r w:rsidR="14A0D43C">
        <w:t>12</w:t>
      </w:r>
      <w:r>
        <w:t>.</w:t>
      </w:r>
      <w:r w:rsidR="7B436D2A">
        <w:t>3</w:t>
      </w:r>
      <w:r>
        <w:t xml:space="preserve"> million to grow the creative economy and restore Sydney as a vibrant world-class city, including:</w:t>
      </w:r>
    </w:p>
    <w:p w14:paraId="2635212A" w14:textId="09F1A2B6" w:rsidR="0083290F" w:rsidRDefault="0083290F" w:rsidP="0083290F">
      <w:pPr>
        <w:pStyle w:val="Bullet2"/>
      </w:pPr>
      <w:r>
        <w:t>the $</w:t>
      </w:r>
      <w:r w:rsidR="00086FB0">
        <w:t>3</w:t>
      </w:r>
      <w:r>
        <w:t>80.6 million package to support the NSW screen and digital games sector, to grow more local jobs and secure the future of the industry</w:t>
      </w:r>
      <w:r w:rsidR="00257953">
        <w:t xml:space="preserve"> </w:t>
      </w:r>
      <w:r w:rsidR="00257953" w:rsidRPr="00257953">
        <w:rPr>
          <w:lang w:val="en-US"/>
        </w:rPr>
        <w:t xml:space="preserve">to strengthen the </w:t>
      </w:r>
      <w:r w:rsidR="000E4C63">
        <w:rPr>
          <w:lang w:val="en-US"/>
        </w:rPr>
        <w:t>NSW</w:t>
      </w:r>
      <w:r w:rsidR="00257953" w:rsidRPr="00257953">
        <w:rPr>
          <w:lang w:val="en-US"/>
        </w:rPr>
        <w:t xml:space="preserve"> music industry</w:t>
      </w:r>
    </w:p>
    <w:p w14:paraId="72EBF441" w14:textId="33292F67" w:rsidR="00C34ABC" w:rsidRDefault="0083290F" w:rsidP="00C34ABC">
      <w:pPr>
        <w:pStyle w:val="Bullet2"/>
      </w:pPr>
      <w:r w:rsidRPr="01EEE62D">
        <w:rPr>
          <w:lang w:val="en-US"/>
        </w:rPr>
        <w:lastRenderedPageBreak/>
        <w:t>$20.6 million for the Office of the 24-Hour Economy Commissioner to support the night</w:t>
      </w:r>
      <w:r>
        <w:noBreakHyphen/>
      </w:r>
      <w:r w:rsidRPr="01EEE62D">
        <w:rPr>
          <w:lang w:val="en-US"/>
        </w:rPr>
        <w:t>time economy and local councils through regulatory reform, precinct-based initiatives and other support</w:t>
      </w:r>
    </w:p>
    <w:p w14:paraId="7E70A1D2" w14:textId="3D23E5C4" w:rsidR="0083290F" w:rsidRDefault="0083290F" w:rsidP="00C34ABC">
      <w:pPr>
        <w:pStyle w:val="Bullet2"/>
      </w:pPr>
      <w:r>
        <w:t xml:space="preserve">$20 million for Sound NSW to </w:t>
      </w:r>
      <w:r w:rsidR="00333AE5">
        <w:t xml:space="preserve">implement </w:t>
      </w:r>
      <w:r w:rsidR="00333AE5" w:rsidRPr="00C34ABC">
        <w:rPr>
          <w:lang w:val="en-US"/>
        </w:rPr>
        <w:t>the NSW Contemporary Music Strategy</w:t>
      </w:r>
    </w:p>
    <w:p w14:paraId="7A5E579A" w14:textId="75054833" w:rsidR="006C3325" w:rsidRPr="00D06551" w:rsidRDefault="006C3325" w:rsidP="006C3325">
      <w:pPr>
        <w:pStyle w:val="Bullet1"/>
      </w:pPr>
      <w:r>
        <w:t>$100</w:t>
      </w:r>
      <w:r w:rsidR="00231878">
        <w:t xml:space="preserve"> million</w:t>
      </w:r>
      <w:r>
        <w:t xml:space="preserve"> to </w:t>
      </w:r>
      <w:r w:rsidR="00045113" w:rsidRPr="00045113">
        <w:rPr>
          <w:lang w:val="en-US"/>
        </w:rPr>
        <w:t>sustain critical biosecurity functions</w:t>
      </w:r>
      <w:r w:rsidR="00045113">
        <w:t xml:space="preserve"> </w:t>
      </w:r>
    </w:p>
    <w:p w14:paraId="63C26547" w14:textId="5EC9AF7E" w:rsidR="00E0006A" w:rsidRDefault="00E0006A" w:rsidP="001D7BDD">
      <w:pPr>
        <w:pStyle w:val="Bullet1"/>
      </w:pPr>
      <w:r w:rsidRPr="1BC3ABD5">
        <w:rPr>
          <w:lang w:val="en-US"/>
        </w:rPr>
        <w:t>$79.2 million Innovation Blueprint package to cement New South Wales as the best place to innovate, including $20 million for the Emerging Technology Commercialisation Fund to help businesses commercialise research into marketable products and services</w:t>
      </w:r>
    </w:p>
    <w:p w14:paraId="55337621" w14:textId="15FBCA14" w:rsidR="00D06551" w:rsidRDefault="00D06551" w:rsidP="0D464620">
      <w:pPr>
        <w:pStyle w:val="Bullet1"/>
      </w:pPr>
      <w:r w:rsidRPr="01EEE62D">
        <w:rPr>
          <w:lang w:val="en-US"/>
        </w:rPr>
        <w:t>$59.6 million of upgrades to regional research facilities to support regional economic growth</w:t>
      </w:r>
    </w:p>
    <w:p w14:paraId="32646765" w14:textId="333164A8" w:rsidR="00D06551" w:rsidRPr="00D06551" w:rsidRDefault="00D06551" w:rsidP="0D464620">
      <w:pPr>
        <w:pStyle w:val="Bullet1"/>
      </w:pPr>
      <w:r>
        <w:t xml:space="preserve">$41.2 million </w:t>
      </w:r>
      <w:r w:rsidR="001258A3">
        <w:t xml:space="preserve">to </w:t>
      </w:r>
      <w:r w:rsidRPr="00D06551">
        <w:rPr>
          <w:lang w:val="en-US"/>
        </w:rPr>
        <w:t>enhance and modernise primary industries research and development</w:t>
      </w:r>
    </w:p>
    <w:p w14:paraId="3EEDF6FD" w14:textId="77777777" w:rsidR="001F2E12" w:rsidRPr="001F2E12" w:rsidRDefault="00E0006A" w:rsidP="0D464620">
      <w:pPr>
        <w:pStyle w:val="Bullet1"/>
      </w:pPr>
      <w:r w:rsidRPr="1BC3ABD5">
        <w:rPr>
          <w:lang w:val="en-US"/>
        </w:rPr>
        <w:t>$38.5 million investment in Tech Central including the relocation of the Sydney Startup Hub and an enhanced collaboration hub</w:t>
      </w:r>
    </w:p>
    <w:p w14:paraId="33B44539" w14:textId="0237EBAD" w:rsidR="00E0006A" w:rsidRPr="00D16F73" w:rsidRDefault="001F2E12" w:rsidP="0D464620">
      <w:pPr>
        <w:pStyle w:val="Bullet1"/>
      </w:pPr>
      <w:r w:rsidRPr="1BC3ABD5">
        <w:rPr>
          <w:lang w:val="en-US"/>
        </w:rPr>
        <w:t>$27.3 million to establish a new Future Jobs and Investment Authority to coordinate new economic opportunities in coal-producing regions in the Hunter, Illawarra, Central West and North West</w:t>
      </w:r>
      <w:r w:rsidR="00E0006A" w:rsidRPr="1BC3ABD5">
        <w:rPr>
          <w:lang w:val="en-US"/>
        </w:rPr>
        <w:t>.</w:t>
      </w:r>
    </w:p>
    <w:p w14:paraId="6A49D7BA" w14:textId="77843050" w:rsidR="00E0006A" w:rsidRDefault="00AF0A99" w:rsidP="007E14D4">
      <w:pPr>
        <w:pStyle w:val="BodyText"/>
      </w:pPr>
      <w:r>
        <w:t xml:space="preserve">Refer to </w:t>
      </w:r>
      <w:r w:rsidR="00DC4CD6">
        <w:t>S</w:t>
      </w:r>
      <w:r>
        <w:t>ection 3.4 of this chapter for further information.</w:t>
      </w:r>
    </w:p>
    <w:p w14:paraId="55CA8A2D" w14:textId="1B8F8787" w:rsidR="001860EA" w:rsidRPr="00FA15BD" w:rsidRDefault="001860EA" w:rsidP="00AE0BA3">
      <w:pPr>
        <w:pStyle w:val="Heading3"/>
      </w:pPr>
      <w:r>
        <w:t xml:space="preserve">Housing </w:t>
      </w:r>
      <w:r w:rsidR="00E0006A">
        <w:t>and planning</w:t>
      </w:r>
    </w:p>
    <w:p w14:paraId="6D425466" w14:textId="1C8DB0EA" w:rsidR="004421B3" w:rsidRDefault="004421B3" w:rsidP="006F6718">
      <w:pPr>
        <w:pStyle w:val="BodyText"/>
      </w:pPr>
      <w:r w:rsidRPr="7C4F7F1D">
        <w:t xml:space="preserve">To address ongoing pressures faced by households in the </w:t>
      </w:r>
      <w:r w:rsidR="00C57E3F">
        <w:t>S</w:t>
      </w:r>
      <w:r w:rsidRPr="7C4F7F1D">
        <w:t xml:space="preserve">tate’s housing system, the </w:t>
      </w:r>
      <w:r w:rsidR="00AA4D26" w:rsidRPr="7C4F7F1D">
        <w:t>G</w:t>
      </w:r>
      <w:r w:rsidRPr="7C4F7F1D">
        <w:t xml:space="preserve">overnment </w:t>
      </w:r>
      <w:r w:rsidR="00AA4D26" w:rsidRPr="7C4F7F1D">
        <w:t xml:space="preserve">is </w:t>
      </w:r>
      <w:r w:rsidR="000079E1" w:rsidRPr="7C4F7F1D">
        <w:t>invest</w:t>
      </w:r>
      <w:r w:rsidR="00AA4D26" w:rsidRPr="7C4F7F1D">
        <w:t xml:space="preserve">ing </w:t>
      </w:r>
      <w:r w:rsidR="000079E1" w:rsidRPr="7C4F7F1D">
        <w:t xml:space="preserve">in </w:t>
      </w:r>
      <w:r w:rsidR="003D3C7C" w:rsidRPr="7C4F7F1D">
        <w:t>initiatives</w:t>
      </w:r>
      <w:r w:rsidR="000079E1" w:rsidRPr="7C4F7F1D">
        <w:t xml:space="preserve"> </w:t>
      </w:r>
      <w:r w:rsidR="00505574" w:rsidRPr="7C4F7F1D">
        <w:t xml:space="preserve">to </w:t>
      </w:r>
      <w:r w:rsidR="00AA4D26" w:rsidRPr="7C4F7F1D">
        <w:t>improve</w:t>
      </w:r>
      <w:r w:rsidR="00505574" w:rsidRPr="7C4F7F1D">
        <w:t xml:space="preserve"> access </w:t>
      </w:r>
      <w:r w:rsidR="00AA4D26" w:rsidRPr="7C4F7F1D">
        <w:t xml:space="preserve">to </w:t>
      </w:r>
      <w:r w:rsidR="00DA05AB" w:rsidRPr="7C4F7F1D">
        <w:t>quality housing.</w:t>
      </w:r>
    </w:p>
    <w:p w14:paraId="57621FBC" w14:textId="506F8AE7" w:rsidR="001860EA" w:rsidRDefault="003E64A9" w:rsidP="003F319D">
      <w:pPr>
        <w:pStyle w:val="BodyText"/>
      </w:pPr>
      <w:r w:rsidRPr="32E4C758">
        <w:rPr>
          <w:lang w:val="en-US"/>
        </w:rPr>
        <w:t xml:space="preserve">New </w:t>
      </w:r>
      <w:r w:rsidR="002E4D78" w:rsidRPr="32E4C758">
        <w:rPr>
          <w:lang w:val="en-US"/>
        </w:rPr>
        <w:t xml:space="preserve">support for </w:t>
      </w:r>
      <w:r w:rsidR="00836BA7" w:rsidRPr="32E4C758">
        <w:rPr>
          <w:lang w:val="en-US"/>
        </w:rPr>
        <w:t xml:space="preserve">the </w:t>
      </w:r>
      <w:r w:rsidRPr="32E4C758">
        <w:rPr>
          <w:lang w:val="en-US"/>
        </w:rPr>
        <w:t>h</w:t>
      </w:r>
      <w:r w:rsidR="001860EA" w:rsidRPr="32E4C758">
        <w:rPr>
          <w:lang w:val="en-US"/>
        </w:rPr>
        <w:t xml:space="preserve">ousing </w:t>
      </w:r>
      <w:r w:rsidR="00836BA7" w:rsidRPr="32E4C758">
        <w:rPr>
          <w:lang w:val="en-US"/>
        </w:rPr>
        <w:t xml:space="preserve">system and </w:t>
      </w:r>
      <w:r w:rsidR="00182DB9" w:rsidRPr="32E4C758">
        <w:rPr>
          <w:lang w:val="en-US"/>
        </w:rPr>
        <w:t xml:space="preserve">housing </w:t>
      </w:r>
      <w:r w:rsidR="001860EA" w:rsidRPr="32E4C758">
        <w:rPr>
          <w:lang w:val="en-US"/>
        </w:rPr>
        <w:t>project</w:t>
      </w:r>
      <w:r w:rsidR="00E6549C" w:rsidRPr="32E4C758">
        <w:rPr>
          <w:lang w:val="en-US"/>
        </w:rPr>
        <w:t>s includ</w:t>
      </w:r>
      <w:r w:rsidR="00836BA7" w:rsidRPr="32E4C758">
        <w:rPr>
          <w:lang w:val="en-US"/>
        </w:rPr>
        <w:t>e</w:t>
      </w:r>
      <w:r w:rsidR="00E6549C" w:rsidRPr="32E4C758">
        <w:rPr>
          <w:lang w:val="en-US"/>
        </w:rPr>
        <w:t>:</w:t>
      </w:r>
    </w:p>
    <w:p w14:paraId="0B4A13C0" w14:textId="36E61F21" w:rsidR="005744FB" w:rsidRPr="00F23EE5" w:rsidRDefault="00A1658F" w:rsidP="00262998">
      <w:pPr>
        <w:pStyle w:val="Bullet1"/>
      </w:pPr>
      <w:r w:rsidRPr="1BC3ABD5">
        <w:rPr>
          <w:lang w:val="en-US"/>
        </w:rPr>
        <w:t>Pre</w:t>
      </w:r>
      <w:r w:rsidR="00695839" w:rsidRPr="1BC3ABD5">
        <w:rPr>
          <w:lang w:val="en-US"/>
        </w:rPr>
        <w:t>-</w:t>
      </w:r>
      <w:r w:rsidR="00CA1ACE" w:rsidRPr="1BC3ABD5">
        <w:rPr>
          <w:lang w:val="en-US"/>
        </w:rPr>
        <w:t>S</w:t>
      </w:r>
      <w:r w:rsidRPr="1BC3ABD5">
        <w:rPr>
          <w:lang w:val="en-US"/>
        </w:rPr>
        <w:t xml:space="preserve">ale Finance </w:t>
      </w:r>
      <w:r w:rsidR="00DC58B8" w:rsidRPr="1BC3ABD5">
        <w:rPr>
          <w:lang w:val="en-US"/>
        </w:rPr>
        <w:t>Guar</w:t>
      </w:r>
      <w:r w:rsidR="00EF5459" w:rsidRPr="1BC3ABD5">
        <w:rPr>
          <w:lang w:val="en-US"/>
        </w:rPr>
        <w:t>a</w:t>
      </w:r>
      <w:r w:rsidR="00DC58B8" w:rsidRPr="1BC3ABD5">
        <w:rPr>
          <w:lang w:val="en-US"/>
        </w:rPr>
        <w:t>ntee</w:t>
      </w:r>
      <w:r w:rsidR="005744FB" w:rsidRPr="1BC3ABD5">
        <w:rPr>
          <w:lang w:val="en-US"/>
        </w:rPr>
        <w:t xml:space="preserve"> to support the accelerated commencement and early completion of </w:t>
      </w:r>
      <w:r w:rsidR="00A43BCA" w:rsidRPr="1BC3ABD5">
        <w:rPr>
          <w:lang w:val="en-US"/>
        </w:rPr>
        <w:t xml:space="preserve">up to $1 billion of </w:t>
      </w:r>
      <w:r w:rsidR="005744FB" w:rsidRPr="1BC3ABD5">
        <w:rPr>
          <w:lang w:val="en-US"/>
        </w:rPr>
        <w:t xml:space="preserve">residential development projects </w:t>
      </w:r>
      <w:r w:rsidR="03DDD953" w:rsidRPr="54AB4F88">
        <w:rPr>
          <w:lang w:val="en-US"/>
        </w:rPr>
        <w:t>at a time on a rolling basis</w:t>
      </w:r>
      <w:r w:rsidR="005744FB" w:rsidRPr="1BC3ABD5">
        <w:rPr>
          <w:lang w:val="en-US"/>
        </w:rPr>
        <w:t xml:space="preserve"> during the National Housing Accord period</w:t>
      </w:r>
    </w:p>
    <w:p w14:paraId="5E37C11E" w14:textId="19C30276" w:rsidR="005744FB" w:rsidRPr="00F23EE5" w:rsidRDefault="00502732" w:rsidP="00262998">
      <w:pPr>
        <w:pStyle w:val="Bullet1"/>
      </w:pPr>
      <w:r>
        <w:t>a</w:t>
      </w:r>
      <w:r w:rsidR="005744FB" w:rsidRPr="00A6366A">
        <w:t>llow</w:t>
      </w:r>
      <w:r>
        <w:t>ing</w:t>
      </w:r>
      <w:r w:rsidR="005744FB" w:rsidRPr="00F23EE5">
        <w:t xml:space="preserve"> </w:t>
      </w:r>
      <w:r w:rsidR="00FB70BF">
        <w:t>developers</w:t>
      </w:r>
      <w:r w:rsidR="00FB70BF" w:rsidRPr="00F23EE5">
        <w:t xml:space="preserve"> </w:t>
      </w:r>
      <w:r w:rsidR="005744FB" w:rsidRPr="00F23EE5">
        <w:t xml:space="preserve">to build infrastructure </w:t>
      </w:r>
      <w:r w:rsidR="00E52622">
        <w:t xml:space="preserve">instead of </w:t>
      </w:r>
      <w:r w:rsidR="005744FB" w:rsidRPr="00F23EE5">
        <w:t>paying the Housing and Productivity Contribution</w:t>
      </w:r>
      <w:r w:rsidR="008D1D39">
        <w:t xml:space="preserve"> where approved</w:t>
      </w:r>
      <w:r w:rsidR="005744FB" w:rsidRPr="00F23EE5">
        <w:t xml:space="preserve">, as part of a new works in kind </w:t>
      </w:r>
      <w:r w:rsidR="00972E1E">
        <w:t xml:space="preserve">(WIK) </w:t>
      </w:r>
      <w:r w:rsidR="005744FB" w:rsidRPr="00F23EE5">
        <w:t>framework</w:t>
      </w:r>
    </w:p>
    <w:p w14:paraId="05B546E1" w14:textId="0CD3776C" w:rsidR="00A82E10" w:rsidRDefault="003A1455" w:rsidP="00262998">
      <w:pPr>
        <w:pStyle w:val="Bullet1"/>
      </w:pPr>
      <w:r w:rsidRPr="1BC3ABD5">
        <w:rPr>
          <w:lang w:val="en-US"/>
        </w:rPr>
        <w:t>a</w:t>
      </w:r>
      <w:r w:rsidR="003063FE" w:rsidRPr="1BC3ABD5">
        <w:rPr>
          <w:lang w:val="en-US"/>
        </w:rPr>
        <w:t xml:space="preserve"> </w:t>
      </w:r>
      <w:r w:rsidR="00604A70" w:rsidRPr="1BC3ABD5">
        <w:rPr>
          <w:lang w:val="en-US"/>
        </w:rPr>
        <w:t>p</w:t>
      </w:r>
      <w:r w:rsidR="005744FB" w:rsidRPr="1BC3ABD5">
        <w:rPr>
          <w:lang w:val="en-US"/>
        </w:rPr>
        <w:t xml:space="preserve">ermanent land tax </w:t>
      </w:r>
      <w:r w:rsidR="00A43BCA" w:rsidRPr="1BC3ABD5">
        <w:rPr>
          <w:lang w:val="en-US"/>
        </w:rPr>
        <w:t xml:space="preserve">concession </w:t>
      </w:r>
      <w:r w:rsidR="003063FE" w:rsidRPr="1BC3ABD5">
        <w:rPr>
          <w:lang w:val="en-US"/>
        </w:rPr>
        <w:t xml:space="preserve">of a 50 per cent reduction in assessed land value </w:t>
      </w:r>
      <w:r w:rsidR="005744FB" w:rsidRPr="1BC3ABD5">
        <w:rPr>
          <w:lang w:val="en-US"/>
        </w:rPr>
        <w:t xml:space="preserve">for </w:t>
      </w:r>
      <w:r w:rsidR="001B4EC0">
        <w:rPr>
          <w:lang w:val="en-US"/>
        </w:rPr>
        <w:t xml:space="preserve">new </w:t>
      </w:r>
      <w:r w:rsidR="005744FB" w:rsidRPr="1BC3ABD5">
        <w:rPr>
          <w:lang w:val="en-US"/>
        </w:rPr>
        <w:t>buil</w:t>
      </w:r>
      <w:r w:rsidR="00883618" w:rsidRPr="1BC3ABD5">
        <w:rPr>
          <w:lang w:val="en-US"/>
        </w:rPr>
        <w:t>d</w:t>
      </w:r>
      <w:r w:rsidR="003063FE">
        <w:noBreakHyphen/>
      </w:r>
      <w:r w:rsidR="005744FB" w:rsidRPr="1BC3ABD5">
        <w:rPr>
          <w:lang w:val="en-US"/>
        </w:rPr>
        <w:t>to</w:t>
      </w:r>
      <w:r w:rsidR="003063FE">
        <w:noBreakHyphen/>
      </w:r>
      <w:r w:rsidR="005744FB" w:rsidRPr="1BC3ABD5">
        <w:rPr>
          <w:lang w:val="en-US"/>
        </w:rPr>
        <w:t>rent developments (</w:t>
      </w:r>
      <w:r w:rsidR="00A43BCA" w:rsidRPr="1BC3ABD5">
        <w:rPr>
          <w:lang w:val="en-US"/>
        </w:rPr>
        <w:t xml:space="preserve">the </w:t>
      </w:r>
      <w:r w:rsidR="005744FB" w:rsidRPr="1BC3ABD5">
        <w:rPr>
          <w:lang w:val="en-US"/>
        </w:rPr>
        <w:t xml:space="preserve">temporary </w:t>
      </w:r>
      <w:r w:rsidR="00A43BCA" w:rsidRPr="1BC3ABD5">
        <w:rPr>
          <w:lang w:val="en-US"/>
        </w:rPr>
        <w:t xml:space="preserve">land tax concession was </w:t>
      </w:r>
      <w:r w:rsidR="005744FB" w:rsidRPr="1BC3ABD5">
        <w:rPr>
          <w:lang w:val="en-US"/>
        </w:rPr>
        <w:t>due to expire in December 2039</w:t>
      </w:r>
      <w:r w:rsidR="002223A0" w:rsidRPr="1BC3ABD5">
        <w:rPr>
          <w:lang w:val="en-US"/>
        </w:rPr>
        <w:t>)</w:t>
      </w:r>
      <w:r w:rsidR="00A43BCA" w:rsidRPr="1BC3ABD5">
        <w:rPr>
          <w:lang w:val="en-US"/>
        </w:rPr>
        <w:t xml:space="preserve">. Build-to-rent developers will also be able to apply for exemptions from </w:t>
      </w:r>
      <w:r w:rsidR="0096768D" w:rsidRPr="1BC3ABD5">
        <w:rPr>
          <w:lang w:val="en-US"/>
        </w:rPr>
        <w:t>f</w:t>
      </w:r>
      <w:r w:rsidR="00A43BCA" w:rsidRPr="1BC3ABD5">
        <w:rPr>
          <w:lang w:val="en-US"/>
        </w:rPr>
        <w:t xml:space="preserve">oreign </w:t>
      </w:r>
      <w:r w:rsidR="0096768D" w:rsidRPr="1BC3ABD5">
        <w:rPr>
          <w:lang w:val="en-US"/>
        </w:rPr>
        <w:t>purchaser duty</w:t>
      </w:r>
      <w:r w:rsidR="00EF5459" w:rsidRPr="1BC3ABD5">
        <w:rPr>
          <w:lang w:val="en-US"/>
        </w:rPr>
        <w:t xml:space="preserve"> and land tax surcharges (or a refund of surcharges paid)</w:t>
      </w:r>
    </w:p>
    <w:p w14:paraId="02D444B5" w14:textId="71B3F847" w:rsidR="00FB702A" w:rsidRDefault="00FB702A" w:rsidP="00262998">
      <w:pPr>
        <w:pStyle w:val="Bullet1"/>
      </w:pPr>
      <w:r>
        <w:t>$145.</w:t>
      </w:r>
      <w:r w:rsidR="00850639">
        <w:t>1</w:t>
      </w:r>
      <w:r>
        <w:t xml:space="preserve"> </w:t>
      </w:r>
      <w:r w:rsidRPr="00FB702A">
        <w:t>million</w:t>
      </w:r>
      <w:r>
        <w:t xml:space="preserve"> to support the ongoing work of the Building Commission NSW to reform the </w:t>
      </w:r>
      <w:r w:rsidR="006059BA">
        <w:t xml:space="preserve">residential </w:t>
      </w:r>
      <w:r>
        <w:t>building and construction industry and improve consumer outcomes</w:t>
      </w:r>
    </w:p>
    <w:p w14:paraId="414234FC" w14:textId="694230DF" w:rsidR="00975AB0" w:rsidRDefault="00FB702A" w:rsidP="00262998">
      <w:pPr>
        <w:pStyle w:val="Bullet1"/>
      </w:pPr>
      <w:r w:rsidRPr="00EC40D6">
        <w:t>$</w:t>
      </w:r>
      <w:r w:rsidR="00C94016" w:rsidRPr="00EC40D6">
        <w:t>83.4</w:t>
      </w:r>
      <w:r w:rsidRPr="00EC40D6">
        <w:t xml:space="preserve"> million</w:t>
      </w:r>
      <w:r>
        <w:t xml:space="preserve"> to </w:t>
      </w:r>
      <w:r w:rsidR="00C94016">
        <w:t>accelerate</w:t>
      </w:r>
      <w:r w:rsidR="0056795C">
        <w:t xml:space="preserve"> planning approvals</w:t>
      </w:r>
      <w:r w:rsidR="00456C90">
        <w:t>,</w:t>
      </w:r>
      <w:r w:rsidR="0056795C">
        <w:t xml:space="preserve"> including for</w:t>
      </w:r>
      <w:r w:rsidR="00E06AE3">
        <w:t xml:space="preserve"> large-scale market</w:t>
      </w:r>
      <w:r w:rsidR="00517368">
        <w:t>, social and</w:t>
      </w:r>
      <w:r>
        <w:t xml:space="preserve"> affordable housing</w:t>
      </w:r>
      <w:r w:rsidR="002223A0">
        <w:t>.</w:t>
      </w:r>
      <w:r>
        <w:t xml:space="preserve"> </w:t>
      </w:r>
      <w:r w:rsidR="00086D0E">
        <w:t xml:space="preserve">This includes </w:t>
      </w:r>
      <w:r w:rsidR="00086D0E" w:rsidRPr="4C80CBC5">
        <w:rPr>
          <w:lang w:val="en-US"/>
        </w:rPr>
        <w:t xml:space="preserve">$10.6 million additional resources for the </w:t>
      </w:r>
      <w:r w:rsidR="00760ECB">
        <w:rPr>
          <w:lang w:val="en-US"/>
        </w:rPr>
        <w:t xml:space="preserve">newly established </w:t>
      </w:r>
      <w:r w:rsidR="00086D0E" w:rsidRPr="4C80CBC5">
        <w:rPr>
          <w:lang w:val="en-US"/>
        </w:rPr>
        <w:t>Housing Delivery Authority</w:t>
      </w:r>
    </w:p>
    <w:p w14:paraId="27DADD81" w14:textId="5C5EAF53" w:rsidR="007F1560" w:rsidRDefault="007F1560" w:rsidP="00262998">
      <w:pPr>
        <w:pStyle w:val="Bullet1"/>
      </w:pPr>
      <w:r w:rsidRPr="0077465B">
        <w:t>$20.9 million to support regional councils to bring forward critical enabling infrastructure for new homes during the National Housing Accord period by funding interest on loans</w:t>
      </w:r>
    </w:p>
    <w:p w14:paraId="700E5B1C" w14:textId="5BDCF268" w:rsidR="00480D95" w:rsidRPr="00CA521E" w:rsidRDefault="00480D95" w:rsidP="00262998">
      <w:pPr>
        <w:pStyle w:val="Bullet1"/>
      </w:pPr>
      <w:r>
        <w:t xml:space="preserve">$20 million to ease pressure on the crisis accommodation system. This is in addition to the </w:t>
      </w:r>
      <w:r w:rsidRPr="00CA521E">
        <w:t>$527.6 million support package for homelessness services</w:t>
      </w:r>
      <w:r>
        <w:t xml:space="preserve"> announced in the 2024</w:t>
      </w:r>
      <w:r>
        <w:noBreakHyphen/>
        <w:t>25 Budget</w:t>
      </w:r>
    </w:p>
    <w:p w14:paraId="279491B2" w14:textId="5FD71450" w:rsidR="007C1ABE" w:rsidRPr="00CA521E" w:rsidRDefault="005B6814" w:rsidP="00262998">
      <w:pPr>
        <w:pStyle w:val="Bullet1"/>
      </w:pPr>
      <w:r w:rsidRPr="4C80CBC5">
        <w:t>$13.8 million to the Department of Education to accelerate the delivery of 4,800 construction trades workers to support our home building agenda</w:t>
      </w:r>
      <w:r w:rsidR="00611764">
        <w:t>.</w:t>
      </w:r>
    </w:p>
    <w:p w14:paraId="2E15FDC5" w14:textId="7BE3D638" w:rsidR="00C3050F" w:rsidRDefault="00C3050F">
      <w:pPr>
        <w:spacing w:before="360" w:after="120"/>
        <w:ind w:left="851" w:hanging="851"/>
        <w:rPr>
          <w:rFonts w:ascii="Public Sans SemiBold" w:hAnsi="Public Sans SemiBold"/>
          <w:b/>
          <w:bCs/>
          <w:color w:val="000000" w:themeColor="text1"/>
          <w:kern w:val="28"/>
          <w:sz w:val="26"/>
          <w:szCs w:val="28"/>
          <w:lang w:val="en-AU"/>
        </w:rPr>
      </w:pPr>
      <w:r>
        <w:rPr>
          <w:rFonts w:ascii="Public Sans SemiBold" w:hAnsi="Public Sans SemiBold"/>
          <w:b/>
          <w:bCs/>
          <w:iCs/>
          <w:kern w:val="28"/>
          <w:sz w:val="26"/>
          <w:szCs w:val="28"/>
        </w:rPr>
        <w:br w:type="page"/>
      </w:r>
    </w:p>
    <w:p w14:paraId="5797A4C9" w14:textId="406E2B03" w:rsidR="00410AB2" w:rsidRDefault="00410AB2" w:rsidP="00AE0BA3">
      <w:pPr>
        <w:pStyle w:val="Heading3"/>
      </w:pPr>
      <w:r>
        <w:lastRenderedPageBreak/>
        <w:t xml:space="preserve">Transport </w:t>
      </w:r>
      <w:r w:rsidR="0033094B">
        <w:t>and roads</w:t>
      </w:r>
    </w:p>
    <w:p w14:paraId="1718A9CC" w14:textId="54A995C9" w:rsidR="005F718B" w:rsidRDefault="0033094B" w:rsidP="00410AB2">
      <w:pPr>
        <w:pStyle w:val="BodyText"/>
      </w:pPr>
      <w:r>
        <w:t xml:space="preserve">The Government </w:t>
      </w:r>
      <w:r w:rsidR="008A3903">
        <w:t>i</w:t>
      </w:r>
      <w:r>
        <w:t>s invest</w:t>
      </w:r>
      <w:r w:rsidR="008A3903">
        <w:t>ing in a range of</w:t>
      </w:r>
      <w:r w:rsidR="005F718B">
        <w:t xml:space="preserve"> projects to </w:t>
      </w:r>
      <w:r w:rsidR="008D355B">
        <w:t xml:space="preserve">provide safe and accessible </w:t>
      </w:r>
      <w:r w:rsidR="005F718B">
        <w:t>transport</w:t>
      </w:r>
      <w:r w:rsidR="008D355B">
        <w:t xml:space="preserve">, </w:t>
      </w:r>
      <w:r w:rsidR="002F7CAA">
        <w:t>improve</w:t>
      </w:r>
      <w:r w:rsidR="00FC3474">
        <w:t xml:space="preserve"> road safety and upgrade roads across the State, </w:t>
      </w:r>
      <w:r w:rsidR="005F718B">
        <w:t>including:</w:t>
      </w:r>
    </w:p>
    <w:p w14:paraId="75897464" w14:textId="08E4113F" w:rsidR="00AF2B60" w:rsidRDefault="00AC51A8" w:rsidP="00262998">
      <w:pPr>
        <w:pStyle w:val="Bullet1"/>
      </w:pPr>
      <w:r w:rsidRPr="1BC3ABD5">
        <w:rPr>
          <w:lang w:val="en-US"/>
        </w:rPr>
        <w:t>$1.0 billion for the first stage of the Fifteenth Avenue Upgrade between Liverpool and the new airport</w:t>
      </w:r>
      <w:r w:rsidR="00AF2B60" w:rsidRPr="1BC3ABD5">
        <w:rPr>
          <w:lang w:val="en-US"/>
        </w:rPr>
        <w:t>, jointly funded by the NSW and Australian Governments</w:t>
      </w:r>
    </w:p>
    <w:p w14:paraId="0EBED1A9" w14:textId="4586B52F" w:rsidR="00725906" w:rsidRDefault="000878E7" w:rsidP="00262998">
      <w:pPr>
        <w:pStyle w:val="Bullet1"/>
      </w:pPr>
      <w:r w:rsidRPr="72EA24E8">
        <w:t>$5</w:t>
      </w:r>
      <w:r w:rsidR="003F463B" w:rsidRPr="72EA24E8">
        <w:t>0</w:t>
      </w:r>
      <w:r w:rsidRPr="72EA24E8">
        <w:t>0.0 million for Mona Vale Road West –</w:t>
      </w:r>
      <w:r w:rsidR="003F463B" w:rsidRPr="72EA24E8">
        <w:t xml:space="preserve"> </w:t>
      </w:r>
      <w:r w:rsidRPr="72EA24E8">
        <w:t>Upgrade</w:t>
      </w:r>
    </w:p>
    <w:p w14:paraId="3C91B2CF" w14:textId="7F781879" w:rsidR="0050316C" w:rsidRDefault="00A4016D" w:rsidP="00262998">
      <w:pPr>
        <w:pStyle w:val="Bullet1"/>
      </w:pPr>
      <w:r w:rsidRPr="1BC3ABD5">
        <w:rPr>
          <w:lang w:val="en-US"/>
        </w:rPr>
        <w:t>$</w:t>
      </w:r>
      <w:r w:rsidR="00A72244" w:rsidRPr="1BC3ABD5">
        <w:rPr>
          <w:lang w:val="en-US"/>
        </w:rPr>
        <w:t xml:space="preserve">369.9 </w:t>
      </w:r>
      <w:r w:rsidRPr="1BC3ABD5">
        <w:rPr>
          <w:lang w:val="en-US"/>
        </w:rPr>
        <w:t xml:space="preserve">million to maintain </w:t>
      </w:r>
      <w:r w:rsidR="00A72244" w:rsidRPr="1BC3ABD5">
        <w:rPr>
          <w:lang w:val="en-US"/>
        </w:rPr>
        <w:t>and</w:t>
      </w:r>
      <w:r w:rsidRPr="1BC3ABD5">
        <w:rPr>
          <w:lang w:val="en-US"/>
        </w:rPr>
        <w:t xml:space="preserve"> uplift bus services, including bus service improvements, improved connections to train and metro services and increased school services in priority areas </w:t>
      </w:r>
    </w:p>
    <w:p w14:paraId="561A5C68" w14:textId="22E5685D" w:rsidR="00F531CD" w:rsidRDefault="00F531CD" w:rsidP="00262998">
      <w:pPr>
        <w:pStyle w:val="Bullet1"/>
      </w:pPr>
      <w:r w:rsidRPr="1BC3ABD5">
        <w:rPr>
          <w:lang w:val="en-US"/>
        </w:rPr>
        <w:t xml:space="preserve">$115.0 million for Terrigal Drive Upgrade </w:t>
      </w:r>
    </w:p>
    <w:p w14:paraId="567A0995" w14:textId="67A41739" w:rsidR="00121A17" w:rsidRDefault="00121A17" w:rsidP="00262998">
      <w:pPr>
        <w:pStyle w:val="Bullet1"/>
      </w:pPr>
      <w:r w:rsidRPr="72EA24E8">
        <w:t>$</w:t>
      </w:r>
      <w:r w:rsidR="00695384" w:rsidRPr="72EA24E8">
        <w:t>2</w:t>
      </w:r>
      <w:r w:rsidRPr="72EA24E8">
        <w:t>00.0 million for Homebush Bay Drive</w:t>
      </w:r>
    </w:p>
    <w:p w14:paraId="54583842" w14:textId="1D1BCFA8" w:rsidR="00BA5448" w:rsidRDefault="00625EAF" w:rsidP="00262998">
      <w:pPr>
        <w:pStyle w:val="Bullet1"/>
      </w:pPr>
      <w:r w:rsidRPr="00D662F1">
        <w:t>$5</w:t>
      </w:r>
      <w:r>
        <w:t>6</w:t>
      </w:r>
      <w:r w:rsidRPr="00D662F1">
        <w:t>.</w:t>
      </w:r>
      <w:r>
        <w:t>3</w:t>
      </w:r>
      <w:r w:rsidRPr="00D662F1">
        <w:t xml:space="preserve"> million </w:t>
      </w:r>
      <w:r>
        <w:t>to deliver</w:t>
      </w:r>
      <w:r w:rsidRPr="00D662F1">
        <w:t xml:space="preserve"> 50 articulated diesel buses to address the bus shortages within the Sydney Metropolitan bus network</w:t>
      </w:r>
    </w:p>
    <w:p w14:paraId="39C4F285" w14:textId="710EDD1F" w:rsidR="00F41AF4" w:rsidRDefault="00F41AF4" w:rsidP="00262998">
      <w:pPr>
        <w:pStyle w:val="Bullet1"/>
      </w:pPr>
      <w:r w:rsidRPr="1BC3ABD5">
        <w:rPr>
          <w:lang w:val="en-US"/>
        </w:rPr>
        <w:t xml:space="preserve">$52.2 million for Peak Hill Road Upgrade, Tooraweenah Road Upgrade, Central Coast Roads Package, Coreen Avenue and Coombes Drive Upgrades, Kurrajong Road Intersection Upgrade at Beech Road and Lyn Parade, and Coreen Avenue and Lemongrove Road Signals </w:t>
      </w:r>
    </w:p>
    <w:p w14:paraId="13582E73" w14:textId="76A1E467" w:rsidR="00FD0B4A" w:rsidRDefault="00AE64E3" w:rsidP="00A6366A">
      <w:pPr>
        <w:pStyle w:val="Bullet1"/>
      </w:pPr>
      <w:r w:rsidRPr="00AE64E3">
        <w:t>$40.0 million for upgrades to Wentworth Park Light Rail stop</w:t>
      </w:r>
      <w:r w:rsidR="004E2272">
        <w:t xml:space="preserve"> to improve accessibility and amenity</w:t>
      </w:r>
      <w:r w:rsidR="006C17C5">
        <w:t>.</w:t>
      </w:r>
    </w:p>
    <w:p w14:paraId="44445712" w14:textId="59D23DA7" w:rsidR="005A713F" w:rsidRPr="000F54BB" w:rsidRDefault="00800791" w:rsidP="000501D5">
      <w:pPr>
        <w:pStyle w:val="Chart3X"/>
      </w:pPr>
      <w:r w:rsidRPr="000F54BB">
        <w:t>Western Sydney roads capital expenditure, 2019-20 to 2028-29</w:t>
      </w:r>
    </w:p>
    <w:p w14:paraId="1134C91C" w14:textId="1B4DD16C" w:rsidR="00271729" w:rsidRDefault="009E1E4F" w:rsidP="000815B6">
      <w:r>
        <w:rPr>
          <w:noProof/>
        </w:rPr>
        <w:drawing>
          <wp:inline distT="0" distB="0" distL="0" distR="0" wp14:anchorId="5506A18C" wp14:editId="79AAE6F0">
            <wp:extent cx="5907819" cy="2973788"/>
            <wp:effectExtent l="0" t="0" r="0" b="0"/>
            <wp:docPr id="1159624718" name="Chart 1" descr="Chart 3.1: Western Sydney roads capital expenditure, 2019-20 to 2028-29">
              <a:extLst xmlns:a="http://schemas.openxmlformats.org/drawingml/2006/main">
                <a:ext uri="{FF2B5EF4-FFF2-40B4-BE49-F238E27FC236}">
                  <a16:creationId xmlns:a16="http://schemas.microsoft.com/office/drawing/2014/main" id="{C1893222-658F-55A6-8C96-B375A47926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A5D9AC4" w14:textId="19172964" w:rsidR="0033094B" w:rsidRDefault="0033094B" w:rsidP="00AE0BA3">
      <w:pPr>
        <w:pStyle w:val="Heading3"/>
      </w:pPr>
      <w:r>
        <w:t>Education</w:t>
      </w:r>
      <w:r w:rsidR="00581BE6">
        <w:t xml:space="preserve"> and training</w:t>
      </w:r>
    </w:p>
    <w:p w14:paraId="7449272E" w14:textId="452CF577" w:rsidR="00ED35E4" w:rsidRDefault="0033094B" w:rsidP="00836E67">
      <w:pPr>
        <w:pStyle w:val="BodyText"/>
      </w:pPr>
      <w:r>
        <w:t xml:space="preserve">The 2025-26 Budget </w:t>
      </w:r>
      <w:r w:rsidR="00836E67">
        <w:t>includes a range of initiatives aimed at improving educational outcomes</w:t>
      </w:r>
      <w:r w:rsidR="00ED35E4">
        <w:t xml:space="preserve"> </w:t>
      </w:r>
      <w:r w:rsidR="00581BE6">
        <w:t xml:space="preserve">and enhancing training opportunities, </w:t>
      </w:r>
      <w:r w:rsidR="00ED35E4">
        <w:t>including:</w:t>
      </w:r>
    </w:p>
    <w:p w14:paraId="42F74565" w14:textId="3BC42A5F" w:rsidR="00043C17" w:rsidRDefault="00F01CE2" w:rsidP="00262998">
      <w:pPr>
        <w:pStyle w:val="Bullet1"/>
      </w:pPr>
      <w:r w:rsidRPr="1BC3ABD5">
        <w:rPr>
          <w:lang w:val="en-US"/>
        </w:rPr>
        <w:t>$</w:t>
      </w:r>
      <w:r w:rsidR="007B2EFC" w:rsidRPr="1BC3ABD5">
        <w:rPr>
          <w:lang w:val="en-US"/>
        </w:rPr>
        <w:t>3.0</w:t>
      </w:r>
      <w:r w:rsidRPr="1BC3ABD5">
        <w:rPr>
          <w:lang w:val="en-US"/>
        </w:rPr>
        <w:t xml:space="preserve"> billion </w:t>
      </w:r>
      <w:r w:rsidR="00DC6F9C" w:rsidRPr="1BC3ABD5">
        <w:rPr>
          <w:lang w:val="en-US"/>
        </w:rPr>
        <w:t>in 2025-26</w:t>
      </w:r>
      <w:r w:rsidRPr="1BC3ABD5">
        <w:rPr>
          <w:lang w:val="en-US"/>
        </w:rPr>
        <w:t xml:space="preserve"> to maintain, upgrade and build new public schools</w:t>
      </w:r>
      <w:r w:rsidR="007B2EFC" w:rsidRPr="1BC3ABD5">
        <w:rPr>
          <w:lang w:val="en-US"/>
        </w:rPr>
        <w:t>, public preschools and TAFEs</w:t>
      </w:r>
      <w:r w:rsidRPr="1BC3ABD5">
        <w:rPr>
          <w:lang w:val="en-US"/>
        </w:rPr>
        <w:t xml:space="preserve"> across N</w:t>
      </w:r>
      <w:r w:rsidR="00581BE6" w:rsidRPr="1BC3ABD5">
        <w:rPr>
          <w:lang w:val="en-US"/>
        </w:rPr>
        <w:t xml:space="preserve">ew </w:t>
      </w:r>
      <w:r w:rsidRPr="1BC3ABD5">
        <w:rPr>
          <w:lang w:val="en-US"/>
        </w:rPr>
        <w:t>S</w:t>
      </w:r>
      <w:r w:rsidR="00581BE6" w:rsidRPr="1BC3ABD5">
        <w:rPr>
          <w:lang w:val="en-US"/>
        </w:rPr>
        <w:t xml:space="preserve">outh </w:t>
      </w:r>
      <w:r w:rsidRPr="1BC3ABD5">
        <w:rPr>
          <w:lang w:val="en-US"/>
        </w:rPr>
        <w:t>W</w:t>
      </w:r>
      <w:r w:rsidR="00581BE6" w:rsidRPr="1BC3ABD5">
        <w:rPr>
          <w:lang w:val="en-US"/>
        </w:rPr>
        <w:t>ales</w:t>
      </w:r>
    </w:p>
    <w:p w14:paraId="2E6D9E47" w14:textId="6F9A482A" w:rsidR="00B02C10" w:rsidRPr="00A6366A" w:rsidRDefault="005B6814" w:rsidP="00262998">
      <w:pPr>
        <w:pStyle w:val="Bullet1"/>
      </w:pPr>
      <w:r w:rsidRPr="1BC3ABD5">
        <w:rPr>
          <w:lang w:val="en-US"/>
        </w:rPr>
        <w:t xml:space="preserve">$1.2 billion </w:t>
      </w:r>
      <w:r w:rsidR="00023EC7" w:rsidRPr="1BC3ABD5">
        <w:rPr>
          <w:lang w:val="en-US"/>
        </w:rPr>
        <w:t xml:space="preserve">over four years </w:t>
      </w:r>
      <w:r w:rsidRPr="1BC3ABD5">
        <w:rPr>
          <w:lang w:val="en-US"/>
        </w:rPr>
        <w:t xml:space="preserve">for TAFE to promote ongoing skills development </w:t>
      </w:r>
    </w:p>
    <w:p w14:paraId="5CECE92A" w14:textId="55806812" w:rsidR="00043C17" w:rsidRPr="000A44A7" w:rsidRDefault="00043C17" w:rsidP="00262998">
      <w:pPr>
        <w:pStyle w:val="Bullet1"/>
      </w:pPr>
      <w:r w:rsidRPr="1BC3ABD5">
        <w:rPr>
          <w:lang w:val="en-US"/>
        </w:rPr>
        <w:t>additional NSW funding to reflect the Better and Fairer Schools Agreement. The NSW</w:t>
      </w:r>
      <w:r w:rsidR="00E57995">
        <w:rPr>
          <w:lang w:val="en-US"/>
        </w:rPr>
        <w:t> </w:t>
      </w:r>
      <w:r w:rsidR="002F03D7" w:rsidRPr="1BC3ABD5">
        <w:rPr>
          <w:lang w:val="en-US"/>
        </w:rPr>
        <w:t>G</w:t>
      </w:r>
      <w:r w:rsidRPr="1BC3ABD5">
        <w:rPr>
          <w:lang w:val="en-US"/>
        </w:rPr>
        <w:t>overnment will provide additional funding by removing the 4</w:t>
      </w:r>
      <w:r w:rsidR="00581BE6" w:rsidRPr="1BC3ABD5">
        <w:rPr>
          <w:lang w:val="en-US"/>
        </w:rPr>
        <w:t> </w:t>
      </w:r>
      <w:r w:rsidRPr="1BC3ABD5">
        <w:rPr>
          <w:lang w:val="en-US"/>
        </w:rPr>
        <w:t>per</w:t>
      </w:r>
      <w:r w:rsidR="00581BE6" w:rsidRPr="1BC3ABD5">
        <w:rPr>
          <w:lang w:val="en-US"/>
        </w:rPr>
        <w:t> </w:t>
      </w:r>
      <w:r w:rsidRPr="1BC3ABD5">
        <w:rPr>
          <w:lang w:val="en-US"/>
        </w:rPr>
        <w:t>cent provision of indirect school costs which will achieve the Australian and NSW Government’s commitment to funding 100</w:t>
      </w:r>
      <w:r w:rsidR="00581BE6" w:rsidRPr="1BC3ABD5">
        <w:rPr>
          <w:lang w:val="en-US"/>
        </w:rPr>
        <w:t xml:space="preserve"> per cent</w:t>
      </w:r>
      <w:r w:rsidRPr="1BC3ABD5">
        <w:rPr>
          <w:lang w:val="en-US"/>
        </w:rPr>
        <w:t xml:space="preserve"> of the Schooling Resource Standard</w:t>
      </w:r>
    </w:p>
    <w:p w14:paraId="7C17612B" w14:textId="77777777" w:rsidR="00141713" w:rsidRPr="00141713" w:rsidRDefault="00581BE6" w:rsidP="00262998">
      <w:pPr>
        <w:pStyle w:val="Bullet1"/>
        <w:rPr>
          <w:rFonts w:ascii="Public Sans SemiBold" w:hAnsi="Public Sans SemiBold"/>
          <w:b/>
          <w:kern w:val="28"/>
          <w:sz w:val="26"/>
          <w:szCs w:val="26"/>
          <w:lang w:val="en-US"/>
        </w:rPr>
      </w:pPr>
      <w:r w:rsidRPr="1BC3ABD5">
        <w:rPr>
          <w:lang w:val="en-US"/>
        </w:rPr>
        <w:lastRenderedPageBreak/>
        <w:t>$40.2 million to deliver the ongoing commitment to Fee Free Apprenticeships and Traineeships for priority qualifications balanced with maintaining a supply of high-quality training and improving the sector’s performance</w:t>
      </w:r>
    </w:p>
    <w:p w14:paraId="5CFDA9ED" w14:textId="7CC6D501" w:rsidR="00AE0BA3" w:rsidRPr="000801D3" w:rsidRDefault="00141713" w:rsidP="00262998">
      <w:pPr>
        <w:pStyle w:val="Bullet1"/>
      </w:pPr>
      <w:r w:rsidRPr="00EC40D6">
        <w:t>$10.0 million</w:t>
      </w:r>
      <w:r w:rsidRPr="005B6814">
        <w:t xml:space="preserve"> </w:t>
      </w:r>
      <w:r>
        <w:t xml:space="preserve">in 2025-26 to progress work on expanding the public provision of </w:t>
      </w:r>
      <w:r w:rsidRPr="005B6814">
        <w:t xml:space="preserve">early childhood education </w:t>
      </w:r>
      <w:r>
        <w:t>and care in New South Wales</w:t>
      </w:r>
      <w:r w:rsidR="00975AB0" w:rsidRPr="4C80CBC5">
        <w:rPr>
          <w:lang w:val="en-US"/>
        </w:rPr>
        <w:t>.</w:t>
      </w:r>
    </w:p>
    <w:p w14:paraId="0D0CCF13" w14:textId="7DD54421" w:rsidR="00836E67" w:rsidRDefault="00836E67" w:rsidP="00AE0BA3">
      <w:pPr>
        <w:pStyle w:val="Heading3"/>
      </w:pPr>
      <w:r>
        <w:t xml:space="preserve">Health </w:t>
      </w:r>
    </w:p>
    <w:p w14:paraId="743503D9" w14:textId="7449BFB7" w:rsidR="005E1005" w:rsidRPr="005E1005" w:rsidRDefault="005E1005" w:rsidP="005E1005">
      <w:pPr>
        <w:pStyle w:val="BodyText"/>
      </w:pPr>
      <w:r w:rsidRPr="005E1005">
        <w:rPr>
          <w:lang w:val="en-US"/>
        </w:rPr>
        <w:t xml:space="preserve">The Essential Health Services package invests $836.4 million in 2025-26 </w:t>
      </w:r>
      <w:r w:rsidR="002D3648">
        <w:rPr>
          <w:lang w:val="en-US"/>
        </w:rPr>
        <w:t>to support</w:t>
      </w:r>
      <w:r w:rsidRPr="005E1005">
        <w:rPr>
          <w:lang w:val="en-US"/>
        </w:rPr>
        <w:t xml:space="preserve"> core health services </w:t>
      </w:r>
      <w:r w:rsidR="00045484">
        <w:rPr>
          <w:lang w:val="en-US"/>
        </w:rPr>
        <w:t>and reduce overdue surgeries</w:t>
      </w:r>
      <w:r w:rsidRPr="005E1005">
        <w:rPr>
          <w:lang w:val="en-US"/>
        </w:rPr>
        <w:t xml:space="preserve">. It also funds </w:t>
      </w:r>
      <w:r w:rsidR="00137F37">
        <w:rPr>
          <w:lang w:val="en-US"/>
        </w:rPr>
        <w:t xml:space="preserve">the </w:t>
      </w:r>
      <w:r w:rsidR="00B95371">
        <w:rPr>
          <w:lang w:val="en-US"/>
        </w:rPr>
        <w:t>opening</w:t>
      </w:r>
      <w:r w:rsidRPr="005E1005">
        <w:rPr>
          <w:lang w:val="en-US"/>
        </w:rPr>
        <w:t xml:space="preserve"> </w:t>
      </w:r>
      <w:r w:rsidR="00EB47A5">
        <w:rPr>
          <w:lang w:val="en-US"/>
        </w:rPr>
        <w:t xml:space="preserve">of </w:t>
      </w:r>
      <w:r w:rsidR="00627EEE">
        <w:rPr>
          <w:lang w:val="en-US"/>
        </w:rPr>
        <w:t xml:space="preserve">new and upgraded </w:t>
      </w:r>
      <w:r w:rsidRPr="005E1005">
        <w:rPr>
          <w:lang w:val="en-US"/>
        </w:rPr>
        <w:t>hospitals including the Sydney Children’s Hospitals at Randwick and Westmead</w:t>
      </w:r>
      <w:r w:rsidR="009848D0">
        <w:rPr>
          <w:lang w:val="en-US"/>
        </w:rPr>
        <w:t xml:space="preserve">, </w:t>
      </w:r>
      <w:r w:rsidRPr="005E1005">
        <w:rPr>
          <w:lang w:val="en-US"/>
        </w:rPr>
        <w:t>Gunnedah Hospital</w:t>
      </w:r>
      <w:r w:rsidR="009848D0">
        <w:rPr>
          <w:lang w:val="en-US"/>
        </w:rPr>
        <w:t xml:space="preserve"> and the Statewide Mental Health Infrastructure Program</w:t>
      </w:r>
      <w:r w:rsidRPr="005E1005">
        <w:rPr>
          <w:lang w:val="en-US"/>
        </w:rPr>
        <w:t xml:space="preserve">. </w:t>
      </w:r>
    </w:p>
    <w:p w14:paraId="30E193A5" w14:textId="23E22CE1" w:rsidR="005E1005" w:rsidRPr="005E1005" w:rsidRDefault="005E1005" w:rsidP="005E1005">
      <w:pPr>
        <w:pStyle w:val="BodyText"/>
      </w:pPr>
      <w:r w:rsidRPr="005E1005">
        <w:t>Other significant measures include</w:t>
      </w:r>
      <w:r w:rsidR="00B22934">
        <w:t>:</w:t>
      </w:r>
    </w:p>
    <w:p w14:paraId="58E9E580" w14:textId="77777777" w:rsidR="005E1005" w:rsidRPr="005E1005" w:rsidRDefault="005E1005" w:rsidP="00262998">
      <w:pPr>
        <w:pStyle w:val="Bullet1"/>
      </w:pPr>
      <w:r w:rsidRPr="005E1005">
        <w:t>$158.8 million on top of $126.6 million already invested to deliver three new regional helicopter bases to improve ambulance and paramedic response times</w:t>
      </w:r>
    </w:p>
    <w:p w14:paraId="2016410F" w14:textId="19EC9DF9" w:rsidR="005E1005" w:rsidRPr="005E1005" w:rsidRDefault="005E1005" w:rsidP="00262998">
      <w:pPr>
        <w:pStyle w:val="Bullet1"/>
      </w:pPr>
      <w:r w:rsidRPr="477D0D72">
        <w:t xml:space="preserve">$83.8 million for a Maternity Care and First 2,000 Days package </w:t>
      </w:r>
      <w:r w:rsidR="000C0416" w:rsidRPr="477D0D72">
        <w:t xml:space="preserve">that </w:t>
      </w:r>
      <w:r w:rsidR="00EB2063" w:rsidRPr="477D0D72">
        <w:t>i</w:t>
      </w:r>
      <w:r w:rsidR="000C0416" w:rsidRPr="477D0D72">
        <w:t xml:space="preserve">ncludes </w:t>
      </w:r>
      <w:r w:rsidR="005162E6" w:rsidRPr="477D0D72">
        <w:t xml:space="preserve">measures to </w:t>
      </w:r>
      <w:r w:rsidR="00EB2063" w:rsidRPr="477D0D72">
        <w:t>grow and upskill</w:t>
      </w:r>
      <w:r w:rsidRPr="477D0D72">
        <w:t xml:space="preserve"> the maternity workforce, </w:t>
      </w:r>
      <w:r w:rsidR="009809E8" w:rsidRPr="477D0D72">
        <w:t xml:space="preserve">and </w:t>
      </w:r>
      <w:r w:rsidRPr="477D0D72">
        <w:t>increase midwifery continuity of care and parenting support in region</w:t>
      </w:r>
      <w:r w:rsidR="009868B3" w:rsidRPr="477D0D72">
        <w:t>al areas</w:t>
      </w:r>
    </w:p>
    <w:p w14:paraId="10CAA2F6" w14:textId="77777777" w:rsidR="005E1005" w:rsidRPr="005E1005" w:rsidRDefault="005E1005" w:rsidP="00262998">
      <w:pPr>
        <w:pStyle w:val="Bullet1"/>
      </w:pPr>
      <w:r w:rsidRPr="005E1005">
        <w:t>$</w:t>
      </w:r>
      <w:r w:rsidRPr="00A37B87">
        <w:t>23.1</w:t>
      </w:r>
      <w:r w:rsidRPr="005E1005">
        <w:t xml:space="preserve"> million over three years for Building on Aboriginal Communities Resilience to expand community-led suicide prevention and wellbeing support programs that are culturally responsive </w:t>
      </w:r>
    </w:p>
    <w:p w14:paraId="48DA67EC" w14:textId="253E5F1B" w:rsidR="005E1005" w:rsidRPr="005E1005" w:rsidRDefault="005E1005" w:rsidP="00262998">
      <w:pPr>
        <w:pStyle w:val="Bullet1"/>
      </w:pPr>
      <w:r w:rsidRPr="005E1005">
        <w:t>$15.4 million in 2025-26 to boost the community mental health workforce, enhance support for young people with severe and complex mental illness and provide regional communities with mental health support.</w:t>
      </w:r>
    </w:p>
    <w:p w14:paraId="6CA1C6BB" w14:textId="5A010F92" w:rsidR="005E1005" w:rsidRPr="005E1005" w:rsidRDefault="005E1005" w:rsidP="005E1005">
      <w:pPr>
        <w:pStyle w:val="BodyText"/>
      </w:pPr>
      <w:r w:rsidRPr="4C80CBC5">
        <w:rPr>
          <w:lang w:val="en-US"/>
        </w:rPr>
        <w:t>The NSW Government will deliver $12.4 billion of capital investment to build and upgrade health infrastructure over the next four years, with $3.3 billion in 2025-26. The total capital program includes:</w:t>
      </w:r>
    </w:p>
    <w:p w14:paraId="1551DA10" w14:textId="08B6EBFF" w:rsidR="005E1005" w:rsidRPr="005E1005" w:rsidRDefault="005E1005" w:rsidP="00262998">
      <w:pPr>
        <w:pStyle w:val="Bullet1"/>
      </w:pPr>
      <w:r w:rsidRPr="1BC3ABD5">
        <w:rPr>
          <w:lang w:val="en-US"/>
        </w:rPr>
        <w:t>an additional $700</w:t>
      </w:r>
      <w:r w:rsidR="00B22934" w:rsidRPr="1BC3ABD5">
        <w:rPr>
          <w:lang w:val="en-US"/>
        </w:rPr>
        <w:t>.0</w:t>
      </w:r>
      <w:r w:rsidRPr="1BC3ABD5">
        <w:rPr>
          <w:lang w:val="en-US"/>
        </w:rPr>
        <w:t xml:space="preserve"> million for the New Bankstown Hospital to integrate hospital inpatient services bringing</w:t>
      </w:r>
      <w:r w:rsidR="00573CD0">
        <w:rPr>
          <w:lang w:val="en-US"/>
        </w:rPr>
        <w:t xml:space="preserve"> the</w:t>
      </w:r>
      <w:r w:rsidRPr="1BC3ABD5">
        <w:rPr>
          <w:lang w:val="en-US"/>
        </w:rPr>
        <w:t xml:space="preserve"> total investment in the New Bankstown Hospital to $2.0 billion – the largest ever investment in a new hospital in New South Wales </w:t>
      </w:r>
    </w:p>
    <w:p w14:paraId="00276179" w14:textId="4D8A51CA" w:rsidR="005E1005" w:rsidRPr="005E1005" w:rsidRDefault="005E1005" w:rsidP="00262998">
      <w:pPr>
        <w:pStyle w:val="Bullet1"/>
      </w:pPr>
      <w:r w:rsidRPr="1BC3ABD5">
        <w:rPr>
          <w:lang w:val="en-US"/>
        </w:rPr>
        <w:t>$492</w:t>
      </w:r>
      <w:r w:rsidR="00B22934" w:rsidRPr="1BC3ABD5">
        <w:rPr>
          <w:lang w:val="en-US"/>
        </w:rPr>
        <w:t>.0</w:t>
      </w:r>
      <w:r w:rsidRPr="1BC3ABD5">
        <w:rPr>
          <w:lang w:val="en-US"/>
        </w:rPr>
        <w:t xml:space="preserve"> million to develop a Statewide Pathology Hub on the Westmead Health </w:t>
      </w:r>
      <w:r w:rsidR="006A7101" w:rsidRPr="1BC3ABD5">
        <w:rPr>
          <w:lang w:val="en-US"/>
        </w:rPr>
        <w:t>c</w:t>
      </w:r>
      <w:r w:rsidRPr="1BC3ABD5">
        <w:rPr>
          <w:lang w:val="en-US"/>
        </w:rPr>
        <w:t>ampus</w:t>
      </w:r>
    </w:p>
    <w:p w14:paraId="01D30147" w14:textId="2BBE5D90" w:rsidR="005E1005" w:rsidRPr="005E1005" w:rsidRDefault="005E1005" w:rsidP="00262998">
      <w:pPr>
        <w:pStyle w:val="Bullet1"/>
      </w:pPr>
      <w:r w:rsidRPr="1BC3ABD5">
        <w:rPr>
          <w:lang w:val="en-US"/>
        </w:rPr>
        <w:t>an additional $90</w:t>
      </w:r>
      <w:r w:rsidR="00B22934" w:rsidRPr="1BC3ABD5">
        <w:rPr>
          <w:lang w:val="en-US"/>
        </w:rPr>
        <w:t>.0</w:t>
      </w:r>
      <w:r w:rsidRPr="1BC3ABD5">
        <w:rPr>
          <w:lang w:val="en-US"/>
        </w:rPr>
        <w:t xml:space="preserve"> million </w:t>
      </w:r>
      <w:r w:rsidR="00F631F3" w:rsidRPr="1BC3ABD5">
        <w:rPr>
          <w:lang w:val="en-US"/>
        </w:rPr>
        <w:t xml:space="preserve">to provide the full range of </w:t>
      </w:r>
      <w:r w:rsidRPr="1BC3ABD5">
        <w:rPr>
          <w:lang w:val="en-US"/>
        </w:rPr>
        <w:t xml:space="preserve">maternity and birthing services at the new Rouse Hill Hospital, </w:t>
      </w:r>
      <w:r w:rsidR="00F631F3" w:rsidRPr="1BC3ABD5">
        <w:rPr>
          <w:lang w:val="en-US"/>
        </w:rPr>
        <w:t>with a further $120 million also announced by the Australian Government. These two funding commitments increase</w:t>
      </w:r>
      <w:r w:rsidRPr="1BC3ABD5">
        <w:rPr>
          <w:lang w:val="en-US"/>
        </w:rPr>
        <w:t xml:space="preserve"> the total investment for the </w:t>
      </w:r>
      <w:r w:rsidR="00F631F3" w:rsidRPr="1BC3ABD5">
        <w:rPr>
          <w:lang w:val="en-US"/>
        </w:rPr>
        <w:t xml:space="preserve">new </w:t>
      </w:r>
      <w:r w:rsidR="00B2536D" w:rsidRPr="1BC3ABD5">
        <w:rPr>
          <w:lang w:val="en-US"/>
        </w:rPr>
        <w:t xml:space="preserve">Rouse Hill Hospital </w:t>
      </w:r>
      <w:r w:rsidRPr="1BC3ABD5">
        <w:rPr>
          <w:lang w:val="en-US"/>
        </w:rPr>
        <w:t>project to $910.0 million.</w:t>
      </w:r>
      <w:r w:rsidR="008721E6" w:rsidRPr="1BC3ABD5">
        <w:rPr>
          <w:lang w:val="en-US"/>
        </w:rPr>
        <w:t xml:space="preserve"> </w:t>
      </w:r>
    </w:p>
    <w:p w14:paraId="406322BB" w14:textId="1F49B739" w:rsidR="001860EA" w:rsidRPr="003F0443" w:rsidRDefault="001860EA" w:rsidP="00AE0BA3">
      <w:pPr>
        <w:pStyle w:val="Heading3"/>
      </w:pPr>
      <w:r>
        <w:t>Social</w:t>
      </w:r>
      <w:r w:rsidR="00A72244">
        <w:t>,</w:t>
      </w:r>
      <w:r>
        <w:t xml:space="preserve"> community </w:t>
      </w:r>
      <w:r w:rsidR="00A72244">
        <w:t xml:space="preserve">and justice </w:t>
      </w:r>
      <w:r>
        <w:t>investment</w:t>
      </w:r>
    </w:p>
    <w:p w14:paraId="388CA9C3" w14:textId="67E5678E" w:rsidR="00B86EBB" w:rsidRDefault="009353A4" w:rsidP="006F6718">
      <w:pPr>
        <w:pStyle w:val="BodyText"/>
      </w:pPr>
      <w:r>
        <w:t>Th</w:t>
      </w:r>
      <w:r w:rsidR="00B04DFA">
        <w:t>e Government</w:t>
      </w:r>
      <w:r>
        <w:t xml:space="preserve"> continues t</w:t>
      </w:r>
      <w:r w:rsidR="00B04DFA">
        <w:t>o</w:t>
      </w:r>
      <w:r>
        <w:t xml:space="preserve"> focus o</w:t>
      </w:r>
      <w:r w:rsidR="00B04DFA">
        <w:t>n</w:t>
      </w:r>
      <w:r>
        <w:t xml:space="preserve"> </w:t>
      </w:r>
      <w:r w:rsidR="00FD65F7" w:rsidRPr="000F1D8B">
        <w:t>build</w:t>
      </w:r>
      <w:r w:rsidR="00FD65F7">
        <w:t>ing</w:t>
      </w:r>
      <w:r w:rsidR="00FD65F7" w:rsidRPr="000F1D8B">
        <w:t xml:space="preserve"> stronger, safer communities across the </w:t>
      </w:r>
      <w:r w:rsidR="00B04DFA">
        <w:t>S</w:t>
      </w:r>
      <w:r w:rsidR="00FD65F7" w:rsidRPr="000F1D8B">
        <w:t>tate</w:t>
      </w:r>
      <w:r w:rsidR="00FD65F7">
        <w:t xml:space="preserve"> and </w:t>
      </w:r>
      <w:r w:rsidR="00B04DFA">
        <w:t>supporting</w:t>
      </w:r>
      <w:r w:rsidR="0027753F">
        <w:t xml:space="preserve"> the most vulnerable in </w:t>
      </w:r>
      <w:r w:rsidR="00FD65F7">
        <w:t xml:space="preserve">our </w:t>
      </w:r>
      <w:r>
        <w:t>community in areas</w:t>
      </w:r>
      <w:r w:rsidR="00B86EBB">
        <w:t xml:space="preserve"> such as:</w:t>
      </w:r>
    </w:p>
    <w:p w14:paraId="5B6B2964" w14:textId="4B607F12" w:rsidR="00260CF7" w:rsidRPr="00B04DFA" w:rsidRDefault="00B04DFA" w:rsidP="00262998">
      <w:pPr>
        <w:pStyle w:val="Bullet1"/>
      </w:pPr>
      <w:r w:rsidRPr="1BA4A8CD">
        <w:rPr>
          <w:lang w:val="en-US"/>
        </w:rPr>
        <w:t xml:space="preserve">the </w:t>
      </w:r>
      <w:r w:rsidR="0094322E" w:rsidRPr="1BA4A8CD">
        <w:rPr>
          <w:lang w:val="en-US"/>
        </w:rPr>
        <w:t>out-of-home care</w:t>
      </w:r>
      <w:r w:rsidRPr="1BA4A8CD">
        <w:rPr>
          <w:lang w:val="en-US"/>
        </w:rPr>
        <w:t xml:space="preserve"> </w:t>
      </w:r>
      <w:r w:rsidR="0027753F" w:rsidRPr="1BA4A8CD">
        <w:rPr>
          <w:lang w:val="en-US"/>
        </w:rPr>
        <w:t>system, including</w:t>
      </w:r>
      <w:r w:rsidRPr="1BA4A8CD">
        <w:rPr>
          <w:lang w:val="en-US"/>
        </w:rPr>
        <w:t xml:space="preserve"> </w:t>
      </w:r>
      <w:r w:rsidR="005E1005" w:rsidRPr="1BA4A8CD">
        <w:rPr>
          <w:lang w:val="en-US"/>
        </w:rPr>
        <w:t xml:space="preserve">a $1.2 billion </w:t>
      </w:r>
      <w:r w:rsidR="002855B7" w:rsidRPr="1BA4A8CD">
        <w:rPr>
          <w:lang w:val="en-US"/>
        </w:rPr>
        <w:t xml:space="preserve">child protection </w:t>
      </w:r>
      <w:r w:rsidR="005E1005" w:rsidRPr="1BA4A8CD">
        <w:rPr>
          <w:lang w:val="en-US"/>
        </w:rPr>
        <w:t xml:space="preserve">package </w:t>
      </w:r>
      <w:r w:rsidR="00260CF7" w:rsidRPr="1BA4A8CD">
        <w:rPr>
          <w:lang w:val="en-US"/>
        </w:rPr>
        <w:t xml:space="preserve">to </w:t>
      </w:r>
      <w:r w:rsidR="005E1005" w:rsidRPr="1BA4A8CD">
        <w:rPr>
          <w:lang w:val="en-US"/>
        </w:rPr>
        <w:t xml:space="preserve">provide more </w:t>
      </w:r>
      <w:r w:rsidR="00260CF7" w:rsidRPr="1BA4A8CD">
        <w:rPr>
          <w:lang w:val="en-US"/>
        </w:rPr>
        <w:t>support</w:t>
      </w:r>
      <w:r w:rsidR="005E1005" w:rsidRPr="1BA4A8CD">
        <w:rPr>
          <w:lang w:val="en-US"/>
        </w:rPr>
        <w:t xml:space="preserve"> for</w:t>
      </w:r>
      <w:r w:rsidR="00260CF7" w:rsidRPr="1BA4A8CD">
        <w:rPr>
          <w:lang w:val="en-US"/>
        </w:rPr>
        <w:t xml:space="preserve"> children and young people in out-of-home care </w:t>
      </w:r>
      <w:r w:rsidRPr="1BA4A8CD">
        <w:rPr>
          <w:lang w:val="en-US"/>
        </w:rPr>
        <w:t>(</w:t>
      </w:r>
      <w:r w:rsidR="00DD5DF7" w:rsidRPr="1BA4A8CD">
        <w:rPr>
          <w:lang w:val="en-US"/>
        </w:rPr>
        <w:t xml:space="preserve">see </w:t>
      </w:r>
      <w:r w:rsidRPr="1BA4A8CD">
        <w:rPr>
          <w:lang w:val="en-US"/>
        </w:rPr>
        <w:t>Box 3.</w:t>
      </w:r>
      <w:r w:rsidR="00C74C70">
        <w:rPr>
          <w:lang w:val="en-US"/>
        </w:rPr>
        <w:t>2</w:t>
      </w:r>
      <w:r w:rsidRPr="1BA4A8CD">
        <w:rPr>
          <w:lang w:val="en-US"/>
        </w:rPr>
        <w:t>)</w:t>
      </w:r>
      <w:r w:rsidR="00260CF7" w:rsidRPr="1BA4A8CD">
        <w:rPr>
          <w:lang w:val="en-US"/>
        </w:rPr>
        <w:t xml:space="preserve"> </w:t>
      </w:r>
    </w:p>
    <w:p w14:paraId="777E46CC" w14:textId="06F6AF5A" w:rsidR="00975AB0" w:rsidRPr="000C7952" w:rsidRDefault="005E1005" w:rsidP="00262998">
      <w:pPr>
        <w:pStyle w:val="Bullet1"/>
      </w:pPr>
      <w:r w:rsidRPr="1BC3ABD5">
        <w:rPr>
          <w:lang w:val="en-US"/>
        </w:rPr>
        <w:t>$7</w:t>
      </w:r>
      <w:r w:rsidR="00AB39CA" w:rsidRPr="1BC3ABD5">
        <w:rPr>
          <w:lang w:val="en-US"/>
        </w:rPr>
        <w:t>3</w:t>
      </w:r>
      <w:r w:rsidR="00F26929" w:rsidRPr="1BC3ABD5">
        <w:rPr>
          <w:lang w:val="en-US"/>
        </w:rPr>
        <w:t>1</w:t>
      </w:r>
      <w:r w:rsidR="00AB39CA" w:rsidRPr="1BC3ABD5">
        <w:rPr>
          <w:lang w:val="en-US"/>
        </w:rPr>
        <w:t>.</w:t>
      </w:r>
      <w:r w:rsidR="00F26929" w:rsidRPr="1BC3ABD5">
        <w:rPr>
          <w:lang w:val="en-US"/>
        </w:rPr>
        <w:t>8</w:t>
      </w:r>
      <w:r w:rsidRPr="1BC3ABD5">
        <w:rPr>
          <w:lang w:val="en-US"/>
        </w:rPr>
        <w:t xml:space="preserve"> million over four years for First Nations initiatives, including</w:t>
      </w:r>
      <w:r w:rsidR="00A143CF" w:rsidRPr="1BC3ABD5">
        <w:rPr>
          <w:lang w:val="en-US"/>
        </w:rPr>
        <w:t xml:space="preserve"> $202.</w:t>
      </w:r>
      <w:r w:rsidR="00C75D93" w:rsidRPr="1BC3ABD5">
        <w:rPr>
          <w:lang w:val="en-US"/>
        </w:rPr>
        <w:t xml:space="preserve">4 </w:t>
      </w:r>
      <w:r w:rsidR="00A143CF" w:rsidRPr="1BC3ABD5">
        <w:rPr>
          <w:lang w:val="en-US"/>
        </w:rPr>
        <w:t xml:space="preserve">million </w:t>
      </w:r>
      <w:r w:rsidR="002A23FB" w:rsidRPr="1BC3ABD5">
        <w:rPr>
          <w:lang w:val="en-US"/>
        </w:rPr>
        <w:t xml:space="preserve">of additional investment in Closing the Gap </w:t>
      </w:r>
      <w:r w:rsidR="00A143CF" w:rsidRPr="1BC3ABD5">
        <w:rPr>
          <w:lang w:val="en-US"/>
        </w:rPr>
        <w:t>provided in this Budget</w:t>
      </w:r>
      <w:r w:rsidR="00DD5DF7" w:rsidRPr="1BC3ABD5">
        <w:rPr>
          <w:lang w:val="en-US"/>
        </w:rPr>
        <w:t>,</w:t>
      </w:r>
      <w:r w:rsidR="00A143CF" w:rsidRPr="1BC3ABD5">
        <w:rPr>
          <w:lang w:val="en-US"/>
        </w:rPr>
        <w:t xml:space="preserve"> to deliver 14 initiatives co</w:t>
      </w:r>
      <w:r w:rsidR="00665AFB">
        <w:noBreakHyphen/>
      </w:r>
      <w:r w:rsidR="00A143CF" w:rsidRPr="1BC3ABD5">
        <w:rPr>
          <w:lang w:val="en-US"/>
        </w:rPr>
        <w:t>designed with the NSW Coalition of Aboriginal Peak Organisations</w:t>
      </w:r>
      <w:r w:rsidR="00E90541" w:rsidRPr="1BC3ABD5">
        <w:rPr>
          <w:lang w:val="en-US"/>
        </w:rPr>
        <w:t xml:space="preserve"> and the NSW Closing the </w:t>
      </w:r>
      <w:r w:rsidR="00782C1D" w:rsidRPr="1BC3ABD5">
        <w:rPr>
          <w:lang w:val="en-US"/>
        </w:rPr>
        <w:t>G</w:t>
      </w:r>
      <w:r w:rsidR="00E90541" w:rsidRPr="1BC3ABD5">
        <w:rPr>
          <w:lang w:val="en-US"/>
        </w:rPr>
        <w:t>ap Joint Council (see Box 7.</w:t>
      </w:r>
      <w:r w:rsidR="009738FB" w:rsidRPr="1BC3ABD5">
        <w:rPr>
          <w:lang w:val="en-US"/>
        </w:rPr>
        <w:t xml:space="preserve">2 </w:t>
      </w:r>
      <w:r w:rsidR="00E90541" w:rsidRPr="1BC3ABD5">
        <w:rPr>
          <w:lang w:val="en-US"/>
        </w:rPr>
        <w:t>in Chapter 7 Recurrent expenditure)</w:t>
      </w:r>
    </w:p>
    <w:p w14:paraId="1D90DEFB" w14:textId="77777777" w:rsidR="002161D4" w:rsidRDefault="002161D4" w:rsidP="002161D4">
      <w:pPr>
        <w:pStyle w:val="Bullet1"/>
      </w:pPr>
      <w:r w:rsidRPr="1BC3ABD5">
        <w:rPr>
          <w:lang w:val="en-US"/>
        </w:rPr>
        <w:t>$272.7 million for domestic, family and sexual violence services to continue work on reducing violence against women and children and supporting victim-survivors</w:t>
      </w:r>
    </w:p>
    <w:p w14:paraId="2AECF226" w14:textId="77777777" w:rsidR="00275CCC" w:rsidRDefault="00275CCC">
      <w:pPr>
        <w:spacing w:before="360" w:after="120"/>
        <w:ind w:left="851" w:hanging="851"/>
        <w:rPr>
          <w:rFonts w:ascii="Public Sans" w:eastAsiaTheme="minorEastAsia" w:hAnsi="Public Sans" w:cs="Arial"/>
          <w:iCs/>
          <w:color w:val="000000" w:themeColor="text1"/>
          <w:sz w:val="22"/>
          <w:szCs w:val="23"/>
          <w:lang w:val="en-AU" w:eastAsia="en-AU"/>
        </w:rPr>
      </w:pPr>
      <w:r>
        <w:br w:type="page"/>
      </w:r>
    </w:p>
    <w:p w14:paraId="59C70438" w14:textId="281E3BE8" w:rsidR="002161D4" w:rsidRDefault="002161D4" w:rsidP="002161D4">
      <w:pPr>
        <w:pStyle w:val="Bullet1"/>
      </w:pPr>
      <w:r>
        <w:lastRenderedPageBreak/>
        <w:t>$226.8 million for the Victims Support Scheme, ensuring continued access to counselling and financial support for victims of violent crime and modern slavery</w:t>
      </w:r>
    </w:p>
    <w:p w14:paraId="42F9CBA9" w14:textId="77777777" w:rsidR="002161D4" w:rsidRDefault="002161D4" w:rsidP="002161D4">
      <w:pPr>
        <w:pStyle w:val="Bullet1"/>
      </w:pPr>
      <w:r w:rsidRPr="1BC3ABD5">
        <w:rPr>
          <w:lang w:val="en-US"/>
        </w:rPr>
        <w:t>$49.4 million for a new hub to support victim-survivors to participate in legal proceedings in a trauma-safe environment, allowing witnesses to give evidence remotely via video link</w:t>
      </w:r>
    </w:p>
    <w:p w14:paraId="0406DAC7" w14:textId="5E529B2E" w:rsidR="002161D4" w:rsidRDefault="002161D4" w:rsidP="002161D4">
      <w:pPr>
        <w:pStyle w:val="Bullet1"/>
      </w:pPr>
      <w:r w:rsidRPr="3014495E">
        <w:rPr>
          <w:lang w:val="en-US"/>
        </w:rPr>
        <w:t>$34.5 million for upgrades to the Downing Centre and John Maddison Tower, allowing for the creation of 15 new courtrooms to improve time to justice for victims and their families</w:t>
      </w:r>
      <w:r w:rsidR="00573CD0" w:rsidRPr="3014495E">
        <w:rPr>
          <w:lang w:val="en-US"/>
        </w:rPr>
        <w:t>.</w:t>
      </w:r>
    </w:p>
    <w:p w14:paraId="760AFA64" w14:textId="29F7F6DF" w:rsidR="00C53A85" w:rsidRDefault="00C53A85" w:rsidP="000C4210">
      <w:pPr>
        <w:rPr>
          <w:rFonts w:eastAsiaTheme="minorEastAsia"/>
        </w:rPr>
      </w:pPr>
    </w:p>
    <w:tbl>
      <w:tblPr>
        <w:tblW w:w="0" w:type="auto"/>
        <w:jc w:val="center"/>
        <w:shd w:val="pct5" w:color="auto" w:fill="auto"/>
        <w:tblLayout w:type="fixed"/>
        <w:tblLook w:val="0000" w:firstRow="0" w:lastRow="0" w:firstColumn="0" w:lastColumn="0" w:noHBand="0" w:noVBand="0"/>
      </w:tblPr>
      <w:tblGrid>
        <w:gridCol w:w="9639"/>
      </w:tblGrid>
      <w:tr w:rsidR="001860EA" w:rsidRPr="00A903EA" w14:paraId="6E04E2C1" w14:textId="77777777" w:rsidTr="00E133FA">
        <w:trPr>
          <w:trHeight w:val="1157"/>
          <w:jc w:val="center"/>
        </w:trPr>
        <w:tc>
          <w:tcPr>
            <w:tcW w:w="9639" w:type="dxa"/>
            <w:shd w:val="pct5" w:color="auto" w:fill="auto"/>
          </w:tcPr>
          <w:p w14:paraId="78236467" w14:textId="28C68375" w:rsidR="001860EA" w:rsidRPr="008D524C" w:rsidRDefault="00975AB0">
            <w:pPr>
              <w:pStyle w:val="Box3XBoxHeading"/>
            </w:pPr>
            <w:r>
              <w:t>Reform</w:t>
            </w:r>
            <w:r w:rsidR="00C53E0F">
              <w:t>ing</w:t>
            </w:r>
            <w:r w:rsidR="002D0830">
              <w:t xml:space="preserve"> the</w:t>
            </w:r>
            <w:r w:rsidR="00C53E0F">
              <w:t xml:space="preserve"> child protection</w:t>
            </w:r>
            <w:r w:rsidR="002D0830">
              <w:t xml:space="preserve"> syste</w:t>
            </w:r>
            <w:r w:rsidR="11F4D3F9">
              <w:t>m</w:t>
            </w:r>
            <w:r w:rsidR="00C53E0F">
              <w:t xml:space="preserve"> </w:t>
            </w:r>
            <w:r>
              <w:t>in New South Wales</w:t>
            </w:r>
            <w:r w:rsidR="00B6302C">
              <w:t xml:space="preserve"> </w:t>
            </w:r>
          </w:p>
          <w:p w14:paraId="72F58BD8" w14:textId="7069387C" w:rsidR="00441C2B" w:rsidRDefault="00441C2B" w:rsidP="00975AB0">
            <w:pPr>
              <w:pStyle w:val="BodyText"/>
              <w:rPr>
                <w:rStyle w:val="BodyTextChar"/>
              </w:rPr>
            </w:pPr>
            <w:r w:rsidRPr="00975AB0">
              <w:rPr>
                <w:rStyle w:val="BodyTextChar"/>
                <w:rFonts w:eastAsia="MS Mincho"/>
              </w:rPr>
              <w:t xml:space="preserve">The Government is embarking on major reform of the out-of-home care (OOHC) system in New South Wales. A reform plan has been developed, which sets out the vision to rebuild a world class OOHC system that enables children to thrive in supportive, stable environments and sees recovery and restoration for more children and families. </w:t>
            </w:r>
          </w:p>
          <w:p w14:paraId="5E182C0D" w14:textId="33B99E2A" w:rsidR="00441C2B" w:rsidRPr="00662D21" w:rsidRDefault="00441C2B" w:rsidP="00975AB0">
            <w:pPr>
              <w:pStyle w:val="BodyText"/>
              <w:rPr>
                <w:rFonts w:eastAsia="MS Mincho"/>
              </w:rPr>
            </w:pPr>
            <w:r w:rsidRPr="1536A65F">
              <w:rPr>
                <w:rFonts w:eastAsia="MS Mincho"/>
                <w:lang w:val="en-US"/>
              </w:rPr>
              <w:t>Urgent work has been undertaken to stabilise the OOHC system and improve system performance. Achievements to date include:</w:t>
            </w:r>
          </w:p>
          <w:p w14:paraId="605EE28F" w14:textId="5CFD1C60" w:rsidR="00441C2B" w:rsidRPr="00441C2B" w:rsidRDefault="00587594" w:rsidP="00262998">
            <w:pPr>
              <w:pStyle w:val="Bullet1"/>
            </w:pPr>
            <w:r>
              <w:t>r</w:t>
            </w:r>
            <w:r w:rsidR="00441C2B" w:rsidRPr="00441C2B">
              <w:t xml:space="preserve">educing the </w:t>
            </w:r>
            <w:r w:rsidR="006F3FA7">
              <w:t xml:space="preserve">number of children in </w:t>
            </w:r>
            <w:r w:rsidR="00441C2B" w:rsidRPr="00441C2B">
              <w:t>high-cost emergency arrangements</w:t>
            </w:r>
            <w:r w:rsidR="00767D0A">
              <w:t xml:space="preserve"> by 35 per cent since November 2023 and </w:t>
            </w:r>
            <w:r w:rsidR="00441C2B" w:rsidRPr="00441C2B">
              <w:t xml:space="preserve">ending the use of </w:t>
            </w:r>
            <w:r w:rsidR="006F3FA7">
              <w:t xml:space="preserve">unaccredited emergency accommodation </w:t>
            </w:r>
            <w:r w:rsidR="00B7407D">
              <w:t xml:space="preserve">for vulnerable children </w:t>
            </w:r>
            <w:r w:rsidR="00441C2B" w:rsidRPr="00441C2B">
              <w:t>as of April 2025</w:t>
            </w:r>
          </w:p>
          <w:p w14:paraId="3326811C" w14:textId="031C0D0C" w:rsidR="00441C2B" w:rsidRPr="00441C2B" w:rsidRDefault="00587594" w:rsidP="00262998">
            <w:pPr>
              <w:pStyle w:val="Bullet1"/>
            </w:pPr>
            <w:r>
              <w:t>r</w:t>
            </w:r>
            <w:r w:rsidR="00441C2B" w:rsidRPr="00441C2B">
              <w:t xml:space="preserve">ecruiting more foster carers, with </w:t>
            </w:r>
            <w:r w:rsidR="004B3F1C">
              <w:t>more than</w:t>
            </w:r>
            <w:r w:rsidR="00441C2B" w:rsidRPr="00441C2B">
              <w:t xml:space="preserve"> 2</w:t>
            </w:r>
            <w:r w:rsidR="000E5C34">
              <w:t>4</w:t>
            </w:r>
            <w:r w:rsidR="00441C2B" w:rsidRPr="00441C2B">
              <w:t xml:space="preserve">0 </w:t>
            </w:r>
            <w:r w:rsidR="00EF79E3">
              <w:t>government</w:t>
            </w:r>
            <w:r w:rsidR="00441C2B" w:rsidRPr="00441C2B">
              <w:t xml:space="preserve"> recruited emergency carer </w:t>
            </w:r>
            <w:r w:rsidR="00FE2F6E">
              <w:t>households</w:t>
            </w:r>
            <w:r w:rsidR="00A62CBC">
              <w:t xml:space="preserve"> who have</w:t>
            </w:r>
            <w:r w:rsidR="000A2014">
              <w:t xml:space="preserve"> </w:t>
            </w:r>
            <w:r w:rsidR="009C0FF8">
              <w:t xml:space="preserve">kept hundreds of children out of </w:t>
            </w:r>
            <w:r w:rsidR="00441C2B" w:rsidRPr="00441C2B">
              <w:t xml:space="preserve">emergency </w:t>
            </w:r>
            <w:r w:rsidR="009C0FF8">
              <w:t>arrangements</w:t>
            </w:r>
          </w:p>
          <w:p w14:paraId="6733DDFF" w14:textId="53E62D06" w:rsidR="00441C2B" w:rsidRPr="00441C2B" w:rsidRDefault="00004DAA" w:rsidP="00262998">
            <w:pPr>
              <w:pStyle w:val="Bullet1"/>
            </w:pPr>
            <w:r>
              <w:t>standing up</w:t>
            </w:r>
            <w:r w:rsidR="006F3FA7">
              <w:t xml:space="preserve"> </w:t>
            </w:r>
            <w:r w:rsidR="00A1060F">
              <w:t>government</w:t>
            </w:r>
            <w:r>
              <w:t>-run</w:t>
            </w:r>
            <w:r w:rsidR="006F3FA7">
              <w:t xml:space="preserve"> Waratah Care Cottages to better support children and sibling groups </w:t>
            </w:r>
            <w:r w:rsidR="00A1060F">
              <w:t xml:space="preserve">and </w:t>
            </w:r>
            <w:r w:rsidR="006F3FA7">
              <w:t xml:space="preserve">to be </w:t>
            </w:r>
            <w:r w:rsidR="00441C2B" w:rsidRPr="00441C2B">
              <w:t xml:space="preserve">less reliant on emergency arrangements. </w:t>
            </w:r>
          </w:p>
          <w:p w14:paraId="4BD85CC6" w14:textId="3E0FFFDB" w:rsidR="00441C2B" w:rsidRDefault="00441C2B" w:rsidP="00975AB0">
            <w:pPr>
              <w:pStyle w:val="BodyText"/>
            </w:pPr>
            <w:r w:rsidRPr="4C80CBC5">
              <w:rPr>
                <w:lang w:val="en-US"/>
              </w:rPr>
              <w:t xml:space="preserve">The 2025-26 Budget provides </w:t>
            </w:r>
            <w:r w:rsidR="003507A6" w:rsidRPr="4C80CBC5">
              <w:rPr>
                <w:lang w:val="en-US"/>
              </w:rPr>
              <w:t xml:space="preserve">$1.2 billion to </w:t>
            </w:r>
            <w:r w:rsidRPr="4C80CBC5">
              <w:rPr>
                <w:lang w:val="en-US"/>
              </w:rPr>
              <w:t xml:space="preserve">further support this reform plan by investing: </w:t>
            </w:r>
          </w:p>
          <w:p w14:paraId="466BE94D" w14:textId="0C8E54BD" w:rsidR="00441C2B" w:rsidRDefault="00441C2B" w:rsidP="00262998">
            <w:pPr>
              <w:pStyle w:val="Bullet1"/>
            </w:pPr>
            <w:r w:rsidRPr="1560105E">
              <w:rPr>
                <w:lang w:val="en-US"/>
              </w:rPr>
              <w:t>$</w:t>
            </w:r>
            <w:r w:rsidR="00251E64" w:rsidRPr="1560105E">
              <w:rPr>
                <w:lang w:val="en-US"/>
              </w:rPr>
              <w:t>797.6</w:t>
            </w:r>
            <w:r w:rsidRPr="1560105E">
              <w:rPr>
                <w:lang w:val="en-US"/>
              </w:rPr>
              <w:t xml:space="preserve"> million to continue supporting children and young people </w:t>
            </w:r>
            <w:r w:rsidR="00251E64" w:rsidRPr="1560105E">
              <w:rPr>
                <w:lang w:val="en-US"/>
              </w:rPr>
              <w:t xml:space="preserve">in OOHC while </w:t>
            </w:r>
            <w:r w:rsidRPr="1560105E">
              <w:rPr>
                <w:lang w:val="en-US"/>
              </w:rPr>
              <w:t>reforms are designed and implemented</w:t>
            </w:r>
            <w:r w:rsidR="00390613" w:rsidRPr="1560105E">
              <w:rPr>
                <w:lang w:val="en-US"/>
              </w:rPr>
              <w:t>, and setting aside investmen</w:t>
            </w:r>
            <w:r w:rsidR="00BD7BFA" w:rsidRPr="1560105E">
              <w:rPr>
                <w:lang w:val="en-US"/>
              </w:rPr>
              <w:t>t</w:t>
            </w:r>
            <w:r w:rsidR="00390613" w:rsidRPr="1560105E">
              <w:rPr>
                <w:lang w:val="en-US"/>
              </w:rPr>
              <w:t xml:space="preserve"> for a reformed OOHC program. This will improve the </w:t>
            </w:r>
            <w:r w:rsidR="00930F4E" w:rsidRPr="1560105E">
              <w:rPr>
                <w:lang w:val="en-US"/>
              </w:rPr>
              <w:t>OOHC</w:t>
            </w:r>
            <w:r w:rsidR="00390613" w:rsidRPr="1560105E">
              <w:rPr>
                <w:lang w:val="en-US"/>
              </w:rPr>
              <w:t xml:space="preserve"> system and ensure all children and young people can thrive in supportive and stable environments</w:t>
            </w:r>
          </w:p>
          <w:p w14:paraId="1677E305" w14:textId="65A4DEBB" w:rsidR="00390613" w:rsidRDefault="00390613" w:rsidP="00262998">
            <w:pPr>
              <w:pStyle w:val="Bullet1"/>
            </w:pPr>
            <w:r w:rsidRPr="1560105E">
              <w:rPr>
                <w:lang w:val="en-US"/>
              </w:rPr>
              <w:t xml:space="preserve">$191.5 million to </w:t>
            </w:r>
            <w:r w:rsidR="009D75B7" w:rsidRPr="1560105E">
              <w:rPr>
                <w:lang w:val="en-US"/>
              </w:rPr>
              <w:t xml:space="preserve">support </w:t>
            </w:r>
            <w:r w:rsidR="00942677" w:rsidRPr="1560105E">
              <w:rPr>
                <w:lang w:val="en-US"/>
              </w:rPr>
              <w:t xml:space="preserve">recruitment </w:t>
            </w:r>
            <w:r w:rsidR="002350C1" w:rsidRPr="1560105E">
              <w:rPr>
                <w:lang w:val="en-US"/>
              </w:rPr>
              <w:t xml:space="preserve">of more than 200 new </w:t>
            </w:r>
            <w:r w:rsidR="00DE62BE" w:rsidRPr="1560105E">
              <w:rPr>
                <w:lang w:val="en-US"/>
              </w:rPr>
              <w:t xml:space="preserve">and </w:t>
            </w:r>
            <w:r w:rsidRPr="1560105E">
              <w:rPr>
                <w:lang w:val="en-US"/>
              </w:rPr>
              <w:t>ret</w:t>
            </w:r>
            <w:r w:rsidR="00DE62BE" w:rsidRPr="1560105E">
              <w:rPr>
                <w:lang w:val="en-US"/>
              </w:rPr>
              <w:t>ention of</w:t>
            </w:r>
            <w:r w:rsidR="00B724A7" w:rsidRPr="1560105E">
              <w:rPr>
                <w:lang w:val="en-US"/>
              </w:rPr>
              <w:t xml:space="preserve"> 2,126</w:t>
            </w:r>
            <w:r w:rsidR="00085EBF">
              <w:rPr>
                <w:lang w:val="en-US"/>
              </w:rPr>
              <w:t> </w:t>
            </w:r>
            <w:r w:rsidRPr="1560105E">
              <w:rPr>
                <w:lang w:val="en-US"/>
              </w:rPr>
              <w:t xml:space="preserve">caseworkers </w:t>
            </w:r>
            <w:r w:rsidR="006D6F1B" w:rsidRPr="1560105E">
              <w:rPr>
                <w:lang w:val="en-US"/>
              </w:rPr>
              <w:t>with higher pay and more speciali</w:t>
            </w:r>
            <w:r w:rsidR="00527BF5" w:rsidRPr="1560105E">
              <w:rPr>
                <w:lang w:val="en-US"/>
              </w:rPr>
              <w:t>s</w:t>
            </w:r>
            <w:r w:rsidR="006D6F1B" w:rsidRPr="1560105E">
              <w:rPr>
                <w:lang w:val="en-US"/>
              </w:rPr>
              <w:t>ed training, including 100 new leading caseworker roles</w:t>
            </w:r>
          </w:p>
          <w:p w14:paraId="162F07FD" w14:textId="7B285530" w:rsidR="00390613" w:rsidRDefault="00390613" w:rsidP="00262998">
            <w:pPr>
              <w:pStyle w:val="Bullet1"/>
            </w:pPr>
            <w:r w:rsidRPr="1560105E">
              <w:rPr>
                <w:lang w:val="en-US"/>
              </w:rPr>
              <w:t xml:space="preserve">$143.9 million </w:t>
            </w:r>
            <w:r w:rsidR="006D6F1B" w:rsidRPr="1560105E">
              <w:rPr>
                <w:lang w:val="en-US"/>
              </w:rPr>
              <w:t xml:space="preserve">for a major increase </w:t>
            </w:r>
            <w:r w:rsidR="00283033" w:rsidRPr="1560105E">
              <w:rPr>
                <w:lang w:val="en-US"/>
              </w:rPr>
              <w:t xml:space="preserve">of 20 per cent </w:t>
            </w:r>
            <w:r w:rsidR="006D6F1B" w:rsidRPr="1560105E">
              <w:rPr>
                <w:lang w:val="en-US"/>
              </w:rPr>
              <w:t xml:space="preserve">to the </w:t>
            </w:r>
            <w:r w:rsidR="00004DAA" w:rsidRPr="1560105E">
              <w:rPr>
                <w:lang w:val="en-US"/>
              </w:rPr>
              <w:t>f</w:t>
            </w:r>
            <w:r w:rsidR="006D6F1B" w:rsidRPr="1560105E">
              <w:rPr>
                <w:lang w:val="en-US"/>
              </w:rPr>
              <w:t xml:space="preserve">oster </w:t>
            </w:r>
            <w:r w:rsidR="00004DAA" w:rsidRPr="1560105E">
              <w:rPr>
                <w:lang w:val="en-US"/>
              </w:rPr>
              <w:t>c</w:t>
            </w:r>
            <w:r w:rsidR="006D6F1B" w:rsidRPr="1560105E">
              <w:rPr>
                <w:lang w:val="en-US"/>
              </w:rPr>
              <w:t xml:space="preserve">are </w:t>
            </w:r>
            <w:r w:rsidR="00004DAA" w:rsidRPr="1560105E">
              <w:rPr>
                <w:lang w:val="en-US"/>
              </w:rPr>
              <w:t>a</w:t>
            </w:r>
            <w:r w:rsidR="006D6F1B" w:rsidRPr="1560105E">
              <w:rPr>
                <w:lang w:val="en-US"/>
              </w:rPr>
              <w:t>llowance to recognise the critical role of foster carer</w:t>
            </w:r>
            <w:r w:rsidR="005128F6" w:rsidRPr="1560105E">
              <w:rPr>
                <w:lang w:val="en-US"/>
              </w:rPr>
              <w:t>s</w:t>
            </w:r>
            <w:r w:rsidR="006D6F1B" w:rsidRPr="1560105E">
              <w:rPr>
                <w:lang w:val="en-US"/>
              </w:rPr>
              <w:t xml:space="preserve"> to keep children safe</w:t>
            </w:r>
          </w:p>
          <w:p w14:paraId="5B3721BC" w14:textId="41B57D7B" w:rsidR="00390613" w:rsidRDefault="00441C2B" w:rsidP="00262998">
            <w:pPr>
              <w:pStyle w:val="Bullet1"/>
            </w:pPr>
            <w:r w:rsidRPr="00742452">
              <w:t xml:space="preserve">$49.2 million for </w:t>
            </w:r>
            <w:r w:rsidR="00DF3BC1">
              <w:t>g</w:t>
            </w:r>
            <w:r w:rsidRPr="00742452">
              <w:t>overnment-owned</w:t>
            </w:r>
            <w:r w:rsidR="00390613">
              <w:t>, purpose buil</w:t>
            </w:r>
            <w:r w:rsidR="001E19A8">
              <w:t>t</w:t>
            </w:r>
            <w:r w:rsidR="000001A4">
              <w:t xml:space="preserve"> or upgraded</w:t>
            </w:r>
            <w:r w:rsidRPr="00742452">
              <w:t xml:space="preserve"> residential </w:t>
            </w:r>
            <w:r w:rsidR="00390613">
              <w:t xml:space="preserve">OOHC </w:t>
            </w:r>
            <w:r w:rsidRPr="00742452">
              <w:t>housing</w:t>
            </w:r>
            <w:r w:rsidR="00390613">
              <w:t xml:space="preserve"> that wil</w:t>
            </w:r>
            <w:r w:rsidR="00BD7BFA">
              <w:t>l</w:t>
            </w:r>
            <w:r w:rsidR="00390613">
              <w:t xml:space="preserve"> deliver safe and stable </w:t>
            </w:r>
            <w:r w:rsidRPr="00742452">
              <w:t xml:space="preserve">housing for children </w:t>
            </w:r>
            <w:r w:rsidR="00390613">
              <w:t>over 12 years of age</w:t>
            </w:r>
            <w:r w:rsidR="00BD7BFA">
              <w:t xml:space="preserve"> </w:t>
            </w:r>
            <w:r w:rsidRPr="00742452">
              <w:t>with high and complex needs</w:t>
            </w:r>
          </w:p>
          <w:p w14:paraId="34E212DA" w14:textId="1134A287" w:rsidR="00441C2B" w:rsidRDefault="00DA2469" w:rsidP="00262998">
            <w:pPr>
              <w:pStyle w:val="Bullet1"/>
            </w:pPr>
            <w:r w:rsidRPr="1560105E">
              <w:rPr>
                <w:lang w:val="en-US"/>
              </w:rPr>
              <w:t xml:space="preserve">$10 million to support the Office of the Children’s Guardian </w:t>
            </w:r>
            <w:r w:rsidR="00015450" w:rsidRPr="1560105E">
              <w:rPr>
                <w:lang w:val="en-US"/>
              </w:rPr>
              <w:t xml:space="preserve">to </w:t>
            </w:r>
            <w:r w:rsidRPr="1560105E">
              <w:rPr>
                <w:lang w:val="en-US"/>
              </w:rPr>
              <w:t>continue to oversee organisations and uphold children’s rights to be safe</w:t>
            </w:r>
            <w:r w:rsidR="00587594" w:rsidRPr="1560105E">
              <w:rPr>
                <w:lang w:val="en-US"/>
              </w:rPr>
              <w:t>.</w:t>
            </w:r>
          </w:p>
          <w:p w14:paraId="7F57FFFF" w14:textId="02DFBA21" w:rsidR="001860EA" w:rsidRPr="00FB3016" w:rsidRDefault="00441C2B" w:rsidP="00975AB0">
            <w:pPr>
              <w:pStyle w:val="BodyText"/>
            </w:pPr>
            <w:r w:rsidRPr="1536A65F">
              <w:rPr>
                <w:rFonts w:eastAsia="MS Mincho"/>
                <w:lang w:val="en-US"/>
              </w:rPr>
              <w:t>These</w:t>
            </w:r>
            <w:r w:rsidR="00E35FBB">
              <w:rPr>
                <w:rFonts w:eastAsia="MS Mincho"/>
                <w:lang w:val="en-US"/>
              </w:rPr>
              <w:t xml:space="preserve"> reforms will ensure that every dollar spent delivers better outcomes for vulnerable families</w:t>
            </w:r>
            <w:r w:rsidRPr="1536A65F">
              <w:rPr>
                <w:rFonts w:eastAsia="MS Mincho"/>
                <w:lang w:val="en-US"/>
              </w:rPr>
              <w:t>.</w:t>
            </w:r>
          </w:p>
        </w:tc>
      </w:tr>
    </w:tbl>
    <w:p w14:paraId="2B3E4621" w14:textId="77777777" w:rsidR="008072F3" w:rsidRDefault="008072F3" w:rsidP="00AE0BA3">
      <w:pPr>
        <w:pStyle w:val="Heading3"/>
      </w:pPr>
    </w:p>
    <w:p w14:paraId="3A27C4E8" w14:textId="77777777" w:rsidR="008072F3" w:rsidRDefault="008072F3">
      <w:pPr>
        <w:spacing w:before="360" w:after="120"/>
        <w:ind w:left="851" w:hanging="851"/>
        <w:rPr>
          <w:rFonts w:ascii="Public Sans SemiBold" w:hAnsi="Public Sans SemiBold"/>
          <w:b/>
          <w:bCs/>
          <w:color w:val="000000" w:themeColor="text1"/>
          <w:kern w:val="28"/>
          <w:sz w:val="26"/>
          <w:szCs w:val="28"/>
          <w:lang w:val="en-AU"/>
        </w:rPr>
      </w:pPr>
      <w:r>
        <w:br w:type="page"/>
      </w:r>
    </w:p>
    <w:p w14:paraId="6451CC39" w14:textId="0F152B38" w:rsidR="00DA5CA1" w:rsidRDefault="001860EA" w:rsidP="00AE0BA3">
      <w:pPr>
        <w:pStyle w:val="Heading3"/>
      </w:pPr>
      <w:r>
        <w:lastRenderedPageBreak/>
        <w:t>Emergency services</w:t>
      </w:r>
      <w:r w:rsidR="005F5128">
        <w:t xml:space="preserve"> and police</w:t>
      </w:r>
    </w:p>
    <w:p w14:paraId="388E0847" w14:textId="465FBCDD" w:rsidR="00E41910" w:rsidRPr="00E41910" w:rsidRDefault="005144AF" w:rsidP="00E41910">
      <w:pPr>
        <w:pStyle w:val="BodyText"/>
      </w:pPr>
      <w:r>
        <w:t xml:space="preserve">This Budget invests in services which help keep our community safe, particularly in times of </w:t>
      </w:r>
      <w:r w:rsidR="00E63D5E">
        <w:t>crisis, including:</w:t>
      </w:r>
    </w:p>
    <w:p w14:paraId="12811BC8" w14:textId="56AC073E" w:rsidR="00975AB0" w:rsidRDefault="00975AB0" w:rsidP="00262998">
      <w:pPr>
        <w:pStyle w:val="Bullet1"/>
      </w:pPr>
      <w:r w:rsidRPr="00E0157C">
        <w:t xml:space="preserve">$46.3 million </w:t>
      </w:r>
      <w:r w:rsidR="00B52829">
        <w:t>for a new</w:t>
      </w:r>
      <w:r w:rsidRPr="00E0157C">
        <w:t xml:space="preserve"> replace</w:t>
      </w:r>
      <w:r w:rsidR="00B52829">
        <w:t>ment Police</w:t>
      </w:r>
      <w:r w:rsidRPr="00E0157C">
        <w:t xml:space="preserve"> Class 1 Ocean Patrol Vessel, the Nemesis, </w:t>
      </w:r>
      <w:r>
        <w:t>to</w:t>
      </w:r>
      <w:r w:rsidRPr="00E0157C">
        <w:t xml:space="preserve"> ensure the NSW Police Force can continue to conduct extended offshore operations</w:t>
      </w:r>
    </w:p>
    <w:p w14:paraId="01A71011" w14:textId="0FA8D187" w:rsidR="008B1C96" w:rsidRDefault="00552211" w:rsidP="00262998">
      <w:pPr>
        <w:pStyle w:val="Bullet1"/>
      </w:pPr>
      <w:r w:rsidRPr="1560105E">
        <w:rPr>
          <w:lang w:val="en-US"/>
        </w:rPr>
        <w:t xml:space="preserve">$35.9 million </w:t>
      </w:r>
      <w:r w:rsidR="00B52829" w:rsidRPr="1560105E">
        <w:rPr>
          <w:lang w:val="en-US"/>
        </w:rPr>
        <w:t>for Fire and Rescue NSW</w:t>
      </w:r>
      <w:r w:rsidR="005E74F1" w:rsidRPr="1560105E">
        <w:rPr>
          <w:lang w:val="en-US"/>
        </w:rPr>
        <w:t xml:space="preserve"> </w:t>
      </w:r>
      <w:r w:rsidRPr="1560105E">
        <w:rPr>
          <w:lang w:val="en-US"/>
        </w:rPr>
        <w:t xml:space="preserve">to maintain critical </w:t>
      </w:r>
      <w:r w:rsidR="005E74F1" w:rsidRPr="1560105E">
        <w:rPr>
          <w:lang w:val="en-US"/>
        </w:rPr>
        <w:t xml:space="preserve">frontline </w:t>
      </w:r>
      <w:r w:rsidRPr="1560105E">
        <w:rPr>
          <w:lang w:val="en-US"/>
        </w:rPr>
        <w:t xml:space="preserve">fire, rescue and hazardous materials response services </w:t>
      </w:r>
    </w:p>
    <w:p w14:paraId="2CAC2CBF" w14:textId="7CE645C6" w:rsidR="00975AB0" w:rsidRDefault="00975AB0" w:rsidP="00262998">
      <w:pPr>
        <w:pStyle w:val="Bullet1"/>
      </w:pPr>
      <w:r w:rsidRPr="1560105E">
        <w:rPr>
          <w:lang w:val="en-US"/>
        </w:rPr>
        <w:t xml:space="preserve">$34.4 million for the NSW Rural Fire Service to </w:t>
      </w:r>
      <w:r w:rsidR="005E74F1" w:rsidRPr="1560105E">
        <w:rPr>
          <w:lang w:val="en-US"/>
        </w:rPr>
        <w:t xml:space="preserve">continue leasing its essential </w:t>
      </w:r>
      <w:r w:rsidR="00B021D6" w:rsidRPr="1560105E">
        <w:rPr>
          <w:lang w:val="en-US"/>
        </w:rPr>
        <w:t>fixed wing aircraft and helicopters for emergencies</w:t>
      </w:r>
    </w:p>
    <w:p w14:paraId="26F05B70" w14:textId="5A7AF1D9" w:rsidR="0016207E" w:rsidRDefault="00B123DD" w:rsidP="009A7E2E">
      <w:pPr>
        <w:pStyle w:val="Bullet1"/>
      </w:pPr>
      <w:r w:rsidRPr="1560105E">
        <w:rPr>
          <w:lang w:val="en-US"/>
        </w:rPr>
        <w:t>$</w:t>
      </w:r>
      <w:r w:rsidR="0092097A" w:rsidRPr="1560105E">
        <w:rPr>
          <w:lang w:val="en-US"/>
        </w:rPr>
        <w:t>33.9</w:t>
      </w:r>
      <w:r w:rsidRPr="1560105E">
        <w:rPr>
          <w:lang w:val="en-US"/>
        </w:rPr>
        <w:t xml:space="preserve"> million to strengthen the Public Safety Network to better support Emergency Services </w:t>
      </w:r>
      <w:r w:rsidR="000C012C" w:rsidRPr="1560105E">
        <w:rPr>
          <w:lang w:val="en-US"/>
        </w:rPr>
        <w:t>O</w:t>
      </w:r>
      <w:r w:rsidRPr="1560105E">
        <w:rPr>
          <w:lang w:val="en-US"/>
        </w:rPr>
        <w:t>rganisations, government agencies and local councils in delivering critical services that protect communities and infrastructure</w:t>
      </w:r>
    </w:p>
    <w:p w14:paraId="5F351235" w14:textId="4F4EBD3D" w:rsidR="0092097A" w:rsidRPr="00587FA6" w:rsidRDefault="00587FA6" w:rsidP="00262998">
      <w:pPr>
        <w:pStyle w:val="Bullet1"/>
      </w:pPr>
      <w:r w:rsidRPr="1560105E">
        <w:rPr>
          <w:lang w:val="en-US"/>
        </w:rPr>
        <w:t>$11.5 million to expand Fire and Rescue NSW’s Class 3 Appliance Renewal program which will deliver an additional 10 firefighting vehicles over the next two years. The program accelerates the replacement of ageing pumpers to maintain a target service life of 15</w:t>
      </w:r>
      <w:r w:rsidR="00F040F4">
        <w:rPr>
          <w:lang w:val="en-US"/>
        </w:rPr>
        <w:t> </w:t>
      </w:r>
      <w:r w:rsidRPr="1560105E">
        <w:rPr>
          <w:lang w:val="en-US"/>
        </w:rPr>
        <w:t>years, thereby helping to keep emergency response vehicles fit</w:t>
      </w:r>
      <w:r w:rsidR="000C4210">
        <w:rPr>
          <w:lang w:val="en-US"/>
        </w:rPr>
        <w:t xml:space="preserve"> </w:t>
      </w:r>
      <w:r w:rsidRPr="1560105E">
        <w:rPr>
          <w:lang w:val="en-US"/>
        </w:rPr>
        <w:t>for</w:t>
      </w:r>
      <w:r w:rsidR="000C4210">
        <w:rPr>
          <w:lang w:val="en-US"/>
        </w:rPr>
        <w:t xml:space="preserve"> </w:t>
      </w:r>
      <w:r w:rsidRPr="1560105E">
        <w:rPr>
          <w:lang w:val="en-US"/>
        </w:rPr>
        <w:t>purpose</w:t>
      </w:r>
    </w:p>
    <w:p w14:paraId="6A56FBED" w14:textId="502CBBFF" w:rsidR="0070756E" w:rsidRPr="00CA521E" w:rsidRDefault="00975AB0" w:rsidP="00262998">
      <w:pPr>
        <w:pStyle w:val="Bullet1"/>
      </w:pPr>
      <w:r w:rsidRPr="1560105E">
        <w:rPr>
          <w:lang w:val="en-US"/>
        </w:rPr>
        <w:t xml:space="preserve">$6.0 million for </w:t>
      </w:r>
      <w:r w:rsidR="0092097A" w:rsidRPr="1560105E">
        <w:rPr>
          <w:lang w:val="en-US"/>
        </w:rPr>
        <w:t xml:space="preserve">the </w:t>
      </w:r>
      <w:r w:rsidRPr="1560105E">
        <w:rPr>
          <w:lang w:val="en-US"/>
        </w:rPr>
        <w:t xml:space="preserve">NSW Police </w:t>
      </w:r>
      <w:r w:rsidR="0092097A" w:rsidRPr="1560105E">
        <w:rPr>
          <w:lang w:val="en-US"/>
        </w:rPr>
        <w:t>Force</w:t>
      </w:r>
      <w:r w:rsidRPr="1560105E">
        <w:rPr>
          <w:lang w:val="en-US"/>
        </w:rPr>
        <w:t xml:space="preserve"> to purchase critical communications and analysis equipment to assist in specialist investigations to disrupt crime and keep citizens of New South Wales safe</w:t>
      </w:r>
    </w:p>
    <w:p w14:paraId="639CC04C" w14:textId="7077543A" w:rsidR="00D71DFB" w:rsidRDefault="00552211" w:rsidP="00262998">
      <w:pPr>
        <w:pStyle w:val="Bullet1"/>
      </w:pPr>
      <w:r w:rsidRPr="1560105E">
        <w:rPr>
          <w:lang w:val="en-US"/>
        </w:rPr>
        <w:t xml:space="preserve">$5.5 million to deliver eight Class 1 </w:t>
      </w:r>
      <w:r w:rsidR="0092097A" w:rsidRPr="1560105E">
        <w:rPr>
          <w:lang w:val="en-US"/>
        </w:rPr>
        <w:t>vehicl</w:t>
      </w:r>
      <w:r w:rsidRPr="1560105E">
        <w:rPr>
          <w:lang w:val="en-US"/>
        </w:rPr>
        <w:t>es</w:t>
      </w:r>
      <w:r w:rsidR="008C201C" w:rsidRPr="1560105E">
        <w:rPr>
          <w:lang w:val="en-US"/>
        </w:rPr>
        <w:t xml:space="preserve"> to enhance </w:t>
      </w:r>
      <w:r w:rsidR="00AC6156" w:rsidRPr="1560105E">
        <w:rPr>
          <w:lang w:val="en-US"/>
        </w:rPr>
        <w:t>F</w:t>
      </w:r>
      <w:r w:rsidR="008B1C96" w:rsidRPr="1560105E">
        <w:rPr>
          <w:lang w:val="en-US"/>
        </w:rPr>
        <w:t>ire and Rescue NSW</w:t>
      </w:r>
      <w:r w:rsidRPr="1560105E">
        <w:rPr>
          <w:lang w:val="en-US"/>
        </w:rPr>
        <w:t xml:space="preserve"> operational flexibility, support regional response capacity, strengthen community resilience and meet increased demand for emergency services</w:t>
      </w:r>
      <w:r w:rsidR="00975AB0" w:rsidRPr="1560105E">
        <w:rPr>
          <w:lang w:val="en-US"/>
        </w:rPr>
        <w:t>.</w:t>
      </w:r>
      <w:r w:rsidR="00D71DFB" w:rsidRPr="1560105E">
        <w:rPr>
          <w:lang w:val="en-US"/>
        </w:rPr>
        <w:t xml:space="preserve"> </w:t>
      </w:r>
    </w:p>
    <w:p w14:paraId="11197646" w14:textId="384686E6" w:rsidR="00DF1E8A" w:rsidRPr="00C330D9" w:rsidRDefault="00DF1E8A" w:rsidP="00AE0BA3">
      <w:pPr>
        <w:pStyle w:val="Heading3"/>
        <w:rPr>
          <w:lang w:val="en-US"/>
        </w:rPr>
      </w:pPr>
      <w:r>
        <w:rPr>
          <w:lang w:val="en-US"/>
        </w:rPr>
        <w:t>Environment, water and energy</w:t>
      </w:r>
    </w:p>
    <w:p w14:paraId="5B37351A" w14:textId="00748395" w:rsidR="002E7080" w:rsidRDefault="002E7080" w:rsidP="007A130B">
      <w:pPr>
        <w:pStyle w:val="BodyText"/>
      </w:pPr>
      <w:r w:rsidRPr="32E4C758">
        <w:rPr>
          <w:lang w:val="en-US"/>
        </w:rPr>
        <w:t>The Government remains committed to a sustainable and healthy environment, through investment in protecting and restoring our environment through:</w:t>
      </w:r>
    </w:p>
    <w:p w14:paraId="54229249" w14:textId="1B22629F" w:rsidR="00DF1E8A" w:rsidRDefault="00017A3B" w:rsidP="00262998">
      <w:pPr>
        <w:pStyle w:val="Bullet1"/>
      </w:pPr>
      <w:r w:rsidRPr="00C753F8">
        <w:t>$472.9 million</w:t>
      </w:r>
      <w:r>
        <w:t xml:space="preserve"> over four years</w:t>
      </w:r>
      <w:r w:rsidRPr="00C753F8">
        <w:t xml:space="preserve"> for long lasting biodiversity protections and environmental management through improving</w:t>
      </w:r>
      <w:r w:rsidR="004E03BF">
        <w:t xml:space="preserve"> the</w:t>
      </w:r>
      <w:r w:rsidRPr="00C753F8">
        <w:t xml:space="preserve"> Biodiversity Offset Scheme, nature protection, visitor infrastructure in national parks, biodiversity </w:t>
      </w:r>
      <w:r w:rsidRPr="00170F46">
        <w:t>conservation and</w:t>
      </w:r>
      <w:r w:rsidRPr="00C753F8">
        <w:t xml:space="preserve"> environmental water management </w:t>
      </w:r>
    </w:p>
    <w:p w14:paraId="326F448A" w14:textId="1B17FF79" w:rsidR="00B37963" w:rsidRPr="004313BB" w:rsidRDefault="00B37963" w:rsidP="00262998">
      <w:pPr>
        <w:pStyle w:val="Bullet1"/>
      </w:pPr>
      <w:r w:rsidRPr="00FB79E3">
        <w:rPr>
          <w:szCs w:val="22"/>
        </w:rPr>
        <w:t>$319</w:t>
      </w:r>
      <w:r>
        <w:rPr>
          <w:szCs w:val="22"/>
        </w:rPr>
        <w:t>.</w:t>
      </w:r>
      <w:r w:rsidR="00FE31ED">
        <w:rPr>
          <w:szCs w:val="22"/>
        </w:rPr>
        <w:t>1</w:t>
      </w:r>
      <w:r w:rsidRPr="00FB79E3">
        <w:rPr>
          <w:szCs w:val="22"/>
        </w:rPr>
        <w:t xml:space="preserve"> </w:t>
      </w:r>
      <w:r>
        <w:rPr>
          <w:szCs w:val="22"/>
        </w:rPr>
        <w:t xml:space="preserve">million </w:t>
      </w:r>
      <w:r w:rsidRPr="00FB79E3">
        <w:rPr>
          <w:szCs w:val="22"/>
        </w:rPr>
        <w:t>for the Sustainable Diversion Limit Adjustment Mechanism Program to improve river health and increase the amount of water returned to the environment</w:t>
      </w:r>
      <w:r w:rsidRPr="4C80CBC5">
        <w:rPr>
          <w:lang w:val="en-US"/>
        </w:rPr>
        <w:t xml:space="preserve"> </w:t>
      </w:r>
    </w:p>
    <w:p w14:paraId="4D52F04E" w14:textId="2CF31223" w:rsidR="00DF1E8A" w:rsidRDefault="00DF1E8A" w:rsidP="00262998">
      <w:pPr>
        <w:pStyle w:val="Bullet1"/>
      </w:pPr>
      <w:r w:rsidRPr="4C80CBC5">
        <w:t>$2</w:t>
      </w:r>
      <w:r w:rsidR="00017A3B">
        <w:t>1.5</w:t>
      </w:r>
      <w:r w:rsidRPr="4C80CBC5">
        <w:t xml:space="preserve"> million for the Stockton Beach Repair Project</w:t>
      </w:r>
      <w:r w:rsidR="002D3ED1">
        <w:t xml:space="preserve"> to </w:t>
      </w:r>
      <w:r w:rsidRPr="4C80CBC5">
        <w:t xml:space="preserve">nourish sand on the beach to protect assets, rehabilitate the coast and restore beach useability </w:t>
      </w:r>
    </w:p>
    <w:p w14:paraId="38A746D6" w14:textId="58CC6B53" w:rsidR="00AA69E4" w:rsidRDefault="00AA69E4" w:rsidP="00262998">
      <w:pPr>
        <w:pStyle w:val="Bullet1"/>
      </w:pPr>
      <w:r>
        <w:t>$5.</w:t>
      </w:r>
      <w:r w:rsidR="005A4A57">
        <w:t>3</w:t>
      </w:r>
      <w:r>
        <w:t xml:space="preserve"> million to allow free entry for eligible veterans into national parks and reserves</w:t>
      </w:r>
    </w:p>
    <w:p w14:paraId="0DE57F8C" w14:textId="474FDCBA" w:rsidR="00F86A41" w:rsidRPr="002F5F89" w:rsidRDefault="00F86A41" w:rsidP="00262998">
      <w:pPr>
        <w:pStyle w:val="Bullet1"/>
      </w:pPr>
      <w:r w:rsidRPr="1C62150C">
        <w:rPr>
          <w:lang w:val="en-US"/>
        </w:rPr>
        <w:t>$3.0 million in 2025-26 for the installation of new pumps to improve water quality for Coogee stormwater and to divert stormwater flows from the northern drain to the old wastewater outfall at Dolphin Point.</w:t>
      </w:r>
    </w:p>
    <w:p w14:paraId="1CC4C809" w14:textId="77777777" w:rsidR="0053179F" w:rsidRDefault="0053179F">
      <w:pPr>
        <w:spacing w:before="360" w:after="120"/>
        <w:ind w:left="851" w:hanging="851"/>
        <w:rPr>
          <w:rFonts w:ascii="Public Sans" w:eastAsiaTheme="minorEastAsia" w:hAnsi="Public Sans" w:cs="Arial"/>
          <w:iCs/>
          <w:color w:val="000000" w:themeColor="text1"/>
          <w:sz w:val="22"/>
          <w:szCs w:val="23"/>
          <w:lang w:eastAsia="en-AU"/>
        </w:rPr>
      </w:pPr>
      <w:r>
        <w:br w:type="page"/>
      </w:r>
    </w:p>
    <w:tbl>
      <w:tblPr>
        <w:tblStyle w:val="TableGrid"/>
        <w:tblW w:w="96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9638"/>
      </w:tblGrid>
      <w:tr w:rsidR="00FF5BA5" w:rsidRPr="009865BB" w14:paraId="00FC60EA" w14:textId="77777777" w:rsidTr="008A0D7D">
        <w:trPr>
          <w:jc w:val="center"/>
        </w:trPr>
        <w:tc>
          <w:tcPr>
            <w:tcW w:w="9638" w:type="dxa"/>
            <w:shd w:val="pct5" w:color="auto" w:fill="auto"/>
          </w:tcPr>
          <w:p w14:paraId="1AB8A5DA" w14:textId="55838C49" w:rsidR="00FF5BA5" w:rsidRDefault="004E12DE" w:rsidP="00FF5BA5">
            <w:pPr>
              <w:pStyle w:val="Box3XBoxHeading"/>
            </w:pPr>
            <w:r>
              <w:lastRenderedPageBreak/>
              <w:t>Energy Infrastructure Roadmap</w:t>
            </w:r>
          </w:p>
          <w:p w14:paraId="5DC25F32" w14:textId="1ABEBD41" w:rsidR="00A62C84" w:rsidRDefault="007C1DFF" w:rsidP="009A54D1">
            <w:pPr>
              <w:pStyle w:val="BodyText"/>
              <w:spacing w:after="0"/>
              <w:rPr>
                <w:lang w:val="en-US"/>
              </w:rPr>
            </w:pPr>
            <w:r w:rsidRPr="1536A65F">
              <w:rPr>
                <w:lang w:val="en-US"/>
              </w:rPr>
              <w:t xml:space="preserve">The Roadmap is NSW’s </w:t>
            </w:r>
            <w:r w:rsidR="00882F21" w:rsidRPr="1536A65F">
              <w:rPr>
                <w:lang w:val="en-US"/>
              </w:rPr>
              <w:t>20-year</w:t>
            </w:r>
            <w:r w:rsidRPr="1536A65F">
              <w:rPr>
                <w:lang w:val="en-US"/>
              </w:rPr>
              <w:t xml:space="preserve"> plan to transform our electricity system to provide affordable, clean and reliable energy. It is based on developing five Renewable Energy Zones (REZs) across N</w:t>
            </w:r>
            <w:r w:rsidR="00882F21" w:rsidRPr="1536A65F">
              <w:rPr>
                <w:lang w:val="en-US"/>
              </w:rPr>
              <w:t xml:space="preserve">ew </w:t>
            </w:r>
            <w:r w:rsidRPr="1536A65F">
              <w:rPr>
                <w:lang w:val="en-US"/>
              </w:rPr>
              <w:t>S</w:t>
            </w:r>
            <w:r w:rsidR="00882F21" w:rsidRPr="1536A65F">
              <w:rPr>
                <w:lang w:val="en-US"/>
              </w:rPr>
              <w:t xml:space="preserve">outh </w:t>
            </w:r>
            <w:r w:rsidRPr="1536A65F">
              <w:rPr>
                <w:lang w:val="en-US"/>
              </w:rPr>
              <w:t>W</w:t>
            </w:r>
            <w:r w:rsidR="00882F21" w:rsidRPr="1536A65F">
              <w:rPr>
                <w:lang w:val="en-US"/>
              </w:rPr>
              <w:t>ales</w:t>
            </w:r>
            <w:r w:rsidRPr="1536A65F">
              <w:rPr>
                <w:lang w:val="en-US"/>
              </w:rPr>
              <w:t xml:space="preserve"> that have the benefit of favourable network access and/or ideal opportunities for renewable generation.</w:t>
            </w:r>
          </w:p>
          <w:p w14:paraId="79528597" w14:textId="24051424" w:rsidR="009777D5" w:rsidRPr="00C455CE" w:rsidRDefault="005943A6" w:rsidP="005746C1">
            <w:pPr>
              <w:jc w:val="center"/>
            </w:pPr>
            <w:r>
              <w:object w:dxaOrig="4320" w:dyaOrig="2762" w14:anchorId="6CC61B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8pt;height:252pt" o:ole="">
                  <v:imagedata r:id="rId12" o:title="" chromakey="white"/>
                </v:shape>
                <o:OLEObject Type="Embed" ProgID="PBrush" ShapeID="_x0000_i1025" DrawAspect="Content" ObjectID="_1812117874" r:id="rId13"/>
              </w:object>
            </w:r>
          </w:p>
          <w:p w14:paraId="78CFBE09" w14:textId="4B9C516D" w:rsidR="007C1DFF" w:rsidRDefault="007C1DFF" w:rsidP="00EA03C9">
            <w:pPr>
              <w:pStyle w:val="BodyText"/>
            </w:pPr>
            <w:r w:rsidRPr="00C455CE">
              <w:t>Just over half of the minimum 12 gigawatts of renewable generation and 40</w:t>
            </w:r>
            <w:r>
              <w:t xml:space="preserve"> per cent</w:t>
            </w:r>
            <w:r w:rsidRPr="00C455CE">
              <w:t xml:space="preserve"> of the </w:t>
            </w:r>
            <w:r>
              <w:t>two</w:t>
            </w:r>
            <w:r w:rsidRPr="00C455CE">
              <w:t xml:space="preserve"> gigawatts of long duration storage required by 2030 is locked in.</w:t>
            </w:r>
            <w:r>
              <w:t xml:space="preserve"> This year’s highlights include the following:</w:t>
            </w:r>
          </w:p>
          <w:p w14:paraId="54BA5D00" w14:textId="7681FB9A" w:rsidR="007C1DFF" w:rsidRPr="00374B8F" w:rsidRDefault="007C1DFF" w:rsidP="00262998">
            <w:pPr>
              <w:pStyle w:val="Bullet1"/>
              <w:rPr>
                <w:lang w:val="en-US"/>
              </w:rPr>
            </w:pPr>
            <w:r w:rsidRPr="1560105E">
              <w:rPr>
                <w:lang w:val="en-US"/>
              </w:rPr>
              <w:t xml:space="preserve">Central West Orana REZ: </w:t>
            </w:r>
            <w:r w:rsidR="00300EEB">
              <w:rPr>
                <w:lang w:val="en-US"/>
              </w:rPr>
              <w:t>c</w:t>
            </w:r>
            <w:r w:rsidRPr="1560105E">
              <w:rPr>
                <w:lang w:val="en-US"/>
              </w:rPr>
              <w:t xml:space="preserve">ontracted for the delivery of the new transmission link, with construction to start in mid-2025, and awarded access rights to ten projects </w:t>
            </w:r>
            <w:r w:rsidR="13796541" w:rsidRPr="0A4F62BD">
              <w:rPr>
                <w:lang w:val="en-US"/>
              </w:rPr>
              <w:t>tota</w:t>
            </w:r>
            <w:r w:rsidR="70DED30E" w:rsidRPr="0A4F62BD">
              <w:rPr>
                <w:lang w:val="en-US"/>
              </w:rPr>
              <w:t>l</w:t>
            </w:r>
            <w:r w:rsidR="13796541" w:rsidRPr="0A4F62BD">
              <w:rPr>
                <w:lang w:val="en-US"/>
              </w:rPr>
              <w:t>ling</w:t>
            </w:r>
            <w:r w:rsidRPr="1560105E">
              <w:rPr>
                <w:lang w:val="en-US"/>
              </w:rPr>
              <w:t xml:space="preserve"> 7.15 gigawatts of generation and storage.</w:t>
            </w:r>
          </w:p>
          <w:p w14:paraId="0C8E9B0D" w14:textId="366DB000" w:rsidR="007C1DFF" w:rsidRPr="00374B8F" w:rsidRDefault="007C1DFF" w:rsidP="00262998">
            <w:pPr>
              <w:pStyle w:val="Bullet1"/>
            </w:pPr>
            <w:r w:rsidRPr="1EFEDB12">
              <w:t>South West REZ: awarded access rights to four projects with a combined generation capacity of 3.56 gigawatts and continued construction of</w:t>
            </w:r>
            <w:r w:rsidR="00834918">
              <w:t xml:space="preserve"> </w:t>
            </w:r>
            <w:r w:rsidRPr="1EFEDB12">
              <w:rPr>
                <w:i/>
              </w:rPr>
              <w:t>EnergyConnect</w:t>
            </w:r>
            <w:r w:rsidRPr="1EFEDB12">
              <w:t xml:space="preserve"> (by Transgrid), a new 900km transmission line connecting the three state energy grids.</w:t>
            </w:r>
          </w:p>
          <w:p w14:paraId="55DEF13A" w14:textId="1F818567" w:rsidR="007C1DFF" w:rsidRPr="00374B8F" w:rsidRDefault="007C1DFF" w:rsidP="00262998">
            <w:pPr>
              <w:pStyle w:val="Bullet1"/>
            </w:pPr>
            <w:r w:rsidRPr="1560105E">
              <w:rPr>
                <w:lang w:val="en-US"/>
              </w:rPr>
              <w:t xml:space="preserve">Hunter – Central Coast REZ: </w:t>
            </w:r>
            <w:r w:rsidR="00300EEB">
              <w:rPr>
                <w:lang w:val="en-US"/>
              </w:rPr>
              <w:t>a</w:t>
            </w:r>
            <w:r w:rsidRPr="1560105E">
              <w:rPr>
                <w:lang w:val="en-US"/>
              </w:rPr>
              <w:t>ppointed AusGrid as the preferred network operator to upgrade the existing network, minimising impacts on communities and the environment</w:t>
            </w:r>
            <w:r w:rsidRPr="1560105E">
              <w:rPr>
                <w:sz w:val="27"/>
                <w:szCs w:val="27"/>
                <w:lang w:val="en-US"/>
              </w:rPr>
              <w:t>.</w:t>
            </w:r>
          </w:p>
          <w:p w14:paraId="64D91E0D" w14:textId="76A0AFAA" w:rsidR="007C1DFF" w:rsidRPr="00374B8F" w:rsidRDefault="007C1DFF" w:rsidP="00262998">
            <w:pPr>
              <w:pStyle w:val="Bullet1"/>
            </w:pPr>
            <w:r w:rsidRPr="009865BB">
              <w:t>Waratah Super Battery</w:t>
            </w:r>
            <w:r w:rsidRPr="00374B8F">
              <w:t xml:space="preserve">: one of the largest batteries in the world finished construction in October 2024 and is </w:t>
            </w:r>
            <w:r w:rsidR="007745C0">
              <w:t xml:space="preserve">undergoing </w:t>
            </w:r>
            <w:r w:rsidR="00217AA2">
              <w:t>final testing</w:t>
            </w:r>
            <w:r w:rsidRPr="00374B8F">
              <w:t>.</w:t>
            </w:r>
          </w:p>
          <w:p w14:paraId="7862CCB5" w14:textId="77777777" w:rsidR="007C1DFF" w:rsidRPr="00374B8F" w:rsidRDefault="007C1DFF" w:rsidP="00262998">
            <w:pPr>
              <w:pStyle w:val="Bullet1"/>
            </w:pPr>
            <w:r w:rsidRPr="1EFEDB12">
              <w:t>Hunter Transmission Project: appointed Transgrid as the preferred network operator</w:t>
            </w:r>
            <w:r w:rsidRPr="1EFEDB12">
              <w:rPr>
                <w:rFonts w:ascii="Public Sans Light" w:hAnsi="Public Sans Light"/>
                <w:color w:val="22272B"/>
                <w:lang w:val="en-US"/>
              </w:rPr>
              <w:t>.</w:t>
            </w:r>
          </w:p>
          <w:p w14:paraId="015442DB" w14:textId="46E78AD2" w:rsidR="007C1DFF" w:rsidRPr="00374B8F" w:rsidRDefault="007C1DFF" w:rsidP="00262998">
            <w:pPr>
              <w:pStyle w:val="Bullet1"/>
            </w:pPr>
            <w:r w:rsidRPr="009865BB">
              <w:t>New England REZ</w:t>
            </w:r>
            <w:r w:rsidRPr="00374B8F">
              <w:t xml:space="preserve">: </w:t>
            </w:r>
            <w:r w:rsidR="00300EEB">
              <w:t>l</w:t>
            </w:r>
            <w:r w:rsidRPr="00374B8F">
              <w:t>aunched a registration of interest process for a network operator for the new transmission line.</w:t>
            </w:r>
          </w:p>
          <w:p w14:paraId="18956BDB" w14:textId="3BC5824A" w:rsidR="007C1DFF" w:rsidRPr="00374B8F" w:rsidRDefault="007C1DFF" w:rsidP="00262998">
            <w:pPr>
              <w:pStyle w:val="Bullet1"/>
            </w:pPr>
            <w:r w:rsidRPr="4C80CBC5">
              <w:t xml:space="preserve">Illawarra REZ: </w:t>
            </w:r>
            <w:r w:rsidR="00300EEB">
              <w:t>a</w:t>
            </w:r>
            <w:r w:rsidRPr="4C80CBC5">
              <w:t>nnounced as an urban renewable zone focusing on local energy solutions.</w:t>
            </w:r>
          </w:p>
          <w:p w14:paraId="37576F0D" w14:textId="65F9BBC3" w:rsidR="007C1DFF" w:rsidRPr="00374B8F" w:rsidRDefault="007C1DFF" w:rsidP="00262998">
            <w:pPr>
              <w:pStyle w:val="Bullet1"/>
              <w:rPr>
                <w:lang w:val="en-US"/>
              </w:rPr>
            </w:pPr>
            <w:r w:rsidRPr="1EFEDB12">
              <w:t>Broken Hill:</w:t>
            </w:r>
            <w:r w:rsidRPr="1EFEDB12">
              <w:rPr>
                <w:rStyle w:val="Heading1Char"/>
                <w:rFonts w:ascii="Public Sans Light" w:hAnsi="Public Sans Light"/>
                <w:color w:val="22272B"/>
                <w:lang w:val="en-US"/>
              </w:rPr>
              <w:t xml:space="preserve"> </w:t>
            </w:r>
            <w:r w:rsidRPr="1EFEDB12">
              <w:t xml:space="preserve">The Silver City Energy Storage Centre has </w:t>
            </w:r>
            <w:r w:rsidR="006C7302">
              <w:t>received</w:t>
            </w:r>
            <w:r w:rsidRPr="1EFEDB12">
              <w:t xml:space="preserve"> planning approval. It will transform a mine site into a first-of-its-kind compressed air energy storage system.</w:t>
            </w:r>
            <w:r w:rsidRPr="1EFEDB12">
              <w:rPr>
                <w:rFonts w:ascii="Public Sans Light" w:hAnsi="Public Sans Light"/>
                <w:color w:val="22272B"/>
                <w:lang w:val="en-US"/>
              </w:rPr>
              <w:t> </w:t>
            </w:r>
          </w:p>
          <w:p w14:paraId="304C176F" w14:textId="324798C0" w:rsidR="007C1DFF" w:rsidRPr="00374B8F" w:rsidRDefault="007C1DFF" w:rsidP="00262998">
            <w:pPr>
              <w:pStyle w:val="Bullet1"/>
            </w:pPr>
            <w:r w:rsidRPr="1560105E">
              <w:rPr>
                <w:lang w:val="en-US"/>
              </w:rPr>
              <w:t>Secured</w:t>
            </w:r>
            <w:r w:rsidRPr="1560105E" w:rsidDel="008D73C1">
              <w:rPr>
                <w:lang w:val="en-US"/>
              </w:rPr>
              <w:t xml:space="preserve"> </w:t>
            </w:r>
            <w:r w:rsidR="008D73C1" w:rsidRPr="1560105E">
              <w:rPr>
                <w:lang w:val="en-US"/>
              </w:rPr>
              <w:t xml:space="preserve">Australian Government </w:t>
            </w:r>
            <w:r w:rsidRPr="1560105E">
              <w:rPr>
                <w:lang w:val="en-US"/>
              </w:rPr>
              <w:t>support for 3.7 gigawatt</w:t>
            </w:r>
            <w:r w:rsidR="00514B25" w:rsidRPr="1560105E">
              <w:rPr>
                <w:lang w:val="en-US"/>
              </w:rPr>
              <w:t>s</w:t>
            </w:r>
            <w:r w:rsidRPr="1560105E">
              <w:rPr>
                <w:lang w:val="en-US"/>
              </w:rPr>
              <w:t xml:space="preserve"> of renewable generation in the Capacity Investment Scheme, in the Central-West Orana, New England and South-West REZs.</w:t>
            </w:r>
          </w:p>
          <w:p w14:paraId="17FDDC62" w14:textId="7FBBD32A" w:rsidR="00FF5BA5" w:rsidRPr="009865BB" w:rsidRDefault="007C1DFF" w:rsidP="00262998">
            <w:pPr>
              <w:pStyle w:val="Bullet1"/>
            </w:pPr>
            <w:r w:rsidRPr="00374B8F">
              <w:t xml:space="preserve">Committed $115.5 million to build the </w:t>
            </w:r>
            <w:r w:rsidRPr="009865BB">
              <w:t>Newcastle Logistics Precinct</w:t>
            </w:r>
            <w:r w:rsidRPr="00374B8F">
              <w:t>, a</w:t>
            </w:r>
            <w:r w:rsidRPr="00FD29A1">
              <w:t xml:space="preserve"> critical new hub </w:t>
            </w:r>
            <w:r>
              <w:t>to manage the movement of large renewable components.</w:t>
            </w:r>
          </w:p>
        </w:tc>
      </w:tr>
    </w:tbl>
    <w:p w14:paraId="47BFF9B3" w14:textId="77777777" w:rsidR="00C53A85" w:rsidRDefault="00C53A85" w:rsidP="005E7E10"/>
    <w:p w14:paraId="3396AE40" w14:textId="07A54F08" w:rsidR="001860EA" w:rsidRPr="003F0443" w:rsidRDefault="001860EA" w:rsidP="00AE0BA3">
      <w:pPr>
        <w:pStyle w:val="Heading3"/>
        <w:rPr>
          <w:lang w:val="en-US"/>
        </w:rPr>
      </w:pPr>
      <w:r w:rsidRPr="40294498">
        <w:rPr>
          <w:lang w:val="en-US"/>
        </w:rPr>
        <w:lastRenderedPageBreak/>
        <w:t>Cost</w:t>
      </w:r>
      <w:r w:rsidR="7B0C83AB" w:rsidRPr="40294498">
        <w:rPr>
          <w:lang w:val="en-US"/>
        </w:rPr>
        <w:t>-</w:t>
      </w:r>
      <w:r w:rsidRPr="40294498">
        <w:rPr>
          <w:lang w:val="en-US"/>
        </w:rPr>
        <w:t>of</w:t>
      </w:r>
      <w:r w:rsidR="7398A906" w:rsidRPr="40294498">
        <w:rPr>
          <w:lang w:val="en-US"/>
        </w:rPr>
        <w:t>-</w:t>
      </w:r>
      <w:r w:rsidRPr="40294498">
        <w:rPr>
          <w:lang w:val="en-US"/>
        </w:rPr>
        <w:t>living support</w:t>
      </w:r>
    </w:p>
    <w:p w14:paraId="187D6EB4" w14:textId="7AD4C881" w:rsidR="00F84F66" w:rsidRDefault="000861D3" w:rsidP="00EA03C9">
      <w:pPr>
        <w:pStyle w:val="BodyText"/>
      </w:pPr>
      <w:r w:rsidRPr="4C80CBC5">
        <w:rPr>
          <w:lang w:val="en-US"/>
        </w:rPr>
        <w:t xml:space="preserve">The Government </w:t>
      </w:r>
      <w:r w:rsidR="00B7146E" w:rsidRPr="4C80CBC5">
        <w:rPr>
          <w:lang w:val="en-US"/>
        </w:rPr>
        <w:t xml:space="preserve">has responded to the </w:t>
      </w:r>
      <w:r w:rsidR="004812DC" w:rsidRPr="4C80CBC5">
        <w:rPr>
          <w:lang w:val="en-US"/>
        </w:rPr>
        <w:t xml:space="preserve">financial </w:t>
      </w:r>
      <w:r w:rsidR="00B9130B" w:rsidRPr="4C80CBC5">
        <w:rPr>
          <w:lang w:val="en-US"/>
        </w:rPr>
        <w:t>burden</w:t>
      </w:r>
      <w:r w:rsidR="00B7146E" w:rsidRPr="4C80CBC5">
        <w:rPr>
          <w:lang w:val="en-US"/>
        </w:rPr>
        <w:t xml:space="preserve"> confronting </w:t>
      </w:r>
      <w:r w:rsidR="004812DC" w:rsidRPr="4C80CBC5">
        <w:rPr>
          <w:lang w:val="en-US"/>
        </w:rPr>
        <w:t xml:space="preserve">NSW households arising from a unique range of circumstances </w:t>
      </w:r>
      <w:r w:rsidR="00512139" w:rsidRPr="4C80CBC5">
        <w:rPr>
          <w:lang w:val="en-US"/>
        </w:rPr>
        <w:t xml:space="preserve">that have placed </w:t>
      </w:r>
      <w:r w:rsidR="005411F1" w:rsidRPr="4C80CBC5">
        <w:rPr>
          <w:lang w:val="en-US"/>
        </w:rPr>
        <w:t>cost</w:t>
      </w:r>
      <w:r w:rsidR="00E46642">
        <w:noBreakHyphen/>
      </w:r>
      <w:r w:rsidR="005411F1" w:rsidRPr="4C80CBC5">
        <w:rPr>
          <w:lang w:val="en-US"/>
        </w:rPr>
        <w:t>of</w:t>
      </w:r>
      <w:r w:rsidR="00E46642">
        <w:noBreakHyphen/>
      </w:r>
      <w:r w:rsidR="005411F1" w:rsidRPr="4C80CBC5">
        <w:rPr>
          <w:lang w:val="en-US"/>
        </w:rPr>
        <w:t xml:space="preserve">living </w:t>
      </w:r>
      <w:r w:rsidR="00512139" w:rsidRPr="4C80CBC5">
        <w:rPr>
          <w:lang w:val="en-US"/>
        </w:rPr>
        <w:t>pressure</w:t>
      </w:r>
      <w:r w:rsidR="005411F1" w:rsidRPr="4C80CBC5">
        <w:rPr>
          <w:lang w:val="en-US"/>
        </w:rPr>
        <w:t xml:space="preserve"> on </w:t>
      </w:r>
      <w:r w:rsidR="00944ACC" w:rsidRPr="4C80CBC5">
        <w:rPr>
          <w:lang w:val="en-US"/>
        </w:rPr>
        <w:t>household</w:t>
      </w:r>
      <w:r w:rsidR="005411F1" w:rsidRPr="4C80CBC5">
        <w:rPr>
          <w:lang w:val="en-US"/>
        </w:rPr>
        <w:t xml:space="preserve"> budgets. </w:t>
      </w:r>
    </w:p>
    <w:p w14:paraId="6E959E3C" w14:textId="4B10E319" w:rsidR="004952BC" w:rsidRDefault="00F84F66" w:rsidP="00CA2379">
      <w:pPr>
        <w:pStyle w:val="BodyText"/>
      </w:pPr>
      <w:r>
        <w:t>This Budget provides cost-of-living support to households in 2025-26, including</w:t>
      </w:r>
      <w:r w:rsidR="004952BC">
        <w:t>:</w:t>
      </w:r>
    </w:p>
    <w:p w14:paraId="5466B83C" w14:textId="60270134" w:rsidR="004952BC" w:rsidRPr="004313BB" w:rsidRDefault="00F83586" w:rsidP="00262998">
      <w:pPr>
        <w:pStyle w:val="Bullet1"/>
      </w:pPr>
      <w:r>
        <w:t>a</w:t>
      </w:r>
      <w:r w:rsidR="00131B4B">
        <w:t>n extensi</w:t>
      </w:r>
      <w:r w:rsidR="00665002">
        <w:t xml:space="preserve">on of the </w:t>
      </w:r>
      <w:r w:rsidR="003647CE" w:rsidRPr="00131B4B">
        <w:t xml:space="preserve">National Energy Bill Relief Fund </w:t>
      </w:r>
      <w:r w:rsidR="003647CE">
        <w:t xml:space="preserve">of </w:t>
      </w:r>
      <w:r w:rsidR="003647CE" w:rsidRPr="00720DCE">
        <w:t>$</w:t>
      </w:r>
      <w:r w:rsidR="003647CE">
        <w:t>150</w:t>
      </w:r>
      <w:r w:rsidR="003647CE" w:rsidRPr="00720DCE">
        <w:t xml:space="preserve"> to the electricity bills of all households and </w:t>
      </w:r>
      <w:r w:rsidR="003647CE">
        <w:t xml:space="preserve">eligible </w:t>
      </w:r>
      <w:r w:rsidR="003647CE" w:rsidRPr="00720DCE">
        <w:t>small businesses</w:t>
      </w:r>
      <w:r w:rsidR="003647CE">
        <w:t xml:space="preserve"> from 1 July 2025 to the end of 2025 – delivered by the NSW Government with </w:t>
      </w:r>
      <w:r w:rsidR="003647CE" w:rsidRPr="00720DCE">
        <w:t>Australian Government</w:t>
      </w:r>
      <w:r w:rsidR="003647CE">
        <w:t xml:space="preserve"> funding</w:t>
      </w:r>
    </w:p>
    <w:p w14:paraId="57D5F92A" w14:textId="4655CD03" w:rsidR="00AC5A62" w:rsidRPr="004313BB" w:rsidRDefault="00AC5A62" w:rsidP="00262998">
      <w:pPr>
        <w:pStyle w:val="Bullet1"/>
      </w:pPr>
      <w:r w:rsidRPr="00AC5A62">
        <w:rPr>
          <w:shd w:val="clear" w:color="auto" w:fill="FFFFFF"/>
        </w:rPr>
        <w:t xml:space="preserve">increased battery discount from 1 July 2025 through the </w:t>
      </w:r>
      <w:r w:rsidRPr="004313BB">
        <w:t>Cheaper Homes Batteries Program (administered by the Australian Government)</w:t>
      </w:r>
    </w:p>
    <w:p w14:paraId="1A03F587" w14:textId="5366057A" w:rsidR="003647CE" w:rsidRDefault="00AC5A62" w:rsidP="00262998">
      <w:pPr>
        <w:pStyle w:val="Bullet1"/>
        <w:rPr>
          <w:shd w:val="clear" w:color="auto" w:fill="FFFFFF"/>
        </w:rPr>
      </w:pPr>
      <w:r w:rsidRPr="004313BB">
        <w:t>double the current incentive from 1 July 2025 through the Virtual Power Plant scheme</w:t>
      </w:r>
      <w:r w:rsidRPr="00AC5A62">
        <w:rPr>
          <w:shd w:val="clear" w:color="auto" w:fill="FFFFFF"/>
        </w:rPr>
        <w:t>.</w:t>
      </w:r>
    </w:p>
    <w:p w14:paraId="74D0A121" w14:textId="501D024F" w:rsidR="0005572C" w:rsidRPr="00E03700" w:rsidRDefault="0005572C" w:rsidP="008A0D7D">
      <w:pPr>
        <w:rPr>
          <w:rFonts w:eastAsiaTheme="minorEastAsia"/>
          <w:sz w:val="12"/>
          <w:szCs w:val="12"/>
          <w:shd w:val="clear" w:color="auto" w:fill="FFFFFF"/>
          <w:lang w:val="en-AU" w:eastAsia="en-AU"/>
        </w:rPr>
      </w:pPr>
    </w:p>
    <w:tbl>
      <w:tblPr>
        <w:tblW w:w="0" w:type="auto"/>
        <w:shd w:val="pct5" w:color="auto" w:fill="auto"/>
        <w:tblLayout w:type="fixed"/>
        <w:tblLook w:val="0000" w:firstRow="0" w:lastRow="0" w:firstColumn="0" w:lastColumn="0" w:noHBand="0" w:noVBand="0"/>
      </w:tblPr>
      <w:tblGrid>
        <w:gridCol w:w="9639"/>
      </w:tblGrid>
      <w:tr w:rsidR="0005572C" w:rsidRPr="00A903EA" w14:paraId="2A43E520" w14:textId="77777777" w:rsidTr="00915CAA">
        <w:trPr>
          <w:trHeight w:val="709"/>
        </w:trPr>
        <w:tc>
          <w:tcPr>
            <w:tcW w:w="9639" w:type="dxa"/>
            <w:shd w:val="pct5" w:color="auto" w:fill="auto"/>
          </w:tcPr>
          <w:p w14:paraId="3B2C3239" w14:textId="552076E9" w:rsidR="0005572C" w:rsidRPr="00B54381" w:rsidRDefault="0005572C" w:rsidP="0005572C">
            <w:pPr>
              <w:pStyle w:val="Box3XBoxHeading"/>
            </w:pPr>
            <w:r w:rsidRPr="00B54381">
              <w:t xml:space="preserve">Toll reform </w:t>
            </w:r>
          </w:p>
          <w:p w14:paraId="298F8076" w14:textId="016425B8" w:rsidR="0005572C" w:rsidRDefault="0005572C">
            <w:pPr>
              <w:pStyle w:val="BodyText"/>
            </w:pPr>
            <w:r w:rsidRPr="5C156910">
              <w:rPr>
                <w:lang w:val="en-US"/>
              </w:rPr>
              <w:t>Since January 2024, NSW motorists have saved $13</w:t>
            </w:r>
            <w:r w:rsidR="00971C0C">
              <w:rPr>
                <w:lang w:val="en-US"/>
              </w:rPr>
              <w:t>9</w:t>
            </w:r>
            <w:r w:rsidRPr="5C156910">
              <w:rPr>
                <w:lang w:val="en-US"/>
              </w:rPr>
              <w:t xml:space="preserve"> million</w:t>
            </w:r>
            <w:r w:rsidRPr="5C156910" w:rsidDel="00971C0C">
              <w:rPr>
                <w:lang w:val="en-US"/>
              </w:rPr>
              <w:t xml:space="preserve"> </w:t>
            </w:r>
            <w:r w:rsidRPr="5C156910">
              <w:rPr>
                <w:lang w:val="en-US"/>
              </w:rPr>
              <w:t xml:space="preserve">through the </w:t>
            </w:r>
            <w:r w:rsidR="006E052C">
              <w:rPr>
                <w:lang w:val="en-US"/>
              </w:rPr>
              <w:t>G</w:t>
            </w:r>
            <w:r w:rsidRPr="5C156910">
              <w:rPr>
                <w:lang w:val="en-US"/>
              </w:rPr>
              <w:t>overnment’s $60</w:t>
            </w:r>
            <w:r w:rsidR="00EE7500">
              <w:rPr>
                <w:lang w:val="en-US"/>
              </w:rPr>
              <w:t> </w:t>
            </w:r>
            <w:r w:rsidRPr="5C156910">
              <w:rPr>
                <w:lang w:val="en-US"/>
              </w:rPr>
              <w:t xml:space="preserve">toll cap scheme. However, toll costs continue to contribute to cost-of-living pressure for NSW households. </w:t>
            </w:r>
          </w:p>
          <w:p w14:paraId="013FFAD9" w14:textId="77777777" w:rsidR="0005572C" w:rsidRDefault="0005572C">
            <w:pPr>
              <w:pStyle w:val="BodyText"/>
            </w:pPr>
            <w:r w:rsidRPr="269648C6">
              <w:rPr>
                <w:lang w:val="en-US"/>
              </w:rPr>
              <w:t>Acknowledging significant reform is highly complex and will take time, the 2025-26</w:t>
            </w:r>
            <w:r>
              <w:rPr>
                <w:lang w:val="en-US"/>
              </w:rPr>
              <w:t> B</w:t>
            </w:r>
            <w:r w:rsidRPr="269648C6">
              <w:rPr>
                <w:lang w:val="en-US"/>
              </w:rPr>
              <w:t xml:space="preserve">udget commits funding that can be used over the next five years to continue supporting important toll reform initiatives and </w:t>
            </w:r>
            <w:r w:rsidRPr="269648C6">
              <w:rPr>
                <w:rFonts w:eastAsia="Arial"/>
                <w:lang w:val="en-US"/>
              </w:rPr>
              <w:t>restore fairness, simplicity and transparency</w:t>
            </w:r>
            <w:r w:rsidRPr="269648C6">
              <w:rPr>
                <w:lang w:val="en-US"/>
              </w:rPr>
              <w:t xml:space="preserve">. </w:t>
            </w:r>
          </w:p>
          <w:p w14:paraId="0E87115B" w14:textId="670D3372" w:rsidR="0005572C" w:rsidRPr="00A80B6A" w:rsidRDefault="0005572C">
            <w:pPr>
              <w:pStyle w:val="BodyText"/>
              <w:rPr>
                <w:rFonts w:eastAsia="Arial"/>
                <w:lang w:val="en-US"/>
              </w:rPr>
            </w:pPr>
            <w:r w:rsidRPr="269648C6">
              <w:rPr>
                <w:rFonts w:eastAsia="Arial"/>
                <w:lang w:val="en-US"/>
              </w:rPr>
              <w:t xml:space="preserve">This includes </w:t>
            </w:r>
            <w:r w:rsidRPr="269648C6">
              <w:rPr>
                <w:lang w:val="en-US"/>
              </w:rPr>
              <w:t xml:space="preserve">$15.4 million allocated in 2025-26 to the stand-up of NSW Motorways to spearhead the reform, and the provision of $9.8 million over five years </w:t>
            </w:r>
            <w:r w:rsidR="00B60A3F">
              <w:rPr>
                <w:lang w:val="en-US"/>
              </w:rPr>
              <w:t>for the</w:t>
            </w:r>
            <w:r w:rsidRPr="269648C6">
              <w:rPr>
                <w:lang w:val="en-US"/>
              </w:rPr>
              <w:t xml:space="preserve"> I</w:t>
            </w:r>
            <w:r w:rsidR="00B60A3F">
              <w:rPr>
                <w:lang w:val="en-US"/>
              </w:rPr>
              <w:t xml:space="preserve">ndependent </w:t>
            </w:r>
            <w:r w:rsidRPr="269648C6">
              <w:rPr>
                <w:lang w:val="en-US"/>
              </w:rPr>
              <w:t>P</w:t>
            </w:r>
            <w:r w:rsidR="00B60A3F">
              <w:rPr>
                <w:lang w:val="en-US"/>
              </w:rPr>
              <w:t>ricing and Regulatory Tribunal</w:t>
            </w:r>
            <w:r w:rsidRPr="269648C6">
              <w:rPr>
                <w:lang w:val="en-US"/>
              </w:rPr>
              <w:t xml:space="preserve"> to facilitate its ongoing toll price monitoring role and improve transparency for motorists. </w:t>
            </w:r>
          </w:p>
          <w:p w14:paraId="6EB17E37" w14:textId="249387DA" w:rsidR="0005572C" w:rsidRPr="00FB3016" w:rsidRDefault="0005572C">
            <w:pPr>
              <w:pStyle w:val="BodyText"/>
            </w:pPr>
            <w:r w:rsidRPr="269648C6">
              <w:rPr>
                <w:rFonts w:eastAsia="Arial"/>
                <w:lang w:val="en-US"/>
              </w:rPr>
              <w:t xml:space="preserve">The 2025-26 </w:t>
            </w:r>
            <w:r>
              <w:rPr>
                <w:rFonts w:eastAsia="Arial"/>
                <w:lang w:val="en-US"/>
              </w:rPr>
              <w:t>B</w:t>
            </w:r>
            <w:r w:rsidRPr="269648C6">
              <w:rPr>
                <w:rFonts w:eastAsia="Arial"/>
                <w:lang w:val="en-US"/>
              </w:rPr>
              <w:t xml:space="preserve">udget also provides funding for continuation of initiatives such as motorist improvements, and $9.4 million to continue the </w:t>
            </w:r>
            <w:r w:rsidR="009B25FF">
              <w:rPr>
                <w:rFonts w:eastAsia="Arial"/>
                <w:lang w:val="en-US"/>
              </w:rPr>
              <w:t>G</w:t>
            </w:r>
            <w:r w:rsidRPr="269648C6">
              <w:rPr>
                <w:rFonts w:eastAsia="Arial"/>
                <w:lang w:val="en-US"/>
              </w:rPr>
              <w:t xml:space="preserve">overnment’s negotiations with private toll operators to secure a better deal for drivers.  </w:t>
            </w:r>
          </w:p>
        </w:tc>
      </w:tr>
    </w:tbl>
    <w:p w14:paraId="6A15D06A" w14:textId="77777777" w:rsidR="0005572C" w:rsidRPr="00E03700" w:rsidRDefault="0005572C" w:rsidP="0005572C">
      <w:pPr>
        <w:rPr>
          <w:sz w:val="12"/>
          <w:szCs w:val="12"/>
        </w:rPr>
      </w:pPr>
    </w:p>
    <w:p w14:paraId="0AA27C13" w14:textId="7DA87599" w:rsidR="00B123DD" w:rsidRPr="008F0EAB" w:rsidRDefault="00494FB3" w:rsidP="00AE0BA3">
      <w:pPr>
        <w:pStyle w:val="Heading3"/>
      </w:pPr>
      <w:r w:rsidRPr="008F0EAB">
        <w:t>Effective p</w:t>
      </w:r>
      <w:r w:rsidR="00B123DD" w:rsidRPr="008F0EAB">
        <w:t>ublic servic</w:t>
      </w:r>
      <w:r w:rsidR="00DF1E8A" w:rsidRPr="008F0EAB">
        <w:t>e</w:t>
      </w:r>
      <w:r w:rsidRPr="008F0EAB">
        <w:t>s</w:t>
      </w:r>
    </w:p>
    <w:p w14:paraId="6DD79BF9" w14:textId="1D152B3E" w:rsidR="00157265" w:rsidRDefault="00157265" w:rsidP="00C65AED">
      <w:pPr>
        <w:pStyle w:val="BodyText"/>
      </w:pPr>
      <w:r>
        <w:t xml:space="preserve">This Budget </w:t>
      </w:r>
      <w:r w:rsidR="00C65AED">
        <w:t>invest</w:t>
      </w:r>
      <w:r w:rsidR="00EB62C0">
        <w:t>s</w:t>
      </w:r>
      <w:r w:rsidR="00C65AED">
        <w:t xml:space="preserve"> in the public service to make it more efficient and effective, including:</w:t>
      </w:r>
    </w:p>
    <w:p w14:paraId="167E9DA0" w14:textId="54875874" w:rsidR="00B123DD" w:rsidRPr="008F0EAB" w:rsidRDefault="00B123DD" w:rsidP="00262998">
      <w:pPr>
        <w:pStyle w:val="Bullet1"/>
        <w:rPr>
          <w:lang w:val="en-US"/>
        </w:rPr>
      </w:pPr>
      <w:r w:rsidRPr="1560105E">
        <w:rPr>
          <w:lang w:val="en-US"/>
        </w:rPr>
        <w:t>$104.1 million for the Government Technology Platform operating model to deliver cost</w:t>
      </w:r>
      <w:r w:rsidR="006466B3">
        <w:noBreakHyphen/>
      </w:r>
      <w:r w:rsidRPr="1560105E">
        <w:rPr>
          <w:lang w:val="en-US"/>
        </w:rPr>
        <w:t>effective, reusable and secure digital platforms products and services for all NSW</w:t>
      </w:r>
      <w:r w:rsidR="00FC0698">
        <w:rPr>
          <w:lang w:val="en-US"/>
        </w:rPr>
        <w:t> </w:t>
      </w:r>
      <w:r w:rsidRPr="1560105E">
        <w:rPr>
          <w:lang w:val="en-US"/>
        </w:rPr>
        <w:t>Government entities</w:t>
      </w:r>
    </w:p>
    <w:p w14:paraId="73C9809B" w14:textId="63A0F528" w:rsidR="008F0EAB" w:rsidRPr="008F0EAB" w:rsidRDefault="008F0EAB" w:rsidP="00262998">
      <w:pPr>
        <w:pStyle w:val="Bullet1"/>
      </w:pPr>
      <w:r w:rsidRPr="1560105E">
        <w:rPr>
          <w:lang w:val="en-US"/>
        </w:rPr>
        <w:t>$16</w:t>
      </w:r>
      <w:r w:rsidR="00AE1F02" w:rsidRPr="1560105E">
        <w:rPr>
          <w:lang w:val="en-US"/>
        </w:rPr>
        <w:t>0.</w:t>
      </w:r>
      <w:r w:rsidR="00594D02" w:rsidRPr="1560105E">
        <w:rPr>
          <w:lang w:val="en-US"/>
        </w:rPr>
        <w:t>4</w:t>
      </w:r>
      <w:r w:rsidRPr="1560105E">
        <w:rPr>
          <w:lang w:val="en-US"/>
        </w:rPr>
        <w:t xml:space="preserve"> million for the Shared Services Optimisation (GovConnect onboarding) program which consolidates multiple Shared Services Hubs within a single ERP platform and service model to support more than 100 agencies across eight NSW Government </w:t>
      </w:r>
      <w:r w:rsidR="00EB62C0">
        <w:rPr>
          <w:lang w:val="en-US"/>
        </w:rPr>
        <w:t>d</w:t>
      </w:r>
      <w:r w:rsidRPr="1560105E">
        <w:rPr>
          <w:lang w:val="en-US"/>
        </w:rPr>
        <w:t>epartments servicing more than 81,000 staff</w:t>
      </w:r>
    </w:p>
    <w:p w14:paraId="40F5B929" w14:textId="02512A9C" w:rsidR="00E0318D" w:rsidRDefault="00E0318D" w:rsidP="00262998">
      <w:pPr>
        <w:pStyle w:val="Bullet1"/>
      </w:pPr>
      <w:r w:rsidRPr="008F0EAB">
        <w:t>$87.7 million for Cyber Security NSW's work with NSW Government entities to prevent, detect and recover from cyber incidents</w:t>
      </w:r>
    </w:p>
    <w:p w14:paraId="1457B053" w14:textId="5DA07F5C" w:rsidR="008F0EAB" w:rsidRPr="008F0EAB" w:rsidRDefault="008F0EAB" w:rsidP="00262998">
      <w:pPr>
        <w:pStyle w:val="Bullet1"/>
      </w:pPr>
      <w:r w:rsidRPr="008F0EAB">
        <w:t>$46.8 million for All-of-Government Communication Services, providing governance and policy guidance for advertising, as well as government’s largest shared communication and engagement channels</w:t>
      </w:r>
    </w:p>
    <w:p w14:paraId="031416EE" w14:textId="72B8DC23" w:rsidR="008F0EAB" w:rsidRPr="008F0EAB" w:rsidRDefault="008F0EAB" w:rsidP="00262998">
      <w:pPr>
        <w:pStyle w:val="Bullet1"/>
      </w:pPr>
      <w:r w:rsidRPr="1560105E">
        <w:rPr>
          <w:lang w:val="en-US"/>
        </w:rPr>
        <w:t>$5.6 million over two years to support the Government's Workforce Mobility Placement program, supporting the attraction, retention and redeployment of skilled public servants, ensuring talent remains within the public sector</w:t>
      </w:r>
    </w:p>
    <w:p w14:paraId="34C05379" w14:textId="373E9965" w:rsidR="008F0EAB" w:rsidRPr="008F0EAB" w:rsidRDefault="008F0EAB" w:rsidP="00262998">
      <w:pPr>
        <w:pStyle w:val="Bullet1"/>
      </w:pPr>
      <w:r w:rsidRPr="1560105E">
        <w:rPr>
          <w:lang w:val="en-US"/>
        </w:rPr>
        <w:t>$2.6 million to recruit and train additional legislative drafters, allowing the Parliamentary Counsel's Office to support the delivery of the NSW Government's legislative program</w:t>
      </w:r>
    </w:p>
    <w:p w14:paraId="525F15BA" w14:textId="56193596" w:rsidR="00C53A85" w:rsidRPr="00563707" w:rsidRDefault="008F0EAB" w:rsidP="009A7E2E">
      <w:pPr>
        <w:pStyle w:val="Bullet1"/>
        <w:rPr>
          <w:rFonts w:ascii="Public Sans SemiBold" w:hAnsi="Public Sans SemiBold"/>
          <w:b/>
          <w:color w:val="22272B"/>
          <w:sz w:val="28"/>
        </w:rPr>
      </w:pPr>
      <w:r w:rsidRPr="008F0EAB">
        <w:lastRenderedPageBreak/>
        <w:t>$1.3 million to expand the team reviewing Unsolicited Proposals, providing capacity to receive and execute complex commercial proposals that unlock innovative ideas and solutions.</w:t>
      </w:r>
    </w:p>
    <w:p w14:paraId="19B5913E" w14:textId="0395BDAC" w:rsidR="001860EA" w:rsidRPr="00215C28" w:rsidRDefault="001860EA" w:rsidP="001860EA">
      <w:pPr>
        <w:pStyle w:val="31Heading2"/>
        <w:ind w:left="360" w:hanging="360"/>
        <w:rPr>
          <w:b w:val="0"/>
          <w:i/>
          <w:iCs/>
          <w:color w:val="000000" w:themeColor="text1"/>
          <w:kern w:val="28"/>
          <w:sz w:val="20"/>
        </w:rPr>
      </w:pPr>
      <w:r w:rsidRPr="00BB6FF1">
        <w:t xml:space="preserve">Growth opportunities for </w:t>
      </w:r>
      <w:r>
        <w:t xml:space="preserve">our </w:t>
      </w:r>
      <w:r w:rsidRPr="00BB6FF1">
        <w:t>State</w:t>
      </w:r>
    </w:p>
    <w:p w14:paraId="1DC60560" w14:textId="25D5BBE1" w:rsidR="00786FD6" w:rsidRDefault="00786FD6" w:rsidP="002042BB">
      <w:pPr>
        <w:pStyle w:val="BodyText"/>
      </w:pPr>
      <w:r w:rsidRPr="70E7EE50">
        <w:rPr>
          <w:lang w:val="en-US"/>
        </w:rPr>
        <w:t xml:space="preserve">Productivity growth has declined in New South Wales since the early 1990s. </w:t>
      </w:r>
      <w:r w:rsidR="002042BB" w:rsidRPr="70E7EE50">
        <w:rPr>
          <w:lang w:val="en-US"/>
        </w:rPr>
        <w:t xml:space="preserve">When productivity growth is low, the economy </w:t>
      </w:r>
      <w:r w:rsidR="0007032F" w:rsidRPr="70E7EE50">
        <w:rPr>
          <w:lang w:val="en-US"/>
        </w:rPr>
        <w:t>slows</w:t>
      </w:r>
      <w:r w:rsidR="002042BB" w:rsidRPr="70E7EE50">
        <w:rPr>
          <w:lang w:val="en-US"/>
        </w:rPr>
        <w:t xml:space="preserve">, </w:t>
      </w:r>
      <w:r w:rsidR="0007032F" w:rsidRPr="70E7EE50">
        <w:rPr>
          <w:lang w:val="en-US"/>
        </w:rPr>
        <w:t xml:space="preserve">putting downward pressure on </w:t>
      </w:r>
      <w:r w:rsidR="002042BB" w:rsidRPr="70E7EE50">
        <w:rPr>
          <w:lang w:val="en-US"/>
        </w:rPr>
        <w:t>wage grow</w:t>
      </w:r>
      <w:r w:rsidR="004578E1">
        <w:rPr>
          <w:lang w:val="en-US"/>
        </w:rPr>
        <w:t>th</w:t>
      </w:r>
      <w:r w:rsidR="00A80907" w:rsidRPr="70E7EE50">
        <w:rPr>
          <w:lang w:val="en-US"/>
        </w:rPr>
        <w:t xml:space="preserve"> and </w:t>
      </w:r>
      <w:r w:rsidR="002042BB" w:rsidRPr="70E7EE50">
        <w:rPr>
          <w:lang w:val="en-US"/>
        </w:rPr>
        <w:t>living standards.</w:t>
      </w:r>
    </w:p>
    <w:p w14:paraId="67068BE3" w14:textId="030CC9DE" w:rsidR="00096066" w:rsidRDefault="00096066" w:rsidP="002042BB">
      <w:pPr>
        <w:pStyle w:val="BodyText"/>
      </w:pPr>
      <w:r w:rsidRPr="32E4C758">
        <w:rPr>
          <w:rFonts w:cs="Times New Roman"/>
          <w:lang w:val="en-US"/>
        </w:rPr>
        <w:t xml:space="preserve">Higher productivity </w:t>
      </w:r>
      <w:r w:rsidRPr="32E4C758">
        <w:rPr>
          <w:lang w:val="en-US"/>
        </w:rPr>
        <w:t xml:space="preserve">supports higher wages, and better public services. </w:t>
      </w:r>
      <w:r w:rsidR="00BE3C59" w:rsidRPr="32E4C758">
        <w:rPr>
          <w:rFonts w:cs="Times New Roman"/>
          <w:lang w:val="en-US"/>
        </w:rPr>
        <w:t xml:space="preserve">Rising </w:t>
      </w:r>
      <w:r w:rsidR="00BE3C59" w:rsidRPr="32E4C758">
        <w:rPr>
          <w:lang w:val="en-US"/>
        </w:rPr>
        <w:t>productivity depends on a culture of adaptability and innovation</w:t>
      </w:r>
      <w:r w:rsidR="00103187" w:rsidRPr="32E4C758">
        <w:rPr>
          <w:lang w:val="en-US"/>
        </w:rPr>
        <w:t>. Businesses and individuals, through their efforts to innovate, create new products, improve processes and adopt new technologies, are the main forces behind increasing productivity.</w:t>
      </w:r>
    </w:p>
    <w:p w14:paraId="44A3A606" w14:textId="1CA90811" w:rsidR="00241892" w:rsidRPr="00EC40D6" w:rsidRDefault="00647838" w:rsidP="002042BB">
      <w:pPr>
        <w:pStyle w:val="BodyText"/>
        <w:rPr>
          <w:lang w:val="en-US"/>
        </w:rPr>
      </w:pPr>
      <w:r w:rsidRPr="32E4C758">
        <w:rPr>
          <w:lang w:val="en-US"/>
        </w:rPr>
        <w:t>The Government’s role in increasing productivity involves investing in infrastructure, education and regulatory reforms, as well as focusing on the efficiency of government services.</w:t>
      </w:r>
    </w:p>
    <w:p w14:paraId="10FB5873" w14:textId="5B4D31BD" w:rsidR="00A16F62" w:rsidRDefault="00B52D88" w:rsidP="00EA03C9">
      <w:pPr>
        <w:pStyle w:val="BodyText"/>
      </w:pPr>
      <w:r w:rsidRPr="7236F2EE">
        <w:rPr>
          <w:lang w:val="en-US"/>
        </w:rPr>
        <w:t>Investments in productivity-enhancing infrastructure will continue to directly underpin the State’s economic growth opportunities while helping to increase overall living standards. The</w:t>
      </w:r>
      <w:r w:rsidR="00952DC6">
        <w:rPr>
          <w:lang w:val="en-US"/>
        </w:rPr>
        <w:t> </w:t>
      </w:r>
      <w:r w:rsidR="00AF38D1" w:rsidRPr="7236F2EE">
        <w:rPr>
          <w:lang w:val="en-US"/>
        </w:rPr>
        <w:t>G</w:t>
      </w:r>
      <w:r w:rsidRPr="7236F2EE">
        <w:rPr>
          <w:lang w:val="en-US"/>
        </w:rPr>
        <w:t xml:space="preserve">overnment also continues to invest significantly in emerging technology, </w:t>
      </w:r>
      <w:r w:rsidR="005A1A11" w:rsidRPr="7236F2EE">
        <w:rPr>
          <w:lang w:val="en-US"/>
        </w:rPr>
        <w:t xml:space="preserve">water infrastructure, </w:t>
      </w:r>
      <w:r w:rsidR="004F2F96" w:rsidRPr="7236F2EE">
        <w:rPr>
          <w:lang w:val="en-US"/>
        </w:rPr>
        <w:t xml:space="preserve">planning reforms and other opportunities </w:t>
      </w:r>
      <w:r w:rsidRPr="7236F2EE">
        <w:rPr>
          <w:lang w:val="en-US"/>
        </w:rPr>
        <w:t xml:space="preserve">to increase the capacity of the </w:t>
      </w:r>
      <w:r w:rsidR="006B4104" w:rsidRPr="7236F2EE">
        <w:rPr>
          <w:lang w:val="en-US"/>
        </w:rPr>
        <w:t>economy</w:t>
      </w:r>
      <w:r w:rsidRPr="7236F2EE">
        <w:rPr>
          <w:lang w:val="en-US"/>
        </w:rPr>
        <w:t xml:space="preserve"> to respond to future challenges. </w:t>
      </w:r>
    </w:p>
    <w:p w14:paraId="1B5635E1" w14:textId="56139AEC" w:rsidR="007A2211" w:rsidRDefault="007A2211" w:rsidP="006F6718">
      <w:pPr>
        <w:pStyle w:val="BodyText"/>
      </w:pPr>
      <w:r w:rsidRPr="6BA29F45">
        <w:rPr>
          <w:lang w:val="en-US"/>
        </w:rPr>
        <w:t xml:space="preserve">The 2025-26 Budget maintains the Government’s focus on investing in key enablers of economic growth to support the State’s ongoing commitment </w:t>
      </w:r>
      <w:r w:rsidR="00844BDD" w:rsidRPr="6BA29F45">
        <w:rPr>
          <w:lang w:val="en-US"/>
        </w:rPr>
        <w:t xml:space="preserve">to productivity and income growth, and </w:t>
      </w:r>
      <w:r w:rsidR="002146C3" w:rsidRPr="6BA29F45">
        <w:rPr>
          <w:lang w:val="en-US"/>
        </w:rPr>
        <w:t xml:space="preserve">delivering a </w:t>
      </w:r>
      <w:r w:rsidRPr="6BA29F45">
        <w:rPr>
          <w:lang w:val="en-US"/>
        </w:rPr>
        <w:t>more diversified and sustainable economy that is able to adapt to f</w:t>
      </w:r>
      <w:r w:rsidR="002146C3" w:rsidRPr="6BA29F45">
        <w:rPr>
          <w:lang w:val="en-US"/>
        </w:rPr>
        <w:t xml:space="preserve">uture </w:t>
      </w:r>
      <w:r w:rsidRPr="6BA29F45">
        <w:rPr>
          <w:lang w:val="en-US"/>
        </w:rPr>
        <w:t>opportunities and challenges.</w:t>
      </w:r>
    </w:p>
    <w:p w14:paraId="28F17188" w14:textId="133A7BB8" w:rsidR="001860EA" w:rsidRPr="007715FD" w:rsidRDefault="3DCE2F3F" w:rsidP="00AE0BA3">
      <w:pPr>
        <w:pStyle w:val="Heading3"/>
      </w:pPr>
      <w:r w:rsidRPr="6D7673FF">
        <w:t>Innovation</w:t>
      </w:r>
      <w:r w:rsidR="004A74EB">
        <w:t xml:space="preserve"> and emerging technology</w:t>
      </w:r>
    </w:p>
    <w:p w14:paraId="2D78AEA7" w14:textId="77777777" w:rsidR="00C464A9" w:rsidRDefault="00C464A9" w:rsidP="00FC75C0">
      <w:pPr>
        <w:pStyle w:val="BodyText"/>
      </w:pPr>
      <w:r w:rsidRPr="32E4C758">
        <w:rPr>
          <w:lang w:val="en-US"/>
        </w:rPr>
        <w:t>By investing and delivering new, innovative and clean technologies, the State is investing in a diversified and agile economy, alongside traditional sectors, such as manufacturing, agriculture and finance.</w:t>
      </w:r>
    </w:p>
    <w:p w14:paraId="041E4DAB" w14:textId="6AA6F923" w:rsidR="00734DED" w:rsidRDefault="00E85D57" w:rsidP="00FC75C0">
      <w:pPr>
        <w:pStyle w:val="BodyText"/>
      </w:pPr>
      <w:r w:rsidRPr="04904AF3">
        <w:rPr>
          <w:lang w:val="en-US"/>
        </w:rPr>
        <w:t xml:space="preserve">To support and </w:t>
      </w:r>
      <w:r w:rsidR="00B049FE" w:rsidRPr="04904AF3">
        <w:rPr>
          <w:lang w:val="en-US"/>
        </w:rPr>
        <w:t>unlock the State’s future economic growth, t</w:t>
      </w:r>
      <w:r w:rsidR="00E81DD2" w:rsidRPr="04904AF3">
        <w:rPr>
          <w:lang w:val="en-US"/>
        </w:rPr>
        <w:t xml:space="preserve">he new </w:t>
      </w:r>
      <w:r w:rsidR="004306A7" w:rsidRPr="04904AF3">
        <w:rPr>
          <w:lang w:val="en-US"/>
        </w:rPr>
        <w:t xml:space="preserve">Investment </w:t>
      </w:r>
      <w:r w:rsidR="004A048B" w:rsidRPr="04904AF3">
        <w:rPr>
          <w:lang w:val="en-US"/>
        </w:rPr>
        <w:t>D</w:t>
      </w:r>
      <w:r w:rsidR="00734DED" w:rsidRPr="04904AF3">
        <w:rPr>
          <w:lang w:val="en-US"/>
        </w:rPr>
        <w:t xml:space="preserve">elivery </w:t>
      </w:r>
      <w:r w:rsidR="004A048B" w:rsidRPr="04904AF3">
        <w:rPr>
          <w:lang w:val="en-US"/>
        </w:rPr>
        <w:t>A</w:t>
      </w:r>
      <w:r w:rsidR="00734DED" w:rsidRPr="04904AF3">
        <w:rPr>
          <w:lang w:val="en-US"/>
        </w:rPr>
        <w:t xml:space="preserve">uthority </w:t>
      </w:r>
      <w:r w:rsidR="004A048B" w:rsidRPr="04904AF3">
        <w:rPr>
          <w:lang w:val="en-US"/>
        </w:rPr>
        <w:t>has been established to</w:t>
      </w:r>
      <w:r w:rsidR="00502D4C" w:rsidRPr="04904AF3">
        <w:rPr>
          <w:lang w:val="en-US"/>
        </w:rPr>
        <w:t xml:space="preserve"> run an expression of interest to</w:t>
      </w:r>
      <w:r w:rsidR="004A048B" w:rsidRPr="04904AF3">
        <w:rPr>
          <w:lang w:val="en-US"/>
        </w:rPr>
        <w:t xml:space="preserve"> identify</w:t>
      </w:r>
      <w:r w:rsidRPr="04904AF3" w:rsidDel="004A048B">
        <w:rPr>
          <w:lang w:val="en-US"/>
        </w:rPr>
        <w:t xml:space="preserve"> </w:t>
      </w:r>
      <w:r w:rsidR="00760AD3" w:rsidRPr="04904AF3">
        <w:rPr>
          <w:lang w:val="en-US"/>
        </w:rPr>
        <w:t xml:space="preserve">investment proposals </w:t>
      </w:r>
      <w:r w:rsidR="00A92691" w:rsidRPr="04904AF3">
        <w:rPr>
          <w:lang w:val="en-US"/>
        </w:rPr>
        <w:t>and clear</w:t>
      </w:r>
      <w:r w:rsidR="004A048B" w:rsidRPr="04904AF3">
        <w:rPr>
          <w:lang w:val="en-US"/>
        </w:rPr>
        <w:t xml:space="preserve"> barriers </w:t>
      </w:r>
      <w:r w:rsidR="00663B57" w:rsidRPr="04904AF3">
        <w:rPr>
          <w:lang w:val="en-US"/>
        </w:rPr>
        <w:t xml:space="preserve">to major investments valued at over $1 </w:t>
      </w:r>
      <w:r w:rsidR="00C44F3D" w:rsidRPr="04904AF3">
        <w:rPr>
          <w:lang w:val="en-US"/>
        </w:rPr>
        <w:t>b</w:t>
      </w:r>
      <w:r w:rsidR="00663B57" w:rsidRPr="04904AF3">
        <w:rPr>
          <w:lang w:val="en-US"/>
        </w:rPr>
        <w:t>illion (see Box 3.</w:t>
      </w:r>
      <w:r w:rsidR="00D83C2C" w:rsidRPr="04904AF3">
        <w:rPr>
          <w:lang w:val="en-US"/>
        </w:rPr>
        <w:t xml:space="preserve">5 </w:t>
      </w:r>
      <w:r w:rsidR="00663B57" w:rsidRPr="04904AF3">
        <w:rPr>
          <w:lang w:val="en-US"/>
        </w:rPr>
        <w:t xml:space="preserve">for more information). </w:t>
      </w:r>
    </w:p>
    <w:p w14:paraId="044C10F6" w14:textId="51F80E93" w:rsidR="00C20E1A" w:rsidRDefault="008C520C" w:rsidP="004E0B21">
      <w:pPr>
        <w:pStyle w:val="BodyText"/>
      </w:pPr>
      <w:r w:rsidRPr="1536A65F">
        <w:rPr>
          <w:lang w:val="en-US"/>
        </w:rPr>
        <w:t>The Government is i</w:t>
      </w:r>
      <w:r w:rsidR="004306A7" w:rsidRPr="1536A65F">
        <w:rPr>
          <w:lang w:val="en-US"/>
        </w:rPr>
        <w:t>nvest</w:t>
      </w:r>
      <w:r w:rsidRPr="1536A65F">
        <w:rPr>
          <w:lang w:val="en-US"/>
        </w:rPr>
        <w:t>ing</w:t>
      </w:r>
      <w:r w:rsidR="004306A7" w:rsidRPr="1536A65F">
        <w:rPr>
          <w:lang w:val="en-US"/>
        </w:rPr>
        <w:t xml:space="preserve"> in </w:t>
      </w:r>
      <w:r w:rsidR="008F0EAB" w:rsidRPr="1536A65F">
        <w:rPr>
          <w:lang w:val="en-US"/>
        </w:rPr>
        <w:t>the development of the innovation ecosystem, making New</w:t>
      </w:r>
      <w:r w:rsidR="00952DC6">
        <w:rPr>
          <w:lang w:val="en-US"/>
        </w:rPr>
        <w:t> </w:t>
      </w:r>
      <w:r w:rsidR="008F0EAB" w:rsidRPr="1536A65F">
        <w:rPr>
          <w:lang w:val="en-US"/>
        </w:rPr>
        <w:t>South Wales the best p</w:t>
      </w:r>
      <w:r w:rsidR="009A3B7D">
        <w:rPr>
          <w:lang w:val="en-US"/>
        </w:rPr>
        <w:t>l</w:t>
      </w:r>
      <w:r w:rsidR="008F0EAB" w:rsidRPr="1536A65F">
        <w:rPr>
          <w:lang w:val="en-US"/>
        </w:rPr>
        <w:t xml:space="preserve">ace to </w:t>
      </w:r>
      <w:r w:rsidR="004501E3" w:rsidRPr="1536A65F">
        <w:rPr>
          <w:lang w:val="en-US"/>
        </w:rPr>
        <w:t xml:space="preserve">innovate. The </w:t>
      </w:r>
      <w:r w:rsidR="00117C75" w:rsidRPr="1536A65F">
        <w:rPr>
          <w:lang w:val="en-US"/>
        </w:rPr>
        <w:t xml:space="preserve">NSW </w:t>
      </w:r>
      <w:r w:rsidR="00C44F95" w:rsidRPr="1536A65F">
        <w:rPr>
          <w:lang w:val="en-US"/>
        </w:rPr>
        <w:t>G</w:t>
      </w:r>
      <w:r w:rsidR="00117C75" w:rsidRPr="1536A65F">
        <w:rPr>
          <w:lang w:val="en-US"/>
        </w:rPr>
        <w:t>overnment’s $7</w:t>
      </w:r>
      <w:r w:rsidR="004501E3" w:rsidRPr="1536A65F">
        <w:rPr>
          <w:lang w:val="en-US"/>
        </w:rPr>
        <w:t>9.2</w:t>
      </w:r>
      <w:r w:rsidR="00211E36" w:rsidRPr="1536A65F">
        <w:rPr>
          <w:lang w:val="en-US"/>
        </w:rPr>
        <w:t> </w:t>
      </w:r>
      <w:r w:rsidR="00594215" w:rsidRPr="1536A65F">
        <w:rPr>
          <w:lang w:val="en-US"/>
        </w:rPr>
        <w:t>million Inn</w:t>
      </w:r>
      <w:r w:rsidR="006527A0" w:rsidRPr="1536A65F">
        <w:rPr>
          <w:lang w:val="en-US"/>
        </w:rPr>
        <w:t xml:space="preserve">ovation </w:t>
      </w:r>
      <w:r w:rsidR="00196E4B" w:rsidRPr="1536A65F">
        <w:rPr>
          <w:lang w:val="en-US"/>
        </w:rPr>
        <w:t>Blueprint</w:t>
      </w:r>
      <w:r w:rsidR="004501E3" w:rsidRPr="1536A65F">
        <w:rPr>
          <w:lang w:val="en-US"/>
        </w:rPr>
        <w:t xml:space="preserve"> package is designed to support innovative businesses to connect with investors and researchers, and to scale opportunities to drive economic growth. Measures </w:t>
      </w:r>
      <w:r w:rsidR="00196E4B" w:rsidRPr="1536A65F">
        <w:rPr>
          <w:lang w:val="en-US"/>
        </w:rPr>
        <w:t>includ</w:t>
      </w:r>
      <w:r w:rsidR="004501E3" w:rsidRPr="1536A65F">
        <w:rPr>
          <w:lang w:val="en-US"/>
        </w:rPr>
        <w:t>e</w:t>
      </w:r>
      <w:r w:rsidR="00196E4B" w:rsidRPr="1536A65F">
        <w:rPr>
          <w:lang w:val="en-US"/>
        </w:rPr>
        <w:t>:</w:t>
      </w:r>
      <w:r w:rsidR="004306A7" w:rsidRPr="1536A65F">
        <w:rPr>
          <w:lang w:val="en-US"/>
        </w:rPr>
        <w:t xml:space="preserve"> </w:t>
      </w:r>
    </w:p>
    <w:p w14:paraId="4AFE872F" w14:textId="076480A5" w:rsidR="00192135" w:rsidRDefault="00E946FF" w:rsidP="00262998">
      <w:pPr>
        <w:pStyle w:val="Bullet1"/>
      </w:pPr>
      <w:r w:rsidRPr="1560105E">
        <w:rPr>
          <w:lang w:val="en-US"/>
        </w:rPr>
        <w:t>$</w:t>
      </w:r>
      <w:r w:rsidR="00563778" w:rsidRPr="1560105E">
        <w:rPr>
          <w:lang w:val="en-US"/>
        </w:rPr>
        <w:t>38.5</w:t>
      </w:r>
      <w:r w:rsidRPr="1560105E">
        <w:rPr>
          <w:lang w:val="en-US"/>
        </w:rPr>
        <w:t xml:space="preserve"> million </w:t>
      </w:r>
      <w:r w:rsidR="00563778" w:rsidRPr="1560105E">
        <w:rPr>
          <w:lang w:val="en-US"/>
        </w:rPr>
        <w:t xml:space="preserve">investment in </w:t>
      </w:r>
      <w:r w:rsidR="00207B8B" w:rsidRPr="1560105E">
        <w:rPr>
          <w:lang w:val="en-US"/>
        </w:rPr>
        <w:t xml:space="preserve">Tech Central </w:t>
      </w:r>
      <w:r w:rsidR="0079143D" w:rsidRPr="1560105E">
        <w:rPr>
          <w:lang w:val="en-US"/>
        </w:rPr>
        <w:t xml:space="preserve">including </w:t>
      </w:r>
      <w:r w:rsidR="00B01594" w:rsidRPr="1560105E">
        <w:rPr>
          <w:lang w:val="en-US"/>
        </w:rPr>
        <w:t>the relocation of the Sydney Startup H</w:t>
      </w:r>
      <w:r w:rsidR="00020A56" w:rsidRPr="1560105E">
        <w:rPr>
          <w:lang w:val="en-US"/>
        </w:rPr>
        <w:t>u</w:t>
      </w:r>
      <w:r w:rsidR="00B01594" w:rsidRPr="1560105E">
        <w:rPr>
          <w:lang w:val="en-US"/>
        </w:rPr>
        <w:t>b and an enhanced collaboration hub at the centre of NSW’s innovation ecosystem</w:t>
      </w:r>
    </w:p>
    <w:p w14:paraId="1C3D403B" w14:textId="35A7EE9E" w:rsidR="00D711D9" w:rsidRPr="00BF532F" w:rsidRDefault="00BF532F" w:rsidP="00262998">
      <w:pPr>
        <w:pStyle w:val="Bullet1"/>
      </w:pPr>
      <w:r w:rsidRPr="1560105E">
        <w:rPr>
          <w:lang w:val="en-US"/>
        </w:rPr>
        <w:t xml:space="preserve">$20.0 million over four years for the Emerging Technology </w:t>
      </w:r>
      <w:r w:rsidR="00CB0C1E" w:rsidRPr="1560105E">
        <w:rPr>
          <w:lang w:val="en-US"/>
        </w:rPr>
        <w:t>Commercialisation</w:t>
      </w:r>
      <w:r w:rsidRPr="1560105E">
        <w:rPr>
          <w:lang w:val="en-US"/>
        </w:rPr>
        <w:t xml:space="preserve"> Fund, including the BioSciences Fund and Physical Sciences Fund, to support NSW businesses to commercialise research into marketable products and services</w:t>
      </w:r>
    </w:p>
    <w:p w14:paraId="28CE24D9" w14:textId="4DFA6E01" w:rsidR="00BF532F" w:rsidRPr="0063445D" w:rsidRDefault="00694B4F" w:rsidP="00262998">
      <w:pPr>
        <w:pStyle w:val="Bullet1"/>
      </w:pPr>
      <w:r w:rsidRPr="1560105E">
        <w:rPr>
          <w:lang w:val="en-US"/>
        </w:rPr>
        <w:t>$6.0 million over three years to establish the Innovative Manufacturing Adoption Fund, supporting NSW-based businesses to diversify and expand manufacturing capabilities through the use of innovative technologies</w:t>
      </w:r>
    </w:p>
    <w:p w14:paraId="67AC5B52" w14:textId="21C55F84" w:rsidR="005822A1" w:rsidRDefault="005822A1" w:rsidP="00262998">
      <w:pPr>
        <w:pStyle w:val="Bullet1"/>
      </w:pPr>
      <w:r w:rsidRPr="1560105E">
        <w:rPr>
          <w:lang w:val="en-US"/>
        </w:rPr>
        <w:t>$6.0 million to continue the Minimum Viable Product Ventures Program, supporting businesses to increase the commerciali</w:t>
      </w:r>
      <w:r w:rsidR="000743BF" w:rsidRPr="1560105E">
        <w:rPr>
          <w:lang w:val="en-US"/>
        </w:rPr>
        <w:t>s</w:t>
      </w:r>
      <w:r w:rsidRPr="1560105E">
        <w:rPr>
          <w:lang w:val="en-US"/>
        </w:rPr>
        <w:t>ation of innovative products</w:t>
      </w:r>
    </w:p>
    <w:p w14:paraId="5A3851F2" w14:textId="77777777" w:rsidR="005822A1" w:rsidRPr="0063445D" w:rsidRDefault="005822A1" w:rsidP="00262998">
      <w:pPr>
        <w:pStyle w:val="Bullet1"/>
      </w:pPr>
      <w:r w:rsidRPr="1560105E">
        <w:rPr>
          <w:lang w:val="en-US"/>
        </w:rPr>
        <w:t>$4.0 million to establish the Diversity Pre-accelerator Program supporting founders from diverse backgrounds with tools to develop their business models and secure seed investment</w:t>
      </w:r>
    </w:p>
    <w:p w14:paraId="3875B347" w14:textId="36826021" w:rsidR="00B22CAC" w:rsidRPr="007A7F48" w:rsidRDefault="0063445D" w:rsidP="00262998">
      <w:pPr>
        <w:pStyle w:val="Bullet1"/>
        <w:rPr>
          <w:rFonts w:ascii="Public Sans SemiBold" w:hAnsi="Public Sans SemiBold"/>
          <w:b/>
          <w:kern w:val="28"/>
          <w:sz w:val="26"/>
          <w:szCs w:val="26"/>
          <w:lang w:val="en-US"/>
        </w:rPr>
      </w:pPr>
      <w:r w:rsidRPr="1560105E">
        <w:rPr>
          <w:lang w:val="en-US"/>
        </w:rPr>
        <w:lastRenderedPageBreak/>
        <w:t>$2.0 million over two years for the Housing Innovation Network to connect researchers, start-ups and industry to support the delivery of housing through new technologies and applied research</w:t>
      </w:r>
    </w:p>
    <w:p w14:paraId="1A3DE51E" w14:textId="77777777" w:rsidR="005E3EBD" w:rsidRPr="00C06AF9" w:rsidRDefault="00913504" w:rsidP="00262998">
      <w:pPr>
        <w:pStyle w:val="Bullet1"/>
      </w:pPr>
      <w:r w:rsidRPr="1560105E">
        <w:rPr>
          <w:lang w:val="en-US"/>
        </w:rPr>
        <w:t>$2.0 million to establish a Housing Innovation in Construction program to support the delivery of housing by introducing innovative solutions such as industrialised construction facilities and advanced manufacturing processes</w:t>
      </w:r>
    </w:p>
    <w:p w14:paraId="7D6C9BD2" w14:textId="01224BE0" w:rsidR="00913504" w:rsidRPr="00DF1E8A" w:rsidRDefault="005E3EBD" w:rsidP="00262998">
      <w:pPr>
        <w:pStyle w:val="Bullet1"/>
      </w:pPr>
      <w:r>
        <w:t>$700,000 for the extension of the National Space Industry Hub, supporting the growth of the space sector in New South Wales with targeted infrastructure, mentorship and connections to global partnerships and supply chains</w:t>
      </w:r>
      <w:r w:rsidR="00750B58">
        <w:t>.</w:t>
      </w:r>
    </w:p>
    <w:p w14:paraId="20BEA8F5" w14:textId="6D052AAA" w:rsidR="00256B70" w:rsidRDefault="00256B70" w:rsidP="003B0D00">
      <w:pPr>
        <w:pStyle w:val="BodyText"/>
        <w:rPr>
          <w:lang w:val="en-US"/>
        </w:rPr>
      </w:pPr>
      <w:r w:rsidRPr="4C80CBC5">
        <w:rPr>
          <w:lang w:val="en-US"/>
        </w:rPr>
        <w:t>The NSW Government is</w:t>
      </w:r>
      <w:r w:rsidRPr="1CD3BC16">
        <w:rPr>
          <w:lang w:val="en-US"/>
        </w:rPr>
        <w:t xml:space="preserve"> </w:t>
      </w:r>
      <w:r w:rsidR="00845D68" w:rsidRPr="1CD3BC16">
        <w:rPr>
          <w:lang w:val="en-US"/>
        </w:rPr>
        <w:t>also</w:t>
      </w:r>
      <w:r w:rsidRPr="4C80CBC5">
        <w:rPr>
          <w:lang w:val="en-US"/>
        </w:rPr>
        <w:t xml:space="preserve"> introducing a critical minerals royalty deferral scheme to support new mining projects, attract additional investment to regional areas and support the development of an industry segment crucial to the energy transition.</w:t>
      </w:r>
    </w:p>
    <w:p w14:paraId="172F1572" w14:textId="77777777" w:rsidR="00952DC6" w:rsidRPr="006D52B6" w:rsidRDefault="00952DC6" w:rsidP="00952DC6"/>
    <w:tbl>
      <w:tblPr>
        <w:tblW w:w="0" w:type="auto"/>
        <w:jc w:val="center"/>
        <w:shd w:val="pct5" w:color="auto" w:fill="auto"/>
        <w:tblLayout w:type="fixed"/>
        <w:tblLook w:val="0000" w:firstRow="0" w:lastRow="0" w:firstColumn="0" w:lastColumn="0" w:noHBand="0" w:noVBand="0"/>
      </w:tblPr>
      <w:tblGrid>
        <w:gridCol w:w="9639"/>
      </w:tblGrid>
      <w:tr w:rsidR="001860EA" w:rsidRPr="00A903EA" w14:paraId="312323B9" w14:textId="77777777" w:rsidTr="00F040F4">
        <w:trPr>
          <w:trHeight w:val="1157"/>
          <w:jc w:val="center"/>
        </w:trPr>
        <w:tc>
          <w:tcPr>
            <w:tcW w:w="9639" w:type="dxa"/>
            <w:shd w:val="pct5" w:color="auto" w:fill="auto"/>
          </w:tcPr>
          <w:p w14:paraId="47DC4A90" w14:textId="0F319324" w:rsidR="001860EA" w:rsidRPr="008D524C" w:rsidRDefault="000F6B33">
            <w:pPr>
              <w:pStyle w:val="Box3XBoxHeading"/>
            </w:pPr>
            <w:r>
              <w:t xml:space="preserve">Investment Delivery Authority </w:t>
            </w:r>
          </w:p>
          <w:p w14:paraId="5A389CF2" w14:textId="53E0A5F5" w:rsidR="00190D23" w:rsidRDefault="00190D23" w:rsidP="00190D23">
            <w:pPr>
              <w:pStyle w:val="BodyText"/>
            </w:pPr>
            <w:r w:rsidRPr="7B03069E">
              <w:rPr>
                <w:lang w:val="en-US"/>
              </w:rPr>
              <w:t xml:space="preserve">The </w:t>
            </w:r>
            <w:r w:rsidR="007940AE">
              <w:rPr>
                <w:lang w:val="en-US"/>
              </w:rPr>
              <w:t>NSW</w:t>
            </w:r>
            <w:r w:rsidRPr="7B03069E">
              <w:rPr>
                <w:lang w:val="en-US"/>
              </w:rPr>
              <w:t xml:space="preserve"> </w:t>
            </w:r>
            <w:r w:rsidR="002F2BC6">
              <w:rPr>
                <w:lang w:val="en-US"/>
              </w:rPr>
              <w:t>G</w:t>
            </w:r>
            <w:r w:rsidRPr="7B03069E">
              <w:rPr>
                <w:lang w:val="en-US"/>
              </w:rPr>
              <w:t xml:space="preserve">overnment is committed to lifting productivity and encouraging more private investment in New South Wales. To assist in unlocking the State’s future economic growth, the Government </w:t>
            </w:r>
            <w:r w:rsidR="004138C2">
              <w:rPr>
                <w:lang w:val="en-US"/>
              </w:rPr>
              <w:t xml:space="preserve">is </w:t>
            </w:r>
            <w:r w:rsidRPr="35E98D55">
              <w:rPr>
                <w:lang w:val="en-US"/>
              </w:rPr>
              <w:t>creat</w:t>
            </w:r>
            <w:r w:rsidR="00256B70">
              <w:rPr>
                <w:lang w:val="en-US"/>
              </w:rPr>
              <w:t>ing</w:t>
            </w:r>
            <w:r w:rsidRPr="7B03069E">
              <w:rPr>
                <w:lang w:val="en-US"/>
              </w:rPr>
              <w:t xml:space="preserve"> a new Investment Delivery Authority (IDA). The </w:t>
            </w:r>
            <w:r w:rsidR="000508AC">
              <w:rPr>
                <w:lang w:val="en-US"/>
              </w:rPr>
              <w:t>A</w:t>
            </w:r>
            <w:r w:rsidR="000508AC" w:rsidRPr="35E98D55">
              <w:rPr>
                <w:lang w:val="en-US"/>
              </w:rPr>
              <w:t xml:space="preserve">uthority </w:t>
            </w:r>
            <w:r w:rsidRPr="7B03069E">
              <w:rPr>
                <w:lang w:val="en-US"/>
              </w:rPr>
              <w:t>has two clear objectives</w:t>
            </w:r>
            <w:r w:rsidR="00B13907">
              <w:rPr>
                <w:lang w:val="en-US"/>
              </w:rPr>
              <w:t>, to</w:t>
            </w:r>
            <w:r w:rsidRPr="1536A65F">
              <w:rPr>
                <w:lang w:val="en-US"/>
              </w:rPr>
              <w:t>:</w:t>
            </w:r>
          </w:p>
          <w:p w14:paraId="48E9C88E" w14:textId="28060A0A" w:rsidR="00190D23" w:rsidRDefault="00190D23" w:rsidP="00262998">
            <w:pPr>
              <w:pStyle w:val="Bullet1"/>
            </w:pPr>
            <w:r w:rsidRPr="1560105E">
              <w:rPr>
                <w:lang w:val="en-US"/>
              </w:rPr>
              <w:t>identify and clear barriers to major private investment projects</w:t>
            </w:r>
          </w:p>
          <w:p w14:paraId="4BBFC4DB" w14:textId="0ABBE4FF" w:rsidR="00190D23" w:rsidRDefault="00190D23" w:rsidP="00262998">
            <w:pPr>
              <w:pStyle w:val="Bullet1"/>
            </w:pPr>
            <w:r w:rsidRPr="1560105E">
              <w:rPr>
                <w:lang w:val="en-US"/>
              </w:rPr>
              <w:t xml:space="preserve">advise on </w:t>
            </w:r>
            <w:r w:rsidR="004138C2" w:rsidRPr="1560105E">
              <w:rPr>
                <w:lang w:val="en-US"/>
              </w:rPr>
              <w:t>broader system</w:t>
            </w:r>
            <w:r w:rsidRPr="1560105E">
              <w:rPr>
                <w:lang w:val="en-US"/>
              </w:rPr>
              <w:t xml:space="preserve"> reforms that promote investment, competition and </w:t>
            </w:r>
            <w:r w:rsidR="008B3F30" w:rsidRPr="1560105E">
              <w:rPr>
                <w:lang w:val="en-US"/>
              </w:rPr>
              <w:t xml:space="preserve">support </w:t>
            </w:r>
            <w:r w:rsidRPr="1560105E">
              <w:rPr>
                <w:lang w:val="en-US"/>
              </w:rPr>
              <w:t>productivity in N</w:t>
            </w:r>
            <w:r w:rsidR="002F2BC6" w:rsidRPr="1560105E">
              <w:rPr>
                <w:lang w:val="en-US"/>
              </w:rPr>
              <w:t xml:space="preserve">ew </w:t>
            </w:r>
            <w:r w:rsidRPr="1560105E">
              <w:rPr>
                <w:lang w:val="en-US"/>
              </w:rPr>
              <w:t>S</w:t>
            </w:r>
            <w:r w:rsidR="002F2BC6" w:rsidRPr="1560105E">
              <w:rPr>
                <w:lang w:val="en-US"/>
              </w:rPr>
              <w:t xml:space="preserve">outh </w:t>
            </w:r>
            <w:r w:rsidRPr="1560105E">
              <w:rPr>
                <w:lang w:val="en-US"/>
              </w:rPr>
              <w:t>W</w:t>
            </w:r>
            <w:r w:rsidR="002F2BC6" w:rsidRPr="1560105E">
              <w:rPr>
                <w:lang w:val="en-US"/>
              </w:rPr>
              <w:t>ales</w:t>
            </w:r>
            <w:r w:rsidRPr="1560105E">
              <w:rPr>
                <w:lang w:val="en-US"/>
              </w:rPr>
              <w:t xml:space="preserve">.  </w:t>
            </w:r>
          </w:p>
          <w:p w14:paraId="16EFD429" w14:textId="4DD83CAE" w:rsidR="00190D23" w:rsidRDefault="00190D23" w:rsidP="00190D23">
            <w:pPr>
              <w:pStyle w:val="BodyText"/>
            </w:pPr>
            <w:r w:rsidRPr="35E98D55">
              <w:t xml:space="preserve">The </w:t>
            </w:r>
            <w:r w:rsidR="00C82FF5">
              <w:t>IDA</w:t>
            </w:r>
            <w:r w:rsidRPr="35E98D55">
              <w:t xml:space="preserve"> will draw on the success and lessons from the Housing Delivery Authority and Housing Taskforce</w:t>
            </w:r>
            <w:r w:rsidR="004138C2">
              <w:t>, helping to</w:t>
            </w:r>
            <w:r w:rsidRPr="35E98D55">
              <w:t xml:space="preserve"> resolve delays that arise from the planning system and reduce project uncertainty.</w:t>
            </w:r>
          </w:p>
          <w:p w14:paraId="29BF4A2E" w14:textId="5E25895A" w:rsidR="00190D23" w:rsidRDefault="00190D23" w:rsidP="00316A34">
            <w:pPr>
              <w:pStyle w:val="BodyText"/>
            </w:pPr>
            <w:r w:rsidRPr="477D0D72">
              <w:rPr>
                <w:lang w:val="en-US"/>
              </w:rPr>
              <w:t xml:space="preserve">The IDA will advise the Treasurer, Minister for Planning and Minister for Industry and Trade on </w:t>
            </w:r>
            <w:r w:rsidR="00D22993" w:rsidRPr="477D0D72">
              <w:rPr>
                <w:lang w:val="en-US"/>
              </w:rPr>
              <w:t xml:space="preserve">planning support and </w:t>
            </w:r>
            <w:r w:rsidRPr="477D0D72">
              <w:rPr>
                <w:lang w:val="en-US"/>
              </w:rPr>
              <w:t xml:space="preserve">options </w:t>
            </w:r>
            <w:r w:rsidR="00D22993" w:rsidRPr="477D0D72">
              <w:rPr>
                <w:lang w:val="en-US"/>
              </w:rPr>
              <w:t>for non-planning</w:t>
            </w:r>
            <w:r w:rsidR="000707E8" w:rsidRPr="477D0D72">
              <w:rPr>
                <w:lang w:val="en-US"/>
              </w:rPr>
              <w:t xml:space="preserve"> support</w:t>
            </w:r>
            <w:r w:rsidRPr="477D0D72">
              <w:rPr>
                <w:lang w:val="en-US"/>
              </w:rPr>
              <w:t xml:space="preserve"> </w:t>
            </w:r>
            <w:r w:rsidR="000707E8" w:rsidRPr="477D0D72">
              <w:rPr>
                <w:lang w:val="en-US"/>
              </w:rPr>
              <w:t>to remove</w:t>
            </w:r>
            <w:r w:rsidRPr="477D0D72">
              <w:rPr>
                <w:lang w:val="en-US"/>
              </w:rPr>
              <w:t xml:space="preserve"> barriers to major </w:t>
            </w:r>
            <w:r w:rsidR="000707E8" w:rsidRPr="477D0D72">
              <w:rPr>
                <w:lang w:val="en-US"/>
              </w:rPr>
              <w:t>non</w:t>
            </w:r>
            <w:r w:rsidR="000F348A">
              <w:rPr>
                <w:lang w:val="en-US"/>
              </w:rPr>
              <w:noBreakHyphen/>
            </w:r>
            <w:r w:rsidR="000707E8" w:rsidRPr="477D0D72">
              <w:rPr>
                <w:lang w:val="en-US"/>
              </w:rPr>
              <w:t xml:space="preserve">residential projects </w:t>
            </w:r>
            <w:r w:rsidRPr="477D0D72">
              <w:rPr>
                <w:lang w:val="en-US"/>
              </w:rPr>
              <w:t xml:space="preserve">selected through an </w:t>
            </w:r>
            <w:r w:rsidR="000707E8" w:rsidRPr="477D0D72">
              <w:rPr>
                <w:lang w:val="en-US"/>
              </w:rPr>
              <w:t>expression of interest</w:t>
            </w:r>
            <w:r w:rsidRPr="477D0D72">
              <w:rPr>
                <w:lang w:val="en-US"/>
              </w:rPr>
              <w:t xml:space="preserve"> process</w:t>
            </w:r>
            <w:r w:rsidR="00577B82" w:rsidRPr="477D0D72">
              <w:rPr>
                <w:lang w:val="en-US"/>
              </w:rPr>
              <w:t>. I</w:t>
            </w:r>
            <w:r w:rsidRPr="477D0D72">
              <w:rPr>
                <w:lang w:val="en-US"/>
              </w:rPr>
              <w:t xml:space="preserve">t will </w:t>
            </w:r>
            <w:r w:rsidR="00577B82" w:rsidRPr="477D0D72">
              <w:rPr>
                <w:lang w:val="en-US"/>
              </w:rPr>
              <w:t>also</w:t>
            </w:r>
            <w:r w:rsidRPr="477D0D72">
              <w:rPr>
                <w:lang w:val="en-US"/>
              </w:rPr>
              <w:t xml:space="preserve"> identify system-wide reforms to remove barriers to investment, competition and productivity in New South Wales.</w:t>
            </w:r>
          </w:p>
          <w:p w14:paraId="347CC1CA" w14:textId="205DE9D8" w:rsidR="001860EA" w:rsidRPr="00FB3016" w:rsidRDefault="00190D23" w:rsidP="00190D23">
            <w:pPr>
              <w:pStyle w:val="BodyText"/>
            </w:pPr>
            <w:r w:rsidRPr="4C80CBC5">
              <w:rPr>
                <w:lang w:val="en-US"/>
              </w:rPr>
              <w:t xml:space="preserve">Projects eligible for </w:t>
            </w:r>
            <w:r w:rsidR="00E12FA9" w:rsidRPr="4C80CBC5">
              <w:rPr>
                <w:lang w:val="en-US"/>
              </w:rPr>
              <w:t xml:space="preserve">consideration by </w:t>
            </w:r>
            <w:r w:rsidRPr="4C80CBC5">
              <w:rPr>
                <w:lang w:val="en-US"/>
              </w:rPr>
              <w:t xml:space="preserve">the IDA </w:t>
            </w:r>
            <w:r w:rsidR="00A77540">
              <w:rPr>
                <w:lang w:val="en-US"/>
              </w:rPr>
              <w:t xml:space="preserve">must demonstrate capability to commence </w:t>
            </w:r>
            <w:r w:rsidR="009F0B09">
              <w:rPr>
                <w:lang w:val="en-US"/>
              </w:rPr>
              <w:t xml:space="preserve">development quickly, be </w:t>
            </w:r>
            <w:r w:rsidRPr="4C80CBC5">
              <w:rPr>
                <w:lang w:val="en-US"/>
              </w:rPr>
              <w:t>align</w:t>
            </w:r>
            <w:r w:rsidR="009F0B09">
              <w:rPr>
                <w:lang w:val="en-US"/>
              </w:rPr>
              <w:t>ed</w:t>
            </w:r>
            <w:r w:rsidRPr="4C80CBC5">
              <w:rPr>
                <w:lang w:val="en-US"/>
              </w:rPr>
              <w:t xml:space="preserve"> with the </w:t>
            </w:r>
            <w:r w:rsidR="00377F52" w:rsidRPr="4C80CBC5">
              <w:rPr>
                <w:lang w:val="en-US"/>
              </w:rPr>
              <w:t>G</w:t>
            </w:r>
            <w:r w:rsidRPr="4C80CBC5">
              <w:rPr>
                <w:lang w:val="en-US"/>
              </w:rPr>
              <w:t>overnment’s priorities and have capital investment values above $1 billion.</w:t>
            </w:r>
          </w:p>
        </w:tc>
      </w:tr>
    </w:tbl>
    <w:p w14:paraId="54510E2B" w14:textId="77777777" w:rsidR="001860EA" w:rsidRDefault="001860EA" w:rsidP="00967FDF"/>
    <w:p w14:paraId="533D9057" w14:textId="602E51FE" w:rsidR="009607CC" w:rsidRPr="00913605" w:rsidRDefault="0047487E" w:rsidP="00913605">
      <w:pPr>
        <w:pStyle w:val="Heading3"/>
      </w:pPr>
      <w:r>
        <w:t>Touri</w:t>
      </w:r>
      <w:r w:rsidR="00873960">
        <w:t>s</w:t>
      </w:r>
      <w:r>
        <w:t xml:space="preserve">m and </w:t>
      </w:r>
      <w:r w:rsidR="00BC16B2">
        <w:t xml:space="preserve">the </w:t>
      </w:r>
      <w:r>
        <w:t>arts</w:t>
      </w:r>
    </w:p>
    <w:p w14:paraId="35C44E2B" w14:textId="2EE52BB8" w:rsidR="00C06AF9" w:rsidRPr="009476F7" w:rsidRDefault="00C06AF9" w:rsidP="009476F7">
      <w:pPr>
        <w:pStyle w:val="BodyText"/>
      </w:pPr>
      <w:r w:rsidRPr="009476F7">
        <w:rPr>
          <w:lang w:val="en-US"/>
        </w:rPr>
        <w:t xml:space="preserve">The Government is also investing in tourism, </w:t>
      </w:r>
      <w:r w:rsidR="009C4826">
        <w:rPr>
          <w:lang w:val="en-US"/>
        </w:rPr>
        <w:t xml:space="preserve">the </w:t>
      </w:r>
      <w:r w:rsidRPr="009476F7">
        <w:rPr>
          <w:lang w:val="en-US"/>
        </w:rPr>
        <w:t>arts and the night-time economy, including</w:t>
      </w:r>
      <w:r w:rsidR="00B321FF">
        <w:rPr>
          <w:lang w:val="en-US"/>
        </w:rPr>
        <w:t xml:space="preserve"> additional funding of</w:t>
      </w:r>
      <w:r w:rsidRPr="009476F7">
        <w:rPr>
          <w:lang w:val="en-US"/>
        </w:rPr>
        <w:t>:</w:t>
      </w:r>
    </w:p>
    <w:p w14:paraId="54E18E2E" w14:textId="57F2823E" w:rsidR="001E61E3" w:rsidRPr="00316A34" w:rsidRDefault="00A16537" w:rsidP="00262998">
      <w:pPr>
        <w:pStyle w:val="Bullet1"/>
      </w:pPr>
      <w:r>
        <w:t xml:space="preserve">$280.6 million for Screen NSW to support the Made in NSW and Post, Digital and Visual Effects </w:t>
      </w:r>
      <w:r w:rsidR="00D853BD">
        <w:t>R</w:t>
      </w:r>
      <w:r>
        <w:t>ebate programs</w:t>
      </w:r>
    </w:p>
    <w:p w14:paraId="46F79B04" w14:textId="077B2806" w:rsidR="00C06AF9" w:rsidRPr="008342D0" w:rsidRDefault="00C06AF9" w:rsidP="00262998">
      <w:pPr>
        <w:pStyle w:val="Bullet1"/>
      </w:pPr>
      <w:r w:rsidRPr="1560105E">
        <w:rPr>
          <w:lang w:val="en-US"/>
        </w:rPr>
        <w:t xml:space="preserve">$135.0 million for Destination NSW events, promotion and industry support to grow the </w:t>
      </w:r>
      <w:r w:rsidR="006A6AE7">
        <w:rPr>
          <w:lang w:val="en-US"/>
        </w:rPr>
        <w:t>NSW</w:t>
      </w:r>
      <w:r w:rsidRPr="1560105E">
        <w:rPr>
          <w:lang w:val="en-US"/>
        </w:rPr>
        <w:t xml:space="preserve"> visitor economy</w:t>
      </w:r>
    </w:p>
    <w:p w14:paraId="27CE7A40" w14:textId="1DA82A6E" w:rsidR="00E21D2C" w:rsidRPr="00053843" w:rsidRDefault="00E21D2C" w:rsidP="00262998">
      <w:pPr>
        <w:pStyle w:val="Bullet1"/>
      </w:pPr>
      <w:r>
        <w:rPr>
          <w:lang w:val="en-US"/>
        </w:rPr>
        <w:t>$100 million capital fund</w:t>
      </w:r>
      <w:r w:rsidR="008342D0">
        <w:rPr>
          <w:lang w:val="en-US"/>
        </w:rPr>
        <w:t>ing to locate a new screen production space</w:t>
      </w:r>
    </w:p>
    <w:p w14:paraId="3DF254E4" w14:textId="77777777" w:rsidR="00F81F17" w:rsidRPr="00F81F17" w:rsidRDefault="00C06AF9" w:rsidP="00262998">
      <w:pPr>
        <w:pStyle w:val="Bullet1"/>
      </w:pPr>
      <w:r w:rsidRPr="1560105E">
        <w:rPr>
          <w:lang w:val="en-US"/>
        </w:rPr>
        <w:t>$20.6 million for the Office of the 24-Hour Economy Commissioner to support the night</w:t>
      </w:r>
      <w:r w:rsidR="00707A59">
        <w:noBreakHyphen/>
      </w:r>
      <w:r w:rsidRPr="1560105E">
        <w:rPr>
          <w:lang w:val="en-US"/>
        </w:rPr>
        <w:t>time economy and local councils through regulatory reform, precinct-based initiatives and other support</w:t>
      </w:r>
    </w:p>
    <w:p w14:paraId="0B84F27C" w14:textId="1ABB2F72" w:rsidR="00427E8F" w:rsidRDefault="00F81F17" w:rsidP="00827CA8">
      <w:pPr>
        <w:pStyle w:val="Bullet1"/>
        <w:rPr>
          <w:rFonts w:ascii="Arial" w:hAnsi="Arial"/>
        </w:rPr>
      </w:pPr>
      <w:r w:rsidRPr="00F81F17">
        <w:rPr>
          <w:lang w:val="en-US"/>
        </w:rPr>
        <w:t xml:space="preserve">$20.0 million for Sound NSW to implement the NSW Contemporary Music Strategy through grants programs, capacity-building initiatives and regulatory reform to strengthen the </w:t>
      </w:r>
      <w:r w:rsidR="006A6AE7">
        <w:rPr>
          <w:lang w:val="en-US"/>
        </w:rPr>
        <w:t>NSW</w:t>
      </w:r>
      <w:r w:rsidRPr="00F81F17">
        <w:rPr>
          <w:lang w:val="en-US"/>
        </w:rPr>
        <w:t xml:space="preserve"> music industry.</w:t>
      </w:r>
      <w:bookmarkEnd w:id="0"/>
    </w:p>
    <w:sectPr w:rsidR="00427E8F" w:rsidSect="00E03700">
      <w:headerReference w:type="even" r:id="rId14"/>
      <w:headerReference w:type="default" r:id="rId15"/>
      <w:footerReference w:type="even" r:id="rId16"/>
      <w:footerReference w:type="default" r:id="rId17"/>
      <w:headerReference w:type="first" r:id="rId18"/>
      <w:footerReference w:type="first" r:id="rId19"/>
      <w:pgSz w:w="11907" w:h="16840" w:code="9"/>
      <w:pgMar w:top="1134" w:right="1134" w:bottom="567" w:left="1134" w:header="454"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5E504" w14:textId="77777777" w:rsidR="00F46D61" w:rsidRDefault="00F46D61">
      <w:r>
        <w:separator/>
      </w:r>
    </w:p>
  </w:endnote>
  <w:endnote w:type="continuationSeparator" w:id="0">
    <w:p w14:paraId="46DA1E26" w14:textId="77777777" w:rsidR="00F46D61" w:rsidRDefault="00F46D61">
      <w:r>
        <w:continuationSeparator/>
      </w:r>
    </w:p>
  </w:endnote>
  <w:endnote w:type="continuationNotice" w:id="1">
    <w:p w14:paraId="3DFF8C33" w14:textId="77777777" w:rsidR="00F46D61" w:rsidRDefault="00F46D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Public Sans">
    <w:panose1 w:val="00000000000000000000"/>
    <w:charset w:val="00"/>
    <w:family w:val="auto"/>
    <w:pitch w:val="variable"/>
    <w:sig w:usb0="A00000FF" w:usb1="4000205B" w:usb2="00000000" w:usb3="00000000" w:csb0="00000193" w:csb1="00000000"/>
  </w:font>
  <w:font w:name="Public Sans SemiBold">
    <w:panose1 w:val="00000000000000000000"/>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ublic Sans Light">
    <w:panose1 w:val="00000000000000000000"/>
    <w:charset w:val="00"/>
    <w:family w:val="auto"/>
    <w:pitch w:val="variable"/>
    <w:sig w:usb0="A00000FF" w:usb1="4000205B" w:usb2="00000000" w:usb3="00000000" w:csb0="00000193"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Klee One"/>
    <w:panose1 w:val="00000000000000000000"/>
    <w:charset w:val="4D"/>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F8A95" w14:textId="78FFBD46" w:rsidR="009E5213" w:rsidRPr="006243DB" w:rsidRDefault="001472E4" w:rsidP="00733C7C">
    <w:pPr>
      <w:pBdr>
        <w:top w:val="single" w:sz="4" w:space="4" w:color="auto"/>
      </w:pBdr>
      <w:tabs>
        <w:tab w:val="right" w:pos="9639"/>
      </w:tabs>
      <w:rPr>
        <w:rFonts w:ascii="Public Sans" w:hAnsi="Public Sans" w:cs="Arial"/>
        <w:noProof/>
        <w:sz w:val="18"/>
        <w:szCs w:val="18"/>
      </w:rPr>
    </w:pPr>
    <w:r>
      <w:rPr>
        <w:rFonts w:ascii="Public Sans" w:hAnsi="Public Sans" w:cs="Arial"/>
        <w:sz w:val="18"/>
        <w:szCs w:val="18"/>
      </w:rPr>
      <w:t>3</w:t>
    </w:r>
    <w:r w:rsidR="009E5213" w:rsidRPr="006243DB">
      <w:rPr>
        <w:rFonts w:ascii="Public Sans" w:hAnsi="Public Sans" w:cs="Arial"/>
        <w:sz w:val="18"/>
        <w:szCs w:val="18"/>
      </w:rPr>
      <w:t xml:space="preserve"> - </w:t>
    </w:r>
    <w:r w:rsidR="009E5213" w:rsidRPr="006243DB">
      <w:rPr>
        <w:rFonts w:ascii="Public Sans" w:hAnsi="Public Sans" w:cs="Arial"/>
        <w:sz w:val="18"/>
        <w:szCs w:val="18"/>
      </w:rPr>
      <w:fldChar w:fldCharType="begin"/>
    </w:r>
    <w:r w:rsidR="009E5213" w:rsidRPr="006243DB">
      <w:rPr>
        <w:rFonts w:ascii="Public Sans" w:hAnsi="Public Sans" w:cs="Arial"/>
        <w:sz w:val="18"/>
        <w:szCs w:val="18"/>
      </w:rPr>
      <w:instrText xml:space="preserve"> PAGE   \* MERGEFORMAT </w:instrText>
    </w:r>
    <w:r w:rsidR="009E5213" w:rsidRPr="006243DB">
      <w:rPr>
        <w:rFonts w:ascii="Public Sans" w:hAnsi="Public Sans" w:cs="Arial"/>
        <w:sz w:val="18"/>
        <w:szCs w:val="18"/>
      </w:rPr>
      <w:fldChar w:fldCharType="separate"/>
    </w:r>
    <w:r w:rsidR="009E5213" w:rsidRPr="006243DB">
      <w:rPr>
        <w:rFonts w:ascii="Public Sans" w:hAnsi="Public Sans" w:cs="Arial"/>
        <w:sz w:val="18"/>
        <w:szCs w:val="18"/>
      </w:rPr>
      <w:t>2</w:t>
    </w:r>
    <w:r w:rsidR="009E5213" w:rsidRPr="006243DB">
      <w:rPr>
        <w:rFonts w:ascii="Public Sans" w:hAnsi="Public Sans" w:cs="Arial"/>
        <w:noProof/>
        <w:sz w:val="18"/>
        <w:szCs w:val="18"/>
      </w:rPr>
      <w:fldChar w:fldCharType="end"/>
    </w:r>
    <w:r w:rsidR="009E5213" w:rsidRPr="006243DB">
      <w:rPr>
        <w:rFonts w:ascii="Public Sans" w:hAnsi="Public Sans" w:cs="Arial"/>
        <w:noProof/>
        <w:sz w:val="18"/>
        <w:szCs w:val="18"/>
      </w:rPr>
      <w:tab/>
    </w:r>
    <w:r w:rsidR="001775E9" w:rsidRPr="006243DB">
      <w:rPr>
        <w:rFonts w:ascii="Public Sans" w:hAnsi="Public Sans" w:cs="Arial"/>
        <w:sz w:val="18"/>
        <w:szCs w:val="18"/>
      </w:rPr>
      <w:t>202</w:t>
    </w:r>
    <w:r w:rsidR="001775E9">
      <w:rPr>
        <w:rFonts w:ascii="Public Sans" w:hAnsi="Public Sans" w:cs="Arial"/>
        <w:sz w:val="18"/>
        <w:szCs w:val="18"/>
      </w:rPr>
      <w:t>5</w:t>
    </w:r>
    <w:r w:rsidR="001775E9" w:rsidRPr="006243DB">
      <w:rPr>
        <w:rFonts w:ascii="Public Sans" w:hAnsi="Public Sans" w:cs="Arial"/>
        <w:sz w:val="18"/>
        <w:szCs w:val="18"/>
      </w:rPr>
      <w:t>-2</w:t>
    </w:r>
    <w:r w:rsidR="001775E9">
      <w:rPr>
        <w:rFonts w:ascii="Public Sans" w:hAnsi="Public Sans" w:cs="Arial"/>
        <w:sz w:val="18"/>
        <w:szCs w:val="18"/>
      </w:rPr>
      <w:t xml:space="preserve">6 </w:t>
    </w:r>
    <w:r w:rsidR="00146230">
      <w:rPr>
        <w:rFonts w:ascii="Public Sans" w:hAnsi="Public Sans" w:cs="Arial"/>
        <w:sz w:val="18"/>
        <w:szCs w:val="18"/>
      </w:rPr>
      <w:t>Budget Statement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417A1" w14:textId="3582DC7A" w:rsidR="009E5213" w:rsidRPr="009E5213" w:rsidRDefault="001775E9" w:rsidP="00830024">
    <w:pPr>
      <w:pBdr>
        <w:top w:val="single" w:sz="4" w:space="4" w:color="auto"/>
      </w:pBdr>
      <w:tabs>
        <w:tab w:val="right" w:pos="9639"/>
      </w:tabs>
      <w:rPr>
        <w:rFonts w:ascii="Arial" w:hAnsi="Arial" w:cs="Arial"/>
        <w:sz w:val="10"/>
        <w:szCs w:val="12"/>
      </w:rPr>
    </w:pPr>
    <w:r w:rsidRPr="002D3E45">
      <w:rPr>
        <w:rFonts w:ascii="Public Sans" w:hAnsi="Public Sans" w:cs="Arial"/>
        <w:sz w:val="18"/>
        <w:szCs w:val="18"/>
      </w:rPr>
      <w:t>2025-26</w:t>
    </w:r>
    <w:r>
      <w:rPr>
        <w:rFonts w:ascii="Public Sans" w:hAnsi="Public Sans" w:cs="Arial"/>
        <w:sz w:val="18"/>
        <w:szCs w:val="18"/>
      </w:rPr>
      <w:t xml:space="preserve"> </w:t>
    </w:r>
    <w:r w:rsidR="009E5213" w:rsidRPr="002D3E45">
      <w:rPr>
        <w:rFonts w:ascii="Public Sans" w:hAnsi="Public Sans" w:cs="Arial"/>
        <w:sz w:val="18"/>
        <w:szCs w:val="18"/>
      </w:rPr>
      <w:t>Budget Statement</w:t>
    </w:r>
    <w:r w:rsidR="009E5213" w:rsidRPr="002D3E45">
      <w:rPr>
        <w:rFonts w:ascii="Public Sans" w:hAnsi="Public Sans" w:cs="Arial"/>
        <w:sz w:val="18"/>
        <w:szCs w:val="18"/>
      </w:rPr>
      <w:tab/>
    </w:r>
    <w:r w:rsidR="002D3E45">
      <w:rPr>
        <w:rFonts w:ascii="Public Sans" w:hAnsi="Public Sans" w:cs="Arial"/>
        <w:sz w:val="18"/>
        <w:szCs w:val="18"/>
      </w:rPr>
      <w:t>3</w:t>
    </w:r>
    <w:r w:rsidR="009E5213" w:rsidRPr="002D3E45">
      <w:rPr>
        <w:rFonts w:ascii="Public Sans" w:hAnsi="Public Sans" w:cs="Arial"/>
        <w:sz w:val="18"/>
        <w:szCs w:val="18"/>
      </w:rPr>
      <w:t xml:space="preserve"> - </w:t>
    </w:r>
    <w:r w:rsidR="009E5213" w:rsidRPr="002D3E45">
      <w:rPr>
        <w:rFonts w:ascii="Public Sans" w:hAnsi="Public Sans" w:cs="Arial"/>
        <w:sz w:val="18"/>
        <w:szCs w:val="18"/>
      </w:rPr>
      <w:fldChar w:fldCharType="begin"/>
    </w:r>
    <w:r w:rsidR="009E5213" w:rsidRPr="002D3E45">
      <w:rPr>
        <w:rFonts w:ascii="Public Sans" w:hAnsi="Public Sans" w:cs="Arial"/>
        <w:sz w:val="18"/>
        <w:szCs w:val="18"/>
      </w:rPr>
      <w:instrText xml:space="preserve"> PAGE   \* MERGEFORMAT </w:instrText>
    </w:r>
    <w:r w:rsidR="009E5213" w:rsidRPr="002D3E45">
      <w:rPr>
        <w:rFonts w:ascii="Public Sans" w:hAnsi="Public Sans" w:cs="Arial"/>
        <w:sz w:val="18"/>
        <w:szCs w:val="18"/>
      </w:rPr>
      <w:fldChar w:fldCharType="separate"/>
    </w:r>
    <w:r w:rsidR="009E5213" w:rsidRPr="002D3E45">
      <w:rPr>
        <w:rFonts w:ascii="Public Sans" w:hAnsi="Public Sans" w:cs="Arial"/>
        <w:sz w:val="18"/>
        <w:szCs w:val="18"/>
      </w:rPr>
      <w:t>1</w:t>
    </w:r>
    <w:r w:rsidR="009E5213" w:rsidRPr="002D3E45">
      <w:rPr>
        <w:rFonts w:ascii="Public Sans" w:hAnsi="Public Sans" w:cs="Arial"/>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3154A" w14:textId="09DA0311" w:rsidR="00AB2DCE" w:rsidRPr="00C76014" w:rsidRDefault="00D30689" w:rsidP="00C76014">
    <w:pPr>
      <w:pBdr>
        <w:top w:val="single" w:sz="4" w:space="4" w:color="auto"/>
      </w:pBdr>
      <w:tabs>
        <w:tab w:val="right" w:pos="9639"/>
      </w:tabs>
      <w:rPr>
        <w:rFonts w:ascii="Public Sans" w:hAnsi="Public Sans" w:cs="Arial"/>
        <w:sz w:val="18"/>
        <w:szCs w:val="18"/>
      </w:rPr>
    </w:pPr>
    <w:r w:rsidRPr="006243DB">
      <w:rPr>
        <w:rFonts w:ascii="Public Sans" w:hAnsi="Public Sans" w:cs="Arial"/>
        <w:sz w:val="18"/>
        <w:szCs w:val="18"/>
      </w:rPr>
      <w:t>202</w:t>
    </w:r>
    <w:r>
      <w:rPr>
        <w:rFonts w:ascii="Public Sans" w:hAnsi="Public Sans" w:cs="Arial"/>
        <w:sz w:val="18"/>
        <w:szCs w:val="18"/>
      </w:rPr>
      <w:t>5</w:t>
    </w:r>
    <w:r w:rsidRPr="006243DB">
      <w:rPr>
        <w:rFonts w:ascii="Public Sans" w:hAnsi="Public Sans" w:cs="Arial"/>
        <w:sz w:val="18"/>
        <w:szCs w:val="18"/>
      </w:rPr>
      <w:t>-2</w:t>
    </w:r>
    <w:r>
      <w:rPr>
        <w:rFonts w:ascii="Public Sans" w:hAnsi="Public Sans" w:cs="Arial"/>
        <w:sz w:val="18"/>
        <w:szCs w:val="18"/>
      </w:rPr>
      <w:t xml:space="preserve">6 </w:t>
    </w:r>
    <w:r w:rsidR="00146230">
      <w:rPr>
        <w:rFonts w:ascii="Public Sans" w:hAnsi="Public Sans" w:cs="Arial"/>
        <w:sz w:val="18"/>
        <w:szCs w:val="18"/>
      </w:rPr>
      <w:t>Budget Statement</w:t>
    </w:r>
    <w:r w:rsidR="009E5213" w:rsidRPr="006243DB">
      <w:rPr>
        <w:rFonts w:ascii="Public Sans" w:hAnsi="Public Sans" w:cs="Arial"/>
        <w:sz w:val="18"/>
        <w:szCs w:val="18"/>
      </w:rPr>
      <w:tab/>
    </w:r>
    <w:r w:rsidR="001472E4">
      <w:rPr>
        <w:rFonts w:ascii="Public Sans" w:hAnsi="Public Sans" w:cs="Arial"/>
        <w:sz w:val="18"/>
        <w:szCs w:val="18"/>
      </w:rPr>
      <w:t>3</w:t>
    </w:r>
    <w:r w:rsidR="009E5213" w:rsidRPr="006243DB">
      <w:rPr>
        <w:rFonts w:ascii="Public Sans" w:hAnsi="Public Sans" w:cs="Arial"/>
        <w:sz w:val="18"/>
        <w:szCs w:val="18"/>
      </w:rPr>
      <w:t xml:space="preserve"> - </w:t>
    </w:r>
    <w:r w:rsidR="009E5213" w:rsidRPr="006243DB">
      <w:rPr>
        <w:rFonts w:ascii="Public Sans" w:hAnsi="Public Sans" w:cs="Arial"/>
        <w:sz w:val="18"/>
        <w:szCs w:val="18"/>
      </w:rPr>
      <w:fldChar w:fldCharType="begin"/>
    </w:r>
    <w:r w:rsidR="009E5213" w:rsidRPr="006243DB">
      <w:rPr>
        <w:rFonts w:ascii="Public Sans" w:hAnsi="Public Sans" w:cs="Arial"/>
        <w:sz w:val="18"/>
        <w:szCs w:val="18"/>
      </w:rPr>
      <w:instrText xml:space="preserve"> PAGE   \* MERGEFORMAT </w:instrText>
    </w:r>
    <w:r w:rsidR="009E5213" w:rsidRPr="006243DB">
      <w:rPr>
        <w:rFonts w:ascii="Public Sans" w:hAnsi="Public Sans" w:cs="Arial"/>
        <w:sz w:val="18"/>
        <w:szCs w:val="18"/>
      </w:rPr>
      <w:fldChar w:fldCharType="separate"/>
    </w:r>
    <w:r w:rsidR="009E5213" w:rsidRPr="006243DB">
      <w:rPr>
        <w:rFonts w:ascii="Public Sans" w:hAnsi="Public Sans" w:cs="Arial"/>
        <w:sz w:val="18"/>
        <w:szCs w:val="18"/>
      </w:rPr>
      <w:t>5</w:t>
    </w:r>
    <w:r w:rsidR="009E5213" w:rsidRPr="006243DB">
      <w:rPr>
        <w:rFonts w:ascii="Public Sans" w:hAnsi="Public Sans"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102503" w14:textId="77777777" w:rsidR="00F46D61" w:rsidRDefault="00F46D61">
      <w:pPr>
        <w:spacing w:before="120"/>
      </w:pPr>
      <w:r>
        <w:separator/>
      </w:r>
    </w:p>
  </w:footnote>
  <w:footnote w:type="continuationSeparator" w:id="0">
    <w:p w14:paraId="16529441" w14:textId="77777777" w:rsidR="00F46D61" w:rsidRDefault="00F46D61">
      <w:pPr>
        <w:spacing w:before="120"/>
      </w:pPr>
      <w:r>
        <w:continuationSeparator/>
      </w:r>
    </w:p>
  </w:footnote>
  <w:footnote w:type="continuationNotice" w:id="1">
    <w:p w14:paraId="30A76A13" w14:textId="77777777" w:rsidR="00F46D61" w:rsidRDefault="00F46D61">
      <w:pPr>
        <w:rPr>
          <w:sz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79474" w14:textId="1A58F719" w:rsidR="009E5213" w:rsidRDefault="00EB6B4F" w:rsidP="00380221">
    <w:pPr>
      <w:pBdr>
        <w:bottom w:val="single" w:sz="4" w:space="4" w:color="auto"/>
      </w:pBdr>
      <w:tabs>
        <w:tab w:val="center" w:pos="4153"/>
        <w:tab w:val="right" w:pos="8306"/>
      </w:tabs>
      <w:spacing w:line="192" w:lineRule="auto"/>
      <w:contextualSpacing/>
    </w:pPr>
    <w:r>
      <w:rPr>
        <w:rFonts w:ascii="Public Sans" w:eastAsia="Calibri" w:hAnsi="Public Sans" w:cs="Arial"/>
        <w:sz w:val="18"/>
        <w:szCs w:val="18"/>
      </w:rPr>
      <w:t>Budget p</w:t>
    </w:r>
    <w:r w:rsidR="001472E4">
      <w:rPr>
        <w:rFonts w:ascii="Public Sans" w:eastAsia="Calibri" w:hAnsi="Public Sans" w:cs="Arial"/>
        <w:sz w:val="18"/>
        <w:szCs w:val="18"/>
      </w:rPr>
      <w:t>riorities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8978D" w14:textId="5848937B" w:rsidR="009E5213" w:rsidRPr="009E5213" w:rsidRDefault="00EB6B4F" w:rsidP="009E5213">
    <w:pPr>
      <w:pBdr>
        <w:bottom w:val="single" w:sz="4" w:space="4" w:color="auto"/>
      </w:pBdr>
      <w:tabs>
        <w:tab w:val="center" w:pos="4153"/>
        <w:tab w:val="right" w:pos="8306"/>
      </w:tabs>
      <w:spacing w:line="192" w:lineRule="auto"/>
      <w:contextualSpacing/>
      <w:jc w:val="right"/>
      <w:rPr>
        <w:rFonts w:ascii="Arial" w:eastAsia="Calibri" w:hAnsi="Arial" w:cs="Arial"/>
        <w:sz w:val="18"/>
        <w:szCs w:val="18"/>
      </w:rPr>
    </w:pPr>
    <w:r>
      <w:rPr>
        <w:rFonts w:ascii="Arial" w:eastAsia="Calibri" w:hAnsi="Arial" w:cs="Arial"/>
        <w:sz w:val="18"/>
        <w:szCs w:val="18"/>
      </w:rPr>
      <w:t>Budget p</w:t>
    </w:r>
    <w:r w:rsidR="002D3E45">
      <w:rPr>
        <w:rFonts w:ascii="Arial" w:eastAsia="Calibri" w:hAnsi="Arial" w:cs="Arial"/>
        <w:sz w:val="18"/>
        <w:szCs w:val="18"/>
      </w:rPr>
      <w:t>riorities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A7199" w14:textId="004FE5A4" w:rsidR="00AB2DCE" w:rsidRDefault="00AB2DCE" w:rsidP="0000000A">
    <w:pPr>
      <w:pStyle w:val="Header"/>
      <w:tabs>
        <w:tab w:val="clear" w:pos="4513"/>
        <w:tab w:val="clear" w:pos="9026"/>
        <w:tab w:val="center" w:pos="2552"/>
      </w:tabs>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21123"/>
    <w:multiLevelType w:val="hybridMultilevel"/>
    <w:tmpl w:val="584484EC"/>
    <w:lvl w:ilvl="0" w:tplc="E24897A6">
      <w:start w:val="1"/>
      <w:numFmt w:val="bullet"/>
      <w:lvlText w:val=""/>
      <w:lvlJc w:val="left"/>
      <w:pPr>
        <w:ind w:left="720" w:hanging="360"/>
      </w:pPr>
      <w:rPr>
        <w:rFonts w:ascii="Symbol" w:hAnsi="Symbol"/>
      </w:rPr>
    </w:lvl>
    <w:lvl w:ilvl="1" w:tplc="3EA8116C">
      <w:start w:val="1"/>
      <w:numFmt w:val="bullet"/>
      <w:lvlText w:val=""/>
      <w:lvlJc w:val="left"/>
      <w:pPr>
        <w:ind w:left="720" w:hanging="360"/>
      </w:pPr>
      <w:rPr>
        <w:rFonts w:ascii="Symbol" w:hAnsi="Symbol"/>
      </w:rPr>
    </w:lvl>
    <w:lvl w:ilvl="2" w:tplc="E4041238">
      <w:start w:val="1"/>
      <w:numFmt w:val="bullet"/>
      <w:lvlText w:val=""/>
      <w:lvlJc w:val="left"/>
      <w:pPr>
        <w:ind w:left="720" w:hanging="360"/>
      </w:pPr>
      <w:rPr>
        <w:rFonts w:ascii="Symbol" w:hAnsi="Symbol"/>
      </w:rPr>
    </w:lvl>
    <w:lvl w:ilvl="3" w:tplc="51E2E07A">
      <w:start w:val="1"/>
      <w:numFmt w:val="bullet"/>
      <w:lvlText w:val=""/>
      <w:lvlJc w:val="left"/>
      <w:pPr>
        <w:ind w:left="720" w:hanging="360"/>
      </w:pPr>
      <w:rPr>
        <w:rFonts w:ascii="Symbol" w:hAnsi="Symbol"/>
      </w:rPr>
    </w:lvl>
    <w:lvl w:ilvl="4" w:tplc="57B2A3E0">
      <w:start w:val="1"/>
      <w:numFmt w:val="bullet"/>
      <w:lvlText w:val=""/>
      <w:lvlJc w:val="left"/>
      <w:pPr>
        <w:ind w:left="720" w:hanging="360"/>
      </w:pPr>
      <w:rPr>
        <w:rFonts w:ascii="Symbol" w:hAnsi="Symbol"/>
      </w:rPr>
    </w:lvl>
    <w:lvl w:ilvl="5" w:tplc="6862D9D4">
      <w:start w:val="1"/>
      <w:numFmt w:val="bullet"/>
      <w:lvlText w:val=""/>
      <w:lvlJc w:val="left"/>
      <w:pPr>
        <w:ind w:left="720" w:hanging="360"/>
      </w:pPr>
      <w:rPr>
        <w:rFonts w:ascii="Symbol" w:hAnsi="Symbol"/>
      </w:rPr>
    </w:lvl>
    <w:lvl w:ilvl="6" w:tplc="3BBA996C">
      <w:start w:val="1"/>
      <w:numFmt w:val="bullet"/>
      <w:lvlText w:val=""/>
      <w:lvlJc w:val="left"/>
      <w:pPr>
        <w:ind w:left="720" w:hanging="360"/>
      </w:pPr>
      <w:rPr>
        <w:rFonts w:ascii="Symbol" w:hAnsi="Symbol"/>
      </w:rPr>
    </w:lvl>
    <w:lvl w:ilvl="7" w:tplc="66AA0562">
      <w:start w:val="1"/>
      <w:numFmt w:val="bullet"/>
      <w:lvlText w:val=""/>
      <w:lvlJc w:val="left"/>
      <w:pPr>
        <w:ind w:left="720" w:hanging="360"/>
      </w:pPr>
      <w:rPr>
        <w:rFonts w:ascii="Symbol" w:hAnsi="Symbol"/>
      </w:rPr>
    </w:lvl>
    <w:lvl w:ilvl="8" w:tplc="01B83462">
      <w:start w:val="1"/>
      <w:numFmt w:val="bullet"/>
      <w:lvlText w:val=""/>
      <w:lvlJc w:val="left"/>
      <w:pPr>
        <w:ind w:left="720" w:hanging="360"/>
      </w:pPr>
      <w:rPr>
        <w:rFonts w:ascii="Symbol" w:hAnsi="Symbol"/>
      </w:rPr>
    </w:lvl>
  </w:abstractNum>
  <w:abstractNum w:abstractNumId="1" w15:restartNumberingAfterBreak="0">
    <w:nsid w:val="01F66FDC"/>
    <w:multiLevelType w:val="hybridMultilevel"/>
    <w:tmpl w:val="1D1AB00A"/>
    <w:lvl w:ilvl="0" w:tplc="A73EA562">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24E2770"/>
    <w:multiLevelType w:val="hybridMultilevel"/>
    <w:tmpl w:val="B1EA0446"/>
    <w:lvl w:ilvl="0" w:tplc="6CB4AA2A">
      <w:start w:val="1"/>
      <w:numFmt w:val="decimal"/>
      <w:pStyle w:val="Box71BoxHeading"/>
      <w:lvlText w:val="Box 7.%1:"/>
      <w:lvlJc w:val="left"/>
      <w:pPr>
        <w:ind w:left="720" w:hanging="360"/>
      </w:pPr>
      <w:rPr>
        <w:rFonts w:ascii="Arial Bold" w:hAnsi="Arial Bold" w:hint="default"/>
        <w:b/>
        <w:i w:val="0"/>
        <w:sz w:val="2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B13CE9"/>
    <w:multiLevelType w:val="hybridMultilevel"/>
    <w:tmpl w:val="AC248C1C"/>
    <w:lvl w:ilvl="0" w:tplc="8B92066A">
      <w:start w:val="1"/>
      <w:numFmt w:val="decimal"/>
      <w:pStyle w:val="ChartA1X"/>
      <w:lvlText w:val="Chart A1.%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69716A"/>
    <w:multiLevelType w:val="hybridMultilevel"/>
    <w:tmpl w:val="A306A876"/>
    <w:lvl w:ilvl="0" w:tplc="48183CB4">
      <w:start w:val="1"/>
      <w:numFmt w:val="decimal"/>
      <w:pStyle w:val="A22Heading2"/>
      <w:lvlText w:val="A2.%1"/>
      <w:lvlJc w:val="left"/>
      <w:pPr>
        <w:ind w:left="360" w:hanging="360"/>
      </w:pPr>
      <w:rPr>
        <w:rFonts w:ascii="Public Sans SemiBold" w:hAnsi="Public Sans SemiBold" w:hint="default"/>
        <w:b/>
        <w:bCs/>
        <w:i w:val="0"/>
        <w:color w:val="22272B"/>
        <w:sz w:val="28"/>
        <w:szCs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4C22B50"/>
    <w:multiLevelType w:val="hybridMultilevel"/>
    <w:tmpl w:val="409615B0"/>
    <w:lvl w:ilvl="0" w:tplc="EF7288F6">
      <w:start w:val="1"/>
      <w:numFmt w:val="decimal"/>
      <w:lvlText w:val="8.%1"/>
      <w:lvlJc w:val="left"/>
      <w:pPr>
        <w:ind w:left="360" w:hanging="360"/>
      </w:pPr>
      <w:rPr>
        <w:rFonts w:ascii="Public Sans SemiBold" w:hAnsi="Public Sans SemiBold" w:hint="default"/>
        <w:b/>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5860651"/>
    <w:multiLevelType w:val="hybridMultilevel"/>
    <w:tmpl w:val="44D895D0"/>
    <w:lvl w:ilvl="0" w:tplc="5672D0E8">
      <w:start w:val="1"/>
      <w:numFmt w:val="decimal"/>
      <w:pStyle w:val="TableA3X"/>
      <w:lvlText w:val="Table A3.%1:"/>
      <w:lvlJc w:val="left"/>
      <w:pPr>
        <w:ind w:left="360" w:hanging="360"/>
      </w:pPr>
      <w:rPr>
        <w:rFonts w:ascii="Public Sans" w:hAnsi="Public Sans" w:hint="default"/>
        <w:b w:val="0"/>
        <w:i/>
        <w:caps w:val="0"/>
        <w:color w:val="000000" w:themeColor="text1"/>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59E3DB3"/>
    <w:multiLevelType w:val="hybridMultilevel"/>
    <w:tmpl w:val="F40654F4"/>
    <w:lvl w:ilvl="0" w:tplc="F902671E">
      <w:start w:val="1"/>
      <w:numFmt w:val="decimal"/>
      <w:pStyle w:val="FigureBX"/>
      <w:lvlText w:val="Figure B.%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5DE5882"/>
    <w:multiLevelType w:val="singleLevel"/>
    <w:tmpl w:val="9E9AEE9C"/>
    <w:lvl w:ilvl="0">
      <w:start w:val="1"/>
      <w:numFmt w:val="bullet"/>
      <w:pStyle w:val="ListBullet"/>
      <w:lvlText w:val=""/>
      <w:lvlJc w:val="left"/>
      <w:pPr>
        <w:ind w:left="1211" w:hanging="360"/>
      </w:pPr>
      <w:rPr>
        <w:rFonts w:ascii="Symbol" w:hAnsi="Symbol" w:hint="default"/>
        <w:sz w:val="22"/>
      </w:rPr>
    </w:lvl>
  </w:abstractNum>
  <w:abstractNum w:abstractNumId="9" w15:restartNumberingAfterBreak="0">
    <w:nsid w:val="069D5632"/>
    <w:multiLevelType w:val="multilevel"/>
    <w:tmpl w:val="598EFBEE"/>
    <w:lvl w:ilvl="0">
      <w:start w:val="1"/>
      <w:numFmt w:val="upperLetter"/>
      <w:pStyle w:val="Heading1Appendix"/>
      <w:lvlText w:val="Appendix %1:"/>
      <w:lvlJc w:val="left"/>
      <w:pPr>
        <w:tabs>
          <w:tab w:val="num" w:pos="3657"/>
        </w:tabs>
        <w:ind w:left="1843" w:firstLine="0"/>
      </w:pPr>
      <w:rPr>
        <w:rFonts w:hint="default"/>
        <w:color w:val="002664" w:themeColor="accent1"/>
      </w:rPr>
    </w:lvl>
    <w:lvl w:ilvl="1">
      <w:start w:val="1"/>
      <w:numFmt w:val="none"/>
      <w:lvlText w:val=""/>
      <w:lvlJc w:val="left"/>
      <w:pPr>
        <w:ind w:left="-32767" w:firstLine="0"/>
      </w:pPr>
      <w:rPr>
        <w:rFonts w:hint="default"/>
      </w:rPr>
    </w:lvl>
    <w:lvl w:ilvl="2">
      <w:start w:val="1"/>
      <w:numFmt w:val="none"/>
      <w:lvlText w:val=""/>
      <w:lvlJc w:val="left"/>
      <w:pPr>
        <w:ind w:left="-32767" w:firstLine="0"/>
      </w:pPr>
      <w:rPr>
        <w:rFonts w:hint="default"/>
      </w:rPr>
    </w:lvl>
    <w:lvl w:ilvl="3">
      <w:start w:val="1"/>
      <w:numFmt w:val="none"/>
      <w:lvlText w:val=""/>
      <w:lvlJc w:val="left"/>
      <w:pPr>
        <w:ind w:left="-32767"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06EF3ACE"/>
    <w:multiLevelType w:val="hybridMultilevel"/>
    <w:tmpl w:val="7A12A570"/>
    <w:lvl w:ilvl="0" w:tplc="C6C88904">
      <w:start w:val="1"/>
      <w:numFmt w:val="decimal"/>
      <w:pStyle w:val="Table7X"/>
      <w:lvlText w:val="Table 7.%1:"/>
      <w:lvlJc w:val="left"/>
      <w:pPr>
        <w:ind w:left="360" w:hanging="360"/>
      </w:pPr>
      <w:rPr>
        <w:rFonts w:ascii="Public Sans" w:hAnsi="Public Sans" w:hint="default"/>
        <w:b w:val="0"/>
        <w:i/>
        <w:caps w:val="0"/>
        <w:color w:val="000000" w:themeColor="text1"/>
        <w:sz w:val="22"/>
        <w:u w:val="none" w:color="4F4F4F"/>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1" w15:restartNumberingAfterBreak="0">
    <w:nsid w:val="08C9316B"/>
    <w:multiLevelType w:val="hybridMultilevel"/>
    <w:tmpl w:val="2EBA1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161376"/>
    <w:multiLevelType w:val="hybridMultilevel"/>
    <w:tmpl w:val="5E347214"/>
    <w:lvl w:ilvl="0" w:tplc="ADFE8268">
      <w:start w:val="1"/>
      <w:numFmt w:val="decimal"/>
      <w:pStyle w:val="TableBX"/>
      <w:lvlText w:val="Table B.%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FAC6ABF"/>
    <w:multiLevelType w:val="hybridMultilevel"/>
    <w:tmpl w:val="CC9C1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D475E7"/>
    <w:multiLevelType w:val="hybridMultilevel"/>
    <w:tmpl w:val="5B207074"/>
    <w:lvl w:ilvl="0" w:tplc="5698A164">
      <w:start w:val="1"/>
      <w:numFmt w:val="decimal"/>
      <w:pStyle w:val="ChartBX"/>
      <w:lvlText w:val="Chart B.%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268548E"/>
    <w:multiLevelType w:val="hybridMultilevel"/>
    <w:tmpl w:val="E3BA12AC"/>
    <w:lvl w:ilvl="0" w:tplc="C3DA39A0">
      <w:start w:val="1"/>
      <w:numFmt w:val="decimal"/>
      <w:pStyle w:val="Figure7X"/>
      <w:lvlText w:val="Figure 7.%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27833DA"/>
    <w:multiLevelType w:val="hybridMultilevel"/>
    <w:tmpl w:val="F738A88A"/>
    <w:lvl w:ilvl="0" w:tplc="42DA273E">
      <w:start w:val="1"/>
      <w:numFmt w:val="decimal"/>
      <w:pStyle w:val="Table5X"/>
      <w:lvlText w:val="Table 5.%1:"/>
      <w:lvlJc w:val="left"/>
      <w:pPr>
        <w:ind w:left="360" w:hanging="360"/>
      </w:pPr>
      <w:rPr>
        <w:rFonts w:ascii="Public Sans" w:hAnsi="Public Sans" w:hint="default"/>
        <w:b w:val="0"/>
        <w:i/>
        <w:color w:val="000000" w:themeColor="text1"/>
        <w:sz w:val="22"/>
        <w:u w:val="none"/>
      </w:rPr>
    </w:lvl>
    <w:lvl w:ilvl="1" w:tplc="0C090019" w:tentative="1">
      <w:start w:val="1"/>
      <w:numFmt w:val="lowerLetter"/>
      <w:lvlText w:val="%2."/>
      <w:lvlJc w:val="left"/>
      <w:pPr>
        <w:ind w:left="-520" w:hanging="360"/>
      </w:pPr>
    </w:lvl>
    <w:lvl w:ilvl="2" w:tplc="0C09001B" w:tentative="1">
      <w:start w:val="1"/>
      <w:numFmt w:val="lowerRoman"/>
      <w:lvlText w:val="%3."/>
      <w:lvlJc w:val="right"/>
      <w:pPr>
        <w:ind w:left="200" w:hanging="180"/>
      </w:pPr>
    </w:lvl>
    <w:lvl w:ilvl="3" w:tplc="0C09000F" w:tentative="1">
      <w:start w:val="1"/>
      <w:numFmt w:val="decimal"/>
      <w:lvlText w:val="%4."/>
      <w:lvlJc w:val="left"/>
      <w:pPr>
        <w:ind w:left="920" w:hanging="360"/>
      </w:pPr>
    </w:lvl>
    <w:lvl w:ilvl="4" w:tplc="0C090019" w:tentative="1">
      <w:start w:val="1"/>
      <w:numFmt w:val="lowerLetter"/>
      <w:lvlText w:val="%5."/>
      <w:lvlJc w:val="left"/>
      <w:pPr>
        <w:ind w:left="1640" w:hanging="360"/>
      </w:pPr>
    </w:lvl>
    <w:lvl w:ilvl="5" w:tplc="0C09001B" w:tentative="1">
      <w:start w:val="1"/>
      <w:numFmt w:val="lowerRoman"/>
      <w:lvlText w:val="%6."/>
      <w:lvlJc w:val="right"/>
      <w:pPr>
        <w:ind w:left="2360" w:hanging="180"/>
      </w:pPr>
    </w:lvl>
    <w:lvl w:ilvl="6" w:tplc="0C09000F" w:tentative="1">
      <w:start w:val="1"/>
      <w:numFmt w:val="decimal"/>
      <w:lvlText w:val="%7."/>
      <w:lvlJc w:val="left"/>
      <w:pPr>
        <w:ind w:left="3080" w:hanging="360"/>
      </w:pPr>
    </w:lvl>
    <w:lvl w:ilvl="7" w:tplc="0C090019" w:tentative="1">
      <w:start w:val="1"/>
      <w:numFmt w:val="lowerLetter"/>
      <w:lvlText w:val="%8."/>
      <w:lvlJc w:val="left"/>
      <w:pPr>
        <w:ind w:left="3800" w:hanging="360"/>
      </w:pPr>
    </w:lvl>
    <w:lvl w:ilvl="8" w:tplc="0C09001B" w:tentative="1">
      <w:start w:val="1"/>
      <w:numFmt w:val="lowerRoman"/>
      <w:lvlText w:val="%9."/>
      <w:lvlJc w:val="right"/>
      <w:pPr>
        <w:ind w:left="4520" w:hanging="180"/>
      </w:pPr>
    </w:lvl>
  </w:abstractNum>
  <w:abstractNum w:abstractNumId="17"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8" w15:restartNumberingAfterBreak="0">
    <w:nsid w:val="13EC7247"/>
    <w:multiLevelType w:val="hybridMultilevel"/>
    <w:tmpl w:val="85F47778"/>
    <w:lvl w:ilvl="0" w:tplc="D3B09734">
      <w:start w:val="1"/>
      <w:numFmt w:val="lowerLetter"/>
      <w:lvlText w:val="(%1)"/>
      <w:lvlJc w:val="left"/>
      <w:pPr>
        <w:ind w:left="360" w:hanging="360"/>
      </w:pPr>
      <w:rPr>
        <w:rFonts w:ascii="Public Sans" w:hAnsi="Public Sans" w:hint="default"/>
        <w:sz w:val="17"/>
        <w:szCs w:val="17"/>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3F66927"/>
    <w:multiLevelType w:val="hybridMultilevel"/>
    <w:tmpl w:val="9EEEA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66487C"/>
    <w:multiLevelType w:val="hybridMultilevel"/>
    <w:tmpl w:val="2954E83C"/>
    <w:lvl w:ilvl="0" w:tplc="0CBE3862">
      <w:start w:val="1"/>
      <w:numFmt w:val="decimal"/>
      <w:pStyle w:val="Figure3X"/>
      <w:lvlText w:val="Figure 3.%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4E66486"/>
    <w:multiLevelType w:val="hybridMultilevel"/>
    <w:tmpl w:val="7450C5D8"/>
    <w:lvl w:ilvl="0" w:tplc="D59E8C7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15307FD1"/>
    <w:multiLevelType w:val="hybridMultilevel"/>
    <w:tmpl w:val="D2327D8E"/>
    <w:lvl w:ilvl="0" w:tplc="19DEBB76">
      <w:start w:val="1"/>
      <w:numFmt w:val="decimal"/>
      <w:pStyle w:val="E1Heading2"/>
      <w:lvlText w:val="E.%1"/>
      <w:lvlJc w:val="left"/>
      <w:pPr>
        <w:ind w:left="360" w:hanging="360"/>
      </w:pPr>
      <w:rPr>
        <w:rFonts w:ascii="Public Sans SemiBold" w:hAnsi="Public Sans SemiBold" w:hint="default"/>
        <w:b/>
        <w:bCs/>
        <w:i w:val="0"/>
        <w:color w:val="22272B"/>
        <w:sz w:val="28"/>
        <w:szCs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6363CB9"/>
    <w:multiLevelType w:val="hybridMultilevel"/>
    <w:tmpl w:val="7C50767C"/>
    <w:lvl w:ilvl="0" w:tplc="536608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7582E11"/>
    <w:multiLevelType w:val="hybridMultilevel"/>
    <w:tmpl w:val="086098BA"/>
    <w:lvl w:ilvl="0" w:tplc="D21615F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8942059"/>
    <w:multiLevelType w:val="hybridMultilevel"/>
    <w:tmpl w:val="CD20DBA0"/>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96A331C"/>
    <w:multiLevelType w:val="hybridMultilevel"/>
    <w:tmpl w:val="F2846800"/>
    <w:lvl w:ilvl="0" w:tplc="3B2C88EE">
      <w:start w:val="1"/>
      <w:numFmt w:val="decimal"/>
      <w:pStyle w:val="TableDX"/>
      <w:lvlText w:val="Table D.%1:"/>
      <w:lvlJc w:val="left"/>
      <w:pPr>
        <w:ind w:left="720" w:hanging="360"/>
      </w:pPr>
      <w:rPr>
        <w:rFonts w:ascii="Arial" w:hAnsi="Arial" w:hint="default"/>
        <w:b w:val="0"/>
        <w:i/>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28" w15:restartNumberingAfterBreak="0">
    <w:nsid w:val="1FAB2211"/>
    <w:multiLevelType w:val="hybridMultilevel"/>
    <w:tmpl w:val="B9EC20B8"/>
    <w:lvl w:ilvl="0" w:tplc="AD0E9078">
      <w:start w:val="1"/>
      <w:numFmt w:val="decimal"/>
      <w:lvlText w:val="%1."/>
      <w:lvlJc w:val="left"/>
      <w:pPr>
        <w:ind w:left="5940" w:hanging="360"/>
      </w:pPr>
      <w:rPr>
        <w:rFonts w:hint="default"/>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22380467"/>
    <w:multiLevelType w:val="hybridMultilevel"/>
    <w:tmpl w:val="173A6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597091"/>
    <w:multiLevelType w:val="hybridMultilevel"/>
    <w:tmpl w:val="CA280490"/>
    <w:lvl w:ilvl="0" w:tplc="64687C18">
      <w:start w:val="1"/>
      <w:numFmt w:val="decimal"/>
      <w:pStyle w:val="ChartA5X"/>
      <w:lvlText w:val="Chart A5.%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3616D18"/>
    <w:multiLevelType w:val="hybridMultilevel"/>
    <w:tmpl w:val="EAA687C2"/>
    <w:lvl w:ilvl="0" w:tplc="AF98FE2A">
      <w:start w:val="1"/>
      <w:numFmt w:val="bullet"/>
      <w:lvlText w:val=""/>
      <w:lvlJc w:val="left"/>
      <w:pPr>
        <w:ind w:left="1000" w:hanging="360"/>
      </w:pPr>
      <w:rPr>
        <w:rFonts w:ascii="Symbol" w:hAnsi="Symbol"/>
      </w:rPr>
    </w:lvl>
    <w:lvl w:ilvl="1" w:tplc="306272F0">
      <w:start w:val="1"/>
      <w:numFmt w:val="bullet"/>
      <w:lvlText w:val=""/>
      <w:lvlJc w:val="left"/>
      <w:pPr>
        <w:ind w:left="1000" w:hanging="360"/>
      </w:pPr>
      <w:rPr>
        <w:rFonts w:ascii="Symbol" w:hAnsi="Symbol"/>
      </w:rPr>
    </w:lvl>
    <w:lvl w:ilvl="2" w:tplc="EF8A1388">
      <w:start w:val="1"/>
      <w:numFmt w:val="bullet"/>
      <w:lvlText w:val=""/>
      <w:lvlJc w:val="left"/>
      <w:pPr>
        <w:ind w:left="1000" w:hanging="360"/>
      </w:pPr>
      <w:rPr>
        <w:rFonts w:ascii="Symbol" w:hAnsi="Symbol"/>
      </w:rPr>
    </w:lvl>
    <w:lvl w:ilvl="3" w:tplc="AA1EAE7E">
      <w:start w:val="1"/>
      <w:numFmt w:val="bullet"/>
      <w:lvlText w:val=""/>
      <w:lvlJc w:val="left"/>
      <w:pPr>
        <w:ind w:left="1000" w:hanging="360"/>
      </w:pPr>
      <w:rPr>
        <w:rFonts w:ascii="Symbol" w:hAnsi="Symbol"/>
      </w:rPr>
    </w:lvl>
    <w:lvl w:ilvl="4" w:tplc="B6186B4A">
      <w:start w:val="1"/>
      <w:numFmt w:val="bullet"/>
      <w:lvlText w:val=""/>
      <w:lvlJc w:val="left"/>
      <w:pPr>
        <w:ind w:left="1000" w:hanging="360"/>
      </w:pPr>
      <w:rPr>
        <w:rFonts w:ascii="Symbol" w:hAnsi="Symbol"/>
      </w:rPr>
    </w:lvl>
    <w:lvl w:ilvl="5" w:tplc="8B221534">
      <w:start w:val="1"/>
      <w:numFmt w:val="bullet"/>
      <w:lvlText w:val=""/>
      <w:lvlJc w:val="left"/>
      <w:pPr>
        <w:ind w:left="1000" w:hanging="360"/>
      </w:pPr>
      <w:rPr>
        <w:rFonts w:ascii="Symbol" w:hAnsi="Symbol"/>
      </w:rPr>
    </w:lvl>
    <w:lvl w:ilvl="6" w:tplc="A9CCA1E8">
      <w:start w:val="1"/>
      <w:numFmt w:val="bullet"/>
      <w:lvlText w:val=""/>
      <w:lvlJc w:val="left"/>
      <w:pPr>
        <w:ind w:left="1000" w:hanging="360"/>
      </w:pPr>
      <w:rPr>
        <w:rFonts w:ascii="Symbol" w:hAnsi="Symbol"/>
      </w:rPr>
    </w:lvl>
    <w:lvl w:ilvl="7" w:tplc="E806C514">
      <w:start w:val="1"/>
      <w:numFmt w:val="bullet"/>
      <w:lvlText w:val=""/>
      <w:lvlJc w:val="left"/>
      <w:pPr>
        <w:ind w:left="1000" w:hanging="360"/>
      </w:pPr>
      <w:rPr>
        <w:rFonts w:ascii="Symbol" w:hAnsi="Symbol"/>
      </w:rPr>
    </w:lvl>
    <w:lvl w:ilvl="8" w:tplc="3C1C8194">
      <w:start w:val="1"/>
      <w:numFmt w:val="bullet"/>
      <w:lvlText w:val=""/>
      <w:lvlJc w:val="left"/>
      <w:pPr>
        <w:ind w:left="1000" w:hanging="360"/>
      </w:pPr>
      <w:rPr>
        <w:rFonts w:ascii="Symbol" w:hAnsi="Symbol"/>
      </w:rPr>
    </w:lvl>
  </w:abstractNum>
  <w:abstractNum w:abstractNumId="32" w15:restartNumberingAfterBreak="0">
    <w:nsid w:val="23C90FE4"/>
    <w:multiLevelType w:val="multilevel"/>
    <w:tmpl w:val="C6460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4BA3451"/>
    <w:multiLevelType w:val="hybridMultilevel"/>
    <w:tmpl w:val="2DFEB6D0"/>
    <w:lvl w:ilvl="0" w:tplc="0824AB2A">
      <w:start w:val="1"/>
      <w:numFmt w:val="decimal"/>
      <w:pStyle w:val="FigureA4X"/>
      <w:lvlText w:val="Figure A4.%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5DE7142"/>
    <w:multiLevelType w:val="hybridMultilevel"/>
    <w:tmpl w:val="EC3A2B78"/>
    <w:lvl w:ilvl="0" w:tplc="D766E920">
      <w:start w:val="1"/>
      <w:numFmt w:val="decimal"/>
      <w:pStyle w:val="TableA1X"/>
      <w:lvlText w:val="Table A1.%1:"/>
      <w:lvlJc w:val="left"/>
      <w:pPr>
        <w:ind w:left="360" w:hanging="360"/>
      </w:pPr>
      <w:rPr>
        <w:rFonts w:ascii="Public Sans" w:hAnsi="Public Sans" w:hint="default"/>
        <w:b w:val="0"/>
        <w:i/>
        <w:caps w:val="0"/>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6A8407D"/>
    <w:multiLevelType w:val="hybridMultilevel"/>
    <w:tmpl w:val="803C1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7856019"/>
    <w:multiLevelType w:val="hybridMultilevel"/>
    <w:tmpl w:val="EE90CE46"/>
    <w:lvl w:ilvl="0" w:tplc="3A8EDC52">
      <w:start w:val="1"/>
      <w:numFmt w:val="bullet"/>
      <w:pStyle w:val="Bullet1inabox"/>
      <w:lvlText w:val=""/>
      <w:lvlJc w:val="left"/>
      <w:pPr>
        <w:ind w:left="360" w:hanging="360"/>
      </w:pPr>
      <w:rPr>
        <w:rFonts w:ascii="Wingdings" w:hAnsi="Wingdings" w:hint="default"/>
        <w:color w:val="790013"/>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9846FD5"/>
    <w:multiLevelType w:val="hybridMultilevel"/>
    <w:tmpl w:val="E3BAF90A"/>
    <w:lvl w:ilvl="0" w:tplc="50D43638">
      <w:start w:val="1"/>
      <w:numFmt w:val="decimal"/>
      <w:pStyle w:val="B1Heading2"/>
      <w:lvlText w:val="B.%1"/>
      <w:lvlJc w:val="left"/>
      <w:pPr>
        <w:ind w:left="360" w:hanging="360"/>
      </w:pPr>
      <w:rPr>
        <w:rFonts w:ascii="Public Sans SemiBold" w:hAnsi="Public Sans SemiBold" w:hint="default"/>
        <w:b/>
        <w:bCs w:val="0"/>
        <w:i w:val="0"/>
        <w:iCs w:val="0"/>
        <w:caps w:val="0"/>
        <w:strike w:val="0"/>
        <w:dstrike w:val="0"/>
        <w:vanish w:val="0"/>
        <w:color w:val="22272B"/>
        <w:spacing w:val="0"/>
        <w:kern w:val="0"/>
        <w:position w:val="0"/>
        <w:sz w:val="28"/>
        <w:szCs w:val="22"/>
        <w:u w:val="none" w:color="00ABE6"/>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A802631"/>
    <w:multiLevelType w:val="hybridMultilevel"/>
    <w:tmpl w:val="A6AA5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C16028F"/>
    <w:multiLevelType w:val="hybridMultilevel"/>
    <w:tmpl w:val="FAECE970"/>
    <w:lvl w:ilvl="0" w:tplc="B1767D20">
      <w:start w:val="1"/>
      <w:numFmt w:val="decimal"/>
      <w:pStyle w:val="ChartA4X"/>
      <w:lvlText w:val="Chart A4.%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D817474"/>
    <w:multiLevelType w:val="hybridMultilevel"/>
    <w:tmpl w:val="9F2C08AE"/>
    <w:lvl w:ilvl="0" w:tplc="7B9EDAC0">
      <w:numFmt w:val="bullet"/>
      <w:lvlText w:val="-"/>
      <w:lvlJc w:val="left"/>
      <w:pPr>
        <w:ind w:left="420" w:hanging="360"/>
      </w:pPr>
      <w:rPr>
        <w:rFonts w:ascii="Arial" w:eastAsia="Times New Roman" w:hAnsi="Arial" w:cs="Arial" w:hint="default"/>
      </w:rPr>
    </w:lvl>
    <w:lvl w:ilvl="1" w:tplc="0C090003">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41" w15:restartNumberingAfterBreak="0">
    <w:nsid w:val="2DA67470"/>
    <w:multiLevelType w:val="hybridMultilevel"/>
    <w:tmpl w:val="E1064F3E"/>
    <w:lvl w:ilvl="0" w:tplc="33A22FD4">
      <w:start w:val="1"/>
      <w:numFmt w:val="decimal"/>
      <w:pStyle w:val="FigureA3X"/>
      <w:lvlText w:val="Figure A3.%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EB35209"/>
    <w:multiLevelType w:val="hybridMultilevel"/>
    <w:tmpl w:val="071640E4"/>
    <w:lvl w:ilvl="0" w:tplc="ABA0A902">
      <w:start w:val="1"/>
      <w:numFmt w:val="decimal"/>
      <w:pStyle w:val="Table6X"/>
      <w:lvlText w:val="Table 6.%1:"/>
      <w:lvlJc w:val="left"/>
      <w:pPr>
        <w:ind w:left="360" w:hanging="360"/>
      </w:pPr>
      <w:rPr>
        <w:rFonts w:ascii="Public Sans" w:hAnsi="Public Sans" w:hint="default"/>
        <w:b w:val="0"/>
        <w:i/>
        <w:caps w:val="0"/>
        <w:color w:val="000000" w:themeColor="text1"/>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EC46124"/>
    <w:multiLevelType w:val="hybridMultilevel"/>
    <w:tmpl w:val="3558CCF0"/>
    <w:lvl w:ilvl="0" w:tplc="6C80D15A">
      <w:start w:val="1"/>
      <w:numFmt w:val="decimal"/>
      <w:pStyle w:val="Figure4X"/>
      <w:lvlText w:val="Figure 4.%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0E73AFC"/>
    <w:multiLevelType w:val="hybridMultilevel"/>
    <w:tmpl w:val="CD04C2E8"/>
    <w:lvl w:ilvl="0" w:tplc="B448A04A">
      <w:start w:val="1"/>
      <w:numFmt w:val="decimal"/>
      <w:pStyle w:val="41Heading2"/>
      <w:lvlText w:val="4.%1"/>
      <w:lvlJc w:val="left"/>
      <w:pPr>
        <w:ind w:left="360" w:hanging="360"/>
      </w:pPr>
      <w:rPr>
        <w:rFonts w:ascii="Public Sans SemiBold" w:hAnsi="Public Sans SemiBold" w:cs="Arial" w:hint="default"/>
        <w:b/>
        <w:bCs/>
        <w:i w:val="0"/>
        <w:iCs w:val="0"/>
        <w:caps w:val="0"/>
        <w:strike w:val="0"/>
        <w:dstrike w:val="0"/>
        <w:vanish w:val="0"/>
        <w:color w:val="22272B"/>
        <w:spacing w:val="0"/>
        <w:kern w:val="0"/>
        <w:position w:val="0"/>
        <w:sz w:val="28"/>
        <w:szCs w:val="22"/>
        <w:u w:val="none" w:color="008EBA"/>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1D329E6"/>
    <w:multiLevelType w:val="hybridMultilevel"/>
    <w:tmpl w:val="1936A206"/>
    <w:lvl w:ilvl="0" w:tplc="5F189EF8">
      <w:start w:val="1"/>
      <w:numFmt w:val="bullet"/>
      <w:pStyle w:val="Bullet2inabox"/>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20F238E"/>
    <w:multiLevelType w:val="hybridMultilevel"/>
    <w:tmpl w:val="9D1011A0"/>
    <w:lvl w:ilvl="0" w:tplc="E8FA7E68">
      <w:start w:val="1"/>
      <w:numFmt w:val="decimal"/>
      <w:pStyle w:val="FigureA2X"/>
      <w:lvlText w:val="Figure A2.%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328C748D"/>
    <w:multiLevelType w:val="hybridMultilevel"/>
    <w:tmpl w:val="3F8C3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2B327C4"/>
    <w:multiLevelType w:val="hybridMultilevel"/>
    <w:tmpl w:val="E162115A"/>
    <w:lvl w:ilvl="0" w:tplc="06205E1A">
      <w:start w:val="1"/>
      <w:numFmt w:val="decimal"/>
      <w:pStyle w:val="81Heading2"/>
      <w:lvlText w:val="8.%1"/>
      <w:lvlJc w:val="left"/>
      <w:pPr>
        <w:ind w:left="360" w:hanging="360"/>
      </w:pPr>
      <w:rPr>
        <w:rFonts w:ascii="Public Sans SemiBold" w:hAnsi="Public Sans SemiBold" w:hint="default"/>
        <w:b/>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32D55888"/>
    <w:multiLevelType w:val="hybridMultilevel"/>
    <w:tmpl w:val="DBBC6C70"/>
    <w:lvl w:ilvl="0" w:tplc="92B01484">
      <w:start w:val="1"/>
      <w:numFmt w:val="decimal"/>
      <w:pStyle w:val="Table4X"/>
      <w:lvlText w:val="Table 4.%1:"/>
      <w:lvlJc w:val="left"/>
      <w:pPr>
        <w:ind w:left="360" w:hanging="360"/>
      </w:pPr>
      <w:rPr>
        <w:rFonts w:ascii="Public Sans" w:hAnsi="Public Sans" w:hint="default"/>
        <w:b w:val="0"/>
        <w:i/>
        <w:caps w:val="0"/>
        <w:color w:val="000000" w:themeColor="text1"/>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50A1138"/>
    <w:multiLevelType w:val="hybridMultilevel"/>
    <w:tmpl w:val="F06615B6"/>
    <w:lvl w:ilvl="0" w:tplc="67DCC2B8">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52" w15:restartNumberingAfterBreak="0">
    <w:nsid w:val="37A618EB"/>
    <w:multiLevelType w:val="hybridMultilevel"/>
    <w:tmpl w:val="D8EEE396"/>
    <w:lvl w:ilvl="0" w:tplc="F39895B2">
      <w:start w:val="1"/>
      <w:numFmt w:val="decimal"/>
      <w:pStyle w:val="Chart2X"/>
      <w:lvlText w:val="Chart 2.%1:"/>
      <w:lvlJc w:val="left"/>
      <w:pPr>
        <w:ind w:left="360" w:hanging="360"/>
      </w:pPr>
      <w:rPr>
        <w:rFonts w:ascii="Public Sans" w:hAnsi="Public Sans" w:cs="Arial" w:hint="default"/>
        <w:b w:val="0"/>
        <w:i/>
        <w:caps w:val="0"/>
        <w:color w:val="000000" w:themeColor="text1"/>
        <w:sz w:val="22"/>
        <w:szCs w:val="22"/>
        <w:u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7AD34B5"/>
    <w:multiLevelType w:val="hybridMultilevel"/>
    <w:tmpl w:val="E6F61D44"/>
    <w:lvl w:ilvl="0" w:tplc="33EC6468">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7B425B1"/>
    <w:multiLevelType w:val="hybridMultilevel"/>
    <w:tmpl w:val="8C8AF5BC"/>
    <w:lvl w:ilvl="0" w:tplc="96CA6E4C">
      <w:start w:val="1"/>
      <w:numFmt w:val="decimal"/>
      <w:pStyle w:val="TableA2X"/>
      <w:lvlText w:val="Table A2.%1:"/>
      <w:lvlJc w:val="left"/>
      <w:pPr>
        <w:ind w:left="360" w:hanging="360"/>
      </w:pPr>
      <w:rPr>
        <w:rFonts w:ascii="Public Sans" w:hAnsi="Public Sans" w:hint="default"/>
        <w:b w:val="0"/>
        <w:i/>
        <w:caps w:val="0"/>
        <w:color w:val="000000" w:themeColor="text1"/>
        <w:sz w:val="22"/>
        <w:u w:val="none"/>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5" w15:restartNumberingAfterBreak="0">
    <w:nsid w:val="390B1FE7"/>
    <w:multiLevelType w:val="hybridMultilevel"/>
    <w:tmpl w:val="45E610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39762F3B"/>
    <w:multiLevelType w:val="hybridMultilevel"/>
    <w:tmpl w:val="2BACE004"/>
    <w:lvl w:ilvl="0" w:tplc="AB0C5AB2">
      <w:numFmt w:val="bullet"/>
      <w:lvlText w:val="-"/>
      <w:lvlJc w:val="left"/>
      <w:pPr>
        <w:ind w:left="720" w:hanging="360"/>
      </w:pPr>
      <w:rPr>
        <w:rFonts w:ascii="Public Sans" w:eastAsiaTheme="minorEastAsia" w:hAnsi="Public San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AC54CD5"/>
    <w:multiLevelType w:val="hybridMultilevel"/>
    <w:tmpl w:val="8C5C4842"/>
    <w:lvl w:ilvl="0" w:tplc="50E00E4C">
      <w:start w:val="1"/>
      <w:numFmt w:val="decimal"/>
      <w:pStyle w:val="ChartA2X"/>
      <w:lvlText w:val="Chart A2.%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3DF944FB"/>
    <w:multiLevelType w:val="singleLevel"/>
    <w:tmpl w:val="96863882"/>
    <w:lvl w:ilvl="0">
      <w:start w:val="1"/>
      <w:numFmt w:val="bullet"/>
      <w:pStyle w:val="Bullet4"/>
      <w:lvlText w:val=""/>
      <w:lvlJc w:val="left"/>
      <w:pPr>
        <w:tabs>
          <w:tab w:val="num" w:pos="1701"/>
        </w:tabs>
        <w:ind w:left="1701" w:hanging="425"/>
      </w:pPr>
      <w:rPr>
        <w:rFonts w:ascii="Symbol" w:hAnsi="Symbol" w:hint="default"/>
        <w:sz w:val="22"/>
      </w:rPr>
    </w:lvl>
  </w:abstractNum>
  <w:abstractNum w:abstractNumId="59" w15:restartNumberingAfterBreak="0">
    <w:nsid w:val="3F5A335A"/>
    <w:multiLevelType w:val="multilevel"/>
    <w:tmpl w:val="8A72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F765FA8"/>
    <w:multiLevelType w:val="hybridMultilevel"/>
    <w:tmpl w:val="DC5C70FA"/>
    <w:lvl w:ilvl="0" w:tplc="B3A08AA6">
      <w:start w:val="1"/>
      <w:numFmt w:val="decimal"/>
      <w:pStyle w:val="Box8XBoxHeading"/>
      <w:lvlText w:val="Box 8.%1:"/>
      <w:lvlJc w:val="left"/>
      <w:pPr>
        <w:ind w:left="360" w:hanging="360"/>
      </w:pPr>
      <w:rPr>
        <w:rFonts w:ascii="Public Sans SemiBold" w:hAnsi="Public Sans SemiBold" w:hint="default"/>
        <w:b/>
        <w:bCs/>
        <w:i w:val="0"/>
        <w:iCs w:val="0"/>
        <w:caps w:val="0"/>
        <w:strike w:val="0"/>
        <w:dstrike w:val="0"/>
        <w:vanish w:val="0"/>
        <w:color w:val="000000" w:themeColor="text1"/>
        <w:spacing w:val="0"/>
        <w:kern w:val="0"/>
        <w:position w:val="0"/>
        <w:sz w:val="22"/>
        <w:u w:val="none" w:color="00ABE6"/>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402373E"/>
    <w:multiLevelType w:val="hybridMultilevel"/>
    <w:tmpl w:val="CC544C06"/>
    <w:lvl w:ilvl="0" w:tplc="371822F0">
      <w:start w:val="1"/>
      <w:numFmt w:val="decimal"/>
      <w:pStyle w:val="C1Heading2"/>
      <w:lvlText w:val="C.%1"/>
      <w:lvlJc w:val="left"/>
      <w:pPr>
        <w:ind w:left="360" w:hanging="360"/>
      </w:pPr>
      <w:rPr>
        <w:rFonts w:ascii="Public Sans SemiBold" w:hAnsi="Public Sans SemiBold" w:hint="default"/>
        <w:b/>
        <w:bCs/>
        <w:i w:val="0"/>
        <w:color w:val="000000" w:themeColor="text1"/>
        <w:sz w:val="28"/>
        <w:szCs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4455AFC"/>
    <w:multiLevelType w:val="hybridMultilevel"/>
    <w:tmpl w:val="593CAE2E"/>
    <w:lvl w:ilvl="0" w:tplc="ACA6E694">
      <w:start w:val="1"/>
      <w:numFmt w:val="decimal"/>
      <w:pStyle w:val="A11Heading2"/>
      <w:lvlText w:val="A1.%1"/>
      <w:lvlJc w:val="left"/>
      <w:pPr>
        <w:ind w:left="720" w:hanging="360"/>
      </w:pPr>
      <w:rPr>
        <w:rFonts w:ascii="Public Sans" w:hAnsi="Public Sans" w:hint="default"/>
        <w:b/>
        <w:bCs/>
        <w:i w:val="0"/>
        <w:color w:val="22272B"/>
        <w:sz w:val="28"/>
        <w:szCs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4D444F1"/>
    <w:multiLevelType w:val="hybridMultilevel"/>
    <w:tmpl w:val="1A6AC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55F00C6"/>
    <w:multiLevelType w:val="hybridMultilevel"/>
    <w:tmpl w:val="C150B9FC"/>
    <w:lvl w:ilvl="0" w:tplc="503EBDEA">
      <w:start w:val="1"/>
      <w:numFmt w:val="decimal"/>
      <w:pStyle w:val="61Heading2"/>
      <w:lvlText w:val="6.%1"/>
      <w:lvlJc w:val="left"/>
      <w:pPr>
        <w:ind w:left="360" w:hanging="360"/>
      </w:pPr>
      <w:rPr>
        <w:rFonts w:ascii="Public Sans SemiBold" w:hAnsi="Public Sans SemiBold" w:cs="Arial" w:hint="default"/>
        <w:b/>
        <w:bCs w:val="0"/>
        <w:i w:val="0"/>
        <w:iCs w:val="0"/>
        <w:caps w:val="0"/>
        <w:strike w:val="0"/>
        <w:dstrike w:val="0"/>
        <w:vanish w:val="0"/>
        <w:color w:val="22272B"/>
        <w:spacing w:val="0"/>
        <w:kern w:val="0"/>
        <w:position w:val="0"/>
        <w:sz w:val="28"/>
        <w:szCs w:val="22"/>
        <w:u w:val="none" w:color="008EBA"/>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57303A6"/>
    <w:multiLevelType w:val="hybridMultilevel"/>
    <w:tmpl w:val="F044E862"/>
    <w:lvl w:ilvl="0" w:tplc="66E848B2">
      <w:start w:val="1"/>
      <w:numFmt w:val="decimal"/>
      <w:pStyle w:val="51Heading2"/>
      <w:lvlText w:val="5.%1"/>
      <w:lvlJc w:val="left"/>
      <w:pPr>
        <w:ind w:left="360" w:hanging="360"/>
      </w:pPr>
      <w:rPr>
        <w:rFonts w:ascii="Public Sans SemiBold" w:hAnsi="Public Sans SemiBold" w:cs="Arial" w:hint="default"/>
        <w:b/>
        <w:bCs w:val="0"/>
        <w:i w:val="0"/>
        <w:iCs w:val="0"/>
        <w:caps w:val="0"/>
        <w:strike w:val="0"/>
        <w:dstrike w:val="0"/>
        <w:vanish w:val="0"/>
        <w:color w:val="22272B"/>
        <w:spacing w:val="0"/>
        <w:kern w:val="0"/>
        <w:position w:val="0"/>
        <w:sz w:val="28"/>
        <w:szCs w:val="22"/>
        <w:u w:val="none" w:color="008EBA"/>
        <w:effect w:val="none"/>
        <w:vertAlign w:val="baseline"/>
        <w:em w:val="none"/>
      </w:rPr>
    </w:lvl>
    <w:lvl w:ilvl="1" w:tplc="0C090019" w:tentative="1">
      <w:start w:val="1"/>
      <w:numFmt w:val="lowerLetter"/>
      <w:lvlText w:val="%2."/>
      <w:lvlJc w:val="left"/>
      <w:pPr>
        <w:ind w:left="-1821" w:hanging="360"/>
      </w:pPr>
    </w:lvl>
    <w:lvl w:ilvl="2" w:tplc="0C09001B" w:tentative="1">
      <w:start w:val="1"/>
      <w:numFmt w:val="lowerRoman"/>
      <w:lvlText w:val="%3."/>
      <w:lvlJc w:val="right"/>
      <w:pPr>
        <w:ind w:left="-1101" w:hanging="180"/>
      </w:pPr>
    </w:lvl>
    <w:lvl w:ilvl="3" w:tplc="0C09000F" w:tentative="1">
      <w:start w:val="1"/>
      <w:numFmt w:val="decimal"/>
      <w:lvlText w:val="%4."/>
      <w:lvlJc w:val="left"/>
      <w:pPr>
        <w:ind w:left="-381" w:hanging="360"/>
      </w:pPr>
    </w:lvl>
    <w:lvl w:ilvl="4" w:tplc="0C090019" w:tentative="1">
      <w:start w:val="1"/>
      <w:numFmt w:val="lowerLetter"/>
      <w:lvlText w:val="%5."/>
      <w:lvlJc w:val="left"/>
      <w:pPr>
        <w:ind w:left="339" w:hanging="360"/>
      </w:pPr>
    </w:lvl>
    <w:lvl w:ilvl="5" w:tplc="0C09001B" w:tentative="1">
      <w:start w:val="1"/>
      <w:numFmt w:val="lowerRoman"/>
      <w:lvlText w:val="%6."/>
      <w:lvlJc w:val="right"/>
      <w:pPr>
        <w:ind w:left="1059" w:hanging="180"/>
      </w:pPr>
    </w:lvl>
    <w:lvl w:ilvl="6" w:tplc="0C09000F" w:tentative="1">
      <w:start w:val="1"/>
      <w:numFmt w:val="decimal"/>
      <w:lvlText w:val="%7."/>
      <w:lvlJc w:val="left"/>
      <w:pPr>
        <w:ind w:left="1779" w:hanging="360"/>
      </w:pPr>
    </w:lvl>
    <w:lvl w:ilvl="7" w:tplc="0C090019" w:tentative="1">
      <w:start w:val="1"/>
      <w:numFmt w:val="lowerLetter"/>
      <w:lvlText w:val="%8."/>
      <w:lvlJc w:val="left"/>
      <w:pPr>
        <w:ind w:left="2499" w:hanging="360"/>
      </w:pPr>
    </w:lvl>
    <w:lvl w:ilvl="8" w:tplc="0C09001B" w:tentative="1">
      <w:start w:val="1"/>
      <w:numFmt w:val="lowerRoman"/>
      <w:lvlText w:val="%9."/>
      <w:lvlJc w:val="right"/>
      <w:pPr>
        <w:ind w:left="3219" w:hanging="180"/>
      </w:pPr>
    </w:lvl>
  </w:abstractNum>
  <w:abstractNum w:abstractNumId="66" w15:restartNumberingAfterBreak="0">
    <w:nsid w:val="45CD10BF"/>
    <w:multiLevelType w:val="hybridMultilevel"/>
    <w:tmpl w:val="A43C443C"/>
    <w:lvl w:ilvl="0" w:tplc="D9C019D8">
      <w:start w:val="1"/>
      <w:numFmt w:val="decimal"/>
      <w:pStyle w:val="Figure5X"/>
      <w:lvlText w:val="Figure 5.%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6241933"/>
    <w:multiLevelType w:val="hybridMultilevel"/>
    <w:tmpl w:val="EC400840"/>
    <w:lvl w:ilvl="0" w:tplc="F48E96C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64215EF"/>
    <w:multiLevelType w:val="hybridMultilevel"/>
    <w:tmpl w:val="4B9866D0"/>
    <w:lvl w:ilvl="0" w:tplc="CE46ECF2">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9" w15:restartNumberingAfterBreak="0">
    <w:nsid w:val="46432C24"/>
    <w:multiLevelType w:val="hybridMultilevel"/>
    <w:tmpl w:val="3648BD6A"/>
    <w:lvl w:ilvl="0" w:tplc="82C4F804">
      <w:start w:val="1"/>
      <w:numFmt w:val="decimal"/>
      <w:pStyle w:val="FigureEX"/>
      <w:lvlText w:val="Figure E.%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71C3199"/>
    <w:multiLevelType w:val="hybridMultilevel"/>
    <w:tmpl w:val="78A8415A"/>
    <w:lvl w:ilvl="0" w:tplc="838C110E">
      <w:start w:val="1"/>
      <w:numFmt w:val="decimal"/>
      <w:pStyle w:val="A31Heading2"/>
      <w:lvlText w:val="A3.%1"/>
      <w:lvlJc w:val="left"/>
      <w:pPr>
        <w:ind w:left="360" w:hanging="360"/>
      </w:pPr>
      <w:rPr>
        <w:rFonts w:ascii="Public Sans SemiBold" w:hAnsi="Public Sans SemiBold" w:hint="default"/>
        <w:b/>
        <w:bCs/>
        <w:i w:val="0"/>
        <w:color w:val="22272B"/>
        <w:sz w:val="28"/>
        <w:szCs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90D3232"/>
    <w:multiLevelType w:val="hybridMultilevel"/>
    <w:tmpl w:val="98AC798A"/>
    <w:lvl w:ilvl="0" w:tplc="DD3CD220">
      <w:start w:val="1"/>
      <w:numFmt w:val="decimal"/>
      <w:pStyle w:val="Chart4X"/>
      <w:lvlText w:val="Chart 4.%1:"/>
      <w:lvlJc w:val="left"/>
      <w:pPr>
        <w:ind w:left="360" w:hanging="360"/>
      </w:pPr>
      <w:rPr>
        <w:rFonts w:ascii="Public Sans" w:hAnsi="Public Sans" w:cs="Arial" w:hint="default"/>
        <w:b w:val="0"/>
        <w:i/>
        <w:caps w:val="0"/>
        <w:color w:val="000000" w:themeColor="text1"/>
        <w:sz w:val="22"/>
        <w:szCs w:val="22"/>
        <w:u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9352F38"/>
    <w:multiLevelType w:val="hybridMultilevel"/>
    <w:tmpl w:val="BE9A9CA4"/>
    <w:lvl w:ilvl="0" w:tplc="AEAA363E">
      <w:start w:val="1"/>
      <w:numFmt w:val="decimal"/>
      <w:pStyle w:val="31Heading2"/>
      <w:lvlText w:val="3.%1"/>
      <w:lvlJc w:val="left"/>
      <w:pPr>
        <w:ind w:left="644" w:hanging="360"/>
      </w:pPr>
      <w:rPr>
        <w:rFonts w:ascii="Public Sans SemiBold" w:hAnsi="Public Sans SemiBold" w:cs="Arial" w:hint="default"/>
        <w:b/>
        <w:bCs/>
        <w:i w:val="0"/>
        <w:iCs w:val="0"/>
        <w:caps w:val="0"/>
        <w:strike w:val="0"/>
        <w:dstrike w:val="0"/>
        <w:vanish w:val="0"/>
        <w:color w:val="22272B"/>
        <w:spacing w:val="0"/>
        <w:kern w:val="0"/>
        <w:position w:val="0"/>
        <w:sz w:val="28"/>
        <w:szCs w:val="22"/>
        <w:u w:val="none" w:color="008EBA"/>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9795CAD"/>
    <w:multiLevelType w:val="hybridMultilevel"/>
    <w:tmpl w:val="A808D704"/>
    <w:lvl w:ilvl="0" w:tplc="28E42E52">
      <w:start w:val="1"/>
      <w:numFmt w:val="decimal"/>
      <w:pStyle w:val="Box7XBoxHeading"/>
      <w:lvlText w:val="Box 7.%1:"/>
      <w:lvlJc w:val="left"/>
      <w:pPr>
        <w:ind w:left="360" w:hanging="360"/>
      </w:pPr>
      <w:rPr>
        <w:rFonts w:ascii="Public Sans SemiBold" w:hAnsi="Public Sans SemiBold" w:hint="default"/>
        <w:b/>
        <w:bCs/>
        <w:i w:val="0"/>
        <w:iCs w:val="0"/>
        <w:caps w:val="0"/>
        <w:smallCaps w:val="0"/>
        <w:strike w:val="0"/>
        <w:dstrike w:val="0"/>
        <w:noProof w:val="0"/>
        <w:vanish w:val="0"/>
        <w:color w:val="000000" w:themeColor="text1"/>
        <w:spacing w:val="0"/>
        <w:kern w:val="0"/>
        <w:position w:val="0"/>
        <w:sz w:val="22"/>
        <w:u w:val="none" w:color="00ABE6"/>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4A362CA4"/>
    <w:multiLevelType w:val="hybridMultilevel"/>
    <w:tmpl w:val="AB72C9B2"/>
    <w:lvl w:ilvl="0" w:tplc="CD9C53F4">
      <w:start w:val="1"/>
      <w:numFmt w:val="decimal"/>
      <w:pStyle w:val="Table1X"/>
      <w:lvlText w:val="Table 1.%1:"/>
      <w:lvlJc w:val="left"/>
      <w:pPr>
        <w:ind w:left="720" w:hanging="360"/>
      </w:pPr>
      <w:rPr>
        <w:rFonts w:ascii="Arial" w:hAnsi="Arial" w:hint="default"/>
        <w:b w:val="0"/>
        <w:i/>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AB83096"/>
    <w:multiLevelType w:val="hybridMultilevel"/>
    <w:tmpl w:val="47A26D28"/>
    <w:lvl w:ilvl="0" w:tplc="CFDCDEE8">
      <w:start w:val="1"/>
      <w:numFmt w:val="decimal"/>
      <w:pStyle w:val="ChartA3X"/>
      <w:lvlText w:val="Chart A3.%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4BFB1DA3"/>
    <w:multiLevelType w:val="hybridMultilevel"/>
    <w:tmpl w:val="D5BC4898"/>
    <w:lvl w:ilvl="0" w:tplc="FDE2826A">
      <w:start w:val="1"/>
      <w:numFmt w:val="decimal"/>
      <w:pStyle w:val="Box3XBoxHeading"/>
      <w:lvlText w:val="Box 3.%1:"/>
      <w:lvlJc w:val="left"/>
      <w:pPr>
        <w:ind w:left="360" w:hanging="360"/>
      </w:pPr>
      <w:rPr>
        <w:rFonts w:ascii="Public Sans SemiBold" w:hAnsi="Public Sans SemiBold" w:hint="default"/>
        <w:b/>
        <w:bCs/>
        <w:i w:val="0"/>
        <w:iCs w:val="0"/>
        <w:caps w:val="0"/>
        <w:strike w:val="0"/>
        <w:dstrike w:val="0"/>
        <w:vanish w:val="0"/>
        <w:color w:val="000000" w:themeColor="text1"/>
        <w:spacing w:val="0"/>
        <w:kern w:val="0"/>
        <w:position w:val="0"/>
        <w:sz w:val="22"/>
        <w:u w:val="none" w:color="00ABE6"/>
        <w:effect w:val="none"/>
        <w:vertAlign w:val="baseline"/>
        <w:em w:val="none"/>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77" w15:restartNumberingAfterBreak="0">
    <w:nsid w:val="4DCA7ED8"/>
    <w:multiLevelType w:val="hybridMultilevel"/>
    <w:tmpl w:val="1D743A2E"/>
    <w:lvl w:ilvl="0" w:tplc="C68C75B4">
      <w:start w:val="1"/>
      <w:numFmt w:val="decimal"/>
      <w:pStyle w:val="Table2X"/>
      <w:lvlText w:val="Table 2.%1:"/>
      <w:lvlJc w:val="left"/>
      <w:pPr>
        <w:ind w:left="360" w:hanging="360"/>
      </w:pPr>
      <w:rPr>
        <w:rFonts w:ascii="Public Sans" w:hAnsi="Public Sans" w:hint="default"/>
        <w:b w:val="0"/>
        <w:i/>
        <w:sz w:val="22"/>
        <w:u w:color="4F4F4F"/>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8" w15:restartNumberingAfterBreak="0">
    <w:nsid w:val="50B31814"/>
    <w:multiLevelType w:val="hybridMultilevel"/>
    <w:tmpl w:val="DB70D338"/>
    <w:lvl w:ilvl="0" w:tplc="B9CA2272">
      <w:start w:val="1"/>
      <w:numFmt w:val="bullet"/>
      <w:lvlText w:val=""/>
      <w:lvlJc w:val="left"/>
      <w:pPr>
        <w:ind w:left="1020" w:hanging="360"/>
      </w:pPr>
      <w:rPr>
        <w:rFonts w:ascii="Symbol" w:hAnsi="Symbol"/>
      </w:rPr>
    </w:lvl>
    <w:lvl w:ilvl="1" w:tplc="E436A6B8">
      <w:start w:val="1"/>
      <w:numFmt w:val="bullet"/>
      <w:lvlText w:val=""/>
      <w:lvlJc w:val="left"/>
      <w:pPr>
        <w:ind w:left="1020" w:hanging="360"/>
      </w:pPr>
      <w:rPr>
        <w:rFonts w:ascii="Symbol" w:hAnsi="Symbol"/>
      </w:rPr>
    </w:lvl>
    <w:lvl w:ilvl="2" w:tplc="777E770E">
      <w:start w:val="1"/>
      <w:numFmt w:val="bullet"/>
      <w:lvlText w:val=""/>
      <w:lvlJc w:val="left"/>
      <w:pPr>
        <w:ind w:left="1020" w:hanging="360"/>
      </w:pPr>
      <w:rPr>
        <w:rFonts w:ascii="Symbol" w:hAnsi="Symbol"/>
      </w:rPr>
    </w:lvl>
    <w:lvl w:ilvl="3" w:tplc="F9549A18">
      <w:start w:val="1"/>
      <w:numFmt w:val="bullet"/>
      <w:lvlText w:val=""/>
      <w:lvlJc w:val="left"/>
      <w:pPr>
        <w:ind w:left="1020" w:hanging="360"/>
      </w:pPr>
      <w:rPr>
        <w:rFonts w:ascii="Symbol" w:hAnsi="Symbol"/>
      </w:rPr>
    </w:lvl>
    <w:lvl w:ilvl="4" w:tplc="030AD480">
      <w:start w:val="1"/>
      <w:numFmt w:val="bullet"/>
      <w:lvlText w:val=""/>
      <w:lvlJc w:val="left"/>
      <w:pPr>
        <w:ind w:left="1020" w:hanging="360"/>
      </w:pPr>
      <w:rPr>
        <w:rFonts w:ascii="Symbol" w:hAnsi="Symbol"/>
      </w:rPr>
    </w:lvl>
    <w:lvl w:ilvl="5" w:tplc="ADC857B6">
      <w:start w:val="1"/>
      <w:numFmt w:val="bullet"/>
      <w:lvlText w:val=""/>
      <w:lvlJc w:val="left"/>
      <w:pPr>
        <w:ind w:left="1020" w:hanging="360"/>
      </w:pPr>
      <w:rPr>
        <w:rFonts w:ascii="Symbol" w:hAnsi="Symbol"/>
      </w:rPr>
    </w:lvl>
    <w:lvl w:ilvl="6" w:tplc="5DD63276">
      <w:start w:val="1"/>
      <w:numFmt w:val="bullet"/>
      <w:lvlText w:val=""/>
      <w:lvlJc w:val="left"/>
      <w:pPr>
        <w:ind w:left="1020" w:hanging="360"/>
      </w:pPr>
      <w:rPr>
        <w:rFonts w:ascii="Symbol" w:hAnsi="Symbol"/>
      </w:rPr>
    </w:lvl>
    <w:lvl w:ilvl="7" w:tplc="3240396C">
      <w:start w:val="1"/>
      <w:numFmt w:val="bullet"/>
      <w:lvlText w:val=""/>
      <w:lvlJc w:val="left"/>
      <w:pPr>
        <w:ind w:left="1020" w:hanging="360"/>
      </w:pPr>
      <w:rPr>
        <w:rFonts w:ascii="Symbol" w:hAnsi="Symbol"/>
      </w:rPr>
    </w:lvl>
    <w:lvl w:ilvl="8" w:tplc="7312DF88">
      <w:start w:val="1"/>
      <w:numFmt w:val="bullet"/>
      <w:lvlText w:val=""/>
      <w:lvlJc w:val="left"/>
      <w:pPr>
        <w:ind w:left="1020" w:hanging="360"/>
      </w:pPr>
      <w:rPr>
        <w:rFonts w:ascii="Symbol" w:hAnsi="Symbol"/>
      </w:rPr>
    </w:lvl>
  </w:abstractNum>
  <w:abstractNum w:abstractNumId="79" w15:restartNumberingAfterBreak="0">
    <w:nsid w:val="50D536D6"/>
    <w:multiLevelType w:val="hybridMultilevel"/>
    <w:tmpl w:val="A3DA7216"/>
    <w:lvl w:ilvl="0" w:tplc="62A83A3E">
      <w:start w:val="1"/>
      <w:numFmt w:val="decimal"/>
      <w:pStyle w:val="Box5XBoxHeading"/>
      <w:lvlText w:val="Box 5.%1:"/>
      <w:lvlJc w:val="left"/>
      <w:pPr>
        <w:ind w:left="360" w:hanging="360"/>
      </w:pPr>
      <w:rPr>
        <w:rFonts w:ascii="Public Sans SemiBold" w:hAnsi="Public Sans SemiBold" w:cs="Times New Roman" w:hint="default"/>
        <w:b/>
        <w:bCs/>
        <w:i w:val="0"/>
        <w:caps w:val="0"/>
        <w:color w:val="000000" w:themeColor="text1"/>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2BD70C2"/>
    <w:multiLevelType w:val="hybridMultilevel"/>
    <w:tmpl w:val="6B588646"/>
    <w:lvl w:ilvl="0" w:tplc="98C650BE">
      <w:start w:val="1"/>
      <w:numFmt w:val="bullet"/>
      <w:pStyle w:val="Bullet2"/>
      <w:lvlText w:val="–"/>
      <w:lvlJc w:val="left"/>
      <w:pPr>
        <w:tabs>
          <w:tab w:val="num" w:pos="785"/>
        </w:tabs>
        <w:ind w:left="785" w:hanging="360"/>
      </w:pPr>
      <w:rPr>
        <w:rFonts w:ascii="Arial" w:hAnsi="Arial" w:cs="Aria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3757025"/>
    <w:multiLevelType w:val="hybridMultilevel"/>
    <w:tmpl w:val="23DCF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3" w15:restartNumberingAfterBreak="0">
    <w:nsid w:val="54836140"/>
    <w:multiLevelType w:val="hybridMultilevel"/>
    <w:tmpl w:val="ED34647C"/>
    <w:lvl w:ilvl="0" w:tplc="7D34DACA">
      <w:start w:val="1"/>
      <w:numFmt w:val="decimal"/>
      <w:lvlText w:val="Chart 3.%1:"/>
      <w:lvlJc w:val="left"/>
      <w:pPr>
        <w:ind w:left="360" w:hanging="360"/>
      </w:pPr>
      <w:rPr>
        <w:rFonts w:ascii="Public Sans" w:hAnsi="Public Sans" w:hint="default"/>
        <w:b w:val="0"/>
        <w:i/>
        <w:color w:val="4F4F4F"/>
        <w:sz w:val="22"/>
        <w:u w:val="none" w:color="4F4F4F"/>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54F164B4"/>
    <w:multiLevelType w:val="hybridMultilevel"/>
    <w:tmpl w:val="0DA4C508"/>
    <w:lvl w:ilvl="0" w:tplc="B7604FCE">
      <w:start w:val="1"/>
      <w:numFmt w:val="decimal"/>
      <w:pStyle w:val="ChartCX"/>
      <w:lvlText w:val="Chart C.%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55D6282E"/>
    <w:multiLevelType w:val="hybridMultilevel"/>
    <w:tmpl w:val="2208DE68"/>
    <w:lvl w:ilvl="0" w:tplc="CA4449FE">
      <w:start w:val="1"/>
      <w:numFmt w:val="decimal"/>
      <w:pStyle w:val="Chart7X"/>
      <w:lvlText w:val="Chart 7.%1:"/>
      <w:lvlJc w:val="left"/>
      <w:pPr>
        <w:ind w:left="360" w:hanging="360"/>
      </w:pPr>
      <w:rPr>
        <w:rFonts w:ascii="Public Sans" w:hAnsi="Public Sans" w:hint="default"/>
        <w:b w:val="0"/>
        <w:i/>
        <w:caps w:val="0"/>
        <w:color w:val="000000" w:themeColor="text1"/>
        <w:sz w:val="22"/>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6" w15:restartNumberingAfterBreak="0">
    <w:nsid w:val="56041D7B"/>
    <w:multiLevelType w:val="hybridMultilevel"/>
    <w:tmpl w:val="97169544"/>
    <w:lvl w:ilvl="0" w:tplc="CE32E790">
      <w:start w:val="1"/>
      <w:numFmt w:val="decimal"/>
      <w:pStyle w:val="ChartFX"/>
      <w:lvlText w:val="Chart F.%1:"/>
      <w:lvlJc w:val="left"/>
      <w:pPr>
        <w:ind w:left="360" w:hanging="360"/>
      </w:pPr>
      <w:rPr>
        <w:rFonts w:ascii="Public Sans" w:hAnsi="Public Sans" w:hint="default"/>
        <w:b w:val="0"/>
        <w:i/>
        <w:caps w:val="0"/>
        <w:color w:val="000000" w:themeColor="text1"/>
        <w:sz w:val="22"/>
        <w:u w:val="none"/>
      </w:rPr>
    </w:lvl>
    <w:lvl w:ilvl="1" w:tplc="16F03A40">
      <w:numFmt w:val="decimal"/>
      <w:lvlText w:val=""/>
      <w:lvlJc w:val="left"/>
    </w:lvl>
    <w:lvl w:ilvl="2" w:tplc="233C1574">
      <w:numFmt w:val="decimal"/>
      <w:lvlText w:val=""/>
      <w:lvlJc w:val="left"/>
    </w:lvl>
    <w:lvl w:ilvl="3" w:tplc="7B003C54">
      <w:numFmt w:val="decimal"/>
      <w:lvlText w:val=""/>
      <w:lvlJc w:val="left"/>
    </w:lvl>
    <w:lvl w:ilvl="4" w:tplc="EAEE4440">
      <w:numFmt w:val="decimal"/>
      <w:lvlText w:val=""/>
      <w:lvlJc w:val="left"/>
    </w:lvl>
    <w:lvl w:ilvl="5" w:tplc="DDAE1404">
      <w:numFmt w:val="decimal"/>
      <w:lvlText w:val=""/>
      <w:lvlJc w:val="left"/>
    </w:lvl>
    <w:lvl w:ilvl="6" w:tplc="30E425A4">
      <w:numFmt w:val="decimal"/>
      <w:lvlText w:val=""/>
      <w:lvlJc w:val="left"/>
    </w:lvl>
    <w:lvl w:ilvl="7" w:tplc="684E0DE4">
      <w:numFmt w:val="decimal"/>
      <w:lvlText w:val=""/>
      <w:lvlJc w:val="left"/>
    </w:lvl>
    <w:lvl w:ilvl="8" w:tplc="38D6F2D4">
      <w:numFmt w:val="decimal"/>
      <w:lvlText w:val=""/>
      <w:lvlJc w:val="left"/>
    </w:lvl>
  </w:abstractNum>
  <w:abstractNum w:abstractNumId="87" w15:restartNumberingAfterBreak="0">
    <w:nsid w:val="573D78C7"/>
    <w:multiLevelType w:val="hybridMultilevel"/>
    <w:tmpl w:val="4AB20B44"/>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599E5E30"/>
    <w:multiLevelType w:val="hybridMultilevel"/>
    <w:tmpl w:val="02EC5A8A"/>
    <w:lvl w:ilvl="0" w:tplc="9A58CC78">
      <w:start w:val="1"/>
      <w:numFmt w:val="decimal"/>
      <w:pStyle w:val="71Heading2"/>
      <w:lvlText w:val="7.%1"/>
      <w:lvlJc w:val="left"/>
      <w:pPr>
        <w:ind w:left="360" w:hanging="360"/>
      </w:pPr>
      <w:rPr>
        <w:rFonts w:ascii="Public Sans SemiBold" w:hAnsi="Public Sans SemiBold" w:cs="Arial" w:hint="default"/>
        <w:b/>
        <w:bCs w:val="0"/>
        <w:i w:val="0"/>
        <w:iCs w:val="0"/>
        <w:caps w:val="0"/>
        <w:strike w:val="0"/>
        <w:dstrike w:val="0"/>
        <w:vanish w:val="0"/>
        <w:color w:val="22272B"/>
        <w:spacing w:val="0"/>
        <w:kern w:val="0"/>
        <w:position w:val="0"/>
        <w:sz w:val="28"/>
        <w:szCs w:val="22"/>
        <w:u w:val="none" w:color="008EBA"/>
        <w:effect w:val="none"/>
        <w:vertAlign w:val="baseline"/>
        <w:em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9" w15:restartNumberingAfterBreak="0">
    <w:nsid w:val="59D174D9"/>
    <w:multiLevelType w:val="hybridMultilevel"/>
    <w:tmpl w:val="B36A6D96"/>
    <w:lvl w:ilvl="0" w:tplc="7924B6B4">
      <w:start w:val="1"/>
      <w:numFmt w:val="decimal"/>
      <w:pStyle w:val="Heading1"/>
      <w:lvlText w:val="%1."/>
      <w:lvlJc w:val="left"/>
      <w:pPr>
        <w:ind w:left="360" w:hanging="360"/>
      </w:pPr>
      <w:rPr>
        <w:rFonts w:ascii="Public Sans SemiBold" w:hAnsi="Public Sans SemiBold" w:hint="default"/>
        <w:b w:val="0"/>
        <w:bCs w:val="0"/>
        <w:i w:val="0"/>
        <w:caps w:val="0"/>
        <w:strike w:val="0"/>
        <w:dstrike w:val="0"/>
        <w:vanish w:val="0"/>
        <w:color w:val="0B3F47"/>
        <w:sz w:val="4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5A414304"/>
    <w:multiLevelType w:val="hybridMultilevel"/>
    <w:tmpl w:val="80A02342"/>
    <w:lvl w:ilvl="0" w:tplc="E3CCC65A">
      <w:start w:val="1"/>
      <w:numFmt w:val="decimal"/>
      <w:pStyle w:val="D1Heading2"/>
      <w:lvlText w:val="D.%1"/>
      <w:lvlJc w:val="left"/>
      <w:pPr>
        <w:ind w:left="360" w:hanging="360"/>
      </w:pPr>
      <w:rPr>
        <w:rFonts w:ascii="Public Sans SemiBold" w:hAnsi="Public Sans SemiBold" w:hint="default"/>
        <w:b/>
        <w:bCs/>
        <w:i w:val="0"/>
        <w:color w:val="22272B"/>
        <w:sz w:val="28"/>
        <w:szCs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5B2A2142"/>
    <w:multiLevelType w:val="hybridMultilevel"/>
    <w:tmpl w:val="5784DF66"/>
    <w:lvl w:ilvl="0" w:tplc="0F966C0C">
      <w:start w:val="1"/>
      <w:numFmt w:val="bullet"/>
      <w:lvlText w:val=""/>
      <w:lvlJc w:val="left"/>
      <w:pPr>
        <w:ind w:left="720" w:hanging="360"/>
      </w:pPr>
      <w:rPr>
        <w:rFonts w:ascii="Symbol" w:hAnsi="Symbol"/>
      </w:rPr>
    </w:lvl>
    <w:lvl w:ilvl="1" w:tplc="7B10B3EE">
      <w:start w:val="1"/>
      <w:numFmt w:val="bullet"/>
      <w:lvlText w:val=""/>
      <w:lvlJc w:val="left"/>
      <w:pPr>
        <w:ind w:left="720" w:hanging="360"/>
      </w:pPr>
      <w:rPr>
        <w:rFonts w:ascii="Symbol" w:hAnsi="Symbol"/>
      </w:rPr>
    </w:lvl>
    <w:lvl w:ilvl="2" w:tplc="4D926F32">
      <w:start w:val="1"/>
      <w:numFmt w:val="bullet"/>
      <w:lvlText w:val=""/>
      <w:lvlJc w:val="left"/>
      <w:pPr>
        <w:ind w:left="720" w:hanging="360"/>
      </w:pPr>
      <w:rPr>
        <w:rFonts w:ascii="Symbol" w:hAnsi="Symbol"/>
      </w:rPr>
    </w:lvl>
    <w:lvl w:ilvl="3" w:tplc="2FD20F4C">
      <w:start w:val="1"/>
      <w:numFmt w:val="bullet"/>
      <w:lvlText w:val=""/>
      <w:lvlJc w:val="left"/>
      <w:pPr>
        <w:ind w:left="720" w:hanging="360"/>
      </w:pPr>
      <w:rPr>
        <w:rFonts w:ascii="Symbol" w:hAnsi="Symbol"/>
      </w:rPr>
    </w:lvl>
    <w:lvl w:ilvl="4" w:tplc="27124516">
      <w:start w:val="1"/>
      <w:numFmt w:val="bullet"/>
      <w:lvlText w:val=""/>
      <w:lvlJc w:val="left"/>
      <w:pPr>
        <w:ind w:left="720" w:hanging="360"/>
      </w:pPr>
      <w:rPr>
        <w:rFonts w:ascii="Symbol" w:hAnsi="Symbol"/>
      </w:rPr>
    </w:lvl>
    <w:lvl w:ilvl="5" w:tplc="D5A0F452">
      <w:start w:val="1"/>
      <w:numFmt w:val="bullet"/>
      <w:lvlText w:val=""/>
      <w:lvlJc w:val="left"/>
      <w:pPr>
        <w:ind w:left="720" w:hanging="360"/>
      </w:pPr>
      <w:rPr>
        <w:rFonts w:ascii="Symbol" w:hAnsi="Symbol"/>
      </w:rPr>
    </w:lvl>
    <w:lvl w:ilvl="6" w:tplc="91C84496">
      <w:start w:val="1"/>
      <w:numFmt w:val="bullet"/>
      <w:lvlText w:val=""/>
      <w:lvlJc w:val="left"/>
      <w:pPr>
        <w:ind w:left="720" w:hanging="360"/>
      </w:pPr>
      <w:rPr>
        <w:rFonts w:ascii="Symbol" w:hAnsi="Symbol"/>
      </w:rPr>
    </w:lvl>
    <w:lvl w:ilvl="7" w:tplc="96D4B89A">
      <w:start w:val="1"/>
      <w:numFmt w:val="bullet"/>
      <w:lvlText w:val=""/>
      <w:lvlJc w:val="left"/>
      <w:pPr>
        <w:ind w:left="720" w:hanging="360"/>
      </w:pPr>
      <w:rPr>
        <w:rFonts w:ascii="Symbol" w:hAnsi="Symbol"/>
      </w:rPr>
    </w:lvl>
    <w:lvl w:ilvl="8" w:tplc="8E32A98A">
      <w:start w:val="1"/>
      <w:numFmt w:val="bullet"/>
      <w:lvlText w:val=""/>
      <w:lvlJc w:val="left"/>
      <w:pPr>
        <w:ind w:left="720" w:hanging="360"/>
      </w:pPr>
      <w:rPr>
        <w:rFonts w:ascii="Symbol" w:hAnsi="Symbol"/>
      </w:rPr>
    </w:lvl>
  </w:abstractNum>
  <w:abstractNum w:abstractNumId="92" w15:restartNumberingAfterBreak="0">
    <w:nsid w:val="5CD472E9"/>
    <w:multiLevelType w:val="hybridMultilevel"/>
    <w:tmpl w:val="DE5C17BA"/>
    <w:lvl w:ilvl="0" w:tplc="8EEED332">
      <w:start w:val="1"/>
      <w:numFmt w:val="bullet"/>
      <w:pStyle w:val="Bulle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3" w15:restartNumberingAfterBreak="0">
    <w:nsid w:val="5DBD6814"/>
    <w:multiLevelType w:val="hybridMultilevel"/>
    <w:tmpl w:val="F17A91DC"/>
    <w:lvl w:ilvl="0" w:tplc="2DF2F98A">
      <w:start w:val="1"/>
      <w:numFmt w:val="decimal"/>
      <w:pStyle w:val="Chart6X"/>
      <w:lvlText w:val="Chart 6.%1:"/>
      <w:lvlJc w:val="left"/>
      <w:pPr>
        <w:ind w:left="360" w:hanging="360"/>
      </w:pPr>
      <w:rPr>
        <w:rFonts w:ascii="Public Sans" w:hAnsi="Public Sans" w:cs="Arial" w:hint="default"/>
        <w:b w:val="0"/>
        <w:i/>
        <w:caps w:val="0"/>
        <w:strike w:val="0"/>
        <w:color w:val="000000" w:themeColor="text1"/>
        <w:sz w:val="22"/>
        <w:szCs w:val="22"/>
        <w:u w:val="none" w:color="4F4F4F"/>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5F4225C0"/>
    <w:multiLevelType w:val="hybridMultilevel"/>
    <w:tmpl w:val="3DFECD28"/>
    <w:lvl w:ilvl="0" w:tplc="30BE37CE">
      <w:start w:val="1"/>
      <w:numFmt w:val="decimal"/>
      <w:pStyle w:val="Figure2X"/>
      <w:lvlText w:val="Figure 2.%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5FDA03CA"/>
    <w:multiLevelType w:val="hybridMultilevel"/>
    <w:tmpl w:val="2530ED92"/>
    <w:lvl w:ilvl="0" w:tplc="A5EA98E6">
      <w:start w:val="1"/>
      <w:numFmt w:val="decimal"/>
      <w:pStyle w:val="FigureFX"/>
      <w:lvlText w:val="Figure F.%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60B26314"/>
    <w:multiLevelType w:val="hybridMultilevel"/>
    <w:tmpl w:val="711CB540"/>
    <w:lvl w:ilvl="0" w:tplc="AFAE4F0C">
      <w:start w:val="1"/>
      <w:numFmt w:val="decimal"/>
      <w:pStyle w:val="TableFX"/>
      <w:lvlText w:val="Table F.%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61541C4A"/>
    <w:multiLevelType w:val="hybridMultilevel"/>
    <w:tmpl w:val="D41CD0C0"/>
    <w:lvl w:ilvl="0" w:tplc="6A98ACAC">
      <w:start w:val="1"/>
      <w:numFmt w:val="decimal"/>
      <w:pStyle w:val="Figure6X"/>
      <w:lvlText w:val="Figure 6.%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624C4AC5"/>
    <w:multiLevelType w:val="hybridMultilevel"/>
    <w:tmpl w:val="6FB4D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325578F"/>
    <w:multiLevelType w:val="hybridMultilevel"/>
    <w:tmpl w:val="B93A9A64"/>
    <w:lvl w:ilvl="0" w:tplc="11F41EBE">
      <w:start w:val="1"/>
      <w:numFmt w:val="decimal"/>
      <w:pStyle w:val="Chart8X"/>
      <w:lvlText w:val="Chart 8.%1:"/>
      <w:lvlJc w:val="left"/>
      <w:pPr>
        <w:ind w:left="720" w:hanging="360"/>
      </w:pPr>
      <w:rPr>
        <w:rFonts w:ascii="Public Sans" w:hAnsi="Public Sans" w:hint="default"/>
        <w:b w:val="0"/>
        <w:i/>
        <w:caps w:val="0"/>
        <w:color w:val="000000" w:themeColor="text1"/>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6387740A"/>
    <w:multiLevelType w:val="hybridMultilevel"/>
    <w:tmpl w:val="8D7433F4"/>
    <w:lvl w:ilvl="0" w:tplc="9AD0A540">
      <w:start w:val="1"/>
      <w:numFmt w:val="decimal"/>
      <w:pStyle w:val="Chart3X"/>
      <w:lvlText w:val="Chart 3.%1:"/>
      <w:lvlJc w:val="left"/>
      <w:pPr>
        <w:ind w:left="720" w:hanging="360"/>
      </w:pPr>
      <w:rPr>
        <w:rFonts w:ascii="Public Sans" w:hAnsi="Public Sans" w:cs="Arial" w:hint="default"/>
        <w:b w:val="0"/>
        <w:i/>
        <w:caps w:val="0"/>
        <w:color w:val="000000" w:themeColor="text1"/>
        <w:sz w:val="22"/>
        <w:szCs w:val="22"/>
        <w:u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6403159E"/>
    <w:multiLevelType w:val="hybridMultilevel"/>
    <w:tmpl w:val="7F3CA2DC"/>
    <w:lvl w:ilvl="0" w:tplc="C60AE570">
      <w:start w:val="1"/>
      <w:numFmt w:val="bullet"/>
      <w:pStyle w:val="Bullet3"/>
      <w:lvlText w:val="o"/>
      <w:lvlJc w:val="left"/>
      <w:pPr>
        <w:ind w:left="1211" w:hanging="360"/>
      </w:pPr>
      <w:rPr>
        <w:rFonts w:ascii="Courier New" w:hAnsi="Courier New" w:hint="default"/>
        <w:b w:val="0"/>
        <w:i w:val="0"/>
        <w:color w:val="auto"/>
        <w:sz w:val="18"/>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4E75030"/>
    <w:multiLevelType w:val="hybridMultilevel"/>
    <w:tmpl w:val="77D24EDE"/>
    <w:lvl w:ilvl="0" w:tplc="AC301ED0">
      <w:start w:val="1"/>
      <w:numFmt w:val="decimal"/>
      <w:pStyle w:val="Heading2"/>
      <w:lvlText w:val="F.%1"/>
      <w:lvlJc w:val="left"/>
      <w:pPr>
        <w:ind w:left="360" w:hanging="360"/>
      </w:pPr>
      <w:rPr>
        <w:rFonts w:ascii="Arial Bold" w:hAnsi="Arial Bold" w:hint="default"/>
        <w:b/>
        <w:i w:val="0"/>
        <w:color w:val="008EBA"/>
        <w:sz w:val="3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65D44CAF"/>
    <w:multiLevelType w:val="hybridMultilevel"/>
    <w:tmpl w:val="815888F8"/>
    <w:lvl w:ilvl="0" w:tplc="7E421B66">
      <w:start w:val="1"/>
      <w:numFmt w:val="decimal"/>
      <w:pStyle w:val="Figure8X"/>
      <w:lvlText w:val="Figure 8.%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6608000C"/>
    <w:multiLevelType w:val="hybridMultilevel"/>
    <w:tmpl w:val="930A8D96"/>
    <w:lvl w:ilvl="0" w:tplc="24D207AE">
      <w:start w:val="1"/>
      <w:numFmt w:val="bullet"/>
      <w:pStyle w:val="Bullet1"/>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68095C94"/>
    <w:multiLevelType w:val="hybridMultilevel"/>
    <w:tmpl w:val="C0249E82"/>
    <w:lvl w:ilvl="0" w:tplc="8A7EA626">
      <w:start w:val="1"/>
      <w:numFmt w:val="decimal"/>
      <w:pStyle w:val="21Heading2"/>
      <w:lvlText w:val="2.%1"/>
      <w:lvlJc w:val="left"/>
      <w:pPr>
        <w:ind w:left="360" w:hanging="360"/>
      </w:pPr>
      <w:rPr>
        <w:rFonts w:ascii="Public Sans SemiBold" w:hAnsi="Public Sans SemiBold" w:cs="Arial" w:hint="default"/>
        <w:b/>
        <w:bCs w:val="0"/>
        <w:i w:val="0"/>
        <w:iCs w:val="0"/>
        <w:caps w:val="0"/>
        <w:strike w:val="0"/>
        <w:dstrike w:val="0"/>
        <w:vanish w:val="0"/>
        <w:color w:val="22272B"/>
        <w:spacing w:val="0"/>
        <w:kern w:val="0"/>
        <w:position w:val="0"/>
        <w:sz w:val="28"/>
        <w:szCs w:val="22"/>
        <w:u w:val="none" w:color="008EBA"/>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686F44BC"/>
    <w:multiLevelType w:val="hybridMultilevel"/>
    <w:tmpl w:val="B34AB096"/>
    <w:lvl w:ilvl="0" w:tplc="1F008912">
      <w:start w:val="1"/>
      <w:numFmt w:val="decimal"/>
      <w:pStyle w:val="FigureDX"/>
      <w:lvlText w:val="Figure D.%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6A18611C"/>
    <w:multiLevelType w:val="hybridMultilevel"/>
    <w:tmpl w:val="C716483E"/>
    <w:lvl w:ilvl="0" w:tplc="42422F08">
      <w:start w:val="1"/>
      <w:numFmt w:val="decimal"/>
      <w:lvlText w:val="Table X.%1:"/>
      <w:lvlJc w:val="left"/>
      <w:pPr>
        <w:ind w:left="360" w:hanging="360"/>
      </w:pPr>
      <w:rPr>
        <w:rFonts w:ascii="Public Sans" w:hAnsi="Public Sans" w:hint="default"/>
        <w:b w:val="0"/>
        <w:i/>
        <w:color w:val="4F4F4F"/>
        <w:sz w:val="22"/>
        <w:u w:val="none" w:color="4F4F4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BAD0A08"/>
    <w:multiLevelType w:val="hybridMultilevel"/>
    <w:tmpl w:val="F94C79F0"/>
    <w:lvl w:ilvl="0" w:tplc="669E2E22">
      <w:start w:val="1"/>
      <w:numFmt w:val="decimal"/>
      <w:pStyle w:val="A41Heading2"/>
      <w:lvlText w:val="A4.%1"/>
      <w:lvlJc w:val="left"/>
      <w:pPr>
        <w:ind w:left="360" w:hanging="360"/>
      </w:pPr>
      <w:rPr>
        <w:rFonts w:ascii="Public Sans SemiBold" w:hAnsi="Public Sans SemiBold" w:hint="default"/>
        <w:b/>
        <w:bCs/>
        <w:i w:val="0"/>
        <w:color w:val="22272B"/>
        <w:sz w:val="28"/>
        <w:szCs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6D633B70"/>
    <w:multiLevelType w:val="hybridMultilevel"/>
    <w:tmpl w:val="49C0C5EE"/>
    <w:lvl w:ilvl="0" w:tplc="51409BBA">
      <w:start w:val="1"/>
      <w:numFmt w:val="decimal"/>
      <w:pStyle w:val="Box1XBoxHeading"/>
      <w:lvlText w:val="Box 1.%1:"/>
      <w:lvlJc w:val="left"/>
      <w:pPr>
        <w:ind w:left="360" w:hanging="360"/>
      </w:pPr>
      <w:rPr>
        <w:rFonts w:ascii="Public Sans SemiBold" w:hAnsi="Public Sans SemiBold" w:hint="default"/>
        <w:b/>
        <w:bCs w:val="0"/>
        <w:i w:val="0"/>
        <w:iCs w:val="0"/>
        <w:caps w:val="0"/>
        <w:strike w:val="0"/>
        <w:dstrike w:val="0"/>
        <w:vanish w:val="0"/>
        <w:color w:val="000000" w:themeColor="text1"/>
        <w:spacing w:val="0"/>
        <w:kern w:val="0"/>
        <w:position w:val="0"/>
        <w:sz w:val="22"/>
        <w:u w:val="none" w:color="00ABE6"/>
        <w:effect w:val="none"/>
        <w:vertAlign w:val="baseline"/>
        <w:em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0" w15:restartNumberingAfterBreak="0">
    <w:nsid w:val="6D6B71F0"/>
    <w:multiLevelType w:val="hybridMultilevel"/>
    <w:tmpl w:val="D5DCE340"/>
    <w:lvl w:ilvl="0" w:tplc="C3BCAF2A">
      <w:start w:val="1"/>
      <w:numFmt w:val="decimal"/>
      <w:pStyle w:val="11Heading2"/>
      <w:lvlText w:val="1.%1"/>
      <w:lvlJc w:val="left"/>
      <w:pPr>
        <w:ind w:left="360" w:hanging="360"/>
      </w:pPr>
      <w:rPr>
        <w:rFonts w:ascii="Public Sans SemiBold" w:hAnsi="Public Sans SemiBold" w:hint="default"/>
        <w:b/>
        <w:i w:val="0"/>
        <w:color w:val="22272B"/>
        <w:sz w:val="28"/>
        <w:szCs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6DFA6ECC"/>
    <w:multiLevelType w:val="hybridMultilevel"/>
    <w:tmpl w:val="D4D2232A"/>
    <w:lvl w:ilvl="0" w:tplc="A0905534">
      <w:start w:val="1"/>
      <w:numFmt w:val="decimal"/>
      <w:pStyle w:val="Box6XBoxHeading"/>
      <w:lvlText w:val="Box 6.%1:"/>
      <w:lvlJc w:val="left"/>
      <w:pPr>
        <w:ind w:left="360" w:hanging="360"/>
      </w:pPr>
      <w:rPr>
        <w:rFonts w:ascii="Public Sans SemiBold" w:hAnsi="Public Sans SemiBold" w:cs="Arial" w:hint="default"/>
        <w:b/>
        <w:bCs w:val="0"/>
        <w:i w:val="0"/>
        <w:color w:val="000000" w:themeColor="text1"/>
        <w:sz w:val="22"/>
        <w:szCs w:val="22"/>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6E7D70B9"/>
    <w:multiLevelType w:val="hybridMultilevel"/>
    <w:tmpl w:val="92E4C4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70B8201D"/>
    <w:multiLevelType w:val="hybridMultilevel"/>
    <w:tmpl w:val="573C320E"/>
    <w:lvl w:ilvl="0" w:tplc="C5806944">
      <w:start w:val="1"/>
      <w:numFmt w:val="decimal"/>
      <w:pStyle w:val="TableEX"/>
      <w:lvlText w:val="Table E.%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725F7C9A"/>
    <w:multiLevelType w:val="hybridMultilevel"/>
    <w:tmpl w:val="A09C1DDC"/>
    <w:lvl w:ilvl="0" w:tplc="D818AF3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73112603"/>
    <w:multiLevelType w:val="hybridMultilevel"/>
    <w:tmpl w:val="6FB01BAC"/>
    <w:lvl w:ilvl="0" w:tplc="45380CC6">
      <w:start w:val="1"/>
      <w:numFmt w:val="decimal"/>
      <w:pStyle w:val="Chart1X"/>
      <w:lvlText w:val="Chart 1.%1:"/>
      <w:lvlJc w:val="left"/>
      <w:pPr>
        <w:ind w:left="360" w:hanging="360"/>
      </w:pPr>
      <w:rPr>
        <w:rFonts w:ascii="Public Sans" w:hAnsi="Public Sans" w:cs="Arial" w:hint="default"/>
        <w:b w:val="0"/>
        <w:i/>
        <w:caps w:val="0"/>
        <w:color w:val="000000" w:themeColor="text1"/>
        <w:sz w:val="22"/>
        <w:szCs w:val="22"/>
        <w:u w:val="none"/>
        <w:vertAlign w:val="baseline"/>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6" w15:restartNumberingAfterBreak="0">
    <w:nsid w:val="73985D60"/>
    <w:multiLevelType w:val="hybridMultilevel"/>
    <w:tmpl w:val="5C9C520E"/>
    <w:lvl w:ilvl="0" w:tplc="5E566824">
      <w:start w:val="1"/>
      <w:numFmt w:val="bullet"/>
      <w:lvlText w:val=""/>
      <w:lvlJc w:val="left"/>
      <w:pPr>
        <w:ind w:left="360" w:hanging="360"/>
      </w:pPr>
      <w:rPr>
        <w:rFonts w:ascii="Symbol" w:hAnsi="Symbol" w:hint="default"/>
        <w:color w:val="0D0D0D" w:themeColor="text1" w:themeTint="F2"/>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73BB309D"/>
    <w:multiLevelType w:val="hybridMultilevel"/>
    <w:tmpl w:val="C87256F6"/>
    <w:lvl w:ilvl="0" w:tplc="2FFEA4A0">
      <w:start w:val="1"/>
      <w:numFmt w:val="decimal"/>
      <w:pStyle w:val="FigureA5X"/>
      <w:lvlText w:val="Figure A5.%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74AC412F"/>
    <w:multiLevelType w:val="hybridMultilevel"/>
    <w:tmpl w:val="45C884D0"/>
    <w:lvl w:ilvl="0" w:tplc="A6FEE97C">
      <w:start w:val="1"/>
      <w:numFmt w:val="decimal"/>
      <w:pStyle w:val="Table8X"/>
      <w:lvlText w:val="Table 8.%1:"/>
      <w:lvlJc w:val="left"/>
      <w:pPr>
        <w:ind w:left="360" w:hanging="360"/>
      </w:pPr>
      <w:rPr>
        <w:rFonts w:ascii="Public Sans" w:hAnsi="Public Sans" w:hint="default"/>
        <w:b w:val="0"/>
        <w:i/>
        <w:caps w:val="0"/>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76543C04"/>
    <w:multiLevelType w:val="hybridMultilevel"/>
    <w:tmpl w:val="C31A5D0A"/>
    <w:lvl w:ilvl="0" w:tplc="8B467A4C">
      <w:start w:val="1"/>
      <w:numFmt w:val="decimal"/>
      <w:pStyle w:val="ChartDX"/>
      <w:lvlText w:val="Chart D.%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76B3043F"/>
    <w:multiLevelType w:val="hybridMultilevel"/>
    <w:tmpl w:val="26A28F64"/>
    <w:lvl w:ilvl="0" w:tplc="56487B3C">
      <w:start w:val="1"/>
      <w:numFmt w:val="decimal"/>
      <w:pStyle w:val="Table3X"/>
      <w:lvlText w:val="Table 3.%1:"/>
      <w:lvlJc w:val="left"/>
      <w:pPr>
        <w:ind w:left="360" w:hanging="360"/>
      </w:pPr>
      <w:rPr>
        <w:rFonts w:ascii="Public Sans" w:hAnsi="Public Sans" w:hint="default"/>
        <w:b w:val="0"/>
        <w:i/>
        <w:caps w:val="0"/>
        <w:color w:val="22272B"/>
        <w:sz w:val="22"/>
        <w:u w:val="none" w:color="4F4F4F"/>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77612233"/>
    <w:multiLevelType w:val="hybridMultilevel"/>
    <w:tmpl w:val="106687C0"/>
    <w:lvl w:ilvl="0" w:tplc="AE9E8B00">
      <w:start w:val="1"/>
      <w:numFmt w:val="decimal"/>
      <w:pStyle w:val="Box2XBoxHeading"/>
      <w:lvlText w:val="Box 2.%1:"/>
      <w:lvlJc w:val="left"/>
      <w:pPr>
        <w:ind w:left="360" w:hanging="360"/>
      </w:pPr>
      <w:rPr>
        <w:rFonts w:ascii="Public Sans SemiBold" w:hAnsi="Public Sans SemiBold" w:hint="default"/>
        <w:b/>
        <w:bCs w:val="0"/>
        <w:i w:val="0"/>
        <w:iCs w:val="0"/>
        <w:caps w:val="0"/>
        <w:strike w:val="0"/>
        <w:dstrike w:val="0"/>
        <w:vanish w:val="0"/>
        <w:color w:val="000000" w:themeColor="text1"/>
        <w:spacing w:val="0"/>
        <w:kern w:val="0"/>
        <w:position w:val="0"/>
        <w:sz w:val="22"/>
        <w:szCs w:val="22"/>
        <w:u w:val="none" w:color="00ABE6"/>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782868C0"/>
    <w:multiLevelType w:val="hybridMultilevel"/>
    <w:tmpl w:val="85547F0C"/>
    <w:lvl w:ilvl="0" w:tplc="42F05746">
      <w:start w:val="1"/>
      <w:numFmt w:val="decimal"/>
      <w:pStyle w:val="Figure1X"/>
      <w:lvlText w:val="Figure X.%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79C00E47"/>
    <w:multiLevelType w:val="hybridMultilevel"/>
    <w:tmpl w:val="9794A7BE"/>
    <w:lvl w:ilvl="0" w:tplc="E3084202">
      <w:start w:val="1"/>
      <w:numFmt w:val="decimal"/>
      <w:pStyle w:val="FigureA1X"/>
      <w:lvlText w:val="Figure A1.%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7A1A1949"/>
    <w:multiLevelType w:val="hybridMultilevel"/>
    <w:tmpl w:val="58F28F18"/>
    <w:lvl w:ilvl="0" w:tplc="24788874">
      <w:start w:val="1"/>
      <w:numFmt w:val="decimal"/>
      <w:pStyle w:val="Chart5X"/>
      <w:lvlText w:val="Chart 5.%1:"/>
      <w:lvlJc w:val="left"/>
      <w:pPr>
        <w:ind w:left="360" w:hanging="360"/>
      </w:pPr>
      <w:rPr>
        <w:rFonts w:ascii="Public Sans" w:hAnsi="Public Sans" w:cs="Arial" w:hint="default"/>
        <w:b w:val="0"/>
        <w:i/>
        <w:caps w:val="0"/>
        <w:color w:val="000000" w:themeColor="text1"/>
        <w:sz w:val="22"/>
        <w:szCs w:val="22"/>
        <w:u w:val="none" w:color="4F4F4F"/>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7A876093"/>
    <w:multiLevelType w:val="hybridMultilevel"/>
    <w:tmpl w:val="A75E4390"/>
    <w:lvl w:ilvl="0" w:tplc="5574A30A">
      <w:start w:val="1"/>
      <w:numFmt w:val="decimal"/>
      <w:pStyle w:val="Box4XBoxHeading"/>
      <w:lvlText w:val="Box 4.%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7C6919CF"/>
    <w:multiLevelType w:val="hybridMultilevel"/>
    <w:tmpl w:val="AEBE65F8"/>
    <w:lvl w:ilvl="0" w:tplc="76E47F04">
      <w:start w:val="1"/>
      <w:numFmt w:val="decimal"/>
      <w:pStyle w:val="F1Heading2"/>
      <w:lvlText w:val="F.%1"/>
      <w:lvlJc w:val="left"/>
      <w:pPr>
        <w:ind w:left="360" w:hanging="360"/>
      </w:pPr>
      <w:rPr>
        <w:rFonts w:ascii="Public Sans SemiBold" w:hAnsi="Public Sans SemiBold" w:hint="default"/>
        <w:b/>
        <w:bCs/>
        <w:i w:val="0"/>
        <w:color w:val="22272B"/>
        <w:sz w:val="28"/>
        <w:szCs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7E2945C9"/>
    <w:multiLevelType w:val="hybridMultilevel"/>
    <w:tmpl w:val="56D0D23C"/>
    <w:lvl w:ilvl="0" w:tplc="2232638C">
      <w:start w:val="1"/>
      <w:numFmt w:val="decimal"/>
      <w:pStyle w:val="FigureCX"/>
      <w:lvlText w:val="Figure C.%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7E58502F"/>
    <w:multiLevelType w:val="hybridMultilevel"/>
    <w:tmpl w:val="D9A2CFD4"/>
    <w:lvl w:ilvl="0" w:tplc="9C04C554">
      <w:start w:val="1"/>
      <w:numFmt w:val="decimal"/>
      <w:pStyle w:val="TableCX"/>
      <w:lvlText w:val="Table C.%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7E7E6F1F"/>
    <w:multiLevelType w:val="hybridMultilevel"/>
    <w:tmpl w:val="CB145792"/>
    <w:lvl w:ilvl="0" w:tplc="9DD21544">
      <w:start w:val="1"/>
      <w:numFmt w:val="decimal"/>
      <w:pStyle w:val="ChartEX"/>
      <w:lvlText w:val="Chart E.%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13668973">
    <w:abstractNumId w:val="36"/>
  </w:num>
  <w:num w:numId="2" w16cid:durableId="255671717">
    <w:abstractNumId w:val="45"/>
  </w:num>
  <w:num w:numId="3" w16cid:durableId="944921910">
    <w:abstractNumId w:val="110"/>
  </w:num>
  <w:num w:numId="4" w16cid:durableId="398749236">
    <w:abstractNumId w:val="105"/>
  </w:num>
  <w:num w:numId="5" w16cid:durableId="138966501">
    <w:abstractNumId w:val="72"/>
  </w:num>
  <w:num w:numId="6" w16cid:durableId="656809923">
    <w:abstractNumId w:val="44"/>
  </w:num>
  <w:num w:numId="7" w16cid:durableId="569657645">
    <w:abstractNumId w:val="65"/>
  </w:num>
  <w:num w:numId="8" w16cid:durableId="245574238">
    <w:abstractNumId w:val="64"/>
  </w:num>
  <w:num w:numId="9" w16cid:durableId="188878145">
    <w:abstractNumId w:val="88"/>
  </w:num>
  <w:num w:numId="10" w16cid:durableId="391320423">
    <w:abstractNumId w:val="48"/>
  </w:num>
  <w:num w:numId="11" w16cid:durableId="742064803">
    <w:abstractNumId w:val="4"/>
  </w:num>
  <w:num w:numId="12" w16cid:durableId="1393775218">
    <w:abstractNumId w:val="70"/>
  </w:num>
  <w:num w:numId="13" w16cid:durableId="411241496">
    <w:abstractNumId w:val="108"/>
  </w:num>
  <w:num w:numId="14" w16cid:durableId="394359246">
    <w:abstractNumId w:val="37"/>
  </w:num>
  <w:num w:numId="15" w16cid:durableId="850683154">
    <w:abstractNumId w:val="109"/>
  </w:num>
  <w:num w:numId="16" w16cid:durableId="1868331908">
    <w:abstractNumId w:val="76"/>
  </w:num>
  <w:num w:numId="17" w16cid:durableId="1290091537">
    <w:abstractNumId w:val="125"/>
  </w:num>
  <w:num w:numId="18" w16cid:durableId="542593098">
    <w:abstractNumId w:val="79"/>
  </w:num>
  <w:num w:numId="19" w16cid:durableId="1553082212">
    <w:abstractNumId w:val="111"/>
  </w:num>
  <w:num w:numId="20" w16cid:durableId="1807233844">
    <w:abstractNumId w:val="2"/>
  </w:num>
  <w:num w:numId="21" w16cid:durableId="520625010">
    <w:abstractNumId w:val="73"/>
  </w:num>
  <w:num w:numId="22" w16cid:durableId="604308429">
    <w:abstractNumId w:val="60"/>
  </w:num>
  <w:num w:numId="23" w16cid:durableId="158927636">
    <w:abstractNumId w:val="104"/>
  </w:num>
  <w:num w:numId="24" w16cid:durableId="999962685">
    <w:abstractNumId w:val="80"/>
  </w:num>
  <w:num w:numId="25" w16cid:durableId="950090191">
    <w:abstractNumId w:val="101"/>
  </w:num>
  <w:num w:numId="26" w16cid:durableId="87895317">
    <w:abstractNumId w:val="58"/>
  </w:num>
  <w:num w:numId="27" w16cid:durableId="727800497">
    <w:abstractNumId w:val="61"/>
  </w:num>
  <w:num w:numId="28" w16cid:durableId="613026023">
    <w:abstractNumId w:val="115"/>
  </w:num>
  <w:num w:numId="29" w16cid:durableId="1229460431">
    <w:abstractNumId w:val="52"/>
  </w:num>
  <w:num w:numId="30" w16cid:durableId="1433208727">
    <w:abstractNumId w:val="71"/>
  </w:num>
  <w:num w:numId="31" w16cid:durableId="1765496755">
    <w:abstractNumId w:val="124"/>
  </w:num>
  <w:num w:numId="32" w16cid:durableId="1055085254">
    <w:abstractNumId w:val="93"/>
  </w:num>
  <w:num w:numId="33" w16cid:durableId="761806013">
    <w:abstractNumId w:val="85"/>
  </w:num>
  <w:num w:numId="34" w16cid:durableId="1453789243">
    <w:abstractNumId w:val="3"/>
  </w:num>
  <w:num w:numId="35" w16cid:durableId="1617979971">
    <w:abstractNumId w:val="57"/>
  </w:num>
  <w:num w:numId="36" w16cid:durableId="1270621810">
    <w:abstractNumId w:val="75"/>
  </w:num>
  <w:num w:numId="37" w16cid:durableId="783966971">
    <w:abstractNumId w:val="39"/>
  </w:num>
  <w:num w:numId="38" w16cid:durableId="2135782715">
    <w:abstractNumId w:val="30"/>
  </w:num>
  <w:num w:numId="39" w16cid:durableId="447046910">
    <w:abstractNumId w:val="14"/>
  </w:num>
  <w:num w:numId="40" w16cid:durableId="735393617">
    <w:abstractNumId w:val="84"/>
  </w:num>
  <w:num w:numId="41" w16cid:durableId="1570767065">
    <w:abstractNumId w:val="119"/>
  </w:num>
  <w:num w:numId="42" w16cid:durableId="899943030">
    <w:abstractNumId w:val="129"/>
  </w:num>
  <w:num w:numId="43" w16cid:durableId="1962877264">
    <w:abstractNumId w:val="86"/>
  </w:num>
  <w:num w:numId="44" w16cid:durableId="796332572">
    <w:abstractNumId w:val="90"/>
  </w:num>
  <w:num w:numId="45" w16cid:durableId="1708682187">
    <w:abstractNumId w:val="22"/>
  </w:num>
  <w:num w:numId="46" w16cid:durableId="220410582">
    <w:abstractNumId w:val="126"/>
  </w:num>
  <w:num w:numId="47" w16cid:durableId="62527521">
    <w:abstractNumId w:val="122"/>
  </w:num>
  <w:num w:numId="48" w16cid:durableId="1686518500">
    <w:abstractNumId w:val="94"/>
  </w:num>
  <w:num w:numId="49" w16cid:durableId="2107460047">
    <w:abstractNumId w:val="20"/>
  </w:num>
  <w:num w:numId="50" w16cid:durableId="1140463078">
    <w:abstractNumId w:val="43"/>
  </w:num>
  <w:num w:numId="51" w16cid:durableId="1289124565">
    <w:abstractNumId w:val="66"/>
  </w:num>
  <w:num w:numId="52" w16cid:durableId="402918949">
    <w:abstractNumId w:val="97"/>
  </w:num>
  <w:num w:numId="53" w16cid:durableId="1399593453">
    <w:abstractNumId w:val="15"/>
  </w:num>
  <w:num w:numId="54" w16cid:durableId="1239706779">
    <w:abstractNumId w:val="103"/>
  </w:num>
  <w:num w:numId="55" w16cid:durableId="1147436578">
    <w:abstractNumId w:val="123"/>
  </w:num>
  <w:num w:numId="56" w16cid:durableId="1048645305">
    <w:abstractNumId w:val="46"/>
  </w:num>
  <w:num w:numId="57" w16cid:durableId="1953248666">
    <w:abstractNumId w:val="41"/>
  </w:num>
  <w:num w:numId="58" w16cid:durableId="46493347">
    <w:abstractNumId w:val="33"/>
  </w:num>
  <w:num w:numId="59" w16cid:durableId="825900618">
    <w:abstractNumId w:val="117"/>
  </w:num>
  <w:num w:numId="60" w16cid:durableId="1707755831">
    <w:abstractNumId w:val="7"/>
  </w:num>
  <w:num w:numId="61" w16cid:durableId="85998868">
    <w:abstractNumId w:val="127"/>
  </w:num>
  <w:num w:numId="62" w16cid:durableId="1601452920">
    <w:abstractNumId w:val="106"/>
  </w:num>
  <w:num w:numId="63" w16cid:durableId="401414469">
    <w:abstractNumId w:val="69"/>
  </w:num>
  <w:num w:numId="64" w16cid:durableId="878476084">
    <w:abstractNumId w:val="95"/>
  </w:num>
  <w:num w:numId="65" w16cid:durableId="1251505890">
    <w:abstractNumId w:val="102"/>
  </w:num>
  <w:num w:numId="66" w16cid:durableId="103232878">
    <w:abstractNumId w:val="89"/>
  </w:num>
  <w:num w:numId="67" w16cid:durableId="2057580741">
    <w:abstractNumId w:val="9"/>
  </w:num>
  <w:num w:numId="68" w16cid:durableId="1207178984">
    <w:abstractNumId w:val="8"/>
  </w:num>
  <w:num w:numId="69" w16cid:durableId="1444154533">
    <w:abstractNumId w:val="82"/>
  </w:num>
  <w:num w:numId="70" w16cid:durableId="517892986">
    <w:abstractNumId w:val="51"/>
  </w:num>
  <w:num w:numId="71" w16cid:durableId="836968643">
    <w:abstractNumId w:val="25"/>
  </w:num>
  <w:num w:numId="72" w16cid:durableId="695280043">
    <w:abstractNumId w:val="17"/>
  </w:num>
  <w:num w:numId="73" w16cid:durableId="599413421">
    <w:abstractNumId w:val="27"/>
  </w:num>
  <w:num w:numId="74" w16cid:durableId="183373765">
    <w:abstractNumId w:val="77"/>
  </w:num>
  <w:num w:numId="75" w16cid:durableId="824593350">
    <w:abstractNumId w:val="120"/>
  </w:num>
  <w:num w:numId="76" w16cid:durableId="803278928">
    <w:abstractNumId w:val="49"/>
  </w:num>
  <w:num w:numId="77" w16cid:durableId="32929676">
    <w:abstractNumId w:val="16"/>
  </w:num>
  <w:num w:numId="78" w16cid:durableId="443156701">
    <w:abstractNumId w:val="42"/>
  </w:num>
  <w:num w:numId="79" w16cid:durableId="1209486655">
    <w:abstractNumId w:val="10"/>
  </w:num>
  <w:num w:numId="80" w16cid:durableId="929509220">
    <w:abstractNumId w:val="118"/>
  </w:num>
  <w:num w:numId="81" w16cid:durableId="1173184454">
    <w:abstractNumId w:val="34"/>
  </w:num>
  <w:num w:numId="82" w16cid:durableId="140195891">
    <w:abstractNumId w:val="54"/>
  </w:num>
  <w:num w:numId="83" w16cid:durableId="865796964">
    <w:abstractNumId w:val="6"/>
  </w:num>
  <w:num w:numId="84" w16cid:durableId="916743036">
    <w:abstractNumId w:val="12"/>
  </w:num>
  <w:num w:numId="85" w16cid:durableId="1447115474">
    <w:abstractNumId w:val="128"/>
  </w:num>
  <w:num w:numId="86" w16cid:durableId="1041975083">
    <w:abstractNumId w:val="26"/>
  </w:num>
  <w:num w:numId="87" w16cid:durableId="123891229">
    <w:abstractNumId w:val="113"/>
  </w:num>
  <w:num w:numId="88" w16cid:durableId="641009776">
    <w:abstractNumId w:val="96"/>
  </w:num>
  <w:num w:numId="89" w16cid:durableId="1940676276">
    <w:abstractNumId w:val="121"/>
  </w:num>
  <w:num w:numId="90" w16cid:durableId="2109690733">
    <w:abstractNumId w:val="62"/>
  </w:num>
  <w:num w:numId="91" w16cid:durableId="92363650">
    <w:abstractNumId w:val="74"/>
  </w:num>
  <w:num w:numId="92" w16cid:durableId="844783594">
    <w:abstractNumId w:val="100"/>
  </w:num>
  <w:num w:numId="93" w16cid:durableId="1503007527">
    <w:abstractNumId w:val="99"/>
  </w:num>
  <w:num w:numId="94" w16cid:durableId="398553242">
    <w:abstractNumId w:val="87"/>
  </w:num>
  <w:num w:numId="95" w16cid:durableId="1767656258">
    <w:abstractNumId w:val="112"/>
  </w:num>
  <w:num w:numId="96" w16cid:durableId="1619291924">
    <w:abstractNumId w:val="92"/>
  </w:num>
  <w:num w:numId="97" w16cid:durableId="1090199441">
    <w:abstractNumId w:val="53"/>
  </w:num>
  <w:num w:numId="98" w16cid:durableId="1975476091">
    <w:abstractNumId w:val="78"/>
  </w:num>
  <w:num w:numId="99" w16cid:durableId="2065911001">
    <w:abstractNumId w:val="114"/>
  </w:num>
  <w:num w:numId="100" w16cid:durableId="170918419">
    <w:abstractNumId w:val="28"/>
  </w:num>
  <w:num w:numId="101" w16cid:durableId="1762945992">
    <w:abstractNumId w:val="24"/>
  </w:num>
  <w:num w:numId="102" w16cid:durableId="593437908">
    <w:abstractNumId w:val="1"/>
  </w:num>
  <w:num w:numId="103" w16cid:durableId="946960921">
    <w:abstractNumId w:val="116"/>
  </w:num>
  <w:num w:numId="104" w16cid:durableId="1905095237">
    <w:abstractNumId w:val="21"/>
  </w:num>
  <w:num w:numId="105" w16cid:durableId="279726156">
    <w:abstractNumId w:val="68"/>
  </w:num>
  <w:num w:numId="106" w16cid:durableId="2107461658">
    <w:abstractNumId w:val="56"/>
  </w:num>
  <w:num w:numId="107" w16cid:durableId="1469083312">
    <w:abstractNumId w:val="50"/>
  </w:num>
  <w:num w:numId="108" w16cid:durableId="1996883379">
    <w:abstractNumId w:val="18"/>
  </w:num>
  <w:num w:numId="109" w16cid:durableId="391393220">
    <w:abstractNumId w:val="5"/>
  </w:num>
  <w:num w:numId="110" w16cid:durableId="1929383230">
    <w:abstractNumId w:val="107"/>
  </w:num>
  <w:num w:numId="111" w16cid:durableId="262884168">
    <w:abstractNumId w:val="83"/>
  </w:num>
  <w:num w:numId="112" w16cid:durableId="1012949963">
    <w:abstractNumId w:val="40"/>
  </w:num>
  <w:num w:numId="113" w16cid:durableId="386495890">
    <w:abstractNumId w:val="29"/>
  </w:num>
  <w:num w:numId="114" w16cid:durableId="523322511">
    <w:abstractNumId w:val="81"/>
  </w:num>
  <w:num w:numId="115" w16cid:durableId="486440700">
    <w:abstractNumId w:val="98"/>
  </w:num>
  <w:num w:numId="116" w16cid:durableId="262037730">
    <w:abstractNumId w:val="19"/>
  </w:num>
  <w:num w:numId="117" w16cid:durableId="1695230886">
    <w:abstractNumId w:val="47"/>
  </w:num>
  <w:num w:numId="118" w16cid:durableId="1743746573">
    <w:abstractNumId w:val="13"/>
  </w:num>
  <w:num w:numId="119" w16cid:durableId="1324164186">
    <w:abstractNumId w:val="67"/>
  </w:num>
  <w:num w:numId="120" w16cid:durableId="1337341506">
    <w:abstractNumId w:val="55"/>
  </w:num>
  <w:num w:numId="121" w16cid:durableId="1427262229">
    <w:abstractNumId w:val="23"/>
  </w:num>
  <w:num w:numId="122" w16cid:durableId="1675647563">
    <w:abstractNumId w:val="63"/>
  </w:num>
  <w:num w:numId="123" w16cid:durableId="161164131">
    <w:abstractNumId w:val="35"/>
  </w:num>
  <w:num w:numId="124" w16cid:durableId="2114128651">
    <w:abstractNumId w:val="0"/>
  </w:num>
  <w:num w:numId="125" w16cid:durableId="1444034002">
    <w:abstractNumId w:val="31"/>
  </w:num>
  <w:num w:numId="126" w16cid:durableId="1610356944">
    <w:abstractNumId w:val="38"/>
  </w:num>
  <w:num w:numId="127" w16cid:durableId="1106274478">
    <w:abstractNumId w:val="59"/>
  </w:num>
  <w:num w:numId="128" w16cid:durableId="1075589151">
    <w:abstractNumId w:val="32"/>
  </w:num>
  <w:num w:numId="129" w16cid:durableId="1518543904">
    <w:abstractNumId w:val="11"/>
  </w:num>
  <w:num w:numId="130" w16cid:durableId="303702821">
    <w:abstractNumId w:val="53"/>
  </w:num>
  <w:num w:numId="131" w16cid:durableId="1868714168">
    <w:abstractNumId w:val="53"/>
  </w:num>
  <w:num w:numId="132" w16cid:durableId="1852258004">
    <w:abstractNumId w:val="53"/>
  </w:num>
  <w:num w:numId="133" w16cid:durableId="1670599592">
    <w:abstractNumId w:val="91"/>
  </w:num>
  <w:num w:numId="134" w16cid:durableId="985551153">
    <w:abstractNumId w:val="104"/>
  </w:num>
  <w:num w:numId="135" w16cid:durableId="489752217">
    <w:abstractNumId w:val="104"/>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B52"/>
    <w:rsid w:val="0000000A"/>
    <w:rsid w:val="0000002E"/>
    <w:rsid w:val="000000BA"/>
    <w:rsid w:val="000001A4"/>
    <w:rsid w:val="00000432"/>
    <w:rsid w:val="00000720"/>
    <w:rsid w:val="000009EB"/>
    <w:rsid w:val="00001382"/>
    <w:rsid w:val="00001454"/>
    <w:rsid w:val="000017F4"/>
    <w:rsid w:val="00001918"/>
    <w:rsid w:val="00001D87"/>
    <w:rsid w:val="00002EB8"/>
    <w:rsid w:val="00002FDD"/>
    <w:rsid w:val="00003045"/>
    <w:rsid w:val="00003099"/>
    <w:rsid w:val="00004DAA"/>
    <w:rsid w:val="00004FF3"/>
    <w:rsid w:val="00005963"/>
    <w:rsid w:val="00005B93"/>
    <w:rsid w:val="00006225"/>
    <w:rsid w:val="000062D9"/>
    <w:rsid w:val="00006AAD"/>
    <w:rsid w:val="00006EE7"/>
    <w:rsid w:val="00006EFB"/>
    <w:rsid w:val="00007884"/>
    <w:rsid w:val="000079E1"/>
    <w:rsid w:val="00010595"/>
    <w:rsid w:val="00010923"/>
    <w:rsid w:val="00013151"/>
    <w:rsid w:val="00013905"/>
    <w:rsid w:val="00013BFF"/>
    <w:rsid w:val="00013CA2"/>
    <w:rsid w:val="00013EB8"/>
    <w:rsid w:val="0001455E"/>
    <w:rsid w:val="00014ED1"/>
    <w:rsid w:val="00015450"/>
    <w:rsid w:val="000154BF"/>
    <w:rsid w:val="0001554D"/>
    <w:rsid w:val="000155D0"/>
    <w:rsid w:val="0001575D"/>
    <w:rsid w:val="00016175"/>
    <w:rsid w:val="00017A3B"/>
    <w:rsid w:val="0002031C"/>
    <w:rsid w:val="00020A56"/>
    <w:rsid w:val="00020ACE"/>
    <w:rsid w:val="00020DE7"/>
    <w:rsid w:val="000217CC"/>
    <w:rsid w:val="000239DC"/>
    <w:rsid w:val="00023EC7"/>
    <w:rsid w:val="000242C7"/>
    <w:rsid w:val="000256A6"/>
    <w:rsid w:val="00026F56"/>
    <w:rsid w:val="00027F54"/>
    <w:rsid w:val="00030115"/>
    <w:rsid w:val="000309FF"/>
    <w:rsid w:val="00032DF2"/>
    <w:rsid w:val="000330B0"/>
    <w:rsid w:val="000333EE"/>
    <w:rsid w:val="0003409E"/>
    <w:rsid w:val="00034490"/>
    <w:rsid w:val="00034A38"/>
    <w:rsid w:val="00034FA1"/>
    <w:rsid w:val="0003567A"/>
    <w:rsid w:val="0003597D"/>
    <w:rsid w:val="00035A07"/>
    <w:rsid w:val="00035F6C"/>
    <w:rsid w:val="00036D2F"/>
    <w:rsid w:val="000372DF"/>
    <w:rsid w:val="00037C06"/>
    <w:rsid w:val="000416F3"/>
    <w:rsid w:val="0004186D"/>
    <w:rsid w:val="00042A4C"/>
    <w:rsid w:val="00042CC2"/>
    <w:rsid w:val="00042DAD"/>
    <w:rsid w:val="000434FB"/>
    <w:rsid w:val="00043C17"/>
    <w:rsid w:val="00043F98"/>
    <w:rsid w:val="000449A3"/>
    <w:rsid w:val="00044AF2"/>
    <w:rsid w:val="00044F2C"/>
    <w:rsid w:val="00045113"/>
    <w:rsid w:val="000453FF"/>
    <w:rsid w:val="00045484"/>
    <w:rsid w:val="00045686"/>
    <w:rsid w:val="00045F5A"/>
    <w:rsid w:val="00046398"/>
    <w:rsid w:val="00046904"/>
    <w:rsid w:val="00046A3B"/>
    <w:rsid w:val="00046D61"/>
    <w:rsid w:val="000471B7"/>
    <w:rsid w:val="000501D5"/>
    <w:rsid w:val="000506EB"/>
    <w:rsid w:val="000508AC"/>
    <w:rsid w:val="00050C5A"/>
    <w:rsid w:val="0005185E"/>
    <w:rsid w:val="00051A53"/>
    <w:rsid w:val="00051B26"/>
    <w:rsid w:val="000523D2"/>
    <w:rsid w:val="00052F8A"/>
    <w:rsid w:val="000541EE"/>
    <w:rsid w:val="00054FF1"/>
    <w:rsid w:val="00055144"/>
    <w:rsid w:val="000556D2"/>
    <w:rsid w:val="0005572C"/>
    <w:rsid w:val="000566C7"/>
    <w:rsid w:val="0006246B"/>
    <w:rsid w:val="00062526"/>
    <w:rsid w:val="000628C9"/>
    <w:rsid w:val="00062D6C"/>
    <w:rsid w:val="00063203"/>
    <w:rsid w:val="00064DE1"/>
    <w:rsid w:val="00065C49"/>
    <w:rsid w:val="000666DD"/>
    <w:rsid w:val="000671CE"/>
    <w:rsid w:val="00067EFC"/>
    <w:rsid w:val="00067FA6"/>
    <w:rsid w:val="00070139"/>
    <w:rsid w:val="0007032F"/>
    <w:rsid w:val="000707E8"/>
    <w:rsid w:val="00070C58"/>
    <w:rsid w:val="00070F16"/>
    <w:rsid w:val="000716E6"/>
    <w:rsid w:val="00071B34"/>
    <w:rsid w:val="00072C35"/>
    <w:rsid w:val="00073247"/>
    <w:rsid w:val="00073581"/>
    <w:rsid w:val="0007374A"/>
    <w:rsid w:val="000743BF"/>
    <w:rsid w:val="000746AA"/>
    <w:rsid w:val="0007492F"/>
    <w:rsid w:val="00074DAA"/>
    <w:rsid w:val="000756C8"/>
    <w:rsid w:val="00075849"/>
    <w:rsid w:val="0007598B"/>
    <w:rsid w:val="00075AF9"/>
    <w:rsid w:val="00076003"/>
    <w:rsid w:val="0007680B"/>
    <w:rsid w:val="00077996"/>
    <w:rsid w:val="000801D3"/>
    <w:rsid w:val="000805DC"/>
    <w:rsid w:val="000815B6"/>
    <w:rsid w:val="00084126"/>
    <w:rsid w:val="000853F0"/>
    <w:rsid w:val="000857CA"/>
    <w:rsid w:val="00085EBF"/>
    <w:rsid w:val="00085F6B"/>
    <w:rsid w:val="00085FC1"/>
    <w:rsid w:val="000861D3"/>
    <w:rsid w:val="000862E7"/>
    <w:rsid w:val="000868CD"/>
    <w:rsid w:val="00086D0E"/>
    <w:rsid w:val="00086FB0"/>
    <w:rsid w:val="000873BA"/>
    <w:rsid w:val="000876CC"/>
    <w:rsid w:val="000878E7"/>
    <w:rsid w:val="000879ED"/>
    <w:rsid w:val="00090BED"/>
    <w:rsid w:val="000914E3"/>
    <w:rsid w:val="00092F25"/>
    <w:rsid w:val="00093720"/>
    <w:rsid w:val="00094247"/>
    <w:rsid w:val="00095179"/>
    <w:rsid w:val="00095302"/>
    <w:rsid w:val="00096066"/>
    <w:rsid w:val="00096E05"/>
    <w:rsid w:val="00097D26"/>
    <w:rsid w:val="000A015F"/>
    <w:rsid w:val="000A0C41"/>
    <w:rsid w:val="000A2014"/>
    <w:rsid w:val="000A2C4F"/>
    <w:rsid w:val="000A2CFB"/>
    <w:rsid w:val="000A30B4"/>
    <w:rsid w:val="000A42FB"/>
    <w:rsid w:val="000A51A0"/>
    <w:rsid w:val="000A701A"/>
    <w:rsid w:val="000A782B"/>
    <w:rsid w:val="000A7AD0"/>
    <w:rsid w:val="000B0C9B"/>
    <w:rsid w:val="000B0D51"/>
    <w:rsid w:val="000B1917"/>
    <w:rsid w:val="000B1DAC"/>
    <w:rsid w:val="000B3655"/>
    <w:rsid w:val="000B39A6"/>
    <w:rsid w:val="000B3E9C"/>
    <w:rsid w:val="000B3EB5"/>
    <w:rsid w:val="000B471D"/>
    <w:rsid w:val="000B4BC2"/>
    <w:rsid w:val="000B544C"/>
    <w:rsid w:val="000B61C8"/>
    <w:rsid w:val="000B6949"/>
    <w:rsid w:val="000B6A63"/>
    <w:rsid w:val="000B753B"/>
    <w:rsid w:val="000B7673"/>
    <w:rsid w:val="000B7896"/>
    <w:rsid w:val="000C012C"/>
    <w:rsid w:val="000C02B8"/>
    <w:rsid w:val="000C0416"/>
    <w:rsid w:val="000C2285"/>
    <w:rsid w:val="000C2ABF"/>
    <w:rsid w:val="000C2E0E"/>
    <w:rsid w:val="000C2E6A"/>
    <w:rsid w:val="000C3731"/>
    <w:rsid w:val="000C3E24"/>
    <w:rsid w:val="000C3F7B"/>
    <w:rsid w:val="000C4210"/>
    <w:rsid w:val="000C441F"/>
    <w:rsid w:val="000C4BAD"/>
    <w:rsid w:val="000C6438"/>
    <w:rsid w:val="000C7387"/>
    <w:rsid w:val="000C7927"/>
    <w:rsid w:val="000C7952"/>
    <w:rsid w:val="000C7B76"/>
    <w:rsid w:val="000C7FEC"/>
    <w:rsid w:val="000D0463"/>
    <w:rsid w:val="000D0ECC"/>
    <w:rsid w:val="000D16F8"/>
    <w:rsid w:val="000D1756"/>
    <w:rsid w:val="000D1A91"/>
    <w:rsid w:val="000D2987"/>
    <w:rsid w:val="000D3A37"/>
    <w:rsid w:val="000D3A9E"/>
    <w:rsid w:val="000D4DA2"/>
    <w:rsid w:val="000D506A"/>
    <w:rsid w:val="000D6881"/>
    <w:rsid w:val="000D6935"/>
    <w:rsid w:val="000D7900"/>
    <w:rsid w:val="000D7E14"/>
    <w:rsid w:val="000E052F"/>
    <w:rsid w:val="000E0BEF"/>
    <w:rsid w:val="000E2B09"/>
    <w:rsid w:val="000E2B33"/>
    <w:rsid w:val="000E3608"/>
    <w:rsid w:val="000E3624"/>
    <w:rsid w:val="000E3B4E"/>
    <w:rsid w:val="000E445F"/>
    <w:rsid w:val="000E4636"/>
    <w:rsid w:val="000E4965"/>
    <w:rsid w:val="000E4BDE"/>
    <w:rsid w:val="000E4C63"/>
    <w:rsid w:val="000E5484"/>
    <w:rsid w:val="000E5C34"/>
    <w:rsid w:val="000E62FE"/>
    <w:rsid w:val="000E65F9"/>
    <w:rsid w:val="000E6765"/>
    <w:rsid w:val="000E6D8A"/>
    <w:rsid w:val="000E7E7F"/>
    <w:rsid w:val="000F0052"/>
    <w:rsid w:val="000F0D89"/>
    <w:rsid w:val="000F1236"/>
    <w:rsid w:val="000F12BD"/>
    <w:rsid w:val="000F1459"/>
    <w:rsid w:val="000F181D"/>
    <w:rsid w:val="000F1D15"/>
    <w:rsid w:val="000F1D8B"/>
    <w:rsid w:val="000F2F12"/>
    <w:rsid w:val="000F348A"/>
    <w:rsid w:val="000F3652"/>
    <w:rsid w:val="000F3BCF"/>
    <w:rsid w:val="000F41ED"/>
    <w:rsid w:val="000F427C"/>
    <w:rsid w:val="000F4CCA"/>
    <w:rsid w:val="000F4D87"/>
    <w:rsid w:val="000F54BB"/>
    <w:rsid w:val="000F650B"/>
    <w:rsid w:val="000F652A"/>
    <w:rsid w:val="000F6600"/>
    <w:rsid w:val="000F6B33"/>
    <w:rsid w:val="000F71EF"/>
    <w:rsid w:val="000F7E49"/>
    <w:rsid w:val="0010068F"/>
    <w:rsid w:val="00100DCC"/>
    <w:rsid w:val="00103187"/>
    <w:rsid w:val="001046B2"/>
    <w:rsid w:val="001051CD"/>
    <w:rsid w:val="00105AE7"/>
    <w:rsid w:val="00105E1E"/>
    <w:rsid w:val="00106B03"/>
    <w:rsid w:val="001072DE"/>
    <w:rsid w:val="00107CAF"/>
    <w:rsid w:val="00110576"/>
    <w:rsid w:val="00110F0E"/>
    <w:rsid w:val="00111477"/>
    <w:rsid w:val="00111779"/>
    <w:rsid w:val="00111DFB"/>
    <w:rsid w:val="00112027"/>
    <w:rsid w:val="0011207E"/>
    <w:rsid w:val="001126C1"/>
    <w:rsid w:val="00112892"/>
    <w:rsid w:val="0011302C"/>
    <w:rsid w:val="001138C6"/>
    <w:rsid w:val="00115993"/>
    <w:rsid w:val="00115FE7"/>
    <w:rsid w:val="001166F9"/>
    <w:rsid w:val="001168DF"/>
    <w:rsid w:val="0011739B"/>
    <w:rsid w:val="00117510"/>
    <w:rsid w:val="001179FB"/>
    <w:rsid w:val="00117C75"/>
    <w:rsid w:val="001208DF"/>
    <w:rsid w:val="00121781"/>
    <w:rsid w:val="00121A17"/>
    <w:rsid w:val="001221B7"/>
    <w:rsid w:val="001234B9"/>
    <w:rsid w:val="001242A1"/>
    <w:rsid w:val="001258A3"/>
    <w:rsid w:val="001261A3"/>
    <w:rsid w:val="00126940"/>
    <w:rsid w:val="00126BF5"/>
    <w:rsid w:val="00127053"/>
    <w:rsid w:val="00127A19"/>
    <w:rsid w:val="001304CA"/>
    <w:rsid w:val="0013152A"/>
    <w:rsid w:val="001315A8"/>
    <w:rsid w:val="00131B4B"/>
    <w:rsid w:val="001325C3"/>
    <w:rsid w:val="00132EB2"/>
    <w:rsid w:val="001330F1"/>
    <w:rsid w:val="00134A1E"/>
    <w:rsid w:val="00135150"/>
    <w:rsid w:val="00135389"/>
    <w:rsid w:val="00135645"/>
    <w:rsid w:val="00136620"/>
    <w:rsid w:val="00136783"/>
    <w:rsid w:val="00136910"/>
    <w:rsid w:val="00136AF1"/>
    <w:rsid w:val="001377EB"/>
    <w:rsid w:val="00137F37"/>
    <w:rsid w:val="00140E5E"/>
    <w:rsid w:val="00141434"/>
    <w:rsid w:val="00141713"/>
    <w:rsid w:val="00141A20"/>
    <w:rsid w:val="00141EDA"/>
    <w:rsid w:val="001420CD"/>
    <w:rsid w:val="00142D19"/>
    <w:rsid w:val="00143589"/>
    <w:rsid w:val="00143860"/>
    <w:rsid w:val="00143D98"/>
    <w:rsid w:val="001443D9"/>
    <w:rsid w:val="00145BC5"/>
    <w:rsid w:val="00146076"/>
    <w:rsid w:val="00146230"/>
    <w:rsid w:val="0014701F"/>
    <w:rsid w:val="001472E4"/>
    <w:rsid w:val="00147C10"/>
    <w:rsid w:val="00147E4B"/>
    <w:rsid w:val="0015013F"/>
    <w:rsid w:val="001505D9"/>
    <w:rsid w:val="00151603"/>
    <w:rsid w:val="00151F1D"/>
    <w:rsid w:val="00152133"/>
    <w:rsid w:val="00153E17"/>
    <w:rsid w:val="00154A09"/>
    <w:rsid w:val="00154B17"/>
    <w:rsid w:val="00154D91"/>
    <w:rsid w:val="00154E24"/>
    <w:rsid w:val="0015577E"/>
    <w:rsid w:val="00155D2E"/>
    <w:rsid w:val="00155DF2"/>
    <w:rsid w:val="001566DE"/>
    <w:rsid w:val="00156A3E"/>
    <w:rsid w:val="00157265"/>
    <w:rsid w:val="00157EBC"/>
    <w:rsid w:val="00160632"/>
    <w:rsid w:val="00161174"/>
    <w:rsid w:val="00161936"/>
    <w:rsid w:val="0016202D"/>
    <w:rsid w:val="0016207E"/>
    <w:rsid w:val="0016248C"/>
    <w:rsid w:val="001624D4"/>
    <w:rsid w:val="001631EC"/>
    <w:rsid w:val="00163429"/>
    <w:rsid w:val="00163B4E"/>
    <w:rsid w:val="00163BDE"/>
    <w:rsid w:val="00163C89"/>
    <w:rsid w:val="00163FC9"/>
    <w:rsid w:val="0016467E"/>
    <w:rsid w:val="00165E4A"/>
    <w:rsid w:val="00166308"/>
    <w:rsid w:val="0016657C"/>
    <w:rsid w:val="001673DB"/>
    <w:rsid w:val="00167744"/>
    <w:rsid w:val="00167D08"/>
    <w:rsid w:val="00170569"/>
    <w:rsid w:val="001707CD"/>
    <w:rsid w:val="00170B46"/>
    <w:rsid w:val="00170BA3"/>
    <w:rsid w:val="00170E61"/>
    <w:rsid w:val="001722F5"/>
    <w:rsid w:val="00172365"/>
    <w:rsid w:val="001725F5"/>
    <w:rsid w:val="001728B9"/>
    <w:rsid w:val="00172A07"/>
    <w:rsid w:val="00173136"/>
    <w:rsid w:val="00173234"/>
    <w:rsid w:val="0017365B"/>
    <w:rsid w:val="00173CD9"/>
    <w:rsid w:val="00173ED3"/>
    <w:rsid w:val="00174135"/>
    <w:rsid w:val="00175675"/>
    <w:rsid w:val="0017618F"/>
    <w:rsid w:val="0017632A"/>
    <w:rsid w:val="001771F7"/>
    <w:rsid w:val="00177458"/>
    <w:rsid w:val="001775E9"/>
    <w:rsid w:val="00180690"/>
    <w:rsid w:val="00180885"/>
    <w:rsid w:val="001814CE"/>
    <w:rsid w:val="00181587"/>
    <w:rsid w:val="001821AB"/>
    <w:rsid w:val="00182CE8"/>
    <w:rsid w:val="00182DB9"/>
    <w:rsid w:val="001835F7"/>
    <w:rsid w:val="0018493E"/>
    <w:rsid w:val="00185040"/>
    <w:rsid w:val="00185901"/>
    <w:rsid w:val="001860EA"/>
    <w:rsid w:val="00186406"/>
    <w:rsid w:val="00186855"/>
    <w:rsid w:val="00186BD3"/>
    <w:rsid w:val="00186E0A"/>
    <w:rsid w:val="00187149"/>
    <w:rsid w:val="001872B0"/>
    <w:rsid w:val="00187456"/>
    <w:rsid w:val="001908B6"/>
    <w:rsid w:val="00190B91"/>
    <w:rsid w:val="00190CF5"/>
    <w:rsid w:val="00190D23"/>
    <w:rsid w:val="00190FF1"/>
    <w:rsid w:val="001916F5"/>
    <w:rsid w:val="00191805"/>
    <w:rsid w:val="00191D52"/>
    <w:rsid w:val="00191DC0"/>
    <w:rsid w:val="00192135"/>
    <w:rsid w:val="00192BEB"/>
    <w:rsid w:val="00193750"/>
    <w:rsid w:val="00193CF8"/>
    <w:rsid w:val="00194D58"/>
    <w:rsid w:val="00195AC9"/>
    <w:rsid w:val="00195B3B"/>
    <w:rsid w:val="00196B5E"/>
    <w:rsid w:val="00196E4B"/>
    <w:rsid w:val="00196E7B"/>
    <w:rsid w:val="00197042"/>
    <w:rsid w:val="0019713E"/>
    <w:rsid w:val="001974D6"/>
    <w:rsid w:val="00197D9C"/>
    <w:rsid w:val="001A05BE"/>
    <w:rsid w:val="001A082F"/>
    <w:rsid w:val="001A09FC"/>
    <w:rsid w:val="001A0A1E"/>
    <w:rsid w:val="001A0A5F"/>
    <w:rsid w:val="001A0A74"/>
    <w:rsid w:val="001A0A8B"/>
    <w:rsid w:val="001A10AB"/>
    <w:rsid w:val="001A163F"/>
    <w:rsid w:val="001A1713"/>
    <w:rsid w:val="001A1A38"/>
    <w:rsid w:val="001A2B8B"/>
    <w:rsid w:val="001A2E2A"/>
    <w:rsid w:val="001A3135"/>
    <w:rsid w:val="001A332D"/>
    <w:rsid w:val="001A3803"/>
    <w:rsid w:val="001A3E2A"/>
    <w:rsid w:val="001A48AF"/>
    <w:rsid w:val="001A4A65"/>
    <w:rsid w:val="001A5691"/>
    <w:rsid w:val="001A593B"/>
    <w:rsid w:val="001A59AE"/>
    <w:rsid w:val="001A5EA0"/>
    <w:rsid w:val="001A6323"/>
    <w:rsid w:val="001A6F1B"/>
    <w:rsid w:val="001A715C"/>
    <w:rsid w:val="001A72BB"/>
    <w:rsid w:val="001A7358"/>
    <w:rsid w:val="001B0118"/>
    <w:rsid w:val="001B0553"/>
    <w:rsid w:val="001B0D20"/>
    <w:rsid w:val="001B1763"/>
    <w:rsid w:val="001B3147"/>
    <w:rsid w:val="001B3290"/>
    <w:rsid w:val="001B3635"/>
    <w:rsid w:val="001B379B"/>
    <w:rsid w:val="001B3D38"/>
    <w:rsid w:val="001B3E13"/>
    <w:rsid w:val="001B49B6"/>
    <w:rsid w:val="001B4EC0"/>
    <w:rsid w:val="001B55FF"/>
    <w:rsid w:val="001B6ADD"/>
    <w:rsid w:val="001C0839"/>
    <w:rsid w:val="001C1893"/>
    <w:rsid w:val="001C19A8"/>
    <w:rsid w:val="001C22FB"/>
    <w:rsid w:val="001C2792"/>
    <w:rsid w:val="001C432E"/>
    <w:rsid w:val="001C55CF"/>
    <w:rsid w:val="001C57A8"/>
    <w:rsid w:val="001C5828"/>
    <w:rsid w:val="001C5A1F"/>
    <w:rsid w:val="001C6181"/>
    <w:rsid w:val="001C6298"/>
    <w:rsid w:val="001C6512"/>
    <w:rsid w:val="001C6C40"/>
    <w:rsid w:val="001C6DAA"/>
    <w:rsid w:val="001C6F0C"/>
    <w:rsid w:val="001C79C7"/>
    <w:rsid w:val="001D03A1"/>
    <w:rsid w:val="001D1271"/>
    <w:rsid w:val="001D1DF7"/>
    <w:rsid w:val="001D1FC1"/>
    <w:rsid w:val="001D2571"/>
    <w:rsid w:val="001D2BBB"/>
    <w:rsid w:val="001D3374"/>
    <w:rsid w:val="001D46EC"/>
    <w:rsid w:val="001D47E5"/>
    <w:rsid w:val="001D49F7"/>
    <w:rsid w:val="001D5C75"/>
    <w:rsid w:val="001D781D"/>
    <w:rsid w:val="001D7B5A"/>
    <w:rsid w:val="001D7BB9"/>
    <w:rsid w:val="001D7BDD"/>
    <w:rsid w:val="001E02A6"/>
    <w:rsid w:val="001E0C08"/>
    <w:rsid w:val="001E0DCA"/>
    <w:rsid w:val="001E10B9"/>
    <w:rsid w:val="001E19A8"/>
    <w:rsid w:val="001E22D0"/>
    <w:rsid w:val="001E236A"/>
    <w:rsid w:val="001E2C99"/>
    <w:rsid w:val="001E35BA"/>
    <w:rsid w:val="001E3B75"/>
    <w:rsid w:val="001E4495"/>
    <w:rsid w:val="001E489E"/>
    <w:rsid w:val="001E5844"/>
    <w:rsid w:val="001E60CF"/>
    <w:rsid w:val="001E61E3"/>
    <w:rsid w:val="001E6CE0"/>
    <w:rsid w:val="001E7465"/>
    <w:rsid w:val="001E74D6"/>
    <w:rsid w:val="001E768D"/>
    <w:rsid w:val="001E7DE6"/>
    <w:rsid w:val="001F0386"/>
    <w:rsid w:val="001F03A7"/>
    <w:rsid w:val="001F0643"/>
    <w:rsid w:val="001F2045"/>
    <w:rsid w:val="001F20BF"/>
    <w:rsid w:val="001F2676"/>
    <w:rsid w:val="001F2E12"/>
    <w:rsid w:val="001F325F"/>
    <w:rsid w:val="001F332C"/>
    <w:rsid w:val="001F385D"/>
    <w:rsid w:val="001F4061"/>
    <w:rsid w:val="001F52D2"/>
    <w:rsid w:val="001F5FB7"/>
    <w:rsid w:val="001F625A"/>
    <w:rsid w:val="001F6682"/>
    <w:rsid w:val="001F75C5"/>
    <w:rsid w:val="001F77C2"/>
    <w:rsid w:val="00200480"/>
    <w:rsid w:val="002006E0"/>
    <w:rsid w:val="002008ED"/>
    <w:rsid w:val="00202119"/>
    <w:rsid w:val="00202A1B"/>
    <w:rsid w:val="00202D81"/>
    <w:rsid w:val="0020326D"/>
    <w:rsid w:val="00203954"/>
    <w:rsid w:val="0020419C"/>
    <w:rsid w:val="002041EB"/>
    <w:rsid w:val="002042BB"/>
    <w:rsid w:val="00204652"/>
    <w:rsid w:val="002059DF"/>
    <w:rsid w:val="00206734"/>
    <w:rsid w:val="00207B8B"/>
    <w:rsid w:val="00207BD0"/>
    <w:rsid w:val="0021064A"/>
    <w:rsid w:val="002110DB"/>
    <w:rsid w:val="00211939"/>
    <w:rsid w:val="00211BE9"/>
    <w:rsid w:val="00211E0E"/>
    <w:rsid w:val="00211E36"/>
    <w:rsid w:val="00211F11"/>
    <w:rsid w:val="002128AA"/>
    <w:rsid w:val="002135A2"/>
    <w:rsid w:val="002144B3"/>
    <w:rsid w:val="002146C3"/>
    <w:rsid w:val="0021472C"/>
    <w:rsid w:val="00214921"/>
    <w:rsid w:val="00214B2A"/>
    <w:rsid w:val="00214B53"/>
    <w:rsid w:val="00214E0B"/>
    <w:rsid w:val="00214F78"/>
    <w:rsid w:val="00215179"/>
    <w:rsid w:val="002161D4"/>
    <w:rsid w:val="002165A9"/>
    <w:rsid w:val="00216F0A"/>
    <w:rsid w:val="002170B2"/>
    <w:rsid w:val="00217A7B"/>
    <w:rsid w:val="00217AA2"/>
    <w:rsid w:val="00217E91"/>
    <w:rsid w:val="00220229"/>
    <w:rsid w:val="00220863"/>
    <w:rsid w:val="00221214"/>
    <w:rsid w:val="00221B85"/>
    <w:rsid w:val="00221C77"/>
    <w:rsid w:val="0022219F"/>
    <w:rsid w:val="002223A0"/>
    <w:rsid w:val="00222448"/>
    <w:rsid w:val="00222A13"/>
    <w:rsid w:val="00223047"/>
    <w:rsid w:val="0022308F"/>
    <w:rsid w:val="0022337A"/>
    <w:rsid w:val="00223828"/>
    <w:rsid w:val="002242C8"/>
    <w:rsid w:val="00224E5E"/>
    <w:rsid w:val="00225A0D"/>
    <w:rsid w:val="00227345"/>
    <w:rsid w:val="0023083E"/>
    <w:rsid w:val="00230F1C"/>
    <w:rsid w:val="00231878"/>
    <w:rsid w:val="00232E5E"/>
    <w:rsid w:val="00232F77"/>
    <w:rsid w:val="00232FD5"/>
    <w:rsid w:val="00233BD9"/>
    <w:rsid w:val="002348E2"/>
    <w:rsid w:val="00234B31"/>
    <w:rsid w:val="00234BB2"/>
    <w:rsid w:val="002350C1"/>
    <w:rsid w:val="00235795"/>
    <w:rsid w:val="00235AC7"/>
    <w:rsid w:val="0023600D"/>
    <w:rsid w:val="00236038"/>
    <w:rsid w:val="002365D6"/>
    <w:rsid w:val="0023663D"/>
    <w:rsid w:val="0023687F"/>
    <w:rsid w:val="00236D5F"/>
    <w:rsid w:val="00236E7F"/>
    <w:rsid w:val="00237935"/>
    <w:rsid w:val="00237C2F"/>
    <w:rsid w:val="002402B5"/>
    <w:rsid w:val="002404BE"/>
    <w:rsid w:val="00240E68"/>
    <w:rsid w:val="002412DB"/>
    <w:rsid w:val="002413AE"/>
    <w:rsid w:val="00241747"/>
    <w:rsid w:val="00241892"/>
    <w:rsid w:val="002424FF"/>
    <w:rsid w:val="0024260B"/>
    <w:rsid w:val="00242AF9"/>
    <w:rsid w:val="002430EB"/>
    <w:rsid w:val="00243618"/>
    <w:rsid w:val="00243FC0"/>
    <w:rsid w:val="0024550D"/>
    <w:rsid w:val="00246310"/>
    <w:rsid w:val="00246323"/>
    <w:rsid w:val="00247000"/>
    <w:rsid w:val="002476C3"/>
    <w:rsid w:val="002505BF"/>
    <w:rsid w:val="0025076D"/>
    <w:rsid w:val="00251376"/>
    <w:rsid w:val="00251E64"/>
    <w:rsid w:val="002520BA"/>
    <w:rsid w:val="002529AD"/>
    <w:rsid w:val="00252FE6"/>
    <w:rsid w:val="002530C2"/>
    <w:rsid w:val="0025392D"/>
    <w:rsid w:val="00253A93"/>
    <w:rsid w:val="00254976"/>
    <w:rsid w:val="00256B70"/>
    <w:rsid w:val="0025730F"/>
    <w:rsid w:val="00257953"/>
    <w:rsid w:val="00257A08"/>
    <w:rsid w:val="00257B74"/>
    <w:rsid w:val="00257EC8"/>
    <w:rsid w:val="002602E8"/>
    <w:rsid w:val="0026076F"/>
    <w:rsid w:val="00260CF7"/>
    <w:rsid w:val="002615E4"/>
    <w:rsid w:val="00261D2E"/>
    <w:rsid w:val="0026223B"/>
    <w:rsid w:val="00262768"/>
    <w:rsid w:val="00262998"/>
    <w:rsid w:val="00262A74"/>
    <w:rsid w:val="002630EA"/>
    <w:rsid w:val="0026348C"/>
    <w:rsid w:val="00263DB3"/>
    <w:rsid w:val="00263F9F"/>
    <w:rsid w:val="002641D3"/>
    <w:rsid w:val="00264C11"/>
    <w:rsid w:val="00265216"/>
    <w:rsid w:val="002654E2"/>
    <w:rsid w:val="002666CB"/>
    <w:rsid w:val="002672D3"/>
    <w:rsid w:val="00267C04"/>
    <w:rsid w:val="00270190"/>
    <w:rsid w:val="00271729"/>
    <w:rsid w:val="00271798"/>
    <w:rsid w:val="00272D14"/>
    <w:rsid w:val="00272D75"/>
    <w:rsid w:val="00272DC0"/>
    <w:rsid w:val="00273833"/>
    <w:rsid w:val="00273974"/>
    <w:rsid w:val="00274C40"/>
    <w:rsid w:val="00274D08"/>
    <w:rsid w:val="002759EF"/>
    <w:rsid w:val="00275A56"/>
    <w:rsid w:val="00275BB8"/>
    <w:rsid w:val="00275CCC"/>
    <w:rsid w:val="00275F6A"/>
    <w:rsid w:val="00276096"/>
    <w:rsid w:val="002762FB"/>
    <w:rsid w:val="00276599"/>
    <w:rsid w:val="00276BA8"/>
    <w:rsid w:val="00277042"/>
    <w:rsid w:val="0027721B"/>
    <w:rsid w:val="0027753F"/>
    <w:rsid w:val="00277C22"/>
    <w:rsid w:val="00280163"/>
    <w:rsid w:val="002805F9"/>
    <w:rsid w:val="002810CF"/>
    <w:rsid w:val="00281456"/>
    <w:rsid w:val="002817A9"/>
    <w:rsid w:val="00281A56"/>
    <w:rsid w:val="00281D9F"/>
    <w:rsid w:val="00281DC4"/>
    <w:rsid w:val="00282613"/>
    <w:rsid w:val="00282718"/>
    <w:rsid w:val="00282B6E"/>
    <w:rsid w:val="00283033"/>
    <w:rsid w:val="00283612"/>
    <w:rsid w:val="002837CE"/>
    <w:rsid w:val="00285193"/>
    <w:rsid w:val="002855B7"/>
    <w:rsid w:val="002855DB"/>
    <w:rsid w:val="002855FB"/>
    <w:rsid w:val="00285ACC"/>
    <w:rsid w:val="00286273"/>
    <w:rsid w:val="00286704"/>
    <w:rsid w:val="00287DC5"/>
    <w:rsid w:val="00290209"/>
    <w:rsid w:val="0029066E"/>
    <w:rsid w:val="00291232"/>
    <w:rsid w:val="00291FAF"/>
    <w:rsid w:val="00292F68"/>
    <w:rsid w:val="0029515E"/>
    <w:rsid w:val="0029530A"/>
    <w:rsid w:val="002A107C"/>
    <w:rsid w:val="002A16CA"/>
    <w:rsid w:val="002A227F"/>
    <w:rsid w:val="002A23B2"/>
    <w:rsid w:val="002A23FB"/>
    <w:rsid w:val="002A244C"/>
    <w:rsid w:val="002A268A"/>
    <w:rsid w:val="002A2DC8"/>
    <w:rsid w:val="002A4626"/>
    <w:rsid w:val="002A50D3"/>
    <w:rsid w:val="002A5128"/>
    <w:rsid w:val="002A61B6"/>
    <w:rsid w:val="002A64F2"/>
    <w:rsid w:val="002A6845"/>
    <w:rsid w:val="002A693A"/>
    <w:rsid w:val="002A6F8C"/>
    <w:rsid w:val="002A7215"/>
    <w:rsid w:val="002A7549"/>
    <w:rsid w:val="002A79DF"/>
    <w:rsid w:val="002A7C9D"/>
    <w:rsid w:val="002B064F"/>
    <w:rsid w:val="002B2040"/>
    <w:rsid w:val="002B2EF7"/>
    <w:rsid w:val="002B30FD"/>
    <w:rsid w:val="002B314F"/>
    <w:rsid w:val="002B470B"/>
    <w:rsid w:val="002B4FBA"/>
    <w:rsid w:val="002B5E7F"/>
    <w:rsid w:val="002B60CB"/>
    <w:rsid w:val="002B7361"/>
    <w:rsid w:val="002B7574"/>
    <w:rsid w:val="002B7A8D"/>
    <w:rsid w:val="002B7E1C"/>
    <w:rsid w:val="002C0E29"/>
    <w:rsid w:val="002C119D"/>
    <w:rsid w:val="002C165F"/>
    <w:rsid w:val="002C2084"/>
    <w:rsid w:val="002C2AC6"/>
    <w:rsid w:val="002C368A"/>
    <w:rsid w:val="002C376E"/>
    <w:rsid w:val="002C3EEA"/>
    <w:rsid w:val="002C40C9"/>
    <w:rsid w:val="002C4CE8"/>
    <w:rsid w:val="002C5330"/>
    <w:rsid w:val="002C5372"/>
    <w:rsid w:val="002C5DF7"/>
    <w:rsid w:val="002C61EE"/>
    <w:rsid w:val="002C6D28"/>
    <w:rsid w:val="002C7837"/>
    <w:rsid w:val="002D02C9"/>
    <w:rsid w:val="002D03BE"/>
    <w:rsid w:val="002D0552"/>
    <w:rsid w:val="002D0830"/>
    <w:rsid w:val="002D14FD"/>
    <w:rsid w:val="002D21D5"/>
    <w:rsid w:val="002D2C74"/>
    <w:rsid w:val="002D3648"/>
    <w:rsid w:val="002D3E45"/>
    <w:rsid w:val="002D3ED1"/>
    <w:rsid w:val="002D4947"/>
    <w:rsid w:val="002D49D6"/>
    <w:rsid w:val="002D4D28"/>
    <w:rsid w:val="002D5B99"/>
    <w:rsid w:val="002D65DD"/>
    <w:rsid w:val="002D6E39"/>
    <w:rsid w:val="002D75A0"/>
    <w:rsid w:val="002D7BC0"/>
    <w:rsid w:val="002E0AD2"/>
    <w:rsid w:val="002E1156"/>
    <w:rsid w:val="002E19B7"/>
    <w:rsid w:val="002E2B50"/>
    <w:rsid w:val="002E2F88"/>
    <w:rsid w:val="002E3B39"/>
    <w:rsid w:val="002E3DE5"/>
    <w:rsid w:val="002E4930"/>
    <w:rsid w:val="002E4D78"/>
    <w:rsid w:val="002E59DB"/>
    <w:rsid w:val="002E6766"/>
    <w:rsid w:val="002E696C"/>
    <w:rsid w:val="002E6A45"/>
    <w:rsid w:val="002E6CB6"/>
    <w:rsid w:val="002E7080"/>
    <w:rsid w:val="002E74F7"/>
    <w:rsid w:val="002E790B"/>
    <w:rsid w:val="002F0034"/>
    <w:rsid w:val="002F01CD"/>
    <w:rsid w:val="002F03D7"/>
    <w:rsid w:val="002F07E2"/>
    <w:rsid w:val="002F0D74"/>
    <w:rsid w:val="002F0E83"/>
    <w:rsid w:val="002F0F75"/>
    <w:rsid w:val="002F124E"/>
    <w:rsid w:val="002F129F"/>
    <w:rsid w:val="002F1313"/>
    <w:rsid w:val="002F1A74"/>
    <w:rsid w:val="002F285B"/>
    <w:rsid w:val="002F2BC6"/>
    <w:rsid w:val="002F2ED9"/>
    <w:rsid w:val="002F3220"/>
    <w:rsid w:val="002F3F1B"/>
    <w:rsid w:val="002F40A0"/>
    <w:rsid w:val="002F47EF"/>
    <w:rsid w:val="002F4EC0"/>
    <w:rsid w:val="002F5DDE"/>
    <w:rsid w:val="002F5F89"/>
    <w:rsid w:val="002F62B0"/>
    <w:rsid w:val="002F66FD"/>
    <w:rsid w:val="002F74BF"/>
    <w:rsid w:val="002F7CAA"/>
    <w:rsid w:val="00300EEB"/>
    <w:rsid w:val="003016BE"/>
    <w:rsid w:val="00301F19"/>
    <w:rsid w:val="00302D68"/>
    <w:rsid w:val="00302E98"/>
    <w:rsid w:val="003037EA"/>
    <w:rsid w:val="0030480F"/>
    <w:rsid w:val="00304B8C"/>
    <w:rsid w:val="00305626"/>
    <w:rsid w:val="00305672"/>
    <w:rsid w:val="00305CBF"/>
    <w:rsid w:val="003060A9"/>
    <w:rsid w:val="003063FE"/>
    <w:rsid w:val="00306524"/>
    <w:rsid w:val="00307FF6"/>
    <w:rsid w:val="003108B8"/>
    <w:rsid w:val="00310965"/>
    <w:rsid w:val="00310CF3"/>
    <w:rsid w:val="00310FE7"/>
    <w:rsid w:val="0031125F"/>
    <w:rsid w:val="0031144E"/>
    <w:rsid w:val="003117A4"/>
    <w:rsid w:val="003120C9"/>
    <w:rsid w:val="00312540"/>
    <w:rsid w:val="00312847"/>
    <w:rsid w:val="00312E8C"/>
    <w:rsid w:val="0031305D"/>
    <w:rsid w:val="003130CE"/>
    <w:rsid w:val="003134C4"/>
    <w:rsid w:val="00313752"/>
    <w:rsid w:val="003139F2"/>
    <w:rsid w:val="00313A5B"/>
    <w:rsid w:val="00313AC2"/>
    <w:rsid w:val="00313FBB"/>
    <w:rsid w:val="0031423B"/>
    <w:rsid w:val="003149CF"/>
    <w:rsid w:val="00316A34"/>
    <w:rsid w:val="00316BFB"/>
    <w:rsid w:val="00316C6E"/>
    <w:rsid w:val="00316E55"/>
    <w:rsid w:val="00320936"/>
    <w:rsid w:val="00321E39"/>
    <w:rsid w:val="0032291B"/>
    <w:rsid w:val="0032291F"/>
    <w:rsid w:val="003237A4"/>
    <w:rsid w:val="00323CC2"/>
    <w:rsid w:val="00324138"/>
    <w:rsid w:val="0032418B"/>
    <w:rsid w:val="0032488F"/>
    <w:rsid w:val="00324C85"/>
    <w:rsid w:val="00324E7F"/>
    <w:rsid w:val="00324FC5"/>
    <w:rsid w:val="00325193"/>
    <w:rsid w:val="0032540E"/>
    <w:rsid w:val="0032546D"/>
    <w:rsid w:val="00325FE4"/>
    <w:rsid w:val="003266AA"/>
    <w:rsid w:val="00326A77"/>
    <w:rsid w:val="0033094B"/>
    <w:rsid w:val="00330AB5"/>
    <w:rsid w:val="0033134E"/>
    <w:rsid w:val="003331BC"/>
    <w:rsid w:val="00333AE5"/>
    <w:rsid w:val="0033421E"/>
    <w:rsid w:val="00334590"/>
    <w:rsid w:val="00334E89"/>
    <w:rsid w:val="00335040"/>
    <w:rsid w:val="00336307"/>
    <w:rsid w:val="0033632A"/>
    <w:rsid w:val="00336F6E"/>
    <w:rsid w:val="00337C28"/>
    <w:rsid w:val="00341697"/>
    <w:rsid w:val="00342102"/>
    <w:rsid w:val="00343360"/>
    <w:rsid w:val="0034347E"/>
    <w:rsid w:val="00343919"/>
    <w:rsid w:val="003451DA"/>
    <w:rsid w:val="00345625"/>
    <w:rsid w:val="003458EE"/>
    <w:rsid w:val="00345E96"/>
    <w:rsid w:val="003462F5"/>
    <w:rsid w:val="003467D0"/>
    <w:rsid w:val="003469E6"/>
    <w:rsid w:val="00346B7D"/>
    <w:rsid w:val="00346BB9"/>
    <w:rsid w:val="00346DD7"/>
    <w:rsid w:val="00346F80"/>
    <w:rsid w:val="003474EC"/>
    <w:rsid w:val="003500CB"/>
    <w:rsid w:val="003506F7"/>
    <w:rsid w:val="003507A6"/>
    <w:rsid w:val="00351605"/>
    <w:rsid w:val="003517FF"/>
    <w:rsid w:val="00351B86"/>
    <w:rsid w:val="00351C5C"/>
    <w:rsid w:val="00351FE2"/>
    <w:rsid w:val="00352FD7"/>
    <w:rsid w:val="003535B6"/>
    <w:rsid w:val="00353BE2"/>
    <w:rsid w:val="00354D5F"/>
    <w:rsid w:val="0035519D"/>
    <w:rsid w:val="003557E0"/>
    <w:rsid w:val="00356182"/>
    <w:rsid w:val="003561B5"/>
    <w:rsid w:val="00356350"/>
    <w:rsid w:val="003564C9"/>
    <w:rsid w:val="0035701E"/>
    <w:rsid w:val="00360AC3"/>
    <w:rsid w:val="00361661"/>
    <w:rsid w:val="00362F4C"/>
    <w:rsid w:val="003634B9"/>
    <w:rsid w:val="003637DD"/>
    <w:rsid w:val="00363AE8"/>
    <w:rsid w:val="003647CE"/>
    <w:rsid w:val="0036485A"/>
    <w:rsid w:val="00365F49"/>
    <w:rsid w:val="0036611A"/>
    <w:rsid w:val="00370D0A"/>
    <w:rsid w:val="00371500"/>
    <w:rsid w:val="00371C90"/>
    <w:rsid w:val="00372162"/>
    <w:rsid w:val="003721EB"/>
    <w:rsid w:val="00372499"/>
    <w:rsid w:val="003726A5"/>
    <w:rsid w:val="00373696"/>
    <w:rsid w:val="00374014"/>
    <w:rsid w:val="003745EF"/>
    <w:rsid w:val="0037498A"/>
    <w:rsid w:val="00374AB6"/>
    <w:rsid w:val="00374B8F"/>
    <w:rsid w:val="0037545A"/>
    <w:rsid w:val="003759B2"/>
    <w:rsid w:val="00375D95"/>
    <w:rsid w:val="003771F1"/>
    <w:rsid w:val="00377622"/>
    <w:rsid w:val="0037783C"/>
    <w:rsid w:val="00377F52"/>
    <w:rsid w:val="00380221"/>
    <w:rsid w:val="00380A3F"/>
    <w:rsid w:val="00381554"/>
    <w:rsid w:val="003825C5"/>
    <w:rsid w:val="00382BC1"/>
    <w:rsid w:val="0038307A"/>
    <w:rsid w:val="003839CF"/>
    <w:rsid w:val="00383BD4"/>
    <w:rsid w:val="003840AE"/>
    <w:rsid w:val="003840CB"/>
    <w:rsid w:val="00384559"/>
    <w:rsid w:val="00384D0F"/>
    <w:rsid w:val="0038526B"/>
    <w:rsid w:val="00385537"/>
    <w:rsid w:val="00386393"/>
    <w:rsid w:val="0038701C"/>
    <w:rsid w:val="003875E4"/>
    <w:rsid w:val="00387787"/>
    <w:rsid w:val="00390592"/>
    <w:rsid w:val="00390613"/>
    <w:rsid w:val="00390747"/>
    <w:rsid w:val="00390D4B"/>
    <w:rsid w:val="0039181F"/>
    <w:rsid w:val="00391873"/>
    <w:rsid w:val="003925E9"/>
    <w:rsid w:val="00392A54"/>
    <w:rsid w:val="0039514E"/>
    <w:rsid w:val="00396A25"/>
    <w:rsid w:val="00396A90"/>
    <w:rsid w:val="003A04D8"/>
    <w:rsid w:val="003A0520"/>
    <w:rsid w:val="003A0A6C"/>
    <w:rsid w:val="003A0B95"/>
    <w:rsid w:val="003A1455"/>
    <w:rsid w:val="003A2206"/>
    <w:rsid w:val="003A3942"/>
    <w:rsid w:val="003A39DC"/>
    <w:rsid w:val="003A3DDE"/>
    <w:rsid w:val="003A416B"/>
    <w:rsid w:val="003A4E69"/>
    <w:rsid w:val="003A509A"/>
    <w:rsid w:val="003A6452"/>
    <w:rsid w:val="003A6E5B"/>
    <w:rsid w:val="003A7103"/>
    <w:rsid w:val="003A71C7"/>
    <w:rsid w:val="003A7E90"/>
    <w:rsid w:val="003B0D00"/>
    <w:rsid w:val="003B1324"/>
    <w:rsid w:val="003B23DC"/>
    <w:rsid w:val="003B3365"/>
    <w:rsid w:val="003B3A68"/>
    <w:rsid w:val="003B48DE"/>
    <w:rsid w:val="003B493F"/>
    <w:rsid w:val="003B4C77"/>
    <w:rsid w:val="003B5373"/>
    <w:rsid w:val="003B6745"/>
    <w:rsid w:val="003B6854"/>
    <w:rsid w:val="003B7047"/>
    <w:rsid w:val="003B737C"/>
    <w:rsid w:val="003B75F9"/>
    <w:rsid w:val="003B7A36"/>
    <w:rsid w:val="003B7A44"/>
    <w:rsid w:val="003C0449"/>
    <w:rsid w:val="003C0526"/>
    <w:rsid w:val="003C05CF"/>
    <w:rsid w:val="003C0DC3"/>
    <w:rsid w:val="003C103A"/>
    <w:rsid w:val="003C21FE"/>
    <w:rsid w:val="003C258B"/>
    <w:rsid w:val="003C440B"/>
    <w:rsid w:val="003C53EF"/>
    <w:rsid w:val="003C57E3"/>
    <w:rsid w:val="003C6E3F"/>
    <w:rsid w:val="003C75A9"/>
    <w:rsid w:val="003C7F65"/>
    <w:rsid w:val="003D049C"/>
    <w:rsid w:val="003D06BF"/>
    <w:rsid w:val="003D122D"/>
    <w:rsid w:val="003D12C1"/>
    <w:rsid w:val="003D1437"/>
    <w:rsid w:val="003D1764"/>
    <w:rsid w:val="003D1BDC"/>
    <w:rsid w:val="003D24C5"/>
    <w:rsid w:val="003D26E1"/>
    <w:rsid w:val="003D38A7"/>
    <w:rsid w:val="003D3B06"/>
    <w:rsid w:val="003D3C70"/>
    <w:rsid w:val="003D3C7C"/>
    <w:rsid w:val="003D3EF3"/>
    <w:rsid w:val="003D45F9"/>
    <w:rsid w:val="003D52FA"/>
    <w:rsid w:val="003D566A"/>
    <w:rsid w:val="003D5C7B"/>
    <w:rsid w:val="003D5E08"/>
    <w:rsid w:val="003D6E32"/>
    <w:rsid w:val="003D6E77"/>
    <w:rsid w:val="003D76FC"/>
    <w:rsid w:val="003E054D"/>
    <w:rsid w:val="003E0D80"/>
    <w:rsid w:val="003E1B26"/>
    <w:rsid w:val="003E33EC"/>
    <w:rsid w:val="003E3F53"/>
    <w:rsid w:val="003E488D"/>
    <w:rsid w:val="003E4B32"/>
    <w:rsid w:val="003E5488"/>
    <w:rsid w:val="003E57C9"/>
    <w:rsid w:val="003E5F86"/>
    <w:rsid w:val="003E64A9"/>
    <w:rsid w:val="003E6B4D"/>
    <w:rsid w:val="003E7EDB"/>
    <w:rsid w:val="003F11D0"/>
    <w:rsid w:val="003F186B"/>
    <w:rsid w:val="003F2DCC"/>
    <w:rsid w:val="003F3081"/>
    <w:rsid w:val="003F319D"/>
    <w:rsid w:val="003F36AC"/>
    <w:rsid w:val="003F463B"/>
    <w:rsid w:val="003F4C69"/>
    <w:rsid w:val="003F533E"/>
    <w:rsid w:val="003F573E"/>
    <w:rsid w:val="003F6D48"/>
    <w:rsid w:val="003F6E0F"/>
    <w:rsid w:val="003F725D"/>
    <w:rsid w:val="003F7C21"/>
    <w:rsid w:val="004008E8"/>
    <w:rsid w:val="0040106D"/>
    <w:rsid w:val="0040139C"/>
    <w:rsid w:val="004015BA"/>
    <w:rsid w:val="0040189D"/>
    <w:rsid w:val="00401AE2"/>
    <w:rsid w:val="00401F28"/>
    <w:rsid w:val="00401F71"/>
    <w:rsid w:val="00403390"/>
    <w:rsid w:val="004035B1"/>
    <w:rsid w:val="004036D8"/>
    <w:rsid w:val="00403E27"/>
    <w:rsid w:val="00403ED8"/>
    <w:rsid w:val="00404092"/>
    <w:rsid w:val="004044B6"/>
    <w:rsid w:val="00404B28"/>
    <w:rsid w:val="00405081"/>
    <w:rsid w:val="004054F1"/>
    <w:rsid w:val="00405D1E"/>
    <w:rsid w:val="00406D9C"/>
    <w:rsid w:val="0040768D"/>
    <w:rsid w:val="00410195"/>
    <w:rsid w:val="00410AB2"/>
    <w:rsid w:val="00410F90"/>
    <w:rsid w:val="0041103C"/>
    <w:rsid w:val="004114F6"/>
    <w:rsid w:val="004115FC"/>
    <w:rsid w:val="00411C84"/>
    <w:rsid w:val="004122E4"/>
    <w:rsid w:val="004123A0"/>
    <w:rsid w:val="00412428"/>
    <w:rsid w:val="004138C2"/>
    <w:rsid w:val="00413E0A"/>
    <w:rsid w:val="0041482C"/>
    <w:rsid w:val="00414D3D"/>
    <w:rsid w:val="00414DFE"/>
    <w:rsid w:val="00414FE3"/>
    <w:rsid w:val="004170EB"/>
    <w:rsid w:val="00417843"/>
    <w:rsid w:val="00420921"/>
    <w:rsid w:val="00420A55"/>
    <w:rsid w:val="00420C94"/>
    <w:rsid w:val="00421056"/>
    <w:rsid w:val="004217FD"/>
    <w:rsid w:val="00422417"/>
    <w:rsid w:val="004228BF"/>
    <w:rsid w:val="00423353"/>
    <w:rsid w:val="00423755"/>
    <w:rsid w:val="00423FB0"/>
    <w:rsid w:val="0042489F"/>
    <w:rsid w:val="004251B1"/>
    <w:rsid w:val="00425262"/>
    <w:rsid w:val="0042597B"/>
    <w:rsid w:val="00425BB7"/>
    <w:rsid w:val="00425C5E"/>
    <w:rsid w:val="00425CF5"/>
    <w:rsid w:val="004261E0"/>
    <w:rsid w:val="0042669D"/>
    <w:rsid w:val="00427E8F"/>
    <w:rsid w:val="004306A7"/>
    <w:rsid w:val="00430C5A"/>
    <w:rsid w:val="004313BB"/>
    <w:rsid w:val="00431F3C"/>
    <w:rsid w:val="004327CB"/>
    <w:rsid w:val="004334F7"/>
    <w:rsid w:val="004339FB"/>
    <w:rsid w:val="00434157"/>
    <w:rsid w:val="00434354"/>
    <w:rsid w:val="004348FC"/>
    <w:rsid w:val="00435EF6"/>
    <w:rsid w:val="00435F75"/>
    <w:rsid w:val="00436EDF"/>
    <w:rsid w:val="004376F5"/>
    <w:rsid w:val="00437852"/>
    <w:rsid w:val="00437896"/>
    <w:rsid w:val="004378E7"/>
    <w:rsid w:val="00437994"/>
    <w:rsid w:val="00437D2F"/>
    <w:rsid w:val="00440088"/>
    <w:rsid w:val="004408D9"/>
    <w:rsid w:val="00441461"/>
    <w:rsid w:val="004419BF"/>
    <w:rsid w:val="00441C2B"/>
    <w:rsid w:val="0044206B"/>
    <w:rsid w:val="004421B3"/>
    <w:rsid w:val="004429EF"/>
    <w:rsid w:val="00443F45"/>
    <w:rsid w:val="00444C92"/>
    <w:rsid w:val="00444D1E"/>
    <w:rsid w:val="00445A3B"/>
    <w:rsid w:val="00445BA4"/>
    <w:rsid w:val="00446927"/>
    <w:rsid w:val="00446980"/>
    <w:rsid w:val="00446BB9"/>
    <w:rsid w:val="0044702F"/>
    <w:rsid w:val="004501E3"/>
    <w:rsid w:val="004507F8"/>
    <w:rsid w:val="004509B0"/>
    <w:rsid w:val="00450C61"/>
    <w:rsid w:val="004512AB"/>
    <w:rsid w:val="00451696"/>
    <w:rsid w:val="00451AB7"/>
    <w:rsid w:val="0045225A"/>
    <w:rsid w:val="00452B9C"/>
    <w:rsid w:val="004530A2"/>
    <w:rsid w:val="004532B8"/>
    <w:rsid w:val="004534EF"/>
    <w:rsid w:val="0045388D"/>
    <w:rsid w:val="00453977"/>
    <w:rsid w:val="00453A38"/>
    <w:rsid w:val="00453B8D"/>
    <w:rsid w:val="00456031"/>
    <w:rsid w:val="00456C90"/>
    <w:rsid w:val="00457133"/>
    <w:rsid w:val="0045713C"/>
    <w:rsid w:val="004573F8"/>
    <w:rsid w:val="0045766E"/>
    <w:rsid w:val="004578E1"/>
    <w:rsid w:val="004602C6"/>
    <w:rsid w:val="00460355"/>
    <w:rsid w:val="00460B2F"/>
    <w:rsid w:val="004626D2"/>
    <w:rsid w:val="0046276E"/>
    <w:rsid w:val="00462A23"/>
    <w:rsid w:val="00463767"/>
    <w:rsid w:val="00463B20"/>
    <w:rsid w:val="00463C98"/>
    <w:rsid w:val="00464125"/>
    <w:rsid w:val="004643CE"/>
    <w:rsid w:val="00464A3E"/>
    <w:rsid w:val="004651D1"/>
    <w:rsid w:val="00465230"/>
    <w:rsid w:val="00466608"/>
    <w:rsid w:val="00466CB7"/>
    <w:rsid w:val="00466E7B"/>
    <w:rsid w:val="0046767D"/>
    <w:rsid w:val="0046786F"/>
    <w:rsid w:val="004678B3"/>
    <w:rsid w:val="00470F5F"/>
    <w:rsid w:val="00471E5F"/>
    <w:rsid w:val="004720F4"/>
    <w:rsid w:val="0047229F"/>
    <w:rsid w:val="00472749"/>
    <w:rsid w:val="004738AE"/>
    <w:rsid w:val="00473C99"/>
    <w:rsid w:val="004743D6"/>
    <w:rsid w:val="004744BC"/>
    <w:rsid w:val="0047487E"/>
    <w:rsid w:val="004753F5"/>
    <w:rsid w:val="0047596A"/>
    <w:rsid w:val="004759BB"/>
    <w:rsid w:val="00475B30"/>
    <w:rsid w:val="00475CDC"/>
    <w:rsid w:val="00475E77"/>
    <w:rsid w:val="004765A7"/>
    <w:rsid w:val="00476EE1"/>
    <w:rsid w:val="00476F2D"/>
    <w:rsid w:val="0047730E"/>
    <w:rsid w:val="0048091E"/>
    <w:rsid w:val="00480D95"/>
    <w:rsid w:val="004812DC"/>
    <w:rsid w:val="004813F0"/>
    <w:rsid w:val="00481733"/>
    <w:rsid w:val="00481818"/>
    <w:rsid w:val="00481837"/>
    <w:rsid w:val="00481845"/>
    <w:rsid w:val="00482C49"/>
    <w:rsid w:val="00483258"/>
    <w:rsid w:val="00484318"/>
    <w:rsid w:val="0048509B"/>
    <w:rsid w:val="00485D60"/>
    <w:rsid w:val="0048645B"/>
    <w:rsid w:val="0048744B"/>
    <w:rsid w:val="00487A1E"/>
    <w:rsid w:val="00487E26"/>
    <w:rsid w:val="00491811"/>
    <w:rsid w:val="00491BB0"/>
    <w:rsid w:val="00491ECE"/>
    <w:rsid w:val="00492C67"/>
    <w:rsid w:val="0049328E"/>
    <w:rsid w:val="00493803"/>
    <w:rsid w:val="004947C4"/>
    <w:rsid w:val="0049481D"/>
    <w:rsid w:val="00494FB3"/>
    <w:rsid w:val="00495082"/>
    <w:rsid w:val="004952BC"/>
    <w:rsid w:val="004959D6"/>
    <w:rsid w:val="004968A4"/>
    <w:rsid w:val="00496AEF"/>
    <w:rsid w:val="00497B0D"/>
    <w:rsid w:val="004A048B"/>
    <w:rsid w:val="004A0B31"/>
    <w:rsid w:val="004A112E"/>
    <w:rsid w:val="004A11AF"/>
    <w:rsid w:val="004A1A49"/>
    <w:rsid w:val="004A2C26"/>
    <w:rsid w:val="004A46EA"/>
    <w:rsid w:val="004A4B54"/>
    <w:rsid w:val="004A4DA5"/>
    <w:rsid w:val="004A5717"/>
    <w:rsid w:val="004A582D"/>
    <w:rsid w:val="004A588C"/>
    <w:rsid w:val="004A5BE6"/>
    <w:rsid w:val="004A5DAB"/>
    <w:rsid w:val="004A60EE"/>
    <w:rsid w:val="004A656D"/>
    <w:rsid w:val="004A74EB"/>
    <w:rsid w:val="004A7676"/>
    <w:rsid w:val="004A7819"/>
    <w:rsid w:val="004B01F8"/>
    <w:rsid w:val="004B0E35"/>
    <w:rsid w:val="004B11FA"/>
    <w:rsid w:val="004B225C"/>
    <w:rsid w:val="004B27D5"/>
    <w:rsid w:val="004B2944"/>
    <w:rsid w:val="004B2B68"/>
    <w:rsid w:val="004B2C57"/>
    <w:rsid w:val="004B3264"/>
    <w:rsid w:val="004B3491"/>
    <w:rsid w:val="004B3590"/>
    <w:rsid w:val="004B3A36"/>
    <w:rsid w:val="004B3F1C"/>
    <w:rsid w:val="004B4658"/>
    <w:rsid w:val="004B4F0C"/>
    <w:rsid w:val="004B54E1"/>
    <w:rsid w:val="004B5548"/>
    <w:rsid w:val="004B55B1"/>
    <w:rsid w:val="004B58F4"/>
    <w:rsid w:val="004B5EB2"/>
    <w:rsid w:val="004B69A1"/>
    <w:rsid w:val="004B7C60"/>
    <w:rsid w:val="004C0DA7"/>
    <w:rsid w:val="004C11B1"/>
    <w:rsid w:val="004C1C23"/>
    <w:rsid w:val="004C2F23"/>
    <w:rsid w:val="004C329B"/>
    <w:rsid w:val="004C39C9"/>
    <w:rsid w:val="004C5544"/>
    <w:rsid w:val="004C5A84"/>
    <w:rsid w:val="004C5CB9"/>
    <w:rsid w:val="004C5E1A"/>
    <w:rsid w:val="004C6402"/>
    <w:rsid w:val="004C68C6"/>
    <w:rsid w:val="004C694E"/>
    <w:rsid w:val="004C6A32"/>
    <w:rsid w:val="004C6B2D"/>
    <w:rsid w:val="004C6BFA"/>
    <w:rsid w:val="004C6F2C"/>
    <w:rsid w:val="004C704E"/>
    <w:rsid w:val="004C7366"/>
    <w:rsid w:val="004C7840"/>
    <w:rsid w:val="004D025C"/>
    <w:rsid w:val="004D02A0"/>
    <w:rsid w:val="004D0784"/>
    <w:rsid w:val="004D0AB6"/>
    <w:rsid w:val="004D0E65"/>
    <w:rsid w:val="004D2016"/>
    <w:rsid w:val="004D2894"/>
    <w:rsid w:val="004D2AAC"/>
    <w:rsid w:val="004D2DA6"/>
    <w:rsid w:val="004D35E8"/>
    <w:rsid w:val="004D381D"/>
    <w:rsid w:val="004D3D3F"/>
    <w:rsid w:val="004D468E"/>
    <w:rsid w:val="004D4994"/>
    <w:rsid w:val="004D642D"/>
    <w:rsid w:val="004D6F10"/>
    <w:rsid w:val="004D7309"/>
    <w:rsid w:val="004D74D0"/>
    <w:rsid w:val="004E03BF"/>
    <w:rsid w:val="004E04E7"/>
    <w:rsid w:val="004E0B21"/>
    <w:rsid w:val="004E12DE"/>
    <w:rsid w:val="004E178F"/>
    <w:rsid w:val="004E1B7F"/>
    <w:rsid w:val="004E2246"/>
    <w:rsid w:val="004E2272"/>
    <w:rsid w:val="004E3591"/>
    <w:rsid w:val="004E4A82"/>
    <w:rsid w:val="004E5A00"/>
    <w:rsid w:val="004E6A4A"/>
    <w:rsid w:val="004E6D69"/>
    <w:rsid w:val="004E708E"/>
    <w:rsid w:val="004E714A"/>
    <w:rsid w:val="004E7792"/>
    <w:rsid w:val="004E7AAA"/>
    <w:rsid w:val="004E7D7B"/>
    <w:rsid w:val="004F0E9A"/>
    <w:rsid w:val="004F1580"/>
    <w:rsid w:val="004F1648"/>
    <w:rsid w:val="004F18A5"/>
    <w:rsid w:val="004F1C16"/>
    <w:rsid w:val="004F2516"/>
    <w:rsid w:val="004F2EB0"/>
    <w:rsid w:val="004F2F96"/>
    <w:rsid w:val="004F446E"/>
    <w:rsid w:val="004F454F"/>
    <w:rsid w:val="004F4B92"/>
    <w:rsid w:val="004F57DE"/>
    <w:rsid w:val="004F5BFD"/>
    <w:rsid w:val="004F5E45"/>
    <w:rsid w:val="004F7224"/>
    <w:rsid w:val="004F726F"/>
    <w:rsid w:val="004F7D4A"/>
    <w:rsid w:val="00500625"/>
    <w:rsid w:val="0050091D"/>
    <w:rsid w:val="00501487"/>
    <w:rsid w:val="005014A8"/>
    <w:rsid w:val="00501A61"/>
    <w:rsid w:val="00501BE4"/>
    <w:rsid w:val="00501EB4"/>
    <w:rsid w:val="00502024"/>
    <w:rsid w:val="00502732"/>
    <w:rsid w:val="0050291D"/>
    <w:rsid w:val="00502D4C"/>
    <w:rsid w:val="0050316C"/>
    <w:rsid w:val="005033EE"/>
    <w:rsid w:val="005039A4"/>
    <w:rsid w:val="00504382"/>
    <w:rsid w:val="00504554"/>
    <w:rsid w:val="00504680"/>
    <w:rsid w:val="00505574"/>
    <w:rsid w:val="005055AE"/>
    <w:rsid w:val="00506B19"/>
    <w:rsid w:val="00506DF9"/>
    <w:rsid w:val="00507027"/>
    <w:rsid w:val="00507136"/>
    <w:rsid w:val="0050724E"/>
    <w:rsid w:val="00507264"/>
    <w:rsid w:val="0050742B"/>
    <w:rsid w:val="0050758D"/>
    <w:rsid w:val="005077F3"/>
    <w:rsid w:val="005078DC"/>
    <w:rsid w:val="0051009A"/>
    <w:rsid w:val="0051165B"/>
    <w:rsid w:val="00511A52"/>
    <w:rsid w:val="00512139"/>
    <w:rsid w:val="005128F6"/>
    <w:rsid w:val="00512B4E"/>
    <w:rsid w:val="0051355F"/>
    <w:rsid w:val="00513E4B"/>
    <w:rsid w:val="00514093"/>
    <w:rsid w:val="00514121"/>
    <w:rsid w:val="005144AF"/>
    <w:rsid w:val="00514B25"/>
    <w:rsid w:val="00514FE9"/>
    <w:rsid w:val="005155A0"/>
    <w:rsid w:val="005162E6"/>
    <w:rsid w:val="00516F85"/>
    <w:rsid w:val="00517368"/>
    <w:rsid w:val="005179B3"/>
    <w:rsid w:val="005179C9"/>
    <w:rsid w:val="00517C77"/>
    <w:rsid w:val="00517EE4"/>
    <w:rsid w:val="00520216"/>
    <w:rsid w:val="00521374"/>
    <w:rsid w:val="00521411"/>
    <w:rsid w:val="00521C35"/>
    <w:rsid w:val="00521DB5"/>
    <w:rsid w:val="00521F0B"/>
    <w:rsid w:val="00522087"/>
    <w:rsid w:val="0052335C"/>
    <w:rsid w:val="00523FC7"/>
    <w:rsid w:val="00524086"/>
    <w:rsid w:val="0052444F"/>
    <w:rsid w:val="0052470A"/>
    <w:rsid w:val="00525A31"/>
    <w:rsid w:val="00525BC9"/>
    <w:rsid w:val="00526519"/>
    <w:rsid w:val="005275ED"/>
    <w:rsid w:val="0052783C"/>
    <w:rsid w:val="005279CE"/>
    <w:rsid w:val="00527AAF"/>
    <w:rsid w:val="00527BF5"/>
    <w:rsid w:val="0053069F"/>
    <w:rsid w:val="00530C2D"/>
    <w:rsid w:val="00530DA6"/>
    <w:rsid w:val="00530DD6"/>
    <w:rsid w:val="005314BB"/>
    <w:rsid w:val="0053179F"/>
    <w:rsid w:val="00531AB9"/>
    <w:rsid w:val="00532724"/>
    <w:rsid w:val="00532F4A"/>
    <w:rsid w:val="005337FA"/>
    <w:rsid w:val="005350F2"/>
    <w:rsid w:val="00535396"/>
    <w:rsid w:val="00535C30"/>
    <w:rsid w:val="00536707"/>
    <w:rsid w:val="00537219"/>
    <w:rsid w:val="0054092F"/>
    <w:rsid w:val="00540BE6"/>
    <w:rsid w:val="00541113"/>
    <w:rsid w:val="005411F1"/>
    <w:rsid w:val="00541276"/>
    <w:rsid w:val="005421B1"/>
    <w:rsid w:val="005423EC"/>
    <w:rsid w:val="00542AD8"/>
    <w:rsid w:val="005441BA"/>
    <w:rsid w:val="00544C0A"/>
    <w:rsid w:val="00545A39"/>
    <w:rsid w:val="00546071"/>
    <w:rsid w:val="00546103"/>
    <w:rsid w:val="0054677F"/>
    <w:rsid w:val="00546A34"/>
    <w:rsid w:val="0054799E"/>
    <w:rsid w:val="005502E8"/>
    <w:rsid w:val="0055032C"/>
    <w:rsid w:val="00550B28"/>
    <w:rsid w:val="00550DEE"/>
    <w:rsid w:val="005515C4"/>
    <w:rsid w:val="00552211"/>
    <w:rsid w:val="0055290F"/>
    <w:rsid w:val="00552937"/>
    <w:rsid w:val="00552BFB"/>
    <w:rsid w:val="005532F3"/>
    <w:rsid w:val="005541CC"/>
    <w:rsid w:val="0055511F"/>
    <w:rsid w:val="00555559"/>
    <w:rsid w:val="00555EB7"/>
    <w:rsid w:val="00556542"/>
    <w:rsid w:val="0055656E"/>
    <w:rsid w:val="005568AC"/>
    <w:rsid w:val="00556EA1"/>
    <w:rsid w:val="0055768F"/>
    <w:rsid w:val="00557C90"/>
    <w:rsid w:val="00560198"/>
    <w:rsid w:val="005609A0"/>
    <w:rsid w:val="005609E9"/>
    <w:rsid w:val="00561AD3"/>
    <w:rsid w:val="00561D2A"/>
    <w:rsid w:val="00563707"/>
    <w:rsid w:val="00563778"/>
    <w:rsid w:val="00563C4A"/>
    <w:rsid w:val="00564025"/>
    <w:rsid w:val="005643B1"/>
    <w:rsid w:val="00564AFF"/>
    <w:rsid w:val="00565ACF"/>
    <w:rsid w:val="00565E70"/>
    <w:rsid w:val="0056618C"/>
    <w:rsid w:val="00566308"/>
    <w:rsid w:val="00567408"/>
    <w:rsid w:val="0056795C"/>
    <w:rsid w:val="00567B5F"/>
    <w:rsid w:val="0057010E"/>
    <w:rsid w:val="00570959"/>
    <w:rsid w:val="00570A35"/>
    <w:rsid w:val="00570C76"/>
    <w:rsid w:val="00570FCA"/>
    <w:rsid w:val="00572C3B"/>
    <w:rsid w:val="00573B23"/>
    <w:rsid w:val="00573BA9"/>
    <w:rsid w:val="00573CD0"/>
    <w:rsid w:val="005744FB"/>
    <w:rsid w:val="005746C1"/>
    <w:rsid w:val="005762E5"/>
    <w:rsid w:val="005765D4"/>
    <w:rsid w:val="0057686C"/>
    <w:rsid w:val="00576F17"/>
    <w:rsid w:val="005778C2"/>
    <w:rsid w:val="00577B67"/>
    <w:rsid w:val="00577B82"/>
    <w:rsid w:val="00577D2E"/>
    <w:rsid w:val="00580631"/>
    <w:rsid w:val="00580696"/>
    <w:rsid w:val="005809DA"/>
    <w:rsid w:val="00580D20"/>
    <w:rsid w:val="00581BE6"/>
    <w:rsid w:val="005822A1"/>
    <w:rsid w:val="00582943"/>
    <w:rsid w:val="005829BA"/>
    <w:rsid w:val="00582F8C"/>
    <w:rsid w:val="0058449A"/>
    <w:rsid w:val="00584843"/>
    <w:rsid w:val="00584C81"/>
    <w:rsid w:val="00584F8D"/>
    <w:rsid w:val="005858E8"/>
    <w:rsid w:val="00585D15"/>
    <w:rsid w:val="005867C7"/>
    <w:rsid w:val="0058756A"/>
    <w:rsid w:val="00587594"/>
    <w:rsid w:val="005878D1"/>
    <w:rsid w:val="00587BE0"/>
    <w:rsid w:val="00587C7C"/>
    <w:rsid w:val="00587FA6"/>
    <w:rsid w:val="00590507"/>
    <w:rsid w:val="00590917"/>
    <w:rsid w:val="00591587"/>
    <w:rsid w:val="005916D4"/>
    <w:rsid w:val="00591D37"/>
    <w:rsid w:val="00591E18"/>
    <w:rsid w:val="00591F30"/>
    <w:rsid w:val="00592412"/>
    <w:rsid w:val="00592748"/>
    <w:rsid w:val="00592A45"/>
    <w:rsid w:val="0059308E"/>
    <w:rsid w:val="00593A8C"/>
    <w:rsid w:val="00594215"/>
    <w:rsid w:val="005943A6"/>
    <w:rsid w:val="00594D02"/>
    <w:rsid w:val="00595AD7"/>
    <w:rsid w:val="00595B32"/>
    <w:rsid w:val="00596022"/>
    <w:rsid w:val="00596FA9"/>
    <w:rsid w:val="00597150"/>
    <w:rsid w:val="00597503"/>
    <w:rsid w:val="00597714"/>
    <w:rsid w:val="00597CC7"/>
    <w:rsid w:val="00597D6F"/>
    <w:rsid w:val="00597E5A"/>
    <w:rsid w:val="005A0A30"/>
    <w:rsid w:val="005A105A"/>
    <w:rsid w:val="005A1A11"/>
    <w:rsid w:val="005A3080"/>
    <w:rsid w:val="005A4A57"/>
    <w:rsid w:val="005A6736"/>
    <w:rsid w:val="005A6B39"/>
    <w:rsid w:val="005A713F"/>
    <w:rsid w:val="005A7526"/>
    <w:rsid w:val="005B050E"/>
    <w:rsid w:val="005B0733"/>
    <w:rsid w:val="005B0ECC"/>
    <w:rsid w:val="005B16E1"/>
    <w:rsid w:val="005B16FB"/>
    <w:rsid w:val="005B2B6D"/>
    <w:rsid w:val="005B2E36"/>
    <w:rsid w:val="005B3EEE"/>
    <w:rsid w:val="005B5962"/>
    <w:rsid w:val="005B6814"/>
    <w:rsid w:val="005B6BEC"/>
    <w:rsid w:val="005B7402"/>
    <w:rsid w:val="005B7841"/>
    <w:rsid w:val="005C12B0"/>
    <w:rsid w:val="005C1CFB"/>
    <w:rsid w:val="005C2497"/>
    <w:rsid w:val="005C34BF"/>
    <w:rsid w:val="005C391C"/>
    <w:rsid w:val="005C4476"/>
    <w:rsid w:val="005C47EC"/>
    <w:rsid w:val="005C4C79"/>
    <w:rsid w:val="005C5986"/>
    <w:rsid w:val="005C5F83"/>
    <w:rsid w:val="005C6816"/>
    <w:rsid w:val="005C6826"/>
    <w:rsid w:val="005C6DB8"/>
    <w:rsid w:val="005C6F8E"/>
    <w:rsid w:val="005C7A40"/>
    <w:rsid w:val="005D0A33"/>
    <w:rsid w:val="005D110C"/>
    <w:rsid w:val="005D128D"/>
    <w:rsid w:val="005D1ABA"/>
    <w:rsid w:val="005D1B41"/>
    <w:rsid w:val="005D1D75"/>
    <w:rsid w:val="005D1E33"/>
    <w:rsid w:val="005D2DB7"/>
    <w:rsid w:val="005D4697"/>
    <w:rsid w:val="005D48CF"/>
    <w:rsid w:val="005D682C"/>
    <w:rsid w:val="005D69E7"/>
    <w:rsid w:val="005D7B77"/>
    <w:rsid w:val="005E013C"/>
    <w:rsid w:val="005E1005"/>
    <w:rsid w:val="005E1AE3"/>
    <w:rsid w:val="005E29D5"/>
    <w:rsid w:val="005E2E94"/>
    <w:rsid w:val="005E305C"/>
    <w:rsid w:val="005E3EA0"/>
    <w:rsid w:val="005E3EBD"/>
    <w:rsid w:val="005E40ED"/>
    <w:rsid w:val="005E4C84"/>
    <w:rsid w:val="005E4EE8"/>
    <w:rsid w:val="005E5D9E"/>
    <w:rsid w:val="005E63F8"/>
    <w:rsid w:val="005E69E1"/>
    <w:rsid w:val="005E6AAE"/>
    <w:rsid w:val="005E6D91"/>
    <w:rsid w:val="005E74F1"/>
    <w:rsid w:val="005E7E10"/>
    <w:rsid w:val="005F0832"/>
    <w:rsid w:val="005F0FF7"/>
    <w:rsid w:val="005F14CD"/>
    <w:rsid w:val="005F32D3"/>
    <w:rsid w:val="005F4E8E"/>
    <w:rsid w:val="005F5128"/>
    <w:rsid w:val="005F59E8"/>
    <w:rsid w:val="005F5DD1"/>
    <w:rsid w:val="005F639E"/>
    <w:rsid w:val="005F66E5"/>
    <w:rsid w:val="005F6C36"/>
    <w:rsid w:val="005F718B"/>
    <w:rsid w:val="005F74A4"/>
    <w:rsid w:val="005F79FC"/>
    <w:rsid w:val="00600F5D"/>
    <w:rsid w:val="00600FAE"/>
    <w:rsid w:val="006023B5"/>
    <w:rsid w:val="006025F6"/>
    <w:rsid w:val="00603578"/>
    <w:rsid w:val="00603ED4"/>
    <w:rsid w:val="00604227"/>
    <w:rsid w:val="00604A70"/>
    <w:rsid w:val="00604A78"/>
    <w:rsid w:val="00604CC3"/>
    <w:rsid w:val="006059BA"/>
    <w:rsid w:val="0060667F"/>
    <w:rsid w:val="0060672F"/>
    <w:rsid w:val="006069AD"/>
    <w:rsid w:val="00606D2E"/>
    <w:rsid w:val="00606D6E"/>
    <w:rsid w:val="006074EB"/>
    <w:rsid w:val="00607FBB"/>
    <w:rsid w:val="00611764"/>
    <w:rsid w:val="00611B0C"/>
    <w:rsid w:val="00612982"/>
    <w:rsid w:val="00612C30"/>
    <w:rsid w:val="00612C50"/>
    <w:rsid w:val="006131F5"/>
    <w:rsid w:val="00614005"/>
    <w:rsid w:val="006159BE"/>
    <w:rsid w:val="00615F0D"/>
    <w:rsid w:val="006165E7"/>
    <w:rsid w:val="006168D9"/>
    <w:rsid w:val="00616C43"/>
    <w:rsid w:val="0061793A"/>
    <w:rsid w:val="00620163"/>
    <w:rsid w:val="006201DC"/>
    <w:rsid w:val="00620CEA"/>
    <w:rsid w:val="00621C37"/>
    <w:rsid w:val="00621FB1"/>
    <w:rsid w:val="00622600"/>
    <w:rsid w:val="00623D89"/>
    <w:rsid w:val="006243DB"/>
    <w:rsid w:val="00625CDF"/>
    <w:rsid w:val="00625EAF"/>
    <w:rsid w:val="0062689A"/>
    <w:rsid w:val="00627E00"/>
    <w:rsid w:val="00627EEE"/>
    <w:rsid w:val="00630218"/>
    <w:rsid w:val="006311E1"/>
    <w:rsid w:val="006319ED"/>
    <w:rsid w:val="00631E45"/>
    <w:rsid w:val="006324C2"/>
    <w:rsid w:val="006326F3"/>
    <w:rsid w:val="00632E39"/>
    <w:rsid w:val="00633ACB"/>
    <w:rsid w:val="0063445D"/>
    <w:rsid w:val="00634BDD"/>
    <w:rsid w:val="00635365"/>
    <w:rsid w:val="006355D5"/>
    <w:rsid w:val="006366B0"/>
    <w:rsid w:val="0063690C"/>
    <w:rsid w:val="006374DA"/>
    <w:rsid w:val="006378C3"/>
    <w:rsid w:val="00637FAA"/>
    <w:rsid w:val="0064001E"/>
    <w:rsid w:val="0064002D"/>
    <w:rsid w:val="0064015A"/>
    <w:rsid w:val="00640463"/>
    <w:rsid w:val="006405BA"/>
    <w:rsid w:val="0064060F"/>
    <w:rsid w:val="00640B21"/>
    <w:rsid w:val="006415D7"/>
    <w:rsid w:val="00641B4E"/>
    <w:rsid w:val="00641DF4"/>
    <w:rsid w:val="00641EF9"/>
    <w:rsid w:val="006420FF"/>
    <w:rsid w:val="00642763"/>
    <w:rsid w:val="006427BD"/>
    <w:rsid w:val="00642802"/>
    <w:rsid w:val="00642D10"/>
    <w:rsid w:val="006435A8"/>
    <w:rsid w:val="006436B6"/>
    <w:rsid w:val="00643D40"/>
    <w:rsid w:val="0064414E"/>
    <w:rsid w:val="00644973"/>
    <w:rsid w:val="00646207"/>
    <w:rsid w:val="006466B3"/>
    <w:rsid w:val="00646925"/>
    <w:rsid w:val="00647838"/>
    <w:rsid w:val="00647DF3"/>
    <w:rsid w:val="00647E43"/>
    <w:rsid w:val="00651471"/>
    <w:rsid w:val="006526E5"/>
    <w:rsid w:val="006527A0"/>
    <w:rsid w:val="006527CF"/>
    <w:rsid w:val="00652988"/>
    <w:rsid w:val="00652AE9"/>
    <w:rsid w:val="00653588"/>
    <w:rsid w:val="006549CF"/>
    <w:rsid w:val="00654AF8"/>
    <w:rsid w:val="00654EBB"/>
    <w:rsid w:val="00655BE9"/>
    <w:rsid w:val="00655EA0"/>
    <w:rsid w:val="00657078"/>
    <w:rsid w:val="0066023C"/>
    <w:rsid w:val="006604E6"/>
    <w:rsid w:val="006615AA"/>
    <w:rsid w:val="0066172B"/>
    <w:rsid w:val="00661B7A"/>
    <w:rsid w:val="00661C72"/>
    <w:rsid w:val="006620E8"/>
    <w:rsid w:val="00663248"/>
    <w:rsid w:val="00663601"/>
    <w:rsid w:val="00663926"/>
    <w:rsid w:val="00663B57"/>
    <w:rsid w:val="00663FAD"/>
    <w:rsid w:val="00664A2C"/>
    <w:rsid w:val="00664C74"/>
    <w:rsid w:val="00665002"/>
    <w:rsid w:val="006653CE"/>
    <w:rsid w:val="006655B4"/>
    <w:rsid w:val="00665711"/>
    <w:rsid w:val="00665AFB"/>
    <w:rsid w:val="00666214"/>
    <w:rsid w:val="006664C1"/>
    <w:rsid w:val="00666502"/>
    <w:rsid w:val="0066692C"/>
    <w:rsid w:val="006672AC"/>
    <w:rsid w:val="00670259"/>
    <w:rsid w:val="00670570"/>
    <w:rsid w:val="0067079E"/>
    <w:rsid w:val="00670EFD"/>
    <w:rsid w:val="0067216B"/>
    <w:rsid w:val="00672C15"/>
    <w:rsid w:val="00672F79"/>
    <w:rsid w:val="0067339C"/>
    <w:rsid w:val="00673547"/>
    <w:rsid w:val="006745BC"/>
    <w:rsid w:val="00674BCE"/>
    <w:rsid w:val="006760E0"/>
    <w:rsid w:val="00676C2A"/>
    <w:rsid w:val="006770DF"/>
    <w:rsid w:val="006803A7"/>
    <w:rsid w:val="00680E36"/>
    <w:rsid w:val="00680FBC"/>
    <w:rsid w:val="00681541"/>
    <w:rsid w:val="00682F32"/>
    <w:rsid w:val="006830F0"/>
    <w:rsid w:val="00683155"/>
    <w:rsid w:val="006836D3"/>
    <w:rsid w:val="006836F7"/>
    <w:rsid w:val="006844EB"/>
    <w:rsid w:val="0068468F"/>
    <w:rsid w:val="00684FB0"/>
    <w:rsid w:val="00685811"/>
    <w:rsid w:val="0068592F"/>
    <w:rsid w:val="006859EC"/>
    <w:rsid w:val="006905D9"/>
    <w:rsid w:val="006908F8"/>
    <w:rsid w:val="006916A7"/>
    <w:rsid w:val="00691FCD"/>
    <w:rsid w:val="00692190"/>
    <w:rsid w:val="00693450"/>
    <w:rsid w:val="00693A84"/>
    <w:rsid w:val="00694B4F"/>
    <w:rsid w:val="00695384"/>
    <w:rsid w:val="00695839"/>
    <w:rsid w:val="00695966"/>
    <w:rsid w:val="006967F6"/>
    <w:rsid w:val="0069691A"/>
    <w:rsid w:val="00696CE4"/>
    <w:rsid w:val="006975C1"/>
    <w:rsid w:val="006976AF"/>
    <w:rsid w:val="00697B15"/>
    <w:rsid w:val="006A0E35"/>
    <w:rsid w:val="006A2A51"/>
    <w:rsid w:val="006A373A"/>
    <w:rsid w:val="006A3C8B"/>
    <w:rsid w:val="006A4838"/>
    <w:rsid w:val="006A4CAF"/>
    <w:rsid w:val="006A505A"/>
    <w:rsid w:val="006A554F"/>
    <w:rsid w:val="006A5849"/>
    <w:rsid w:val="006A5D54"/>
    <w:rsid w:val="006A6AE7"/>
    <w:rsid w:val="006A6DB0"/>
    <w:rsid w:val="006A7101"/>
    <w:rsid w:val="006A7B61"/>
    <w:rsid w:val="006B088B"/>
    <w:rsid w:val="006B0D06"/>
    <w:rsid w:val="006B1C0B"/>
    <w:rsid w:val="006B3BA9"/>
    <w:rsid w:val="006B4104"/>
    <w:rsid w:val="006B4A51"/>
    <w:rsid w:val="006B4CA5"/>
    <w:rsid w:val="006B5E6E"/>
    <w:rsid w:val="006B6380"/>
    <w:rsid w:val="006B73D3"/>
    <w:rsid w:val="006B7D7B"/>
    <w:rsid w:val="006B7E1A"/>
    <w:rsid w:val="006B7FC0"/>
    <w:rsid w:val="006C17C5"/>
    <w:rsid w:val="006C1D73"/>
    <w:rsid w:val="006C1D79"/>
    <w:rsid w:val="006C3325"/>
    <w:rsid w:val="006C3918"/>
    <w:rsid w:val="006C42B7"/>
    <w:rsid w:val="006C4423"/>
    <w:rsid w:val="006C592E"/>
    <w:rsid w:val="006C70F0"/>
    <w:rsid w:val="006C7302"/>
    <w:rsid w:val="006D016D"/>
    <w:rsid w:val="006D07B3"/>
    <w:rsid w:val="006D0A35"/>
    <w:rsid w:val="006D1026"/>
    <w:rsid w:val="006D44F9"/>
    <w:rsid w:val="006D4D57"/>
    <w:rsid w:val="006D52B6"/>
    <w:rsid w:val="006D5ACF"/>
    <w:rsid w:val="006D5AF3"/>
    <w:rsid w:val="006D6404"/>
    <w:rsid w:val="006D6C63"/>
    <w:rsid w:val="006D6F1B"/>
    <w:rsid w:val="006D733D"/>
    <w:rsid w:val="006D73E6"/>
    <w:rsid w:val="006D76C2"/>
    <w:rsid w:val="006D7892"/>
    <w:rsid w:val="006D7A58"/>
    <w:rsid w:val="006E052C"/>
    <w:rsid w:val="006E07C3"/>
    <w:rsid w:val="006E171C"/>
    <w:rsid w:val="006E178E"/>
    <w:rsid w:val="006E186E"/>
    <w:rsid w:val="006E1A42"/>
    <w:rsid w:val="006E1C03"/>
    <w:rsid w:val="006E221D"/>
    <w:rsid w:val="006E269B"/>
    <w:rsid w:val="006E2C95"/>
    <w:rsid w:val="006E2FD8"/>
    <w:rsid w:val="006E3B87"/>
    <w:rsid w:val="006E4ABA"/>
    <w:rsid w:val="006E4B8B"/>
    <w:rsid w:val="006E5390"/>
    <w:rsid w:val="006E55D7"/>
    <w:rsid w:val="006E7FFB"/>
    <w:rsid w:val="006F072F"/>
    <w:rsid w:val="006F36B5"/>
    <w:rsid w:val="006F36C1"/>
    <w:rsid w:val="006F3E2A"/>
    <w:rsid w:val="006F3EF5"/>
    <w:rsid w:val="006F3FA7"/>
    <w:rsid w:val="006F5C3D"/>
    <w:rsid w:val="006F6718"/>
    <w:rsid w:val="006F6F7E"/>
    <w:rsid w:val="006F74E1"/>
    <w:rsid w:val="007000F6"/>
    <w:rsid w:val="00700328"/>
    <w:rsid w:val="00700E4A"/>
    <w:rsid w:val="00700FDA"/>
    <w:rsid w:val="007016D0"/>
    <w:rsid w:val="00702544"/>
    <w:rsid w:val="00702905"/>
    <w:rsid w:val="00703088"/>
    <w:rsid w:val="007041C8"/>
    <w:rsid w:val="007041EB"/>
    <w:rsid w:val="007043EB"/>
    <w:rsid w:val="00704659"/>
    <w:rsid w:val="00706231"/>
    <w:rsid w:val="0070637C"/>
    <w:rsid w:val="00706383"/>
    <w:rsid w:val="00706C48"/>
    <w:rsid w:val="0070703B"/>
    <w:rsid w:val="0070756E"/>
    <w:rsid w:val="007078E5"/>
    <w:rsid w:val="00707A3A"/>
    <w:rsid w:val="00707A59"/>
    <w:rsid w:val="00707BAC"/>
    <w:rsid w:val="007101D2"/>
    <w:rsid w:val="007103E1"/>
    <w:rsid w:val="0071085A"/>
    <w:rsid w:val="00711365"/>
    <w:rsid w:val="0071158A"/>
    <w:rsid w:val="00712323"/>
    <w:rsid w:val="00712877"/>
    <w:rsid w:val="00713E55"/>
    <w:rsid w:val="007151FC"/>
    <w:rsid w:val="007156CD"/>
    <w:rsid w:val="00716442"/>
    <w:rsid w:val="007165D9"/>
    <w:rsid w:val="00716DFA"/>
    <w:rsid w:val="007171E3"/>
    <w:rsid w:val="007172B8"/>
    <w:rsid w:val="0071731E"/>
    <w:rsid w:val="00717A99"/>
    <w:rsid w:val="00717BA0"/>
    <w:rsid w:val="00720D9F"/>
    <w:rsid w:val="00721CEA"/>
    <w:rsid w:val="00721D76"/>
    <w:rsid w:val="0072293E"/>
    <w:rsid w:val="00722E92"/>
    <w:rsid w:val="0072330C"/>
    <w:rsid w:val="00723C65"/>
    <w:rsid w:val="0072411C"/>
    <w:rsid w:val="0072496A"/>
    <w:rsid w:val="00724A4F"/>
    <w:rsid w:val="0072552B"/>
    <w:rsid w:val="00725906"/>
    <w:rsid w:val="007265C2"/>
    <w:rsid w:val="007274B0"/>
    <w:rsid w:val="0072784C"/>
    <w:rsid w:val="00730403"/>
    <w:rsid w:val="007314A2"/>
    <w:rsid w:val="00731505"/>
    <w:rsid w:val="007315D8"/>
    <w:rsid w:val="00731E0E"/>
    <w:rsid w:val="007334F1"/>
    <w:rsid w:val="0073354C"/>
    <w:rsid w:val="00733624"/>
    <w:rsid w:val="00733BE8"/>
    <w:rsid w:val="00733C7C"/>
    <w:rsid w:val="007342A9"/>
    <w:rsid w:val="007342B2"/>
    <w:rsid w:val="00734DED"/>
    <w:rsid w:val="00736844"/>
    <w:rsid w:val="007375F6"/>
    <w:rsid w:val="007400D0"/>
    <w:rsid w:val="007407F8"/>
    <w:rsid w:val="00742AD5"/>
    <w:rsid w:val="00742C43"/>
    <w:rsid w:val="007431E5"/>
    <w:rsid w:val="0074372C"/>
    <w:rsid w:val="00743C38"/>
    <w:rsid w:val="00744F76"/>
    <w:rsid w:val="0074500E"/>
    <w:rsid w:val="0074581D"/>
    <w:rsid w:val="00745B20"/>
    <w:rsid w:val="007463CD"/>
    <w:rsid w:val="007465D9"/>
    <w:rsid w:val="00746DC1"/>
    <w:rsid w:val="00750B58"/>
    <w:rsid w:val="0075292A"/>
    <w:rsid w:val="00753271"/>
    <w:rsid w:val="0075335E"/>
    <w:rsid w:val="007533C0"/>
    <w:rsid w:val="00753CC3"/>
    <w:rsid w:val="007548A9"/>
    <w:rsid w:val="00754B59"/>
    <w:rsid w:val="00754C8F"/>
    <w:rsid w:val="00755D32"/>
    <w:rsid w:val="00756808"/>
    <w:rsid w:val="00757762"/>
    <w:rsid w:val="0076041D"/>
    <w:rsid w:val="0076042A"/>
    <w:rsid w:val="00760585"/>
    <w:rsid w:val="00760910"/>
    <w:rsid w:val="00760AD3"/>
    <w:rsid w:val="00760ECB"/>
    <w:rsid w:val="0076151B"/>
    <w:rsid w:val="007617B1"/>
    <w:rsid w:val="007619EB"/>
    <w:rsid w:val="00761BF5"/>
    <w:rsid w:val="00761DD3"/>
    <w:rsid w:val="0076263D"/>
    <w:rsid w:val="0076288F"/>
    <w:rsid w:val="00762990"/>
    <w:rsid w:val="00763638"/>
    <w:rsid w:val="00763EB5"/>
    <w:rsid w:val="00763FBC"/>
    <w:rsid w:val="00764AC0"/>
    <w:rsid w:val="00765C9B"/>
    <w:rsid w:val="00767D0A"/>
    <w:rsid w:val="00767EC1"/>
    <w:rsid w:val="00767FAA"/>
    <w:rsid w:val="00770176"/>
    <w:rsid w:val="00770F00"/>
    <w:rsid w:val="00771612"/>
    <w:rsid w:val="0077224F"/>
    <w:rsid w:val="00772A44"/>
    <w:rsid w:val="00772BEA"/>
    <w:rsid w:val="007733B1"/>
    <w:rsid w:val="00773B39"/>
    <w:rsid w:val="00774058"/>
    <w:rsid w:val="007745C0"/>
    <w:rsid w:val="00774620"/>
    <w:rsid w:val="00774809"/>
    <w:rsid w:val="00774DC2"/>
    <w:rsid w:val="007751E9"/>
    <w:rsid w:val="007753B9"/>
    <w:rsid w:val="0077563D"/>
    <w:rsid w:val="00776199"/>
    <w:rsid w:val="00776550"/>
    <w:rsid w:val="0077760A"/>
    <w:rsid w:val="007800EF"/>
    <w:rsid w:val="007804A7"/>
    <w:rsid w:val="00780A33"/>
    <w:rsid w:val="0078112E"/>
    <w:rsid w:val="00781864"/>
    <w:rsid w:val="007818A0"/>
    <w:rsid w:val="00782B78"/>
    <w:rsid w:val="00782C1D"/>
    <w:rsid w:val="007836FD"/>
    <w:rsid w:val="00784B20"/>
    <w:rsid w:val="007852E4"/>
    <w:rsid w:val="00785424"/>
    <w:rsid w:val="00785489"/>
    <w:rsid w:val="00785833"/>
    <w:rsid w:val="0078637D"/>
    <w:rsid w:val="00786C1C"/>
    <w:rsid w:val="00786FD6"/>
    <w:rsid w:val="00787083"/>
    <w:rsid w:val="0078734B"/>
    <w:rsid w:val="0078758E"/>
    <w:rsid w:val="00787593"/>
    <w:rsid w:val="00787649"/>
    <w:rsid w:val="00787F13"/>
    <w:rsid w:val="0079038A"/>
    <w:rsid w:val="007904E4"/>
    <w:rsid w:val="00790E98"/>
    <w:rsid w:val="0079143D"/>
    <w:rsid w:val="00791797"/>
    <w:rsid w:val="007928CF"/>
    <w:rsid w:val="007936C6"/>
    <w:rsid w:val="0079381F"/>
    <w:rsid w:val="00793DA7"/>
    <w:rsid w:val="00793FBC"/>
    <w:rsid w:val="007940AE"/>
    <w:rsid w:val="007945D4"/>
    <w:rsid w:val="00794CD3"/>
    <w:rsid w:val="00795493"/>
    <w:rsid w:val="00796297"/>
    <w:rsid w:val="00796B99"/>
    <w:rsid w:val="00796E68"/>
    <w:rsid w:val="00796F36"/>
    <w:rsid w:val="007A130B"/>
    <w:rsid w:val="007A1374"/>
    <w:rsid w:val="007A1917"/>
    <w:rsid w:val="007A1A05"/>
    <w:rsid w:val="007A2210"/>
    <w:rsid w:val="007A2211"/>
    <w:rsid w:val="007A257B"/>
    <w:rsid w:val="007A2A45"/>
    <w:rsid w:val="007A3BF6"/>
    <w:rsid w:val="007A3EF5"/>
    <w:rsid w:val="007A454B"/>
    <w:rsid w:val="007A48F7"/>
    <w:rsid w:val="007A4A4B"/>
    <w:rsid w:val="007A57EA"/>
    <w:rsid w:val="007A58A9"/>
    <w:rsid w:val="007A6058"/>
    <w:rsid w:val="007A713F"/>
    <w:rsid w:val="007A7902"/>
    <w:rsid w:val="007A7F48"/>
    <w:rsid w:val="007B0207"/>
    <w:rsid w:val="007B0625"/>
    <w:rsid w:val="007B0655"/>
    <w:rsid w:val="007B0FAF"/>
    <w:rsid w:val="007B1CAF"/>
    <w:rsid w:val="007B264D"/>
    <w:rsid w:val="007B2A34"/>
    <w:rsid w:val="007B2B33"/>
    <w:rsid w:val="007B2EFC"/>
    <w:rsid w:val="007B3204"/>
    <w:rsid w:val="007B3CE9"/>
    <w:rsid w:val="007B481D"/>
    <w:rsid w:val="007B4D20"/>
    <w:rsid w:val="007B4DCC"/>
    <w:rsid w:val="007B577F"/>
    <w:rsid w:val="007B68C6"/>
    <w:rsid w:val="007B6EC5"/>
    <w:rsid w:val="007B7AF4"/>
    <w:rsid w:val="007C0257"/>
    <w:rsid w:val="007C0C56"/>
    <w:rsid w:val="007C0F25"/>
    <w:rsid w:val="007C10CE"/>
    <w:rsid w:val="007C1ABE"/>
    <w:rsid w:val="007C1C82"/>
    <w:rsid w:val="007C1DFF"/>
    <w:rsid w:val="007C205F"/>
    <w:rsid w:val="007C214A"/>
    <w:rsid w:val="007C353F"/>
    <w:rsid w:val="007C3830"/>
    <w:rsid w:val="007C3BEB"/>
    <w:rsid w:val="007C4355"/>
    <w:rsid w:val="007C573A"/>
    <w:rsid w:val="007C578B"/>
    <w:rsid w:val="007C5FA5"/>
    <w:rsid w:val="007C60AE"/>
    <w:rsid w:val="007C66A7"/>
    <w:rsid w:val="007C6920"/>
    <w:rsid w:val="007C7647"/>
    <w:rsid w:val="007C7714"/>
    <w:rsid w:val="007D1674"/>
    <w:rsid w:val="007D177C"/>
    <w:rsid w:val="007D1C17"/>
    <w:rsid w:val="007D2380"/>
    <w:rsid w:val="007D32A6"/>
    <w:rsid w:val="007D3932"/>
    <w:rsid w:val="007D40DD"/>
    <w:rsid w:val="007D4691"/>
    <w:rsid w:val="007D5538"/>
    <w:rsid w:val="007D5EB8"/>
    <w:rsid w:val="007D6A8F"/>
    <w:rsid w:val="007D6C7F"/>
    <w:rsid w:val="007D70DA"/>
    <w:rsid w:val="007D7243"/>
    <w:rsid w:val="007D763B"/>
    <w:rsid w:val="007D7A7A"/>
    <w:rsid w:val="007D7D6E"/>
    <w:rsid w:val="007E14D4"/>
    <w:rsid w:val="007E197E"/>
    <w:rsid w:val="007E2164"/>
    <w:rsid w:val="007E2423"/>
    <w:rsid w:val="007E2990"/>
    <w:rsid w:val="007E2A0D"/>
    <w:rsid w:val="007E2D09"/>
    <w:rsid w:val="007E2E3B"/>
    <w:rsid w:val="007E2E5A"/>
    <w:rsid w:val="007E30AE"/>
    <w:rsid w:val="007E3A2D"/>
    <w:rsid w:val="007E4147"/>
    <w:rsid w:val="007E480A"/>
    <w:rsid w:val="007E48DC"/>
    <w:rsid w:val="007E50EE"/>
    <w:rsid w:val="007E67D4"/>
    <w:rsid w:val="007E7B22"/>
    <w:rsid w:val="007F0315"/>
    <w:rsid w:val="007F033B"/>
    <w:rsid w:val="007F046B"/>
    <w:rsid w:val="007F0C1D"/>
    <w:rsid w:val="007F0D83"/>
    <w:rsid w:val="007F1017"/>
    <w:rsid w:val="007F1099"/>
    <w:rsid w:val="007F1473"/>
    <w:rsid w:val="007F1560"/>
    <w:rsid w:val="007F3FB7"/>
    <w:rsid w:val="007F490D"/>
    <w:rsid w:val="007F5979"/>
    <w:rsid w:val="007F5DAF"/>
    <w:rsid w:val="007F612B"/>
    <w:rsid w:val="007F6DA3"/>
    <w:rsid w:val="007F6E82"/>
    <w:rsid w:val="0080031D"/>
    <w:rsid w:val="008004F3"/>
    <w:rsid w:val="00800791"/>
    <w:rsid w:val="00801403"/>
    <w:rsid w:val="00801A8C"/>
    <w:rsid w:val="00801E59"/>
    <w:rsid w:val="00802D60"/>
    <w:rsid w:val="00803FBF"/>
    <w:rsid w:val="00804F7A"/>
    <w:rsid w:val="008057FB"/>
    <w:rsid w:val="00806C49"/>
    <w:rsid w:val="0080718E"/>
    <w:rsid w:val="008072F3"/>
    <w:rsid w:val="008074CE"/>
    <w:rsid w:val="008076D4"/>
    <w:rsid w:val="00810555"/>
    <w:rsid w:val="008107C0"/>
    <w:rsid w:val="00811077"/>
    <w:rsid w:val="00811634"/>
    <w:rsid w:val="00812F67"/>
    <w:rsid w:val="008133B4"/>
    <w:rsid w:val="008148EB"/>
    <w:rsid w:val="00814902"/>
    <w:rsid w:val="00814A7D"/>
    <w:rsid w:val="00814C44"/>
    <w:rsid w:val="00814FE5"/>
    <w:rsid w:val="0081561A"/>
    <w:rsid w:val="00815E26"/>
    <w:rsid w:val="008160F4"/>
    <w:rsid w:val="00817A54"/>
    <w:rsid w:val="00817BFB"/>
    <w:rsid w:val="00820BC5"/>
    <w:rsid w:val="00821905"/>
    <w:rsid w:val="00821A71"/>
    <w:rsid w:val="00821C6A"/>
    <w:rsid w:val="00821D6D"/>
    <w:rsid w:val="008223B4"/>
    <w:rsid w:val="0082322E"/>
    <w:rsid w:val="00823232"/>
    <w:rsid w:val="0082425F"/>
    <w:rsid w:val="0082476F"/>
    <w:rsid w:val="00825D0F"/>
    <w:rsid w:val="008263D0"/>
    <w:rsid w:val="008269BD"/>
    <w:rsid w:val="0082729C"/>
    <w:rsid w:val="0082775D"/>
    <w:rsid w:val="00827A73"/>
    <w:rsid w:val="00827CA8"/>
    <w:rsid w:val="00830024"/>
    <w:rsid w:val="0083040C"/>
    <w:rsid w:val="008305E3"/>
    <w:rsid w:val="0083117C"/>
    <w:rsid w:val="00831FA5"/>
    <w:rsid w:val="008326CF"/>
    <w:rsid w:val="0083290F"/>
    <w:rsid w:val="00832E16"/>
    <w:rsid w:val="00833192"/>
    <w:rsid w:val="00833373"/>
    <w:rsid w:val="00833BE0"/>
    <w:rsid w:val="008342D0"/>
    <w:rsid w:val="00834918"/>
    <w:rsid w:val="00834D3D"/>
    <w:rsid w:val="00834DB8"/>
    <w:rsid w:val="00835692"/>
    <w:rsid w:val="008357F3"/>
    <w:rsid w:val="00836BA7"/>
    <w:rsid w:val="00836E67"/>
    <w:rsid w:val="00837AD6"/>
    <w:rsid w:val="008403C1"/>
    <w:rsid w:val="0084077F"/>
    <w:rsid w:val="0084083D"/>
    <w:rsid w:val="008409FF"/>
    <w:rsid w:val="00840CF5"/>
    <w:rsid w:val="008418BD"/>
    <w:rsid w:val="00841F40"/>
    <w:rsid w:val="00842847"/>
    <w:rsid w:val="00842B49"/>
    <w:rsid w:val="00842D39"/>
    <w:rsid w:val="00842F28"/>
    <w:rsid w:val="0084305D"/>
    <w:rsid w:val="00843D01"/>
    <w:rsid w:val="00843FCB"/>
    <w:rsid w:val="00844BDD"/>
    <w:rsid w:val="00844FD9"/>
    <w:rsid w:val="00845796"/>
    <w:rsid w:val="00845D68"/>
    <w:rsid w:val="00846835"/>
    <w:rsid w:val="00850639"/>
    <w:rsid w:val="0085080B"/>
    <w:rsid w:val="00850B13"/>
    <w:rsid w:val="00850E28"/>
    <w:rsid w:val="00850F9C"/>
    <w:rsid w:val="008513CC"/>
    <w:rsid w:val="0085187D"/>
    <w:rsid w:val="008519BE"/>
    <w:rsid w:val="00851A53"/>
    <w:rsid w:val="00851FF5"/>
    <w:rsid w:val="00852EC9"/>
    <w:rsid w:val="0085323D"/>
    <w:rsid w:val="00854691"/>
    <w:rsid w:val="008549F8"/>
    <w:rsid w:val="00854C13"/>
    <w:rsid w:val="00855932"/>
    <w:rsid w:val="00855B1A"/>
    <w:rsid w:val="00857EFF"/>
    <w:rsid w:val="0086015E"/>
    <w:rsid w:val="00860565"/>
    <w:rsid w:val="00860E74"/>
    <w:rsid w:val="00860FDA"/>
    <w:rsid w:val="008616EA"/>
    <w:rsid w:val="008620DF"/>
    <w:rsid w:val="008622D2"/>
    <w:rsid w:val="00862494"/>
    <w:rsid w:val="0086253A"/>
    <w:rsid w:val="0086307B"/>
    <w:rsid w:val="0086370B"/>
    <w:rsid w:val="008644C4"/>
    <w:rsid w:val="00864ABE"/>
    <w:rsid w:val="00864ED9"/>
    <w:rsid w:val="00865E17"/>
    <w:rsid w:val="00865E18"/>
    <w:rsid w:val="0086714A"/>
    <w:rsid w:val="00867FCD"/>
    <w:rsid w:val="00870BD4"/>
    <w:rsid w:val="0087102F"/>
    <w:rsid w:val="008721E6"/>
    <w:rsid w:val="0087269C"/>
    <w:rsid w:val="00872865"/>
    <w:rsid w:val="00872B26"/>
    <w:rsid w:val="00873960"/>
    <w:rsid w:val="00873DAB"/>
    <w:rsid w:val="00873DCE"/>
    <w:rsid w:val="00874352"/>
    <w:rsid w:val="00874EFE"/>
    <w:rsid w:val="008758DE"/>
    <w:rsid w:val="00875922"/>
    <w:rsid w:val="0087674C"/>
    <w:rsid w:val="00877381"/>
    <w:rsid w:val="0087739F"/>
    <w:rsid w:val="00877895"/>
    <w:rsid w:val="00880569"/>
    <w:rsid w:val="008807AF"/>
    <w:rsid w:val="008807CD"/>
    <w:rsid w:val="008808A3"/>
    <w:rsid w:val="00880FE3"/>
    <w:rsid w:val="00881E26"/>
    <w:rsid w:val="00882658"/>
    <w:rsid w:val="00882F21"/>
    <w:rsid w:val="00883482"/>
    <w:rsid w:val="00883567"/>
    <w:rsid w:val="0088360C"/>
    <w:rsid w:val="00883618"/>
    <w:rsid w:val="00883AF0"/>
    <w:rsid w:val="00883ED6"/>
    <w:rsid w:val="0088409B"/>
    <w:rsid w:val="008840E7"/>
    <w:rsid w:val="00884217"/>
    <w:rsid w:val="00884AF5"/>
    <w:rsid w:val="00885290"/>
    <w:rsid w:val="0088703A"/>
    <w:rsid w:val="00887081"/>
    <w:rsid w:val="00887284"/>
    <w:rsid w:val="008906AF"/>
    <w:rsid w:val="00890FD1"/>
    <w:rsid w:val="0089128B"/>
    <w:rsid w:val="008918DB"/>
    <w:rsid w:val="008923A0"/>
    <w:rsid w:val="008927EB"/>
    <w:rsid w:val="008929DA"/>
    <w:rsid w:val="00892AB6"/>
    <w:rsid w:val="008938C6"/>
    <w:rsid w:val="008942B4"/>
    <w:rsid w:val="00894E13"/>
    <w:rsid w:val="00894FEC"/>
    <w:rsid w:val="008957A5"/>
    <w:rsid w:val="00896D86"/>
    <w:rsid w:val="00897585"/>
    <w:rsid w:val="00897966"/>
    <w:rsid w:val="008A0D7D"/>
    <w:rsid w:val="008A119C"/>
    <w:rsid w:val="008A15F4"/>
    <w:rsid w:val="008A1718"/>
    <w:rsid w:val="008A1A93"/>
    <w:rsid w:val="008A28CF"/>
    <w:rsid w:val="008A307B"/>
    <w:rsid w:val="008A32BC"/>
    <w:rsid w:val="008A3903"/>
    <w:rsid w:val="008A43CA"/>
    <w:rsid w:val="008A4BF1"/>
    <w:rsid w:val="008A4DFB"/>
    <w:rsid w:val="008A638A"/>
    <w:rsid w:val="008A6A0C"/>
    <w:rsid w:val="008A7954"/>
    <w:rsid w:val="008A7D8B"/>
    <w:rsid w:val="008A7ED6"/>
    <w:rsid w:val="008B077F"/>
    <w:rsid w:val="008B084B"/>
    <w:rsid w:val="008B1364"/>
    <w:rsid w:val="008B1B83"/>
    <w:rsid w:val="008B1C96"/>
    <w:rsid w:val="008B3211"/>
    <w:rsid w:val="008B38D8"/>
    <w:rsid w:val="008B3CA0"/>
    <w:rsid w:val="008B3F30"/>
    <w:rsid w:val="008B59E9"/>
    <w:rsid w:val="008B62B6"/>
    <w:rsid w:val="008B7708"/>
    <w:rsid w:val="008B7A1B"/>
    <w:rsid w:val="008B7D5F"/>
    <w:rsid w:val="008C03F3"/>
    <w:rsid w:val="008C06B0"/>
    <w:rsid w:val="008C134A"/>
    <w:rsid w:val="008C16D9"/>
    <w:rsid w:val="008C201C"/>
    <w:rsid w:val="008C214A"/>
    <w:rsid w:val="008C2527"/>
    <w:rsid w:val="008C2CC4"/>
    <w:rsid w:val="008C3337"/>
    <w:rsid w:val="008C3BA2"/>
    <w:rsid w:val="008C4873"/>
    <w:rsid w:val="008C520C"/>
    <w:rsid w:val="008C5A69"/>
    <w:rsid w:val="008C63DD"/>
    <w:rsid w:val="008C7868"/>
    <w:rsid w:val="008C7C45"/>
    <w:rsid w:val="008D06F3"/>
    <w:rsid w:val="008D0890"/>
    <w:rsid w:val="008D09A6"/>
    <w:rsid w:val="008D1D39"/>
    <w:rsid w:val="008D2272"/>
    <w:rsid w:val="008D2BBF"/>
    <w:rsid w:val="008D2D73"/>
    <w:rsid w:val="008D2F52"/>
    <w:rsid w:val="008D331D"/>
    <w:rsid w:val="008D355B"/>
    <w:rsid w:val="008D3D6D"/>
    <w:rsid w:val="008D3E7A"/>
    <w:rsid w:val="008D455A"/>
    <w:rsid w:val="008D4B6E"/>
    <w:rsid w:val="008D524C"/>
    <w:rsid w:val="008D5B25"/>
    <w:rsid w:val="008D5BDB"/>
    <w:rsid w:val="008D6006"/>
    <w:rsid w:val="008D6387"/>
    <w:rsid w:val="008D64BE"/>
    <w:rsid w:val="008D6952"/>
    <w:rsid w:val="008D69B7"/>
    <w:rsid w:val="008D6A1B"/>
    <w:rsid w:val="008D73C1"/>
    <w:rsid w:val="008D7AD2"/>
    <w:rsid w:val="008D7C43"/>
    <w:rsid w:val="008E0778"/>
    <w:rsid w:val="008E0CCD"/>
    <w:rsid w:val="008E19C3"/>
    <w:rsid w:val="008E1F3F"/>
    <w:rsid w:val="008E31F2"/>
    <w:rsid w:val="008E3D9F"/>
    <w:rsid w:val="008E3FA8"/>
    <w:rsid w:val="008E42EB"/>
    <w:rsid w:val="008E4622"/>
    <w:rsid w:val="008E4AE7"/>
    <w:rsid w:val="008E4C84"/>
    <w:rsid w:val="008E4D0C"/>
    <w:rsid w:val="008E52B0"/>
    <w:rsid w:val="008E5552"/>
    <w:rsid w:val="008E560C"/>
    <w:rsid w:val="008E6D4A"/>
    <w:rsid w:val="008E7BE1"/>
    <w:rsid w:val="008F00CF"/>
    <w:rsid w:val="008F0419"/>
    <w:rsid w:val="008F0EAB"/>
    <w:rsid w:val="008F1E49"/>
    <w:rsid w:val="008F1F84"/>
    <w:rsid w:val="008F2396"/>
    <w:rsid w:val="008F2FCD"/>
    <w:rsid w:val="008F3024"/>
    <w:rsid w:val="008F48D3"/>
    <w:rsid w:val="008F60A4"/>
    <w:rsid w:val="008F7C19"/>
    <w:rsid w:val="008F7C72"/>
    <w:rsid w:val="008F7E0A"/>
    <w:rsid w:val="00900A12"/>
    <w:rsid w:val="00902238"/>
    <w:rsid w:val="009024CD"/>
    <w:rsid w:val="00903AC1"/>
    <w:rsid w:val="00903AFD"/>
    <w:rsid w:val="00903F2F"/>
    <w:rsid w:val="009055E5"/>
    <w:rsid w:val="009069EA"/>
    <w:rsid w:val="00906A0B"/>
    <w:rsid w:val="0090759F"/>
    <w:rsid w:val="00907E2B"/>
    <w:rsid w:val="00911056"/>
    <w:rsid w:val="0091111C"/>
    <w:rsid w:val="009111B7"/>
    <w:rsid w:val="00911D72"/>
    <w:rsid w:val="009123E7"/>
    <w:rsid w:val="009123FB"/>
    <w:rsid w:val="00913504"/>
    <w:rsid w:val="00913605"/>
    <w:rsid w:val="009136F5"/>
    <w:rsid w:val="00913BF9"/>
    <w:rsid w:val="00913ED8"/>
    <w:rsid w:val="00913FA1"/>
    <w:rsid w:val="00914D55"/>
    <w:rsid w:val="0091506E"/>
    <w:rsid w:val="00915281"/>
    <w:rsid w:val="009159DF"/>
    <w:rsid w:val="00915CAA"/>
    <w:rsid w:val="00916C9E"/>
    <w:rsid w:val="009170B9"/>
    <w:rsid w:val="00917599"/>
    <w:rsid w:val="009175AC"/>
    <w:rsid w:val="00917C48"/>
    <w:rsid w:val="00917D66"/>
    <w:rsid w:val="0092013E"/>
    <w:rsid w:val="00920546"/>
    <w:rsid w:val="009206C1"/>
    <w:rsid w:val="0092097A"/>
    <w:rsid w:val="009210F7"/>
    <w:rsid w:val="009234ED"/>
    <w:rsid w:val="00923A4C"/>
    <w:rsid w:val="00925596"/>
    <w:rsid w:val="00925D0E"/>
    <w:rsid w:val="00926107"/>
    <w:rsid w:val="00926341"/>
    <w:rsid w:val="0092680D"/>
    <w:rsid w:val="00927498"/>
    <w:rsid w:val="009279EC"/>
    <w:rsid w:val="00930592"/>
    <w:rsid w:val="00930766"/>
    <w:rsid w:val="00930F4E"/>
    <w:rsid w:val="00931B2D"/>
    <w:rsid w:val="009327FD"/>
    <w:rsid w:val="00932E9F"/>
    <w:rsid w:val="009331E5"/>
    <w:rsid w:val="009335E4"/>
    <w:rsid w:val="00934118"/>
    <w:rsid w:val="009351EF"/>
    <w:rsid w:val="009353A4"/>
    <w:rsid w:val="009355BB"/>
    <w:rsid w:val="0093636E"/>
    <w:rsid w:val="009370F8"/>
    <w:rsid w:val="0093714B"/>
    <w:rsid w:val="009374DE"/>
    <w:rsid w:val="00937F8B"/>
    <w:rsid w:val="0094011B"/>
    <w:rsid w:val="009402D9"/>
    <w:rsid w:val="009406AA"/>
    <w:rsid w:val="00941159"/>
    <w:rsid w:val="009419F5"/>
    <w:rsid w:val="00941A6C"/>
    <w:rsid w:val="00941B45"/>
    <w:rsid w:val="00942338"/>
    <w:rsid w:val="009424AA"/>
    <w:rsid w:val="00942677"/>
    <w:rsid w:val="0094322E"/>
    <w:rsid w:val="009435FA"/>
    <w:rsid w:val="009436CA"/>
    <w:rsid w:val="00944ACC"/>
    <w:rsid w:val="00944F40"/>
    <w:rsid w:val="00945073"/>
    <w:rsid w:val="00945795"/>
    <w:rsid w:val="00945EAA"/>
    <w:rsid w:val="009464C9"/>
    <w:rsid w:val="009469A0"/>
    <w:rsid w:val="00947354"/>
    <w:rsid w:val="009476F7"/>
    <w:rsid w:val="009477D7"/>
    <w:rsid w:val="00947D22"/>
    <w:rsid w:val="00950255"/>
    <w:rsid w:val="00950783"/>
    <w:rsid w:val="009520EB"/>
    <w:rsid w:val="0095285B"/>
    <w:rsid w:val="00952DC6"/>
    <w:rsid w:val="00952EC2"/>
    <w:rsid w:val="00952F1F"/>
    <w:rsid w:val="00953D34"/>
    <w:rsid w:val="00953E90"/>
    <w:rsid w:val="009543D7"/>
    <w:rsid w:val="009545A6"/>
    <w:rsid w:val="009547DC"/>
    <w:rsid w:val="009548AC"/>
    <w:rsid w:val="009553A3"/>
    <w:rsid w:val="00955A1B"/>
    <w:rsid w:val="00955A74"/>
    <w:rsid w:val="009566C4"/>
    <w:rsid w:val="00957171"/>
    <w:rsid w:val="00957219"/>
    <w:rsid w:val="00957731"/>
    <w:rsid w:val="00957B4F"/>
    <w:rsid w:val="00957CC2"/>
    <w:rsid w:val="00957CEC"/>
    <w:rsid w:val="0096054A"/>
    <w:rsid w:val="009607CC"/>
    <w:rsid w:val="00961E90"/>
    <w:rsid w:val="009621CD"/>
    <w:rsid w:val="00962427"/>
    <w:rsid w:val="0096351B"/>
    <w:rsid w:val="0096485E"/>
    <w:rsid w:val="0096581E"/>
    <w:rsid w:val="00965953"/>
    <w:rsid w:val="00965C1B"/>
    <w:rsid w:val="00965D78"/>
    <w:rsid w:val="009668D0"/>
    <w:rsid w:val="00966954"/>
    <w:rsid w:val="0096768D"/>
    <w:rsid w:val="00967CFB"/>
    <w:rsid w:val="00967FDF"/>
    <w:rsid w:val="00970014"/>
    <w:rsid w:val="00970DDF"/>
    <w:rsid w:val="009711CD"/>
    <w:rsid w:val="009718C2"/>
    <w:rsid w:val="00971C0C"/>
    <w:rsid w:val="00971C35"/>
    <w:rsid w:val="0097239D"/>
    <w:rsid w:val="009729D8"/>
    <w:rsid w:val="00972BB9"/>
    <w:rsid w:val="00972BD8"/>
    <w:rsid w:val="00972C0C"/>
    <w:rsid w:val="00972E1E"/>
    <w:rsid w:val="009738FB"/>
    <w:rsid w:val="009739FB"/>
    <w:rsid w:val="00973D04"/>
    <w:rsid w:val="00974FC8"/>
    <w:rsid w:val="00975921"/>
    <w:rsid w:val="00975AB0"/>
    <w:rsid w:val="00975C3B"/>
    <w:rsid w:val="00975C76"/>
    <w:rsid w:val="00976400"/>
    <w:rsid w:val="009768CD"/>
    <w:rsid w:val="00976AF8"/>
    <w:rsid w:val="009777D5"/>
    <w:rsid w:val="0098017A"/>
    <w:rsid w:val="009809E8"/>
    <w:rsid w:val="00980A13"/>
    <w:rsid w:val="00981096"/>
    <w:rsid w:val="009819C0"/>
    <w:rsid w:val="00981B73"/>
    <w:rsid w:val="009824FA"/>
    <w:rsid w:val="0098256D"/>
    <w:rsid w:val="00983316"/>
    <w:rsid w:val="009833D5"/>
    <w:rsid w:val="00984025"/>
    <w:rsid w:val="009848D0"/>
    <w:rsid w:val="009851B5"/>
    <w:rsid w:val="0098530C"/>
    <w:rsid w:val="00985B55"/>
    <w:rsid w:val="009864F3"/>
    <w:rsid w:val="009865BB"/>
    <w:rsid w:val="009868B3"/>
    <w:rsid w:val="009868FE"/>
    <w:rsid w:val="00986C3D"/>
    <w:rsid w:val="00986C94"/>
    <w:rsid w:val="009900E8"/>
    <w:rsid w:val="0099023E"/>
    <w:rsid w:val="009906FD"/>
    <w:rsid w:val="0099078B"/>
    <w:rsid w:val="00991579"/>
    <w:rsid w:val="00991D0F"/>
    <w:rsid w:val="00991EF1"/>
    <w:rsid w:val="00992E9F"/>
    <w:rsid w:val="0099392D"/>
    <w:rsid w:val="00993A5A"/>
    <w:rsid w:val="00993ED3"/>
    <w:rsid w:val="00995916"/>
    <w:rsid w:val="0099601E"/>
    <w:rsid w:val="00996383"/>
    <w:rsid w:val="009966DF"/>
    <w:rsid w:val="00996AFA"/>
    <w:rsid w:val="00997553"/>
    <w:rsid w:val="00997B03"/>
    <w:rsid w:val="009A0315"/>
    <w:rsid w:val="009A0667"/>
    <w:rsid w:val="009A0E9A"/>
    <w:rsid w:val="009A1E5D"/>
    <w:rsid w:val="009A1E7B"/>
    <w:rsid w:val="009A1F59"/>
    <w:rsid w:val="009A2279"/>
    <w:rsid w:val="009A28DC"/>
    <w:rsid w:val="009A3B7D"/>
    <w:rsid w:val="009A3E15"/>
    <w:rsid w:val="009A3F7D"/>
    <w:rsid w:val="009A49D2"/>
    <w:rsid w:val="009A4ADE"/>
    <w:rsid w:val="009A4C0B"/>
    <w:rsid w:val="009A4D87"/>
    <w:rsid w:val="009A4F94"/>
    <w:rsid w:val="009A545D"/>
    <w:rsid w:val="009A54D1"/>
    <w:rsid w:val="009A66D0"/>
    <w:rsid w:val="009A6C97"/>
    <w:rsid w:val="009A70AD"/>
    <w:rsid w:val="009A7E2E"/>
    <w:rsid w:val="009B07D9"/>
    <w:rsid w:val="009B0B6E"/>
    <w:rsid w:val="009B1261"/>
    <w:rsid w:val="009B14B6"/>
    <w:rsid w:val="009B25D1"/>
    <w:rsid w:val="009B25FF"/>
    <w:rsid w:val="009B3329"/>
    <w:rsid w:val="009B3456"/>
    <w:rsid w:val="009B35A9"/>
    <w:rsid w:val="009B37EE"/>
    <w:rsid w:val="009B3D09"/>
    <w:rsid w:val="009B42DE"/>
    <w:rsid w:val="009B4F88"/>
    <w:rsid w:val="009B52C6"/>
    <w:rsid w:val="009B5C8B"/>
    <w:rsid w:val="009B63AB"/>
    <w:rsid w:val="009B7C38"/>
    <w:rsid w:val="009C059E"/>
    <w:rsid w:val="009C06E7"/>
    <w:rsid w:val="009C0C61"/>
    <w:rsid w:val="009C0FF8"/>
    <w:rsid w:val="009C1C1B"/>
    <w:rsid w:val="009C1DE8"/>
    <w:rsid w:val="009C2395"/>
    <w:rsid w:val="009C29DB"/>
    <w:rsid w:val="009C3D5D"/>
    <w:rsid w:val="009C43CC"/>
    <w:rsid w:val="009C4826"/>
    <w:rsid w:val="009C49AE"/>
    <w:rsid w:val="009C510A"/>
    <w:rsid w:val="009C5E25"/>
    <w:rsid w:val="009C6134"/>
    <w:rsid w:val="009C6C19"/>
    <w:rsid w:val="009C700C"/>
    <w:rsid w:val="009C742F"/>
    <w:rsid w:val="009C75E3"/>
    <w:rsid w:val="009C7665"/>
    <w:rsid w:val="009C7A5A"/>
    <w:rsid w:val="009C7FBD"/>
    <w:rsid w:val="009D2701"/>
    <w:rsid w:val="009D348F"/>
    <w:rsid w:val="009D4C09"/>
    <w:rsid w:val="009D5355"/>
    <w:rsid w:val="009D563E"/>
    <w:rsid w:val="009D67C4"/>
    <w:rsid w:val="009D6C32"/>
    <w:rsid w:val="009D7363"/>
    <w:rsid w:val="009D75B7"/>
    <w:rsid w:val="009E014A"/>
    <w:rsid w:val="009E063A"/>
    <w:rsid w:val="009E0FE4"/>
    <w:rsid w:val="009E1810"/>
    <w:rsid w:val="009E1D0F"/>
    <w:rsid w:val="009E1E4F"/>
    <w:rsid w:val="009E2958"/>
    <w:rsid w:val="009E2E94"/>
    <w:rsid w:val="009E3D05"/>
    <w:rsid w:val="009E44A8"/>
    <w:rsid w:val="009E46AF"/>
    <w:rsid w:val="009E4AB0"/>
    <w:rsid w:val="009E5213"/>
    <w:rsid w:val="009E5322"/>
    <w:rsid w:val="009E5A7C"/>
    <w:rsid w:val="009E6196"/>
    <w:rsid w:val="009E6F1C"/>
    <w:rsid w:val="009E73B2"/>
    <w:rsid w:val="009E768B"/>
    <w:rsid w:val="009E7950"/>
    <w:rsid w:val="009E7B2B"/>
    <w:rsid w:val="009E7EE8"/>
    <w:rsid w:val="009F0379"/>
    <w:rsid w:val="009F0B09"/>
    <w:rsid w:val="009F0FD1"/>
    <w:rsid w:val="009F1D19"/>
    <w:rsid w:val="009F2E00"/>
    <w:rsid w:val="009F33D4"/>
    <w:rsid w:val="009F36A1"/>
    <w:rsid w:val="009F4570"/>
    <w:rsid w:val="009F508E"/>
    <w:rsid w:val="009F7D2F"/>
    <w:rsid w:val="00A00151"/>
    <w:rsid w:val="00A01EA7"/>
    <w:rsid w:val="00A02664"/>
    <w:rsid w:val="00A02D8B"/>
    <w:rsid w:val="00A03ECA"/>
    <w:rsid w:val="00A044D4"/>
    <w:rsid w:val="00A04A9A"/>
    <w:rsid w:val="00A05486"/>
    <w:rsid w:val="00A05D0E"/>
    <w:rsid w:val="00A062DF"/>
    <w:rsid w:val="00A06637"/>
    <w:rsid w:val="00A0663A"/>
    <w:rsid w:val="00A06B4D"/>
    <w:rsid w:val="00A07736"/>
    <w:rsid w:val="00A07DF0"/>
    <w:rsid w:val="00A07F0A"/>
    <w:rsid w:val="00A10303"/>
    <w:rsid w:val="00A104C1"/>
    <w:rsid w:val="00A1060F"/>
    <w:rsid w:val="00A10839"/>
    <w:rsid w:val="00A10AE8"/>
    <w:rsid w:val="00A11014"/>
    <w:rsid w:val="00A11112"/>
    <w:rsid w:val="00A111BF"/>
    <w:rsid w:val="00A11214"/>
    <w:rsid w:val="00A1159D"/>
    <w:rsid w:val="00A11C13"/>
    <w:rsid w:val="00A11D73"/>
    <w:rsid w:val="00A12F81"/>
    <w:rsid w:val="00A13285"/>
    <w:rsid w:val="00A134E7"/>
    <w:rsid w:val="00A13654"/>
    <w:rsid w:val="00A13B69"/>
    <w:rsid w:val="00A13BC6"/>
    <w:rsid w:val="00A1415E"/>
    <w:rsid w:val="00A143CF"/>
    <w:rsid w:val="00A147A9"/>
    <w:rsid w:val="00A16537"/>
    <w:rsid w:val="00A1658F"/>
    <w:rsid w:val="00A16F62"/>
    <w:rsid w:val="00A20A44"/>
    <w:rsid w:val="00A2155C"/>
    <w:rsid w:val="00A21945"/>
    <w:rsid w:val="00A21EC1"/>
    <w:rsid w:val="00A22BD3"/>
    <w:rsid w:val="00A22C1F"/>
    <w:rsid w:val="00A22C43"/>
    <w:rsid w:val="00A22CE8"/>
    <w:rsid w:val="00A23055"/>
    <w:rsid w:val="00A247BB"/>
    <w:rsid w:val="00A24B3A"/>
    <w:rsid w:val="00A24CAA"/>
    <w:rsid w:val="00A26DD7"/>
    <w:rsid w:val="00A26F91"/>
    <w:rsid w:val="00A2701E"/>
    <w:rsid w:val="00A272BD"/>
    <w:rsid w:val="00A27446"/>
    <w:rsid w:val="00A27FD9"/>
    <w:rsid w:val="00A27FE2"/>
    <w:rsid w:val="00A300E4"/>
    <w:rsid w:val="00A319DA"/>
    <w:rsid w:val="00A31CCC"/>
    <w:rsid w:val="00A321FA"/>
    <w:rsid w:val="00A3258B"/>
    <w:rsid w:val="00A339BB"/>
    <w:rsid w:val="00A34EB9"/>
    <w:rsid w:val="00A35C95"/>
    <w:rsid w:val="00A35D24"/>
    <w:rsid w:val="00A3612E"/>
    <w:rsid w:val="00A37B87"/>
    <w:rsid w:val="00A37FA0"/>
    <w:rsid w:val="00A4016D"/>
    <w:rsid w:val="00A40933"/>
    <w:rsid w:val="00A41211"/>
    <w:rsid w:val="00A41C12"/>
    <w:rsid w:val="00A41D65"/>
    <w:rsid w:val="00A41D6D"/>
    <w:rsid w:val="00A42399"/>
    <w:rsid w:val="00A42C0F"/>
    <w:rsid w:val="00A42FA3"/>
    <w:rsid w:val="00A4304D"/>
    <w:rsid w:val="00A43586"/>
    <w:rsid w:val="00A43652"/>
    <w:rsid w:val="00A43BCA"/>
    <w:rsid w:val="00A43BCF"/>
    <w:rsid w:val="00A4412B"/>
    <w:rsid w:val="00A4430D"/>
    <w:rsid w:val="00A44A57"/>
    <w:rsid w:val="00A453DB"/>
    <w:rsid w:val="00A45F37"/>
    <w:rsid w:val="00A46B32"/>
    <w:rsid w:val="00A477AD"/>
    <w:rsid w:val="00A50C84"/>
    <w:rsid w:val="00A5120D"/>
    <w:rsid w:val="00A514EA"/>
    <w:rsid w:val="00A51771"/>
    <w:rsid w:val="00A51A01"/>
    <w:rsid w:val="00A5341A"/>
    <w:rsid w:val="00A5348E"/>
    <w:rsid w:val="00A53FDD"/>
    <w:rsid w:val="00A54A5A"/>
    <w:rsid w:val="00A55092"/>
    <w:rsid w:val="00A55397"/>
    <w:rsid w:val="00A55966"/>
    <w:rsid w:val="00A56748"/>
    <w:rsid w:val="00A568A1"/>
    <w:rsid w:val="00A56ADF"/>
    <w:rsid w:val="00A57596"/>
    <w:rsid w:val="00A57A1F"/>
    <w:rsid w:val="00A6007C"/>
    <w:rsid w:val="00A60180"/>
    <w:rsid w:val="00A602EF"/>
    <w:rsid w:val="00A6031E"/>
    <w:rsid w:val="00A60E27"/>
    <w:rsid w:val="00A60F21"/>
    <w:rsid w:val="00A61929"/>
    <w:rsid w:val="00A619F8"/>
    <w:rsid w:val="00A62C84"/>
    <w:rsid w:val="00A62CBC"/>
    <w:rsid w:val="00A6366A"/>
    <w:rsid w:val="00A63BFA"/>
    <w:rsid w:val="00A657D7"/>
    <w:rsid w:val="00A65BAD"/>
    <w:rsid w:val="00A65DCC"/>
    <w:rsid w:val="00A65FEA"/>
    <w:rsid w:val="00A66351"/>
    <w:rsid w:val="00A66A1F"/>
    <w:rsid w:val="00A66C3B"/>
    <w:rsid w:val="00A670D7"/>
    <w:rsid w:val="00A70C04"/>
    <w:rsid w:val="00A70EA9"/>
    <w:rsid w:val="00A71ED7"/>
    <w:rsid w:val="00A72244"/>
    <w:rsid w:val="00A73189"/>
    <w:rsid w:val="00A736E5"/>
    <w:rsid w:val="00A73B9A"/>
    <w:rsid w:val="00A7440F"/>
    <w:rsid w:val="00A7455E"/>
    <w:rsid w:val="00A75D7B"/>
    <w:rsid w:val="00A75FC5"/>
    <w:rsid w:val="00A7611D"/>
    <w:rsid w:val="00A76861"/>
    <w:rsid w:val="00A76A12"/>
    <w:rsid w:val="00A76E57"/>
    <w:rsid w:val="00A77179"/>
    <w:rsid w:val="00A77540"/>
    <w:rsid w:val="00A7766B"/>
    <w:rsid w:val="00A77AE5"/>
    <w:rsid w:val="00A80697"/>
    <w:rsid w:val="00A80792"/>
    <w:rsid w:val="00A80907"/>
    <w:rsid w:val="00A80B6E"/>
    <w:rsid w:val="00A80DB0"/>
    <w:rsid w:val="00A8209F"/>
    <w:rsid w:val="00A82DAA"/>
    <w:rsid w:val="00A82DB5"/>
    <w:rsid w:val="00A82E10"/>
    <w:rsid w:val="00A83B52"/>
    <w:rsid w:val="00A83CE5"/>
    <w:rsid w:val="00A84000"/>
    <w:rsid w:val="00A846A8"/>
    <w:rsid w:val="00A849BF"/>
    <w:rsid w:val="00A85165"/>
    <w:rsid w:val="00A85E33"/>
    <w:rsid w:val="00A86AE5"/>
    <w:rsid w:val="00A903EA"/>
    <w:rsid w:val="00A90C00"/>
    <w:rsid w:val="00A90EDB"/>
    <w:rsid w:val="00A91569"/>
    <w:rsid w:val="00A920CC"/>
    <w:rsid w:val="00A9247A"/>
    <w:rsid w:val="00A925FF"/>
    <w:rsid w:val="00A9261F"/>
    <w:rsid w:val="00A92691"/>
    <w:rsid w:val="00A928C5"/>
    <w:rsid w:val="00A9302E"/>
    <w:rsid w:val="00A9394F"/>
    <w:rsid w:val="00A93AF8"/>
    <w:rsid w:val="00A94DA1"/>
    <w:rsid w:val="00A95D8F"/>
    <w:rsid w:val="00A961BF"/>
    <w:rsid w:val="00A967B8"/>
    <w:rsid w:val="00A97298"/>
    <w:rsid w:val="00A97885"/>
    <w:rsid w:val="00A97F15"/>
    <w:rsid w:val="00AA01A6"/>
    <w:rsid w:val="00AA047A"/>
    <w:rsid w:val="00AA0D9C"/>
    <w:rsid w:val="00AA0F0C"/>
    <w:rsid w:val="00AA1316"/>
    <w:rsid w:val="00AA16E8"/>
    <w:rsid w:val="00AA24D2"/>
    <w:rsid w:val="00AA37C3"/>
    <w:rsid w:val="00AA4D26"/>
    <w:rsid w:val="00AA4D5C"/>
    <w:rsid w:val="00AA4EB3"/>
    <w:rsid w:val="00AA4FF4"/>
    <w:rsid w:val="00AA5311"/>
    <w:rsid w:val="00AA56B0"/>
    <w:rsid w:val="00AA5D26"/>
    <w:rsid w:val="00AA67D8"/>
    <w:rsid w:val="00AA69E4"/>
    <w:rsid w:val="00AA720E"/>
    <w:rsid w:val="00AA75EC"/>
    <w:rsid w:val="00AA7C77"/>
    <w:rsid w:val="00AB0282"/>
    <w:rsid w:val="00AB0C53"/>
    <w:rsid w:val="00AB0CCD"/>
    <w:rsid w:val="00AB1328"/>
    <w:rsid w:val="00AB1FD7"/>
    <w:rsid w:val="00AB2B06"/>
    <w:rsid w:val="00AB2DCE"/>
    <w:rsid w:val="00AB33D9"/>
    <w:rsid w:val="00AB33EA"/>
    <w:rsid w:val="00AB39CA"/>
    <w:rsid w:val="00AB3B33"/>
    <w:rsid w:val="00AB41E2"/>
    <w:rsid w:val="00AB420D"/>
    <w:rsid w:val="00AB43CD"/>
    <w:rsid w:val="00AB5B52"/>
    <w:rsid w:val="00AB5C7D"/>
    <w:rsid w:val="00AB7047"/>
    <w:rsid w:val="00AB7324"/>
    <w:rsid w:val="00AB73E3"/>
    <w:rsid w:val="00AB7FF2"/>
    <w:rsid w:val="00AC1E9C"/>
    <w:rsid w:val="00AC2785"/>
    <w:rsid w:val="00AC30C1"/>
    <w:rsid w:val="00AC3F7D"/>
    <w:rsid w:val="00AC4550"/>
    <w:rsid w:val="00AC508D"/>
    <w:rsid w:val="00AC51A8"/>
    <w:rsid w:val="00AC5467"/>
    <w:rsid w:val="00AC5A62"/>
    <w:rsid w:val="00AC6156"/>
    <w:rsid w:val="00AC624A"/>
    <w:rsid w:val="00AC664B"/>
    <w:rsid w:val="00AC7E8E"/>
    <w:rsid w:val="00AD01A7"/>
    <w:rsid w:val="00AD097E"/>
    <w:rsid w:val="00AD0B7E"/>
    <w:rsid w:val="00AD1D50"/>
    <w:rsid w:val="00AD242E"/>
    <w:rsid w:val="00AD276B"/>
    <w:rsid w:val="00AD30A2"/>
    <w:rsid w:val="00AD3659"/>
    <w:rsid w:val="00AD3DA5"/>
    <w:rsid w:val="00AD4C92"/>
    <w:rsid w:val="00AD53EF"/>
    <w:rsid w:val="00AD5E28"/>
    <w:rsid w:val="00AD5EBA"/>
    <w:rsid w:val="00AD6638"/>
    <w:rsid w:val="00AD7444"/>
    <w:rsid w:val="00AD77AE"/>
    <w:rsid w:val="00AD7FA0"/>
    <w:rsid w:val="00AE0181"/>
    <w:rsid w:val="00AE0BA3"/>
    <w:rsid w:val="00AE1693"/>
    <w:rsid w:val="00AE1F02"/>
    <w:rsid w:val="00AE1FD1"/>
    <w:rsid w:val="00AE2D95"/>
    <w:rsid w:val="00AE31D8"/>
    <w:rsid w:val="00AE38CF"/>
    <w:rsid w:val="00AE43FE"/>
    <w:rsid w:val="00AE4B46"/>
    <w:rsid w:val="00AE4FF7"/>
    <w:rsid w:val="00AE548E"/>
    <w:rsid w:val="00AE55F6"/>
    <w:rsid w:val="00AE56B8"/>
    <w:rsid w:val="00AE64E3"/>
    <w:rsid w:val="00AE675E"/>
    <w:rsid w:val="00AE67F1"/>
    <w:rsid w:val="00AE6BC0"/>
    <w:rsid w:val="00AE6CEF"/>
    <w:rsid w:val="00AF05CE"/>
    <w:rsid w:val="00AF0635"/>
    <w:rsid w:val="00AF09FE"/>
    <w:rsid w:val="00AF0A99"/>
    <w:rsid w:val="00AF0D5C"/>
    <w:rsid w:val="00AF1870"/>
    <w:rsid w:val="00AF1958"/>
    <w:rsid w:val="00AF2022"/>
    <w:rsid w:val="00AF220D"/>
    <w:rsid w:val="00AF27BD"/>
    <w:rsid w:val="00AF2B60"/>
    <w:rsid w:val="00AF2DD4"/>
    <w:rsid w:val="00AF2F3E"/>
    <w:rsid w:val="00AF386F"/>
    <w:rsid w:val="00AF38D1"/>
    <w:rsid w:val="00AF3A6C"/>
    <w:rsid w:val="00AF3DCB"/>
    <w:rsid w:val="00AF4A02"/>
    <w:rsid w:val="00AF5438"/>
    <w:rsid w:val="00AF676E"/>
    <w:rsid w:val="00AF6805"/>
    <w:rsid w:val="00AF6A78"/>
    <w:rsid w:val="00B001C8"/>
    <w:rsid w:val="00B00D6A"/>
    <w:rsid w:val="00B0127E"/>
    <w:rsid w:val="00B01532"/>
    <w:rsid w:val="00B01594"/>
    <w:rsid w:val="00B01903"/>
    <w:rsid w:val="00B021D6"/>
    <w:rsid w:val="00B02C10"/>
    <w:rsid w:val="00B0447E"/>
    <w:rsid w:val="00B048C4"/>
    <w:rsid w:val="00B04919"/>
    <w:rsid w:val="00B049FE"/>
    <w:rsid w:val="00B04DFA"/>
    <w:rsid w:val="00B0583F"/>
    <w:rsid w:val="00B07DEC"/>
    <w:rsid w:val="00B103AF"/>
    <w:rsid w:val="00B1079E"/>
    <w:rsid w:val="00B11FFB"/>
    <w:rsid w:val="00B123DD"/>
    <w:rsid w:val="00B126D8"/>
    <w:rsid w:val="00B12952"/>
    <w:rsid w:val="00B133E4"/>
    <w:rsid w:val="00B13907"/>
    <w:rsid w:val="00B144BB"/>
    <w:rsid w:val="00B16CA0"/>
    <w:rsid w:val="00B16DAB"/>
    <w:rsid w:val="00B171F0"/>
    <w:rsid w:val="00B20305"/>
    <w:rsid w:val="00B21274"/>
    <w:rsid w:val="00B21565"/>
    <w:rsid w:val="00B2167D"/>
    <w:rsid w:val="00B21A02"/>
    <w:rsid w:val="00B21B05"/>
    <w:rsid w:val="00B22934"/>
    <w:rsid w:val="00B22CAC"/>
    <w:rsid w:val="00B239EA"/>
    <w:rsid w:val="00B23DF6"/>
    <w:rsid w:val="00B23E88"/>
    <w:rsid w:val="00B24481"/>
    <w:rsid w:val="00B24A76"/>
    <w:rsid w:val="00B24D0E"/>
    <w:rsid w:val="00B2536D"/>
    <w:rsid w:val="00B25551"/>
    <w:rsid w:val="00B25FDE"/>
    <w:rsid w:val="00B26C6D"/>
    <w:rsid w:val="00B2707B"/>
    <w:rsid w:val="00B275D3"/>
    <w:rsid w:val="00B2763C"/>
    <w:rsid w:val="00B27895"/>
    <w:rsid w:val="00B27CE0"/>
    <w:rsid w:val="00B321FF"/>
    <w:rsid w:val="00B3389E"/>
    <w:rsid w:val="00B363A4"/>
    <w:rsid w:val="00B37430"/>
    <w:rsid w:val="00B37666"/>
    <w:rsid w:val="00B37963"/>
    <w:rsid w:val="00B40149"/>
    <w:rsid w:val="00B4075F"/>
    <w:rsid w:val="00B40BDA"/>
    <w:rsid w:val="00B40CE4"/>
    <w:rsid w:val="00B40DCA"/>
    <w:rsid w:val="00B40FC9"/>
    <w:rsid w:val="00B42A60"/>
    <w:rsid w:val="00B43150"/>
    <w:rsid w:val="00B4363C"/>
    <w:rsid w:val="00B440FA"/>
    <w:rsid w:val="00B4418F"/>
    <w:rsid w:val="00B45220"/>
    <w:rsid w:val="00B45599"/>
    <w:rsid w:val="00B45CE3"/>
    <w:rsid w:val="00B466F4"/>
    <w:rsid w:val="00B46FAF"/>
    <w:rsid w:val="00B471C2"/>
    <w:rsid w:val="00B473D2"/>
    <w:rsid w:val="00B478D0"/>
    <w:rsid w:val="00B5106D"/>
    <w:rsid w:val="00B51B28"/>
    <w:rsid w:val="00B51B48"/>
    <w:rsid w:val="00B5276A"/>
    <w:rsid w:val="00B52829"/>
    <w:rsid w:val="00B52D88"/>
    <w:rsid w:val="00B535D8"/>
    <w:rsid w:val="00B53692"/>
    <w:rsid w:val="00B53760"/>
    <w:rsid w:val="00B53B6D"/>
    <w:rsid w:val="00B53BB2"/>
    <w:rsid w:val="00B54381"/>
    <w:rsid w:val="00B54D4F"/>
    <w:rsid w:val="00B554D7"/>
    <w:rsid w:val="00B558FA"/>
    <w:rsid w:val="00B55F78"/>
    <w:rsid w:val="00B56CB4"/>
    <w:rsid w:val="00B5750A"/>
    <w:rsid w:val="00B601C2"/>
    <w:rsid w:val="00B60A3F"/>
    <w:rsid w:val="00B60EC0"/>
    <w:rsid w:val="00B611C9"/>
    <w:rsid w:val="00B61351"/>
    <w:rsid w:val="00B61352"/>
    <w:rsid w:val="00B61FAF"/>
    <w:rsid w:val="00B62C4E"/>
    <w:rsid w:val="00B62F02"/>
    <w:rsid w:val="00B6302C"/>
    <w:rsid w:val="00B632A6"/>
    <w:rsid w:val="00B63381"/>
    <w:rsid w:val="00B635DE"/>
    <w:rsid w:val="00B63C2C"/>
    <w:rsid w:val="00B63DCF"/>
    <w:rsid w:val="00B64141"/>
    <w:rsid w:val="00B64A52"/>
    <w:rsid w:val="00B64FA2"/>
    <w:rsid w:val="00B65231"/>
    <w:rsid w:val="00B6528D"/>
    <w:rsid w:val="00B6613B"/>
    <w:rsid w:val="00B66296"/>
    <w:rsid w:val="00B66733"/>
    <w:rsid w:val="00B66D1E"/>
    <w:rsid w:val="00B66EEC"/>
    <w:rsid w:val="00B67F1E"/>
    <w:rsid w:val="00B67FCB"/>
    <w:rsid w:val="00B70357"/>
    <w:rsid w:val="00B708BB"/>
    <w:rsid w:val="00B70E0C"/>
    <w:rsid w:val="00B70EDD"/>
    <w:rsid w:val="00B710DE"/>
    <w:rsid w:val="00B7146E"/>
    <w:rsid w:val="00B7163E"/>
    <w:rsid w:val="00B71D6E"/>
    <w:rsid w:val="00B71E7C"/>
    <w:rsid w:val="00B724A7"/>
    <w:rsid w:val="00B7274B"/>
    <w:rsid w:val="00B72806"/>
    <w:rsid w:val="00B72A4D"/>
    <w:rsid w:val="00B72C43"/>
    <w:rsid w:val="00B72D99"/>
    <w:rsid w:val="00B72E1B"/>
    <w:rsid w:val="00B7329B"/>
    <w:rsid w:val="00B7407D"/>
    <w:rsid w:val="00B74F8D"/>
    <w:rsid w:val="00B75504"/>
    <w:rsid w:val="00B76EF9"/>
    <w:rsid w:val="00B77402"/>
    <w:rsid w:val="00B80405"/>
    <w:rsid w:val="00B80973"/>
    <w:rsid w:val="00B810C8"/>
    <w:rsid w:val="00B824ED"/>
    <w:rsid w:val="00B8325E"/>
    <w:rsid w:val="00B84BBE"/>
    <w:rsid w:val="00B84CF6"/>
    <w:rsid w:val="00B8525A"/>
    <w:rsid w:val="00B85E74"/>
    <w:rsid w:val="00B86446"/>
    <w:rsid w:val="00B865A1"/>
    <w:rsid w:val="00B8687C"/>
    <w:rsid w:val="00B86EBB"/>
    <w:rsid w:val="00B86EE3"/>
    <w:rsid w:val="00B87989"/>
    <w:rsid w:val="00B87B8B"/>
    <w:rsid w:val="00B90C3A"/>
    <w:rsid w:val="00B9130B"/>
    <w:rsid w:val="00B913DB"/>
    <w:rsid w:val="00B91C8C"/>
    <w:rsid w:val="00B927F1"/>
    <w:rsid w:val="00B92905"/>
    <w:rsid w:val="00B932D0"/>
    <w:rsid w:val="00B946D0"/>
    <w:rsid w:val="00B94740"/>
    <w:rsid w:val="00B94A47"/>
    <w:rsid w:val="00B95371"/>
    <w:rsid w:val="00B9554C"/>
    <w:rsid w:val="00B95871"/>
    <w:rsid w:val="00B962B3"/>
    <w:rsid w:val="00B966B4"/>
    <w:rsid w:val="00B97754"/>
    <w:rsid w:val="00BA023A"/>
    <w:rsid w:val="00BA0CAC"/>
    <w:rsid w:val="00BA4DAF"/>
    <w:rsid w:val="00BA51B9"/>
    <w:rsid w:val="00BA5448"/>
    <w:rsid w:val="00BA7016"/>
    <w:rsid w:val="00BA7C72"/>
    <w:rsid w:val="00BB03A4"/>
    <w:rsid w:val="00BB1B88"/>
    <w:rsid w:val="00BB1CEF"/>
    <w:rsid w:val="00BB1FE5"/>
    <w:rsid w:val="00BB2D27"/>
    <w:rsid w:val="00BB31F5"/>
    <w:rsid w:val="00BB3856"/>
    <w:rsid w:val="00BB3D1F"/>
    <w:rsid w:val="00BB612F"/>
    <w:rsid w:val="00BB63C4"/>
    <w:rsid w:val="00BB66A4"/>
    <w:rsid w:val="00BB7126"/>
    <w:rsid w:val="00BB72F5"/>
    <w:rsid w:val="00BB7BE3"/>
    <w:rsid w:val="00BC0487"/>
    <w:rsid w:val="00BC06A7"/>
    <w:rsid w:val="00BC078D"/>
    <w:rsid w:val="00BC0E1A"/>
    <w:rsid w:val="00BC13AF"/>
    <w:rsid w:val="00BC16B2"/>
    <w:rsid w:val="00BC281A"/>
    <w:rsid w:val="00BC4A4E"/>
    <w:rsid w:val="00BC5156"/>
    <w:rsid w:val="00BC5C12"/>
    <w:rsid w:val="00BC5D87"/>
    <w:rsid w:val="00BC72EA"/>
    <w:rsid w:val="00BC79D5"/>
    <w:rsid w:val="00BD050F"/>
    <w:rsid w:val="00BD09CE"/>
    <w:rsid w:val="00BD1366"/>
    <w:rsid w:val="00BD17ED"/>
    <w:rsid w:val="00BD1A5C"/>
    <w:rsid w:val="00BD27CF"/>
    <w:rsid w:val="00BD2FE9"/>
    <w:rsid w:val="00BD400C"/>
    <w:rsid w:val="00BD40A1"/>
    <w:rsid w:val="00BD4DDF"/>
    <w:rsid w:val="00BD5B25"/>
    <w:rsid w:val="00BD6189"/>
    <w:rsid w:val="00BD6BDD"/>
    <w:rsid w:val="00BD6CFB"/>
    <w:rsid w:val="00BD7BFA"/>
    <w:rsid w:val="00BE0096"/>
    <w:rsid w:val="00BE1E9A"/>
    <w:rsid w:val="00BE287D"/>
    <w:rsid w:val="00BE2B0F"/>
    <w:rsid w:val="00BE2F44"/>
    <w:rsid w:val="00BE35B2"/>
    <w:rsid w:val="00BE3AF8"/>
    <w:rsid w:val="00BE3B68"/>
    <w:rsid w:val="00BE3C59"/>
    <w:rsid w:val="00BE3EEE"/>
    <w:rsid w:val="00BE419B"/>
    <w:rsid w:val="00BE4791"/>
    <w:rsid w:val="00BE4C15"/>
    <w:rsid w:val="00BE5363"/>
    <w:rsid w:val="00BE60D5"/>
    <w:rsid w:val="00BE7ADB"/>
    <w:rsid w:val="00BE7EF0"/>
    <w:rsid w:val="00BF0A91"/>
    <w:rsid w:val="00BF12BA"/>
    <w:rsid w:val="00BF1FCC"/>
    <w:rsid w:val="00BF2112"/>
    <w:rsid w:val="00BF2656"/>
    <w:rsid w:val="00BF3726"/>
    <w:rsid w:val="00BF4192"/>
    <w:rsid w:val="00BF4204"/>
    <w:rsid w:val="00BF4B22"/>
    <w:rsid w:val="00BF4EA2"/>
    <w:rsid w:val="00BF532F"/>
    <w:rsid w:val="00BF564F"/>
    <w:rsid w:val="00BF5C77"/>
    <w:rsid w:val="00BF699E"/>
    <w:rsid w:val="00BF6E59"/>
    <w:rsid w:val="00BF7881"/>
    <w:rsid w:val="00BF7B94"/>
    <w:rsid w:val="00BF7D7D"/>
    <w:rsid w:val="00C00731"/>
    <w:rsid w:val="00C00865"/>
    <w:rsid w:val="00C00AB1"/>
    <w:rsid w:val="00C00C09"/>
    <w:rsid w:val="00C0163C"/>
    <w:rsid w:val="00C016C2"/>
    <w:rsid w:val="00C03616"/>
    <w:rsid w:val="00C03F3A"/>
    <w:rsid w:val="00C042B2"/>
    <w:rsid w:val="00C06615"/>
    <w:rsid w:val="00C06AF9"/>
    <w:rsid w:val="00C06EF2"/>
    <w:rsid w:val="00C073EC"/>
    <w:rsid w:val="00C07F95"/>
    <w:rsid w:val="00C101D7"/>
    <w:rsid w:val="00C107C7"/>
    <w:rsid w:val="00C107F7"/>
    <w:rsid w:val="00C11385"/>
    <w:rsid w:val="00C1159E"/>
    <w:rsid w:val="00C118FB"/>
    <w:rsid w:val="00C11DF6"/>
    <w:rsid w:val="00C121E4"/>
    <w:rsid w:val="00C12885"/>
    <w:rsid w:val="00C12915"/>
    <w:rsid w:val="00C144CD"/>
    <w:rsid w:val="00C14512"/>
    <w:rsid w:val="00C14A81"/>
    <w:rsid w:val="00C15081"/>
    <w:rsid w:val="00C153EC"/>
    <w:rsid w:val="00C159BF"/>
    <w:rsid w:val="00C15A81"/>
    <w:rsid w:val="00C15B8B"/>
    <w:rsid w:val="00C160C4"/>
    <w:rsid w:val="00C17CE0"/>
    <w:rsid w:val="00C202AF"/>
    <w:rsid w:val="00C20400"/>
    <w:rsid w:val="00C20B04"/>
    <w:rsid w:val="00C20E1A"/>
    <w:rsid w:val="00C20EB7"/>
    <w:rsid w:val="00C22506"/>
    <w:rsid w:val="00C229F4"/>
    <w:rsid w:val="00C242A6"/>
    <w:rsid w:val="00C246D0"/>
    <w:rsid w:val="00C24A92"/>
    <w:rsid w:val="00C2588F"/>
    <w:rsid w:val="00C25DB5"/>
    <w:rsid w:val="00C261A2"/>
    <w:rsid w:val="00C268E9"/>
    <w:rsid w:val="00C27A41"/>
    <w:rsid w:val="00C3050F"/>
    <w:rsid w:val="00C30AC9"/>
    <w:rsid w:val="00C30FA4"/>
    <w:rsid w:val="00C31675"/>
    <w:rsid w:val="00C32506"/>
    <w:rsid w:val="00C32836"/>
    <w:rsid w:val="00C32960"/>
    <w:rsid w:val="00C32A8E"/>
    <w:rsid w:val="00C32EC0"/>
    <w:rsid w:val="00C330D9"/>
    <w:rsid w:val="00C332F4"/>
    <w:rsid w:val="00C33AC8"/>
    <w:rsid w:val="00C33FD0"/>
    <w:rsid w:val="00C34844"/>
    <w:rsid w:val="00C34ABC"/>
    <w:rsid w:val="00C35045"/>
    <w:rsid w:val="00C3517D"/>
    <w:rsid w:val="00C36012"/>
    <w:rsid w:val="00C37CFE"/>
    <w:rsid w:val="00C411F1"/>
    <w:rsid w:val="00C414FA"/>
    <w:rsid w:val="00C41C2B"/>
    <w:rsid w:val="00C42AD0"/>
    <w:rsid w:val="00C43081"/>
    <w:rsid w:val="00C43E58"/>
    <w:rsid w:val="00C441D7"/>
    <w:rsid w:val="00C442A3"/>
    <w:rsid w:val="00C44B49"/>
    <w:rsid w:val="00C44F3D"/>
    <w:rsid w:val="00C44F95"/>
    <w:rsid w:val="00C45811"/>
    <w:rsid w:val="00C45D6B"/>
    <w:rsid w:val="00C45FAA"/>
    <w:rsid w:val="00C464A9"/>
    <w:rsid w:val="00C46916"/>
    <w:rsid w:val="00C47760"/>
    <w:rsid w:val="00C4786E"/>
    <w:rsid w:val="00C500D9"/>
    <w:rsid w:val="00C50256"/>
    <w:rsid w:val="00C508B9"/>
    <w:rsid w:val="00C5108B"/>
    <w:rsid w:val="00C51528"/>
    <w:rsid w:val="00C524B7"/>
    <w:rsid w:val="00C53A85"/>
    <w:rsid w:val="00C53E0F"/>
    <w:rsid w:val="00C54D1C"/>
    <w:rsid w:val="00C5506C"/>
    <w:rsid w:val="00C55B63"/>
    <w:rsid w:val="00C55D33"/>
    <w:rsid w:val="00C5607C"/>
    <w:rsid w:val="00C5654A"/>
    <w:rsid w:val="00C56BE0"/>
    <w:rsid w:val="00C56D99"/>
    <w:rsid w:val="00C56E20"/>
    <w:rsid w:val="00C57CEE"/>
    <w:rsid w:val="00C57E3F"/>
    <w:rsid w:val="00C57EA8"/>
    <w:rsid w:val="00C57F03"/>
    <w:rsid w:val="00C601BC"/>
    <w:rsid w:val="00C6049E"/>
    <w:rsid w:val="00C6082D"/>
    <w:rsid w:val="00C6098E"/>
    <w:rsid w:val="00C60C17"/>
    <w:rsid w:val="00C60DDD"/>
    <w:rsid w:val="00C61DE2"/>
    <w:rsid w:val="00C626D7"/>
    <w:rsid w:val="00C629E7"/>
    <w:rsid w:val="00C62F0F"/>
    <w:rsid w:val="00C63569"/>
    <w:rsid w:val="00C63A6E"/>
    <w:rsid w:val="00C641A4"/>
    <w:rsid w:val="00C64703"/>
    <w:rsid w:val="00C65AED"/>
    <w:rsid w:val="00C65C38"/>
    <w:rsid w:val="00C65D82"/>
    <w:rsid w:val="00C661E5"/>
    <w:rsid w:val="00C668AA"/>
    <w:rsid w:val="00C6766B"/>
    <w:rsid w:val="00C67A32"/>
    <w:rsid w:val="00C70ABE"/>
    <w:rsid w:val="00C70B84"/>
    <w:rsid w:val="00C70E49"/>
    <w:rsid w:val="00C717DF"/>
    <w:rsid w:val="00C72D2E"/>
    <w:rsid w:val="00C733BB"/>
    <w:rsid w:val="00C738E3"/>
    <w:rsid w:val="00C739A0"/>
    <w:rsid w:val="00C73D70"/>
    <w:rsid w:val="00C74C70"/>
    <w:rsid w:val="00C751C8"/>
    <w:rsid w:val="00C75D93"/>
    <w:rsid w:val="00C76014"/>
    <w:rsid w:val="00C76725"/>
    <w:rsid w:val="00C7675A"/>
    <w:rsid w:val="00C76BD8"/>
    <w:rsid w:val="00C8133D"/>
    <w:rsid w:val="00C81410"/>
    <w:rsid w:val="00C82FF5"/>
    <w:rsid w:val="00C83ED9"/>
    <w:rsid w:val="00C83EEE"/>
    <w:rsid w:val="00C84684"/>
    <w:rsid w:val="00C84B1D"/>
    <w:rsid w:val="00C85DD9"/>
    <w:rsid w:val="00C85E8B"/>
    <w:rsid w:val="00C86319"/>
    <w:rsid w:val="00C86DF8"/>
    <w:rsid w:val="00C86E1A"/>
    <w:rsid w:val="00C87287"/>
    <w:rsid w:val="00C872C3"/>
    <w:rsid w:val="00C87526"/>
    <w:rsid w:val="00C875F3"/>
    <w:rsid w:val="00C87FA0"/>
    <w:rsid w:val="00C9027E"/>
    <w:rsid w:val="00C907A0"/>
    <w:rsid w:val="00C910F0"/>
    <w:rsid w:val="00C913B0"/>
    <w:rsid w:val="00C91B2C"/>
    <w:rsid w:val="00C91D69"/>
    <w:rsid w:val="00C922AE"/>
    <w:rsid w:val="00C92AB5"/>
    <w:rsid w:val="00C93A68"/>
    <w:rsid w:val="00C93E7B"/>
    <w:rsid w:val="00C93FD6"/>
    <w:rsid w:val="00C94016"/>
    <w:rsid w:val="00C94089"/>
    <w:rsid w:val="00C945B4"/>
    <w:rsid w:val="00C94606"/>
    <w:rsid w:val="00C9546B"/>
    <w:rsid w:val="00C957DB"/>
    <w:rsid w:val="00C95B06"/>
    <w:rsid w:val="00C95D0E"/>
    <w:rsid w:val="00C9746A"/>
    <w:rsid w:val="00CA1ACE"/>
    <w:rsid w:val="00CA2288"/>
    <w:rsid w:val="00CA2379"/>
    <w:rsid w:val="00CA3810"/>
    <w:rsid w:val="00CA3E1D"/>
    <w:rsid w:val="00CA401D"/>
    <w:rsid w:val="00CA41F1"/>
    <w:rsid w:val="00CA4CF8"/>
    <w:rsid w:val="00CA521E"/>
    <w:rsid w:val="00CA582F"/>
    <w:rsid w:val="00CA60DD"/>
    <w:rsid w:val="00CA6518"/>
    <w:rsid w:val="00CA7632"/>
    <w:rsid w:val="00CB0224"/>
    <w:rsid w:val="00CB0773"/>
    <w:rsid w:val="00CB09D2"/>
    <w:rsid w:val="00CB0C1E"/>
    <w:rsid w:val="00CB28E1"/>
    <w:rsid w:val="00CB33EA"/>
    <w:rsid w:val="00CB3F01"/>
    <w:rsid w:val="00CB49C4"/>
    <w:rsid w:val="00CB5AC0"/>
    <w:rsid w:val="00CB629E"/>
    <w:rsid w:val="00CB642A"/>
    <w:rsid w:val="00CB65DC"/>
    <w:rsid w:val="00CB65DE"/>
    <w:rsid w:val="00CB7425"/>
    <w:rsid w:val="00CC0532"/>
    <w:rsid w:val="00CC0DBD"/>
    <w:rsid w:val="00CC17DD"/>
    <w:rsid w:val="00CC1E36"/>
    <w:rsid w:val="00CC2599"/>
    <w:rsid w:val="00CC4303"/>
    <w:rsid w:val="00CC46ED"/>
    <w:rsid w:val="00CC47FF"/>
    <w:rsid w:val="00CC4D7F"/>
    <w:rsid w:val="00CC50A3"/>
    <w:rsid w:val="00CC5180"/>
    <w:rsid w:val="00CC59FA"/>
    <w:rsid w:val="00CC5D2E"/>
    <w:rsid w:val="00CC6028"/>
    <w:rsid w:val="00CC647B"/>
    <w:rsid w:val="00CC650A"/>
    <w:rsid w:val="00CC661E"/>
    <w:rsid w:val="00CC6A67"/>
    <w:rsid w:val="00CC73B1"/>
    <w:rsid w:val="00CC7443"/>
    <w:rsid w:val="00CC76AB"/>
    <w:rsid w:val="00CC7802"/>
    <w:rsid w:val="00CC7C57"/>
    <w:rsid w:val="00CD1187"/>
    <w:rsid w:val="00CD13D0"/>
    <w:rsid w:val="00CD29F9"/>
    <w:rsid w:val="00CD2D27"/>
    <w:rsid w:val="00CD2E7F"/>
    <w:rsid w:val="00CD2FCF"/>
    <w:rsid w:val="00CD3711"/>
    <w:rsid w:val="00CD3E0F"/>
    <w:rsid w:val="00CD3F15"/>
    <w:rsid w:val="00CD4303"/>
    <w:rsid w:val="00CD4F32"/>
    <w:rsid w:val="00CD5234"/>
    <w:rsid w:val="00CD554F"/>
    <w:rsid w:val="00CD5B1D"/>
    <w:rsid w:val="00CD665C"/>
    <w:rsid w:val="00CD6EFB"/>
    <w:rsid w:val="00CD70A8"/>
    <w:rsid w:val="00CD743F"/>
    <w:rsid w:val="00CD7723"/>
    <w:rsid w:val="00CE08FE"/>
    <w:rsid w:val="00CE19AC"/>
    <w:rsid w:val="00CE2732"/>
    <w:rsid w:val="00CE2A13"/>
    <w:rsid w:val="00CE2B40"/>
    <w:rsid w:val="00CE30A9"/>
    <w:rsid w:val="00CE3D36"/>
    <w:rsid w:val="00CE3D8E"/>
    <w:rsid w:val="00CE48E7"/>
    <w:rsid w:val="00CE4BB5"/>
    <w:rsid w:val="00CE4FB0"/>
    <w:rsid w:val="00CE5E69"/>
    <w:rsid w:val="00CE60A6"/>
    <w:rsid w:val="00CE7632"/>
    <w:rsid w:val="00CF03DB"/>
    <w:rsid w:val="00CF1A3D"/>
    <w:rsid w:val="00CF3784"/>
    <w:rsid w:val="00CF4CC8"/>
    <w:rsid w:val="00CF6764"/>
    <w:rsid w:val="00CF7E51"/>
    <w:rsid w:val="00D002E3"/>
    <w:rsid w:val="00D00C31"/>
    <w:rsid w:val="00D010EC"/>
    <w:rsid w:val="00D017DA"/>
    <w:rsid w:val="00D01AA6"/>
    <w:rsid w:val="00D02110"/>
    <w:rsid w:val="00D0242E"/>
    <w:rsid w:val="00D025AF"/>
    <w:rsid w:val="00D025C5"/>
    <w:rsid w:val="00D026E0"/>
    <w:rsid w:val="00D02DE0"/>
    <w:rsid w:val="00D040CE"/>
    <w:rsid w:val="00D04324"/>
    <w:rsid w:val="00D05371"/>
    <w:rsid w:val="00D05AB7"/>
    <w:rsid w:val="00D06214"/>
    <w:rsid w:val="00D06551"/>
    <w:rsid w:val="00D06D14"/>
    <w:rsid w:val="00D074E0"/>
    <w:rsid w:val="00D07852"/>
    <w:rsid w:val="00D07DD0"/>
    <w:rsid w:val="00D10015"/>
    <w:rsid w:val="00D1041D"/>
    <w:rsid w:val="00D11352"/>
    <w:rsid w:val="00D11646"/>
    <w:rsid w:val="00D122C7"/>
    <w:rsid w:val="00D12C20"/>
    <w:rsid w:val="00D13C59"/>
    <w:rsid w:val="00D14923"/>
    <w:rsid w:val="00D14CA0"/>
    <w:rsid w:val="00D14D7F"/>
    <w:rsid w:val="00D16861"/>
    <w:rsid w:val="00D16979"/>
    <w:rsid w:val="00D17E2A"/>
    <w:rsid w:val="00D17FA2"/>
    <w:rsid w:val="00D205A7"/>
    <w:rsid w:val="00D21EB3"/>
    <w:rsid w:val="00D22993"/>
    <w:rsid w:val="00D2433C"/>
    <w:rsid w:val="00D24B9C"/>
    <w:rsid w:val="00D24C53"/>
    <w:rsid w:val="00D24E64"/>
    <w:rsid w:val="00D268F4"/>
    <w:rsid w:val="00D26FED"/>
    <w:rsid w:val="00D302F2"/>
    <w:rsid w:val="00D30689"/>
    <w:rsid w:val="00D3315A"/>
    <w:rsid w:val="00D343F6"/>
    <w:rsid w:val="00D354D2"/>
    <w:rsid w:val="00D356C1"/>
    <w:rsid w:val="00D35EB0"/>
    <w:rsid w:val="00D36A19"/>
    <w:rsid w:val="00D36D6A"/>
    <w:rsid w:val="00D36DFA"/>
    <w:rsid w:val="00D36EB9"/>
    <w:rsid w:val="00D371CB"/>
    <w:rsid w:val="00D3762A"/>
    <w:rsid w:val="00D400FD"/>
    <w:rsid w:val="00D4025C"/>
    <w:rsid w:val="00D4119F"/>
    <w:rsid w:val="00D41DCD"/>
    <w:rsid w:val="00D41E43"/>
    <w:rsid w:val="00D42424"/>
    <w:rsid w:val="00D4252B"/>
    <w:rsid w:val="00D429F9"/>
    <w:rsid w:val="00D43D23"/>
    <w:rsid w:val="00D44024"/>
    <w:rsid w:val="00D44D0B"/>
    <w:rsid w:val="00D45247"/>
    <w:rsid w:val="00D4640E"/>
    <w:rsid w:val="00D47B2A"/>
    <w:rsid w:val="00D47C47"/>
    <w:rsid w:val="00D502E1"/>
    <w:rsid w:val="00D50C39"/>
    <w:rsid w:val="00D51677"/>
    <w:rsid w:val="00D51FF7"/>
    <w:rsid w:val="00D5248D"/>
    <w:rsid w:val="00D52A75"/>
    <w:rsid w:val="00D52B64"/>
    <w:rsid w:val="00D53714"/>
    <w:rsid w:val="00D542AC"/>
    <w:rsid w:val="00D548EE"/>
    <w:rsid w:val="00D54F6A"/>
    <w:rsid w:val="00D559FF"/>
    <w:rsid w:val="00D55A83"/>
    <w:rsid w:val="00D55AA4"/>
    <w:rsid w:val="00D55BB6"/>
    <w:rsid w:val="00D56FCD"/>
    <w:rsid w:val="00D60062"/>
    <w:rsid w:val="00D600B7"/>
    <w:rsid w:val="00D61164"/>
    <w:rsid w:val="00D61397"/>
    <w:rsid w:val="00D61E44"/>
    <w:rsid w:val="00D6255E"/>
    <w:rsid w:val="00D62FBD"/>
    <w:rsid w:val="00D630C3"/>
    <w:rsid w:val="00D635A8"/>
    <w:rsid w:val="00D63682"/>
    <w:rsid w:val="00D63D56"/>
    <w:rsid w:val="00D63E3F"/>
    <w:rsid w:val="00D63F9A"/>
    <w:rsid w:val="00D6457E"/>
    <w:rsid w:val="00D65E8D"/>
    <w:rsid w:val="00D662EC"/>
    <w:rsid w:val="00D67991"/>
    <w:rsid w:val="00D70045"/>
    <w:rsid w:val="00D700A2"/>
    <w:rsid w:val="00D71187"/>
    <w:rsid w:val="00D711D9"/>
    <w:rsid w:val="00D71545"/>
    <w:rsid w:val="00D71C28"/>
    <w:rsid w:val="00D71CBB"/>
    <w:rsid w:val="00D71DFB"/>
    <w:rsid w:val="00D72285"/>
    <w:rsid w:val="00D73951"/>
    <w:rsid w:val="00D73981"/>
    <w:rsid w:val="00D74A5D"/>
    <w:rsid w:val="00D75E71"/>
    <w:rsid w:val="00D773B0"/>
    <w:rsid w:val="00D77C84"/>
    <w:rsid w:val="00D77CF9"/>
    <w:rsid w:val="00D80325"/>
    <w:rsid w:val="00D811FD"/>
    <w:rsid w:val="00D81526"/>
    <w:rsid w:val="00D817B1"/>
    <w:rsid w:val="00D82909"/>
    <w:rsid w:val="00D83C2C"/>
    <w:rsid w:val="00D853BD"/>
    <w:rsid w:val="00D85DBE"/>
    <w:rsid w:val="00D86DD0"/>
    <w:rsid w:val="00D87182"/>
    <w:rsid w:val="00D87E14"/>
    <w:rsid w:val="00D9083D"/>
    <w:rsid w:val="00D912A3"/>
    <w:rsid w:val="00D91455"/>
    <w:rsid w:val="00D91D47"/>
    <w:rsid w:val="00D92598"/>
    <w:rsid w:val="00D92D51"/>
    <w:rsid w:val="00D92D79"/>
    <w:rsid w:val="00D92FFE"/>
    <w:rsid w:val="00D93FA4"/>
    <w:rsid w:val="00D94761"/>
    <w:rsid w:val="00D9557B"/>
    <w:rsid w:val="00D9667C"/>
    <w:rsid w:val="00D96CBE"/>
    <w:rsid w:val="00D96DEE"/>
    <w:rsid w:val="00D970E9"/>
    <w:rsid w:val="00DA02A2"/>
    <w:rsid w:val="00DA05AB"/>
    <w:rsid w:val="00DA0C87"/>
    <w:rsid w:val="00DA2400"/>
    <w:rsid w:val="00DA2469"/>
    <w:rsid w:val="00DA2C65"/>
    <w:rsid w:val="00DA2D67"/>
    <w:rsid w:val="00DA3E09"/>
    <w:rsid w:val="00DA436D"/>
    <w:rsid w:val="00DA43B6"/>
    <w:rsid w:val="00DA554F"/>
    <w:rsid w:val="00DA5CA1"/>
    <w:rsid w:val="00DA5E17"/>
    <w:rsid w:val="00DA6740"/>
    <w:rsid w:val="00DA7012"/>
    <w:rsid w:val="00DB0960"/>
    <w:rsid w:val="00DB0C55"/>
    <w:rsid w:val="00DB0E2B"/>
    <w:rsid w:val="00DB1415"/>
    <w:rsid w:val="00DB1BEE"/>
    <w:rsid w:val="00DB345E"/>
    <w:rsid w:val="00DB3C68"/>
    <w:rsid w:val="00DB453B"/>
    <w:rsid w:val="00DB4F41"/>
    <w:rsid w:val="00DB5524"/>
    <w:rsid w:val="00DB6722"/>
    <w:rsid w:val="00DC00BE"/>
    <w:rsid w:val="00DC076C"/>
    <w:rsid w:val="00DC0830"/>
    <w:rsid w:val="00DC17B0"/>
    <w:rsid w:val="00DC1D1D"/>
    <w:rsid w:val="00DC1DF7"/>
    <w:rsid w:val="00DC20B1"/>
    <w:rsid w:val="00DC254E"/>
    <w:rsid w:val="00DC4358"/>
    <w:rsid w:val="00DC4470"/>
    <w:rsid w:val="00DC4CD6"/>
    <w:rsid w:val="00DC4FF9"/>
    <w:rsid w:val="00DC58B8"/>
    <w:rsid w:val="00DC5901"/>
    <w:rsid w:val="00DC624F"/>
    <w:rsid w:val="00DC659A"/>
    <w:rsid w:val="00DC6B85"/>
    <w:rsid w:val="00DC6F9C"/>
    <w:rsid w:val="00DC7430"/>
    <w:rsid w:val="00DC75C4"/>
    <w:rsid w:val="00DC780C"/>
    <w:rsid w:val="00DD11C9"/>
    <w:rsid w:val="00DD11DC"/>
    <w:rsid w:val="00DD1222"/>
    <w:rsid w:val="00DD14AB"/>
    <w:rsid w:val="00DD3088"/>
    <w:rsid w:val="00DD3D1B"/>
    <w:rsid w:val="00DD4198"/>
    <w:rsid w:val="00DD432E"/>
    <w:rsid w:val="00DD44CF"/>
    <w:rsid w:val="00DD4EA0"/>
    <w:rsid w:val="00DD54B3"/>
    <w:rsid w:val="00DD5DF7"/>
    <w:rsid w:val="00DD5FCF"/>
    <w:rsid w:val="00DD609D"/>
    <w:rsid w:val="00DE0A3E"/>
    <w:rsid w:val="00DE1410"/>
    <w:rsid w:val="00DE1F37"/>
    <w:rsid w:val="00DE2D7A"/>
    <w:rsid w:val="00DE2E71"/>
    <w:rsid w:val="00DE37AA"/>
    <w:rsid w:val="00DE3A0B"/>
    <w:rsid w:val="00DE5106"/>
    <w:rsid w:val="00DE57A0"/>
    <w:rsid w:val="00DE5ED0"/>
    <w:rsid w:val="00DE5F13"/>
    <w:rsid w:val="00DE62BE"/>
    <w:rsid w:val="00DE6411"/>
    <w:rsid w:val="00DE6569"/>
    <w:rsid w:val="00DE71AB"/>
    <w:rsid w:val="00DE7B1E"/>
    <w:rsid w:val="00DF0083"/>
    <w:rsid w:val="00DF0D56"/>
    <w:rsid w:val="00DF0E78"/>
    <w:rsid w:val="00DF1E8A"/>
    <w:rsid w:val="00DF20C3"/>
    <w:rsid w:val="00DF3BC1"/>
    <w:rsid w:val="00DF3CF7"/>
    <w:rsid w:val="00DF3D94"/>
    <w:rsid w:val="00DF3E84"/>
    <w:rsid w:val="00DF43EA"/>
    <w:rsid w:val="00DF458B"/>
    <w:rsid w:val="00DF51A7"/>
    <w:rsid w:val="00DF51E9"/>
    <w:rsid w:val="00DF5949"/>
    <w:rsid w:val="00DF5D51"/>
    <w:rsid w:val="00DF6E75"/>
    <w:rsid w:val="00DF731B"/>
    <w:rsid w:val="00E0006A"/>
    <w:rsid w:val="00E009B0"/>
    <w:rsid w:val="00E00B62"/>
    <w:rsid w:val="00E0157C"/>
    <w:rsid w:val="00E01F93"/>
    <w:rsid w:val="00E02476"/>
    <w:rsid w:val="00E02CF2"/>
    <w:rsid w:val="00E0318D"/>
    <w:rsid w:val="00E03700"/>
    <w:rsid w:val="00E03741"/>
    <w:rsid w:val="00E03CC7"/>
    <w:rsid w:val="00E04063"/>
    <w:rsid w:val="00E046A4"/>
    <w:rsid w:val="00E0515D"/>
    <w:rsid w:val="00E055D4"/>
    <w:rsid w:val="00E058A1"/>
    <w:rsid w:val="00E059CD"/>
    <w:rsid w:val="00E05B8C"/>
    <w:rsid w:val="00E0618C"/>
    <w:rsid w:val="00E06771"/>
    <w:rsid w:val="00E06AE3"/>
    <w:rsid w:val="00E06C02"/>
    <w:rsid w:val="00E1055B"/>
    <w:rsid w:val="00E10A01"/>
    <w:rsid w:val="00E116C9"/>
    <w:rsid w:val="00E121A5"/>
    <w:rsid w:val="00E1295A"/>
    <w:rsid w:val="00E12FA9"/>
    <w:rsid w:val="00E133FA"/>
    <w:rsid w:val="00E1340E"/>
    <w:rsid w:val="00E135DB"/>
    <w:rsid w:val="00E13999"/>
    <w:rsid w:val="00E139BD"/>
    <w:rsid w:val="00E13AEB"/>
    <w:rsid w:val="00E13F05"/>
    <w:rsid w:val="00E13FF0"/>
    <w:rsid w:val="00E14948"/>
    <w:rsid w:val="00E15283"/>
    <w:rsid w:val="00E1605B"/>
    <w:rsid w:val="00E16B6F"/>
    <w:rsid w:val="00E17F20"/>
    <w:rsid w:val="00E20055"/>
    <w:rsid w:val="00E2180E"/>
    <w:rsid w:val="00E21D2C"/>
    <w:rsid w:val="00E223BC"/>
    <w:rsid w:val="00E228FE"/>
    <w:rsid w:val="00E239E3"/>
    <w:rsid w:val="00E249E5"/>
    <w:rsid w:val="00E25873"/>
    <w:rsid w:val="00E26531"/>
    <w:rsid w:val="00E26777"/>
    <w:rsid w:val="00E27498"/>
    <w:rsid w:val="00E3009B"/>
    <w:rsid w:val="00E30F2E"/>
    <w:rsid w:val="00E31C95"/>
    <w:rsid w:val="00E3219D"/>
    <w:rsid w:val="00E32813"/>
    <w:rsid w:val="00E33543"/>
    <w:rsid w:val="00E33794"/>
    <w:rsid w:val="00E33F37"/>
    <w:rsid w:val="00E342EB"/>
    <w:rsid w:val="00E34D38"/>
    <w:rsid w:val="00E35197"/>
    <w:rsid w:val="00E35618"/>
    <w:rsid w:val="00E35A74"/>
    <w:rsid w:val="00E35FBB"/>
    <w:rsid w:val="00E36B5F"/>
    <w:rsid w:val="00E36BC9"/>
    <w:rsid w:val="00E370FA"/>
    <w:rsid w:val="00E37432"/>
    <w:rsid w:val="00E3757F"/>
    <w:rsid w:val="00E375E7"/>
    <w:rsid w:val="00E37921"/>
    <w:rsid w:val="00E37D25"/>
    <w:rsid w:val="00E417FE"/>
    <w:rsid w:val="00E41910"/>
    <w:rsid w:val="00E41A35"/>
    <w:rsid w:val="00E41EB7"/>
    <w:rsid w:val="00E4239C"/>
    <w:rsid w:val="00E42F71"/>
    <w:rsid w:val="00E42FE2"/>
    <w:rsid w:val="00E43DBB"/>
    <w:rsid w:val="00E43FD4"/>
    <w:rsid w:val="00E4416C"/>
    <w:rsid w:val="00E46642"/>
    <w:rsid w:val="00E46D26"/>
    <w:rsid w:val="00E473AC"/>
    <w:rsid w:val="00E474F4"/>
    <w:rsid w:val="00E4773F"/>
    <w:rsid w:val="00E47DEA"/>
    <w:rsid w:val="00E500AB"/>
    <w:rsid w:val="00E508F0"/>
    <w:rsid w:val="00E51445"/>
    <w:rsid w:val="00E5240B"/>
    <w:rsid w:val="00E52622"/>
    <w:rsid w:val="00E52857"/>
    <w:rsid w:val="00E52E60"/>
    <w:rsid w:val="00E53677"/>
    <w:rsid w:val="00E537F2"/>
    <w:rsid w:val="00E53C54"/>
    <w:rsid w:val="00E53C7F"/>
    <w:rsid w:val="00E54018"/>
    <w:rsid w:val="00E542B9"/>
    <w:rsid w:val="00E54366"/>
    <w:rsid w:val="00E54436"/>
    <w:rsid w:val="00E54B03"/>
    <w:rsid w:val="00E54BD9"/>
    <w:rsid w:val="00E56273"/>
    <w:rsid w:val="00E562F1"/>
    <w:rsid w:val="00E56424"/>
    <w:rsid w:val="00E57995"/>
    <w:rsid w:val="00E57C37"/>
    <w:rsid w:val="00E57F42"/>
    <w:rsid w:val="00E60575"/>
    <w:rsid w:val="00E609EE"/>
    <w:rsid w:val="00E6101A"/>
    <w:rsid w:val="00E61084"/>
    <w:rsid w:val="00E625E0"/>
    <w:rsid w:val="00E62A87"/>
    <w:rsid w:val="00E62BB2"/>
    <w:rsid w:val="00E62E4B"/>
    <w:rsid w:val="00E6312E"/>
    <w:rsid w:val="00E63264"/>
    <w:rsid w:val="00E634E1"/>
    <w:rsid w:val="00E63D5E"/>
    <w:rsid w:val="00E63E44"/>
    <w:rsid w:val="00E6448F"/>
    <w:rsid w:val="00E64F66"/>
    <w:rsid w:val="00E651BE"/>
    <w:rsid w:val="00E6549C"/>
    <w:rsid w:val="00E65BEA"/>
    <w:rsid w:val="00E6659A"/>
    <w:rsid w:val="00E66DF6"/>
    <w:rsid w:val="00E70965"/>
    <w:rsid w:val="00E716A9"/>
    <w:rsid w:val="00E71D85"/>
    <w:rsid w:val="00E71FE7"/>
    <w:rsid w:val="00E720C8"/>
    <w:rsid w:val="00E72C1C"/>
    <w:rsid w:val="00E72ECE"/>
    <w:rsid w:val="00E731C8"/>
    <w:rsid w:val="00E73E2C"/>
    <w:rsid w:val="00E74764"/>
    <w:rsid w:val="00E74CED"/>
    <w:rsid w:val="00E7507A"/>
    <w:rsid w:val="00E7551C"/>
    <w:rsid w:val="00E76103"/>
    <w:rsid w:val="00E7643B"/>
    <w:rsid w:val="00E76B05"/>
    <w:rsid w:val="00E77913"/>
    <w:rsid w:val="00E77CDE"/>
    <w:rsid w:val="00E77F7A"/>
    <w:rsid w:val="00E80610"/>
    <w:rsid w:val="00E80A03"/>
    <w:rsid w:val="00E80E52"/>
    <w:rsid w:val="00E80F0B"/>
    <w:rsid w:val="00E8121D"/>
    <w:rsid w:val="00E81DD2"/>
    <w:rsid w:val="00E81F8F"/>
    <w:rsid w:val="00E8307F"/>
    <w:rsid w:val="00E83236"/>
    <w:rsid w:val="00E844AC"/>
    <w:rsid w:val="00E8476A"/>
    <w:rsid w:val="00E84FEE"/>
    <w:rsid w:val="00E852AC"/>
    <w:rsid w:val="00E85769"/>
    <w:rsid w:val="00E85BF2"/>
    <w:rsid w:val="00E85D57"/>
    <w:rsid w:val="00E86377"/>
    <w:rsid w:val="00E866DA"/>
    <w:rsid w:val="00E869C9"/>
    <w:rsid w:val="00E86B36"/>
    <w:rsid w:val="00E90541"/>
    <w:rsid w:val="00E908D4"/>
    <w:rsid w:val="00E909CC"/>
    <w:rsid w:val="00E91270"/>
    <w:rsid w:val="00E91812"/>
    <w:rsid w:val="00E91D2E"/>
    <w:rsid w:val="00E928A6"/>
    <w:rsid w:val="00E937D4"/>
    <w:rsid w:val="00E938F3"/>
    <w:rsid w:val="00E94017"/>
    <w:rsid w:val="00E946FF"/>
    <w:rsid w:val="00E9498B"/>
    <w:rsid w:val="00E94DE5"/>
    <w:rsid w:val="00E95166"/>
    <w:rsid w:val="00E953C2"/>
    <w:rsid w:val="00E97804"/>
    <w:rsid w:val="00E9786B"/>
    <w:rsid w:val="00E97A39"/>
    <w:rsid w:val="00EA03C9"/>
    <w:rsid w:val="00EA0796"/>
    <w:rsid w:val="00EA0F5E"/>
    <w:rsid w:val="00EA1B82"/>
    <w:rsid w:val="00EA1E13"/>
    <w:rsid w:val="00EA31CF"/>
    <w:rsid w:val="00EA3D91"/>
    <w:rsid w:val="00EA4395"/>
    <w:rsid w:val="00EA43E7"/>
    <w:rsid w:val="00EA4729"/>
    <w:rsid w:val="00EA4E88"/>
    <w:rsid w:val="00EA5AB7"/>
    <w:rsid w:val="00EA633F"/>
    <w:rsid w:val="00EA6D74"/>
    <w:rsid w:val="00EA77B2"/>
    <w:rsid w:val="00EA7FD0"/>
    <w:rsid w:val="00EB033F"/>
    <w:rsid w:val="00EB0A16"/>
    <w:rsid w:val="00EB0EA5"/>
    <w:rsid w:val="00EB1029"/>
    <w:rsid w:val="00EB2063"/>
    <w:rsid w:val="00EB2983"/>
    <w:rsid w:val="00EB2EF8"/>
    <w:rsid w:val="00EB36DE"/>
    <w:rsid w:val="00EB3AD0"/>
    <w:rsid w:val="00EB4078"/>
    <w:rsid w:val="00EB47A5"/>
    <w:rsid w:val="00EB4A81"/>
    <w:rsid w:val="00EB4D1D"/>
    <w:rsid w:val="00EB52D1"/>
    <w:rsid w:val="00EB5F94"/>
    <w:rsid w:val="00EB602D"/>
    <w:rsid w:val="00EB62C0"/>
    <w:rsid w:val="00EB69C3"/>
    <w:rsid w:val="00EB6B4F"/>
    <w:rsid w:val="00EB6D37"/>
    <w:rsid w:val="00EB738C"/>
    <w:rsid w:val="00EB778D"/>
    <w:rsid w:val="00EB7EEE"/>
    <w:rsid w:val="00EC0351"/>
    <w:rsid w:val="00EC07C0"/>
    <w:rsid w:val="00EC0BAD"/>
    <w:rsid w:val="00EC12DF"/>
    <w:rsid w:val="00EC32AD"/>
    <w:rsid w:val="00EC3D51"/>
    <w:rsid w:val="00EC40D6"/>
    <w:rsid w:val="00EC4428"/>
    <w:rsid w:val="00EC4468"/>
    <w:rsid w:val="00EC462F"/>
    <w:rsid w:val="00EC5151"/>
    <w:rsid w:val="00EC5471"/>
    <w:rsid w:val="00EC5E4C"/>
    <w:rsid w:val="00EC6473"/>
    <w:rsid w:val="00EC7004"/>
    <w:rsid w:val="00EC7153"/>
    <w:rsid w:val="00EC75F8"/>
    <w:rsid w:val="00EC7D1F"/>
    <w:rsid w:val="00ED02ED"/>
    <w:rsid w:val="00ED2D58"/>
    <w:rsid w:val="00ED2FDB"/>
    <w:rsid w:val="00ED33F1"/>
    <w:rsid w:val="00ED35E4"/>
    <w:rsid w:val="00ED364A"/>
    <w:rsid w:val="00ED3951"/>
    <w:rsid w:val="00ED3FCB"/>
    <w:rsid w:val="00ED4951"/>
    <w:rsid w:val="00ED4AAD"/>
    <w:rsid w:val="00ED4CE6"/>
    <w:rsid w:val="00ED4E33"/>
    <w:rsid w:val="00ED55C9"/>
    <w:rsid w:val="00ED645E"/>
    <w:rsid w:val="00ED661A"/>
    <w:rsid w:val="00ED676B"/>
    <w:rsid w:val="00ED788F"/>
    <w:rsid w:val="00ED7AF2"/>
    <w:rsid w:val="00EE0340"/>
    <w:rsid w:val="00EE13F4"/>
    <w:rsid w:val="00EE172D"/>
    <w:rsid w:val="00EE27B9"/>
    <w:rsid w:val="00EE350C"/>
    <w:rsid w:val="00EE3B15"/>
    <w:rsid w:val="00EE3B3E"/>
    <w:rsid w:val="00EE4296"/>
    <w:rsid w:val="00EE505C"/>
    <w:rsid w:val="00EE50F8"/>
    <w:rsid w:val="00EE5610"/>
    <w:rsid w:val="00EE5BBC"/>
    <w:rsid w:val="00EE6332"/>
    <w:rsid w:val="00EE6EC2"/>
    <w:rsid w:val="00EE7281"/>
    <w:rsid w:val="00EE7500"/>
    <w:rsid w:val="00EE775D"/>
    <w:rsid w:val="00EE7FAB"/>
    <w:rsid w:val="00EF0673"/>
    <w:rsid w:val="00EF0983"/>
    <w:rsid w:val="00EF2CC7"/>
    <w:rsid w:val="00EF3D36"/>
    <w:rsid w:val="00EF4168"/>
    <w:rsid w:val="00EF51C5"/>
    <w:rsid w:val="00EF5459"/>
    <w:rsid w:val="00EF5691"/>
    <w:rsid w:val="00EF5A10"/>
    <w:rsid w:val="00EF5F5C"/>
    <w:rsid w:val="00EF6242"/>
    <w:rsid w:val="00EF763D"/>
    <w:rsid w:val="00EF79E3"/>
    <w:rsid w:val="00EF7A27"/>
    <w:rsid w:val="00F00713"/>
    <w:rsid w:val="00F00DCB"/>
    <w:rsid w:val="00F011B4"/>
    <w:rsid w:val="00F0156A"/>
    <w:rsid w:val="00F015D3"/>
    <w:rsid w:val="00F01CE2"/>
    <w:rsid w:val="00F02C9D"/>
    <w:rsid w:val="00F031B1"/>
    <w:rsid w:val="00F03D5D"/>
    <w:rsid w:val="00F040F4"/>
    <w:rsid w:val="00F045B1"/>
    <w:rsid w:val="00F04874"/>
    <w:rsid w:val="00F04D43"/>
    <w:rsid w:val="00F04F71"/>
    <w:rsid w:val="00F05C22"/>
    <w:rsid w:val="00F05C90"/>
    <w:rsid w:val="00F05E81"/>
    <w:rsid w:val="00F05FEE"/>
    <w:rsid w:val="00F06D0D"/>
    <w:rsid w:val="00F073A6"/>
    <w:rsid w:val="00F0744C"/>
    <w:rsid w:val="00F07DC3"/>
    <w:rsid w:val="00F10C13"/>
    <w:rsid w:val="00F115E1"/>
    <w:rsid w:val="00F11B62"/>
    <w:rsid w:val="00F12AC6"/>
    <w:rsid w:val="00F138B7"/>
    <w:rsid w:val="00F13D6A"/>
    <w:rsid w:val="00F1544B"/>
    <w:rsid w:val="00F163B7"/>
    <w:rsid w:val="00F1687A"/>
    <w:rsid w:val="00F16A5B"/>
    <w:rsid w:val="00F16C8E"/>
    <w:rsid w:val="00F20728"/>
    <w:rsid w:val="00F208F2"/>
    <w:rsid w:val="00F20E1B"/>
    <w:rsid w:val="00F21E23"/>
    <w:rsid w:val="00F22415"/>
    <w:rsid w:val="00F225EA"/>
    <w:rsid w:val="00F22A26"/>
    <w:rsid w:val="00F23225"/>
    <w:rsid w:val="00F23658"/>
    <w:rsid w:val="00F238BB"/>
    <w:rsid w:val="00F23E8B"/>
    <w:rsid w:val="00F23EE5"/>
    <w:rsid w:val="00F24063"/>
    <w:rsid w:val="00F24077"/>
    <w:rsid w:val="00F24968"/>
    <w:rsid w:val="00F24ED8"/>
    <w:rsid w:val="00F250FC"/>
    <w:rsid w:val="00F2571E"/>
    <w:rsid w:val="00F26929"/>
    <w:rsid w:val="00F278D1"/>
    <w:rsid w:val="00F27D3A"/>
    <w:rsid w:val="00F30D03"/>
    <w:rsid w:val="00F30EA7"/>
    <w:rsid w:val="00F31C51"/>
    <w:rsid w:val="00F32012"/>
    <w:rsid w:val="00F329CE"/>
    <w:rsid w:val="00F33722"/>
    <w:rsid w:val="00F348F6"/>
    <w:rsid w:val="00F35B7B"/>
    <w:rsid w:val="00F35EB7"/>
    <w:rsid w:val="00F36794"/>
    <w:rsid w:val="00F36CB4"/>
    <w:rsid w:val="00F3745A"/>
    <w:rsid w:val="00F37885"/>
    <w:rsid w:val="00F37DA4"/>
    <w:rsid w:val="00F405E6"/>
    <w:rsid w:val="00F40AB9"/>
    <w:rsid w:val="00F40E54"/>
    <w:rsid w:val="00F41494"/>
    <w:rsid w:val="00F41AF4"/>
    <w:rsid w:val="00F41B85"/>
    <w:rsid w:val="00F41DB9"/>
    <w:rsid w:val="00F42AFD"/>
    <w:rsid w:val="00F4343F"/>
    <w:rsid w:val="00F4365C"/>
    <w:rsid w:val="00F44531"/>
    <w:rsid w:val="00F446C2"/>
    <w:rsid w:val="00F44943"/>
    <w:rsid w:val="00F455A5"/>
    <w:rsid w:val="00F457CC"/>
    <w:rsid w:val="00F4587B"/>
    <w:rsid w:val="00F46836"/>
    <w:rsid w:val="00F46985"/>
    <w:rsid w:val="00F46D61"/>
    <w:rsid w:val="00F47613"/>
    <w:rsid w:val="00F47D54"/>
    <w:rsid w:val="00F47FC9"/>
    <w:rsid w:val="00F507E4"/>
    <w:rsid w:val="00F5103E"/>
    <w:rsid w:val="00F51835"/>
    <w:rsid w:val="00F51E4B"/>
    <w:rsid w:val="00F5298E"/>
    <w:rsid w:val="00F531CD"/>
    <w:rsid w:val="00F540FC"/>
    <w:rsid w:val="00F5478C"/>
    <w:rsid w:val="00F54C27"/>
    <w:rsid w:val="00F54F7E"/>
    <w:rsid w:val="00F55CEB"/>
    <w:rsid w:val="00F565F9"/>
    <w:rsid w:val="00F56B70"/>
    <w:rsid w:val="00F6022A"/>
    <w:rsid w:val="00F60517"/>
    <w:rsid w:val="00F62AE1"/>
    <w:rsid w:val="00F62D0E"/>
    <w:rsid w:val="00F631F3"/>
    <w:rsid w:val="00F636B1"/>
    <w:rsid w:val="00F637A8"/>
    <w:rsid w:val="00F64616"/>
    <w:rsid w:val="00F64722"/>
    <w:rsid w:val="00F649F9"/>
    <w:rsid w:val="00F64AFE"/>
    <w:rsid w:val="00F6632F"/>
    <w:rsid w:val="00F66F01"/>
    <w:rsid w:val="00F6743A"/>
    <w:rsid w:val="00F700F9"/>
    <w:rsid w:val="00F71497"/>
    <w:rsid w:val="00F7159D"/>
    <w:rsid w:val="00F72480"/>
    <w:rsid w:val="00F727CE"/>
    <w:rsid w:val="00F734A1"/>
    <w:rsid w:val="00F73595"/>
    <w:rsid w:val="00F73944"/>
    <w:rsid w:val="00F73E0C"/>
    <w:rsid w:val="00F73E7E"/>
    <w:rsid w:val="00F741A6"/>
    <w:rsid w:val="00F74D7D"/>
    <w:rsid w:val="00F74EA9"/>
    <w:rsid w:val="00F76AB4"/>
    <w:rsid w:val="00F80E00"/>
    <w:rsid w:val="00F8106B"/>
    <w:rsid w:val="00F81F17"/>
    <w:rsid w:val="00F8342C"/>
    <w:rsid w:val="00F83586"/>
    <w:rsid w:val="00F8456A"/>
    <w:rsid w:val="00F84C5E"/>
    <w:rsid w:val="00F84D90"/>
    <w:rsid w:val="00F84F66"/>
    <w:rsid w:val="00F8511B"/>
    <w:rsid w:val="00F8532F"/>
    <w:rsid w:val="00F8567C"/>
    <w:rsid w:val="00F85BF6"/>
    <w:rsid w:val="00F86779"/>
    <w:rsid w:val="00F86A41"/>
    <w:rsid w:val="00F86A43"/>
    <w:rsid w:val="00F875C5"/>
    <w:rsid w:val="00F876C5"/>
    <w:rsid w:val="00F87CEB"/>
    <w:rsid w:val="00F907C8"/>
    <w:rsid w:val="00F910F9"/>
    <w:rsid w:val="00F9161D"/>
    <w:rsid w:val="00F92765"/>
    <w:rsid w:val="00F94562"/>
    <w:rsid w:val="00F959B3"/>
    <w:rsid w:val="00F96EA8"/>
    <w:rsid w:val="00F9765C"/>
    <w:rsid w:val="00F97736"/>
    <w:rsid w:val="00F97830"/>
    <w:rsid w:val="00F97BA9"/>
    <w:rsid w:val="00FA0CCF"/>
    <w:rsid w:val="00FA1489"/>
    <w:rsid w:val="00FA1538"/>
    <w:rsid w:val="00FA25F8"/>
    <w:rsid w:val="00FA261D"/>
    <w:rsid w:val="00FA281F"/>
    <w:rsid w:val="00FA34C4"/>
    <w:rsid w:val="00FA3534"/>
    <w:rsid w:val="00FA3637"/>
    <w:rsid w:val="00FA3656"/>
    <w:rsid w:val="00FA399A"/>
    <w:rsid w:val="00FA3A57"/>
    <w:rsid w:val="00FA4B36"/>
    <w:rsid w:val="00FA5384"/>
    <w:rsid w:val="00FA5661"/>
    <w:rsid w:val="00FA5CB3"/>
    <w:rsid w:val="00FA6338"/>
    <w:rsid w:val="00FA671C"/>
    <w:rsid w:val="00FA67F2"/>
    <w:rsid w:val="00FA69BD"/>
    <w:rsid w:val="00FA6EA1"/>
    <w:rsid w:val="00FA6F35"/>
    <w:rsid w:val="00FA714A"/>
    <w:rsid w:val="00FA7517"/>
    <w:rsid w:val="00FA7840"/>
    <w:rsid w:val="00FB021B"/>
    <w:rsid w:val="00FB0470"/>
    <w:rsid w:val="00FB07C9"/>
    <w:rsid w:val="00FB0AF9"/>
    <w:rsid w:val="00FB1129"/>
    <w:rsid w:val="00FB11FA"/>
    <w:rsid w:val="00FB16CE"/>
    <w:rsid w:val="00FB1AB4"/>
    <w:rsid w:val="00FB21BA"/>
    <w:rsid w:val="00FB2517"/>
    <w:rsid w:val="00FB2588"/>
    <w:rsid w:val="00FB2E75"/>
    <w:rsid w:val="00FB2E97"/>
    <w:rsid w:val="00FB3016"/>
    <w:rsid w:val="00FB49AC"/>
    <w:rsid w:val="00FB4B61"/>
    <w:rsid w:val="00FB4E2D"/>
    <w:rsid w:val="00FB5F44"/>
    <w:rsid w:val="00FB6162"/>
    <w:rsid w:val="00FB6365"/>
    <w:rsid w:val="00FB67D1"/>
    <w:rsid w:val="00FB68BB"/>
    <w:rsid w:val="00FB702A"/>
    <w:rsid w:val="00FB70BF"/>
    <w:rsid w:val="00FB777F"/>
    <w:rsid w:val="00FB7AE4"/>
    <w:rsid w:val="00FB7C92"/>
    <w:rsid w:val="00FC0698"/>
    <w:rsid w:val="00FC149D"/>
    <w:rsid w:val="00FC199D"/>
    <w:rsid w:val="00FC2422"/>
    <w:rsid w:val="00FC26DA"/>
    <w:rsid w:val="00FC3474"/>
    <w:rsid w:val="00FC36CD"/>
    <w:rsid w:val="00FC38F7"/>
    <w:rsid w:val="00FC4587"/>
    <w:rsid w:val="00FC461F"/>
    <w:rsid w:val="00FC4985"/>
    <w:rsid w:val="00FC4A15"/>
    <w:rsid w:val="00FC4CC0"/>
    <w:rsid w:val="00FC53BB"/>
    <w:rsid w:val="00FC6467"/>
    <w:rsid w:val="00FC6763"/>
    <w:rsid w:val="00FC688D"/>
    <w:rsid w:val="00FC75C0"/>
    <w:rsid w:val="00FD016F"/>
    <w:rsid w:val="00FD0B4A"/>
    <w:rsid w:val="00FD188F"/>
    <w:rsid w:val="00FD3CE5"/>
    <w:rsid w:val="00FD460D"/>
    <w:rsid w:val="00FD4CE3"/>
    <w:rsid w:val="00FD4DA0"/>
    <w:rsid w:val="00FD5373"/>
    <w:rsid w:val="00FD54F1"/>
    <w:rsid w:val="00FD5B09"/>
    <w:rsid w:val="00FD65F7"/>
    <w:rsid w:val="00FD68FD"/>
    <w:rsid w:val="00FD6E53"/>
    <w:rsid w:val="00FD707B"/>
    <w:rsid w:val="00FD7315"/>
    <w:rsid w:val="00FD7D94"/>
    <w:rsid w:val="00FE06FF"/>
    <w:rsid w:val="00FE08F8"/>
    <w:rsid w:val="00FE0F3D"/>
    <w:rsid w:val="00FE1177"/>
    <w:rsid w:val="00FE13A4"/>
    <w:rsid w:val="00FE1891"/>
    <w:rsid w:val="00FE1D2C"/>
    <w:rsid w:val="00FE1EF4"/>
    <w:rsid w:val="00FE253C"/>
    <w:rsid w:val="00FE2F6E"/>
    <w:rsid w:val="00FE31ED"/>
    <w:rsid w:val="00FE3D50"/>
    <w:rsid w:val="00FE3E5E"/>
    <w:rsid w:val="00FE3FCC"/>
    <w:rsid w:val="00FE4FC0"/>
    <w:rsid w:val="00FE52D8"/>
    <w:rsid w:val="00FE54D2"/>
    <w:rsid w:val="00FE6146"/>
    <w:rsid w:val="00FE6BE8"/>
    <w:rsid w:val="00FE7C9A"/>
    <w:rsid w:val="00FF0057"/>
    <w:rsid w:val="00FF07A2"/>
    <w:rsid w:val="00FF12BF"/>
    <w:rsid w:val="00FF141F"/>
    <w:rsid w:val="00FF146D"/>
    <w:rsid w:val="00FF155A"/>
    <w:rsid w:val="00FF1B42"/>
    <w:rsid w:val="00FF1E60"/>
    <w:rsid w:val="00FF24A1"/>
    <w:rsid w:val="00FF2CF7"/>
    <w:rsid w:val="00FF2E9B"/>
    <w:rsid w:val="00FF4FC0"/>
    <w:rsid w:val="00FF50CA"/>
    <w:rsid w:val="00FF5908"/>
    <w:rsid w:val="00FF5BA5"/>
    <w:rsid w:val="00FF628A"/>
    <w:rsid w:val="00FF6D49"/>
    <w:rsid w:val="00FF6FA9"/>
    <w:rsid w:val="00FF7381"/>
    <w:rsid w:val="01EEE62D"/>
    <w:rsid w:val="03962D96"/>
    <w:rsid w:val="03CA0DDF"/>
    <w:rsid w:val="03DDD953"/>
    <w:rsid w:val="04904AF3"/>
    <w:rsid w:val="06DA5AA9"/>
    <w:rsid w:val="08EA5A96"/>
    <w:rsid w:val="0A3596B1"/>
    <w:rsid w:val="0A4F62BD"/>
    <w:rsid w:val="0D074615"/>
    <w:rsid w:val="0D464620"/>
    <w:rsid w:val="0EDC69D3"/>
    <w:rsid w:val="0F49D66F"/>
    <w:rsid w:val="1165CA78"/>
    <w:rsid w:val="11F4D3F9"/>
    <w:rsid w:val="11FD5BE7"/>
    <w:rsid w:val="13796541"/>
    <w:rsid w:val="141BD799"/>
    <w:rsid w:val="14A0D43C"/>
    <w:rsid w:val="1536A65F"/>
    <w:rsid w:val="1560105E"/>
    <w:rsid w:val="17C16867"/>
    <w:rsid w:val="189545E9"/>
    <w:rsid w:val="18E893E1"/>
    <w:rsid w:val="18E9267F"/>
    <w:rsid w:val="19AF6B9F"/>
    <w:rsid w:val="1A20723D"/>
    <w:rsid w:val="1BA4A8CD"/>
    <w:rsid w:val="1BC3ABD5"/>
    <w:rsid w:val="1C62150C"/>
    <w:rsid w:val="1CD3BC16"/>
    <w:rsid w:val="1E7CEDB4"/>
    <w:rsid w:val="1E9FB2CA"/>
    <w:rsid w:val="1EBB58AD"/>
    <w:rsid w:val="1EFEDB12"/>
    <w:rsid w:val="1FBF08A8"/>
    <w:rsid w:val="20E22DCF"/>
    <w:rsid w:val="211A9F97"/>
    <w:rsid w:val="226A970E"/>
    <w:rsid w:val="2360DD10"/>
    <w:rsid w:val="269648C6"/>
    <w:rsid w:val="27694F20"/>
    <w:rsid w:val="278E81C2"/>
    <w:rsid w:val="2896F98A"/>
    <w:rsid w:val="2D6674E5"/>
    <w:rsid w:val="2EAB6D21"/>
    <w:rsid w:val="3014495E"/>
    <w:rsid w:val="3040DCFA"/>
    <w:rsid w:val="3059FEB1"/>
    <w:rsid w:val="313F71AB"/>
    <w:rsid w:val="3157BCFD"/>
    <w:rsid w:val="31580FC8"/>
    <w:rsid w:val="31C5A255"/>
    <w:rsid w:val="3215B8CB"/>
    <w:rsid w:val="323EB69A"/>
    <w:rsid w:val="32CFF800"/>
    <w:rsid w:val="32E4C758"/>
    <w:rsid w:val="33E2259D"/>
    <w:rsid w:val="35E3A9F0"/>
    <w:rsid w:val="35E98D55"/>
    <w:rsid w:val="3635045F"/>
    <w:rsid w:val="386BF321"/>
    <w:rsid w:val="39C8A94C"/>
    <w:rsid w:val="3A75E087"/>
    <w:rsid w:val="3A9381EB"/>
    <w:rsid w:val="3BBD41BA"/>
    <w:rsid w:val="3DCE2F3F"/>
    <w:rsid w:val="3E694CEA"/>
    <w:rsid w:val="3FC3415D"/>
    <w:rsid w:val="40AE5A51"/>
    <w:rsid w:val="4210D3F5"/>
    <w:rsid w:val="435222B6"/>
    <w:rsid w:val="44041E87"/>
    <w:rsid w:val="468FCD67"/>
    <w:rsid w:val="46A6851B"/>
    <w:rsid w:val="477D0D72"/>
    <w:rsid w:val="47DB2B3F"/>
    <w:rsid w:val="489C9A66"/>
    <w:rsid w:val="48BD7BF9"/>
    <w:rsid w:val="48D40F0B"/>
    <w:rsid w:val="49DA563F"/>
    <w:rsid w:val="4A8CE44F"/>
    <w:rsid w:val="4ACC93C0"/>
    <w:rsid w:val="4B6F1C02"/>
    <w:rsid w:val="4C80CBC5"/>
    <w:rsid w:val="4CD2C335"/>
    <w:rsid w:val="4DB93541"/>
    <w:rsid w:val="4F43BDFB"/>
    <w:rsid w:val="5016EA7E"/>
    <w:rsid w:val="5215B17E"/>
    <w:rsid w:val="5220DEAC"/>
    <w:rsid w:val="5391C394"/>
    <w:rsid w:val="5498A747"/>
    <w:rsid w:val="54AB4F88"/>
    <w:rsid w:val="55C9BA09"/>
    <w:rsid w:val="55CEB951"/>
    <w:rsid w:val="585E09A6"/>
    <w:rsid w:val="5899A55D"/>
    <w:rsid w:val="58F00491"/>
    <w:rsid w:val="58F4F024"/>
    <w:rsid w:val="5A3695C2"/>
    <w:rsid w:val="5B71CA22"/>
    <w:rsid w:val="5C156910"/>
    <w:rsid w:val="5E1E6FCC"/>
    <w:rsid w:val="5E215E12"/>
    <w:rsid w:val="5E547627"/>
    <w:rsid w:val="5E849BAE"/>
    <w:rsid w:val="5EF49BC8"/>
    <w:rsid w:val="60AFEF94"/>
    <w:rsid w:val="61149BB7"/>
    <w:rsid w:val="631DF427"/>
    <w:rsid w:val="637827C6"/>
    <w:rsid w:val="63B71A49"/>
    <w:rsid w:val="64F36FD5"/>
    <w:rsid w:val="65EB69FF"/>
    <w:rsid w:val="6824963E"/>
    <w:rsid w:val="682F8918"/>
    <w:rsid w:val="69E1966A"/>
    <w:rsid w:val="6A28E5A3"/>
    <w:rsid w:val="6AB1E71E"/>
    <w:rsid w:val="6BA29F45"/>
    <w:rsid w:val="6C59D629"/>
    <w:rsid w:val="6D009E86"/>
    <w:rsid w:val="6D2B26D2"/>
    <w:rsid w:val="6D7673FF"/>
    <w:rsid w:val="6E0DBF7B"/>
    <w:rsid w:val="6E201EE8"/>
    <w:rsid w:val="6ED1D060"/>
    <w:rsid w:val="6F1C13D5"/>
    <w:rsid w:val="6FB93310"/>
    <w:rsid w:val="70DED30E"/>
    <w:rsid w:val="70E7EE50"/>
    <w:rsid w:val="7236F2EE"/>
    <w:rsid w:val="72EA24E8"/>
    <w:rsid w:val="7306AB2A"/>
    <w:rsid w:val="7373983D"/>
    <w:rsid w:val="7398A906"/>
    <w:rsid w:val="7414E5CA"/>
    <w:rsid w:val="744C6896"/>
    <w:rsid w:val="75B5BC8F"/>
    <w:rsid w:val="76030963"/>
    <w:rsid w:val="76BA8811"/>
    <w:rsid w:val="79041C72"/>
    <w:rsid w:val="7B0C83AB"/>
    <w:rsid w:val="7B436D2A"/>
    <w:rsid w:val="7C4F7F1D"/>
    <w:rsid w:val="7D505BA7"/>
    <w:rsid w:val="7F20FC7F"/>
    <w:rsid w:val="7FDEE41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7F911B6"/>
  <w15:docId w15:val="{705DA397-C4EC-4530-916E-F9AB554ED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pPr>
        <w:spacing w:before="360" w:after="120"/>
        <w:ind w:left="851" w:hanging="851"/>
      </w:pPr>
    </w:pPrDefault>
  </w:docDefaults>
  <w:latentStyles w:defLockedState="0" w:defUIPriority="0" w:defSemiHidden="0" w:defUnhideWhenUsed="0" w:defQFormat="0" w:count="376">
    <w:lsdException w:name="Normal" w:qFormat="1"/>
    <w:lsdException w:name="heading 1" w:locked="1" w:qFormat="1"/>
    <w:lsdException w:name="heading 2" w:qFormat="1"/>
    <w:lsdException w:name="heading 3" w:locked="1" w:semiHidden="1" w:unhideWhenUsed="1" w:qFormat="1"/>
    <w:lsdException w:name="heading 4" w:locked="1" w:semiHidden="1" w:unhideWhenUsed="1" w:qFormat="1"/>
    <w:lsdException w:name="heading 5" w:locked="1"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lsdException w:name="macro" w:semiHidden="1"/>
    <w:lsdException w:name="toa heading" w:semiHidden="1"/>
    <w:lsdException w:name="List" w:semiHidden="1" w:unhideWhenUsed="1"/>
    <w:lsdException w:name="List Bullet" w:semiHidden="1" w:uiPriority="10" w:qFormat="1"/>
    <w:lsdException w:name="List Number" w:semiHidden="1"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qFormat="1"/>
    <w:lsdException w:name="List Bullet 4" w:semiHidden="1" w:unhideWhenUsed="1"/>
    <w:lsdException w:name="List Bullet 5" w:semiHidden="1" w:unhideWhenUsed="1"/>
    <w:lsdException w:name="List Number 2" w:semiHidden="1" w:uiPriority="10" w:unhideWhenUsed="1" w:qFormat="1"/>
    <w:lsdException w:name="List Number 3" w:semiHidden="1" w:uiPriority="10" w:unhideWhenUsed="1" w:qFormat="1"/>
    <w:lsdException w:name="List Number 4" w:semiHidden="1" w:unhideWhenUsed="1"/>
    <w:lsdException w:name="List Number 5" w:semiHidden="1" w:unhideWhenUsed="1"/>
    <w:lsdException w:name="Title" w:semiHidden="1" w:uiPriority="1" w:qFormat="1"/>
    <w:lsdException w:name="Closing" w:semiHidden="1"/>
    <w:lsdException w:name="Signature" w:semiHidden="1" w:unhideWhenUsed="1"/>
    <w:lsdException w:name="Default Paragraph Font" w:semiHidden="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semiHidden="1" w:uiPriority="2" w:qFormat="1"/>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qFormat="1"/>
    <w:lsdException w:name="Emphasis" w:semiHidden="1" w:uiPriority="19"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lsdException w:name="Smart Hyperlink" w:semiHidden="1" w:uiPriority="99"/>
    <w:lsdException w:name="Hashtag" w:semiHidden="1" w:uiPriority="99"/>
    <w:lsdException w:name="Unresolved Mention" w:semiHidden="1" w:uiPriority="99" w:unhideWhenUsed="1"/>
    <w:lsdException w:name="Smart Link" w:semiHidden="1" w:uiPriority="99"/>
  </w:latentStyles>
  <w:style w:type="paragraph" w:default="1" w:styleId="Normal">
    <w:name w:val="Normal"/>
    <w:qFormat/>
    <w:rsid w:val="00717A99"/>
    <w:pPr>
      <w:spacing w:before="0" w:after="0"/>
      <w:ind w:left="0" w:firstLine="0"/>
    </w:pPr>
    <w:rPr>
      <w:lang w:val="en-US" w:eastAsia="en-US"/>
    </w:rPr>
  </w:style>
  <w:style w:type="paragraph" w:styleId="Heading1">
    <w:name w:val="heading 1"/>
    <w:basedOn w:val="Normal"/>
    <w:next w:val="BodyText"/>
    <w:link w:val="Heading1Char"/>
    <w:qFormat/>
    <w:locked/>
    <w:rsid w:val="0037545A"/>
    <w:pPr>
      <w:keepNext/>
      <w:numPr>
        <w:numId w:val="66"/>
      </w:numPr>
      <w:spacing w:before="400" w:after="600"/>
      <w:outlineLvl w:val="0"/>
    </w:pPr>
    <w:rPr>
      <w:rFonts w:ascii="Public Sans SemiBold" w:hAnsi="Public Sans SemiBold"/>
      <w:caps/>
      <w:color w:val="0B3F47"/>
      <w:kern w:val="28"/>
      <w:sz w:val="40"/>
      <w:szCs w:val="36"/>
      <w:lang w:val="en-AU"/>
    </w:rPr>
  </w:style>
  <w:style w:type="paragraph" w:styleId="Heading2">
    <w:name w:val="heading 2"/>
    <w:basedOn w:val="Normal"/>
    <w:next w:val="BodyText"/>
    <w:link w:val="Heading2Char"/>
    <w:semiHidden/>
    <w:qFormat/>
    <w:rsid w:val="00173234"/>
    <w:pPr>
      <w:keepNext/>
      <w:widowControl w:val="0"/>
      <w:numPr>
        <w:numId w:val="65"/>
      </w:numPr>
      <w:pBdr>
        <w:bottom w:val="single" w:sz="4" w:space="2" w:color="008EBA"/>
      </w:pBdr>
      <w:spacing w:before="240" w:after="100" w:line="240" w:lineRule="atLeast"/>
      <w:outlineLvl w:val="1"/>
    </w:pPr>
    <w:rPr>
      <w:rFonts w:ascii="Arial Bold" w:hAnsi="Arial Bold"/>
      <w:b/>
      <w:color w:val="008EBA"/>
      <w:kern w:val="28"/>
      <w:sz w:val="24"/>
      <w:szCs w:val="36"/>
      <w:lang w:val="en-AU"/>
    </w:rPr>
  </w:style>
  <w:style w:type="paragraph" w:styleId="Heading3">
    <w:name w:val="heading 3"/>
    <w:next w:val="BodyText"/>
    <w:link w:val="Heading3Char"/>
    <w:autoRedefine/>
    <w:qFormat/>
    <w:locked/>
    <w:rsid w:val="00AE0BA3"/>
    <w:pPr>
      <w:spacing w:before="240" w:after="100" w:line="240" w:lineRule="atLeast"/>
      <w:ind w:left="0" w:firstLine="0"/>
      <w:jc w:val="both"/>
      <w:outlineLvl w:val="2"/>
    </w:pPr>
    <w:rPr>
      <w:rFonts w:ascii="Public Sans SemiBold" w:hAnsi="Public Sans SemiBold"/>
      <w:b/>
      <w:bCs/>
      <w:color w:val="000000" w:themeColor="text1"/>
      <w:kern w:val="28"/>
      <w:sz w:val="26"/>
      <w:szCs w:val="28"/>
      <w:lang w:eastAsia="en-US"/>
    </w:rPr>
  </w:style>
  <w:style w:type="paragraph" w:styleId="Heading4">
    <w:name w:val="heading 4"/>
    <w:basedOn w:val="Heading3"/>
    <w:next w:val="BodyText"/>
    <w:link w:val="Heading4Char"/>
    <w:qFormat/>
    <w:locked/>
    <w:rsid w:val="000E0BEF"/>
    <w:pPr>
      <w:outlineLvl w:val="3"/>
    </w:pPr>
    <w:rPr>
      <w:sz w:val="24"/>
    </w:rPr>
  </w:style>
  <w:style w:type="paragraph" w:styleId="Heading5">
    <w:name w:val="heading 5"/>
    <w:basedOn w:val="Heading4"/>
    <w:next w:val="BodyText"/>
    <w:link w:val="Heading5Char"/>
    <w:qFormat/>
    <w:locked/>
    <w:rsid w:val="00173234"/>
    <w:pPr>
      <w:spacing w:after="60"/>
      <w:outlineLvl w:val="4"/>
    </w:pPr>
    <w:rPr>
      <w:i/>
    </w:rPr>
  </w:style>
  <w:style w:type="paragraph" w:styleId="Heading6">
    <w:name w:val="heading 6"/>
    <w:basedOn w:val="Heading1"/>
    <w:next w:val="Normal"/>
    <w:link w:val="Heading6Char"/>
    <w:semiHidden/>
    <w:qFormat/>
    <w:rsid w:val="00173234"/>
    <w:pPr>
      <w:spacing w:before="120"/>
      <w:ind w:left="1134" w:hanging="1134"/>
      <w:outlineLvl w:val="5"/>
    </w:pPr>
    <w:rPr>
      <w:rFonts w:ascii="Times New Roman" w:hAnsi="Times New Roman"/>
      <w:b/>
      <w:i/>
      <w:caps w:val="0"/>
      <w:kern w:val="0"/>
      <w:sz w:val="24"/>
    </w:rPr>
  </w:style>
  <w:style w:type="paragraph" w:styleId="Heading7">
    <w:name w:val="heading 7"/>
    <w:basedOn w:val="Heading5"/>
    <w:next w:val="Normal"/>
    <w:link w:val="Heading7Char"/>
    <w:semiHidden/>
    <w:qFormat/>
    <w:rsid w:val="00173234"/>
    <w:pPr>
      <w:spacing w:before="120"/>
      <w:ind w:left="425"/>
      <w:outlineLvl w:val="6"/>
    </w:pPr>
    <w:rPr>
      <w:i w:val="0"/>
    </w:rPr>
  </w:style>
  <w:style w:type="paragraph" w:styleId="Heading8">
    <w:name w:val="heading 8"/>
    <w:basedOn w:val="Heading7"/>
    <w:next w:val="Normal"/>
    <w:link w:val="Heading8Char"/>
    <w:semiHidden/>
    <w:qFormat/>
    <w:rsid w:val="00173234"/>
    <w:pPr>
      <w:outlineLvl w:val="7"/>
    </w:pPr>
    <w:rPr>
      <w:i/>
    </w:rPr>
  </w:style>
  <w:style w:type="paragraph" w:styleId="Heading9">
    <w:name w:val="heading 9"/>
    <w:basedOn w:val="Heading8"/>
    <w:next w:val="Normal"/>
    <w:link w:val="Heading9Char"/>
    <w:semiHidden/>
    <w:qFormat/>
    <w:rsid w:val="00173234"/>
    <w:pPr>
      <w:ind w:left="851"/>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autoRedefine/>
    <w:locked/>
    <w:rsid w:val="004A1A49"/>
    <w:pPr>
      <w:spacing w:before="120"/>
      <w:ind w:left="0" w:firstLine="0"/>
    </w:pPr>
    <w:rPr>
      <w:rFonts w:ascii="Public Sans" w:hAnsi="Public Sans" w:cs="Arial"/>
      <w:iCs/>
      <w:color w:val="000000" w:themeColor="text1"/>
      <w:sz w:val="22"/>
      <w:lang w:eastAsia="en-US"/>
    </w:rPr>
  </w:style>
  <w:style w:type="paragraph" w:customStyle="1" w:styleId="Bullet1">
    <w:name w:val="Bullet 1"/>
    <w:basedOn w:val="BodyText"/>
    <w:link w:val="Bullet1Char"/>
    <w:autoRedefine/>
    <w:qFormat/>
    <w:locked/>
    <w:rsid w:val="004507F8"/>
    <w:pPr>
      <w:numPr>
        <w:numId w:val="134"/>
      </w:numPr>
      <w:tabs>
        <w:tab w:val="left" w:pos="8647"/>
      </w:tabs>
      <w:ind w:left="284" w:hanging="284"/>
    </w:pPr>
    <w:rPr>
      <w:rFonts w:eastAsiaTheme="minorEastAsia"/>
      <w:szCs w:val="23"/>
      <w:lang w:eastAsia="en-AU"/>
    </w:rPr>
  </w:style>
  <w:style w:type="paragraph" w:customStyle="1" w:styleId="Bullet1inabox">
    <w:name w:val="Bullet 1 in a box"/>
    <w:basedOn w:val="Bullet1"/>
    <w:autoRedefine/>
    <w:semiHidden/>
    <w:locked/>
    <w:rsid w:val="00FB3016"/>
    <w:pPr>
      <w:numPr>
        <w:numId w:val="1"/>
      </w:numPr>
      <w:spacing w:before="100" w:after="60"/>
    </w:pPr>
    <w:rPr>
      <w:rFonts w:cs="Times New Roman"/>
    </w:rPr>
  </w:style>
  <w:style w:type="paragraph" w:styleId="NoSpacing">
    <w:name w:val="No Spacing"/>
    <w:basedOn w:val="Normal"/>
    <w:link w:val="NoSpacingChar"/>
    <w:semiHidden/>
    <w:qFormat/>
    <w:rsid w:val="00173234"/>
  </w:style>
  <w:style w:type="paragraph" w:customStyle="1" w:styleId="Bullet2">
    <w:name w:val="Bullet 2"/>
    <w:basedOn w:val="Bullet1"/>
    <w:locked/>
    <w:rsid w:val="003037EA"/>
    <w:pPr>
      <w:numPr>
        <w:numId w:val="24"/>
      </w:numPr>
      <w:tabs>
        <w:tab w:val="left" w:pos="851"/>
      </w:tabs>
      <w:ind w:left="568" w:hanging="284"/>
    </w:pPr>
  </w:style>
  <w:style w:type="character" w:customStyle="1" w:styleId="NoSpacingChar">
    <w:name w:val="No Spacing Char"/>
    <w:link w:val="NoSpacing"/>
    <w:semiHidden/>
    <w:rsid w:val="005E013C"/>
    <w:rPr>
      <w:lang w:val="en-US" w:eastAsia="en-US"/>
    </w:rPr>
  </w:style>
  <w:style w:type="paragraph" w:customStyle="1" w:styleId="Table1X">
    <w:name w:val="Table 1.X"/>
    <w:next w:val="Normal"/>
    <w:semiHidden/>
    <w:qFormat/>
    <w:locked/>
    <w:rsid w:val="0025730F"/>
    <w:pPr>
      <w:numPr>
        <w:numId w:val="91"/>
      </w:numPr>
      <w:spacing w:before="240"/>
      <w:ind w:left="1418" w:hanging="1418"/>
    </w:pPr>
    <w:rPr>
      <w:rFonts w:ascii="Public Sans" w:hAnsi="Public Sans"/>
      <w:bCs/>
      <w:i/>
      <w:color w:val="000000" w:themeColor="text1"/>
      <w:kern w:val="28"/>
      <w:sz w:val="22"/>
      <w:szCs w:val="22"/>
      <w:lang w:eastAsia="en-US"/>
    </w:rPr>
  </w:style>
  <w:style w:type="character" w:styleId="FootnoteReference">
    <w:name w:val="footnote reference"/>
    <w:semiHidden/>
    <w:rsid w:val="00173234"/>
    <w:rPr>
      <w:vertAlign w:val="superscript"/>
    </w:rPr>
  </w:style>
  <w:style w:type="paragraph" w:styleId="FootnoteText">
    <w:name w:val="footnote text"/>
    <w:basedOn w:val="Normal"/>
    <w:link w:val="FootnoteTextChar"/>
    <w:uiPriority w:val="99"/>
    <w:semiHidden/>
    <w:rsid w:val="00173234"/>
    <w:pPr>
      <w:spacing w:before="80" w:after="80"/>
      <w:ind w:left="709" w:hanging="142"/>
    </w:pPr>
    <w:rPr>
      <w:i/>
      <w:sz w:val="16"/>
    </w:rPr>
  </w:style>
  <w:style w:type="character" w:styleId="EndnoteReference">
    <w:name w:val="endnote reference"/>
    <w:semiHidden/>
    <w:rsid w:val="00173234"/>
    <w:rPr>
      <w:i/>
      <w:sz w:val="16"/>
      <w:vertAlign w:val="superscript"/>
    </w:rPr>
  </w:style>
  <w:style w:type="paragraph" w:customStyle="1" w:styleId="21Heading2">
    <w:name w:val="2.1 Heading 2"/>
    <w:basedOn w:val="11Heading2"/>
    <w:next w:val="BodyText"/>
    <w:semiHidden/>
    <w:qFormat/>
    <w:locked/>
    <w:rsid w:val="00B611C9"/>
    <w:pPr>
      <w:numPr>
        <w:numId w:val="4"/>
      </w:numPr>
      <w:ind w:left="851" w:hanging="851"/>
    </w:pPr>
  </w:style>
  <w:style w:type="paragraph" w:customStyle="1" w:styleId="11Heading2">
    <w:name w:val="1.1 Heading 2"/>
    <w:basedOn w:val="Normal"/>
    <w:semiHidden/>
    <w:qFormat/>
    <w:locked/>
    <w:rsid w:val="00B611C9"/>
    <w:pPr>
      <w:numPr>
        <w:numId w:val="3"/>
      </w:numPr>
      <w:pBdr>
        <w:bottom w:val="single" w:sz="4" w:space="4" w:color="22272B"/>
      </w:pBdr>
      <w:spacing w:before="360" w:after="120"/>
      <w:ind w:left="851" w:hanging="851"/>
    </w:pPr>
    <w:rPr>
      <w:rFonts w:ascii="Public Sans SemiBold" w:hAnsi="Public Sans SemiBold"/>
      <w:b/>
      <w:color w:val="22272B"/>
      <w:sz w:val="28"/>
      <w:lang w:val="en-AU"/>
    </w:rPr>
  </w:style>
  <w:style w:type="paragraph" w:customStyle="1" w:styleId="Chart1X">
    <w:name w:val="Chart 1.X"/>
    <w:basedOn w:val="Table1X"/>
    <w:next w:val="Normal"/>
    <w:semiHidden/>
    <w:locked/>
    <w:rsid w:val="00FA6338"/>
    <w:pPr>
      <w:keepLines/>
      <w:numPr>
        <w:numId w:val="28"/>
      </w:numPr>
      <w:ind w:left="1418" w:hanging="1418"/>
    </w:pPr>
  </w:style>
  <w:style w:type="character" w:customStyle="1" w:styleId="Heading2Char">
    <w:name w:val="Heading 2 Char"/>
    <w:link w:val="Heading2"/>
    <w:semiHidden/>
    <w:rsid w:val="000A30B4"/>
    <w:rPr>
      <w:rFonts w:ascii="Arial Bold" w:hAnsi="Arial Bold"/>
      <w:b/>
      <w:color w:val="008EBA"/>
      <w:kern w:val="28"/>
      <w:sz w:val="24"/>
      <w:szCs w:val="36"/>
      <w:lang w:eastAsia="en-US"/>
    </w:rPr>
  </w:style>
  <w:style w:type="table" w:styleId="TableGrid">
    <w:name w:val="Table Grid"/>
    <w:basedOn w:val="TableNormal"/>
    <w:uiPriority w:val="39"/>
    <w:rsid w:val="001732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AE0BA3"/>
    <w:rPr>
      <w:rFonts w:ascii="Public Sans SemiBold" w:hAnsi="Public Sans SemiBold"/>
      <w:b/>
      <w:bCs/>
      <w:color w:val="000000" w:themeColor="text1"/>
      <w:kern w:val="28"/>
      <w:sz w:val="26"/>
      <w:szCs w:val="28"/>
      <w:lang w:eastAsia="en-US"/>
    </w:rPr>
  </w:style>
  <w:style w:type="character" w:customStyle="1" w:styleId="Bullet1Char">
    <w:name w:val="Bullet 1 Char"/>
    <w:link w:val="Bullet1"/>
    <w:rsid w:val="004507F8"/>
    <w:rPr>
      <w:rFonts w:ascii="Public Sans" w:eastAsiaTheme="minorEastAsia" w:hAnsi="Public Sans" w:cs="Arial"/>
      <w:iCs/>
      <w:color w:val="000000" w:themeColor="text1"/>
      <w:sz w:val="22"/>
      <w:szCs w:val="23"/>
    </w:rPr>
  </w:style>
  <w:style w:type="paragraph" w:customStyle="1" w:styleId="Box1XBoxHeading">
    <w:name w:val="Box 1.X: Box Heading"/>
    <w:basedOn w:val="Normal"/>
    <w:next w:val="Normal"/>
    <w:qFormat/>
    <w:locked/>
    <w:rsid w:val="00600F5D"/>
    <w:pPr>
      <w:numPr>
        <w:numId w:val="15"/>
      </w:numPr>
      <w:spacing w:before="80" w:after="60" w:line="240" w:lineRule="atLeast"/>
      <w:ind w:left="1134" w:hanging="1134"/>
    </w:pPr>
    <w:rPr>
      <w:rFonts w:ascii="Public Sans SemiBold" w:hAnsi="Public Sans SemiBold"/>
      <w:b/>
      <w:color w:val="000000" w:themeColor="text1"/>
      <w:sz w:val="22"/>
      <w:lang w:val="en-AU"/>
    </w:rPr>
  </w:style>
  <w:style w:type="paragraph" w:customStyle="1" w:styleId="Box3XBoxHeading">
    <w:name w:val="Box 3.X: Box Heading"/>
    <w:basedOn w:val="Box1XBoxHeading"/>
    <w:next w:val="Normal"/>
    <w:qFormat/>
    <w:locked/>
    <w:rsid w:val="00C53A85"/>
    <w:pPr>
      <w:numPr>
        <w:numId w:val="16"/>
      </w:numPr>
      <w:ind w:left="1134" w:hanging="1134"/>
    </w:pPr>
  </w:style>
  <w:style w:type="paragraph" w:customStyle="1" w:styleId="Box6XBoxHeading">
    <w:name w:val="Box 6.X: Box Heading"/>
    <w:basedOn w:val="Box1XBoxHeading"/>
    <w:autoRedefine/>
    <w:semiHidden/>
    <w:qFormat/>
    <w:locked/>
    <w:rsid w:val="00600F5D"/>
    <w:pPr>
      <w:keepLines/>
      <w:widowControl w:val="0"/>
      <w:numPr>
        <w:numId w:val="19"/>
      </w:numPr>
      <w:ind w:left="1134" w:hanging="1134"/>
    </w:pPr>
    <w:rPr>
      <w:rFonts w:eastAsia="Arial Unicode MS" w:cs="Arial"/>
      <w:bCs/>
      <w:szCs w:val="17"/>
      <w:lang w:eastAsia="en-AU"/>
    </w:rPr>
  </w:style>
  <w:style w:type="paragraph" w:customStyle="1" w:styleId="Box2XBoxHeading">
    <w:name w:val="Box 2.X: Box Heading"/>
    <w:basedOn w:val="Box1XBoxHeading"/>
    <w:semiHidden/>
    <w:qFormat/>
    <w:locked/>
    <w:rsid w:val="00600F5D"/>
    <w:pPr>
      <w:numPr>
        <w:numId w:val="89"/>
      </w:numPr>
      <w:ind w:left="1134" w:hanging="1134"/>
    </w:pPr>
  </w:style>
  <w:style w:type="paragraph" w:customStyle="1" w:styleId="Chart2X">
    <w:name w:val="Chart 2.X"/>
    <w:basedOn w:val="Chart1X"/>
    <w:next w:val="Normal"/>
    <w:semiHidden/>
    <w:locked/>
    <w:rsid w:val="00FA6338"/>
    <w:pPr>
      <w:numPr>
        <w:numId w:val="29"/>
      </w:numPr>
      <w:tabs>
        <w:tab w:val="num" w:pos="360"/>
      </w:tabs>
      <w:ind w:left="1418" w:hanging="1418"/>
    </w:pPr>
  </w:style>
  <w:style w:type="paragraph" w:customStyle="1" w:styleId="Table2X">
    <w:name w:val="Table 2.X"/>
    <w:basedOn w:val="Table1X"/>
    <w:next w:val="Normal"/>
    <w:semiHidden/>
    <w:qFormat/>
    <w:locked/>
    <w:rsid w:val="00B61FAF"/>
    <w:pPr>
      <w:numPr>
        <w:numId w:val="74"/>
      </w:numPr>
      <w:ind w:left="1418" w:hanging="1418"/>
    </w:pPr>
    <w:rPr>
      <w:lang w:val="fr-FR"/>
    </w:rPr>
  </w:style>
  <w:style w:type="paragraph" w:customStyle="1" w:styleId="Table3X">
    <w:name w:val="Table 3.X"/>
    <w:basedOn w:val="Table1X"/>
    <w:next w:val="Normal"/>
    <w:locked/>
    <w:rsid w:val="0086714A"/>
    <w:pPr>
      <w:widowControl w:val="0"/>
      <w:numPr>
        <w:numId w:val="75"/>
      </w:numPr>
    </w:pPr>
    <w:rPr>
      <w:bCs w:val="0"/>
    </w:rPr>
  </w:style>
  <w:style w:type="paragraph" w:customStyle="1" w:styleId="TableFX">
    <w:name w:val="Table F.X"/>
    <w:basedOn w:val="TableA1X"/>
    <w:next w:val="Normal"/>
    <w:semiHidden/>
    <w:locked/>
    <w:rsid w:val="00913FA1"/>
    <w:pPr>
      <w:widowControl w:val="0"/>
      <w:numPr>
        <w:numId w:val="88"/>
      </w:numPr>
      <w:ind w:left="1418" w:hanging="1418"/>
    </w:pPr>
    <w:rPr>
      <w:bCs w:val="0"/>
    </w:rPr>
  </w:style>
  <w:style w:type="paragraph" w:customStyle="1" w:styleId="31Heading2">
    <w:name w:val="3.1 Heading 2"/>
    <w:basedOn w:val="11Heading2"/>
    <w:next w:val="BodyText"/>
    <w:autoRedefine/>
    <w:qFormat/>
    <w:locked/>
    <w:rsid w:val="008D64BE"/>
    <w:pPr>
      <w:numPr>
        <w:numId w:val="5"/>
      </w:numPr>
      <w:ind w:left="851" w:hanging="851"/>
    </w:pPr>
  </w:style>
  <w:style w:type="paragraph" w:customStyle="1" w:styleId="Box71BoxHeading">
    <w:name w:val="Box 7.1 Box Heading"/>
    <w:basedOn w:val="Normal"/>
    <w:autoRedefine/>
    <w:semiHidden/>
    <w:rsid w:val="00173234"/>
    <w:pPr>
      <w:keepLines/>
      <w:widowControl w:val="0"/>
      <w:numPr>
        <w:numId w:val="20"/>
      </w:numPr>
      <w:tabs>
        <w:tab w:val="left" w:pos="1134"/>
      </w:tabs>
      <w:spacing w:before="80" w:after="60" w:line="240" w:lineRule="atLeast"/>
      <w:outlineLvl w:val="2"/>
    </w:pPr>
    <w:rPr>
      <w:rFonts w:ascii="Arial Bold" w:hAnsi="Arial Bold" w:cs="Arial"/>
      <w:b/>
      <w:sz w:val="23"/>
    </w:rPr>
  </w:style>
  <w:style w:type="paragraph" w:customStyle="1" w:styleId="Chart3X">
    <w:name w:val="Chart 3.X"/>
    <w:basedOn w:val="Chart1X"/>
    <w:next w:val="Normal"/>
    <w:qFormat/>
    <w:locked/>
    <w:rsid w:val="00FA6338"/>
    <w:pPr>
      <w:numPr>
        <w:numId w:val="92"/>
      </w:numPr>
      <w:ind w:left="1418" w:hanging="1418"/>
    </w:pPr>
  </w:style>
  <w:style w:type="paragraph" w:customStyle="1" w:styleId="41Heading2">
    <w:name w:val="4.1 Heading 2"/>
    <w:basedOn w:val="11Heading2"/>
    <w:next w:val="BodyText"/>
    <w:semiHidden/>
    <w:qFormat/>
    <w:locked/>
    <w:rsid w:val="00B611C9"/>
    <w:pPr>
      <w:numPr>
        <w:numId w:val="6"/>
      </w:numPr>
      <w:ind w:left="851" w:hanging="851"/>
    </w:pPr>
    <w:rPr>
      <w:color w:val="000000" w:themeColor="text1"/>
    </w:rPr>
  </w:style>
  <w:style w:type="paragraph" w:customStyle="1" w:styleId="Box4XBoxHeading">
    <w:name w:val="Box 4.X Box Heading"/>
    <w:basedOn w:val="Box1XBoxHeading"/>
    <w:next w:val="Normal"/>
    <w:autoRedefine/>
    <w:semiHidden/>
    <w:locked/>
    <w:rsid w:val="00013BFF"/>
    <w:pPr>
      <w:numPr>
        <w:numId w:val="17"/>
      </w:numPr>
      <w:ind w:left="1134" w:hanging="1134"/>
    </w:pPr>
    <w:rPr>
      <w:rFonts w:cs="Arial"/>
      <w:lang w:eastAsia="en-AU"/>
    </w:rPr>
  </w:style>
  <w:style w:type="paragraph" w:customStyle="1" w:styleId="Chart4X">
    <w:name w:val="Chart 4.X"/>
    <w:basedOn w:val="Chart1X"/>
    <w:next w:val="Normal"/>
    <w:semiHidden/>
    <w:locked/>
    <w:rsid w:val="00FA6338"/>
    <w:pPr>
      <w:numPr>
        <w:numId w:val="30"/>
      </w:numPr>
      <w:ind w:left="1418" w:hanging="1418"/>
    </w:pPr>
  </w:style>
  <w:style w:type="paragraph" w:customStyle="1" w:styleId="Table4X">
    <w:name w:val="Table 4.X"/>
    <w:basedOn w:val="Table1X"/>
    <w:next w:val="Normal"/>
    <w:semiHidden/>
    <w:locked/>
    <w:rsid w:val="0086714A"/>
    <w:pPr>
      <w:widowControl w:val="0"/>
      <w:numPr>
        <w:numId w:val="76"/>
      </w:numPr>
      <w:ind w:left="1418" w:hanging="1418"/>
    </w:pPr>
    <w:rPr>
      <w:bCs w:val="0"/>
    </w:rPr>
  </w:style>
  <w:style w:type="paragraph" w:customStyle="1" w:styleId="51Heading2">
    <w:name w:val="5.1 Heading 2"/>
    <w:basedOn w:val="11Heading2"/>
    <w:next w:val="BodyText"/>
    <w:semiHidden/>
    <w:qFormat/>
    <w:locked/>
    <w:rsid w:val="00B611C9"/>
    <w:pPr>
      <w:numPr>
        <w:numId w:val="7"/>
      </w:numPr>
      <w:ind w:left="851" w:hanging="851"/>
    </w:pPr>
    <w:rPr>
      <w:color w:val="000000" w:themeColor="text1"/>
    </w:rPr>
  </w:style>
  <w:style w:type="paragraph" w:customStyle="1" w:styleId="Box5XBoxHeading">
    <w:name w:val="Box 5.X: Box Heading"/>
    <w:basedOn w:val="Box1XBoxHeading"/>
    <w:next w:val="Normal"/>
    <w:semiHidden/>
    <w:qFormat/>
    <w:locked/>
    <w:rsid w:val="00600F5D"/>
    <w:pPr>
      <w:numPr>
        <w:numId w:val="18"/>
      </w:numPr>
      <w:ind w:left="1134" w:hanging="1134"/>
    </w:pPr>
  </w:style>
  <w:style w:type="paragraph" w:customStyle="1" w:styleId="Chart5X">
    <w:name w:val="Chart 5.X"/>
    <w:basedOn w:val="Chart1X"/>
    <w:next w:val="Normal"/>
    <w:semiHidden/>
    <w:locked/>
    <w:rsid w:val="00FA6338"/>
    <w:pPr>
      <w:numPr>
        <w:numId w:val="31"/>
      </w:numPr>
      <w:ind w:left="1418" w:hanging="1418"/>
    </w:pPr>
  </w:style>
  <w:style w:type="paragraph" w:customStyle="1" w:styleId="Table5X">
    <w:name w:val="Table 5.X"/>
    <w:basedOn w:val="Table1X"/>
    <w:next w:val="Normal"/>
    <w:semiHidden/>
    <w:locked/>
    <w:rsid w:val="0086714A"/>
    <w:pPr>
      <w:widowControl w:val="0"/>
      <w:numPr>
        <w:numId w:val="77"/>
      </w:numPr>
      <w:ind w:left="1418" w:hanging="1418"/>
    </w:pPr>
    <w:rPr>
      <w:bCs w:val="0"/>
    </w:rPr>
  </w:style>
  <w:style w:type="paragraph" w:customStyle="1" w:styleId="Chart6X">
    <w:name w:val="Chart 6.X"/>
    <w:basedOn w:val="Chart1X"/>
    <w:next w:val="Normal"/>
    <w:semiHidden/>
    <w:qFormat/>
    <w:locked/>
    <w:rsid w:val="00FA6338"/>
    <w:pPr>
      <w:numPr>
        <w:numId w:val="32"/>
      </w:numPr>
      <w:ind w:left="1418" w:hanging="1418"/>
    </w:pPr>
  </w:style>
  <w:style w:type="paragraph" w:customStyle="1" w:styleId="Table6X">
    <w:name w:val="Table 6.X"/>
    <w:basedOn w:val="Table1X"/>
    <w:next w:val="Normal"/>
    <w:semiHidden/>
    <w:qFormat/>
    <w:locked/>
    <w:rsid w:val="0086714A"/>
    <w:pPr>
      <w:widowControl w:val="0"/>
      <w:numPr>
        <w:numId w:val="78"/>
      </w:numPr>
      <w:ind w:left="1418" w:hanging="1418"/>
    </w:pPr>
    <w:rPr>
      <w:bCs w:val="0"/>
    </w:rPr>
  </w:style>
  <w:style w:type="paragraph" w:customStyle="1" w:styleId="71Heading2">
    <w:name w:val="7.1 Heading 2"/>
    <w:basedOn w:val="11Heading2"/>
    <w:next w:val="BodyText"/>
    <w:semiHidden/>
    <w:qFormat/>
    <w:locked/>
    <w:rsid w:val="00B611C9"/>
    <w:pPr>
      <w:numPr>
        <w:numId w:val="9"/>
      </w:numPr>
      <w:ind w:left="851" w:hanging="851"/>
    </w:pPr>
    <w:rPr>
      <w:color w:val="000000" w:themeColor="text1"/>
    </w:rPr>
  </w:style>
  <w:style w:type="paragraph" w:customStyle="1" w:styleId="81Heading2">
    <w:name w:val="8.1 Heading 2"/>
    <w:basedOn w:val="11Heading2"/>
    <w:next w:val="BodyText"/>
    <w:semiHidden/>
    <w:qFormat/>
    <w:locked/>
    <w:rsid w:val="00B611C9"/>
    <w:pPr>
      <w:numPr>
        <w:numId w:val="10"/>
      </w:numPr>
      <w:ind w:left="851" w:hanging="851"/>
    </w:pPr>
    <w:rPr>
      <w:color w:val="000000" w:themeColor="text1"/>
    </w:rPr>
  </w:style>
  <w:style w:type="paragraph" w:customStyle="1" w:styleId="Chart7X">
    <w:name w:val="Chart 7.X"/>
    <w:basedOn w:val="Chart1X"/>
    <w:next w:val="Normal"/>
    <w:semiHidden/>
    <w:qFormat/>
    <w:locked/>
    <w:rsid w:val="00FA6338"/>
    <w:pPr>
      <w:numPr>
        <w:numId w:val="33"/>
      </w:numPr>
      <w:ind w:left="1418" w:hanging="1418"/>
    </w:pPr>
  </w:style>
  <w:style w:type="paragraph" w:customStyle="1" w:styleId="Box7XBoxHeading">
    <w:name w:val="Box 7.X: Box Heading"/>
    <w:basedOn w:val="Box1XBoxHeading"/>
    <w:next w:val="Normal"/>
    <w:semiHidden/>
    <w:qFormat/>
    <w:locked/>
    <w:rsid w:val="00600F5D"/>
    <w:pPr>
      <w:numPr>
        <w:numId w:val="21"/>
      </w:numPr>
      <w:ind w:left="1134" w:hanging="1134"/>
    </w:pPr>
  </w:style>
  <w:style w:type="paragraph" w:customStyle="1" w:styleId="Table7X">
    <w:name w:val="Table 7.X"/>
    <w:basedOn w:val="Table1X"/>
    <w:next w:val="Normal"/>
    <w:semiHidden/>
    <w:qFormat/>
    <w:locked/>
    <w:rsid w:val="0086714A"/>
    <w:pPr>
      <w:numPr>
        <w:numId w:val="79"/>
      </w:numPr>
      <w:ind w:left="1418" w:hanging="1418"/>
    </w:pPr>
  </w:style>
  <w:style w:type="paragraph" w:customStyle="1" w:styleId="ChartEX">
    <w:name w:val="Chart E.X"/>
    <w:basedOn w:val="ChartA1X"/>
    <w:next w:val="Normal"/>
    <w:semiHidden/>
    <w:qFormat/>
    <w:locked/>
    <w:rsid w:val="00FA6338"/>
    <w:pPr>
      <w:numPr>
        <w:numId w:val="42"/>
      </w:numPr>
      <w:ind w:left="1418" w:hanging="1418"/>
    </w:pPr>
  </w:style>
  <w:style w:type="paragraph" w:customStyle="1" w:styleId="ChartA2X">
    <w:name w:val="Chart A2.X"/>
    <w:basedOn w:val="ChartA1X"/>
    <w:next w:val="Normal"/>
    <w:semiHidden/>
    <w:qFormat/>
    <w:locked/>
    <w:rsid w:val="00FA6338"/>
    <w:pPr>
      <w:numPr>
        <w:numId w:val="35"/>
      </w:numPr>
      <w:ind w:left="1418" w:hanging="1418"/>
    </w:pPr>
  </w:style>
  <w:style w:type="paragraph" w:customStyle="1" w:styleId="A22Heading2">
    <w:name w:val="A2.2 Heading 2"/>
    <w:basedOn w:val="11Heading2"/>
    <w:next w:val="BodyText"/>
    <w:semiHidden/>
    <w:qFormat/>
    <w:locked/>
    <w:rsid w:val="00600F5D"/>
    <w:pPr>
      <w:numPr>
        <w:numId w:val="11"/>
      </w:numPr>
      <w:ind w:left="851" w:hanging="851"/>
    </w:pPr>
    <w:rPr>
      <w:color w:val="000000" w:themeColor="text1"/>
    </w:rPr>
  </w:style>
  <w:style w:type="paragraph" w:customStyle="1" w:styleId="TableA2X">
    <w:name w:val="Table A2.X"/>
    <w:basedOn w:val="TableA1X"/>
    <w:next w:val="Normal"/>
    <w:semiHidden/>
    <w:locked/>
    <w:rsid w:val="0086714A"/>
    <w:pPr>
      <w:keepNext/>
      <w:keepLines/>
      <w:widowControl w:val="0"/>
      <w:numPr>
        <w:numId w:val="82"/>
      </w:numPr>
      <w:autoSpaceDE w:val="0"/>
      <w:autoSpaceDN w:val="0"/>
      <w:ind w:left="1418" w:hanging="1418"/>
    </w:pPr>
    <w:rPr>
      <w:rFonts w:cs="Arial"/>
      <w:lang w:eastAsia="en-AU"/>
    </w:rPr>
  </w:style>
  <w:style w:type="paragraph" w:customStyle="1" w:styleId="TableA3X">
    <w:name w:val="Table A3.X"/>
    <w:basedOn w:val="TableA1X"/>
    <w:next w:val="Normal"/>
    <w:semiHidden/>
    <w:qFormat/>
    <w:locked/>
    <w:rsid w:val="0086714A"/>
    <w:pPr>
      <w:widowControl w:val="0"/>
      <w:numPr>
        <w:numId w:val="83"/>
      </w:numPr>
      <w:ind w:left="1418" w:hanging="1418"/>
    </w:pPr>
    <w:rPr>
      <w:bCs w:val="0"/>
    </w:rPr>
  </w:style>
  <w:style w:type="paragraph" w:customStyle="1" w:styleId="A11Heading2">
    <w:name w:val="A1.1 Heading 2"/>
    <w:basedOn w:val="11Heading2"/>
    <w:next w:val="BodyText"/>
    <w:semiHidden/>
    <w:qFormat/>
    <w:locked/>
    <w:rsid w:val="00600F5D"/>
    <w:pPr>
      <w:numPr>
        <w:numId w:val="90"/>
      </w:numPr>
      <w:ind w:left="851" w:hanging="851"/>
    </w:pPr>
    <w:rPr>
      <w:rFonts w:eastAsia="Tahoma" w:cs="Tahoma"/>
      <w:color w:val="000000" w:themeColor="text1"/>
    </w:rPr>
  </w:style>
  <w:style w:type="paragraph" w:customStyle="1" w:styleId="B1Heading2">
    <w:name w:val="B.1 Heading 2"/>
    <w:basedOn w:val="11Heading2"/>
    <w:semiHidden/>
    <w:qFormat/>
    <w:locked/>
    <w:rsid w:val="00600F5D"/>
    <w:pPr>
      <w:numPr>
        <w:numId w:val="14"/>
      </w:numPr>
      <w:ind w:left="851" w:hanging="851"/>
    </w:pPr>
    <w:rPr>
      <w:rFonts w:eastAsia="Tahoma" w:cs="Tahoma"/>
      <w:color w:val="000000" w:themeColor="text1"/>
    </w:rPr>
  </w:style>
  <w:style w:type="paragraph" w:customStyle="1" w:styleId="ChartA1X">
    <w:name w:val="Chart A1.X"/>
    <w:basedOn w:val="Chart1X"/>
    <w:next w:val="Normal"/>
    <w:semiHidden/>
    <w:qFormat/>
    <w:locked/>
    <w:rsid w:val="00FA6338"/>
    <w:pPr>
      <w:numPr>
        <w:numId w:val="34"/>
      </w:numPr>
      <w:ind w:left="1418" w:hanging="1418"/>
    </w:pPr>
    <w:rPr>
      <w:rFonts w:eastAsia="Tahoma" w:cs="Tahoma"/>
    </w:rPr>
  </w:style>
  <w:style w:type="paragraph" w:customStyle="1" w:styleId="ChartBX">
    <w:name w:val="Chart B.X"/>
    <w:basedOn w:val="ChartA1X"/>
    <w:next w:val="Normal"/>
    <w:semiHidden/>
    <w:qFormat/>
    <w:locked/>
    <w:rsid w:val="00FA6338"/>
    <w:pPr>
      <w:numPr>
        <w:numId w:val="39"/>
      </w:numPr>
      <w:ind w:left="1418" w:hanging="1418"/>
    </w:pPr>
  </w:style>
  <w:style w:type="paragraph" w:customStyle="1" w:styleId="ChartCX">
    <w:name w:val="Chart C.X"/>
    <w:basedOn w:val="ChartA1X"/>
    <w:next w:val="Normal"/>
    <w:semiHidden/>
    <w:qFormat/>
    <w:locked/>
    <w:rsid w:val="00FA6338"/>
    <w:pPr>
      <w:numPr>
        <w:numId w:val="40"/>
      </w:numPr>
      <w:ind w:left="1418" w:hanging="1418"/>
    </w:pPr>
  </w:style>
  <w:style w:type="paragraph" w:customStyle="1" w:styleId="ChartDX">
    <w:name w:val="Chart D.X"/>
    <w:basedOn w:val="ChartA1X"/>
    <w:next w:val="Normal"/>
    <w:semiHidden/>
    <w:qFormat/>
    <w:locked/>
    <w:rsid w:val="00FA6338"/>
    <w:pPr>
      <w:numPr>
        <w:numId w:val="41"/>
      </w:numPr>
      <w:ind w:left="1418" w:hanging="1418"/>
    </w:pPr>
  </w:style>
  <w:style w:type="paragraph" w:customStyle="1" w:styleId="TableA1X">
    <w:name w:val="Table A1.X"/>
    <w:basedOn w:val="Table1X"/>
    <w:next w:val="Normal"/>
    <w:semiHidden/>
    <w:qFormat/>
    <w:locked/>
    <w:rsid w:val="0086714A"/>
    <w:pPr>
      <w:numPr>
        <w:numId w:val="81"/>
      </w:numPr>
      <w:ind w:left="1418" w:hanging="1418"/>
    </w:pPr>
    <w:rPr>
      <w:rFonts w:eastAsia="Tahoma" w:cs="Tahoma"/>
    </w:rPr>
  </w:style>
  <w:style w:type="paragraph" w:customStyle="1" w:styleId="TableBX">
    <w:name w:val="Table B.X"/>
    <w:basedOn w:val="TableA1X"/>
    <w:next w:val="Normal"/>
    <w:semiHidden/>
    <w:qFormat/>
    <w:locked/>
    <w:rsid w:val="0086714A"/>
    <w:pPr>
      <w:numPr>
        <w:numId w:val="84"/>
      </w:numPr>
      <w:ind w:left="1418" w:hanging="1418"/>
    </w:pPr>
  </w:style>
  <w:style w:type="paragraph" w:customStyle="1" w:styleId="TableCX">
    <w:name w:val="Table C.X"/>
    <w:basedOn w:val="TableA1X"/>
    <w:next w:val="Normal"/>
    <w:semiHidden/>
    <w:qFormat/>
    <w:locked/>
    <w:rsid w:val="0086714A"/>
    <w:pPr>
      <w:numPr>
        <w:numId w:val="85"/>
      </w:numPr>
      <w:ind w:left="1418" w:hanging="1418"/>
    </w:pPr>
  </w:style>
  <w:style w:type="paragraph" w:customStyle="1" w:styleId="TableDX">
    <w:name w:val="Table D.X"/>
    <w:basedOn w:val="TableA1X"/>
    <w:next w:val="Normal"/>
    <w:semiHidden/>
    <w:qFormat/>
    <w:locked/>
    <w:rsid w:val="00B61FAF"/>
    <w:pPr>
      <w:numPr>
        <w:numId w:val="86"/>
      </w:numPr>
      <w:ind w:left="1418" w:hanging="1418"/>
    </w:pPr>
  </w:style>
  <w:style w:type="paragraph" w:customStyle="1" w:styleId="ChartA3X">
    <w:name w:val="Chart A3.X"/>
    <w:basedOn w:val="ChartA1X"/>
    <w:next w:val="Normal"/>
    <w:semiHidden/>
    <w:qFormat/>
    <w:locked/>
    <w:rsid w:val="00FA6338"/>
    <w:pPr>
      <w:numPr>
        <w:numId w:val="36"/>
      </w:numPr>
      <w:ind w:left="1418" w:hanging="1418"/>
    </w:pPr>
  </w:style>
  <w:style w:type="paragraph" w:customStyle="1" w:styleId="ChartFX">
    <w:name w:val="Chart F.X"/>
    <w:basedOn w:val="ChartA1X"/>
    <w:next w:val="Normal"/>
    <w:semiHidden/>
    <w:locked/>
    <w:rsid w:val="00FA6338"/>
    <w:pPr>
      <w:numPr>
        <w:numId w:val="43"/>
      </w:numPr>
      <w:ind w:left="1418" w:hanging="1418"/>
    </w:pPr>
  </w:style>
  <w:style w:type="paragraph" w:customStyle="1" w:styleId="61Heading2">
    <w:name w:val="6.1 Heading 2"/>
    <w:basedOn w:val="11Heading2"/>
    <w:next w:val="BodyText"/>
    <w:semiHidden/>
    <w:qFormat/>
    <w:locked/>
    <w:rsid w:val="00B611C9"/>
    <w:pPr>
      <w:numPr>
        <w:numId w:val="8"/>
      </w:numPr>
      <w:ind w:left="851" w:hanging="851"/>
    </w:pPr>
    <w:rPr>
      <w:color w:val="000000" w:themeColor="text1"/>
    </w:rPr>
  </w:style>
  <w:style w:type="paragraph" w:customStyle="1" w:styleId="A31Heading2">
    <w:name w:val="A3.1 Heading 2"/>
    <w:basedOn w:val="11Heading2"/>
    <w:semiHidden/>
    <w:qFormat/>
    <w:locked/>
    <w:rsid w:val="00600F5D"/>
    <w:pPr>
      <w:numPr>
        <w:numId w:val="12"/>
      </w:numPr>
      <w:ind w:left="851" w:hanging="851"/>
    </w:pPr>
    <w:rPr>
      <w:color w:val="000000" w:themeColor="text1"/>
    </w:rPr>
  </w:style>
  <w:style w:type="paragraph" w:customStyle="1" w:styleId="A41Heading2">
    <w:name w:val="A4.1 Heading 2"/>
    <w:basedOn w:val="11Heading2"/>
    <w:next w:val="BodyText"/>
    <w:semiHidden/>
    <w:qFormat/>
    <w:locked/>
    <w:rsid w:val="00600F5D"/>
    <w:pPr>
      <w:numPr>
        <w:numId w:val="13"/>
      </w:numPr>
      <w:ind w:left="851" w:hanging="851"/>
    </w:pPr>
    <w:rPr>
      <w:color w:val="000000" w:themeColor="text1"/>
    </w:rPr>
  </w:style>
  <w:style w:type="paragraph" w:customStyle="1" w:styleId="C1Heading2">
    <w:name w:val="C.1 Heading 2"/>
    <w:basedOn w:val="11Heading2"/>
    <w:next w:val="BodyText"/>
    <w:semiHidden/>
    <w:qFormat/>
    <w:locked/>
    <w:rsid w:val="00FA6338"/>
    <w:pPr>
      <w:numPr>
        <w:numId w:val="27"/>
      </w:numPr>
      <w:ind w:left="851" w:hanging="851"/>
    </w:pPr>
    <w:rPr>
      <w:color w:val="000000" w:themeColor="text1"/>
    </w:rPr>
  </w:style>
  <w:style w:type="paragraph" w:customStyle="1" w:styleId="D1Heading2">
    <w:name w:val="D.1 Heading 2"/>
    <w:basedOn w:val="11Heading2"/>
    <w:next w:val="BodyText"/>
    <w:semiHidden/>
    <w:qFormat/>
    <w:locked/>
    <w:rsid w:val="00B53B6D"/>
    <w:pPr>
      <w:numPr>
        <w:numId w:val="44"/>
      </w:numPr>
      <w:ind w:left="851" w:hanging="851"/>
    </w:pPr>
  </w:style>
  <w:style w:type="paragraph" w:customStyle="1" w:styleId="E1Heading2">
    <w:name w:val="E.1 Heading 2"/>
    <w:basedOn w:val="11Heading2"/>
    <w:next w:val="BodyText"/>
    <w:semiHidden/>
    <w:qFormat/>
    <w:locked/>
    <w:rsid w:val="00B53B6D"/>
    <w:pPr>
      <w:numPr>
        <w:numId w:val="45"/>
      </w:numPr>
      <w:ind w:left="851" w:hanging="851"/>
    </w:pPr>
  </w:style>
  <w:style w:type="paragraph" w:customStyle="1" w:styleId="F1Heading2">
    <w:name w:val="F.1 Heading 2"/>
    <w:basedOn w:val="11Heading2"/>
    <w:semiHidden/>
    <w:qFormat/>
    <w:locked/>
    <w:rsid w:val="00B53B6D"/>
    <w:pPr>
      <w:numPr>
        <w:numId w:val="46"/>
      </w:numPr>
      <w:ind w:left="851" w:hanging="851"/>
    </w:pPr>
  </w:style>
  <w:style w:type="paragraph" w:customStyle="1" w:styleId="Table8X">
    <w:name w:val="Table 8.X"/>
    <w:basedOn w:val="Table1X"/>
    <w:next w:val="Normal"/>
    <w:semiHidden/>
    <w:qFormat/>
    <w:locked/>
    <w:rsid w:val="0086714A"/>
    <w:pPr>
      <w:numPr>
        <w:numId w:val="80"/>
      </w:numPr>
      <w:ind w:left="1418" w:hanging="1418"/>
    </w:pPr>
  </w:style>
  <w:style w:type="paragraph" w:customStyle="1" w:styleId="ChartA4X">
    <w:name w:val="Chart A4.X"/>
    <w:basedOn w:val="ChartA1X"/>
    <w:next w:val="Normal"/>
    <w:semiHidden/>
    <w:qFormat/>
    <w:locked/>
    <w:rsid w:val="00FA6338"/>
    <w:pPr>
      <w:numPr>
        <w:numId w:val="37"/>
      </w:numPr>
      <w:ind w:left="1418" w:hanging="1418"/>
    </w:pPr>
  </w:style>
  <w:style w:type="paragraph" w:customStyle="1" w:styleId="ChartA5X">
    <w:name w:val="Chart A5.X"/>
    <w:basedOn w:val="ChartA1X"/>
    <w:next w:val="Normal"/>
    <w:semiHidden/>
    <w:qFormat/>
    <w:locked/>
    <w:rsid w:val="00FA6338"/>
    <w:pPr>
      <w:numPr>
        <w:numId w:val="38"/>
      </w:numPr>
      <w:ind w:left="1418" w:hanging="1418"/>
    </w:pPr>
  </w:style>
  <w:style w:type="paragraph" w:customStyle="1" w:styleId="Box8XBoxHeading">
    <w:name w:val="Box 8.X: Box Heading"/>
    <w:basedOn w:val="Box1XBoxHeading"/>
    <w:next w:val="Normal"/>
    <w:semiHidden/>
    <w:qFormat/>
    <w:locked/>
    <w:rsid w:val="00600F5D"/>
    <w:pPr>
      <w:numPr>
        <w:numId w:val="22"/>
      </w:numPr>
      <w:ind w:left="1134" w:hanging="1134"/>
    </w:pPr>
  </w:style>
  <w:style w:type="paragraph" w:styleId="Header">
    <w:name w:val="header"/>
    <w:basedOn w:val="Normal"/>
    <w:link w:val="HeaderChar"/>
    <w:uiPriority w:val="99"/>
    <w:rsid w:val="00173234"/>
    <w:pPr>
      <w:tabs>
        <w:tab w:val="center" w:pos="4513"/>
        <w:tab w:val="right" w:pos="9026"/>
      </w:tabs>
    </w:pPr>
  </w:style>
  <w:style w:type="character" w:customStyle="1" w:styleId="HeaderChar">
    <w:name w:val="Header Char"/>
    <w:basedOn w:val="DefaultParagraphFont"/>
    <w:link w:val="Header"/>
    <w:uiPriority w:val="99"/>
    <w:rsid w:val="005E013C"/>
    <w:rPr>
      <w:lang w:val="en-US" w:eastAsia="en-US"/>
    </w:rPr>
  </w:style>
  <w:style w:type="paragraph" w:styleId="Footer">
    <w:name w:val="footer"/>
    <w:basedOn w:val="Normal"/>
    <w:link w:val="FooterChar"/>
    <w:semiHidden/>
    <w:rsid w:val="00173234"/>
    <w:pPr>
      <w:tabs>
        <w:tab w:val="center" w:pos="4513"/>
        <w:tab w:val="right" w:pos="9026"/>
      </w:tabs>
    </w:pPr>
  </w:style>
  <w:style w:type="character" w:customStyle="1" w:styleId="FooterChar">
    <w:name w:val="Footer Char"/>
    <w:basedOn w:val="DefaultParagraphFont"/>
    <w:link w:val="Footer"/>
    <w:semiHidden/>
    <w:rsid w:val="000A30B4"/>
    <w:rPr>
      <w:lang w:val="en-US" w:eastAsia="en-US"/>
    </w:rPr>
  </w:style>
  <w:style w:type="table" w:customStyle="1" w:styleId="Focusbox">
    <w:name w:val="Focus box"/>
    <w:basedOn w:val="TableNormal"/>
    <w:uiPriority w:val="99"/>
    <w:locked/>
    <w:rsid w:val="00173234"/>
    <w:rPr>
      <w:rFonts w:ascii="Arial" w:hAnsi="Arial"/>
      <w:sz w:val="23"/>
    </w:rPr>
    <w:tblPr/>
    <w:tcPr>
      <w:shd w:val="pct5" w:color="auto" w:fill="auto"/>
    </w:tcPr>
  </w:style>
  <w:style w:type="paragraph" w:customStyle="1" w:styleId="Source">
    <w:name w:val="Source"/>
    <w:basedOn w:val="Normal"/>
    <w:next w:val="BodyText"/>
    <w:qFormat/>
    <w:rsid w:val="0025730F"/>
    <w:pPr>
      <w:widowControl w:val="0"/>
    </w:pPr>
    <w:rPr>
      <w:rFonts w:ascii="Public Sans" w:hAnsi="Public Sans" w:cs="Arial"/>
      <w:i/>
      <w:noProof/>
      <w:color w:val="000000" w:themeColor="text1"/>
      <w:sz w:val="17"/>
      <w:szCs w:val="17"/>
      <w:lang w:eastAsia="en-AU"/>
    </w:rPr>
  </w:style>
  <w:style w:type="paragraph" w:customStyle="1" w:styleId="Bullet2inabox">
    <w:name w:val="Bullet 2 in a box"/>
    <w:basedOn w:val="Bullet1inabox"/>
    <w:semiHidden/>
    <w:qFormat/>
    <w:rsid w:val="00FC688D"/>
    <w:pPr>
      <w:numPr>
        <w:numId w:val="2"/>
      </w:numPr>
      <w:ind w:left="714" w:hanging="357"/>
    </w:pPr>
  </w:style>
  <w:style w:type="paragraph" w:customStyle="1" w:styleId="Footnotestyle">
    <w:name w:val="Footnote style"/>
    <w:basedOn w:val="Normal"/>
    <w:next w:val="Normal"/>
    <w:qFormat/>
    <w:rsid w:val="00173234"/>
    <w:pPr>
      <w:spacing w:before="40" w:after="40"/>
      <w:ind w:left="709" w:hanging="284"/>
    </w:pPr>
    <w:rPr>
      <w:rFonts w:ascii="Public Sans" w:hAnsi="Public Sans"/>
      <w:sz w:val="16"/>
    </w:rPr>
  </w:style>
  <w:style w:type="paragraph" w:customStyle="1" w:styleId="Headinginbox">
    <w:name w:val="Heading in box"/>
    <w:basedOn w:val="BodyText"/>
    <w:next w:val="Normal"/>
    <w:qFormat/>
    <w:rsid w:val="00C4786E"/>
    <w:rPr>
      <w:rFonts w:ascii="Public Sans SemiBold" w:hAnsi="Public Sans SemiBold"/>
      <w:b/>
    </w:rPr>
  </w:style>
  <w:style w:type="paragraph" w:customStyle="1" w:styleId="Figure1X">
    <w:name w:val="Figure 1.X"/>
    <w:basedOn w:val="Table1X"/>
    <w:next w:val="Normal"/>
    <w:semiHidden/>
    <w:qFormat/>
    <w:rsid w:val="00597E5A"/>
    <w:pPr>
      <w:numPr>
        <w:numId w:val="47"/>
      </w:numPr>
      <w:ind w:left="1418" w:hanging="1418"/>
    </w:pPr>
  </w:style>
  <w:style w:type="paragraph" w:customStyle="1" w:styleId="Figure2X">
    <w:name w:val="Figure 2.X"/>
    <w:basedOn w:val="Figure1X"/>
    <w:next w:val="Normal"/>
    <w:semiHidden/>
    <w:qFormat/>
    <w:rsid w:val="00597E5A"/>
    <w:pPr>
      <w:numPr>
        <w:numId w:val="48"/>
      </w:numPr>
      <w:ind w:left="1418" w:hanging="1418"/>
    </w:pPr>
  </w:style>
  <w:style w:type="paragraph" w:customStyle="1" w:styleId="Figure3X">
    <w:name w:val="Figure 3.X"/>
    <w:basedOn w:val="Figure1X"/>
    <w:next w:val="Normal"/>
    <w:qFormat/>
    <w:rsid w:val="00597E5A"/>
    <w:pPr>
      <w:numPr>
        <w:numId w:val="49"/>
      </w:numPr>
      <w:ind w:left="1418" w:hanging="1418"/>
    </w:pPr>
  </w:style>
  <w:style w:type="paragraph" w:customStyle="1" w:styleId="Figure4X">
    <w:name w:val="Figure 4.X"/>
    <w:basedOn w:val="Figure1X"/>
    <w:next w:val="Normal"/>
    <w:semiHidden/>
    <w:qFormat/>
    <w:rsid w:val="00597E5A"/>
    <w:pPr>
      <w:numPr>
        <w:numId w:val="50"/>
      </w:numPr>
      <w:ind w:left="1418" w:hanging="1418"/>
    </w:pPr>
  </w:style>
  <w:style w:type="paragraph" w:customStyle="1" w:styleId="Figure5X">
    <w:name w:val="Figure 5.X"/>
    <w:basedOn w:val="Figure1X"/>
    <w:next w:val="Normal"/>
    <w:semiHidden/>
    <w:qFormat/>
    <w:rsid w:val="00597E5A"/>
    <w:pPr>
      <w:numPr>
        <w:numId w:val="51"/>
      </w:numPr>
      <w:ind w:left="1418" w:hanging="1418"/>
    </w:pPr>
  </w:style>
  <w:style w:type="paragraph" w:customStyle="1" w:styleId="Figure6X">
    <w:name w:val="Figure 6.X"/>
    <w:basedOn w:val="Figure1X"/>
    <w:next w:val="Normal"/>
    <w:semiHidden/>
    <w:qFormat/>
    <w:rsid w:val="00597E5A"/>
    <w:pPr>
      <w:numPr>
        <w:numId w:val="52"/>
      </w:numPr>
      <w:ind w:left="1418" w:hanging="1418"/>
    </w:pPr>
  </w:style>
  <w:style w:type="paragraph" w:customStyle="1" w:styleId="Figure7X">
    <w:name w:val="Figure 7.X"/>
    <w:basedOn w:val="Figure1X"/>
    <w:next w:val="Normal"/>
    <w:semiHidden/>
    <w:qFormat/>
    <w:rsid w:val="00597E5A"/>
    <w:pPr>
      <w:numPr>
        <w:numId w:val="53"/>
      </w:numPr>
      <w:ind w:left="1418" w:hanging="1418"/>
    </w:pPr>
  </w:style>
  <w:style w:type="paragraph" w:customStyle="1" w:styleId="Figure8X">
    <w:name w:val="Figure 8.X"/>
    <w:basedOn w:val="Figure7X"/>
    <w:next w:val="Normal"/>
    <w:semiHidden/>
    <w:qFormat/>
    <w:rsid w:val="00597E5A"/>
    <w:pPr>
      <w:numPr>
        <w:numId w:val="54"/>
      </w:numPr>
      <w:ind w:left="1418" w:hanging="1418"/>
    </w:pPr>
  </w:style>
  <w:style w:type="paragraph" w:customStyle="1" w:styleId="FigureA1X">
    <w:name w:val="Figure A1.X"/>
    <w:basedOn w:val="Figure1X"/>
    <w:next w:val="Normal"/>
    <w:semiHidden/>
    <w:qFormat/>
    <w:rsid w:val="00597E5A"/>
    <w:pPr>
      <w:numPr>
        <w:numId w:val="55"/>
      </w:numPr>
      <w:ind w:left="1418" w:hanging="1418"/>
    </w:pPr>
  </w:style>
  <w:style w:type="paragraph" w:customStyle="1" w:styleId="FigureA2X">
    <w:name w:val="Figure A2.X"/>
    <w:basedOn w:val="Figure1X"/>
    <w:next w:val="Normal"/>
    <w:semiHidden/>
    <w:qFormat/>
    <w:rsid w:val="00597E5A"/>
    <w:pPr>
      <w:numPr>
        <w:numId w:val="56"/>
      </w:numPr>
      <w:ind w:left="1418" w:hanging="1418"/>
    </w:pPr>
  </w:style>
  <w:style w:type="paragraph" w:customStyle="1" w:styleId="FigureA3X">
    <w:name w:val="Figure A3.X"/>
    <w:basedOn w:val="Figure1X"/>
    <w:next w:val="Normal"/>
    <w:semiHidden/>
    <w:qFormat/>
    <w:rsid w:val="00597E5A"/>
    <w:pPr>
      <w:numPr>
        <w:numId w:val="57"/>
      </w:numPr>
      <w:ind w:left="1418" w:hanging="1418"/>
    </w:pPr>
  </w:style>
  <w:style w:type="paragraph" w:customStyle="1" w:styleId="FigureA4X">
    <w:name w:val="Figure A4.X"/>
    <w:basedOn w:val="Figure1X"/>
    <w:next w:val="Normal"/>
    <w:semiHidden/>
    <w:qFormat/>
    <w:rsid w:val="00597E5A"/>
    <w:pPr>
      <w:numPr>
        <w:numId w:val="58"/>
      </w:numPr>
      <w:ind w:left="1418" w:hanging="1418"/>
    </w:pPr>
  </w:style>
  <w:style w:type="paragraph" w:customStyle="1" w:styleId="FigureA5X">
    <w:name w:val="Figure A5.X"/>
    <w:basedOn w:val="Figure1X"/>
    <w:next w:val="Normal"/>
    <w:semiHidden/>
    <w:qFormat/>
    <w:rsid w:val="0086714A"/>
    <w:pPr>
      <w:numPr>
        <w:numId w:val="59"/>
      </w:numPr>
      <w:ind w:left="1418" w:hanging="1418"/>
    </w:pPr>
  </w:style>
  <w:style w:type="paragraph" w:customStyle="1" w:styleId="FigureBX">
    <w:name w:val="Figure B.X"/>
    <w:basedOn w:val="Figure1X"/>
    <w:semiHidden/>
    <w:qFormat/>
    <w:rsid w:val="0086714A"/>
    <w:pPr>
      <w:numPr>
        <w:numId w:val="60"/>
      </w:numPr>
      <w:ind w:left="1418" w:hanging="1418"/>
    </w:pPr>
  </w:style>
  <w:style w:type="paragraph" w:customStyle="1" w:styleId="FigureCX">
    <w:name w:val="Figure C.X"/>
    <w:basedOn w:val="Figure1X"/>
    <w:next w:val="Normal"/>
    <w:semiHidden/>
    <w:qFormat/>
    <w:rsid w:val="0086714A"/>
    <w:pPr>
      <w:numPr>
        <w:numId w:val="61"/>
      </w:numPr>
      <w:ind w:left="1418" w:hanging="1418"/>
    </w:pPr>
  </w:style>
  <w:style w:type="paragraph" w:customStyle="1" w:styleId="FigureDX">
    <w:name w:val="Figure D.X"/>
    <w:basedOn w:val="Figure1X"/>
    <w:next w:val="Normal"/>
    <w:semiHidden/>
    <w:qFormat/>
    <w:rsid w:val="0086714A"/>
    <w:pPr>
      <w:numPr>
        <w:numId w:val="62"/>
      </w:numPr>
      <w:ind w:left="1418" w:hanging="1418"/>
    </w:pPr>
  </w:style>
  <w:style w:type="paragraph" w:customStyle="1" w:styleId="FigureEX">
    <w:name w:val="Figure E.X"/>
    <w:basedOn w:val="Figure1X"/>
    <w:next w:val="Normal"/>
    <w:semiHidden/>
    <w:qFormat/>
    <w:rsid w:val="0086714A"/>
    <w:pPr>
      <w:numPr>
        <w:numId w:val="63"/>
      </w:numPr>
      <w:ind w:left="1418" w:hanging="1418"/>
    </w:pPr>
  </w:style>
  <w:style w:type="paragraph" w:customStyle="1" w:styleId="FigureFX">
    <w:name w:val="Figure F.X"/>
    <w:basedOn w:val="Figure1X"/>
    <w:next w:val="Normal"/>
    <w:semiHidden/>
    <w:qFormat/>
    <w:rsid w:val="0086714A"/>
    <w:pPr>
      <w:numPr>
        <w:numId w:val="64"/>
      </w:numPr>
      <w:ind w:left="1418" w:hanging="1418"/>
    </w:pPr>
  </w:style>
  <w:style w:type="paragraph" w:customStyle="1" w:styleId="Bullet3">
    <w:name w:val="Bullet 3"/>
    <w:basedOn w:val="Bullet2"/>
    <w:next w:val="BodyText"/>
    <w:qFormat/>
    <w:rsid w:val="00FA6338"/>
    <w:pPr>
      <w:numPr>
        <w:numId w:val="25"/>
      </w:numPr>
      <w:tabs>
        <w:tab w:val="clear" w:pos="851"/>
        <w:tab w:val="clear" w:pos="8647"/>
      </w:tabs>
      <w:ind w:left="851" w:hanging="284"/>
    </w:pPr>
  </w:style>
  <w:style w:type="paragraph" w:customStyle="1" w:styleId="TableEX">
    <w:name w:val="Table E.X"/>
    <w:basedOn w:val="TableDX"/>
    <w:next w:val="BodyText"/>
    <w:semiHidden/>
    <w:qFormat/>
    <w:rsid w:val="00B61352"/>
    <w:pPr>
      <w:numPr>
        <w:numId w:val="87"/>
      </w:numPr>
      <w:ind w:left="1418" w:hanging="1418"/>
    </w:pPr>
  </w:style>
  <w:style w:type="paragraph" w:customStyle="1" w:styleId="Default">
    <w:name w:val="Default"/>
    <w:semiHidden/>
    <w:rsid w:val="000F0D89"/>
    <w:pPr>
      <w:autoSpaceDE w:val="0"/>
      <w:autoSpaceDN w:val="0"/>
      <w:adjustRightInd w:val="0"/>
    </w:pPr>
    <w:rPr>
      <w:rFonts w:ascii="Public Sans SemiBold" w:hAnsi="Public Sans SemiBold" w:cs="Public Sans SemiBold"/>
      <w:color w:val="000000"/>
      <w:sz w:val="24"/>
      <w:szCs w:val="24"/>
    </w:rPr>
  </w:style>
  <w:style w:type="character" w:customStyle="1" w:styleId="A0">
    <w:name w:val="A0"/>
    <w:uiPriority w:val="99"/>
    <w:semiHidden/>
    <w:rsid w:val="000F0D89"/>
    <w:rPr>
      <w:rFonts w:cs="Public Sans SemiBold"/>
      <w:color w:val="ED008E"/>
      <w:sz w:val="22"/>
      <w:szCs w:val="22"/>
    </w:rPr>
  </w:style>
  <w:style w:type="paragraph" w:styleId="BalloonText">
    <w:name w:val="Balloon Text"/>
    <w:basedOn w:val="Normal"/>
    <w:link w:val="BalloonTextChar"/>
    <w:uiPriority w:val="99"/>
    <w:semiHidden/>
    <w:rsid w:val="001732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13C"/>
    <w:rPr>
      <w:rFonts w:ascii="Segoe UI" w:hAnsi="Segoe UI" w:cs="Segoe UI"/>
      <w:sz w:val="18"/>
      <w:szCs w:val="18"/>
      <w:lang w:val="en-US" w:eastAsia="en-US"/>
    </w:rPr>
  </w:style>
  <w:style w:type="character" w:customStyle="1" w:styleId="BodyTextChar">
    <w:name w:val="Body Text Char"/>
    <w:basedOn w:val="DefaultParagraphFont"/>
    <w:link w:val="BodyText"/>
    <w:rsid w:val="004A1A49"/>
    <w:rPr>
      <w:rFonts w:ascii="Public Sans" w:hAnsi="Public Sans" w:cs="Arial"/>
      <w:iCs/>
      <w:color w:val="000000" w:themeColor="text1"/>
      <w:sz w:val="22"/>
      <w:lang w:eastAsia="en-US"/>
    </w:rPr>
  </w:style>
  <w:style w:type="paragraph" w:customStyle="1" w:styleId="BodyTextCentred">
    <w:name w:val="Body Text Centred"/>
    <w:basedOn w:val="BodyText"/>
    <w:uiPriority w:val="4"/>
    <w:semiHidden/>
    <w:qFormat/>
    <w:rsid w:val="00173234"/>
    <w:pPr>
      <w:jc w:val="center"/>
    </w:pPr>
  </w:style>
  <w:style w:type="character" w:customStyle="1" w:styleId="BoldItalic">
    <w:name w:val="Bold Italic"/>
    <w:basedOn w:val="DefaultParagraphFont"/>
    <w:uiPriority w:val="19"/>
    <w:semiHidden/>
    <w:qFormat/>
    <w:rsid w:val="00173234"/>
    <w:rPr>
      <w:b/>
      <w:i/>
      <w:color w:val="000000" w:themeColor="text1"/>
    </w:rPr>
  </w:style>
  <w:style w:type="table" w:customStyle="1" w:styleId="BudgetPapertable">
    <w:name w:val="Budget Paper table"/>
    <w:basedOn w:val="TableNormal"/>
    <w:uiPriority w:val="99"/>
    <w:rsid w:val="00173234"/>
    <w:rPr>
      <w:rFonts w:ascii="Public Sans" w:hAnsi="Public Sans"/>
    </w:rPr>
    <w:tblPr>
      <w:tblStyleRowBandSize w:val="1"/>
    </w:tblPr>
    <w:tblStylePr w:type="firstRow">
      <w:pPr>
        <w:jc w:val="center"/>
      </w:pPr>
      <w:rPr>
        <w:rFonts w:ascii="Arial" w:hAnsi="Arial"/>
        <w:color w:val="FFFFFF" w:themeColor="background1"/>
        <w:sz w:val="18"/>
      </w:rPr>
      <w:tblPr/>
      <w:tcPr>
        <w:tcBorders>
          <w:top w:val="nil"/>
          <w:left w:val="nil"/>
          <w:bottom w:val="nil"/>
          <w:right w:val="nil"/>
          <w:insideH w:val="nil"/>
          <w:insideV w:val="nil"/>
          <w:tl2br w:val="nil"/>
          <w:tr2bl w:val="nil"/>
        </w:tcBorders>
        <w:shd w:val="clear" w:color="auto" w:fill="0A7CB9"/>
      </w:tcPr>
    </w:tblStylePr>
    <w:tblStylePr w:type="lastRow">
      <w:pPr>
        <w:jc w:val="right"/>
      </w:pPr>
      <w:rPr>
        <w:color w:val="0A7CB9"/>
      </w:rPr>
      <w:tblPr/>
      <w:tcPr>
        <w:vAlign w:val="bottom"/>
      </w:tcPr>
    </w:tblStylePr>
    <w:tblStylePr w:type="firstCol">
      <w:pPr>
        <w:jc w:val="left"/>
      </w:pPr>
      <w:tblPr/>
      <w:tcPr>
        <w:vAlign w:val="center"/>
      </w:tcPr>
    </w:tblStylePr>
    <w:tblStylePr w:type="band1Horz">
      <w:pPr>
        <w:jc w:val="right"/>
      </w:pPr>
      <w:tblPr/>
      <w:tcPr>
        <w:vAlign w:val="center"/>
      </w:tcPr>
    </w:tblStylePr>
    <w:tblStylePr w:type="band2Horz">
      <w:pPr>
        <w:jc w:val="right"/>
      </w:pPr>
      <w:tblPr/>
      <w:tcPr>
        <w:vAlign w:val="center"/>
      </w:tcPr>
    </w:tblStylePr>
  </w:style>
  <w:style w:type="table" w:customStyle="1" w:styleId="BPTABLE">
    <w:name w:val="BPTABLE"/>
    <w:basedOn w:val="BudgetPapertable"/>
    <w:uiPriority w:val="99"/>
    <w:rsid w:val="00173234"/>
    <w:tblPr/>
    <w:tblStylePr w:type="firstRow">
      <w:pPr>
        <w:jc w:val="center"/>
      </w:pPr>
      <w:rPr>
        <w:rFonts w:ascii="Arial" w:hAnsi="Arial"/>
        <w:color w:val="FFFFFF" w:themeColor="background1"/>
        <w:sz w:val="18"/>
      </w:rPr>
      <w:tblPr/>
      <w:tcPr>
        <w:tcBorders>
          <w:top w:val="nil"/>
          <w:left w:val="nil"/>
          <w:bottom w:val="nil"/>
          <w:right w:val="nil"/>
          <w:insideH w:val="nil"/>
          <w:insideV w:val="nil"/>
          <w:tl2br w:val="nil"/>
          <w:tr2bl w:val="nil"/>
        </w:tcBorders>
        <w:shd w:val="clear" w:color="auto" w:fill="0A7CB9"/>
      </w:tcPr>
    </w:tblStylePr>
    <w:tblStylePr w:type="lastRow">
      <w:pPr>
        <w:jc w:val="right"/>
      </w:pPr>
      <w:rPr>
        <w:color w:val="0A7CB9"/>
      </w:rPr>
      <w:tblPr/>
      <w:tcPr>
        <w:vAlign w:val="bottom"/>
      </w:tcPr>
    </w:tblStylePr>
    <w:tblStylePr w:type="firstCol">
      <w:pPr>
        <w:jc w:val="left"/>
      </w:pPr>
      <w:tblPr/>
      <w:tcPr>
        <w:vAlign w:val="center"/>
      </w:tcPr>
    </w:tblStylePr>
    <w:tblStylePr w:type="band1Horz">
      <w:pPr>
        <w:jc w:val="right"/>
      </w:pPr>
      <w:tblPr/>
      <w:tcPr>
        <w:vAlign w:val="center"/>
      </w:tcPr>
    </w:tblStylePr>
    <w:tblStylePr w:type="band2Horz">
      <w:pPr>
        <w:jc w:val="right"/>
      </w:pPr>
      <w:tblPr/>
      <w:tcPr>
        <w:vAlign w:val="center"/>
      </w:tcPr>
    </w:tblStylePr>
  </w:style>
  <w:style w:type="table" w:customStyle="1" w:styleId="Budgetpapertable0">
    <w:name w:val="Budget paper table"/>
    <w:basedOn w:val="BudgetPapertable"/>
    <w:uiPriority w:val="99"/>
    <w:rsid w:val="00173234"/>
    <w:tblPr/>
    <w:tblStylePr w:type="firstRow">
      <w:pPr>
        <w:jc w:val="center"/>
      </w:pPr>
      <w:rPr>
        <w:rFonts w:ascii="Arial" w:hAnsi="Arial"/>
        <w:color w:val="FFFFFF" w:themeColor="background1"/>
        <w:sz w:val="18"/>
      </w:rPr>
      <w:tblPr/>
      <w:tcPr>
        <w:tcBorders>
          <w:top w:val="nil"/>
          <w:left w:val="nil"/>
          <w:bottom w:val="nil"/>
          <w:right w:val="nil"/>
          <w:insideH w:val="nil"/>
          <w:insideV w:val="nil"/>
          <w:tl2br w:val="nil"/>
          <w:tr2bl w:val="nil"/>
        </w:tcBorders>
        <w:shd w:val="clear" w:color="auto" w:fill="0A7CB9"/>
      </w:tcPr>
    </w:tblStylePr>
    <w:tblStylePr w:type="lastRow">
      <w:pPr>
        <w:jc w:val="right"/>
      </w:pPr>
      <w:rPr>
        <w:color w:val="0A7CB9"/>
      </w:rPr>
      <w:tblPr/>
      <w:tcPr>
        <w:vAlign w:val="bottom"/>
      </w:tcPr>
    </w:tblStylePr>
    <w:tblStylePr w:type="firstCol">
      <w:pPr>
        <w:jc w:val="left"/>
      </w:pPr>
      <w:tblPr/>
      <w:tcPr>
        <w:vAlign w:val="center"/>
      </w:tcPr>
    </w:tblStylePr>
    <w:tblStylePr w:type="band1Horz">
      <w:pPr>
        <w:jc w:val="right"/>
      </w:pPr>
      <w:tblPr/>
      <w:tcPr>
        <w:vAlign w:val="center"/>
      </w:tcPr>
    </w:tblStylePr>
    <w:tblStylePr w:type="band2Horz">
      <w:pPr>
        <w:jc w:val="right"/>
      </w:pPr>
      <w:tblPr/>
      <w:tcPr>
        <w:vAlign w:val="center"/>
      </w:tcPr>
    </w:tblStylePr>
  </w:style>
  <w:style w:type="paragraph" w:customStyle="1" w:styleId="Bullet4">
    <w:name w:val="Bullet 4"/>
    <w:basedOn w:val="Bullet3"/>
    <w:semiHidden/>
    <w:rsid w:val="00173234"/>
    <w:pPr>
      <w:numPr>
        <w:numId w:val="26"/>
      </w:numPr>
    </w:pPr>
  </w:style>
  <w:style w:type="paragraph" w:styleId="Caption">
    <w:name w:val="caption"/>
    <w:next w:val="BodyText"/>
    <w:uiPriority w:val="35"/>
    <w:semiHidden/>
    <w:qFormat/>
    <w:rsid w:val="00173234"/>
    <w:pPr>
      <w:suppressAutoHyphens/>
      <w:spacing w:before="120"/>
    </w:pPr>
    <w:rPr>
      <w:rFonts w:asciiTheme="minorHAnsi" w:eastAsiaTheme="minorEastAsia" w:hAnsiTheme="minorHAnsi" w:cstheme="minorBidi"/>
      <w:iCs/>
      <w:color w:val="002664" w:themeColor="accent1"/>
      <w:sz w:val="18"/>
      <w:szCs w:val="18"/>
      <w:lang w:eastAsia="zh-CN"/>
    </w:rPr>
  </w:style>
  <w:style w:type="character" w:styleId="CommentReference">
    <w:name w:val="annotation reference"/>
    <w:basedOn w:val="DefaultParagraphFont"/>
    <w:uiPriority w:val="99"/>
    <w:semiHidden/>
    <w:rsid w:val="00173234"/>
    <w:rPr>
      <w:sz w:val="16"/>
      <w:szCs w:val="16"/>
    </w:rPr>
  </w:style>
  <w:style w:type="paragraph" w:styleId="CommentText">
    <w:name w:val="annotation text"/>
    <w:basedOn w:val="Normal"/>
    <w:link w:val="CommentTextChar"/>
    <w:uiPriority w:val="99"/>
    <w:rsid w:val="00173234"/>
  </w:style>
  <w:style w:type="character" w:customStyle="1" w:styleId="CommentTextChar">
    <w:name w:val="Comment Text Char"/>
    <w:basedOn w:val="DefaultParagraphFont"/>
    <w:link w:val="CommentText"/>
    <w:uiPriority w:val="99"/>
    <w:rsid w:val="005E013C"/>
    <w:rPr>
      <w:lang w:val="en-US" w:eastAsia="en-US"/>
    </w:rPr>
  </w:style>
  <w:style w:type="paragraph" w:styleId="CommentSubject">
    <w:name w:val="annotation subject"/>
    <w:basedOn w:val="CommentText"/>
    <w:next w:val="CommentText"/>
    <w:link w:val="CommentSubjectChar"/>
    <w:uiPriority w:val="99"/>
    <w:semiHidden/>
    <w:rsid w:val="00173234"/>
    <w:rPr>
      <w:b/>
      <w:bCs/>
    </w:rPr>
  </w:style>
  <w:style w:type="character" w:customStyle="1" w:styleId="CommentSubjectChar">
    <w:name w:val="Comment Subject Char"/>
    <w:basedOn w:val="CommentTextChar"/>
    <w:link w:val="CommentSubject"/>
    <w:uiPriority w:val="99"/>
    <w:semiHidden/>
    <w:rsid w:val="005E013C"/>
    <w:rPr>
      <w:b/>
      <w:bCs/>
      <w:lang w:val="en-US" w:eastAsia="en-US"/>
    </w:rPr>
  </w:style>
  <w:style w:type="paragraph" w:customStyle="1" w:styleId="ContactDetails">
    <w:name w:val="Contact Details"/>
    <w:uiPriority w:val="99"/>
    <w:semiHidden/>
    <w:rsid w:val="00173234"/>
    <w:pPr>
      <w:spacing w:before="120"/>
      <w:contextualSpacing/>
    </w:pPr>
    <w:rPr>
      <w:rFonts w:asciiTheme="minorHAnsi" w:eastAsiaTheme="minorEastAsia" w:hAnsiTheme="minorHAnsi" w:cstheme="minorBidi"/>
      <w:color w:val="FFFFFF" w:themeColor="background1"/>
      <w:sz w:val="22"/>
      <w:szCs w:val="22"/>
      <w:lang w:eastAsia="zh-CN"/>
    </w:rPr>
  </w:style>
  <w:style w:type="paragraph" w:styleId="Date">
    <w:name w:val="Date"/>
    <w:next w:val="BodyText"/>
    <w:link w:val="DateChar"/>
    <w:uiPriority w:val="3"/>
    <w:semiHidden/>
    <w:rsid w:val="00173234"/>
    <w:pPr>
      <w:spacing w:before="480" w:after="240"/>
    </w:pPr>
    <w:rPr>
      <w:rFonts w:asciiTheme="minorHAnsi" w:eastAsiaTheme="minorEastAsia" w:hAnsiTheme="minorHAnsi" w:cstheme="minorBidi"/>
      <w:color w:val="FFFFFF" w:themeColor="background1"/>
      <w:sz w:val="22"/>
      <w:szCs w:val="22"/>
      <w:lang w:eastAsia="zh-CN"/>
    </w:rPr>
  </w:style>
  <w:style w:type="character" w:customStyle="1" w:styleId="DateChar">
    <w:name w:val="Date Char"/>
    <w:basedOn w:val="DefaultParagraphFont"/>
    <w:link w:val="Date"/>
    <w:uiPriority w:val="3"/>
    <w:semiHidden/>
    <w:rsid w:val="00717A99"/>
    <w:rPr>
      <w:rFonts w:asciiTheme="minorHAnsi" w:eastAsiaTheme="minorEastAsia" w:hAnsiTheme="minorHAnsi" w:cstheme="minorBidi"/>
      <w:color w:val="FFFFFF" w:themeColor="background1"/>
      <w:sz w:val="22"/>
      <w:szCs w:val="22"/>
      <w:lang w:eastAsia="zh-CN"/>
    </w:rPr>
  </w:style>
  <w:style w:type="paragraph" w:customStyle="1" w:styleId="DecimalAligned">
    <w:name w:val="Decimal Aligned"/>
    <w:basedOn w:val="Normal"/>
    <w:uiPriority w:val="40"/>
    <w:semiHidden/>
    <w:qFormat/>
    <w:rsid w:val="00173234"/>
    <w:pPr>
      <w:tabs>
        <w:tab w:val="decimal" w:pos="360"/>
      </w:tabs>
      <w:spacing w:after="200" w:line="276" w:lineRule="auto"/>
    </w:pPr>
    <w:rPr>
      <w:rFonts w:asciiTheme="minorHAnsi" w:eastAsiaTheme="minorEastAsia" w:hAnsiTheme="minorHAnsi"/>
      <w:sz w:val="22"/>
      <w:szCs w:val="22"/>
    </w:rPr>
  </w:style>
  <w:style w:type="paragraph" w:customStyle="1" w:styleId="Descriptor">
    <w:name w:val="Descriptor"/>
    <w:uiPriority w:val="1"/>
    <w:semiHidden/>
    <w:rsid w:val="00173234"/>
    <w:pPr>
      <w:suppressAutoHyphens/>
      <w:contextualSpacing/>
    </w:pPr>
    <w:rPr>
      <w:rFonts w:asciiTheme="majorHAnsi" w:eastAsiaTheme="minorEastAsia" w:hAnsiTheme="majorHAnsi" w:cstheme="minorBidi"/>
      <w:color w:val="FFFFFF" w:themeColor="background1"/>
      <w:sz w:val="28"/>
      <w:szCs w:val="22"/>
      <w:lang w:eastAsia="zh-CN"/>
    </w:rPr>
  </w:style>
  <w:style w:type="paragraph" w:customStyle="1" w:styleId="DividerNumber">
    <w:name w:val="Divider Number"/>
    <w:next w:val="Normal"/>
    <w:uiPriority w:val="3"/>
    <w:semiHidden/>
    <w:rsid w:val="00173234"/>
    <w:pPr>
      <w:pBdr>
        <w:left w:val="single" w:sz="4" w:space="4" w:color="DBDBDB" w:themeColor="background2"/>
      </w:pBdr>
    </w:pPr>
    <w:rPr>
      <w:rFonts w:asciiTheme="minorHAnsi" w:eastAsiaTheme="minorEastAsia" w:hAnsiTheme="minorHAnsi" w:cstheme="minorBidi"/>
      <w:b/>
      <w:color w:val="DBDBDB" w:themeColor="background2"/>
      <w:sz w:val="640"/>
      <w:szCs w:val="22"/>
      <w:lang w:eastAsia="zh-CN"/>
    </w:rPr>
  </w:style>
  <w:style w:type="paragraph" w:customStyle="1" w:styleId="DividerTitle">
    <w:name w:val="Divider Title"/>
    <w:next w:val="BodyText"/>
    <w:uiPriority w:val="3"/>
    <w:semiHidden/>
    <w:rsid w:val="00173234"/>
    <w:pPr>
      <w:pBdr>
        <w:left w:val="single" w:sz="4" w:space="4" w:color="DBDBDB" w:themeColor="background2"/>
      </w:pBdr>
    </w:pPr>
    <w:rPr>
      <w:rFonts w:asciiTheme="minorHAnsi" w:eastAsiaTheme="minorEastAsia" w:hAnsiTheme="minorHAnsi" w:cstheme="minorBidi"/>
      <w:color w:val="DBDBDB" w:themeColor="background2"/>
      <w:sz w:val="80"/>
      <w:szCs w:val="22"/>
      <w:lang w:eastAsia="zh-CN"/>
    </w:rPr>
  </w:style>
  <w:style w:type="character" w:styleId="Emphasis">
    <w:name w:val="Emphasis"/>
    <w:aliases w:val="Italic"/>
    <w:basedOn w:val="DefaultParagraphFont"/>
    <w:uiPriority w:val="19"/>
    <w:semiHidden/>
    <w:qFormat/>
    <w:rsid w:val="00173234"/>
    <w:rPr>
      <w:i/>
      <w:iCs/>
    </w:rPr>
  </w:style>
  <w:style w:type="paragraph" w:styleId="EndnoteText">
    <w:name w:val="endnote text"/>
    <w:basedOn w:val="Normal"/>
    <w:link w:val="EndnoteTextChar"/>
    <w:uiPriority w:val="99"/>
    <w:semiHidden/>
    <w:rsid w:val="00173234"/>
  </w:style>
  <w:style w:type="character" w:customStyle="1" w:styleId="EndnoteTextChar">
    <w:name w:val="Endnote Text Char"/>
    <w:basedOn w:val="DefaultParagraphFont"/>
    <w:link w:val="EndnoteText"/>
    <w:uiPriority w:val="99"/>
    <w:semiHidden/>
    <w:rsid w:val="005E013C"/>
    <w:rPr>
      <w:lang w:val="en-US" w:eastAsia="en-US"/>
    </w:rPr>
  </w:style>
  <w:style w:type="character" w:customStyle="1" w:styleId="FootnoteTextChar">
    <w:name w:val="Footnote Text Char"/>
    <w:basedOn w:val="DefaultParagraphFont"/>
    <w:link w:val="FootnoteText"/>
    <w:uiPriority w:val="99"/>
    <w:semiHidden/>
    <w:rsid w:val="005E013C"/>
    <w:rPr>
      <w:i/>
      <w:sz w:val="16"/>
      <w:lang w:val="en-US" w:eastAsia="en-US"/>
    </w:rPr>
  </w:style>
  <w:style w:type="table" w:styleId="GridTable1Light-Accent6">
    <w:name w:val="Grid Table 1 Light Accent 6"/>
    <w:basedOn w:val="TableNormal"/>
    <w:uiPriority w:val="46"/>
    <w:rsid w:val="00173234"/>
    <w:rPr>
      <w:rFonts w:asciiTheme="minorHAnsi" w:eastAsiaTheme="minorEastAsia" w:hAnsiTheme="minorHAnsi" w:cstheme="minorBidi"/>
      <w:sz w:val="22"/>
      <w:szCs w:val="22"/>
      <w:lang w:eastAsia="zh-CN"/>
    </w:rPr>
    <w:tblPr>
      <w:tblStyleRowBandSize w:val="1"/>
      <w:tblStyleColBandSize w:val="1"/>
      <w:tblBorders>
        <w:top w:val="single" w:sz="4" w:space="0" w:color="B3B9BD" w:themeColor="accent6" w:themeTint="66"/>
        <w:left w:val="single" w:sz="4" w:space="0" w:color="B3B9BD" w:themeColor="accent6" w:themeTint="66"/>
        <w:bottom w:val="single" w:sz="4" w:space="0" w:color="B3B9BD" w:themeColor="accent6" w:themeTint="66"/>
        <w:right w:val="single" w:sz="4" w:space="0" w:color="B3B9BD" w:themeColor="accent6" w:themeTint="66"/>
        <w:insideH w:val="single" w:sz="4" w:space="0" w:color="B3B9BD" w:themeColor="accent6" w:themeTint="66"/>
        <w:insideV w:val="single" w:sz="4" w:space="0" w:color="B3B9BD" w:themeColor="accent6" w:themeTint="66"/>
      </w:tblBorders>
    </w:tblPr>
    <w:tblStylePr w:type="firstRow">
      <w:rPr>
        <w:b/>
        <w:bCs/>
      </w:rPr>
      <w:tblPr/>
      <w:tcPr>
        <w:tcBorders>
          <w:bottom w:val="single" w:sz="12" w:space="0" w:color="8D979C" w:themeColor="accent6" w:themeTint="99"/>
        </w:tcBorders>
      </w:tcPr>
    </w:tblStylePr>
    <w:tblStylePr w:type="lastRow">
      <w:rPr>
        <w:b/>
        <w:bCs/>
      </w:rPr>
      <w:tblPr/>
      <w:tcPr>
        <w:tcBorders>
          <w:top w:val="double" w:sz="2" w:space="0" w:color="8D979C" w:themeColor="accent6" w:themeTint="99"/>
        </w:tcBorders>
      </w:tcPr>
    </w:tblStylePr>
    <w:tblStylePr w:type="firstCol">
      <w:rPr>
        <w:b/>
        <w:bCs/>
      </w:rPr>
    </w:tblStylePr>
    <w:tblStylePr w:type="lastCol">
      <w:rPr>
        <w:b/>
        <w:bCs/>
      </w:rPr>
    </w:tblStylePr>
  </w:style>
  <w:style w:type="paragraph" w:customStyle="1" w:styleId="HeaderFooterSensitivityLabelSpace">
    <w:name w:val="Header&amp;Footer Sensitivity Label Space"/>
    <w:next w:val="Header"/>
    <w:uiPriority w:val="99"/>
    <w:semiHidden/>
    <w:rsid w:val="00173234"/>
    <w:pPr>
      <w:suppressAutoHyphens/>
      <w:spacing w:before="240" w:after="240"/>
    </w:pPr>
    <w:rPr>
      <w:rFonts w:asciiTheme="minorHAnsi" w:eastAsiaTheme="minorEastAsia" w:hAnsiTheme="minorHAnsi" w:cstheme="minorBidi"/>
      <w:color w:val="FFFFFF" w:themeColor="text2"/>
      <w:sz w:val="22"/>
      <w:szCs w:val="22"/>
      <w:lang w:eastAsia="zh-CN"/>
    </w:rPr>
  </w:style>
  <w:style w:type="character" w:customStyle="1" w:styleId="Heading1Char">
    <w:name w:val="Heading 1 Char"/>
    <w:basedOn w:val="DefaultParagraphFont"/>
    <w:link w:val="Heading1"/>
    <w:rsid w:val="0037545A"/>
    <w:rPr>
      <w:rFonts w:ascii="Public Sans SemiBold" w:hAnsi="Public Sans SemiBold"/>
      <w:caps/>
      <w:color w:val="0B3F47"/>
      <w:kern w:val="28"/>
      <w:sz w:val="40"/>
      <w:szCs w:val="36"/>
      <w:lang w:eastAsia="en-US"/>
    </w:rPr>
  </w:style>
  <w:style w:type="character" w:customStyle="1" w:styleId="Heading4Char">
    <w:name w:val="Heading 4 Char"/>
    <w:basedOn w:val="DefaultParagraphFont"/>
    <w:link w:val="Heading4"/>
    <w:rsid w:val="000E0BEF"/>
    <w:rPr>
      <w:rFonts w:ascii="Public Sans SemiBold" w:hAnsi="Public Sans SemiBold"/>
      <w:b/>
      <w:bCs/>
      <w:color w:val="000000" w:themeColor="text1"/>
      <w:kern w:val="28"/>
      <w:sz w:val="24"/>
      <w:szCs w:val="28"/>
      <w:lang w:eastAsia="en-US"/>
    </w:rPr>
  </w:style>
  <w:style w:type="character" w:customStyle="1" w:styleId="Heading5Char">
    <w:name w:val="Heading 5 Char"/>
    <w:basedOn w:val="DefaultParagraphFont"/>
    <w:link w:val="Heading5"/>
    <w:rsid w:val="00173234"/>
    <w:rPr>
      <w:rFonts w:ascii="Public Sans SemiBold" w:hAnsi="Public Sans SemiBold"/>
      <w:i/>
      <w:color w:val="22272B"/>
      <w:kern w:val="28"/>
      <w:sz w:val="26"/>
      <w:szCs w:val="28"/>
      <w:lang w:eastAsia="en-US"/>
    </w:rPr>
  </w:style>
  <w:style w:type="character" w:customStyle="1" w:styleId="Heading6Char">
    <w:name w:val="Heading 6 Char"/>
    <w:basedOn w:val="DefaultParagraphFont"/>
    <w:link w:val="Heading6"/>
    <w:semiHidden/>
    <w:rsid w:val="000A30B4"/>
    <w:rPr>
      <w:b/>
      <w:i/>
      <w:color w:val="0B3F47"/>
      <w:sz w:val="24"/>
      <w:szCs w:val="36"/>
      <w:lang w:eastAsia="en-US"/>
    </w:rPr>
  </w:style>
  <w:style w:type="character" w:customStyle="1" w:styleId="Heading7Char">
    <w:name w:val="Heading 7 Char"/>
    <w:basedOn w:val="DefaultParagraphFont"/>
    <w:link w:val="Heading7"/>
    <w:semiHidden/>
    <w:rsid w:val="000A30B4"/>
    <w:rPr>
      <w:rFonts w:ascii="Public Sans SemiBold" w:hAnsi="Public Sans SemiBold"/>
      <w:b/>
      <w:bCs/>
      <w:color w:val="000000" w:themeColor="text1"/>
      <w:kern w:val="28"/>
      <w:sz w:val="24"/>
      <w:szCs w:val="28"/>
      <w:lang w:eastAsia="en-US"/>
    </w:rPr>
  </w:style>
  <w:style w:type="character" w:customStyle="1" w:styleId="Heading8Char">
    <w:name w:val="Heading 8 Char"/>
    <w:basedOn w:val="DefaultParagraphFont"/>
    <w:link w:val="Heading8"/>
    <w:semiHidden/>
    <w:rsid w:val="000A30B4"/>
    <w:rPr>
      <w:rFonts w:ascii="Public Sans SemiBold" w:hAnsi="Public Sans SemiBold"/>
      <w:b/>
      <w:bCs/>
      <w:i/>
      <w:color w:val="000000" w:themeColor="text1"/>
      <w:kern w:val="28"/>
      <w:sz w:val="24"/>
      <w:szCs w:val="28"/>
      <w:lang w:eastAsia="en-US"/>
    </w:rPr>
  </w:style>
  <w:style w:type="character" w:customStyle="1" w:styleId="Heading9Char">
    <w:name w:val="Heading 9 Char"/>
    <w:basedOn w:val="DefaultParagraphFont"/>
    <w:link w:val="Heading9"/>
    <w:semiHidden/>
    <w:rsid w:val="000A30B4"/>
    <w:rPr>
      <w:rFonts w:ascii="Public Sans SemiBold" w:hAnsi="Public Sans SemiBold"/>
      <w:b/>
      <w:bCs/>
      <w:color w:val="000000" w:themeColor="text1"/>
      <w:kern w:val="28"/>
      <w:sz w:val="24"/>
      <w:szCs w:val="28"/>
      <w:lang w:eastAsia="en-US"/>
    </w:rPr>
  </w:style>
  <w:style w:type="paragraph" w:customStyle="1" w:styleId="Heading10">
    <w:name w:val="Heading1"/>
    <w:next w:val="BodyText"/>
    <w:uiPriority w:val="9"/>
    <w:semiHidden/>
    <w:qFormat/>
    <w:rsid w:val="00173234"/>
    <w:pPr>
      <w:keepNext/>
      <w:keepLines/>
      <w:suppressAutoHyphens/>
    </w:pPr>
    <w:rPr>
      <w:rFonts w:asciiTheme="minorHAnsi" w:eastAsiaTheme="minorEastAsia" w:hAnsiTheme="minorHAnsi" w:cstheme="minorBidi"/>
      <w:color w:val="002664" w:themeColor="accent1"/>
      <w:sz w:val="48"/>
      <w:szCs w:val="22"/>
      <w:lang w:eastAsia="zh-CN"/>
    </w:rPr>
  </w:style>
  <w:style w:type="paragraph" w:customStyle="1" w:styleId="Heading1Appendix">
    <w:name w:val="Heading1 Appendix"/>
    <w:next w:val="BodyText"/>
    <w:uiPriority w:val="10"/>
    <w:semiHidden/>
    <w:qFormat/>
    <w:rsid w:val="00173234"/>
    <w:pPr>
      <w:pageBreakBefore/>
      <w:numPr>
        <w:numId w:val="67"/>
      </w:numPr>
      <w:pBdr>
        <w:top w:val="single" w:sz="4" w:space="8" w:color="002664" w:themeColor="accent1"/>
      </w:pBdr>
    </w:pPr>
    <w:rPr>
      <w:rFonts w:asciiTheme="minorHAnsi" w:eastAsiaTheme="minorEastAsia" w:hAnsiTheme="minorHAnsi" w:cstheme="minorBidi"/>
      <w:color w:val="002664" w:themeColor="accent1"/>
      <w:sz w:val="36"/>
      <w:szCs w:val="22"/>
      <w:lang w:eastAsia="zh-CN"/>
    </w:rPr>
  </w:style>
  <w:style w:type="paragraph" w:customStyle="1" w:styleId="Heading20">
    <w:name w:val="Heading2"/>
    <w:next w:val="BodyText"/>
    <w:uiPriority w:val="9"/>
    <w:semiHidden/>
    <w:qFormat/>
    <w:rsid w:val="00173234"/>
    <w:pPr>
      <w:keepNext/>
      <w:keepLines/>
      <w:pBdr>
        <w:top w:val="single" w:sz="4" w:space="8" w:color="002664" w:themeColor="accent1"/>
      </w:pBdr>
      <w:suppressAutoHyphens/>
      <w:spacing w:before="240" w:after="240"/>
    </w:pPr>
    <w:rPr>
      <w:rFonts w:asciiTheme="minorHAnsi" w:eastAsiaTheme="minorEastAsia" w:hAnsiTheme="minorHAnsi" w:cstheme="minorBidi"/>
      <w:color w:val="002664" w:themeColor="accent1"/>
      <w:sz w:val="36"/>
      <w:szCs w:val="22"/>
      <w:lang w:eastAsia="zh-CN"/>
    </w:rPr>
  </w:style>
  <w:style w:type="paragraph" w:customStyle="1" w:styleId="Heading30">
    <w:name w:val="Heading3"/>
    <w:next w:val="BodyText"/>
    <w:uiPriority w:val="9"/>
    <w:semiHidden/>
    <w:qFormat/>
    <w:rsid w:val="00173234"/>
    <w:pPr>
      <w:keepNext/>
      <w:keepLines/>
      <w:suppressAutoHyphens/>
      <w:spacing w:before="240"/>
    </w:pPr>
    <w:rPr>
      <w:rFonts w:asciiTheme="majorHAnsi" w:eastAsiaTheme="minorEastAsia" w:hAnsiTheme="majorHAnsi" w:cstheme="minorBidi"/>
      <w:color w:val="002664" w:themeColor="accent1"/>
      <w:sz w:val="28"/>
      <w:szCs w:val="22"/>
      <w:lang w:eastAsia="zh-CN"/>
    </w:rPr>
  </w:style>
  <w:style w:type="paragraph" w:customStyle="1" w:styleId="Heading40">
    <w:name w:val="Heading4"/>
    <w:next w:val="BodyText"/>
    <w:uiPriority w:val="9"/>
    <w:semiHidden/>
    <w:qFormat/>
    <w:rsid w:val="00173234"/>
    <w:pPr>
      <w:keepNext/>
      <w:keepLines/>
      <w:suppressAutoHyphens/>
      <w:spacing w:before="240"/>
    </w:pPr>
    <w:rPr>
      <w:rFonts w:asciiTheme="majorHAnsi" w:eastAsiaTheme="majorEastAsia" w:hAnsiTheme="majorHAnsi" w:cstheme="majorBidi"/>
      <w:iCs/>
      <w:color w:val="002664" w:themeColor="accent1"/>
      <w:sz w:val="24"/>
      <w:szCs w:val="22"/>
      <w:lang w:eastAsia="zh-CN"/>
    </w:rPr>
  </w:style>
  <w:style w:type="paragraph" w:customStyle="1" w:styleId="Heading50">
    <w:name w:val="Heading5"/>
    <w:next w:val="BodyText"/>
    <w:uiPriority w:val="9"/>
    <w:semiHidden/>
    <w:qFormat/>
    <w:rsid w:val="00173234"/>
    <w:pPr>
      <w:keepNext/>
      <w:keepLines/>
      <w:suppressAutoHyphens/>
      <w:spacing w:before="240"/>
    </w:pPr>
    <w:rPr>
      <w:rFonts w:asciiTheme="majorHAnsi" w:eastAsiaTheme="majorEastAsia" w:hAnsiTheme="majorHAnsi" w:cstheme="majorBidi"/>
      <w:color w:val="002664" w:themeColor="accent1"/>
      <w:sz w:val="22"/>
      <w:szCs w:val="22"/>
      <w:lang w:eastAsia="zh-CN"/>
    </w:rPr>
  </w:style>
  <w:style w:type="character" w:styleId="Hyperlink">
    <w:name w:val="Hyperlink"/>
    <w:basedOn w:val="DefaultParagraphFont"/>
    <w:uiPriority w:val="99"/>
    <w:rsid w:val="00173234"/>
    <w:rPr>
      <w:color w:val="00ABE6" w:themeColor="hyperlink"/>
      <w:u w:val="single"/>
    </w:rPr>
  </w:style>
  <w:style w:type="paragraph" w:styleId="Index1">
    <w:name w:val="index 1"/>
    <w:basedOn w:val="Normal"/>
    <w:next w:val="Normal"/>
    <w:uiPriority w:val="99"/>
    <w:semiHidden/>
    <w:rsid w:val="00173234"/>
    <w:pPr>
      <w:ind w:left="220" w:hanging="220"/>
    </w:pPr>
  </w:style>
  <w:style w:type="paragraph" w:styleId="Index2">
    <w:name w:val="index 2"/>
    <w:basedOn w:val="Normal"/>
    <w:next w:val="Normal"/>
    <w:uiPriority w:val="99"/>
    <w:semiHidden/>
    <w:rsid w:val="00173234"/>
    <w:pPr>
      <w:ind w:left="440" w:hanging="220"/>
    </w:pPr>
  </w:style>
  <w:style w:type="paragraph" w:styleId="Index3">
    <w:name w:val="index 3"/>
    <w:basedOn w:val="Normal"/>
    <w:next w:val="Normal"/>
    <w:uiPriority w:val="99"/>
    <w:semiHidden/>
    <w:rsid w:val="00173234"/>
    <w:pPr>
      <w:ind w:left="660" w:hanging="220"/>
    </w:pPr>
  </w:style>
  <w:style w:type="paragraph" w:styleId="Index4">
    <w:name w:val="index 4"/>
    <w:basedOn w:val="Normal"/>
    <w:next w:val="Normal"/>
    <w:uiPriority w:val="99"/>
    <w:semiHidden/>
    <w:rsid w:val="00173234"/>
    <w:pPr>
      <w:ind w:left="880" w:hanging="220"/>
    </w:pPr>
  </w:style>
  <w:style w:type="paragraph" w:styleId="Index5">
    <w:name w:val="index 5"/>
    <w:basedOn w:val="Normal"/>
    <w:next w:val="Normal"/>
    <w:uiPriority w:val="99"/>
    <w:semiHidden/>
    <w:rsid w:val="00173234"/>
    <w:pPr>
      <w:ind w:left="1100" w:hanging="220"/>
    </w:pPr>
  </w:style>
  <w:style w:type="paragraph" w:styleId="Index6">
    <w:name w:val="index 6"/>
    <w:basedOn w:val="Normal"/>
    <w:next w:val="Normal"/>
    <w:uiPriority w:val="99"/>
    <w:semiHidden/>
    <w:rsid w:val="00173234"/>
    <w:pPr>
      <w:ind w:left="1320" w:hanging="220"/>
    </w:pPr>
  </w:style>
  <w:style w:type="paragraph" w:styleId="Index7">
    <w:name w:val="index 7"/>
    <w:basedOn w:val="Normal"/>
    <w:next w:val="Normal"/>
    <w:uiPriority w:val="99"/>
    <w:semiHidden/>
    <w:rsid w:val="00173234"/>
    <w:pPr>
      <w:ind w:left="1540" w:hanging="220"/>
    </w:pPr>
  </w:style>
  <w:style w:type="paragraph" w:styleId="Index8">
    <w:name w:val="index 8"/>
    <w:basedOn w:val="Normal"/>
    <w:next w:val="Normal"/>
    <w:uiPriority w:val="99"/>
    <w:semiHidden/>
    <w:rsid w:val="00173234"/>
    <w:pPr>
      <w:ind w:left="1760" w:hanging="220"/>
    </w:pPr>
  </w:style>
  <w:style w:type="paragraph" w:styleId="Index9">
    <w:name w:val="index 9"/>
    <w:basedOn w:val="Normal"/>
    <w:next w:val="Normal"/>
    <w:uiPriority w:val="99"/>
    <w:semiHidden/>
    <w:rsid w:val="00173234"/>
    <w:pPr>
      <w:ind w:left="1980" w:hanging="220"/>
    </w:pPr>
  </w:style>
  <w:style w:type="paragraph" w:customStyle="1" w:styleId="Introduction">
    <w:name w:val="Introduction"/>
    <w:next w:val="BodyText"/>
    <w:uiPriority w:val="5"/>
    <w:semiHidden/>
    <w:qFormat/>
    <w:rsid w:val="00173234"/>
    <w:pPr>
      <w:suppressAutoHyphens/>
      <w:spacing w:after="360"/>
      <w:contextualSpacing/>
    </w:pPr>
    <w:rPr>
      <w:rFonts w:asciiTheme="minorHAnsi" w:eastAsiaTheme="minorEastAsia" w:hAnsiTheme="minorHAnsi" w:cstheme="minorBidi"/>
      <w:color w:val="DBDBDB" w:themeColor="background2"/>
      <w:sz w:val="28"/>
      <w:szCs w:val="22"/>
      <w:lang w:eastAsia="zh-CN"/>
    </w:rPr>
  </w:style>
  <w:style w:type="paragraph" w:styleId="ListBullet">
    <w:name w:val="List Bullet"/>
    <w:uiPriority w:val="10"/>
    <w:semiHidden/>
    <w:qFormat/>
    <w:rsid w:val="00173234"/>
    <w:pPr>
      <w:numPr>
        <w:numId w:val="68"/>
      </w:numPr>
      <w:suppressAutoHyphens/>
      <w:spacing w:before="120"/>
    </w:pPr>
    <w:rPr>
      <w:rFonts w:asciiTheme="minorHAnsi" w:eastAsia="Arial" w:hAnsiTheme="minorHAnsi" w:cs="Arial"/>
      <w:color w:val="000000" w:themeColor="text1"/>
      <w:sz w:val="22"/>
      <w:lang w:eastAsia="en-US"/>
    </w:rPr>
  </w:style>
  <w:style w:type="paragraph" w:styleId="ListBullet2">
    <w:name w:val="List Bullet 2"/>
    <w:uiPriority w:val="10"/>
    <w:semiHidden/>
    <w:qFormat/>
    <w:rsid w:val="00173234"/>
    <w:pPr>
      <w:numPr>
        <w:numId w:val="69"/>
      </w:numPr>
      <w:suppressAutoHyphens/>
      <w:spacing w:before="120"/>
    </w:pPr>
    <w:rPr>
      <w:rFonts w:asciiTheme="minorHAnsi" w:eastAsia="Arial" w:hAnsiTheme="minorHAnsi" w:cs="ArialMT"/>
      <w:color w:val="000000" w:themeColor="text1"/>
      <w:sz w:val="22"/>
      <w:szCs w:val="24"/>
      <w:lang w:eastAsia="en-US"/>
    </w:rPr>
  </w:style>
  <w:style w:type="paragraph" w:styleId="ListBullet3">
    <w:name w:val="List Bullet 3"/>
    <w:uiPriority w:val="10"/>
    <w:semiHidden/>
    <w:qFormat/>
    <w:rsid w:val="00173234"/>
    <w:pPr>
      <w:numPr>
        <w:numId w:val="70"/>
      </w:numPr>
      <w:suppressAutoHyphens/>
      <w:spacing w:before="120"/>
    </w:pPr>
    <w:rPr>
      <w:rFonts w:asciiTheme="minorHAnsi" w:eastAsia="Arial" w:hAnsiTheme="minorHAnsi"/>
      <w:color w:val="000000" w:themeColor="text1"/>
      <w:sz w:val="22"/>
      <w:szCs w:val="24"/>
      <w:lang w:eastAsia="en-US"/>
    </w:rPr>
  </w:style>
  <w:style w:type="paragraph" w:styleId="ListNumber">
    <w:name w:val="List Number"/>
    <w:uiPriority w:val="10"/>
    <w:semiHidden/>
    <w:qFormat/>
    <w:rsid w:val="00173234"/>
    <w:pPr>
      <w:numPr>
        <w:numId w:val="71"/>
      </w:numPr>
      <w:suppressAutoHyphens/>
      <w:spacing w:before="120"/>
    </w:pPr>
    <w:rPr>
      <w:rFonts w:asciiTheme="minorHAnsi" w:eastAsiaTheme="minorEastAsia" w:hAnsiTheme="minorHAnsi" w:cstheme="minorBidi"/>
      <w:color w:val="000000" w:themeColor="text1"/>
      <w:sz w:val="22"/>
      <w:szCs w:val="22"/>
      <w:lang w:eastAsia="zh-CN"/>
    </w:rPr>
  </w:style>
  <w:style w:type="paragraph" w:styleId="ListNumber2">
    <w:name w:val="List Number 2"/>
    <w:uiPriority w:val="10"/>
    <w:semiHidden/>
    <w:qFormat/>
    <w:rsid w:val="00173234"/>
    <w:pPr>
      <w:numPr>
        <w:numId w:val="72"/>
      </w:numPr>
      <w:suppressAutoHyphens/>
      <w:spacing w:before="120"/>
    </w:pPr>
    <w:rPr>
      <w:rFonts w:asciiTheme="minorHAnsi" w:eastAsia="Arial" w:hAnsiTheme="minorHAnsi"/>
      <w:color w:val="000000" w:themeColor="text1"/>
      <w:sz w:val="22"/>
      <w:szCs w:val="24"/>
      <w:lang w:eastAsia="en-US"/>
    </w:rPr>
  </w:style>
  <w:style w:type="paragraph" w:styleId="ListNumber3">
    <w:name w:val="List Number 3"/>
    <w:uiPriority w:val="10"/>
    <w:semiHidden/>
    <w:qFormat/>
    <w:rsid w:val="00173234"/>
    <w:pPr>
      <w:numPr>
        <w:numId w:val="73"/>
      </w:numPr>
      <w:suppressAutoHyphens/>
      <w:spacing w:before="120"/>
    </w:pPr>
    <w:rPr>
      <w:rFonts w:asciiTheme="minorHAnsi" w:eastAsia="Arial" w:hAnsiTheme="minorHAnsi"/>
      <w:color w:val="000000" w:themeColor="text1"/>
      <w:sz w:val="22"/>
      <w:szCs w:val="24"/>
      <w:lang w:eastAsia="en-US"/>
    </w:rPr>
  </w:style>
  <w:style w:type="paragraph" w:styleId="ListParagraph">
    <w:name w:val="List Paragraph"/>
    <w:basedOn w:val="Normal"/>
    <w:uiPriority w:val="34"/>
    <w:qFormat/>
    <w:rsid w:val="00173234"/>
    <w:pPr>
      <w:ind w:left="720"/>
      <w:contextualSpacing/>
    </w:pPr>
  </w:style>
  <w:style w:type="table" w:styleId="ListTable3-Accent2">
    <w:name w:val="List Table 3 Accent 2"/>
    <w:basedOn w:val="TableNormal"/>
    <w:uiPriority w:val="48"/>
    <w:rsid w:val="00173234"/>
    <w:rPr>
      <w:rFonts w:asciiTheme="minorHAnsi" w:eastAsiaTheme="minorEastAsia" w:hAnsiTheme="minorHAnsi" w:cstheme="minorBidi"/>
      <w:sz w:val="22"/>
      <w:szCs w:val="22"/>
      <w:lang w:eastAsia="zh-CN"/>
    </w:rPr>
    <w:tblPr>
      <w:tblStyleRowBandSize w:val="1"/>
      <w:tblStyleColBandSize w:val="1"/>
      <w:tblBorders>
        <w:top w:val="single" w:sz="4" w:space="0" w:color="65D5FF" w:themeColor="accent2" w:themeShade="E6"/>
        <w:left w:val="single" w:sz="4" w:space="0" w:color="65D5FF" w:themeColor="accent2" w:themeShade="E6"/>
        <w:bottom w:val="single" w:sz="4" w:space="0" w:color="65D5FF" w:themeColor="accent2" w:themeShade="E6"/>
        <w:right w:val="single" w:sz="4" w:space="0" w:color="65D5FF" w:themeColor="accent2" w:themeShade="E6"/>
        <w:insideH w:val="single" w:sz="4" w:space="0" w:color="65D5FF" w:themeColor="accent2" w:themeShade="E6"/>
        <w:insideV w:val="single" w:sz="4" w:space="0" w:color="65D5FF" w:themeColor="accent2" w:themeShade="E6"/>
      </w:tblBorders>
    </w:tblPr>
    <w:tblStylePr w:type="firstRow">
      <w:rPr>
        <w:b/>
        <w:bCs/>
        <w:color w:val="FFFFFF" w:themeColor="background1"/>
      </w:rPr>
      <w:tblPr/>
      <w:tcPr>
        <w:tcBorders>
          <w:top w:val="single" w:sz="4" w:space="0" w:color="65D5FF" w:themeColor="accent2" w:themeShade="E6"/>
          <w:left w:val="single" w:sz="4" w:space="0" w:color="65D5FF" w:themeColor="accent2" w:themeShade="E6"/>
          <w:bottom w:val="single" w:sz="4" w:space="0" w:color="65D5FF" w:themeColor="accent2" w:themeShade="E6"/>
          <w:right w:val="single" w:sz="4" w:space="0" w:color="65D5FF" w:themeColor="accent2" w:themeShade="E6"/>
          <w:insideH w:val="single" w:sz="4" w:space="0" w:color="65D5FF" w:themeColor="accent2" w:themeShade="E6"/>
          <w:insideV w:val="single" w:sz="4" w:space="0" w:color="65D5FF" w:themeColor="accent2" w:themeShade="E6"/>
        </w:tcBorders>
        <w:shd w:val="clear" w:color="auto" w:fill="8CE0FF" w:themeFill="accent2"/>
      </w:tcPr>
    </w:tblStylePr>
    <w:tblStylePr w:type="lastRow">
      <w:rPr>
        <w:b w:val="0"/>
        <w:bCs/>
      </w:rPr>
      <w:tblPr/>
      <w:tcPr>
        <w:tcBorders>
          <w:top w:val="single" w:sz="4" w:space="0" w:color="65D5FF" w:themeColor="accent2" w:themeShade="E6"/>
          <w:left w:val="single" w:sz="4" w:space="0" w:color="65D5FF" w:themeColor="accent2" w:themeShade="E6"/>
          <w:bottom w:val="single" w:sz="4" w:space="0" w:color="65D5FF" w:themeColor="accent2" w:themeShade="E6"/>
          <w:right w:val="single" w:sz="4" w:space="0" w:color="65D5FF" w:themeColor="accent2" w:themeShade="E6"/>
          <w:insideH w:val="single" w:sz="4" w:space="0" w:color="65D5FF" w:themeColor="accent2" w:themeShade="E6"/>
          <w:insideV w:val="single" w:sz="4" w:space="0" w:color="65D5FF" w:themeColor="accent2" w:themeShade="E6"/>
        </w:tcBorders>
        <w:shd w:val="clear" w:color="auto" w:fill="FFFFFF" w:themeFill="background1"/>
      </w:tcPr>
    </w:tblStylePr>
    <w:tblStylePr w:type="firstCol">
      <w:rPr>
        <w:b w:val="0"/>
        <w:bCs/>
      </w:rPr>
      <w:tblPr/>
      <w:tcPr>
        <w:tcBorders>
          <w:top w:val="single" w:sz="4" w:space="0" w:color="65D5FF" w:themeColor="accent2" w:themeShade="E6"/>
          <w:left w:val="single" w:sz="4" w:space="0" w:color="65D5FF" w:themeColor="accent2" w:themeShade="E6"/>
          <w:bottom w:val="single" w:sz="4" w:space="0" w:color="65D5FF" w:themeColor="accent2" w:themeShade="E6"/>
          <w:right w:val="single" w:sz="4" w:space="0" w:color="65D5FF" w:themeColor="accent2" w:themeShade="E6"/>
          <w:insideH w:val="single" w:sz="4" w:space="0" w:color="65D5FF" w:themeColor="accent2" w:themeShade="E6"/>
          <w:insideV w:val="single" w:sz="4" w:space="0" w:color="65D5FF" w:themeColor="accent2" w:themeShade="E6"/>
        </w:tcBorders>
        <w:shd w:val="clear" w:color="auto" w:fill="FFFFFF" w:themeFill="background1"/>
      </w:tcPr>
    </w:tblStylePr>
    <w:tblStylePr w:type="lastCol">
      <w:rPr>
        <w:b w:val="0"/>
        <w:bCs/>
      </w:rPr>
      <w:tblPr/>
      <w:tcPr>
        <w:tcBorders>
          <w:top w:val="single" w:sz="4" w:space="0" w:color="65D5FF" w:themeColor="accent2" w:themeShade="E6"/>
          <w:left w:val="single" w:sz="4" w:space="0" w:color="65D5FF" w:themeColor="accent2" w:themeShade="E6"/>
          <w:bottom w:val="single" w:sz="4" w:space="0" w:color="65D5FF" w:themeColor="accent2" w:themeShade="E6"/>
          <w:right w:val="single" w:sz="4" w:space="0" w:color="65D5FF" w:themeColor="accent2" w:themeShade="E6"/>
          <w:insideH w:val="single" w:sz="4" w:space="0" w:color="65D5FF" w:themeColor="accent2" w:themeShade="E6"/>
          <w:insideV w:val="single" w:sz="4" w:space="0" w:color="65D5FF" w:themeColor="accent2" w:themeShade="E6"/>
        </w:tcBorders>
        <w:shd w:val="clear" w:color="auto" w:fill="FFFFFF" w:themeFill="background1"/>
      </w:tcPr>
    </w:tblStylePr>
    <w:tblStylePr w:type="band1Vert">
      <w:tblPr/>
      <w:tcPr>
        <w:tcBorders>
          <w:top w:val="single" w:sz="4" w:space="0" w:color="65D5FF" w:themeColor="accent2" w:themeShade="E6"/>
          <w:left w:val="single" w:sz="4" w:space="0" w:color="65D5FF" w:themeColor="accent2" w:themeShade="E6"/>
          <w:bottom w:val="single" w:sz="4" w:space="0" w:color="65D5FF" w:themeColor="accent2" w:themeShade="E6"/>
          <w:right w:val="single" w:sz="4" w:space="0" w:color="65D5FF" w:themeColor="accent2" w:themeShade="E6"/>
          <w:insideH w:val="single" w:sz="4" w:space="0" w:color="65D5FF" w:themeColor="accent2" w:themeShade="E6"/>
          <w:insideV w:val="single" w:sz="4" w:space="0" w:color="65D5FF" w:themeColor="accent2" w:themeShade="E6"/>
        </w:tcBorders>
      </w:tcPr>
    </w:tblStylePr>
    <w:tblStylePr w:type="band2Vert">
      <w:tblPr/>
      <w:tcPr>
        <w:tcBorders>
          <w:top w:val="single" w:sz="4" w:space="0" w:color="65D5FF" w:themeColor="accent2" w:themeShade="E6"/>
          <w:left w:val="single" w:sz="4" w:space="0" w:color="65D5FF" w:themeColor="accent2" w:themeShade="E6"/>
          <w:bottom w:val="single" w:sz="4" w:space="0" w:color="65D5FF" w:themeColor="accent2" w:themeShade="E6"/>
          <w:right w:val="single" w:sz="4" w:space="0" w:color="65D5FF" w:themeColor="accent2" w:themeShade="E6"/>
          <w:insideH w:val="single" w:sz="4" w:space="0" w:color="65D5FF" w:themeColor="accent2" w:themeShade="E6"/>
          <w:insideV w:val="single" w:sz="4" w:space="0" w:color="65D5FF" w:themeColor="accent2" w:themeShade="E6"/>
        </w:tcBorders>
      </w:tcPr>
    </w:tblStylePr>
    <w:tblStylePr w:type="band1Horz">
      <w:tblPr/>
      <w:tcPr>
        <w:tcBorders>
          <w:top w:val="single" w:sz="4" w:space="0" w:color="65D5FF" w:themeColor="accent2" w:themeShade="E6"/>
          <w:left w:val="single" w:sz="4" w:space="0" w:color="65D5FF" w:themeColor="accent2" w:themeShade="E6"/>
          <w:bottom w:val="single" w:sz="4" w:space="0" w:color="65D5FF" w:themeColor="accent2" w:themeShade="E6"/>
          <w:right w:val="single" w:sz="4" w:space="0" w:color="65D5FF" w:themeColor="accent2" w:themeShade="E6"/>
          <w:insideH w:val="single" w:sz="4" w:space="0" w:color="65D5FF" w:themeColor="accent2" w:themeShade="E6"/>
          <w:insideV w:val="single" w:sz="4" w:space="0" w:color="65D5FF" w:themeColor="accent2" w:themeShade="E6"/>
        </w:tcBorders>
      </w:tcPr>
    </w:tblStylePr>
    <w:tblStylePr w:type="band2Horz">
      <w:tblPr/>
      <w:tcPr>
        <w:tcBorders>
          <w:top w:val="single" w:sz="4" w:space="0" w:color="65D5FF" w:themeColor="accent2" w:themeShade="E6"/>
          <w:left w:val="single" w:sz="4" w:space="0" w:color="65D5FF" w:themeColor="accent2" w:themeShade="E6"/>
          <w:bottom w:val="single" w:sz="4" w:space="0" w:color="65D5FF" w:themeColor="accent2" w:themeShade="E6"/>
          <w:right w:val="single" w:sz="4" w:space="0" w:color="65D5FF" w:themeColor="accent2" w:themeShade="E6"/>
          <w:insideH w:val="single" w:sz="4" w:space="0" w:color="65D5FF" w:themeColor="accent2" w:themeShade="E6"/>
          <w:insideV w:val="single" w:sz="4" w:space="0" w:color="65D5FF" w:themeColor="accent2" w:themeShade="E6"/>
        </w:tcBorders>
      </w:tcPr>
    </w:tblStylePr>
    <w:tblStylePr w:type="neCell">
      <w:tblPr/>
      <w:tcPr>
        <w:tcBorders>
          <w:top w:val="single" w:sz="4" w:space="0" w:color="65D5FF" w:themeColor="accent2" w:themeShade="E6"/>
          <w:left w:val="single" w:sz="4" w:space="0" w:color="65D5FF" w:themeColor="accent2" w:themeShade="E6"/>
          <w:bottom w:val="single" w:sz="4" w:space="0" w:color="65D5FF" w:themeColor="accent2" w:themeShade="E6"/>
          <w:right w:val="single" w:sz="4" w:space="0" w:color="65D5FF" w:themeColor="accent2" w:themeShade="E6"/>
          <w:insideH w:val="single" w:sz="4" w:space="0" w:color="65D5FF" w:themeColor="accent2" w:themeShade="E6"/>
          <w:insideV w:val="single" w:sz="4" w:space="0" w:color="65D5FF" w:themeColor="accent2" w:themeShade="E6"/>
        </w:tcBorders>
      </w:tcPr>
    </w:tblStylePr>
    <w:tblStylePr w:type="nwCell">
      <w:tblPr/>
      <w:tcPr>
        <w:tcBorders>
          <w:top w:val="single" w:sz="4" w:space="0" w:color="65D5FF" w:themeColor="accent2" w:themeShade="E6"/>
          <w:left w:val="single" w:sz="4" w:space="0" w:color="65D5FF" w:themeColor="accent2" w:themeShade="E6"/>
          <w:bottom w:val="single" w:sz="4" w:space="0" w:color="65D5FF" w:themeColor="accent2" w:themeShade="E6"/>
          <w:right w:val="single" w:sz="4" w:space="0" w:color="65D5FF" w:themeColor="accent2" w:themeShade="E6"/>
          <w:insideH w:val="single" w:sz="4" w:space="0" w:color="65D5FF" w:themeColor="accent2" w:themeShade="E6"/>
          <w:insideV w:val="single" w:sz="4" w:space="0" w:color="65D5FF" w:themeColor="accent2" w:themeShade="E6"/>
        </w:tcBorders>
      </w:tcPr>
    </w:tblStylePr>
    <w:tblStylePr w:type="seCell">
      <w:tblPr/>
      <w:tcPr>
        <w:tcBorders>
          <w:top w:val="single" w:sz="4" w:space="0" w:color="65D5FF" w:themeColor="accent2" w:themeShade="E6"/>
          <w:left w:val="single" w:sz="4" w:space="0" w:color="65D5FF" w:themeColor="accent2" w:themeShade="E6"/>
          <w:bottom w:val="single" w:sz="4" w:space="0" w:color="65D5FF" w:themeColor="accent2" w:themeShade="E6"/>
          <w:right w:val="single" w:sz="4" w:space="0" w:color="65D5FF" w:themeColor="accent2" w:themeShade="E6"/>
          <w:insideH w:val="single" w:sz="4" w:space="0" w:color="65D5FF" w:themeColor="accent2" w:themeShade="E6"/>
          <w:insideV w:val="single" w:sz="4" w:space="0" w:color="65D5FF" w:themeColor="accent2" w:themeShade="E6"/>
        </w:tcBorders>
      </w:tcPr>
    </w:tblStylePr>
    <w:tblStylePr w:type="swCell">
      <w:tblPr/>
      <w:tcPr>
        <w:tcBorders>
          <w:top w:val="single" w:sz="4" w:space="0" w:color="65D5FF" w:themeColor="accent2" w:themeShade="E6"/>
          <w:left w:val="single" w:sz="4" w:space="0" w:color="65D5FF" w:themeColor="accent2" w:themeShade="E6"/>
          <w:bottom w:val="single" w:sz="4" w:space="0" w:color="65D5FF" w:themeColor="accent2" w:themeShade="E6"/>
          <w:right w:val="single" w:sz="4" w:space="0" w:color="65D5FF" w:themeColor="accent2" w:themeShade="E6"/>
          <w:insideH w:val="single" w:sz="4" w:space="0" w:color="65D5FF" w:themeColor="accent2" w:themeShade="E6"/>
          <w:insideV w:val="single" w:sz="4" w:space="0" w:color="65D5FF" w:themeColor="accent2" w:themeShade="E6"/>
        </w:tcBorders>
      </w:tcPr>
    </w:tblStylePr>
  </w:style>
  <w:style w:type="table" w:styleId="ListTable3-Accent3">
    <w:name w:val="List Table 3 Accent 3"/>
    <w:basedOn w:val="TableNormal"/>
    <w:uiPriority w:val="48"/>
    <w:rsid w:val="00173234"/>
    <w:rPr>
      <w:rFonts w:asciiTheme="minorHAnsi" w:eastAsiaTheme="minorEastAsia" w:hAnsiTheme="minorHAnsi" w:cstheme="minorBidi"/>
      <w:sz w:val="22"/>
      <w:szCs w:val="22"/>
      <w:lang w:eastAsia="zh-CN"/>
    </w:rPr>
    <w:tblPr>
      <w:tblStyleRowBandSize w:val="1"/>
      <w:tblStyleColBandSize w:val="1"/>
      <w:tbl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blBorders>
    </w:tblPr>
    <w:tblStylePr w:type="firstRow">
      <w:rPr>
        <w:b/>
        <w:bCs/>
        <w:color w:val="FFFFFF" w:themeColor="background1"/>
      </w:rPr>
      <w:tblPr/>
      <w:trPr>
        <w:tblHeader/>
      </w:tr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146CFD" w:themeFill="accent3"/>
      </w:tcPr>
    </w:tblStylePr>
    <w:tblStylePr w:type="lastRow">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firstCol">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lastCol">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band1Vert">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2Vert">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1Horz">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2Horz">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ne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nw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se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sw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style>
  <w:style w:type="table" w:styleId="ListTable3-Accent4">
    <w:name w:val="List Table 3 Accent 4"/>
    <w:basedOn w:val="TableNormal"/>
    <w:uiPriority w:val="48"/>
    <w:rsid w:val="00173234"/>
    <w:rPr>
      <w:rFonts w:asciiTheme="minorHAnsi" w:eastAsiaTheme="minorEastAsia" w:hAnsiTheme="minorHAnsi" w:cstheme="minorBidi"/>
      <w:sz w:val="22"/>
      <w:szCs w:val="22"/>
      <w:lang w:eastAsia="zh-CN"/>
    </w:rPr>
    <w:tblPr>
      <w:tblStyleRowBandSize w:val="1"/>
      <w:tblStyleColBandSize w:val="1"/>
      <w:tbl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blBorders>
    </w:tblPr>
    <w:tblStylePr w:type="firstRow">
      <w:rPr>
        <w:b/>
        <w:bCs/>
        <w:color w:val="FFFFFF" w:themeColor="background1"/>
      </w:rPr>
      <w:tblPr/>
      <w:trPr>
        <w:tblHeader/>
      </w:tr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CBEDFD" w:themeFill="accent4"/>
      </w:tcPr>
    </w:tblStylePr>
    <w:tblStylePr w:type="lastRow">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firstCol">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lastCol">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band1Vert">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2Vert">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1Horz">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2Horz">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ne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nw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se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sw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style>
  <w:style w:type="table" w:styleId="ListTable3-Accent5">
    <w:name w:val="List Table 3 Accent 5"/>
    <w:basedOn w:val="TableNormal"/>
    <w:uiPriority w:val="48"/>
    <w:rsid w:val="00173234"/>
    <w:rPr>
      <w:rFonts w:asciiTheme="minorHAnsi" w:eastAsiaTheme="minorEastAsia" w:hAnsiTheme="minorHAnsi" w:cstheme="minorBidi"/>
      <w:sz w:val="22"/>
      <w:szCs w:val="22"/>
      <w:lang w:eastAsia="zh-CN"/>
    </w:rPr>
    <w:tblPr>
      <w:tblStyleRowBandSize w:val="1"/>
      <w:tblStyleColBandSize w:val="1"/>
      <w:tblBorders>
        <w:top w:val="single" w:sz="4" w:space="0" w:color="5F5F5F" w:themeColor="accent5" w:themeShade="80"/>
        <w:left w:val="single" w:sz="4" w:space="0" w:color="5F5F5F" w:themeColor="accent5" w:themeShade="80"/>
        <w:bottom w:val="single" w:sz="4" w:space="0" w:color="5F5F5F" w:themeColor="accent5" w:themeShade="80"/>
        <w:right w:val="single" w:sz="4" w:space="0" w:color="5F5F5F" w:themeColor="accent5" w:themeShade="80"/>
        <w:insideH w:val="single" w:sz="4" w:space="0" w:color="5F5F5F" w:themeColor="accent5" w:themeShade="80"/>
        <w:insideV w:val="single" w:sz="4" w:space="0" w:color="5F5F5F" w:themeColor="accent5" w:themeShade="80"/>
      </w:tblBorders>
    </w:tblPr>
    <w:tblStylePr w:type="firstRow">
      <w:rPr>
        <w:b/>
        <w:bCs/>
        <w:color w:val="FFFFFF" w:themeColor="background1"/>
      </w:rPr>
      <w:tblPr/>
      <w:trPr>
        <w:tblHeader/>
      </w:trPr>
      <w:tcPr>
        <w:tcBorders>
          <w:top w:val="single" w:sz="4" w:space="0" w:color="5F5F5F" w:themeColor="accent5" w:themeShade="80"/>
          <w:left w:val="single" w:sz="4" w:space="0" w:color="5F5F5F" w:themeColor="accent5" w:themeShade="80"/>
          <w:bottom w:val="single" w:sz="4" w:space="0" w:color="5F5F5F" w:themeColor="accent5" w:themeShade="80"/>
          <w:right w:val="single" w:sz="4" w:space="0" w:color="5F5F5F" w:themeColor="accent5" w:themeShade="80"/>
          <w:insideH w:val="single" w:sz="4" w:space="0" w:color="5F5F5F" w:themeColor="accent5" w:themeShade="80"/>
          <w:insideV w:val="single" w:sz="4" w:space="0" w:color="5F5F5F" w:themeColor="accent5" w:themeShade="80"/>
        </w:tcBorders>
        <w:shd w:val="clear" w:color="auto" w:fill="E5E5E5" w:themeFill="accent5" w:themeFillTint="66"/>
      </w:tcPr>
    </w:tblStylePr>
    <w:tblStylePr w:type="lastRow">
      <w:rPr>
        <w:b w:val="0"/>
        <w:bCs/>
      </w:rPr>
      <w:tblPr/>
      <w:tcPr>
        <w:tcBorders>
          <w:top w:val="single" w:sz="4" w:space="0" w:color="5F5F5F" w:themeColor="accent5" w:themeShade="80"/>
          <w:left w:val="single" w:sz="4" w:space="0" w:color="5F5F5F" w:themeColor="accent5" w:themeShade="80"/>
          <w:bottom w:val="single" w:sz="4" w:space="0" w:color="5F5F5F" w:themeColor="accent5" w:themeShade="80"/>
          <w:right w:val="single" w:sz="4" w:space="0" w:color="5F5F5F" w:themeColor="accent5" w:themeShade="80"/>
          <w:insideH w:val="single" w:sz="4" w:space="0" w:color="5F5F5F" w:themeColor="accent5" w:themeShade="80"/>
          <w:insideV w:val="single" w:sz="4" w:space="0" w:color="5F5F5F" w:themeColor="accent5" w:themeShade="80"/>
        </w:tcBorders>
        <w:shd w:val="clear" w:color="auto" w:fill="FFFFFF" w:themeFill="background1"/>
      </w:tcPr>
    </w:tblStylePr>
    <w:tblStylePr w:type="firstCol">
      <w:rPr>
        <w:b w:val="0"/>
        <w:bCs/>
      </w:rPr>
      <w:tblPr/>
      <w:tcPr>
        <w:tcBorders>
          <w:top w:val="single" w:sz="4" w:space="0" w:color="5F5F5F" w:themeColor="accent5" w:themeShade="80"/>
          <w:left w:val="single" w:sz="4" w:space="0" w:color="5F5F5F" w:themeColor="accent5" w:themeShade="80"/>
          <w:bottom w:val="single" w:sz="4" w:space="0" w:color="5F5F5F" w:themeColor="accent5" w:themeShade="80"/>
          <w:right w:val="single" w:sz="4" w:space="0" w:color="5F5F5F" w:themeColor="accent5" w:themeShade="80"/>
          <w:insideH w:val="single" w:sz="4" w:space="0" w:color="5F5F5F" w:themeColor="accent5" w:themeShade="80"/>
          <w:insideV w:val="single" w:sz="4" w:space="0" w:color="5F5F5F" w:themeColor="accent5" w:themeShade="80"/>
        </w:tcBorders>
        <w:shd w:val="clear" w:color="auto" w:fill="FFFFFF" w:themeFill="background1"/>
      </w:tcPr>
    </w:tblStylePr>
    <w:tblStylePr w:type="lastCol">
      <w:rPr>
        <w:b w:val="0"/>
        <w:bCs/>
      </w:rPr>
      <w:tblPr/>
      <w:tcPr>
        <w:tcBorders>
          <w:top w:val="single" w:sz="4" w:space="0" w:color="5F5F5F" w:themeColor="accent5" w:themeShade="80"/>
          <w:left w:val="single" w:sz="4" w:space="0" w:color="5F5F5F" w:themeColor="accent5" w:themeShade="80"/>
          <w:bottom w:val="single" w:sz="4" w:space="0" w:color="5F5F5F" w:themeColor="accent5" w:themeShade="80"/>
          <w:right w:val="single" w:sz="4" w:space="0" w:color="5F5F5F" w:themeColor="accent5" w:themeShade="80"/>
          <w:insideH w:val="single" w:sz="4" w:space="0" w:color="5F5F5F" w:themeColor="accent5" w:themeShade="80"/>
          <w:insideV w:val="single" w:sz="4" w:space="0" w:color="5F5F5F" w:themeColor="accent5" w:themeShade="80"/>
        </w:tcBorders>
        <w:shd w:val="clear" w:color="auto" w:fill="FFFFFF" w:themeFill="background1"/>
      </w:tcPr>
    </w:tblStylePr>
    <w:tblStylePr w:type="band1Vert">
      <w:tblPr/>
      <w:tcPr>
        <w:tcBorders>
          <w:top w:val="single" w:sz="4" w:space="0" w:color="5F5F5F" w:themeColor="accent5" w:themeShade="80"/>
          <w:left w:val="single" w:sz="4" w:space="0" w:color="5F5F5F" w:themeColor="accent5" w:themeShade="80"/>
          <w:bottom w:val="single" w:sz="4" w:space="0" w:color="5F5F5F" w:themeColor="accent5" w:themeShade="80"/>
          <w:right w:val="single" w:sz="4" w:space="0" w:color="5F5F5F" w:themeColor="accent5" w:themeShade="80"/>
          <w:insideH w:val="single" w:sz="4" w:space="0" w:color="5F5F5F" w:themeColor="accent5" w:themeShade="80"/>
          <w:insideV w:val="single" w:sz="4" w:space="0" w:color="5F5F5F" w:themeColor="accent5" w:themeShade="80"/>
        </w:tcBorders>
      </w:tcPr>
    </w:tblStylePr>
    <w:tblStylePr w:type="band2Vert">
      <w:tblPr/>
      <w:tcPr>
        <w:tcBorders>
          <w:top w:val="single" w:sz="4" w:space="0" w:color="5F5F5F" w:themeColor="accent5" w:themeShade="80"/>
          <w:left w:val="single" w:sz="4" w:space="0" w:color="5F5F5F" w:themeColor="accent5" w:themeShade="80"/>
          <w:bottom w:val="single" w:sz="4" w:space="0" w:color="5F5F5F" w:themeColor="accent5" w:themeShade="80"/>
          <w:right w:val="single" w:sz="4" w:space="0" w:color="5F5F5F" w:themeColor="accent5" w:themeShade="80"/>
          <w:insideH w:val="single" w:sz="4" w:space="0" w:color="5F5F5F" w:themeColor="accent5" w:themeShade="80"/>
          <w:insideV w:val="single" w:sz="4" w:space="0" w:color="5F5F5F" w:themeColor="accent5" w:themeShade="80"/>
        </w:tcBorders>
      </w:tcPr>
    </w:tblStylePr>
    <w:tblStylePr w:type="band1Horz">
      <w:tblPr/>
      <w:tcPr>
        <w:tcBorders>
          <w:top w:val="single" w:sz="4" w:space="0" w:color="5F5F5F" w:themeColor="accent5" w:themeShade="80"/>
          <w:left w:val="single" w:sz="4" w:space="0" w:color="5F5F5F" w:themeColor="accent5" w:themeShade="80"/>
          <w:bottom w:val="single" w:sz="4" w:space="0" w:color="5F5F5F" w:themeColor="accent5" w:themeShade="80"/>
          <w:right w:val="single" w:sz="4" w:space="0" w:color="5F5F5F" w:themeColor="accent5" w:themeShade="80"/>
          <w:insideH w:val="single" w:sz="4" w:space="0" w:color="5F5F5F" w:themeColor="accent5" w:themeShade="80"/>
          <w:insideV w:val="single" w:sz="4" w:space="0" w:color="5F5F5F" w:themeColor="accent5" w:themeShade="80"/>
        </w:tcBorders>
      </w:tcPr>
    </w:tblStylePr>
    <w:tblStylePr w:type="band2Horz">
      <w:tblPr/>
      <w:tcPr>
        <w:tcBorders>
          <w:top w:val="single" w:sz="4" w:space="0" w:color="5F5F5F" w:themeColor="accent5" w:themeShade="80"/>
          <w:left w:val="single" w:sz="4" w:space="0" w:color="5F5F5F" w:themeColor="accent5" w:themeShade="80"/>
          <w:bottom w:val="single" w:sz="4" w:space="0" w:color="5F5F5F" w:themeColor="accent5" w:themeShade="80"/>
          <w:right w:val="single" w:sz="4" w:space="0" w:color="5F5F5F" w:themeColor="accent5" w:themeShade="80"/>
          <w:insideH w:val="single" w:sz="4" w:space="0" w:color="5F5F5F" w:themeColor="accent5" w:themeShade="80"/>
          <w:insideV w:val="single" w:sz="4" w:space="0" w:color="5F5F5F" w:themeColor="accent5" w:themeShade="80"/>
        </w:tcBorders>
      </w:tcPr>
    </w:tblStylePr>
    <w:tblStylePr w:type="neCell">
      <w:tblPr/>
      <w:tcPr>
        <w:tcBorders>
          <w:top w:val="single" w:sz="4" w:space="0" w:color="5F5F5F" w:themeColor="accent5" w:themeShade="80"/>
          <w:left w:val="single" w:sz="4" w:space="0" w:color="5F5F5F" w:themeColor="accent5" w:themeShade="80"/>
          <w:bottom w:val="single" w:sz="4" w:space="0" w:color="5F5F5F" w:themeColor="accent5" w:themeShade="80"/>
          <w:right w:val="single" w:sz="4" w:space="0" w:color="5F5F5F" w:themeColor="accent5" w:themeShade="80"/>
          <w:insideH w:val="single" w:sz="4" w:space="0" w:color="5F5F5F" w:themeColor="accent5" w:themeShade="80"/>
          <w:insideV w:val="single" w:sz="4" w:space="0" w:color="5F5F5F" w:themeColor="accent5" w:themeShade="80"/>
        </w:tcBorders>
      </w:tcPr>
    </w:tblStylePr>
    <w:tblStylePr w:type="nwCell">
      <w:tblPr/>
      <w:tcPr>
        <w:tcBorders>
          <w:top w:val="single" w:sz="4" w:space="0" w:color="5F5F5F" w:themeColor="accent5" w:themeShade="80"/>
          <w:left w:val="single" w:sz="4" w:space="0" w:color="5F5F5F" w:themeColor="accent5" w:themeShade="80"/>
          <w:bottom w:val="single" w:sz="4" w:space="0" w:color="5F5F5F" w:themeColor="accent5" w:themeShade="80"/>
          <w:right w:val="single" w:sz="4" w:space="0" w:color="5F5F5F" w:themeColor="accent5" w:themeShade="80"/>
          <w:insideH w:val="single" w:sz="4" w:space="0" w:color="5F5F5F" w:themeColor="accent5" w:themeShade="80"/>
          <w:insideV w:val="single" w:sz="4" w:space="0" w:color="5F5F5F" w:themeColor="accent5" w:themeShade="80"/>
        </w:tcBorders>
      </w:tcPr>
    </w:tblStylePr>
    <w:tblStylePr w:type="seCell">
      <w:tblPr/>
      <w:tcPr>
        <w:tcBorders>
          <w:top w:val="single" w:sz="4" w:space="0" w:color="5F5F5F" w:themeColor="accent5" w:themeShade="80"/>
          <w:left w:val="single" w:sz="4" w:space="0" w:color="5F5F5F" w:themeColor="accent5" w:themeShade="80"/>
          <w:bottom w:val="single" w:sz="4" w:space="0" w:color="5F5F5F" w:themeColor="accent5" w:themeShade="80"/>
          <w:right w:val="single" w:sz="4" w:space="0" w:color="5F5F5F" w:themeColor="accent5" w:themeShade="80"/>
          <w:insideH w:val="single" w:sz="4" w:space="0" w:color="5F5F5F" w:themeColor="accent5" w:themeShade="80"/>
          <w:insideV w:val="single" w:sz="4" w:space="0" w:color="5F5F5F" w:themeColor="accent5" w:themeShade="80"/>
        </w:tcBorders>
      </w:tcPr>
    </w:tblStylePr>
    <w:tblStylePr w:type="swCell">
      <w:tblPr/>
      <w:tcPr>
        <w:tcBorders>
          <w:top w:val="single" w:sz="4" w:space="0" w:color="5F5F5F" w:themeColor="accent5" w:themeShade="80"/>
          <w:left w:val="single" w:sz="4" w:space="0" w:color="5F5F5F" w:themeColor="accent5" w:themeShade="80"/>
          <w:bottom w:val="single" w:sz="4" w:space="0" w:color="5F5F5F" w:themeColor="accent5" w:themeShade="80"/>
          <w:right w:val="single" w:sz="4" w:space="0" w:color="5F5F5F" w:themeColor="accent5" w:themeShade="80"/>
          <w:insideH w:val="single" w:sz="4" w:space="0" w:color="5F5F5F" w:themeColor="accent5" w:themeShade="80"/>
          <w:insideV w:val="single" w:sz="4" w:space="0" w:color="5F5F5F" w:themeColor="accent5" w:themeShade="80"/>
        </w:tcBorders>
      </w:tcPr>
    </w:tblStylePr>
  </w:style>
  <w:style w:type="table" w:styleId="ListTable3-Accent6">
    <w:name w:val="List Table 3 Accent 6"/>
    <w:basedOn w:val="TableNormal"/>
    <w:uiPriority w:val="48"/>
    <w:rsid w:val="00173234"/>
    <w:rPr>
      <w:rFonts w:asciiTheme="minorHAnsi" w:eastAsiaTheme="minorEastAsia" w:hAnsiTheme="minorHAnsi" w:cstheme="minorBidi"/>
      <w:sz w:val="22"/>
      <w:szCs w:val="22"/>
      <w:lang w:eastAsia="zh-CN"/>
    </w:rPr>
    <w:tblPr>
      <w:tblStyleRowBandSize w:val="1"/>
      <w:tblStyleColBandSize w:val="1"/>
      <w:tblBorders>
        <w:top w:val="single" w:sz="4" w:space="0" w:color="24282A" w:themeColor="accent6" w:themeShade="80"/>
        <w:left w:val="single" w:sz="4" w:space="0" w:color="24282A" w:themeColor="accent6" w:themeShade="80"/>
        <w:bottom w:val="single" w:sz="4" w:space="0" w:color="24282A" w:themeColor="accent6" w:themeShade="80"/>
        <w:right w:val="single" w:sz="4" w:space="0" w:color="24282A" w:themeColor="accent6" w:themeShade="80"/>
        <w:insideH w:val="single" w:sz="4" w:space="0" w:color="24282A" w:themeColor="accent6" w:themeShade="80"/>
        <w:insideV w:val="single" w:sz="4" w:space="0" w:color="24282A" w:themeColor="accent6" w:themeShade="80"/>
      </w:tblBorders>
    </w:tblPr>
    <w:tblStylePr w:type="firstRow">
      <w:rPr>
        <w:b/>
        <w:bCs/>
        <w:color w:val="FFFFFF" w:themeColor="background1"/>
      </w:rPr>
      <w:tblPr/>
      <w:trPr>
        <w:tblHeader/>
      </w:trPr>
      <w:tcPr>
        <w:shd w:val="clear" w:color="auto" w:fill="495054" w:themeFill="accent6"/>
      </w:tcPr>
    </w:tblStylePr>
    <w:tblStylePr w:type="lastRow">
      <w:rPr>
        <w:b w:val="0"/>
        <w:bCs/>
      </w:rPr>
      <w:tblPr/>
      <w:tcPr>
        <w:tcBorders>
          <w:top w:val="single" w:sz="4" w:space="0" w:color="24282A" w:themeColor="accent6" w:themeShade="80"/>
          <w:left w:val="single" w:sz="4" w:space="0" w:color="24282A" w:themeColor="accent6" w:themeShade="80"/>
          <w:bottom w:val="single" w:sz="4" w:space="0" w:color="24282A" w:themeColor="accent6" w:themeShade="80"/>
          <w:right w:val="single" w:sz="4" w:space="0" w:color="24282A" w:themeColor="accent6" w:themeShade="80"/>
          <w:insideH w:val="single" w:sz="4" w:space="0" w:color="24282A" w:themeColor="accent6" w:themeShade="80"/>
          <w:insideV w:val="single" w:sz="4" w:space="0" w:color="24282A" w:themeColor="accent6" w:themeShade="80"/>
        </w:tcBorders>
        <w:shd w:val="clear" w:color="auto" w:fill="FFFFFF" w:themeFill="background1"/>
      </w:tcPr>
    </w:tblStylePr>
    <w:tblStylePr w:type="firstCol">
      <w:rPr>
        <w:b w:val="0"/>
        <w:bCs/>
      </w:rPr>
      <w:tblPr/>
      <w:tcPr>
        <w:tcBorders>
          <w:top w:val="single" w:sz="4" w:space="0" w:color="24282A" w:themeColor="accent6" w:themeShade="80"/>
          <w:left w:val="single" w:sz="4" w:space="0" w:color="24282A" w:themeColor="accent6" w:themeShade="80"/>
          <w:bottom w:val="single" w:sz="4" w:space="0" w:color="24282A" w:themeColor="accent6" w:themeShade="80"/>
          <w:right w:val="single" w:sz="4" w:space="0" w:color="24282A" w:themeColor="accent6" w:themeShade="80"/>
          <w:insideH w:val="single" w:sz="4" w:space="0" w:color="24282A" w:themeColor="accent6" w:themeShade="80"/>
          <w:insideV w:val="single" w:sz="4" w:space="0" w:color="24282A" w:themeColor="accent6" w:themeShade="80"/>
        </w:tcBorders>
        <w:shd w:val="clear" w:color="auto" w:fill="FFFFFF" w:themeFill="background1"/>
      </w:tcPr>
    </w:tblStylePr>
    <w:tblStylePr w:type="lastCol">
      <w:rPr>
        <w:b w:val="0"/>
        <w:bCs/>
      </w:rPr>
      <w:tblPr/>
      <w:tcPr>
        <w:tcBorders>
          <w:top w:val="single" w:sz="4" w:space="0" w:color="24282A" w:themeColor="accent6" w:themeShade="80"/>
          <w:left w:val="single" w:sz="4" w:space="0" w:color="24282A" w:themeColor="accent6" w:themeShade="80"/>
          <w:bottom w:val="single" w:sz="4" w:space="0" w:color="24282A" w:themeColor="accent6" w:themeShade="80"/>
          <w:right w:val="single" w:sz="4" w:space="0" w:color="24282A" w:themeColor="accent6" w:themeShade="80"/>
          <w:insideH w:val="single" w:sz="4" w:space="0" w:color="24282A" w:themeColor="accent6" w:themeShade="80"/>
          <w:insideV w:val="single" w:sz="4" w:space="0" w:color="24282A" w:themeColor="accent6" w:themeShade="80"/>
        </w:tcBorders>
        <w:shd w:val="clear" w:color="auto" w:fill="FFFFFF" w:themeFill="background1"/>
      </w:tcPr>
    </w:tblStylePr>
    <w:tblStylePr w:type="band1Vert">
      <w:tblPr/>
      <w:tcPr>
        <w:tcBorders>
          <w:top w:val="single" w:sz="4" w:space="0" w:color="24282A" w:themeColor="accent6" w:themeShade="80"/>
          <w:left w:val="single" w:sz="4" w:space="0" w:color="24282A" w:themeColor="accent6" w:themeShade="80"/>
          <w:bottom w:val="single" w:sz="4" w:space="0" w:color="24282A" w:themeColor="accent6" w:themeShade="80"/>
          <w:right w:val="single" w:sz="4" w:space="0" w:color="24282A" w:themeColor="accent6" w:themeShade="80"/>
          <w:insideH w:val="single" w:sz="4" w:space="0" w:color="24282A" w:themeColor="accent6" w:themeShade="80"/>
          <w:insideV w:val="single" w:sz="4" w:space="0" w:color="24282A" w:themeColor="accent6" w:themeShade="80"/>
        </w:tcBorders>
      </w:tcPr>
    </w:tblStylePr>
    <w:tblStylePr w:type="band2Vert">
      <w:tblPr/>
      <w:tcPr>
        <w:tcBorders>
          <w:top w:val="single" w:sz="4" w:space="0" w:color="24282A" w:themeColor="accent6" w:themeShade="80"/>
          <w:left w:val="single" w:sz="4" w:space="0" w:color="24282A" w:themeColor="accent6" w:themeShade="80"/>
          <w:bottom w:val="single" w:sz="4" w:space="0" w:color="24282A" w:themeColor="accent6" w:themeShade="80"/>
          <w:right w:val="single" w:sz="4" w:space="0" w:color="24282A" w:themeColor="accent6" w:themeShade="80"/>
          <w:insideH w:val="single" w:sz="4" w:space="0" w:color="24282A" w:themeColor="accent6" w:themeShade="80"/>
          <w:insideV w:val="single" w:sz="4" w:space="0" w:color="24282A" w:themeColor="accent6" w:themeShade="80"/>
        </w:tcBorders>
      </w:tcPr>
    </w:tblStylePr>
    <w:tblStylePr w:type="band1Horz">
      <w:tblPr/>
      <w:tcPr>
        <w:tcBorders>
          <w:top w:val="single" w:sz="4" w:space="0" w:color="24282A" w:themeColor="accent6" w:themeShade="80"/>
          <w:left w:val="single" w:sz="4" w:space="0" w:color="24282A" w:themeColor="accent6" w:themeShade="80"/>
          <w:bottom w:val="single" w:sz="4" w:space="0" w:color="24282A" w:themeColor="accent6" w:themeShade="80"/>
          <w:right w:val="single" w:sz="4" w:space="0" w:color="24282A" w:themeColor="accent6" w:themeShade="80"/>
          <w:insideH w:val="single" w:sz="4" w:space="0" w:color="24282A" w:themeColor="accent6" w:themeShade="80"/>
          <w:insideV w:val="single" w:sz="4" w:space="0" w:color="24282A" w:themeColor="accent6" w:themeShade="80"/>
        </w:tcBorders>
      </w:tcPr>
    </w:tblStylePr>
    <w:tblStylePr w:type="band2Horz">
      <w:tblPr/>
      <w:tcPr>
        <w:tcBorders>
          <w:top w:val="single" w:sz="4" w:space="0" w:color="24282A" w:themeColor="accent6" w:themeShade="80"/>
          <w:left w:val="single" w:sz="4" w:space="0" w:color="24282A" w:themeColor="accent6" w:themeShade="80"/>
          <w:bottom w:val="single" w:sz="4" w:space="0" w:color="24282A" w:themeColor="accent6" w:themeShade="80"/>
          <w:right w:val="single" w:sz="4" w:space="0" w:color="24282A" w:themeColor="accent6" w:themeShade="80"/>
          <w:insideH w:val="single" w:sz="4" w:space="0" w:color="24282A" w:themeColor="accent6" w:themeShade="80"/>
          <w:insideV w:val="single" w:sz="4" w:space="0" w:color="24282A" w:themeColor="accent6" w:themeShade="80"/>
        </w:tcBorders>
      </w:tcPr>
    </w:tblStylePr>
    <w:tblStylePr w:type="neCell">
      <w:tblPr/>
      <w:tcPr>
        <w:tcBorders>
          <w:top w:val="single" w:sz="4" w:space="0" w:color="24282A" w:themeColor="accent6" w:themeShade="80"/>
          <w:left w:val="single" w:sz="4" w:space="0" w:color="24282A" w:themeColor="accent6" w:themeShade="80"/>
          <w:bottom w:val="single" w:sz="4" w:space="0" w:color="24282A" w:themeColor="accent6" w:themeShade="80"/>
          <w:right w:val="single" w:sz="4" w:space="0" w:color="24282A" w:themeColor="accent6" w:themeShade="80"/>
          <w:insideH w:val="single" w:sz="4" w:space="0" w:color="24282A" w:themeColor="accent6" w:themeShade="80"/>
          <w:insideV w:val="single" w:sz="4" w:space="0" w:color="24282A" w:themeColor="accent6" w:themeShade="80"/>
        </w:tcBorders>
      </w:tcPr>
    </w:tblStylePr>
    <w:tblStylePr w:type="nwCell">
      <w:tblPr/>
      <w:tcPr>
        <w:tcBorders>
          <w:top w:val="single" w:sz="4" w:space="0" w:color="24282A" w:themeColor="accent6" w:themeShade="80"/>
          <w:left w:val="single" w:sz="4" w:space="0" w:color="24282A" w:themeColor="accent6" w:themeShade="80"/>
          <w:bottom w:val="single" w:sz="4" w:space="0" w:color="24282A" w:themeColor="accent6" w:themeShade="80"/>
          <w:right w:val="single" w:sz="4" w:space="0" w:color="24282A" w:themeColor="accent6" w:themeShade="80"/>
          <w:insideH w:val="single" w:sz="4" w:space="0" w:color="24282A" w:themeColor="accent6" w:themeShade="80"/>
          <w:insideV w:val="single" w:sz="4" w:space="0" w:color="24282A" w:themeColor="accent6" w:themeShade="80"/>
        </w:tcBorders>
      </w:tcPr>
    </w:tblStylePr>
    <w:tblStylePr w:type="seCell">
      <w:tblPr/>
      <w:tcPr>
        <w:tcBorders>
          <w:top w:val="single" w:sz="4" w:space="0" w:color="24282A" w:themeColor="accent6" w:themeShade="80"/>
          <w:left w:val="single" w:sz="4" w:space="0" w:color="24282A" w:themeColor="accent6" w:themeShade="80"/>
          <w:bottom w:val="single" w:sz="4" w:space="0" w:color="24282A" w:themeColor="accent6" w:themeShade="80"/>
          <w:right w:val="single" w:sz="4" w:space="0" w:color="24282A" w:themeColor="accent6" w:themeShade="80"/>
          <w:insideH w:val="single" w:sz="4" w:space="0" w:color="24282A" w:themeColor="accent6" w:themeShade="80"/>
          <w:insideV w:val="single" w:sz="4" w:space="0" w:color="24282A" w:themeColor="accent6" w:themeShade="80"/>
        </w:tcBorders>
      </w:tcPr>
    </w:tblStylePr>
    <w:tblStylePr w:type="swCell">
      <w:tblPr/>
      <w:tcPr>
        <w:tcBorders>
          <w:top w:val="single" w:sz="4" w:space="0" w:color="24282A" w:themeColor="accent6" w:themeShade="80"/>
          <w:left w:val="single" w:sz="4" w:space="0" w:color="24282A" w:themeColor="accent6" w:themeShade="80"/>
          <w:bottom w:val="single" w:sz="4" w:space="0" w:color="24282A" w:themeColor="accent6" w:themeShade="80"/>
          <w:right w:val="single" w:sz="4" w:space="0" w:color="24282A" w:themeColor="accent6" w:themeShade="80"/>
          <w:insideH w:val="single" w:sz="4" w:space="0" w:color="24282A" w:themeColor="accent6" w:themeShade="80"/>
          <w:insideV w:val="single" w:sz="4" w:space="0" w:color="24282A" w:themeColor="accent6" w:themeShade="80"/>
        </w:tcBorders>
      </w:tcPr>
    </w:tblStylePr>
  </w:style>
  <w:style w:type="table" w:styleId="ListTable5Dark-Accent4">
    <w:name w:val="List Table 5 Dark Accent 4"/>
    <w:basedOn w:val="TableNormal"/>
    <w:uiPriority w:val="50"/>
    <w:rsid w:val="00173234"/>
    <w:rPr>
      <w:rFonts w:asciiTheme="minorHAnsi" w:eastAsiaTheme="minorEastAsia" w:hAnsiTheme="minorHAnsi" w:cstheme="minorBidi"/>
      <w:color w:val="FFFFFF" w:themeColor="background1"/>
      <w:sz w:val="22"/>
      <w:szCs w:val="22"/>
      <w:lang w:eastAsia="zh-CN"/>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MediumShading2-Accent5">
    <w:name w:val="Medium Shading 2 Accent 5"/>
    <w:basedOn w:val="TableNormal"/>
    <w:uiPriority w:val="64"/>
    <w:rsid w:val="00173234"/>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FB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FBF" w:themeFill="accent5"/>
      </w:tcPr>
    </w:tblStylePr>
    <w:tblStylePr w:type="lastCol">
      <w:rPr>
        <w:b/>
        <w:bCs/>
        <w:color w:val="FFFFFF" w:themeColor="background1"/>
      </w:rPr>
      <w:tblPr/>
      <w:tcPr>
        <w:tcBorders>
          <w:left w:val="nil"/>
          <w:right w:val="nil"/>
          <w:insideH w:val="nil"/>
          <w:insideV w:val="nil"/>
        </w:tcBorders>
        <w:shd w:val="clear" w:color="auto" w:fill="BFBFB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semiHidden/>
    <w:rsid w:val="00173234"/>
    <w:pPr>
      <w:spacing w:before="100" w:beforeAutospacing="1" w:after="100" w:afterAutospacing="1"/>
    </w:pPr>
    <w:rPr>
      <w:sz w:val="24"/>
      <w:szCs w:val="24"/>
      <w:lang w:eastAsia="en-GB"/>
    </w:rPr>
  </w:style>
  <w:style w:type="character" w:styleId="PageNumber">
    <w:name w:val="page number"/>
    <w:basedOn w:val="DefaultParagraphFont"/>
    <w:uiPriority w:val="99"/>
    <w:semiHidden/>
    <w:rsid w:val="00173234"/>
  </w:style>
  <w:style w:type="character" w:styleId="PlaceholderText">
    <w:name w:val="Placeholder Text"/>
    <w:basedOn w:val="DefaultParagraphFont"/>
    <w:uiPriority w:val="99"/>
    <w:semiHidden/>
    <w:rsid w:val="00173234"/>
    <w:rPr>
      <w:color w:val="808080"/>
    </w:rPr>
  </w:style>
  <w:style w:type="paragraph" w:customStyle="1" w:styleId="Pulloutquote">
    <w:name w:val="Pull out quote"/>
    <w:uiPriority w:val="35"/>
    <w:semiHidden/>
    <w:qFormat/>
    <w:rsid w:val="00173234"/>
    <w:pPr>
      <w:pBdr>
        <w:left w:val="single" w:sz="4" w:space="8" w:color="FFFFFF" w:themeColor="text2"/>
      </w:pBdr>
      <w:suppressAutoHyphens/>
      <w:spacing w:before="120"/>
      <w:ind w:left="227" w:right="57"/>
    </w:pPr>
    <w:rPr>
      <w:rFonts w:asciiTheme="minorHAnsi" w:eastAsiaTheme="minorEastAsia" w:hAnsiTheme="minorHAnsi" w:cstheme="minorBidi"/>
      <w:color w:val="002664" w:themeColor="accent1"/>
      <w:sz w:val="28"/>
      <w:szCs w:val="22"/>
      <w:lang w:eastAsia="zh-CN"/>
    </w:rPr>
  </w:style>
  <w:style w:type="character" w:styleId="Strong">
    <w:name w:val="Strong"/>
    <w:aliases w:val="Bold"/>
    <w:basedOn w:val="DefaultParagraphFont"/>
    <w:uiPriority w:val="22"/>
    <w:semiHidden/>
    <w:qFormat/>
    <w:rsid w:val="00173234"/>
    <w:rPr>
      <w:b/>
      <w:bCs/>
    </w:rPr>
  </w:style>
  <w:style w:type="paragraph" w:customStyle="1" w:styleId="Style211HeadingBold">
    <w:name w:val="Style 2.1.1 Heading + Bold"/>
    <w:basedOn w:val="Normal"/>
    <w:semiHidden/>
    <w:rsid w:val="00173234"/>
    <w:rPr>
      <w:b/>
      <w:bCs/>
      <w:i/>
      <w:iCs/>
    </w:rPr>
  </w:style>
  <w:style w:type="paragraph" w:customStyle="1" w:styleId="StyleBoxHeadingLeft0Firstline0">
    <w:name w:val="Style Box Heading + Left:  0&quot; First line:  0&quot;"/>
    <w:basedOn w:val="Normal"/>
    <w:autoRedefine/>
    <w:semiHidden/>
    <w:rsid w:val="00173234"/>
    <w:pPr>
      <w:keepLines/>
      <w:tabs>
        <w:tab w:val="left" w:pos="567"/>
        <w:tab w:val="num" w:pos="1276"/>
      </w:tabs>
      <w:spacing w:before="120"/>
    </w:pPr>
    <w:rPr>
      <w:rFonts w:ascii="Arial Bold" w:hAnsi="Arial Bold" w:cs="Arial"/>
      <w:b/>
      <w:bCs/>
      <w:color w:val="000000"/>
      <w:sz w:val="23"/>
      <w:lang w:val="en-AU" w:eastAsia="en-AU"/>
    </w:rPr>
  </w:style>
  <w:style w:type="paragraph" w:styleId="Subtitle">
    <w:name w:val="Subtitle"/>
    <w:next w:val="BodyText"/>
    <w:link w:val="SubtitleChar"/>
    <w:uiPriority w:val="2"/>
    <w:semiHidden/>
    <w:rsid w:val="00173234"/>
    <w:pPr>
      <w:numPr>
        <w:ilvl w:val="1"/>
      </w:numPr>
      <w:pBdr>
        <w:top w:val="single" w:sz="4" w:space="4" w:color="FFFFFF" w:themeColor="background1"/>
      </w:pBdr>
      <w:suppressAutoHyphens/>
      <w:ind w:left="851" w:hanging="851"/>
    </w:pPr>
    <w:rPr>
      <w:rFonts w:asciiTheme="majorHAnsi" w:eastAsiaTheme="minorEastAsia" w:hAnsiTheme="majorHAnsi" w:cstheme="minorBidi"/>
      <w:color w:val="FFFFFF" w:themeColor="background1"/>
      <w:sz w:val="36"/>
      <w:szCs w:val="22"/>
      <w:lang w:eastAsia="en-US"/>
    </w:rPr>
  </w:style>
  <w:style w:type="character" w:customStyle="1" w:styleId="SubtitleChar">
    <w:name w:val="Subtitle Char"/>
    <w:basedOn w:val="DefaultParagraphFont"/>
    <w:link w:val="Subtitle"/>
    <w:uiPriority w:val="2"/>
    <w:semiHidden/>
    <w:rsid w:val="00717A99"/>
    <w:rPr>
      <w:rFonts w:asciiTheme="majorHAnsi" w:eastAsiaTheme="minorEastAsia" w:hAnsiTheme="majorHAnsi" w:cstheme="minorBidi"/>
      <w:color w:val="FFFFFF" w:themeColor="background1"/>
      <w:sz w:val="36"/>
      <w:szCs w:val="22"/>
      <w:lang w:eastAsia="en-US"/>
    </w:rPr>
  </w:style>
  <w:style w:type="character" w:styleId="SubtleEmphasis">
    <w:name w:val="Subtle Emphasis"/>
    <w:basedOn w:val="DefaultParagraphFont"/>
    <w:uiPriority w:val="19"/>
    <w:semiHidden/>
    <w:qFormat/>
    <w:rsid w:val="00173234"/>
    <w:rPr>
      <w:i/>
      <w:iCs/>
    </w:rPr>
  </w:style>
  <w:style w:type="table" w:styleId="TableGridLight">
    <w:name w:val="Grid Table Light"/>
    <w:basedOn w:val="TableNormal"/>
    <w:uiPriority w:val="40"/>
    <w:rsid w:val="00173234"/>
    <w:rPr>
      <w:rFonts w:asciiTheme="minorHAnsi" w:eastAsiaTheme="minorEastAsia" w:hAnsiTheme="minorHAnsi" w:cstheme="minorBidi"/>
      <w:sz w:val="22"/>
      <w:szCs w:val="22"/>
      <w:lang w:eastAsia="zh-CN"/>
    </w:rPr>
    <w:tblPr>
      <w:tblCellMar>
        <w:top w:w="113" w:type="dxa"/>
        <w:left w:w="0" w:type="dxa"/>
        <w:bottom w:w="57" w:type="dxa"/>
        <w:right w:w="57" w:type="dxa"/>
      </w:tblCellMar>
    </w:tblPr>
    <w:tblStylePr w:type="firstRow">
      <w:tblPr/>
      <w:trPr>
        <w:tblHeader/>
      </w:trPr>
    </w:tblStylePr>
  </w:style>
  <w:style w:type="paragraph" w:styleId="TableofFigures">
    <w:name w:val="table of figures"/>
    <w:next w:val="BodyText"/>
    <w:uiPriority w:val="99"/>
    <w:semiHidden/>
    <w:rsid w:val="00173234"/>
    <w:pPr>
      <w:tabs>
        <w:tab w:val="right" w:leader="dot" w:pos="10206"/>
      </w:tabs>
      <w:spacing w:before="120"/>
    </w:pPr>
    <w:rPr>
      <w:rFonts w:asciiTheme="minorHAnsi" w:eastAsia="Calibri" w:hAnsiTheme="minorHAnsi" w:cs="Calibri"/>
      <w:color w:val="002664" w:themeColor="accent1"/>
      <w:lang w:eastAsia="zh-CN"/>
    </w:rPr>
  </w:style>
  <w:style w:type="paragraph" w:styleId="Title">
    <w:name w:val="Title"/>
    <w:next w:val="Subtitle"/>
    <w:link w:val="TitleChar"/>
    <w:uiPriority w:val="1"/>
    <w:semiHidden/>
    <w:rsid w:val="00173234"/>
    <w:pPr>
      <w:spacing w:before="1800"/>
    </w:pPr>
    <w:rPr>
      <w:rFonts w:asciiTheme="majorHAnsi" w:eastAsiaTheme="majorEastAsia" w:hAnsiTheme="majorHAnsi" w:cstheme="majorBidi"/>
      <w:color w:val="FFFFFF" w:themeColor="background1"/>
      <w:kern w:val="28"/>
      <w:position w:val="4"/>
      <w:sz w:val="80"/>
      <w:szCs w:val="56"/>
      <w:lang w:eastAsia="en-US"/>
    </w:rPr>
  </w:style>
  <w:style w:type="character" w:customStyle="1" w:styleId="TitleChar">
    <w:name w:val="Title Char"/>
    <w:basedOn w:val="DefaultParagraphFont"/>
    <w:link w:val="Title"/>
    <w:uiPriority w:val="1"/>
    <w:semiHidden/>
    <w:rsid w:val="00717A99"/>
    <w:rPr>
      <w:rFonts w:asciiTheme="majorHAnsi" w:eastAsiaTheme="majorEastAsia" w:hAnsiTheme="majorHAnsi" w:cstheme="majorBidi"/>
      <w:color w:val="FFFFFF" w:themeColor="background1"/>
      <w:kern w:val="28"/>
      <w:position w:val="4"/>
      <w:sz w:val="80"/>
      <w:szCs w:val="56"/>
      <w:lang w:eastAsia="en-US"/>
    </w:rPr>
  </w:style>
  <w:style w:type="paragraph" w:styleId="TOC1">
    <w:name w:val="toc 1"/>
    <w:basedOn w:val="Normal"/>
    <w:next w:val="Normal"/>
    <w:autoRedefine/>
    <w:uiPriority w:val="39"/>
    <w:semiHidden/>
    <w:qFormat/>
    <w:rsid w:val="00173234"/>
    <w:pPr>
      <w:spacing w:after="100"/>
    </w:pPr>
  </w:style>
  <w:style w:type="paragraph" w:styleId="TOC2">
    <w:name w:val="toc 2"/>
    <w:next w:val="BodyText"/>
    <w:uiPriority w:val="39"/>
    <w:semiHidden/>
    <w:rsid w:val="00173234"/>
    <w:pPr>
      <w:tabs>
        <w:tab w:val="left" w:pos="1134"/>
        <w:tab w:val="right" w:leader="dot" w:pos="10206"/>
      </w:tabs>
      <w:suppressAutoHyphens/>
      <w:spacing w:before="120"/>
      <w:ind w:left="1134" w:hanging="567"/>
    </w:pPr>
    <w:rPr>
      <w:rFonts w:asciiTheme="minorHAnsi" w:eastAsia="Calibri" w:hAnsiTheme="minorHAnsi" w:cs="Calibri"/>
      <w:color w:val="002664" w:themeColor="accent1"/>
      <w:sz w:val="22"/>
      <w:lang w:eastAsia="zh-CN"/>
    </w:rPr>
  </w:style>
  <w:style w:type="paragraph" w:styleId="TOC3">
    <w:name w:val="toc 3"/>
    <w:basedOn w:val="Normal"/>
    <w:next w:val="Normal"/>
    <w:autoRedefine/>
    <w:uiPriority w:val="39"/>
    <w:semiHidden/>
    <w:rsid w:val="00173234"/>
    <w:pPr>
      <w:spacing w:after="100"/>
      <w:ind w:left="400"/>
    </w:pPr>
  </w:style>
  <w:style w:type="paragraph" w:styleId="TOC4">
    <w:name w:val="toc 4"/>
    <w:basedOn w:val="Normal"/>
    <w:next w:val="Normal"/>
    <w:uiPriority w:val="39"/>
    <w:semiHidden/>
    <w:rsid w:val="00173234"/>
    <w:pPr>
      <w:spacing w:after="100"/>
      <w:ind w:left="660"/>
    </w:pPr>
  </w:style>
  <w:style w:type="paragraph" w:styleId="TOC5">
    <w:name w:val="toc 5"/>
    <w:basedOn w:val="Normal"/>
    <w:next w:val="Normal"/>
    <w:uiPriority w:val="39"/>
    <w:semiHidden/>
    <w:rsid w:val="00173234"/>
    <w:pPr>
      <w:spacing w:after="100"/>
      <w:ind w:left="880"/>
    </w:pPr>
  </w:style>
  <w:style w:type="paragraph" w:styleId="TOC6">
    <w:name w:val="toc 6"/>
    <w:basedOn w:val="Normal"/>
    <w:next w:val="Normal"/>
    <w:uiPriority w:val="39"/>
    <w:semiHidden/>
    <w:rsid w:val="00173234"/>
    <w:pPr>
      <w:spacing w:after="100"/>
      <w:ind w:left="1100"/>
    </w:pPr>
  </w:style>
  <w:style w:type="paragraph" w:styleId="TOC7">
    <w:name w:val="toc 7"/>
    <w:basedOn w:val="Normal"/>
    <w:next w:val="Normal"/>
    <w:uiPriority w:val="39"/>
    <w:semiHidden/>
    <w:rsid w:val="00173234"/>
    <w:pPr>
      <w:spacing w:after="100"/>
      <w:ind w:left="1320"/>
    </w:pPr>
  </w:style>
  <w:style w:type="paragraph" w:styleId="TOC8">
    <w:name w:val="toc 8"/>
    <w:basedOn w:val="Normal"/>
    <w:next w:val="Normal"/>
    <w:uiPriority w:val="39"/>
    <w:semiHidden/>
    <w:rsid w:val="00173234"/>
    <w:pPr>
      <w:spacing w:after="100"/>
      <w:ind w:left="1540"/>
    </w:pPr>
  </w:style>
  <w:style w:type="paragraph" w:styleId="TOC9">
    <w:name w:val="toc 9"/>
    <w:basedOn w:val="Normal"/>
    <w:next w:val="Normal"/>
    <w:uiPriority w:val="39"/>
    <w:semiHidden/>
    <w:rsid w:val="00173234"/>
    <w:pPr>
      <w:spacing w:after="100"/>
      <w:ind w:left="1600"/>
    </w:pPr>
  </w:style>
  <w:style w:type="paragraph" w:styleId="TOCHeading">
    <w:name w:val="TOC Heading"/>
    <w:next w:val="BodyText"/>
    <w:uiPriority w:val="39"/>
    <w:semiHidden/>
    <w:rsid w:val="00173234"/>
    <w:pPr>
      <w:pageBreakBefore/>
      <w:suppressAutoHyphens/>
    </w:pPr>
    <w:rPr>
      <w:rFonts w:asciiTheme="minorHAnsi" w:eastAsiaTheme="minorEastAsia" w:hAnsiTheme="minorHAnsi" w:cstheme="minorBidi"/>
      <w:color w:val="002664" w:themeColor="accent1"/>
      <w:sz w:val="32"/>
      <w:szCs w:val="22"/>
      <w:lang w:eastAsia="zh-CN"/>
    </w:rPr>
  </w:style>
  <w:style w:type="character" w:styleId="UnresolvedMention">
    <w:name w:val="Unresolved Mention"/>
    <w:basedOn w:val="DefaultParagraphFont"/>
    <w:uiPriority w:val="99"/>
    <w:semiHidden/>
    <w:unhideWhenUsed/>
    <w:rsid w:val="00173234"/>
    <w:rPr>
      <w:color w:val="605E5C"/>
      <w:shd w:val="clear" w:color="auto" w:fill="E1DFDD"/>
    </w:rPr>
  </w:style>
  <w:style w:type="paragraph" w:customStyle="1" w:styleId="Chart8X">
    <w:name w:val="Chart 8.X"/>
    <w:basedOn w:val="Chart7X"/>
    <w:semiHidden/>
    <w:qFormat/>
    <w:rsid w:val="005C5F83"/>
    <w:pPr>
      <w:numPr>
        <w:numId w:val="93"/>
      </w:numPr>
      <w:tabs>
        <w:tab w:val="num" w:pos="360"/>
      </w:tabs>
      <w:ind w:left="1418" w:hanging="1418"/>
    </w:pPr>
  </w:style>
  <w:style w:type="table" w:customStyle="1" w:styleId="TableGrid2">
    <w:name w:val="Table Grid2"/>
    <w:basedOn w:val="TableNormal"/>
    <w:next w:val="TableGrid"/>
    <w:uiPriority w:val="39"/>
    <w:rsid w:val="008A15F4"/>
    <w:pPr>
      <w:spacing w:before="0" w:after="0"/>
      <w:ind w:left="0" w:firstLine="0"/>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A15F4"/>
    <w:pPr>
      <w:spacing w:before="0" w:after="0"/>
      <w:ind w:left="0" w:firstLine="0"/>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C3E24"/>
    <w:pPr>
      <w:spacing w:before="0" w:after="0"/>
      <w:ind w:left="0" w:firstLine="0"/>
    </w:pPr>
    <w:rPr>
      <w:lang w:val="en-US" w:eastAsia="en-US"/>
    </w:rPr>
  </w:style>
  <w:style w:type="table" w:customStyle="1" w:styleId="TableGrid1">
    <w:name w:val="Table Grid1"/>
    <w:basedOn w:val="TableNormal"/>
    <w:next w:val="TableGrid"/>
    <w:uiPriority w:val="39"/>
    <w:rsid w:val="00976AF8"/>
    <w:pPr>
      <w:spacing w:before="0" w:after="0"/>
      <w:ind w:left="0" w:firstLine="0"/>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rsid w:val="006E7FFB"/>
    <w:rPr>
      <w:color w:val="2B579A"/>
      <w:shd w:val="clear" w:color="auto" w:fill="E1DFDD"/>
    </w:rPr>
  </w:style>
  <w:style w:type="paragraph" w:customStyle="1" w:styleId="Bulletpoints">
    <w:name w:val="Bullet points"/>
    <w:basedOn w:val="ListParagraph"/>
    <w:qFormat/>
    <w:rsid w:val="006E7FFB"/>
    <w:pPr>
      <w:numPr>
        <w:numId w:val="96"/>
      </w:numPr>
      <w:spacing w:after="240" w:line="256" w:lineRule="auto"/>
    </w:pPr>
    <w:rPr>
      <w:rFonts w:ascii="Public Sans Light" w:eastAsiaTheme="minorHAnsi" w:hAnsi="Public Sans Light" w:cstheme="minorBidi"/>
      <w:kern w:val="2"/>
      <w:sz w:val="26"/>
      <w:szCs w:val="26"/>
      <w:lang w:val="en-AU"/>
      <w14:ligatures w14:val="standardContextual"/>
    </w:rPr>
  </w:style>
  <w:style w:type="table" w:customStyle="1" w:styleId="TableGrid4">
    <w:name w:val="Table Grid4"/>
    <w:basedOn w:val="TableNormal"/>
    <w:next w:val="TableGrid"/>
    <w:uiPriority w:val="39"/>
    <w:rsid w:val="00167744"/>
    <w:pPr>
      <w:spacing w:before="0" w:after="0"/>
      <w:ind w:left="0" w:firstLine="0"/>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772619">
      <w:bodyDiv w:val="1"/>
      <w:marLeft w:val="0"/>
      <w:marRight w:val="0"/>
      <w:marTop w:val="0"/>
      <w:marBottom w:val="0"/>
      <w:divBdr>
        <w:top w:val="none" w:sz="0" w:space="0" w:color="auto"/>
        <w:left w:val="none" w:sz="0" w:space="0" w:color="auto"/>
        <w:bottom w:val="none" w:sz="0" w:space="0" w:color="auto"/>
        <w:right w:val="none" w:sz="0" w:space="0" w:color="auto"/>
      </w:divBdr>
    </w:div>
    <w:div w:id="283006106">
      <w:bodyDiv w:val="1"/>
      <w:marLeft w:val="0"/>
      <w:marRight w:val="0"/>
      <w:marTop w:val="0"/>
      <w:marBottom w:val="0"/>
      <w:divBdr>
        <w:top w:val="none" w:sz="0" w:space="0" w:color="auto"/>
        <w:left w:val="none" w:sz="0" w:space="0" w:color="auto"/>
        <w:bottom w:val="none" w:sz="0" w:space="0" w:color="auto"/>
        <w:right w:val="none" w:sz="0" w:space="0" w:color="auto"/>
      </w:divBdr>
    </w:div>
    <w:div w:id="342362812">
      <w:bodyDiv w:val="1"/>
      <w:marLeft w:val="0"/>
      <w:marRight w:val="0"/>
      <w:marTop w:val="0"/>
      <w:marBottom w:val="0"/>
      <w:divBdr>
        <w:top w:val="none" w:sz="0" w:space="0" w:color="auto"/>
        <w:left w:val="none" w:sz="0" w:space="0" w:color="auto"/>
        <w:bottom w:val="none" w:sz="0" w:space="0" w:color="auto"/>
        <w:right w:val="none" w:sz="0" w:space="0" w:color="auto"/>
      </w:divBdr>
    </w:div>
    <w:div w:id="454180433">
      <w:bodyDiv w:val="1"/>
      <w:marLeft w:val="0"/>
      <w:marRight w:val="0"/>
      <w:marTop w:val="0"/>
      <w:marBottom w:val="0"/>
      <w:divBdr>
        <w:top w:val="none" w:sz="0" w:space="0" w:color="auto"/>
        <w:left w:val="none" w:sz="0" w:space="0" w:color="auto"/>
        <w:bottom w:val="none" w:sz="0" w:space="0" w:color="auto"/>
        <w:right w:val="none" w:sz="0" w:space="0" w:color="auto"/>
      </w:divBdr>
    </w:div>
    <w:div w:id="773785599">
      <w:bodyDiv w:val="1"/>
      <w:marLeft w:val="0"/>
      <w:marRight w:val="0"/>
      <w:marTop w:val="0"/>
      <w:marBottom w:val="0"/>
      <w:divBdr>
        <w:top w:val="none" w:sz="0" w:space="0" w:color="auto"/>
        <w:left w:val="none" w:sz="0" w:space="0" w:color="auto"/>
        <w:bottom w:val="none" w:sz="0" w:space="0" w:color="auto"/>
        <w:right w:val="none" w:sz="0" w:space="0" w:color="auto"/>
      </w:divBdr>
    </w:div>
    <w:div w:id="846287724">
      <w:bodyDiv w:val="1"/>
      <w:marLeft w:val="0"/>
      <w:marRight w:val="0"/>
      <w:marTop w:val="0"/>
      <w:marBottom w:val="0"/>
      <w:divBdr>
        <w:top w:val="none" w:sz="0" w:space="0" w:color="auto"/>
        <w:left w:val="none" w:sz="0" w:space="0" w:color="auto"/>
        <w:bottom w:val="none" w:sz="0" w:space="0" w:color="auto"/>
        <w:right w:val="none" w:sz="0" w:space="0" w:color="auto"/>
      </w:divBdr>
    </w:div>
    <w:div w:id="936134526">
      <w:bodyDiv w:val="1"/>
      <w:marLeft w:val="0"/>
      <w:marRight w:val="0"/>
      <w:marTop w:val="0"/>
      <w:marBottom w:val="0"/>
      <w:divBdr>
        <w:top w:val="none" w:sz="0" w:space="0" w:color="auto"/>
        <w:left w:val="none" w:sz="0" w:space="0" w:color="auto"/>
        <w:bottom w:val="none" w:sz="0" w:space="0" w:color="auto"/>
        <w:right w:val="none" w:sz="0" w:space="0" w:color="auto"/>
      </w:divBdr>
    </w:div>
    <w:div w:id="949625185">
      <w:bodyDiv w:val="1"/>
      <w:marLeft w:val="0"/>
      <w:marRight w:val="0"/>
      <w:marTop w:val="0"/>
      <w:marBottom w:val="0"/>
      <w:divBdr>
        <w:top w:val="none" w:sz="0" w:space="0" w:color="auto"/>
        <w:left w:val="none" w:sz="0" w:space="0" w:color="auto"/>
        <w:bottom w:val="none" w:sz="0" w:space="0" w:color="auto"/>
        <w:right w:val="none" w:sz="0" w:space="0" w:color="auto"/>
      </w:divBdr>
    </w:div>
    <w:div w:id="986131138">
      <w:bodyDiv w:val="1"/>
      <w:marLeft w:val="0"/>
      <w:marRight w:val="0"/>
      <w:marTop w:val="0"/>
      <w:marBottom w:val="0"/>
      <w:divBdr>
        <w:top w:val="none" w:sz="0" w:space="0" w:color="auto"/>
        <w:left w:val="none" w:sz="0" w:space="0" w:color="auto"/>
        <w:bottom w:val="none" w:sz="0" w:space="0" w:color="auto"/>
        <w:right w:val="none" w:sz="0" w:space="0" w:color="auto"/>
      </w:divBdr>
      <w:divsChild>
        <w:div w:id="592588465">
          <w:marLeft w:val="0"/>
          <w:marRight w:val="0"/>
          <w:marTop w:val="0"/>
          <w:marBottom w:val="0"/>
          <w:divBdr>
            <w:top w:val="none" w:sz="0" w:space="0" w:color="auto"/>
            <w:left w:val="none" w:sz="0" w:space="0" w:color="auto"/>
            <w:bottom w:val="none" w:sz="0" w:space="0" w:color="auto"/>
            <w:right w:val="none" w:sz="0" w:space="0" w:color="auto"/>
          </w:divBdr>
          <w:divsChild>
            <w:div w:id="110518106">
              <w:marLeft w:val="0"/>
              <w:marRight w:val="0"/>
              <w:marTop w:val="0"/>
              <w:marBottom w:val="0"/>
              <w:divBdr>
                <w:top w:val="none" w:sz="0" w:space="0" w:color="auto"/>
                <w:left w:val="none" w:sz="0" w:space="0" w:color="auto"/>
                <w:bottom w:val="none" w:sz="0" w:space="0" w:color="auto"/>
                <w:right w:val="none" w:sz="0" w:space="0" w:color="auto"/>
              </w:divBdr>
            </w:div>
          </w:divsChild>
        </w:div>
        <w:div w:id="2114594739">
          <w:marLeft w:val="0"/>
          <w:marRight w:val="0"/>
          <w:marTop w:val="0"/>
          <w:marBottom w:val="0"/>
          <w:divBdr>
            <w:top w:val="none" w:sz="0" w:space="0" w:color="auto"/>
            <w:left w:val="none" w:sz="0" w:space="0" w:color="auto"/>
            <w:bottom w:val="none" w:sz="0" w:space="0" w:color="auto"/>
            <w:right w:val="none" w:sz="0" w:space="0" w:color="auto"/>
          </w:divBdr>
          <w:divsChild>
            <w:div w:id="179976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0210">
      <w:bodyDiv w:val="1"/>
      <w:marLeft w:val="0"/>
      <w:marRight w:val="0"/>
      <w:marTop w:val="0"/>
      <w:marBottom w:val="0"/>
      <w:divBdr>
        <w:top w:val="none" w:sz="0" w:space="0" w:color="auto"/>
        <w:left w:val="none" w:sz="0" w:space="0" w:color="auto"/>
        <w:bottom w:val="none" w:sz="0" w:space="0" w:color="auto"/>
        <w:right w:val="none" w:sz="0" w:space="0" w:color="auto"/>
      </w:divBdr>
      <w:divsChild>
        <w:div w:id="99841930">
          <w:marLeft w:val="0"/>
          <w:marRight w:val="0"/>
          <w:marTop w:val="0"/>
          <w:marBottom w:val="0"/>
          <w:divBdr>
            <w:top w:val="none" w:sz="0" w:space="0" w:color="auto"/>
            <w:left w:val="none" w:sz="0" w:space="0" w:color="auto"/>
            <w:bottom w:val="none" w:sz="0" w:space="0" w:color="auto"/>
            <w:right w:val="none" w:sz="0" w:space="0" w:color="auto"/>
          </w:divBdr>
          <w:divsChild>
            <w:div w:id="658852933">
              <w:marLeft w:val="0"/>
              <w:marRight w:val="0"/>
              <w:marTop w:val="0"/>
              <w:marBottom w:val="0"/>
              <w:divBdr>
                <w:top w:val="none" w:sz="0" w:space="0" w:color="auto"/>
                <w:left w:val="none" w:sz="0" w:space="0" w:color="auto"/>
                <w:bottom w:val="none" w:sz="0" w:space="0" w:color="auto"/>
                <w:right w:val="none" w:sz="0" w:space="0" w:color="auto"/>
              </w:divBdr>
            </w:div>
          </w:divsChild>
        </w:div>
        <w:div w:id="1236473995">
          <w:marLeft w:val="0"/>
          <w:marRight w:val="0"/>
          <w:marTop w:val="0"/>
          <w:marBottom w:val="0"/>
          <w:divBdr>
            <w:top w:val="none" w:sz="0" w:space="0" w:color="auto"/>
            <w:left w:val="none" w:sz="0" w:space="0" w:color="auto"/>
            <w:bottom w:val="none" w:sz="0" w:space="0" w:color="auto"/>
            <w:right w:val="none" w:sz="0" w:space="0" w:color="auto"/>
          </w:divBdr>
          <w:divsChild>
            <w:div w:id="70637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4478">
      <w:bodyDiv w:val="1"/>
      <w:marLeft w:val="0"/>
      <w:marRight w:val="0"/>
      <w:marTop w:val="0"/>
      <w:marBottom w:val="0"/>
      <w:divBdr>
        <w:top w:val="none" w:sz="0" w:space="0" w:color="auto"/>
        <w:left w:val="none" w:sz="0" w:space="0" w:color="auto"/>
        <w:bottom w:val="none" w:sz="0" w:space="0" w:color="auto"/>
        <w:right w:val="none" w:sz="0" w:space="0" w:color="auto"/>
      </w:divBdr>
    </w:div>
    <w:div w:id="1209337216">
      <w:bodyDiv w:val="1"/>
      <w:marLeft w:val="0"/>
      <w:marRight w:val="0"/>
      <w:marTop w:val="0"/>
      <w:marBottom w:val="0"/>
      <w:divBdr>
        <w:top w:val="none" w:sz="0" w:space="0" w:color="auto"/>
        <w:left w:val="none" w:sz="0" w:space="0" w:color="auto"/>
        <w:bottom w:val="none" w:sz="0" w:space="0" w:color="auto"/>
        <w:right w:val="none" w:sz="0" w:space="0" w:color="auto"/>
      </w:divBdr>
    </w:div>
    <w:div w:id="1352223512">
      <w:bodyDiv w:val="1"/>
      <w:marLeft w:val="0"/>
      <w:marRight w:val="0"/>
      <w:marTop w:val="0"/>
      <w:marBottom w:val="0"/>
      <w:divBdr>
        <w:top w:val="none" w:sz="0" w:space="0" w:color="auto"/>
        <w:left w:val="none" w:sz="0" w:space="0" w:color="auto"/>
        <w:bottom w:val="none" w:sz="0" w:space="0" w:color="auto"/>
        <w:right w:val="none" w:sz="0" w:space="0" w:color="auto"/>
      </w:divBdr>
      <w:divsChild>
        <w:div w:id="749547020">
          <w:marLeft w:val="0"/>
          <w:marRight w:val="0"/>
          <w:marTop w:val="0"/>
          <w:marBottom w:val="0"/>
          <w:divBdr>
            <w:top w:val="none" w:sz="0" w:space="0" w:color="auto"/>
            <w:left w:val="none" w:sz="0" w:space="0" w:color="auto"/>
            <w:bottom w:val="none" w:sz="0" w:space="0" w:color="auto"/>
            <w:right w:val="none" w:sz="0" w:space="0" w:color="auto"/>
          </w:divBdr>
          <w:divsChild>
            <w:div w:id="61028370">
              <w:marLeft w:val="0"/>
              <w:marRight w:val="0"/>
              <w:marTop w:val="0"/>
              <w:marBottom w:val="0"/>
              <w:divBdr>
                <w:top w:val="none" w:sz="0" w:space="0" w:color="auto"/>
                <w:left w:val="none" w:sz="0" w:space="0" w:color="auto"/>
                <w:bottom w:val="none" w:sz="0" w:space="0" w:color="auto"/>
                <w:right w:val="none" w:sz="0" w:space="0" w:color="auto"/>
              </w:divBdr>
            </w:div>
          </w:divsChild>
        </w:div>
        <w:div w:id="1457867341">
          <w:marLeft w:val="0"/>
          <w:marRight w:val="0"/>
          <w:marTop w:val="0"/>
          <w:marBottom w:val="0"/>
          <w:divBdr>
            <w:top w:val="none" w:sz="0" w:space="0" w:color="auto"/>
            <w:left w:val="none" w:sz="0" w:space="0" w:color="auto"/>
            <w:bottom w:val="none" w:sz="0" w:space="0" w:color="auto"/>
            <w:right w:val="none" w:sz="0" w:space="0" w:color="auto"/>
          </w:divBdr>
          <w:divsChild>
            <w:div w:id="203457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9007">
      <w:bodyDiv w:val="1"/>
      <w:marLeft w:val="0"/>
      <w:marRight w:val="0"/>
      <w:marTop w:val="0"/>
      <w:marBottom w:val="0"/>
      <w:divBdr>
        <w:top w:val="none" w:sz="0" w:space="0" w:color="auto"/>
        <w:left w:val="none" w:sz="0" w:space="0" w:color="auto"/>
        <w:bottom w:val="none" w:sz="0" w:space="0" w:color="auto"/>
        <w:right w:val="none" w:sz="0" w:space="0" w:color="auto"/>
      </w:divBdr>
    </w:div>
    <w:div w:id="198246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https://nswgov.sharepoint.com/sites/TSYTransport/Shared%20Documents/Budget%20Management/2025-26%20Budget%20Papers-Documents-snapshots%20etc/2025_06_05%20Western%20Sydney%20Glossy_withchar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850" b="0" i="0" u="none" strike="noStrike" kern="1200" spc="0" baseline="0">
                <a:solidFill>
                  <a:sysClr val="windowText" lastClr="000000"/>
                </a:solidFill>
                <a:latin typeface="+mn-lt"/>
                <a:ea typeface="+mn-ea"/>
                <a:cs typeface="+mn-cs"/>
              </a:defRPr>
            </a:pPr>
            <a:r>
              <a:rPr lang="en-US" sz="850">
                <a:solidFill>
                  <a:sysClr val="windowText" lastClr="000000"/>
                </a:solidFill>
              </a:rPr>
              <a:t>$m</a:t>
            </a:r>
          </a:p>
        </c:rich>
      </c:tx>
      <c:layout>
        <c:manualLayout>
          <c:xMode val="edge"/>
          <c:yMode val="edge"/>
          <c:x val="1.2397143167561372E-3"/>
          <c:y val="0.43059688429896725"/>
        </c:manualLayout>
      </c:layout>
      <c:overlay val="0"/>
      <c:spPr>
        <a:noFill/>
        <a:ln>
          <a:noFill/>
        </a:ln>
        <a:effectLst/>
      </c:spPr>
      <c:txPr>
        <a:bodyPr rot="-5400000" spcFirstLastPara="1" vertOverflow="ellipsis" wrap="square" anchor="ctr" anchorCtr="1"/>
        <a:lstStyle/>
        <a:p>
          <a:pPr>
            <a:defRPr sz="85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0843971300973002"/>
          <c:y val="7.3866619989497631E-2"/>
          <c:w val="0.8645865345263215"/>
          <c:h val="0.76551724137931032"/>
        </c:manualLayout>
      </c:layout>
      <c:barChart>
        <c:barDir val="col"/>
        <c:grouping val="stacked"/>
        <c:varyColors val="0"/>
        <c:ser>
          <c:idx val="0"/>
          <c:order val="0"/>
          <c:tx>
            <c:strRef>
              <c:f>Sheet1!$E$45</c:f>
              <c:strCache>
                <c:ptCount val="1"/>
                <c:pt idx="0">
                  <c:v>Western Sydney Roads $m)</c:v>
                </c:pt>
              </c:strCache>
            </c:strRef>
          </c:tx>
          <c:spPr>
            <a:solidFill>
              <a:srgbClr val="0B3F47"/>
            </a:solidFill>
            <a:ln>
              <a:noFill/>
            </a:ln>
            <a:effectLst/>
          </c:spPr>
          <c:invertIfNegative val="0"/>
          <c:cat>
            <c:strRef>
              <c:f>Sheet1!$F$44:$O$44</c:f>
              <c:strCache>
                <c:ptCount val="10"/>
                <c:pt idx="0">
                  <c:v>2019-20 Actual</c:v>
                </c:pt>
                <c:pt idx="1">
                  <c:v>2020-21 Actual</c:v>
                </c:pt>
                <c:pt idx="2">
                  <c:v>2021-22 Actual</c:v>
                </c:pt>
                <c:pt idx="3">
                  <c:v>2022-23 Actual</c:v>
                </c:pt>
                <c:pt idx="4">
                  <c:v>2023-24 Actual</c:v>
                </c:pt>
                <c:pt idx="5">
                  <c:v>2024-25 Forecast</c:v>
                </c:pt>
                <c:pt idx="6">
                  <c:v>2025-26 Forecast </c:v>
                </c:pt>
                <c:pt idx="7">
                  <c:v>2026-27 Forecast</c:v>
                </c:pt>
                <c:pt idx="8">
                  <c:v>2027-28 Forecast</c:v>
                </c:pt>
                <c:pt idx="9">
                  <c:v>2028-29 Forecast</c:v>
                </c:pt>
              </c:strCache>
            </c:strRef>
          </c:cat>
          <c:val>
            <c:numRef>
              <c:f>Sheet1!$F$45:$O$45</c:f>
              <c:numCache>
                <c:formatCode>_(* #,##0.0_);_(* \(#,##0.0\);_(* "-"??_);_(@_)</c:formatCode>
                <c:ptCount val="10"/>
                <c:pt idx="0">
                  <c:v>818.29397763000009</c:v>
                </c:pt>
                <c:pt idx="1">
                  <c:v>1103.4322721000001</c:v>
                </c:pt>
                <c:pt idx="2">
                  <c:v>410.79803431000005</c:v>
                </c:pt>
                <c:pt idx="3">
                  <c:v>503.57120493999986</c:v>
                </c:pt>
                <c:pt idx="4">
                  <c:v>1104.2938996400003</c:v>
                </c:pt>
              </c:numCache>
            </c:numRef>
          </c:val>
          <c:extLst>
            <c:ext xmlns:c16="http://schemas.microsoft.com/office/drawing/2014/chart" uri="{C3380CC4-5D6E-409C-BE32-E72D297353CC}">
              <c16:uniqueId val="{00000000-3F14-4AA8-AFE9-0093655F114F}"/>
            </c:ext>
          </c:extLst>
        </c:ser>
        <c:ser>
          <c:idx val="1"/>
          <c:order val="1"/>
          <c:tx>
            <c:strRef>
              <c:f>Sheet1!$E$46</c:f>
              <c:strCache>
                <c:ptCount val="1"/>
              </c:strCache>
            </c:strRef>
          </c:tx>
          <c:spPr>
            <a:solidFill>
              <a:srgbClr val="2E808E"/>
            </a:solidFill>
            <a:ln>
              <a:noFill/>
            </a:ln>
            <a:effectLst/>
          </c:spPr>
          <c:invertIfNegative val="0"/>
          <c:cat>
            <c:strRef>
              <c:f>Sheet1!$F$44:$O$44</c:f>
              <c:strCache>
                <c:ptCount val="10"/>
                <c:pt idx="0">
                  <c:v>2019-20 Actual</c:v>
                </c:pt>
                <c:pt idx="1">
                  <c:v>2020-21 Actual</c:v>
                </c:pt>
                <c:pt idx="2">
                  <c:v>2021-22 Actual</c:v>
                </c:pt>
                <c:pt idx="3">
                  <c:v>2022-23 Actual</c:v>
                </c:pt>
                <c:pt idx="4">
                  <c:v>2023-24 Actual</c:v>
                </c:pt>
                <c:pt idx="5">
                  <c:v>2024-25 Forecast</c:v>
                </c:pt>
                <c:pt idx="6">
                  <c:v>2025-26 Forecast </c:v>
                </c:pt>
                <c:pt idx="7">
                  <c:v>2026-27 Forecast</c:v>
                </c:pt>
                <c:pt idx="8">
                  <c:v>2027-28 Forecast</c:v>
                </c:pt>
                <c:pt idx="9">
                  <c:v>2028-29 Forecast</c:v>
                </c:pt>
              </c:strCache>
            </c:strRef>
          </c:cat>
          <c:val>
            <c:numRef>
              <c:f>Sheet1!$F$46:$O$46</c:f>
              <c:numCache>
                <c:formatCode>General</c:formatCode>
                <c:ptCount val="10"/>
                <c:pt idx="5" formatCode="_(* #,##0.0_);_(* \(#,##0.0\);_(* &quot;-&quot;??_);_(@_)">
                  <c:v>723.97415512189991</c:v>
                </c:pt>
              </c:numCache>
            </c:numRef>
          </c:val>
          <c:extLst>
            <c:ext xmlns:c16="http://schemas.microsoft.com/office/drawing/2014/chart" uri="{C3380CC4-5D6E-409C-BE32-E72D297353CC}">
              <c16:uniqueId val="{00000001-3F14-4AA8-AFE9-0093655F114F}"/>
            </c:ext>
          </c:extLst>
        </c:ser>
        <c:ser>
          <c:idx val="2"/>
          <c:order val="2"/>
          <c:tx>
            <c:strRef>
              <c:f>Sheet1!$E$47</c:f>
              <c:strCache>
                <c:ptCount val="1"/>
              </c:strCache>
            </c:strRef>
          </c:tx>
          <c:spPr>
            <a:solidFill>
              <a:srgbClr val="F3631B"/>
            </a:solidFill>
            <a:ln>
              <a:noFill/>
            </a:ln>
            <a:effectLst/>
          </c:spPr>
          <c:invertIfNegative val="0"/>
          <c:cat>
            <c:strRef>
              <c:f>Sheet1!$F$44:$O$44</c:f>
              <c:strCache>
                <c:ptCount val="10"/>
                <c:pt idx="0">
                  <c:v>2019-20 Actual</c:v>
                </c:pt>
                <c:pt idx="1">
                  <c:v>2020-21 Actual</c:v>
                </c:pt>
                <c:pt idx="2">
                  <c:v>2021-22 Actual</c:v>
                </c:pt>
                <c:pt idx="3">
                  <c:v>2022-23 Actual</c:v>
                </c:pt>
                <c:pt idx="4">
                  <c:v>2023-24 Actual</c:v>
                </c:pt>
                <c:pt idx="5">
                  <c:v>2024-25 Forecast</c:v>
                </c:pt>
                <c:pt idx="6">
                  <c:v>2025-26 Forecast </c:v>
                </c:pt>
                <c:pt idx="7">
                  <c:v>2026-27 Forecast</c:v>
                </c:pt>
                <c:pt idx="8">
                  <c:v>2027-28 Forecast</c:v>
                </c:pt>
                <c:pt idx="9">
                  <c:v>2028-29 Forecast</c:v>
                </c:pt>
              </c:strCache>
            </c:strRef>
          </c:cat>
          <c:val>
            <c:numRef>
              <c:f>Sheet1!$F$47:$O$47</c:f>
              <c:numCache>
                <c:formatCode>General</c:formatCode>
                <c:ptCount val="10"/>
                <c:pt idx="6" formatCode="_(* #,##0.0_);_(* \(#,##0.0\);_(* &quot;-&quot;??_);_(@_)">
                  <c:v>591.33224857599998</c:v>
                </c:pt>
                <c:pt idx="7" formatCode="_(* #,##0.0_);_(* \(#,##0.0\);_(* &quot;-&quot;??_);_(@_)">
                  <c:v>1830.2589479600001</c:v>
                </c:pt>
                <c:pt idx="8" formatCode="_(* #,##0.0_);_(* \(#,##0.0\);_(* &quot;-&quot;??_);_(@_)">
                  <c:v>1740.4526971400003</c:v>
                </c:pt>
                <c:pt idx="9" formatCode="_(* #,##0.0_);_(* \(#,##0.0\);_(* &quot;-&quot;??_);_(@_)">
                  <c:v>1293.9282562360002</c:v>
                </c:pt>
              </c:numCache>
            </c:numRef>
          </c:val>
          <c:extLst>
            <c:ext xmlns:c16="http://schemas.microsoft.com/office/drawing/2014/chart" uri="{C3380CC4-5D6E-409C-BE32-E72D297353CC}">
              <c16:uniqueId val="{00000002-3F14-4AA8-AFE9-0093655F114F}"/>
            </c:ext>
          </c:extLst>
        </c:ser>
        <c:dLbls>
          <c:showLegendKey val="0"/>
          <c:showVal val="0"/>
          <c:showCatName val="0"/>
          <c:showSerName val="0"/>
          <c:showPercent val="0"/>
          <c:showBubbleSize val="0"/>
        </c:dLbls>
        <c:gapWidth val="150"/>
        <c:overlap val="100"/>
        <c:axId val="2049709440"/>
        <c:axId val="2049709920"/>
      </c:barChart>
      <c:catAx>
        <c:axId val="204970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Public Sans" pitchFamily="2" charset="0"/>
                <a:ea typeface="+mn-ea"/>
                <a:cs typeface="+mn-cs"/>
              </a:defRPr>
            </a:pPr>
            <a:endParaRPr lang="en-US"/>
          </a:p>
        </c:txPr>
        <c:crossAx val="2049709920"/>
        <c:crosses val="autoZero"/>
        <c:auto val="1"/>
        <c:lblAlgn val="ctr"/>
        <c:lblOffset val="100"/>
        <c:noMultiLvlLbl val="0"/>
      </c:catAx>
      <c:valAx>
        <c:axId val="2049709920"/>
        <c:scaling>
          <c:orientation val="minMax"/>
        </c:scaling>
        <c:delete val="0"/>
        <c:axPos val="l"/>
        <c:majorGridlines>
          <c:spPr>
            <a:ln w="9525"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Public Sans" pitchFamily="2" charset="0"/>
                <a:ea typeface="+mn-ea"/>
                <a:cs typeface="+mn-cs"/>
              </a:defRPr>
            </a:pPr>
            <a:endParaRPr lang="en-US"/>
          </a:p>
        </c:txPr>
        <c:crossAx val="20497094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udget Paper">
      <a:dk1>
        <a:sysClr val="windowText" lastClr="000000"/>
      </a:dk1>
      <a:lt1>
        <a:srgbClr val="FFFFFF"/>
      </a:lt1>
      <a:dk2>
        <a:srgbClr val="FFFFFF"/>
      </a:dk2>
      <a:lt2>
        <a:srgbClr val="DBDBDB"/>
      </a:lt2>
      <a:accent1>
        <a:srgbClr val="002664"/>
      </a:accent1>
      <a:accent2>
        <a:srgbClr val="8CE0FF"/>
      </a:accent2>
      <a:accent3>
        <a:srgbClr val="146CFD"/>
      </a:accent3>
      <a:accent4>
        <a:srgbClr val="CBEDFD"/>
      </a:accent4>
      <a:accent5>
        <a:srgbClr val="BFBFBF"/>
      </a:accent5>
      <a:accent6>
        <a:srgbClr val="495054"/>
      </a:accent6>
      <a:hlink>
        <a:srgbClr val="00ABE6"/>
      </a:hlink>
      <a:folHlink>
        <a:srgbClr val="00B0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0ac7ce-5f57-4ea0-9af7-01d4f3f1ccae" xsi:nil="true"/>
    <lcf76f155ced4ddcb4097134ff3c332f xmlns="1c478e85-8130-4c67-8ee4-8bdf1c0e6049">
      <Terms xmlns="http://schemas.microsoft.com/office/infopath/2007/PartnerControls"/>
    </lcf76f155ced4ddcb4097134ff3c332f>
    <_Flow_SignoffStatus xmlns="1c478e85-8130-4c67-8ee4-8bdf1c0e604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2F16F1AFBDE54EBD2685E90FE1922F" ma:contentTypeVersion="19" ma:contentTypeDescription="Create a new document." ma:contentTypeScope="" ma:versionID="468dc0dd92be817bb9a44f7960c8fef9">
  <xsd:schema xmlns:xsd="http://www.w3.org/2001/XMLSchema" xmlns:xs="http://www.w3.org/2001/XMLSchema" xmlns:p="http://schemas.microsoft.com/office/2006/metadata/properties" xmlns:ns2="801a5968-9419-4033-b9de-7ffe8168468e" xmlns:ns3="1c478e85-8130-4c67-8ee4-8bdf1c0e6049" xmlns:ns4="9f0ac7ce-5f57-4ea0-9af7-01d4f3f1ccae" targetNamespace="http://schemas.microsoft.com/office/2006/metadata/properties" ma:root="true" ma:fieldsID="0a20234d3a585a1bfe061a4c4552e30d" ns2:_="" ns3:_="" ns4:_="">
    <xsd:import namespace="801a5968-9419-4033-b9de-7ffe8168468e"/>
    <xsd:import namespace="1c478e85-8130-4c67-8ee4-8bdf1c0e6049"/>
    <xsd:import namespace="9f0ac7ce-5f57-4ea0-9af7-01d4f3f1cca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_Flow_SignoffStatus"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a5968-9419-4033-b9de-7ffe816846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478e85-8130-4c67-8ee4-8bdf1c0e60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0ac7ce-5f57-4ea0-9af7-01d4f3f1ccae"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fc867368-d47b-4a2f-96c2-865b3735c074}" ma:internalName="TaxCatchAll" ma:showField="CatchAllData" ma:web="801a5968-9419-4033-b9de-7ffe81684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E9FD7-6E6C-41F1-AB66-B4A654C66101}">
  <ds:schemaRefs>
    <ds:schemaRef ds:uri="http://schemas.microsoft.com/office/2006/documentManagement/types"/>
    <ds:schemaRef ds:uri="http://purl.org/dc/terms/"/>
    <ds:schemaRef ds:uri="http://www.w3.org/XML/1998/namespace"/>
    <ds:schemaRef ds:uri="http://purl.org/dc/dcmitype/"/>
    <ds:schemaRef ds:uri="http://schemas.microsoft.com/office/infopath/2007/PartnerControls"/>
    <ds:schemaRef ds:uri="http://schemas.openxmlformats.org/package/2006/metadata/core-properties"/>
    <ds:schemaRef ds:uri="9f0ac7ce-5f57-4ea0-9af7-01d4f3f1ccae"/>
    <ds:schemaRef ds:uri="1c478e85-8130-4c67-8ee4-8bdf1c0e6049"/>
    <ds:schemaRef ds:uri="801a5968-9419-4033-b9de-7ffe8168468e"/>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A1FE073D-38F7-4843-8173-A45F5ECFFB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a5968-9419-4033-b9de-7ffe8168468e"/>
    <ds:schemaRef ds:uri="1c478e85-8130-4c67-8ee4-8bdf1c0e6049"/>
    <ds:schemaRef ds:uri="9f0ac7ce-5f57-4ea0-9af7-01d4f3f1c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10486F-5120-4F67-BA1E-2BAF7098B075}">
  <ds:schemaRefs>
    <ds:schemaRef ds:uri="http://schemas.microsoft.com/sharepoint/v3/contenttype/forms"/>
  </ds:schemaRefs>
</ds:datastoreItem>
</file>

<file path=customXml/itemProps4.xml><?xml version="1.0" encoding="utf-8"?>
<ds:datastoreItem xmlns:ds="http://schemas.openxmlformats.org/officeDocument/2006/customXml" ds:itemID="{D293D4C9-B5FB-425B-853A-592996518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4968</Words>
  <Characters>28324</Characters>
  <Application>Microsoft Office Word</Application>
  <DocSecurity>0</DocSecurity>
  <Lines>236</Lines>
  <Paragraphs>66</Paragraphs>
  <ScaleCrop>false</ScaleCrop>
  <Company>NSW Treasury</Company>
  <LinksUpToDate>false</LinksUpToDate>
  <CharactersWithSpaces>33226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2025-26 Budget Paper No. 1 - Budget Statement - Chapter 3: Budget priorities</dc:title>
  <dc:subject/>
  <dc:creator>Francess Lavorato</dc:creator>
  <cp:keywords/>
  <cp:lastModifiedBy>Amany Tahir</cp:lastModifiedBy>
  <cp:revision>2</cp:revision>
  <cp:lastPrinted>2025-06-21T01:55:00Z</cp:lastPrinted>
  <dcterms:created xsi:type="dcterms:W3CDTF">2025-06-22T07:18:00Z</dcterms:created>
  <dcterms:modified xsi:type="dcterms:W3CDTF">2025-06-22T07:18:00Z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A3020765</vt:lpwstr>
  </property>
  <property fmtid="{D5CDD505-2E9C-101B-9397-08002B2CF9AE}" pid="4" name="Objective-Title">
    <vt:lpwstr>Budget paper styles and template</vt:lpwstr>
  </property>
  <property fmtid="{D5CDD505-2E9C-101B-9397-08002B2CF9AE}" pid="5" name="Objective-Comment">
    <vt:lpwstr/>
  </property>
  <property fmtid="{D5CDD505-2E9C-101B-9397-08002B2CF9AE}" pid="6" name="Objective-CreationStamp">
    <vt:filetime>2015-09-10T21:55:51Z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2015-10-13T03:41:11Z</vt:filetime>
  </property>
  <property fmtid="{D5CDD505-2E9C-101B-9397-08002B2CF9AE}" pid="11" name="Objective-Owner">
    <vt:lpwstr>Alicia McIntyre</vt:lpwstr>
  </property>
  <property fmtid="{D5CDD505-2E9C-101B-9397-08002B2CF9AE}" pid="12" name="Objective-Path">
    <vt:lpwstr>Objective Global Folder:1. Treasury:1. Information Management Structure (TR):FISCAL &amp; ECONOMIC GROUP (FEG):Budget Strategy:Budget Process Design:Budget:2016-17 Budget - Process and Production:Production:</vt:lpwstr>
  </property>
  <property fmtid="{D5CDD505-2E9C-101B-9397-08002B2CF9AE}" pid="13" name="Objective-Parent">
    <vt:lpwstr>Production</vt:lpwstr>
  </property>
  <property fmtid="{D5CDD505-2E9C-101B-9397-08002B2CF9AE}" pid="14" name="Objective-State">
    <vt:lpwstr>Being Drafted</vt:lpwstr>
  </property>
  <property fmtid="{D5CDD505-2E9C-101B-9397-08002B2CF9AE}" pid="15" name="Objective-Version">
    <vt:lpwstr>0.5</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Vital Record [system]">
    <vt:lpwstr>No</vt:lpwstr>
  </property>
  <property fmtid="{D5CDD505-2E9C-101B-9397-08002B2CF9AE}" pid="22" name="Objective-GIPA [system]">
    <vt:lpwstr>No</vt:lpwstr>
  </property>
  <property fmtid="{D5CDD505-2E9C-101B-9397-08002B2CF9AE}" pid="23" name="Objective-Additional Search Tags [system]">
    <vt:lpwstr/>
  </property>
  <property fmtid="{D5CDD505-2E9C-101B-9397-08002B2CF9AE}" pid="24" name="ContentTypeId">
    <vt:lpwstr>0x010100F02F16F1AFBDE54EBD2685E90FE1922F</vt:lpwstr>
  </property>
  <property fmtid="{D5CDD505-2E9C-101B-9397-08002B2CF9AE}" pid="25" name="MediaServiceImageTags">
    <vt:lpwstr/>
  </property>
  <property fmtid="{D5CDD505-2E9C-101B-9397-08002B2CF9AE}" pid="26" name="ClassificationContentMarkingHeaderShapeIds">
    <vt:lpwstr>3,4,5</vt:lpwstr>
  </property>
  <property fmtid="{D5CDD505-2E9C-101B-9397-08002B2CF9AE}" pid="27" name="ClassificationContentMarkingHeaderFontProps">
    <vt:lpwstr>#ff0000,10,Calibri</vt:lpwstr>
  </property>
  <property fmtid="{D5CDD505-2E9C-101B-9397-08002B2CF9AE}" pid="28" name="ClassificationContentMarkingHeaderText">
    <vt:lpwstr>OFFICIAL: Sensitive - NSW Government</vt:lpwstr>
  </property>
  <property fmtid="{D5CDD505-2E9C-101B-9397-08002B2CF9AE}" pid="29" name="ClassificationContentMarkingFooterShapeIds">
    <vt:lpwstr>6,7,8</vt:lpwstr>
  </property>
  <property fmtid="{D5CDD505-2E9C-101B-9397-08002B2CF9AE}" pid="30" name="ClassificationContentMarkingFooterFontProps">
    <vt:lpwstr>#ff0000,10,Calibri</vt:lpwstr>
  </property>
  <property fmtid="{D5CDD505-2E9C-101B-9397-08002B2CF9AE}" pid="31" name="ClassificationContentMarkingFooterText">
    <vt:lpwstr>OFFICIAL: Sensitive - NSW Government</vt:lpwstr>
  </property>
  <property fmtid="{D5CDD505-2E9C-101B-9397-08002B2CF9AE}" pid="32" name="MSIP_Label_ab31b62b-e375-4a62-a687-c19ac06ddd31_Enabled">
    <vt:lpwstr>true</vt:lpwstr>
  </property>
  <property fmtid="{D5CDD505-2E9C-101B-9397-08002B2CF9AE}" pid="33" name="MSIP_Label_ab31b62b-e375-4a62-a687-c19ac06ddd31_SetDate">
    <vt:lpwstr>2023-07-17T05:35:10Z</vt:lpwstr>
  </property>
  <property fmtid="{D5CDD505-2E9C-101B-9397-08002B2CF9AE}" pid="34" name="MSIP_Label_ab31b62b-e375-4a62-a687-c19ac06ddd31_Method">
    <vt:lpwstr>Privileged</vt:lpwstr>
  </property>
  <property fmtid="{D5CDD505-2E9C-101B-9397-08002B2CF9AE}" pid="35" name="MSIP_Label_ab31b62b-e375-4a62-a687-c19ac06ddd31_Name">
    <vt:lpwstr>OFFICIAL Sensitive - NSW Government</vt:lpwstr>
  </property>
  <property fmtid="{D5CDD505-2E9C-101B-9397-08002B2CF9AE}" pid="36" name="MSIP_Label_ab31b62b-e375-4a62-a687-c19ac06ddd31_SiteId">
    <vt:lpwstr>1ef97a68-e8ab-44ed-a16d-b579fe2d7cd8</vt:lpwstr>
  </property>
  <property fmtid="{D5CDD505-2E9C-101B-9397-08002B2CF9AE}" pid="37" name="MSIP_Label_ab31b62b-e375-4a62-a687-c19ac06ddd31_ActionId">
    <vt:lpwstr>e99cb3e8-e592-44b3-906e-e4c2bfceb55e</vt:lpwstr>
  </property>
  <property fmtid="{D5CDD505-2E9C-101B-9397-08002B2CF9AE}" pid="38" name="MSIP_Label_ab31b62b-e375-4a62-a687-c19ac06ddd31_ContentBits">
    <vt:lpwstr>3</vt:lpwstr>
  </property>
  <property fmtid="{D5CDD505-2E9C-101B-9397-08002B2CF9AE}" pid="39" name="Order">
    <vt:r8>90900</vt:r8>
  </property>
  <property fmtid="{D5CDD505-2E9C-101B-9397-08002B2CF9AE}" pid="40" name="xd_ProgID">
    <vt:lpwstr/>
  </property>
  <property fmtid="{D5CDD505-2E9C-101B-9397-08002B2CF9AE}" pid="41" name="ComplianceAssetId">
    <vt:lpwstr/>
  </property>
  <property fmtid="{D5CDD505-2E9C-101B-9397-08002B2CF9AE}" pid="42" name="TemplateUrl">
    <vt:lpwstr/>
  </property>
  <property fmtid="{D5CDD505-2E9C-101B-9397-08002B2CF9AE}" pid="43" name="_ExtendedDescription">
    <vt:lpwstr/>
  </property>
  <property fmtid="{D5CDD505-2E9C-101B-9397-08002B2CF9AE}" pid="44" name="TriggerFlowInfo">
    <vt:lpwstr/>
  </property>
  <property fmtid="{D5CDD505-2E9C-101B-9397-08002B2CF9AE}" pid="45" name="xd_Signature">
    <vt:bool>false</vt:bool>
  </property>
</Properties>
</file>