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0E14" w14:textId="67C7CF0C" w:rsidR="009A6B8D" w:rsidRPr="00ED2B8E" w:rsidRDefault="002332E4" w:rsidP="009A6B8D">
      <w:pPr>
        <w:rPr>
          <w:rFonts w:eastAsia="Yu Mincho"/>
          <w:sz w:val="2"/>
          <w:szCs w:val="2"/>
          <w:lang w:val="en-AU" w:eastAsia="zh-CN"/>
        </w:rPr>
      </w:pPr>
      <w:bookmarkStart w:id="0" w:name="_Hlk143095870"/>
      <w:r>
        <w:rPr>
          <w:rFonts w:eastAsia="Calibri"/>
          <w:sz w:val="10"/>
          <w:szCs w:val="8"/>
          <w:lang w:val="en-AU"/>
        </w:rPr>
        <w:t>\</w:t>
      </w:r>
    </w:p>
    <w:p w14:paraId="1143225F" w14:textId="640E908A" w:rsidR="00C626D7" w:rsidRPr="00A903EA" w:rsidRDefault="007E14A0" w:rsidP="00B00654">
      <w:pPr>
        <w:pStyle w:val="Heading1"/>
        <w:numPr>
          <w:ilvl w:val="0"/>
          <w:numId w:val="91"/>
        </w:numPr>
        <w:ind w:left="851" w:hanging="851"/>
      </w:pPr>
      <w:r w:rsidRPr="00857816">
        <w:t>Fiscal Strategy and Outlook</w:t>
      </w:r>
    </w:p>
    <w:tbl>
      <w:tblPr>
        <w:tblW w:w="9639" w:type="dxa"/>
        <w:shd w:val="clear" w:color="auto" w:fill="F2F2F2" w:themeFill="background1" w:themeFillShade="F2"/>
        <w:tblLayout w:type="fixed"/>
        <w:tblLook w:val="0000" w:firstRow="0" w:lastRow="0" w:firstColumn="0" w:lastColumn="0" w:noHBand="0" w:noVBand="0"/>
        <w:tblCaption w:val="Box 1.3: Investing to reduce domestic and family violence"/>
        <w:tblDescription w:val="Box 1.3: Investing to reduce domestic and family violence"/>
      </w:tblPr>
      <w:tblGrid>
        <w:gridCol w:w="9639"/>
      </w:tblGrid>
      <w:tr w:rsidR="00306EDA" w:rsidRPr="005F5B5D" w14:paraId="381D55FE" w14:textId="77777777" w:rsidTr="6F0F8705">
        <w:trPr>
          <w:trHeight w:val="1157"/>
        </w:trPr>
        <w:tc>
          <w:tcPr>
            <w:tcW w:w="9639" w:type="dxa"/>
            <w:shd w:val="clear" w:color="auto" w:fill="F2F2F2" w:themeFill="accent5" w:themeFillTint="33"/>
          </w:tcPr>
          <w:p w14:paraId="60C386F8" w14:textId="3B2C99D0" w:rsidR="00306EDA" w:rsidRPr="00D66D10" w:rsidRDefault="00AA49EB" w:rsidP="00EA0E06">
            <w:pPr>
              <w:pStyle w:val="Bullet1"/>
            </w:pPr>
            <w:r w:rsidRPr="411F2202">
              <w:rPr>
                <w:lang w:val="en-US"/>
              </w:rPr>
              <w:t>To support continued investment in re-building our</w:t>
            </w:r>
            <w:r w:rsidR="00306EDA" w:rsidRPr="411F2202">
              <w:rPr>
                <w:lang w:val="en-US"/>
              </w:rPr>
              <w:t xml:space="preserve"> essential services and infrastructure, the Government remains committed to the two fiscal principles introduced in the 2023</w:t>
            </w:r>
            <w:r w:rsidR="00560620">
              <w:noBreakHyphen/>
            </w:r>
            <w:r w:rsidR="00306EDA" w:rsidRPr="411F2202">
              <w:rPr>
                <w:lang w:val="en-US"/>
              </w:rPr>
              <w:t xml:space="preserve">24 Budget to return the State’s operating and debt position to a more sustainable footing. </w:t>
            </w:r>
          </w:p>
          <w:p w14:paraId="3739AC1A" w14:textId="1E9A3183" w:rsidR="00CD1579" w:rsidRDefault="005C721B" w:rsidP="00EA0E06">
            <w:pPr>
              <w:pStyle w:val="Bullet1"/>
            </w:pPr>
            <w:r w:rsidRPr="411F2202">
              <w:rPr>
                <w:lang w:val="en-US"/>
              </w:rPr>
              <w:t>The 2025-26 Budget sets a path t</w:t>
            </w:r>
            <w:r w:rsidR="00506341" w:rsidRPr="411F2202">
              <w:rPr>
                <w:lang w:val="en-US"/>
              </w:rPr>
              <w:t xml:space="preserve">o a modest surplus in 2027-28 without privatisation or an unfair wages cap. If realised, it will be the first budget </w:t>
            </w:r>
            <w:r w:rsidR="0069658C" w:rsidRPr="411F2202">
              <w:rPr>
                <w:lang w:val="en-US"/>
              </w:rPr>
              <w:t>surplus since 2018-19.</w:t>
            </w:r>
          </w:p>
          <w:p w14:paraId="7D21F7B7" w14:textId="0237311D" w:rsidR="00CD1579" w:rsidRDefault="00CD1579" w:rsidP="00EA0E06">
            <w:pPr>
              <w:pStyle w:val="Bullet1"/>
            </w:pPr>
            <w:r w:rsidRPr="356452D0">
              <w:t xml:space="preserve">The operating </w:t>
            </w:r>
            <w:r w:rsidR="00FD31D1" w:rsidRPr="356452D0">
              <w:t>position</w:t>
            </w:r>
            <w:r w:rsidRPr="356452D0">
              <w:t xml:space="preserve"> is projected to improve from </w:t>
            </w:r>
            <w:r w:rsidR="00FD31D1" w:rsidRPr="356452D0">
              <w:t>a deficit of</w:t>
            </w:r>
            <w:r w:rsidRPr="356452D0">
              <w:t xml:space="preserve"> $5.7 billion in 2024-25 to a surplus of $1.1 billion </w:t>
            </w:r>
            <w:r w:rsidR="00B70918" w:rsidRPr="356452D0">
              <w:t xml:space="preserve">in </w:t>
            </w:r>
            <w:r w:rsidRPr="356452D0">
              <w:t>202</w:t>
            </w:r>
            <w:r w:rsidR="00992F32" w:rsidRPr="356452D0">
              <w:t>7</w:t>
            </w:r>
            <w:r w:rsidR="00C20A18" w:rsidRPr="356452D0">
              <w:t>-2</w:t>
            </w:r>
            <w:r w:rsidR="00992F32" w:rsidRPr="356452D0">
              <w:t>8</w:t>
            </w:r>
            <w:r w:rsidRPr="356452D0">
              <w:t>.</w:t>
            </w:r>
          </w:p>
          <w:p w14:paraId="5702B14E" w14:textId="4A6DF3E9" w:rsidR="00306EDA" w:rsidRDefault="00306EDA" w:rsidP="00EA0E06">
            <w:pPr>
              <w:pStyle w:val="Bullet1"/>
            </w:pPr>
            <w:r w:rsidRPr="411F2202">
              <w:rPr>
                <w:lang w:val="en-US"/>
              </w:rPr>
              <w:t xml:space="preserve">The 2025-26 Budget demonstrates the Government’s resolve to improve the State’s fiscal sustainability and protect essential services </w:t>
            </w:r>
            <w:r w:rsidR="00F95211" w:rsidRPr="411F2202">
              <w:rPr>
                <w:lang w:val="en-US"/>
              </w:rPr>
              <w:t>by</w:t>
            </w:r>
            <w:r w:rsidRPr="411F2202">
              <w:rPr>
                <w:lang w:val="en-US"/>
              </w:rPr>
              <w:t xml:space="preserve">: </w:t>
            </w:r>
          </w:p>
          <w:p w14:paraId="3C6F9D51" w14:textId="6986DAAD" w:rsidR="00571234" w:rsidRPr="006820CE" w:rsidRDefault="0027771F" w:rsidP="00EA0E06">
            <w:pPr>
              <w:pStyle w:val="Bullet2"/>
            </w:pPr>
            <w:r w:rsidRPr="411F2202">
              <w:rPr>
                <w:lang w:val="en-US"/>
              </w:rPr>
              <w:t>r</w:t>
            </w:r>
            <w:r w:rsidR="00ED5DFF" w:rsidRPr="411F2202">
              <w:rPr>
                <w:lang w:val="en-US"/>
              </w:rPr>
              <w:t>educ</w:t>
            </w:r>
            <w:r w:rsidR="004035ED" w:rsidRPr="411F2202">
              <w:rPr>
                <w:lang w:val="en-US"/>
              </w:rPr>
              <w:t>ing</w:t>
            </w:r>
            <w:r w:rsidR="00ED5DFF" w:rsidRPr="411F2202">
              <w:rPr>
                <w:lang w:val="en-US"/>
              </w:rPr>
              <w:t xml:space="preserve"> </w:t>
            </w:r>
            <w:r w:rsidR="00306EDA" w:rsidRPr="411F2202">
              <w:rPr>
                <w:lang w:val="en-US"/>
              </w:rPr>
              <w:t>gross debt</w:t>
            </w:r>
            <w:r w:rsidRPr="411F2202">
              <w:rPr>
                <w:lang w:val="en-US"/>
              </w:rPr>
              <w:t xml:space="preserve"> by </w:t>
            </w:r>
            <w:r w:rsidR="00121E39" w:rsidRPr="411F2202">
              <w:rPr>
                <w:lang w:val="en-US"/>
              </w:rPr>
              <w:t xml:space="preserve">$9.4 billion by </w:t>
            </w:r>
            <w:r w:rsidR="007732A3" w:rsidRPr="411F2202">
              <w:rPr>
                <w:lang w:val="en-US"/>
              </w:rPr>
              <w:t xml:space="preserve">June </w:t>
            </w:r>
            <w:r w:rsidR="00121E39" w:rsidRPr="411F2202">
              <w:rPr>
                <w:lang w:val="en-US"/>
              </w:rPr>
              <w:t>2026</w:t>
            </w:r>
            <w:r w:rsidR="008B7490" w:rsidRPr="411F2202">
              <w:rPr>
                <w:lang w:val="en-US"/>
              </w:rPr>
              <w:t xml:space="preserve">, relative </w:t>
            </w:r>
            <w:r w:rsidR="00121E39" w:rsidRPr="411F2202">
              <w:rPr>
                <w:lang w:val="en-US"/>
              </w:rPr>
              <w:t xml:space="preserve">to the </w:t>
            </w:r>
            <w:r w:rsidR="00AA1C22" w:rsidRPr="411F2202">
              <w:rPr>
                <w:lang w:val="en-US"/>
              </w:rPr>
              <w:t xml:space="preserve">2023 </w:t>
            </w:r>
            <w:r w:rsidR="00121E39" w:rsidRPr="411F2202">
              <w:rPr>
                <w:lang w:val="en-US"/>
              </w:rPr>
              <w:t>Pre-</w:t>
            </w:r>
            <w:r w:rsidR="00515719">
              <w:rPr>
                <w:lang w:val="en-US"/>
              </w:rPr>
              <w:t>e</w:t>
            </w:r>
            <w:r w:rsidR="00121E39" w:rsidRPr="411F2202">
              <w:rPr>
                <w:lang w:val="en-US"/>
              </w:rPr>
              <w:t>lection Budget Update</w:t>
            </w:r>
            <w:r w:rsidR="008C7562" w:rsidRPr="411F2202">
              <w:rPr>
                <w:lang w:val="en-US"/>
              </w:rPr>
              <w:t xml:space="preserve"> </w:t>
            </w:r>
          </w:p>
          <w:p w14:paraId="1D58F0BA" w14:textId="288BAE7A" w:rsidR="00306EDA" w:rsidRPr="001E1ADC" w:rsidRDefault="00306EDA" w:rsidP="00EA0E06">
            <w:pPr>
              <w:pStyle w:val="Bullet2"/>
            </w:pPr>
            <w:r w:rsidRPr="411F2202">
              <w:rPr>
                <w:lang w:val="en-US"/>
              </w:rPr>
              <w:t xml:space="preserve">gross debt to gross state product </w:t>
            </w:r>
            <w:r w:rsidR="00892401" w:rsidRPr="411F2202">
              <w:rPr>
                <w:lang w:val="en-US"/>
              </w:rPr>
              <w:t xml:space="preserve">is </w:t>
            </w:r>
            <w:r w:rsidRPr="411F2202">
              <w:rPr>
                <w:lang w:val="en-US"/>
              </w:rPr>
              <w:t xml:space="preserve">projected to be 19.5 per cent by June 2025 and remaining relatively stable over the four years to June 2029 </w:t>
            </w:r>
          </w:p>
          <w:p w14:paraId="46CFC4EC" w14:textId="00FECE9F" w:rsidR="00306EDA" w:rsidRDefault="00306EDA" w:rsidP="00EA0E06">
            <w:pPr>
              <w:pStyle w:val="Bullet2"/>
            </w:pPr>
            <w:r>
              <w:t xml:space="preserve">the cash operating position </w:t>
            </w:r>
            <w:r w:rsidR="00892401" w:rsidRPr="356452D0">
              <w:t xml:space="preserve">is </w:t>
            </w:r>
            <w:r>
              <w:t xml:space="preserve">projected to grow from a surplus of </w:t>
            </w:r>
            <w:r w:rsidRPr="00146564">
              <w:t>$2.9 billion</w:t>
            </w:r>
            <w:r>
              <w:t xml:space="preserve"> in 2024</w:t>
            </w:r>
            <w:r w:rsidR="00594F61">
              <w:noBreakHyphen/>
            </w:r>
            <w:r>
              <w:t xml:space="preserve">25 to </w:t>
            </w:r>
            <w:r w:rsidRPr="00146564">
              <w:t>$</w:t>
            </w:r>
            <w:r w:rsidRPr="001D5F2F">
              <w:t>12.5</w:t>
            </w:r>
            <w:r w:rsidR="00171267">
              <w:t> </w:t>
            </w:r>
            <w:r>
              <w:t>billion in 2028-29</w:t>
            </w:r>
            <w:r w:rsidR="00DF44DD" w:rsidRPr="356452D0">
              <w:t>.</w:t>
            </w:r>
          </w:p>
          <w:p w14:paraId="0BAD157C" w14:textId="5B1BCBD0" w:rsidR="009156E5" w:rsidRDefault="009156E5" w:rsidP="00EA0E06">
            <w:pPr>
              <w:pStyle w:val="Bullet1"/>
            </w:pPr>
            <w:r>
              <w:t xml:space="preserve">The State’s fiscal position continues to </w:t>
            </w:r>
            <w:r w:rsidRPr="00D21F22">
              <w:t>face multiple fiscal risks and pressures, including:</w:t>
            </w:r>
          </w:p>
          <w:p w14:paraId="7518ED76" w14:textId="7A2151D7" w:rsidR="00DD4674" w:rsidRDefault="00DD4674" w:rsidP="00EA0E06">
            <w:pPr>
              <w:pStyle w:val="Bullet2"/>
            </w:pPr>
            <w:r w:rsidRPr="411F2202">
              <w:rPr>
                <w:lang w:val="en-US"/>
              </w:rPr>
              <w:t xml:space="preserve">additional insurance expenses including </w:t>
            </w:r>
            <w:r w:rsidR="00030212" w:rsidRPr="411F2202">
              <w:rPr>
                <w:lang w:val="en-US"/>
              </w:rPr>
              <w:t>w</w:t>
            </w:r>
            <w:r w:rsidRPr="411F2202">
              <w:rPr>
                <w:lang w:val="en-US"/>
              </w:rPr>
              <w:t>orkers</w:t>
            </w:r>
            <w:r w:rsidR="00030212" w:rsidRPr="411F2202">
              <w:rPr>
                <w:lang w:val="en-US"/>
              </w:rPr>
              <w:t>’</w:t>
            </w:r>
            <w:r w:rsidRPr="411F2202">
              <w:rPr>
                <w:lang w:val="en-US"/>
              </w:rPr>
              <w:t xml:space="preserve"> </w:t>
            </w:r>
            <w:r w:rsidR="00030212" w:rsidRPr="411F2202">
              <w:rPr>
                <w:lang w:val="en-US"/>
              </w:rPr>
              <w:t>c</w:t>
            </w:r>
            <w:r w:rsidRPr="411F2202">
              <w:rPr>
                <w:lang w:val="en-US"/>
              </w:rPr>
              <w:t xml:space="preserve">ompensation </w:t>
            </w:r>
          </w:p>
          <w:p w14:paraId="78C064FC" w14:textId="30D2030E" w:rsidR="00DD4674" w:rsidRPr="00DD4674" w:rsidRDefault="00DD4674" w:rsidP="00EA0E06">
            <w:pPr>
              <w:pStyle w:val="Bullet2"/>
            </w:pPr>
            <w:r>
              <w:t>increased costs of natural disasters and uncertainty over the timing of Australian Government contributions</w:t>
            </w:r>
          </w:p>
          <w:p w14:paraId="0A1DEA93" w14:textId="1447E0F2" w:rsidR="009156E5" w:rsidRPr="00D21F22" w:rsidRDefault="00DD4674" w:rsidP="00EA0E06">
            <w:pPr>
              <w:pStyle w:val="Bullet2"/>
            </w:pPr>
            <w:r w:rsidRPr="411F2202">
              <w:rPr>
                <w:lang w:val="en-US"/>
              </w:rPr>
              <w:t>rising depreciation and amortisation expenses</w:t>
            </w:r>
          </w:p>
          <w:p w14:paraId="367CB414" w14:textId="77777777" w:rsidR="0096423B" w:rsidRDefault="0096423B" w:rsidP="00EA0E06">
            <w:pPr>
              <w:pStyle w:val="Bullet2"/>
            </w:pPr>
            <w:r>
              <w:t>increasing interest expenses</w:t>
            </w:r>
          </w:p>
          <w:p w14:paraId="18455D69" w14:textId="7E72E6FD" w:rsidR="00306EDA" w:rsidRPr="000A05E1" w:rsidRDefault="00E12A65" w:rsidP="00EA0E06">
            <w:pPr>
              <w:pStyle w:val="Bullet2"/>
            </w:pPr>
            <w:r>
              <w:t>significant volatility in the State’s bond yields and equity markets</w:t>
            </w:r>
            <w:r w:rsidR="00DF44DD">
              <w:t>.</w:t>
            </w:r>
          </w:p>
        </w:tc>
      </w:tr>
    </w:tbl>
    <w:p w14:paraId="41C69CE8" w14:textId="77777777" w:rsidR="007F240F" w:rsidRPr="005E358D" w:rsidRDefault="007F240F" w:rsidP="007F240F">
      <w:pPr>
        <w:rPr>
          <w:sz w:val="4"/>
          <w:szCs w:val="4"/>
        </w:rPr>
      </w:pPr>
    </w:p>
    <w:p w14:paraId="578A517B" w14:textId="19147B30" w:rsidR="00C626D7" w:rsidRPr="00D21F22" w:rsidRDefault="00C11918" w:rsidP="008C3B2D">
      <w:pPr>
        <w:pStyle w:val="41Heading2"/>
        <w:rPr>
          <w:rFonts w:ascii="Public Sans" w:hAnsi="Public Sans"/>
          <w:szCs w:val="28"/>
        </w:rPr>
      </w:pPr>
      <w:r w:rsidRPr="00D21F22">
        <w:rPr>
          <w:rFonts w:ascii="Public Sans" w:hAnsi="Public Sans"/>
          <w:szCs w:val="28"/>
        </w:rPr>
        <w:t xml:space="preserve">Returning to a sustainable </w:t>
      </w:r>
      <w:r w:rsidR="007F06AA" w:rsidRPr="00033761">
        <w:rPr>
          <w:rFonts w:ascii="Public Sans" w:hAnsi="Public Sans"/>
          <w:szCs w:val="28"/>
        </w:rPr>
        <w:t xml:space="preserve">fiscal </w:t>
      </w:r>
      <w:r w:rsidRPr="00033761">
        <w:rPr>
          <w:rFonts w:ascii="Public Sans" w:hAnsi="Public Sans"/>
          <w:szCs w:val="28"/>
        </w:rPr>
        <w:t>positi</w:t>
      </w:r>
      <w:r w:rsidR="00283110" w:rsidRPr="00033761">
        <w:rPr>
          <w:rFonts w:ascii="Public Sans" w:hAnsi="Public Sans"/>
          <w:szCs w:val="28"/>
        </w:rPr>
        <w:t>on</w:t>
      </w:r>
    </w:p>
    <w:bookmarkEnd w:id="0"/>
    <w:p w14:paraId="3D1D39F3" w14:textId="45EE6E01" w:rsidR="00CA3B55" w:rsidRDefault="009E7436" w:rsidP="00EA0E06">
      <w:pPr>
        <w:pStyle w:val="BodyText"/>
      </w:pPr>
      <w:r w:rsidRPr="008A1D5F">
        <w:t xml:space="preserve">The State’s pathway to budget surplus reflects a significant turnaround in fiscal performance. </w:t>
      </w:r>
      <w:r w:rsidR="002C2531" w:rsidRPr="008A1D5F">
        <w:t>The operating deficit</w:t>
      </w:r>
      <w:r w:rsidR="004E0CE1" w:rsidRPr="008A1D5F">
        <w:t xml:space="preserve"> </w:t>
      </w:r>
      <w:r w:rsidR="00A11645" w:rsidRPr="008A1D5F">
        <w:t>narrowed from</w:t>
      </w:r>
      <w:r w:rsidR="00A11645" w:rsidRPr="0092003A">
        <w:t xml:space="preserve"> </w:t>
      </w:r>
      <w:r w:rsidR="004E0CE1" w:rsidRPr="008A1D5F">
        <w:t>$15.3 billion</w:t>
      </w:r>
      <w:r w:rsidR="002C2531" w:rsidRPr="008A1D5F">
        <w:t xml:space="preserve"> </w:t>
      </w:r>
      <w:r w:rsidR="00B865C1" w:rsidRPr="008A1D5F">
        <w:t>in 2021-22</w:t>
      </w:r>
      <w:r w:rsidR="002C2531" w:rsidRPr="008A1D5F">
        <w:t xml:space="preserve"> </w:t>
      </w:r>
      <w:r w:rsidR="00537D06" w:rsidRPr="008A1D5F">
        <w:t xml:space="preserve">to </w:t>
      </w:r>
      <w:r w:rsidR="00F148CF" w:rsidRPr="008A1D5F">
        <w:t>$</w:t>
      </w:r>
      <w:r w:rsidR="00AC4CC5" w:rsidRPr="008A1D5F">
        <w:t>10.7</w:t>
      </w:r>
      <w:r w:rsidR="00F148CF" w:rsidRPr="008A1D5F">
        <w:t xml:space="preserve"> billion</w:t>
      </w:r>
      <w:r w:rsidR="002C2531" w:rsidRPr="008A1D5F">
        <w:t xml:space="preserve"> </w:t>
      </w:r>
      <w:r w:rsidR="00F148CF" w:rsidRPr="008A1D5F">
        <w:t>in</w:t>
      </w:r>
      <w:r w:rsidR="002C2531" w:rsidRPr="008A1D5F">
        <w:t xml:space="preserve"> </w:t>
      </w:r>
      <w:r w:rsidR="00B865C1" w:rsidRPr="008A1D5F">
        <w:t>2023-24</w:t>
      </w:r>
      <w:r w:rsidR="00741378" w:rsidRPr="008A1D5F">
        <w:t xml:space="preserve">, </w:t>
      </w:r>
      <w:r w:rsidR="00F148CF" w:rsidRPr="008A1D5F">
        <w:t>then</w:t>
      </w:r>
      <w:r w:rsidR="00741378" w:rsidRPr="008A1D5F">
        <w:t xml:space="preserve"> </w:t>
      </w:r>
      <w:r w:rsidR="00F641BB">
        <w:t>improv</w:t>
      </w:r>
      <w:r w:rsidR="00741378" w:rsidRPr="008A1D5F">
        <w:t xml:space="preserve">ing to $5.7 billion </w:t>
      </w:r>
      <w:r w:rsidR="00C71253" w:rsidRPr="008A1D5F">
        <w:t>by</w:t>
      </w:r>
      <w:r w:rsidR="00741378" w:rsidRPr="008A1D5F">
        <w:t xml:space="preserve"> 2024-25, with a return to</w:t>
      </w:r>
      <w:r w:rsidR="00C71253" w:rsidRPr="008A1D5F">
        <w:t xml:space="preserve"> a budget</w:t>
      </w:r>
      <w:r w:rsidR="00741378" w:rsidRPr="008A1D5F">
        <w:t xml:space="preserve"> </w:t>
      </w:r>
      <w:r w:rsidR="00BD28C7" w:rsidRPr="008A1D5F">
        <w:t>surplus of</w:t>
      </w:r>
      <w:r w:rsidR="00C71253" w:rsidRPr="008A1D5F">
        <w:t xml:space="preserve"> $1.</w:t>
      </w:r>
      <w:r w:rsidR="4AB0B901" w:rsidRPr="008A1D5F">
        <w:t>1</w:t>
      </w:r>
      <w:r w:rsidR="00C71253" w:rsidRPr="008A1D5F">
        <w:t xml:space="preserve"> billion </w:t>
      </w:r>
      <w:r w:rsidR="00741378" w:rsidRPr="008A1D5F">
        <w:t>expected</w:t>
      </w:r>
      <w:r w:rsidR="00121004" w:rsidRPr="008A1D5F">
        <w:t xml:space="preserve"> by 2027-28. </w:t>
      </w:r>
    </w:p>
    <w:p w14:paraId="3195D679" w14:textId="3CF1D125" w:rsidR="00F835EC" w:rsidRDefault="00121004" w:rsidP="00EA0E06">
      <w:pPr>
        <w:pStyle w:val="BodyText"/>
      </w:pPr>
      <w:r w:rsidRPr="411F2202">
        <w:rPr>
          <w:lang w:val="en-US"/>
        </w:rPr>
        <w:t>This progress builds on the return to a cash operating surplus</w:t>
      </w:r>
      <w:r w:rsidR="00EF0922" w:rsidRPr="411F2202">
        <w:rPr>
          <w:lang w:val="en-US"/>
        </w:rPr>
        <w:t xml:space="preserve"> achieved in </w:t>
      </w:r>
      <w:r w:rsidR="00EF53F7" w:rsidRPr="411F2202">
        <w:rPr>
          <w:lang w:val="en-US"/>
        </w:rPr>
        <w:t>2023-24 and</w:t>
      </w:r>
      <w:r w:rsidR="00EF0922" w:rsidRPr="411F2202">
        <w:rPr>
          <w:lang w:val="en-US"/>
        </w:rPr>
        <w:t xml:space="preserve"> reflects </w:t>
      </w:r>
      <w:r w:rsidR="00E32C2A" w:rsidRPr="411F2202">
        <w:rPr>
          <w:lang w:val="en-US"/>
        </w:rPr>
        <w:t xml:space="preserve">the Government’s commitment to stabilising </w:t>
      </w:r>
      <w:r w:rsidR="000A29E8" w:rsidRPr="411F2202">
        <w:rPr>
          <w:lang w:val="en-US"/>
        </w:rPr>
        <w:t>the</w:t>
      </w:r>
      <w:r w:rsidR="000A0F31" w:rsidRPr="411F2202">
        <w:rPr>
          <w:lang w:val="en-US"/>
        </w:rPr>
        <w:t xml:space="preserve"> fiscal position while maintaining </w:t>
      </w:r>
      <w:r w:rsidR="006C694E" w:rsidRPr="411F2202">
        <w:rPr>
          <w:lang w:val="en-US"/>
        </w:rPr>
        <w:t>investment in essential services (</w:t>
      </w:r>
      <w:r w:rsidR="004D115D" w:rsidRPr="411F2202">
        <w:rPr>
          <w:lang w:val="en-US"/>
        </w:rPr>
        <w:t>s</w:t>
      </w:r>
      <w:r w:rsidR="006C694E" w:rsidRPr="411F2202">
        <w:rPr>
          <w:lang w:val="en-US"/>
        </w:rPr>
        <w:t>ee section 4.</w:t>
      </w:r>
      <w:r w:rsidR="001503A7" w:rsidRPr="411F2202">
        <w:rPr>
          <w:lang w:val="en-US"/>
        </w:rPr>
        <w:t>3</w:t>
      </w:r>
      <w:r w:rsidR="006C694E" w:rsidRPr="411F2202">
        <w:rPr>
          <w:lang w:val="en-US"/>
        </w:rPr>
        <w:t xml:space="preserve"> for more details).</w:t>
      </w:r>
    </w:p>
    <w:p w14:paraId="23E48E6B" w14:textId="563F9F3E" w:rsidR="00A850CC" w:rsidRPr="00F26C4E" w:rsidRDefault="00EB586A" w:rsidP="00EA0E06">
      <w:pPr>
        <w:pStyle w:val="BodyText"/>
      </w:pPr>
      <w:r w:rsidRPr="411F2202">
        <w:rPr>
          <w:lang w:val="en-US"/>
        </w:rPr>
        <w:t>The Government remains committed to</w:t>
      </w:r>
      <w:r w:rsidR="0083273D" w:rsidRPr="411F2202">
        <w:rPr>
          <w:lang w:val="en-US"/>
        </w:rPr>
        <w:t xml:space="preserve"> investing in</w:t>
      </w:r>
      <w:r w:rsidR="008768D1" w:rsidRPr="411F2202">
        <w:rPr>
          <w:lang w:val="en-US"/>
        </w:rPr>
        <w:t xml:space="preserve"> </w:t>
      </w:r>
      <w:r w:rsidR="00760A5B" w:rsidRPr="411F2202">
        <w:rPr>
          <w:lang w:val="en-US"/>
        </w:rPr>
        <w:t>high-quality</w:t>
      </w:r>
      <w:r w:rsidRPr="411F2202">
        <w:rPr>
          <w:lang w:val="en-US"/>
        </w:rPr>
        <w:t xml:space="preserve"> service</w:t>
      </w:r>
      <w:r w:rsidR="009F1EDB" w:rsidRPr="411F2202">
        <w:rPr>
          <w:lang w:val="en-US"/>
        </w:rPr>
        <w:t>s</w:t>
      </w:r>
      <w:r w:rsidR="00B74EA0" w:rsidRPr="411F2202">
        <w:rPr>
          <w:lang w:val="en-US"/>
        </w:rPr>
        <w:t xml:space="preserve">, including those </w:t>
      </w:r>
      <w:r w:rsidR="000F62DA" w:rsidRPr="411F2202">
        <w:rPr>
          <w:lang w:val="en-US"/>
        </w:rPr>
        <w:t>support</w:t>
      </w:r>
      <w:r w:rsidR="00B74EA0" w:rsidRPr="411F2202">
        <w:rPr>
          <w:lang w:val="en-US"/>
        </w:rPr>
        <w:t>ing</w:t>
      </w:r>
      <w:r w:rsidR="000F62DA" w:rsidRPr="411F2202">
        <w:rPr>
          <w:lang w:val="en-US"/>
        </w:rPr>
        <w:t xml:space="preserve"> vulnerable </w:t>
      </w:r>
      <w:r w:rsidR="00B74EA0" w:rsidRPr="411F2202">
        <w:rPr>
          <w:lang w:val="en-US"/>
        </w:rPr>
        <w:t>people,</w:t>
      </w:r>
      <w:r w:rsidR="00CD0C00" w:rsidRPr="411F2202">
        <w:rPr>
          <w:lang w:val="en-US"/>
        </w:rPr>
        <w:t xml:space="preserve"> over</w:t>
      </w:r>
      <w:r w:rsidR="00EF67F1" w:rsidRPr="411F2202">
        <w:rPr>
          <w:lang w:val="en-US"/>
        </w:rPr>
        <w:t xml:space="preserve"> the</w:t>
      </w:r>
      <w:r w:rsidR="00CD0C00" w:rsidRPr="411F2202">
        <w:rPr>
          <w:lang w:val="en-US"/>
        </w:rPr>
        <w:t xml:space="preserve"> four years to 2028-29</w:t>
      </w:r>
      <w:r w:rsidR="00F87D2A" w:rsidRPr="411F2202">
        <w:rPr>
          <w:lang w:val="en-US"/>
        </w:rPr>
        <w:t>,</w:t>
      </w:r>
      <w:r w:rsidR="00A850CC" w:rsidRPr="411F2202">
        <w:rPr>
          <w:lang w:val="en-US"/>
        </w:rPr>
        <w:t xml:space="preserve"> including: </w:t>
      </w:r>
    </w:p>
    <w:p w14:paraId="402B2ECC" w14:textId="77BA1CF3" w:rsidR="00E32C3B" w:rsidRPr="0092003A" w:rsidRDefault="006F3F1C" w:rsidP="00EA0E06">
      <w:pPr>
        <w:pStyle w:val="Bullet1"/>
      </w:pPr>
      <w:r w:rsidRPr="411F2202">
        <w:rPr>
          <w:lang w:val="en-US"/>
        </w:rPr>
        <w:t>additional expenditure</w:t>
      </w:r>
      <w:r w:rsidR="000C1BAD" w:rsidRPr="411F2202">
        <w:rPr>
          <w:lang w:val="en-US"/>
        </w:rPr>
        <w:t xml:space="preserve"> for NSW public schools following the NSW and Australian Government signing the Better and Fairer Schools Agreement ($4.8 billion </w:t>
      </w:r>
      <w:r w:rsidR="00666943" w:rsidRPr="411F2202">
        <w:rPr>
          <w:lang w:val="en-US"/>
        </w:rPr>
        <w:t xml:space="preserve">from the Australian Government plus additional </w:t>
      </w:r>
      <w:r w:rsidR="00BD45C1" w:rsidRPr="411F2202">
        <w:rPr>
          <w:lang w:val="en-US"/>
        </w:rPr>
        <w:t>NSW</w:t>
      </w:r>
      <w:r w:rsidR="00666943" w:rsidRPr="411F2202">
        <w:rPr>
          <w:lang w:val="en-US"/>
        </w:rPr>
        <w:t xml:space="preserve"> funded expenditure over ten years to 2034</w:t>
      </w:r>
      <w:r w:rsidR="005D3B77">
        <w:noBreakHyphen/>
      </w:r>
      <w:r w:rsidR="00814D46" w:rsidRPr="411F2202">
        <w:rPr>
          <w:lang w:val="en-US"/>
        </w:rPr>
        <w:t xml:space="preserve">35) </w:t>
      </w:r>
    </w:p>
    <w:p w14:paraId="6E68028D" w14:textId="776019EF" w:rsidR="00CA468A" w:rsidRPr="00146564" w:rsidRDefault="00A850CC" w:rsidP="00EA0E06">
      <w:pPr>
        <w:pStyle w:val="Bullet1"/>
      </w:pPr>
      <w:r w:rsidRPr="008A1D5F">
        <w:t>$</w:t>
      </w:r>
      <w:r w:rsidR="002B26E2" w:rsidRPr="008A1D5F">
        <w:t>1</w:t>
      </w:r>
      <w:r w:rsidR="008D14FF" w:rsidRPr="008A1D5F">
        <w:t>.2</w:t>
      </w:r>
      <w:r w:rsidR="002B26E2" w:rsidRPr="008A1D5F">
        <w:t xml:space="preserve"> </w:t>
      </w:r>
      <w:r w:rsidRPr="008A1D5F">
        <w:t xml:space="preserve">billion </w:t>
      </w:r>
      <w:r w:rsidR="279563D4" w:rsidRPr="008A1D5F">
        <w:t xml:space="preserve">child protection </w:t>
      </w:r>
      <w:r w:rsidR="00550DC3" w:rsidRPr="008A1D5F">
        <w:t xml:space="preserve">package to </w:t>
      </w:r>
      <w:r w:rsidR="4D79B943" w:rsidRPr="008A1D5F">
        <w:t>support major</w:t>
      </w:r>
      <w:r w:rsidR="00550DC3" w:rsidRPr="008A1D5F">
        <w:t xml:space="preserve"> reform </w:t>
      </w:r>
      <w:r w:rsidR="3F13A6AB" w:rsidRPr="008A1D5F">
        <w:t>of</w:t>
      </w:r>
      <w:r w:rsidR="00550DC3" w:rsidRPr="008A1D5F">
        <w:t xml:space="preserve"> </w:t>
      </w:r>
      <w:r w:rsidR="007952CA" w:rsidRPr="008A1D5F">
        <w:t xml:space="preserve">the </w:t>
      </w:r>
      <w:r w:rsidR="00CD0C00" w:rsidRPr="008A1D5F">
        <w:t>out-of-home care</w:t>
      </w:r>
      <w:r w:rsidR="007952CA" w:rsidRPr="008A1D5F">
        <w:t xml:space="preserve"> system</w:t>
      </w:r>
    </w:p>
    <w:p w14:paraId="2037EDE4" w14:textId="46C89F19" w:rsidR="00FA74DB" w:rsidRPr="0092003A" w:rsidRDefault="00FA74DB" w:rsidP="00EA0E06">
      <w:pPr>
        <w:pStyle w:val="Bullet1"/>
      </w:pPr>
      <w:r w:rsidRPr="008A1D5F">
        <w:lastRenderedPageBreak/>
        <w:t xml:space="preserve">$1.2 billion </w:t>
      </w:r>
      <w:r w:rsidR="001656B1" w:rsidRPr="008A1D5F">
        <w:t xml:space="preserve">investment in TAFE NSW </w:t>
      </w:r>
      <w:r w:rsidR="00572DAD" w:rsidRPr="008A1D5F">
        <w:t xml:space="preserve">to bring forward thousands of new construction trades and train the workforce for the growing care economy </w:t>
      </w:r>
    </w:p>
    <w:p w14:paraId="174B8008" w14:textId="73E6A2B2" w:rsidR="00A850CC" w:rsidRPr="00146564" w:rsidRDefault="008D6B21" w:rsidP="00EA0E06">
      <w:pPr>
        <w:pStyle w:val="Bullet1"/>
      </w:pPr>
      <w:r w:rsidRPr="0092003A">
        <w:t>$836</w:t>
      </w:r>
      <w:r w:rsidR="002D78D5" w:rsidRPr="0092003A">
        <w:t xml:space="preserve">.4 million </w:t>
      </w:r>
      <w:r w:rsidR="00A21593" w:rsidRPr="0092003A">
        <w:t xml:space="preserve">in 2025-26 </w:t>
      </w:r>
      <w:r w:rsidR="002D78D5" w:rsidRPr="0092003A">
        <w:t xml:space="preserve">for an Essential Health Services package to support core health services across the State </w:t>
      </w:r>
    </w:p>
    <w:p w14:paraId="467B688E" w14:textId="72C44070" w:rsidR="00A850CC" w:rsidRPr="0092003A" w:rsidRDefault="00B92FAD" w:rsidP="00EA0E06">
      <w:pPr>
        <w:pStyle w:val="Bullet1"/>
      </w:pPr>
      <w:r>
        <w:t>o</w:t>
      </w:r>
      <w:r w:rsidR="00F06700" w:rsidRPr="0092003A">
        <w:t xml:space="preserve">ver </w:t>
      </w:r>
      <w:r w:rsidR="00A850CC" w:rsidRPr="0092003A">
        <w:t>$</w:t>
      </w:r>
      <w:r w:rsidR="00762B41" w:rsidRPr="0092003A">
        <w:t>650</w:t>
      </w:r>
      <w:r w:rsidR="00D73B34" w:rsidRPr="0092003A">
        <w:t xml:space="preserve"> </w:t>
      </w:r>
      <w:r w:rsidR="001C65D1" w:rsidRPr="0092003A">
        <w:t xml:space="preserve">million </w:t>
      </w:r>
      <w:r w:rsidR="00230905" w:rsidRPr="0092003A">
        <w:t>to support</w:t>
      </w:r>
      <w:r w:rsidR="00153A35" w:rsidRPr="0092003A">
        <w:t xml:space="preserve"> </w:t>
      </w:r>
      <w:r w:rsidR="00D73CA3" w:rsidRPr="0092003A">
        <w:t xml:space="preserve">victim survivors </w:t>
      </w:r>
      <w:r w:rsidR="007C37D0" w:rsidRPr="0092003A">
        <w:t>and provide</w:t>
      </w:r>
      <w:r w:rsidR="00763F4B" w:rsidRPr="0092003A">
        <w:t xml:space="preserve"> better access to justice across N</w:t>
      </w:r>
      <w:r w:rsidR="00CB5B8F" w:rsidRPr="0092003A">
        <w:t xml:space="preserve">ew </w:t>
      </w:r>
      <w:r w:rsidR="00763F4B" w:rsidRPr="0092003A">
        <w:t>S</w:t>
      </w:r>
      <w:r w:rsidR="00CB5B8F" w:rsidRPr="0092003A">
        <w:t xml:space="preserve">outh </w:t>
      </w:r>
      <w:r w:rsidR="00763F4B" w:rsidRPr="0092003A">
        <w:t>W</w:t>
      </w:r>
      <w:r w:rsidR="00CB5B8F" w:rsidRPr="0092003A">
        <w:t>ales</w:t>
      </w:r>
      <w:r>
        <w:t>.</w:t>
      </w:r>
    </w:p>
    <w:p w14:paraId="575DCC9D" w14:textId="61CCED35" w:rsidR="009201D9" w:rsidRDefault="00CC4909" w:rsidP="00EA0E06">
      <w:pPr>
        <w:pStyle w:val="BodyText"/>
      </w:pPr>
      <w:r w:rsidRPr="411F2202">
        <w:rPr>
          <w:lang w:val="en-US"/>
        </w:rPr>
        <w:t xml:space="preserve">The </w:t>
      </w:r>
      <w:r w:rsidR="00935B19" w:rsidRPr="411F2202">
        <w:rPr>
          <w:lang w:val="en-US"/>
        </w:rPr>
        <w:t>State</w:t>
      </w:r>
      <w:r w:rsidRPr="411F2202">
        <w:rPr>
          <w:lang w:val="en-US"/>
        </w:rPr>
        <w:t xml:space="preserve"> is also </w:t>
      </w:r>
      <w:r w:rsidR="009201D9" w:rsidRPr="411F2202">
        <w:rPr>
          <w:lang w:val="en-US"/>
        </w:rPr>
        <w:t xml:space="preserve">continuing to invest in outcome-based partnerships with regional First Nations organisations to advance education and cultural connection outcomes for First Nations girls and partnering with the Australian Government to </w:t>
      </w:r>
      <w:r w:rsidR="1A94451B" w:rsidRPr="411F2202">
        <w:rPr>
          <w:lang w:val="en-US"/>
        </w:rPr>
        <w:t>co</w:t>
      </w:r>
      <w:r w:rsidR="00EF67F1" w:rsidRPr="411F2202">
        <w:rPr>
          <w:lang w:val="en-US"/>
        </w:rPr>
        <w:t>-</w:t>
      </w:r>
      <w:r w:rsidR="1A94451B" w:rsidRPr="411F2202">
        <w:rPr>
          <w:lang w:val="en-US"/>
        </w:rPr>
        <w:t>fund</w:t>
      </w:r>
      <w:r w:rsidR="009201D9" w:rsidRPr="411F2202">
        <w:rPr>
          <w:lang w:val="en-US"/>
        </w:rPr>
        <w:t xml:space="preserve"> an initiative supporting the entry of disengaged youth into education, training and employment.</w:t>
      </w:r>
    </w:p>
    <w:p w14:paraId="23760C77" w14:textId="23FC5F31" w:rsidR="00A07589" w:rsidRPr="0092003A" w:rsidRDefault="00A07589" w:rsidP="00EA0E06">
      <w:pPr>
        <w:pStyle w:val="BodyText"/>
      </w:pPr>
      <w:r w:rsidRPr="411F2202">
        <w:rPr>
          <w:lang w:val="en-US"/>
        </w:rPr>
        <w:t>The NSW Government has been able to make record investments in rebuilding essential services by maintaining responsible expense growth (</w:t>
      </w:r>
      <w:r w:rsidR="00AA24A7" w:rsidRPr="411F2202">
        <w:rPr>
          <w:lang w:val="en-US"/>
        </w:rPr>
        <w:t>s</w:t>
      </w:r>
      <w:r w:rsidRPr="411F2202">
        <w:rPr>
          <w:lang w:val="en-US"/>
        </w:rPr>
        <w:t xml:space="preserve">ee Chapter </w:t>
      </w:r>
      <w:r w:rsidR="007D6164" w:rsidRPr="411F2202">
        <w:rPr>
          <w:lang w:val="en-US"/>
        </w:rPr>
        <w:t xml:space="preserve">7 Recurrent </w:t>
      </w:r>
      <w:r w:rsidR="009A14C5" w:rsidRPr="411F2202">
        <w:rPr>
          <w:lang w:val="en-US"/>
        </w:rPr>
        <w:t>e</w:t>
      </w:r>
      <w:r w:rsidR="007D6164" w:rsidRPr="411F2202">
        <w:rPr>
          <w:lang w:val="en-US"/>
        </w:rPr>
        <w:t>xpenditure</w:t>
      </w:r>
      <w:r w:rsidRPr="411F2202">
        <w:rPr>
          <w:lang w:val="en-US"/>
        </w:rPr>
        <w:t xml:space="preserve">), while managing budget pressures. </w:t>
      </w:r>
    </w:p>
    <w:p w14:paraId="3D5FD751" w14:textId="77777777" w:rsidR="008C1ADF" w:rsidRPr="00D9285A" w:rsidRDefault="008C1ADF" w:rsidP="005D3B77">
      <w:pPr>
        <w:rPr>
          <w:sz w:val="10"/>
          <w:szCs w:val="10"/>
        </w:rPr>
      </w:pPr>
    </w:p>
    <w:tbl>
      <w:tblPr>
        <w:tblW w:w="9639" w:type="dxa"/>
        <w:shd w:val="clear" w:color="auto" w:fill="F2F2F2" w:themeFill="background1" w:themeFillShade="F2"/>
        <w:tblLayout w:type="fixed"/>
        <w:tblLook w:val="0000" w:firstRow="0" w:lastRow="0" w:firstColumn="0" w:lastColumn="0" w:noHBand="0" w:noVBand="0"/>
        <w:tblCaption w:val="Box 1.3: Investing to reduce domestic and family violence"/>
        <w:tblDescription w:val="Box 1.3: Investing to reduce domestic and family violence"/>
      </w:tblPr>
      <w:tblGrid>
        <w:gridCol w:w="9639"/>
      </w:tblGrid>
      <w:tr w:rsidR="008C1ADF" w:rsidRPr="005F5B5D" w14:paraId="73232BE3" w14:textId="77777777" w:rsidTr="00F15E5C">
        <w:trPr>
          <w:trHeight w:val="8677"/>
        </w:trPr>
        <w:tc>
          <w:tcPr>
            <w:tcW w:w="9639" w:type="dxa"/>
            <w:shd w:val="clear" w:color="auto" w:fill="F2F2F2" w:themeFill="accent5" w:themeFillTint="33"/>
          </w:tcPr>
          <w:p w14:paraId="75F43CAE" w14:textId="77777777" w:rsidR="008C1ADF" w:rsidRPr="004D72DA" w:rsidRDefault="008C1ADF" w:rsidP="00C2056E">
            <w:pPr>
              <w:pStyle w:val="Box4XBoxHeading"/>
              <w:rPr>
                <w:rFonts w:ascii="Public Sans" w:hAnsi="Public Sans"/>
                <w:szCs w:val="22"/>
              </w:rPr>
            </w:pPr>
            <w:r w:rsidRPr="004D72DA">
              <w:rPr>
                <w:rFonts w:ascii="Public Sans" w:hAnsi="Public Sans"/>
                <w:szCs w:val="22"/>
              </w:rPr>
              <w:t>Managing expense growth</w:t>
            </w:r>
          </w:p>
          <w:p w14:paraId="35C8E82E" w14:textId="4A6A71D9" w:rsidR="008C1ADF" w:rsidRPr="004D72DA" w:rsidRDefault="008C1ADF" w:rsidP="00EA0E06">
            <w:pPr>
              <w:pStyle w:val="BodyText"/>
            </w:pPr>
            <w:r w:rsidRPr="004D72DA">
              <w:t>Between 2011-12 and 2023-24, expenses grew at an average rate of 6.3 per cent. In contrast, expense growth is projected to average 2.4 per cent over the five years to 2028</w:t>
            </w:r>
            <w:r w:rsidR="00B17A40">
              <w:noBreakHyphen/>
            </w:r>
            <w:r w:rsidRPr="004D72DA">
              <w:t xml:space="preserve">29. Managing expense growth is a primary lever in returning the Budget to a more sustainable position, while still accommodating insurance and natural disaster expenses. </w:t>
            </w:r>
          </w:p>
          <w:p w14:paraId="7780080C" w14:textId="0A08467A" w:rsidR="008C1ADF" w:rsidRPr="004D72DA" w:rsidRDefault="008C1ADF" w:rsidP="00EA0E06">
            <w:pPr>
              <w:pStyle w:val="BodyText"/>
            </w:pPr>
            <w:r w:rsidRPr="004D72DA">
              <w:t xml:space="preserve">In the first half of 2025, legislation to reduce claims farming has had some impact on insurance expenses. Future reforms to workers’ compensation, if accepted, are likely to reduce future deterioration in the workers’ compensation scheme. New investments in the Reconstruction Authority will support increased confidence in the profile of Australian Government reimbursements </w:t>
            </w:r>
            <w:r w:rsidRPr="004D72DA" w:rsidDel="00DD463B">
              <w:t>unde</w:t>
            </w:r>
            <w:r w:rsidRPr="004D72DA">
              <w:t>r the Disaster Recovery Funding Arrangements. This strong focus will see expense growth in New South Wales fall below other states (see</w:t>
            </w:r>
            <w:r w:rsidR="00B17A40">
              <w:t> </w:t>
            </w:r>
            <w:r w:rsidRPr="004D72DA">
              <w:t>Chart</w:t>
            </w:r>
            <w:r w:rsidR="00B17A40">
              <w:t> </w:t>
            </w:r>
            <w:r w:rsidRPr="004D72DA">
              <w:t>4.</w:t>
            </w:r>
            <w:r w:rsidR="00F85114" w:rsidRPr="004D72DA">
              <w:t>1</w:t>
            </w:r>
            <w:r w:rsidRPr="004D72DA">
              <w:t xml:space="preserve">). </w:t>
            </w:r>
          </w:p>
          <w:p w14:paraId="05C19E50" w14:textId="77777777" w:rsidR="008C1ADF" w:rsidRPr="00146564" w:rsidRDefault="008C1ADF" w:rsidP="00F15E5C">
            <w:pPr>
              <w:pStyle w:val="Chart4X"/>
              <w:spacing w:before="120" w:after="0"/>
            </w:pPr>
            <w:r w:rsidRPr="004D72DA">
              <w:t>Annual expense growth (NSW and average of all other Australian</w:t>
            </w:r>
            <w:r w:rsidRPr="00146564">
              <w:t xml:space="preserve"> </w:t>
            </w:r>
            <w:r>
              <w:t>s</w:t>
            </w:r>
            <w:r w:rsidRPr="00146564">
              <w:t xml:space="preserve">tates)  </w:t>
            </w:r>
          </w:p>
          <w:p w14:paraId="6FE3108B" w14:textId="77777777" w:rsidR="008C1ADF" w:rsidRDefault="008C1ADF" w:rsidP="00B17A40">
            <w:pPr>
              <w:jc w:val="center"/>
            </w:pPr>
            <w:r>
              <w:rPr>
                <w:noProof/>
              </w:rPr>
              <w:drawing>
                <wp:inline distT="0" distB="0" distL="0" distR="0" wp14:anchorId="2757A17F" wp14:editId="66F1357B">
                  <wp:extent cx="5498432" cy="2923674"/>
                  <wp:effectExtent l="0" t="0" r="7620" b="0"/>
                  <wp:docPr id="1708246075" name="Chart 1" descr="Chart 4.1: Annual expense growth (NSW and average of all other Australian states)  ">
                    <a:extLst xmlns:a="http://schemas.openxmlformats.org/drawingml/2006/main">
                      <a:ext uri="{FF2B5EF4-FFF2-40B4-BE49-F238E27FC236}">
                        <a16:creationId xmlns:a16="http://schemas.microsoft.com/office/drawing/2014/main" id="{11C409C6-83A5-1534-D38F-4AC43B12D3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BA0A1F" w14:textId="208E598D" w:rsidR="006D3D1B" w:rsidRPr="005E358D" w:rsidRDefault="008C1ADF" w:rsidP="00C2056E">
            <w:pPr>
              <w:rPr>
                <w:rFonts w:ascii="Public Sans" w:hAnsi="Public Sans"/>
                <w:i/>
                <w:iCs/>
                <w:sz w:val="16"/>
                <w:szCs w:val="16"/>
                <w:lang w:val="en-AU"/>
              </w:rPr>
            </w:pPr>
            <w:r w:rsidRPr="00E4727C">
              <w:rPr>
                <w:rFonts w:ascii="Public Sans" w:hAnsi="Public Sans"/>
                <w:i/>
                <w:iCs/>
                <w:sz w:val="16"/>
                <w:szCs w:val="16"/>
                <w:lang w:val="en-AU"/>
              </w:rPr>
              <w:t xml:space="preserve">Source: </w:t>
            </w:r>
            <w:r>
              <w:rPr>
                <w:rFonts w:ascii="Public Sans" w:hAnsi="Public Sans"/>
                <w:i/>
                <w:iCs/>
                <w:sz w:val="16"/>
                <w:szCs w:val="16"/>
                <w:lang w:val="en-AU"/>
              </w:rPr>
              <w:t>Latest Budget Papers or Half-Yearly Reviews of Australian States</w:t>
            </w:r>
            <w:r w:rsidR="006864C3">
              <w:rPr>
                <w:rFonts w:ascii="Public Sans" w:hAnsi="Public Sans"/>
                <w:i/>
                <w:iCs/>
                <w:sz w:val="16"/>
                <w:szCs w:val="16"/>
                <w:lang w:val="en-AU"/>
              </w:rPr>
              <w:t xml:space="preserve"> as at 11 June 2025</w:t>
            </w:r>
            <w:r>
              <w:rPr>
                <w:rFonts w:ascii="Public Sans" w:hAnsi="Public Sans"/>
                <w:i/>
                <w:iCs/>
                <w:sz w:val="16"/>
                <w:szCs w:val="16"/>
                <w:lang w:val="en-AU"/>
              </w:rPr>
              <w:t xml:space="preserve">; </w:t>
            </w:r>
            <w:r w:rsidRPr="00E4727C">
              <w:rPr>
                <w:rFonts w:ascii="Public Sans" w:hAnsi="Public Sans"/>
                <w:i/>
                <w:iCs/>
                <w:sz w:val="16"/>
                <w:szCs w:val="16"/>
                <w:lang w:val="en-AU"/>
              </w:rPr>
              <w:t>NSW Treasury</w:t>
            </w:r>
          </w:p>
        </w:tc>
      </w:tr>
    </w:tbl>
    <w:p w14:paraId="1A68561D" w14:textId="77777777" w:rsidR="006D3D1B" w:rsidRPr="00D9285A" w:rsidRDefault="006D3D1B" w:rsidP="00FB3478">
      <w:pPr>
        <w:rPr>
          <w:sz w:val="6"/>
          <w:szCs w:val="6"/>
        </w:rPr>
      </w:pPr>
    </w:p>
    <w:p w14:paraId="62F40573" w14:textId="6B4F497A" w:rsidR="008C1ADF" w:rsidRPr="004D72DA" w:rsidRDefault="008C1ADF" w:rsidP="00EA0E06">
      <w:pPr>
        <w:pStyle w:val="BodyText"/>
      </w:pPr>
      <w:r w:rsidRPr="411F2202">
        <w:rPr>
          <w:lang w:val="en-US"/>
        </w:rPr>
        <w:t xml:space="preserve">The 2024-25 budget result has been reduced relative to the 2024-25 Half-Yearly Review due to </w:t>
      </w:r>
      <w:r w:rsidR="5E2BAA33" w:rsidRPr="411F2202">
        <w:rPr>
          <w:lang w:val="en-US"/>
        </w:rPr>
        <w:t xml:space="preserve">an </w:t>
      </w:r>
      <w:r w:rsidR="006254E4" w:rsidRPr="411F2202">
        <w:rPr>
          <w:lang w:val="en-US"/>
        </w:rPr>
        <w:t>$87</w:t>
      </w:r>
      <w:r w:rsidR="00CD48B5" w:rsidRPr="411F2202">
        <w:rPr>
          <w:lang w:val="en-US"/>
        </w:rPr>
        <w:t>9</w:t>
      </w:r>
      <w:r w:rsidR="00671463" w:rsidRPr="411F2202">
        <w:rPr>
          <w:lang w:val="en-US"/>
        </w:rPr>
        <w:t>.</w:t>
      </w:r>
      <w:r w:rsidR="00CD48B5" w:rsidRPr="411F2202">
        <w:rPr>
          <w:lang w:val="en-US"/>
        </w:rPr>
        <w:t>6</w:t>
      </w:r>
      <w:r w:rsidR="006254E4" w:rsidRPr="411F2202">
        <w:rPr>
          <w:lang w:val="en-US"/>
        </w:rPr>
        <w:t xml:space="preserve"> million</w:t>
      </w:r>
      <w:r w:rsidR="004C2ADB" w:rsidRPr="411F2202">
        <w:rPr>
          <w:lang w:val="en-US"/>
        </w:rPr>
        <w:t xml:space="preserve"> </w:t>
      </w:r>
      <w:r w:rsidR="26C193F0" w:rsidRPr="411F2202">
        <w:rPr>
          <w:lang w:val="en-US"/>
        </w:rPr>
        <w:t xml:space="preserve">increase </w:t>
      </w:r>
      <w:r w:rsidR="1690A094" w:rsidRPr="411F2202">
        <w:rPr>
          <w:lang w:val="en-US"/>
        </w:rPr>
        <w:t>in</w:t>
      </w:r>
      <w:r w:rsidR="608278F3" w:rsidRPr="411F2202">
        <w:rPr>
          <w:lang w:val="en-US"/>
        </w:rPr>
        <w:t xml:space="preserve"> </w:t>
      </w:r>
      <w:r w:rsidR="739BA422" w:rsidRPr="411F2202">
        <w:rPr>
          <w:lang w:val="en-US"/>
        </w:rPr>
        <w:t>insurance</w:t>
      </w:r>
      <w:r w:rsidR="004C2ADB" w:rsidRPr="411F2202">
        <w:rPr>
          <w:lang w:val="en-US"/>
        </w:rPr>
        <w:t xml:space="preserve"> expenses</w:t>
      </w:r>
      <w:r w:rsidR="00AF2C4B" w:rsidRPr="411F2202">
        <w:rPr>
          <w:rStyle w:val="FootnoteReference"/>
          <w:lang w:val="en-US"/>
        </w:rPr>
        <w:footnoteReference w:id="2"/>
      </w:r>
      <w:r w:rsidR="004C2ADB" w:rsidRPr="411F2202">
        <w:rPr>
          <w:lang w:val="en-US"/>
        </w:rPr>
        <w:t xml:space="preserve"> </w:t>
      </w:r>
      <w:r w:rsidR="00BF4BE3" w:rsidRPr="411F2202">
        <w:rPr>
          <w:lang w:val="en-US"/>
        </w:rPr>
        <w:t xml:space="preserve">as well as </w:t>
      </w:r>
      <w:r w:rsidRPr="411F2202">
        <w:rPr>
          <w:lang w:val="en-US"/>
        </w:rPr>
        <w:t xml:space="preserve">a $530.1 million decrease in revenues primarily driven by </w:t>
      </w:r>
      <w:r w:rsidR="00CF67C0" w:rsidRPr="411F2202">
        <w:rPr>
          <w:lang w:val="en-US"/>
        </w:rPr>
        <w:t>the reprofiling of Australian Government funding for natural disaster relief.</w:t>
      </w:r>
    </w:p>
    <w:p w14:paraId="7A51A4C8" w14:textId="24328C05" w:rsidR="00464DC9" w:rsidRPr="004D72DA" w:rsidRDefault="00F40712" w:rsidP="00EA0E06">
      <w:pPr>
        <w:pStyle w:val="BodyText"/>
      </w:pPr>
      <w:r w:rsidRPr="411F2202">
        <w:rPr>
          <w:lang w:val="en-US"/>
        </w:rPr>
        <w:lastRenderedPageBreak/>
        <w:t xml:space="preserve">Over the forward estimates, revenues are projected to improve supported by a better outlook for GST. </w:t>
      </w:r>
      <w:r w:rsidR="00D9700B" w:rsidRPr="411F2202">
        <w:rPr>
          <w:lang w:val="en-US"/>
        </w:rPr>
        <w:t>The State’s GST relativity will fall from 0.87 in 2024-25 to 0.86 in 2025-26, but this fall is less than previously forecast</w:t>
      </w:r>
      <w:r w:rsidR="00CF31B5" w:rsidRPr="411F2202">
        <w:rPr>
          <w:lang w:val="en-US"/>
        </w:rPr>
        <w:t xml:space="preserve"> </w:t>
      </w:r>
      <w:r w:rsidR="008A1219" w:rsidRPr="411F2202">
        <w:rPr>
          <w:lang w:val="en-US"/>
        </w:rPr>
        <w:t>at</w:t>
      </w:r>
      <w:r w:rsidR="00CF31B5" w:rsidRPr="411F2202">
        <w:rPr>
          <w:lang w:val="en-US"/>
        </w:rPr>
        <w:t xml:space="preserve"> the 2024-25 </w:t>
      </w:r>
      <w:r w:rsidRPr="411F2202">
        <w:rPr>
          <w:lang w:val="en-US"/>
        </w:rPr>
        <w:t>Half-Yearly Review</w:t>
      </w:r>
      <w:r w:rsidR="00C10473" w:rsidRPr="411F2202">
        <w:rPr>
          <w:lang w:val="en-US"/>
        </w:rPr>
        <w:t>.</w:t>
      </w:r>
      <w:r w:rsidR="00464DC9" w:rsidRPr="411F2202">
        <w:rPr>
          <w:lang w:val="en-US"/>
        </w:rPr>
        <w:t xml:space="preserve"> For more detail</w:t>
      </w:r>
      <w:r w:rsidR="7097E72F" w:rsidRPr="411F2202">
        <w:rPr>
          <w:lang w:val="en-US"/>
        </w:rPr>
        <w:t>,</w:t>
      </w:r>
      <w:r w:rsidR="00464DC9" w:rsidRPr="411F2202">
        <w:rPr>
          <w:lang w:val="en-US"/>
        </w:rPr>
        <w:t xml:space="preserve"> see Chapter </w:t>
      </w:r>
      <w:r w:rsidR="0091184B" w:rsidRPr="411F2202">
        <w:rPr>
          <w:lang w:val="en-US"/>
        </w:rPr>
        <w:t xml:space="preserve">6 Federal </w:t>
      </w:r>
      <w:r w:rsidR="00104409" w:rsidRPr="411F2202">
        <w:rPr>
          <w:lang w:val="en-US"/>
        </w:rPr>
        <w:t>f</w:t>
      </w:r>
      <w:r w:rsidR="0091184B" w:rsidRPr="411F2202">
        <w:rPr>
          <w:lang w:val="en-US"/>
        </w:rPr>
        <w:t xml:space="preserve">inancial </w:t>
      </w:r>
      <w:r w:rsidR="00104409" w:rsidRPr="411F2202">
        <w:rPr>
          <w:lang w:val="en-US"/>
        </w:rPr>
        <w:t>r</w:t>
      </w:r>
      <w:r w:rsidR="0091184B" w:rsidRPr="411F2202">
        <w:rPr>
          <w:lang w:val="en-US"/>
        </w:rPr>
        <w:t>elations</w:t>
      </w:r>
      <w:r w:rsidR="00464DC9" w:rsidRPr="411F2202">
        <w:rPr>
          <w:lang w:val="en-US"/>
        </w:rPr>
        <w:t>.</w:t>
      </w:r>
    </w:p>
    <w:p w14:paraId="78704345" w14:textId="65A2291D" w:rsidR="008C1ADF" w:rsidRPr="004D72DA" w:rsidRDefault="00CF68DE" w:rsidP="00EA0E06">
      <w:pPr>
        <w:pStyle w:val="BodyText"/>
      </w:pPr>
      <w:r w:rsidRPr="004D72DA">
        <w:t>The budget result in 2026-27 and 2027-28 is projected to improve since both the 2024</w:t>
      </w:r>
      <w:r w:rsidR="008A338E">
        <w:noBreakHyphen/>
      </w:r>
      <w:r w:rsidRPr="004D72DA">
        <w:t>25</w:t>
      </w:r>
      <w:r w:rsidR="008A338E">
        <w:t> </w:t>
      </w:r>
      <w:r w:rsidRPr="004D72DA">
        <w:t xml:space="preserve">Budget and 2024-25 Half-Yearly Review </w:t>
      </w:r>
      <w:r w:rsidR="008C1ADF" w:rsidRPr="004D72DA">
        <w:t xml:space="preserve">(see Table 4.1). </w:t>
      </w:r>
    </w:p>
    <w:p w14:paraId="61649B69" w14:textId="459B199E" w:rsidR="00A26E97" w:rsidRPr="007B2AE4" w:rsidRDefault="00A26E97" w:rsidP="00A26E97">
      <w:pPr>
        <w:pStyle w:val="Table4X"/>
        <w:rPr>
          <w:rFonts w:cs="Arial"/>
          <w:sz w:val="6"/>
          <w:szCs w:val="6"/>
        </w:rPr>
      </w:pPr>
      <w:r w:rsidRPr="007B2AE4">
        <w:t>Reconciliation of 2024-25 Budget to 2025-26 Budget</w:t>
      </w:r>
      <w:r w:rsidRPr="007B2AE4">
        <w:rPr>
          <w:vertAlign w:val="superscript"/>
        </w:rPr>
        <w:t>(a)</w:t>
      </w:r>
      <w:r w:rsidRPr="007B2AE4">
        <w:t xml:space="preserve"> </w:t>
      </w:r>
    </w:p>
    <w:p w14:paraId="6BAAFBFC" w14:textId="77777777" w:rsidR="00A26E97" w:rsidRPr="00F07411" w:rsidRDefault="00A26E97" w:rsidP="00A26E97">
      <w:pPr>
        <w:rPr>
          <w:sz w:val="6"/>
          <w:szCs w:val="6"/>
        </w:rPr>
      </w:pPr>
    </w:p>
    <w:tbl>
      <w:tblPr>
        <w:tblpPr w:leftFromText="180" w:rightFromText="180" w:vertAnchor="text" w:horzAnchor="margin" w:tblpY="-59"/>
        <w:tblW w:w="9533" w:type="dxa"/>
        <w:tblLayout w:type="fixed"/>
        <w:tblLook w:val="04A0" w:firstRow="1" w:lastRow="0" w:firstColumn="1" w:lastColumn="0" w:noHBand="0" w:noVBand="1"/>
        <w:tblCaption w:val="Table 4.1: Reconciliation of 2024-25 Budget to 2025-26 Budget"/>
      </w:tblPr>
      <w:tblGrid>
        <w:gridCol w:w="4765"/>
        <w:gridCol w:w="953"/>
        <w:gridCol w:w="953"/>
        <w:gridCol w:w="953"/>
        <w:gridCol w:w="954"/>
        <w:gridCol w:w="955"/>
      </w:tblGrid>
      <w:tr w:rsidR="00A26E97" w:rsidRPr="00DE4207" w14:paraId="0017C66C" w14:textId="77777777" w:rsidTr="00C2056E">
        <w:trPr>
          <w:trHeight w:val="283"/>
        </w:trPr>
        <w:tc>
          <w:tcPr>
            <w:tcW w:w="4765" w:type="dxa"/>
            <w:tcBorders>
              <w:top w:val="nil"/>
              <w:left w:val="nil"/>
              <w:bottom w:val="nil"/>
              <w:right w:val="nil"/>
            </w:tcBorders>
            <w:shd w:val="clear" w:color="auto" w:fill="EBEBEB"/>
            <w:noWrap/>
            <w:hideMark/>
          </w:tcPr>
          <w:p w14:paraId="1991E185" w14:textId="77777777" w:rsidR="00A26E97" w:rsidRPr="00542E89" w:rsidRDefault="00A26E97" w:rsidP="00C2056E">
            <w:pPr>
              <w:keepNext/>
              <w:jc w:val="center"/>
              <w:rPr>
                <w:rFonts w:ascii="Public Sans" w:hAnsi="Public Sans" w:cs="Arial"/>
                <w:sz w:val="17"/>
                <w:szCs w:val="17"/>
                <w:lang w:val="en-AU" w:eastAsia="en-AU"/>
              </w:rPr>
            </w:pPr>
            <w:r w:rsidRPr="00542E89">
              <w:rPr>
                <w:rFonts w:ascii="Public Sans" w:hAnsi="Public Sans" w:cs="Arial"/>
                <w:sz w:val="17"/>
                <w:szCs w:val="17"/>
                <w:lang w:val="en-AU" w:eastAsia="en-AU"/>
              </w:rPr>
              <w:t> </w:t>
            </w:r>
          </w:p>
        </w:tc>
        <w:tc>
          <w:tcPr>
            <w:tcW w:w="953" w:type="dxa"/>
            <w:tcBorders>
              <w:top w:val="nil"/>
              <w:left w:val="nil"/>
              <w:bottom w:val="nil"/>
              <w:right w:val="nil"/>
            </w:tcBorders>
            <w:shd w:val="clear" w:color="auto" w:fill="EBEBEB"/>
            <w:noWrap/>
            <w:vAlign w:val="bottom"/>
            <w:hideMark/>
          </w:tcPr>
          <w:p w14:paraId="0C855F3F" w14:textId="77777777" w:rsidR="00A26E97" w:rsidRPr="00542E89" w:rsidRDefault="00A26E97" w:rsidP="00C2056E">
            <w:pPr>
              <w:keepNext/>
              <w:jc w:val="center"/>
              <w:rPr>
                <w:rFonts w:ascii="Public Sans" w:hAnsi="Public Sans" w:cs="Arial"/>
                <w:sz w:val="17"/>
                <w:szCs w:val="17"/>
                <w:lang w:val="en-AU" w:eastAsia="en-AU"/>
              </w:rPr>
            </w:pPr>
            <w:r>
              <w:rPr>
                <w:rFonts w:ascii="Public Sans" w:hAnsi="Public Sans" w:cs="Arial"/>
                <w:sz w:val="17"/>
                <w:szCs w:val="17"/>
                <w:lang w:val="en-AU" w:eastAsia="en-AU"/>
              </w:rPr>
              <w:t>2024-25</w:t>
            </w:r>
          </w:p>
        </w:tc>
        <w:tc>
          <w:tcPr>
            <w:tcW w:w="953" w:type="dxa"/>
            <w:tcBorders>
              <w:top w:val="nil"/>
              <w:left w:val="nil"/>
              <w:bottom w:val="nil"/>
              <w:right w:val="nil"/>
            </w:tcBorders>
            <w:shd w:val="clear" w:color="auto" w:fill="EBEBEB"/>
            <w:noWrap/>
            <w:vAlign w:val="bottom"/>
            <w:hideMark/>
          </w:tcPr>
          <w:p w14:paraId="73A3A2A4" w14:textId="77777777" w:rsidR="00A26E97" w:rsidRPr="00542E89" w:rsidRDefault="00A26E97" w:rsidP="00C2056E">
            <w:pPr>
              <w:keepNext/>
              <w:jc w:val="center"/>
              <w:rPr>
                <w:rFonts w:ascii="Public Sans" w:hAnsi="Public Sans" w:cs="Arial"/>
                <w:sz w:val="17"/>
                <w:szCs w:val="17"/>
                <w:lang w:val="en-AU" w:eastAsia="en-AU"/>
              </w:rPr>
            </w:pPr>
            <w:r>
              <w:rPr>
                <w:rFonts w:ascii="Public Sans" w:hAnsi="Public Sans" w:cs="Arial"/>
                <w:sz w:val="17"/>
                <w:szCs w:val="17"/>
                <w:lang w:val="en-AU" w:eastAsia="en-AU"/>
              </w:rPr>
              <w:t>2025-26</w:t>
            </w:r>
          </w:p>
        </w:tc>
        <w:tc>
          <w:tcPr>
            <w:tcW w:w="953" w:type="dxa"/>
            <w:tcBorders>
              <w:top w:val="nil"/>
              <w:left w:val="nil"/>
              <w:bottom w:val="nil"/>
              <w:right w:val="nil"/>
            </w:tcBorders>
            <w:shd w:val="clear" w:color="auto" w:fill="EBEBEB"/>
            <w:noWrap/>
            <w:vAlign w:val="bottom"/>
            <w:hideMark/>
          </w:tcPr>
          <w:p w14:paraId="67A3549A" w14:textId="77777777" w:rsidR="00A26E97" w:rsidRPr="00542E89" w:rsidRDefault="00A26E97" w:rsidP="00C2056E">
            <w:pPr>
              <w:keepNext/>
              <w:jc w:val="center"/>
              <w:rPr>
                <w:rFonts w:ascii="Public Sans" w:hAnsi="Public Sans" w:cs="Arial"/>
                <w:sz w:val="17"/>
                <w:szCs w:val="17"/>
                <w:lang w:val="en-AU" w:eastAsia="en-AU"/>
              </w:rPr>
            </w:pPr>
            <w:r>
              <w:rPr>
                <w:rFonts w:ascii="Public Sans" w:hAnsi="Public Sans" w:cs="Arial"/>
                <w:sz w:val="17"/>
                <w:szCs w:val="17"/>
                <w:lang w:val="en-AU" w:eastAsia="en-AU"/>
              </w:rPr>
              <w:t>2026-27</w:t>
            </w:r>
          </w:p>
        </w:tc>
        <w:tc>
          <w:tcPr>
            <w:tcW w:w="954" w:type="dxa"/>
            <w:tcBorders>
              <w:top w:val="nil"/>
              <w:left w:val="nil"/>
              <w:bottom w:val="nil"/>
              <w:right w:val="nil"/>
            </w:tcBorders>
            <w:shd w:val="clear" w:color="auto" w:fill="EBEBEB"/>
            <w:noWrap/>
            <w:vAlign w:val="bottom"/>
            <w:hideMark/>
          </w:tcPr>
          <w:p w14:paraId="7FF18EDA" w14:textId="77777777" w:rsidR="00A26E97" w:rsidRPr="00542E89" w:rsidRDefault="00A26E97" w:rsidP="00C2056E">
            <w:pPr>
              <w:keepNext/>
              <w:jc w:val="center"/>
              <w:rPr>
                <w:rFonts w:ascii="Public Sans" w:hAnsi="Public Sans" w:cs="Arial"/>
                <w:sz w:val="17"/>
                <w:szCs w:val="17"/>
                <w:lang w:val="en-AU" w:eastAsia="en-AU"/>
              </w:rPr>
            </w:pPr>
            <w:r>
              <w:rPr>
                <w:rFonts w:ascii="Public Sans" w:hAnsi="Public Sans" w:cs="Arial"/>
                <w:sz w:val="17"/>
                <w:szCs w:val="17"/>
                <w:lang w:val="en-AU" w:eastAsia="en-AU"/>
              </w:rPr>
              <w:t>2027-28</w:t>
            </w:r>
          </w:p>
        </w:tc>
        <w:tc>
          <w:tcPr>
            <w:tcW w:w="955" w:type="dxa"/>
            <w:tcBorders>
              <w:top w:val="nil"/>
              <w:left w:val="nil"/>
              <w:bottom w:val="nil"/>
              <w:right w:val="nil"/>
            </w:tcBorders>
            <w:shd w:val="clear" w:color="auto" w:fill="EBEBEB"/>
            <w:vAlign w:val="bottom"/>
          </w:tcPr>
          <w:p w14:paraId="71024B83" w14:textId="77777777" w:rsidR="00A26E97" w:rsidRPr="00542E89" w:rsidRDefault="00A26E97" w:rsidP="00C2056E">
            <w:pPr>
              <w:jc w:val="center"/>
              <w:rPr>
                <w:rFonts w:ascii="Public Sans" w:hAnsi="Public Sans" w:cs="Arial"/>
                <w:sz w:val="17"/>
                <w:szCs w:val="17"/>
                <w:lang w:val="en-AU" w:eastAsia="en-AU"/>
              </w:rPr>
            </w:pPr>
            <w:r>
              <w:rPr>
                <w:rFonts w:ascii="Public Sans" w:hAnsi="Public Sans" w:cs="Arial"/>
                <w:sz w:val="17"/>
                <w:szCs w:val="17"/>
                <w:lang w:val="en-AU" w:eastAsia="en-AU"/>
              </w:rPr>
              <w:t>2028-29</w:t>
            </w:r>
          </w:p>
        </w:tc>
      </w:tr>
      <w:tr w:rsidR="00A26E97" w:rsidRPr="00DE4207" w14:paraId="319A4558" w14:textId="77777777" w:rsidTr="005B6B2D">
        <w:trPr>
          <w:trHeight w:val="227"/>
        </w:trPr>
        <w:tc>
          <w:tcPr>
            <w:tcW w:w="4765" w:type="dxa"/>
            <w:tcBorders>
              <w:top w:val="nil"/>
              <w:left w:val="nil"/>
              <w:right w:val="nil"/>
            </w:tcBorders>
            <w:shd w:val="clear" w:color="auto" w:fill="EBEBEB"/>
            <w:noWrap/>
          </w:tcPr>
          <w:p w14:paraId="2B23CB04" w14:textId="77777777" w:rsidR="00A26E97" w:rsidRPr="00542E89" w:rsidRDefault="00A26E97" w:rsidP="00C2056E">
            <w:pPr>
              <w:jc w:val="center"/>
              <w:rPr>
                <w:rFonts w:ascii="Public Sans" w:hAnsi="Public Sans" w:cs="Arial"/>
                <w:sz w:val="17"/>
                <w:szCs w:val="17"/>
                <w:lang w:val="en-AU" w:eastAsia="en-AU"/>
              </w:rPr>
            </w:pPr>
          </w:p>
        </w:tc>
        <w:tc>
          <w:tcPr>
            <w:tcW w:w="953" w:type="dxa"/>
            <w:tcBorders>
              <w:top w:val="nil"/>
              <w:left w:val="nil"/>
              <w:right w:val="nil"/>
            </w:tcBorders>
            <w:shd w:val="clear" w:color="auto" w:fill="EBEBEB"/>
            <w:noWrap/>
            <w:vAlign w:val="center"/>
          </w:tcPr>
          <w:p w14:paraId="1730319F" w14:textId="77777777" w:rsidR="00A26E97" w:rsidRPr="00542E89" w:rsidRDefault="00A26E97" w:rsidP="00C2056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Revised</w:t>
            </w:r>
          </w:p>
        </w:tc>
        <w:tc>
          <w:tcPr>
            <w:tcW w:w="953" w:type="dxa"/>
            <w:tcBorders>
              <w:top w:val="nil"/>
              <w:left w:val="nil"/>
              <w:right w:val="nil"/>
            </w:tcBorders>
            <w:shd w:val="clear" w:color="auto" w:fill="EBEBEB"/>
            <w:noWrap/>
            <w:vAlign w:val="center"/>
          </w:tcPr>
          <w:p w14:paraId="2EEC67B8" w14:textId="77777777" w:rsidR="00A26E97" w:rsidRPr="00542E89" w:rsidRDefault="00A26E97" w:rsidP="00C2056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Budget</w:t>
            </w:r>
          </w:p>
        </w:tc>
        <w:tc>
          <w:tcPr>
            <w:tcW w:w="2862" w:type="dxa"/>
            <w:gridSpan w:val="3"/>
            <w:tcBorders>
              <w:top w:val="nil"/>
              <w:left w:val="nil"/>
              <w:right w:val="nil"/>
            </w:tcBorders>
            <w:shd w:val="clear" w:color="auto" w:fill="EBEBEB"/>
            <w:noWrap/>
            <w:vAlign w:val="center"/>
          </w:tcPr>
          <w:p w14:paraId="3E53D835" w14:textId="77777777" w:rsidR="00A26E97" w:rsidRPr="00542E89" w:rsidRDefault="00A26E97" w:rsidP="00C2056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Forward Estimates</w:t>
            </w:r>
          </w:p>
        </w:tc>
      </w:tr>
      <w:tr w:rsidR="00A26E97" w:rsidRPr="00DE4207" w14:paraId="36225A12" w14:textId="77777777" w:rsidTr="005B6B2D">
        <w:trPr>
          <w:trHeight w:val="283"/>
        </w:trPr>
        <w:tc>
          <w:tcPr>
            <w:tcW w:w="4765" w:type="dxa"/>
            <w:tcBorders>
              <w:top w:val="nil"/>
              <w:left w:val="nil"/>
              <w:right w:val="nil"/>
            </w:tcBorders>
            <w:shd w:val="clear" w:color="auto" w:fill="EBEBEB"/>
            <w:noWrap/>
            <w:hideMark/>
          </w:tcPr>
          <w:p w14:paraId="0662FD84" w14:textId="77777777" w:rsidR="00A26E97" w:rsidRPr="00542E89" w:rsidRDefault="00A26E97" w:rsidP="00C2056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 </w:t>
            </w:r>
          </w:p>
        </w:tc>
        <w:tc>
          <w:tcPr>
            <w:tcW w:w="953" w:type="dxa"/>
            <w:tcBorders>
              <w:top w:val="nil"/>
              <w:left w:val="nil"/>
              <w:right w:val="nil"/>
            </w:tcBorders>
            <w:shd w:val="clear" w:color="auto" w:fill="EBEBEB"/>
            <w:noWrap/>
            <w:hideMark/>
          </w:tcPr>
          <w:p w14:paraId="1EA45B71" w14:textId="77777777" w:rsidR="00A26E97" w:rsidRPr="00542E89" w:rsidRDefault="00A26E97" w:rsidP="00C2056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953" w:type="dxa"/>
            <w:tcBorders>
              <w:top w:val="nil"/>
              <w:left w:val="nil"/>
              <w:right w:val="nil"/>
            </w:tcBorders>
            <w:shd w:val="clear" w:color="auto" w:fill="EBEBEB"/>
            <w:noWrap/>
            <w:hideMark/>
          </w:tcPr>
          <w:p w14:paraId="2254B127" w14:textId="77777777" w:rsidR="00A26E97" w:rsidRPr="00542E89" w:rsidRDefault="00A26E97" w:rsidP="00C2056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953" w:type="dxa"/>
            <w:tcBorders>
              <w:top w:val="nil"/>
              <w:left w:val="nil"/>
              <w:right w:val="nil"/>
            </w:tcBorders>
            <w:shd w:val="clear" w:color="auto" w:fill="EBEBEB"/>
            <w:noWrap/>
            <w:hideMark/>
          </w:tcPr>
          <w:p w14:paraId="261CFA5D" w14:textId="77777777" w:rsidR="00A26E97" w:rsidRPr="00542E89" w:rsidRDefault="00A26E97" w:rsidP="00C2056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954" w:type="dxa"/>
            <w:tcBorders>
              <w:top w:val="nil"/>
              <w:left w:val="nil"/>
              <w:right w:val="nil"/>
            </w:tcBorders>
            <w:shd w:val="clear" w:color="auto" w:fill="EBEBEB"/>
            <w:noWrap/>
            <w:hideMark/>
          </w:tcPr>
          <w:p w14:paraId="40BD896B" w14:textId="77777777" w:rsidR="00A26E97" w:rsidRPr="00542E89" w:rsidRDefault="00A26E97" w:rsidP="00C2056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955" w:type="dxa"/>
            <w:tcBorders>
              <w:top w:val="nil"/>
              <w:left w:val="nil"/>
              <w:right w:val="nil"/>
            </w:tcBorders>
            <w:shd w:val="clear" w:color="auto" w:fill="EBEBEB"/>
          </w:tcPr>
          <w:p w14:paraId="424D9A39" w14:textId="77777777" w:rsidR="00A26E97" w:rsidRPr="00542E89" w:rsidRDefault="00A26E97" w:rsidP="00C2056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r>
      <w:tr w:rsidR="00A26E97" w:rsidRPr="00DE4207" w14:paraId="5D573A46" w14:textId="77777777" w:rsidTr="005B6B2D">
        <w:trPr>
          <w:trHeight w:val="340"/>
        </w:trPr>
        <w:tc>
          <w:tcPr>
            <w:tcW w:w="4765" w:type="dxa"/>
            <w:tcBorders>
              <w:left w:val="nil"/>
              <w:right w:val="nil"/>
            </w:tcBorders>
            <w:noWrap/>
            <w:vAlign w:val="center"/>
            <w:hideMark/>
          </w:tcPr>
          <w:p w14:paraId="5EE62474" w14:textId="77777777" w:rsidR="00A26E97" w:rsidRPr="009275B5" w:rsidRDefault="00A26E97" w:rsidP="00C2056E">
            <w:pPr>
              <w:rPr>
                <w:rFonts w:ascii="Public Sans" w:hAnsi="Public Sans" w:cs="Arial"/>
                <w:b/>
                <w:sz w:val="17"/>
                <w:szCs w:val="17"/>
                <w:lang w:val="en-AU" w:eastAsia="en-AU"/>
              </w:rPr>
            </w:pPr>
            <w:r w:rsidRPr="009275B5">
              <w:rPr>
                <w:rFonts w:ascii="Public Sans" w:hAnsi="Public Sans" w:cs="Arial"/>
                <w:b/>
                <w:sz w:val="17"/>
                <w:szCs w:val="17"/>
                <w:lang w:val="en-AU" w:eastAsia="en-AU"/>
              </w:rPr>
              <w:t xml:space="preserve">Budget result: </w:t>
            </w:r>
            <w:r>
              <w:rPr>
                <w:rFonts w:ascii="Public Sans" w:hAnsi="Public Sans" w:cs="Arial"/>
                <w:b/>
                <w:sz w:val="17"/>
                <w:szCs w:val="17"/>
                <w:lang w:val="en-AU" w:eastAsia="en-AU"/>
              </w:rPr>
              <w:t>2024-25 Budget</w:t>
            </w:r>
          </w:p>
        </w:tc>
        <w:tc>
          <w:tcPr>
            <w:tcW w:w="953" w:type="dxa"/>
            <w:tcBorders>
              <w:left w:val="nil"/>
              <w:right w:val="nil"/>
            </w:tcBorders>
            <w:noWrap/>
            <w:vAlign w:val="center"/>
            <w:hideMark/>
          </w:tcPr>
          <w:p w14:paraId="3E114DA8"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b/>
                <w:sz w:val="16"/>
                <w:szCs w:val="16"/>
              </w:rPr>
              <w:t>(</w:t>
            </w:r>
            <w:r w:rsidRPr="00146564">
              <w:rPr>
                <w:rFonts w:ascii="Public Sans" w:hAnsi="Public Sans"/>
                <w:b/>
                <w:sz w:val="16"/>
                <w:szCs w:val="16"/>
              </w:rPr>
              <w:t>3,633</w:t>
            </w:r>
            <w:r>
              <w:rPr>
                <w:rFonts w:ascii="Public Sans" w:hAnsi="Public Sans"/>
                <w:b/>
                <w:sz w:val="16"/>
                <w:szCs w:val="16"/>
              </w:rPr>
              <w:t>)</w:t>
            </w:r>
          </w:p>
        </w:tc>
        <w:tc>
          <w:tcPr>
            <w:tcW w:w="953" w:type="dxa"/>
            <w:tcBorders>
              <w:left w:val="nil"/>
              <w:right w:val="nil"/>
            </w:tcBorders>
            <w:noWrap/>
            <w:vAlign w:val="center"/>
            <w:hideMark/>
          </w:tcPr>
          <w:p w14:paraId="38DD05DE"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b/>
                <w:sz w:val="16"/>
                <w:szCs w:val="16"/>
              </w:rPr>
              <w:t>(</w:t>
            </w:r>
            <w:r w:rsidRPr="00146564">
              <w:rPr>
                <w:rFonts w:ascii="Public Sans" w:hAnsi="Public Sans"/>
                <w:b/>
                <w:sz w:val="16"/>
                <w:szCs w:val="16"/>
              </w:rPr>
              <w:t>2,489</w:t>
            </w:r>
            <w:r>
              <w:rPr>
                <w:rFonts w:ascii="Public Sans" w:hAnsi="Public Sans"/>
                <w:b/>
                <w:sz w:val="16"/>
                <w:szCs w:val="16"/>
              </w:rPr>
              <w:t>)</w:t>
            </w:r>
          </w:p>
        </w:tc>
        <w:tc>
          <w:tcPr>
            <w:tcW w:w="953" w:type="dxa"/>
            <w:tcBorders>
              <w:left w:val="nil"/>
              <w:right w:val="nil"/>
            </w:tcBorders>
            <w:shd w:val="clear" w:color="auto" w:fill="FFFFFF" w:themeFill="background1"/>
            <w:noWrap/>
            <w:vAlign w:val="center"/>
            <w:hideMark/>
          </w:tcPr>
          <w:p w14:paraId="1236D557"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b/>
                <w:sz w:val="16"/>
                <w:szCs w:val="16"/>
              </w:rPr>
              <w:t>(</w:t>
            </w:r>
            <w:r w:rsidRPr="00146564">
              <w:rPr>
                <w:rFonts w:ascii="Public Sans" w:hAnsi="Public Sans"/>
                <w:b/>
                <w:sz w:val="16"/>
                <w:szCs w:val="16"/>
              </w:rPr>
              <w:t>2,364</w:t>
            </w:r>
            <w:r>
              <w:rPr>
                <w:rFonts w:ascii="Public Sans" w:hAnsi="Public Sans"/>
                <w:b/>
                <w:sz w:val="16"/>
                <w:szCs w:val="16"/>
              </w:rPr>
              <w:t>)</w:t>
            </w:r>
          </w:p>
        </w:tc>
        <w:tc>
          <w:tcPr>
            <w:tcW w:w="954" w:type="dxa"/>
            <w:tcBorders>
              <w:left w:val="nil"/>
              <w:right w:val="nil"/>
            </w:tcBorders>
            <w:shd w:val="clear" w:color="auto" w:fill="FFFFFF" w:themeFill="background1"/>
            <w:noWrap/>
            <w:vAlign w:val="center"/>
            <w:hideMark/>
          </w:tcPr>
          <w:p w14:paraId="5CA32D37"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b/>
                <w:sz w:val="16"/>
                <w:szCs w:val="16"/>
              </w:rPr>
              <w:t>(</w:t>
            </w:r>
            <w:r w:rsidRPr="00146564">
              <w:rPr>
                <w:rFonts w:ascii="Public Sans" w:hAnsi="Public Sans"/>
                <w:b/>
                <w:sz w:val="16"/>
                <w:szCs w:val="16"/>
              </w:rPr>
              <w:t>1,518</w:t>
            </w:r>
            <w:r>
              <w:rPr>
                <w:rFonts w:ascii="Public Sans" w:hAnsi="Public Sans"/>
                <w:b/>
                <w:sz w:val="16"/>
                <w:szCs w:val="16"/>
              </w:rPr>
              <w:t>)</w:t>
            </w:r>
          </w:p>
        </w:tc>
        <w:tc>
          <w:tcPr>
            <w:tcW w:w="955" w:type="dxa"/>
            <w:tcBorders>
              <w:left w:val="nil"/>
              <w:right w:val="nil"/>
            </w:tcBorders>
            <w:shd w:val="clear" w:color="auto" w:fill="FFFFFF" w:themeFill="background1"/>
            <w:vAlign w:val="center"/>
          </w:tcPr>
          <w:p w14:paraId="7B0A832C" w14:textId="77777777" w:rsidR="00A26E97" w:rsidRPr="009275B5" w:rsidRDefault="00A26E97" w:rsidP="00C2056E">
            <w:pPr>
              <w:jc w:val="right"/>
              <w:rPr>
                <w:rFonts w:ascii="Public Sans" w:hAnsi="Public Sans" w:cs="Arial"/>
                <w:b/>
                <w:sz w:val="16"/>
                <w:szCs w:val="16"/>
                <w:lang w:val="en-AU" w:eastAsia="en-AU"/>
              </w:rPr>
            </w:pPr>
            <w:r w:rsidRPr="00542E89">
              <w:rPr>
                <w:rFonts w:ascii="Public Sans" w:hAnsi="Public Sans"/>
                <w:b/>
                <w:sz w:val="16"/>
                <w:szCs w:val="16"/>
              </w:rPr>
              <w:t>N/A</w:t>
            </w:r>
          </w:p>
        </w:tc>
      </w:tr>
      <w:tr w:rsidR="00A26E97" w:rsidRPr="00DE4207" w14:paraId="1F0D43DB" w14:textId="77777777" w:rsidTr="00C2056E">
        <w:trPr>
          <w:trHeight w:val="274"/>
        </w:trPr>
        <w:tc>
          <w:tcPr>
            <w:tcW w:w="4765" w:type="dxa"/>
            <w:tcBorders>
              <w:top w:val="nil"/>
              <w:left w:val="nil"/>
              <w:bottom w:val="nil"/>
              <w:right w:val="nil"/>
            </w:tcBorders>
            <w:noWrap/>
            <w:vAlign w:val="center"/>
          </w:tcPr>
          <w:p w14:paraId="7663830B" w14:textId="77777777" w:rsidR="00A26E97" w:rsidRPr="00A001E1" w:rsidRDefault="00A26E97" w:rsidP="00C2056E">
            <w:pPr>
              <w:rPr>
                <w:rFonts w:ascii="Public Sans" w:hAnsi="Public Sans" w:cs="Arial"/>
                <w:bCs/>
                <w:sz w:val="17"/>
                <w:szCs w:val="17"/>
                <w:lang w:val="en-AU" w:eastAsia="en-AU"/>
              </w:rPr>
            </w:pPr>
            <w:r w:rsidRPr="00A001E1">
              <w:rPr>
                <w:rFonts w:ascii="Public Sans" w:hAnsi="Public Sans" w:cs="Arial"/>
                <w:bCs/>
                <w:sz w:val="16"/>
                <w:szCs w:val="16"/>
                <w:lang w:val="en-AU" w:eastAsia="en-AU"/>
              </w:rPr>
              <w:t xml:space="preserve">Changes from the </w:t>
            </w:r>
            <w:r>
              <w:rPr>
                <w:rFonts w:ascii="Public Sans" w:hAnsi="Public Sans" w:cs="Arial"/>
                <w:bCs/>
                <w:sz w:val="16"/>
                <w:szCs w:val="16"/>
                <w:lang w:val="en-AU" w:eastAsia="en-AU"/>
              </w:rPr>
              <w:t>2024-25</w:t>
            </w:r>
            <w:r w:rsidRPr="00A001E1">
              <w:rPr>
                <w:rFonts w:ascii="Public Sans" w:hAnsi="Public Sans" w:cs="Arial"/>
                <w:bCs/>
                <w:sz w:val="16"/>
                <w:szCs w:val="16"/>
                <w:lang w:val="en-AU" w:eastAsia="en-AU"/>
              </w:rPr>
              <w:t xml:space="preserve"> Budget to </w:t>
            </w:r>
            <w:r>
              <w:rPr>
                <w:rFonts w:ascii="Public Sans" w:hAnsi="Public Sans" w:cs="Arial"/>
                <w:bCs/>
                <w:sz w:val="16"/>
                <w:szCs w:val="16"/>
                <w:lang w:val="en-AU" w:eastAsia="en-AU"/>
              </w:rPr>
              <w:t>2024-25</w:t>
            </w:r>
            <w:r w:rsidRPr="00A001E1">
              <w:rPr>
                <w:rFonts w:ascii="Public Sans" w:hAnsi="Public Sans" w:cs="Arial"/>
                <w:bCs/>
                <w:sz w:val="16"/>
                <w:szCs w:val="16"/>
                <w:lang w:val="en-AU" w:eastAsia="en-AU"/>
              </w:rPr>
              <w:t xml:space="preserve"> </w:t>
            </w:r>
            <w:r>
              <w:rPr>
                <w:rFonts w:ascii="Public Sans" w:hAnsi="Public Sans" w:cs="Arial"/>
                <w:bCs/>
                <w:sz w:val="16"/>
                <w:szCs w:val="16"/>
                <w:lang w:val="en-AU" w:eastAsia="en-AU"/>
              </w:rPr>
              <w:t>Half-Yearly Review</w:t>
            </w:r>
          </w:p>
        </w:tc>
        <w:tc>
          <w:tcPr>
            <w:tcW w:w="953" w:type="dxa"/>
            <w:tcBorders>
              <w:top w:val="nil"/>
              <w:left w:val="nil"/>
              <w:bottom w:val="nil"/>
              <w:right w:val="nil"/>
            </w:tcBorders>
            <w:shd w:val="clear" w:color="auto" w:fill="FFFFFF" w:themeFill="background1"/>
            <w:noWrap/>
            <w:vAlign w:val="center"/>
          </w:tcPr>
          <w:p w14:paraId="62A72140" w14:textId="77777777" w:rsidR="00A26E97" w:rsidRPr="00146564" w:rsidRDefault="00A26E97" w:rsidP="00C2056E">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FFFFFF" w:themeFill="background1"/>
            <w:noWrap/>
            <w:vAlign w:val="center"/>
          </w:tcPr>
          <w:p w14:paraId="40B36F96" w14:textId="77777777" w:rsidR="00A26E97" w:rsidRPr="00146564" w:rsidRDefault="00A26E97" w:rsidP="00C2056E">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FFFFFF" w:themeFill="background1"/>
            <w:noWrap/>
            <w:vAlign w:val="center"/>
          </w:tcPr>
          <w:p w14:paraId="3ECCB771" w14:textId="77777777" w:rsidR="00A26E97" w:rsidRPr="00146564" w:rsidRDefault="00A26E97" w:rsidP="00C2056E">
            <w:pPr>
              <w:jc w:val="right"/>
              <w:rPr>
                <w:rFonts w:ascii="Public Sans" w:hAnsi="Public Sans" w:cs="Arial"/>
                <w:sz w:val="16"/>
                <w:szCs w:val="16"/>
                <w:lang w:val="en-AU" w:eastAsia="en-AU"/>
              </w:rPr>
            </w:pPr>
          </w:p>
        </w:tc>
        <w:tc>
          <w:tcPr>
            <w:tcW w:w="954" w:type="dxa"/>
            <w:tcBorders>
              <w:top w:val="nil"/>
              <w:left w:val="nil"/>
              <w:bottom w:val="nil"/>
              <w:right w:val="nil"/>
            </w:tcBorders>
            <w:shd w:val="clear" w:color="auto" w:fill="FFFFFF" w:themeFill="background1"/>
            <w:noWrap/>
            <w:vAlign w:val="center"/>
          </w:tcPr>
          <w:p w14:paraId="4EA63DBF" w14:textId="77777777" w:rsidR="00A26E97" w:rsidRPr="00146564" w:rsidRDefault="00A26E97" w:rsidP="00C2056E">
            <w:pPr>
              <w:jc w:val="right"/>
              <w:rPr>
                <w:rFonts w:ascii="Public Sans" w:hAnsi="Public Sans" w:cs="Arial"/>
                <w:sz w:val="16"/>
                <w:szCs w:val="16"/>
                <w:lang w:val="en-AU" w:eastAsia="en-AU"/>
              </w:rPr>
            </w:pPr>
          </w:p>
        </w:tc>
        <w:tc>
          <w:tcPr>
            <w:tcW w:w="955" w:type="dxa"/>
            <w:tcBorders>
              <w:top w:val="nil"/>
              <w:left w:val="nil"/>
              <w:bottom w:val="nil"/>
              <w:right w:val="nil"/>
            </w:tcBorders>
            <w:shd w:val="clear" w:color="auto" w:fill="FFFFFF" w:themeFill="background1"/>
            <w:vAlign w:val="center"/>
          </w:tcPr>
          <w:p w14:paraId="5A9B9E1A" w14:textId="77777777" w:rsidR="00A26E97" w:rsidRDefault="00A26E97" w:rsidP="00C2056E">
            <w:pPr>
              <w:jc w:val="right"/>
              <w:rPr>
                <w:rFonts w:ascii="Public Sans" w:hAnsi="Public Sans" w:cs="Arial"/>
                <w:sz w:val="16"/>
                <w:szCs w:val="16"/>
                <w:lang w:val="en-AU" w:eastAsia="en-AU"/>
              </w:rPr>
            </w:pPr>
          </w:p>
        </w:tc>
      </w:tr>
      <w:tr w:rsidR="00A26E97" w:rsidRPr="00DE4207" w14:paraId="6B071BC2" w14:textId="77777777" w:rsidTr="00C2056E">
        <w:trPr>
          <w:trHeight w:val="227"/>
        </w:trPr>
        <w:tc>
          <w:tcPr>
            <w:tcW w:w="4765" w:type="dxa"/>
            <w:tcBorders>
              <w:top w:val="nil"/>
              <w:left w:val="nil"/>
              <w:bottom w:val="nil"/>
              <w:right w:val="nil"/>
            </w:tcBorders>
            <w:shd w:val="clear" w:color="auto" w:fill="FFFFFF" w:themeFill="background1"/>
            <w:noWrap/>
            <w:vAlign w:val="center"/>
            <w:hideMark/>
          </w:tcPr>
          <w:p w14:paraId="5AF0FE6D" w14:textId="77777777" w:rsidR="00A26E97" w:rsidRPr="009275B5" w:rsidRDefault="00A26E97" w:rsidP="00C2056E">
            <w:pPr>
              <w:ind w:firstLineChars="300" w:firstLine="480"/>
              <w:rPr>
                <w:rFonts w:ascii="Public Sans" w:hAnsi="Public Sans" w:cs="Arial"/>
                <w:sz w:val="16"/>
                <w:szCs w:val="16"/>
                <w:lang w:val="en-AU" w:eastAsia="en-AU"/>
              </w:rPr>
            </w:pPr>
            <w:r w:rsidRPr="009275B5">
              <w:rPr>
                <w:rFonts w:ascii="Public Sans" w:hAnsi="Public Sans" w:cs="Arial"/>
                <w:sz w:val="16"/>
                <w:szCs w:val="16"/>
                <w:lang w:val="en-AU" w:eastAsia="en-AU"/>
              </w:rPr>
              <w:t>Revenues</w:t>
            </w:r>
          </w:p>
        </w:tc>
        <w:tc>
          <w:tcPr>
            <w:tcW w:w="953" w:type="dxa"/>
            <w:tcBorders>
              <w:top w:val="nil"/>
              <w:left w:val="nil"/>
              <w:bottom w:val="nil"/>
              <w:right w:val="nil"/>
            </w:tcBorders>
            <w:shd w:val="clear" w:color="auto" w:fill="FFFFFF" w:themeFill="background1"/>
            <w:noWrap/>
            <w:vAlign w:val="center"/>
          </w:tcPr>
          <w:p w14:paraId="6A5D7B94"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90</w:t>
            </w:r>
          </w:p>
        </w:tc>
        <w:tc>
          <w:tcPr>
            <w:tcW w:w="953" w:type="dxa"/>
            <w:tcBorders>
              <w:top w:val="nil"/>
              <w:left w:val="nil"/>
              <w:bottom w:val="nil"/>
              <w:right w:val="nil"/>
            </w:tcBorders>
            <w:shd w:val="clear" w:color="auto" w:fill="FFFFFF" w:themeFill="background1"/>
            <w:noWrap/>
            <w:vAlign w:val="center"/>
          </w:tcPr>
          <w:p w14:paraId="1F5AD0C2"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2,089</w:t>
            </w:r>
          </w:p>
        </w:tc>
        <w:tc>
          <w:tcPr>
            <w:tcW w:w="953" w:type="dxa"/>
            <w:tcBorders>
              <w:top w:val="nil"/>
              <w:left w:val="nil"/>
              <w:bottom w:val="nil"/>
              <w:right w:val="nil"/>
            </w:tcBorders>
            <w:shd w:val="clear" w:color="auto" w:fill="FFFFFF" w:themeFill="background1"/>
            <w:noWrap/>
            <w:vAlign w:val="center"/>
          </w:tcPr>
          <w:p w14:paraId="7A075CD8"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3,018</w:t>
            </w:r>
          </w:p>
        </w:tc>
        <w:tc>
          <w:tcPr>
            <w:tcW w:w="954" w:type="dxa"/>
            <w:tcBorders>
              <w:top w:val="nil"/>
              <w:left w:val="nil"/>
              <w:bottom w:val="nil"/>
              <w:right w:val="nil"/>
            </w:tcBorders>
            <w:shd w:val="clear" w:color="auto" w:fill="FFFFFF" w:themeFill="background1"/>
            <w:noWrap/>
            <w:vAlign w:val="center"/>
          </w:tcPr>
          <w:p w14:paraId="0781B76B"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794</w:t>
            </w:r>
          </w:p>
        </w:tc>
        <w:tc>
          <w:tcPr>
            <w:tcW w:w="955" w:type="dxa"/>
            <w:tcBorders>
              <w:top w:val="nil"/>
              <w:left w:val="nil"/>
              <w:bottom w:val="nil"/>
              <w:right w:val="nil"/>
            </w:tcBorders>
            <w:shd w:val="clear" w:color="auto" w:fill="FFFFFF" w:themeFill="background1"/>
            <w:vAlign w:val="center"/>
          </w:tcPr>
          <w:p w14:paraId="16663B8C" w14:textId="77777777" w:rsidR="00A26E97" w:rsidRPr="009275B5" w:rsidRDefault="00A26E97" w:rsidP="00C2056E">
            <w:pPr>
              <w:jc w:val="right"/>
              <w:rPr>
                <w:rFonts w:ascii="Public Sans" w:hAnsi="Public Sans" w:cs="Arial"/>
                <w:sz w:val="16"/>
                <w:szCs w:val="16"/>
                <w:lang w:val="en-AU" w:eastAsia="en-AU"/>
              </w:rPr>
            </w:pPr>
            <w:r w:rsidRPr="50B408E8">
              <w:rPr>
                <w:rFonts w:ascii="Public Sans" w:hAnsi="Public Sans" w:cs="Arial"/>
                <w:sz w:val="16"/>
                <w:szCs w:val="16"/>
                <w:lang w:val="en-AU" w:eastAsia="en-AU"/>
              </w:rPr>
              <w:t>N/A</w:t>
            </w:r>
          </w:p>
        </w:tc>
      </w:tr>
      <w:tr w:rsidR="00A26E97" w:rsidRPr="00DE4207" w14:paraId="52F69CDF" w14:textId="77777777" w:rsidTr="00C2056E">
        <w:trPr>
          <w:trHeight w:val="227"/>
        </w:trPr>
        <w:tc>
          <w:tcPr>
            <w:tcW w:w="4765" w:type="dxa"/>
            <w:tcBorders>
              <w:top w:val="nil"/>
              <w:left w:val="nil"/>
              <w:bottom w:val="nil"/>
              <w:right w:val="nil"/>
            </w:tcBorders>
            <w:shd w:val="clear" w:color="auto" w:fill="FFFFFF" w:themeFill="background1"/>
            <w:noWrap/>
            <w:vAlign w:val="center"/>
            <w:hideMark/>
          </w:tcPr>
          <w:p w14:paraId="0AC0E0A2" w14:textId="77777777" w:rsidR="00A26E97" w:rsidRPr="009275B5" w:rsidRDefault="00A26E97" w:rsidP="00C2056E">
            <w:pPr>
              <w:ind w:firstLineChars="300" w:firstLine="480"/>
              <w:rPr>
                <w:rFonts w:ascii="Public Sans" w:hAnsi="Public Sans" w:cs="Arial"/>
                <w:sz w:val="16"/>
                <w:szCs w:val="16"/>
                <w:lang w:val="en-AU" w:eastAsia="en-AU"/>
              </w:rPr>
            </w:pPr>
            <w:r w:rsidRPr="009275B5">
              <w:rPr>
                <w:rFonts w:ascii="Public Sans" w:hAnsi="Public Sans" w:cs="Arial"/>
                <w:sz w:val="16"/>
                <w:szCs w:val="16"/>
                <w:lang w:val="en-AU" w:eastAsia="en-AU"/>
              </w:rPr>
              <w:t>Expenses</w:t>
            </w:r>
          </w:p>
        </w:tc>
        <w:tc>
          <w:tcPr>
            <w:tcW w:w="953" w:type="dxa"/>
            <w:tcBorders>
              <w:top w:val="nil"/>
              <w:left w:val="nil"/>
              <w:bottom w:val="nil"/>
              <w:right w:val="nil"/>
            </w:tcBorders>
            <w:shd w:val="clear" w:color="auto" w:fill="FFFFFF" w:themeFill="background1"/>
            <w:noWrap/>
            <w:vAlign w:val="center"/>
          </w:tcPr>
          <w:p w14:paraId="247663C5"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1,440</w:t>
            </w:r>
          </w:p>
        </w:tc>
        <w:tc>
          <w:tcPr>
            <w:tcW w:w="953" w:type="dxa"/>
            <w:tcBorders>
              <w:top w:val="nil"/>
              <w:left w:val="nil"/>
              <w:bottom w:val="nil"/>
              <w:right w:val="nil"/>
            </w:tcBorders>
            <w:shd w:val="clear" w:color="auto" w:fill="FFFFFF" w:themeFill="background1"/>
            <w:noWrap/>
            <w:vAlign w:val="center"/>
          </w:tcPr>
          <w:p w14:paraId="6CDE49E4"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1,818</w:t>
            </w:r>
          </w:p>
        </w:tc>
        <w:tc>
          <w:tcPr>
            <w:tcW w:w="953" w:type="dxa"/>
            <w:tcBorders>
              <w:top w:val="nil"/>
              <w:left w:val="nil"/>
              <w:bottom w:val="nil"/>
              <w:right w:val="nil"/>
            </w:tcBorders>
            <w:shd w:val="clear" w:color="auto" w:fill="FFFFFF" w:themeFill="background1"/>
            <w:noWrap/>
            <w:vAlign w:val="center"/>
          </w:tcPr>
          <w:p w14:paraId="26C59B0D"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2,390</w:t>
            </w:r>
          </w:p>
        </w:tc>
        <w:tc>
          <w:tcPr>
            <w:tcW w:w="954" w:type="dxa"/>
            <w:tcBorders>
              <w:top w:val="nil"/>
              <w:left w:val="nil"/>
              <w:bottom w:val="nil"/>
              <w:right w:val="nil"/>
            </w:tcBorders>
            <w:shd w:val="clear" w:color="auto" w:fill="FFFFFF" w:themeFill="background1"/>
            <w:noWrap/>
            <w:vAlign w:val="center"/>
          </w:tcPr>
          <w:p w14:paraId="05DA18DE"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584</w:t>
            </w:r>
          </w:p>
        </w:tc>
        <w:tc>
          <w:tcPr>
            <w:tcW w:w="955" w:type="dxa"/>
            <w:tcBorders>
              <w:top w:val="nil"/>
              <w:left w:val="nil"/>
              <w:bottom w:val="nil"/>
              <w:right w:val="nil"/>
            </w:tcBorders>
            <w:shd w:val="clear" w:color="auto" w:fill="FFFFFF" w:themeFill="background1"/>
            <w:vAlign w:val="center"/>
          </w:tcPr>
          <w:p w14:paraId="1AF8B9A5" w14:textId="77777777" w:rsidR="00A26E97" w:rsidRPr="009275B5" w:rsidRDefault="00A26E97" w:rsidP="00C2056E">
            <w:pPr>
              <w:jc w:val="right"/>
              <w:rPr>
                <w:rFonts w:ascii="Public Sans" w:hAnsi="Public Sans" w:cs="Arial"/>
                <w:sz w:val="16"/>
                <w:szCs w:val="16"/>
                <w:lang w:val="en-AU" w:eastAsia="en-AU"/>
              </w:rPr>
            </w:pPr>
            <w:r w:rsidRPr="50B408E8">
              <w:rPr>
                <w:rFonts w:ascii="Public Sans" w:hAnsi="Public Sans" w:cs="Arial"/>
                <w:sz w:val="16"/>
                <w:szCs w:val="16"/>
                <w:lang w:val="en-AU" w:eastAsia="en-AU"/>
              </w:rPr>
              <w:t>N/A</w:t>
            </w:r>
          </w:p>
        </w:tc>
      </w:tr>
      <w:tr w:rsidR="00A26E97" w:rsidRPr="00DE4207" w14:paraId="70DB295A" w14:textId="77777777" w:rsidTr="00C2056E">
        <w:trPr>
          <w:trHeight w:val="311"/>
        </w:trPr>
        <w:tc>
          <w:tcPr>
            <w:tcW w:w="4765" w:type="dxa"/>
            <w:tcBorders>
              <w:top w:val="nil"/>
              <w:left w:val="nil"/>
              <w:bottom w:val="nil"/>
              <w:right w:val="nil"/>
            </w:tcBorders>
            <w:noWrap/>
            <w:vAlign w:val="center"/>
            <w:hideMark/>
          </w:tcPr>
          <w:p w14:paraId="59ECFE1D" w14:textId="77777777" w:rsidR="00A26E97" w:rsidRPr="00A001E1" w:rsidRDefault="00A26E97" w:rsidP="00C2056E">
            <w:pPr>
              <w:rPr>
                <w:rFonts w:ascii="Public Sans" w:hAnsi="Public Sans" w:cs="Arial"/>
                <w:bCs/>
                <w:sz w:val="17"/>
                <w:szCs w:val="17"/>
                <w:lang w:val="en-AU" w:eastAsia="en-AU"/>
              </w:rPr>
            </w:pPr>
            <w:r w:rsidRPr="00A001E1">
              <w:rPr>
                <w:rFonts w:ascii="Public Sans" w:hAnsi="Public Sans" w:cs="Arial"/>
                <w:bCs/>
                <w:sz w:val="17"/>
                <w:szCs w:val="17"/>
                <w:lang w:val="en-AU" w:eastAsia="en-AU"/>
              </w:rPr>
              <w:t>Total budget result impact</w:t>
            </w:r>
          </w:p>
        </w:tc>
        <w:tc>
          <w:tcPr>
            <w:tcW w:w="953" w:type="dxa"/>
            <w:tcBorders>
              <w:top w:val="nil"/>
              <w:left w:val="nil"/>
              <w:bottom w:val="nil"/>
              <w:right w:val="nil"/>
            </w:tcBorders>
            <w:shd w:val="clear" w:color="auto" w:fill="FFFFFF" w:themeFill="background1"/>
            <w:noWrap/>
            <w:vAlign w:val="center"/>
          </w:tcPr>
          <w:p w14:paraId="73DD75F9" w14:textId="77777777" w:rsidR="00A26E97" w:rsidRPr="00146564" w:rsidRDefault="00A26E97" w:rsidP="00C2056E">
            <w:pPr>
              <w:jc w:val="right"/>
              <w:rPr>
                <w:rFonts w:ascii="Public Sans" w:hAnsi="Public Sans" w:cs="Arial"/>
                <w:sz w:val="16"/>
                <w:szCs w:val="16"/>
                <w:lang w:val="en-AU" w:eastAsia="en-AU"/>
              </w:rPr>
            </w:pPr>
            <w:r>
              <w:rPr>
                <w:rFonts w:ascii="Public Sans" w:hAnsi="Public Sans" w:cs="Arial"/>
                <w:sz w:val="16"/>
                <w:szCs w:val="16"/>
                <w:lang w:val="en-AU" w:eastAsia="en-AU"/>
              </w:rPr>
              <w:t>(</w:t>
            </w:r>
            <w:r w:rsidRPr="00146564">
              <w:rPr>
                <w:rFonts w:ascii="Public Sans" w:hAnsi="Public Sans" w:cs="Arial"/>
                <w:sz w:val="16"/>
                <w:szCs w:val="16"/>
                <w:lang w:val="en-AU" w:eastAsia="en-AU"/>
              </w:rPr>
              <w:t>1,350</w:t>
            </w:r>
            <w:r>
              <w:rPr>
                <w:rFonts w:ascii="Public Sans" w:hAnsi="Public Sans" w:cs="Arial"/>
                <w:sz w:val="16"/>
                <w:szCs w:val="16"/>
                <w:lang w:val="en-AU" w:eastAsia="en-AU"/>
              </w:rPr>
              <w:t>)</w:t>
            </w:r>
          </w:p>
        </w:tc>
        <w:tc>
          <w:tcPr>
            <w:tcW w:w="953" w:type="dxa"/>
            <w:tcBorders>
              <w:top w:val="nil"/>
              <w:left w:val="nil"/>
              <w:bottom w:val="nil"/>
              <w:right w:val="nil"/>
            </w:tcBorders>
            <w:shd w:val="clear" w:color="auto" w:fill="FFFFFF" w:themeFill="background1"/>
            <w:noWrap/>
            <w:vAlign w:val="center"/>
          </w:tcPr>
          <w:p w14:paraId="1203D0B0"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271</w:t>
            </w:r>
          </w:p>
        </w:tc>
        <w:tc>
          <w:tcPr>
            <w:tcW w:w="953" w:type="dxa"/>
            <w:tcBorders>
              <w:top w:val="nil"/>
              <w:left w:val="nil"/>
              <w:bottom w:val="nil"/>
              <w:right w:val="nil"/>
            </w:tcBorders>
            <w:shd w:val="clear" w:color="auto" w:fill="FFFFFF" w:themeFill="background1"/>
            <w:noWrap/>
            <w:vAlign w:val="center"/>
          </w:tcPr>
          <w:p w14:paraId="3769B3E6"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628</w:t>
            </w:r>
          </w:p>
        </w:tc>
        <w:tc>
          <w:tcPr>
            <w:tcW w:w="954" w:type="dxa"/>
            <w:tcBorders>
              <w:top w:val="nil"/>
              <w:left w:val="nil"/>
              <w:bottom w:val="nil"/>
              <w:right w:val="nil"/>
            </w:tcBorders>
            <w:shd w:val="clear" w:color="auto" w:fill="FFFFFF" w:themeFill="background1"/>
            <w:noWrap/>
            <w:vAlign w:val="center"/>
          </w:tcPr>
          <w:p w14:paraId="6D274EBA"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Arial"/>
                <w:sz w:val="16"/>
                <w:szCs w:val="16"/>
                <w:lang w:val="en-AU" w:eastAsia="en-AU"/>
              </w:rPr>
              <w:t>211</w:t>
            </w:r>
          </w:p>
        </w:tc>
        <w:tc>
          <w:tcPr>
            <w:tcW w:w="955" w:type="dxa"/>
            <w:tcBorders>
              <w:top w:val="nil"/>
              <w:left w:val="nil"/>
              <w:bottom w:val="nil"/>
              <w:right w:val="nil"/>
            </w:tcBorders>
            <w:shd w:val="clear" w:color="auto" w:fill="FFFFFF" w:themeFill="background1"/>
            <w:vAlign w:val="center"/>
          </w:tcPr>
          <w:p w14:paraId="18041D0D" w14:textId="77777777" w:rsidR="00A26E97" w:rsidRPr="009275B5" w:rsidRDefault="00A26E97" w:rsidP="00C2056E">
            <w:pPr>
              <w:jc w:val="right"/>
              <w:rPr>
                <w:rFonts w:ascii="Public Sans" w:hAnsi="Public Sans" w:cs="Arial"/>
                <w:sz w:val="16"/>
                <w:szCs w:val="16"/>
                <w:lang w:val="en-AU" w:eastAsia="en-AU"/>
              </w:rPr>
            </w:pPr>
            <w:r>
              <w:rPr>
                <w:rFonts w:ascii="Public Sans" w:hAnsi="Public Sans" w:cs="Arial"/>
                <w:sz w:val="16"/>
                <w:szCs w:val="16"/>
                <w:lang w:val="en-AU" w:eastAsia="en-AU"/>
              </w:rPr>
              <w:t>N/A</w:t>
            </w:r>
          </w:p>
        </w:tc>
      </w:tr>
      <w:tr w:rsidR="00A26E97" w:rsidRPr="00DE4207" w14:paraId="25351997" w14:textId="77777777" w:rsidTr="00C2056E">
        <w:trPr>
          <w:trHeight w:val="340"/>
        </w:trPr>
        <w:tc>
          <w:tcPr>
            <w:tcW w:w="4765" w:type="dxa"/>
            <w:tcBorders>
              <w:top w:val="single" w:sz="4" w:space="0" w:color="auto"/>
              <w:left w:val="nil"/>
              <w:bottom w:val="single" w:sz="4" w:space="0" w:color="auto"/>
              <w:right w:val="nil"/>
            </w:tcBorders>
            <w:noWrap/>
            <w:vAlign w:val="center"/>
            <w:hideMark/>
          </w:tcPr>
          <w:p w14:paraId="22CE534A" w14:textId="77777777" w:rsidR="00A26E97" w:rsidRPr="009275B5" w:rsidRDefault="00A26E97" w:rsidP="00C2056E">
            <w:pPr>
              <w:rPr>
                <w:rFonts w:ascii="Public Sans" w:hAnsi="Public Sans" w:cs="Arial"/>
                <w:b/>
                <w:sz w:val="17"/>
                <w:szCs w:val="17"/>
                <w:lang w:val="en-AU" w:eastAsia="en-AU"/>
              </w:rPr>
            </w:pPr>
            <w:r w:rsidRPr="009275B5">
              <w:rPr>
                <w:rFonts w:ascii="Public Sans" w:hAnsi="Public Sans" w:cs="Arial"/>
                <w:b/>
                <w:sz w:val="17"/>
                <w:szCs w:val="17"/>
                <w:lang w:val="en-AU" w:eastAsia="en-AU"/>
              </w:rPr>
              <w:t xml:space="preserve">Budget result: </w:t>
            </w:r>
            <w:r>
              <w:rPr>
                <w:rFonts w:ascii="Public Sans" w:hAnsi="Public Sans" w:cs="Arial"/>
                <w:b/>
                <w:sz w:val="17"/>
                <w:szCs w:val="17"/>
                <w:lang w:val="en-AU" w:eastAsia="en-AU"/>
              </w:rPr>
              <w:t>2024-25 Half-Yearly Review</w:t>
            </w:r>
          </w:p>
        </w:tc>
        <w:tc>
          <w:tcPr>
            <w:tcW w:w="953" w:type="dxa"/>
            <w:tcBorders>
              <w:top w:val="single" w:sz="4" w:space="0" w:color="auto"/>
              <w:left w:val="nil"/>
              <w:bottom w:val="single" w:sz="4" w:space="0" w:color="auto"/>
              <w:right w:val="nil"/>
            </w:tcBorders>
            <w:noWrap/>
            <w:vAlign w:val="center"/>
            <w:hideMark/>
          </w:tcPr>
          <w:p w14:paraId="605DFF72"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b/>
                <w:sz w:val="16"/>
                <w:szCs w:val="16"/>
              </w:rPr>
              <w:t>(</w:t>
            </w:r>
            <w:r w:rsidRPr="00146564">
              <w:rPr>
                <w:rFonts w:ascii="Public Sans" w:hAnsi="Public Sans"/>
                <w:b/>
                <w:sz w:val="16"/>
                <w:szCs w:val="16"/>
              </w:rPr>
              <w:t>4,983</w:t>
            </w:r>
            <w:r>
              <w:rPr>
                <w:rFonts w:ascii="Public Sans" w:hAnsi="Public Sans"/>
                <w:b/>
                <w:sz w:val="16"/>
                <w:szCs w:val="16"/>
              </w:rPr>
              <w:t>)</w:t>
            </w:r>
          </w:p>
        </w:tc>
        <w:tc>
          <w:tcPr>
            <w:tcW w:w="953" w:type="dxa"/>
            <w:tcBorders>
              <w:top w:val="single" w:sz="4" w:space="0" w:color="auto"/>
              <w:left w:val="nil"/>
              <w:bottom w:val="single" w:sz="4" w:space="0" w:color="auto"/>
              <w:right w:val="nil"/>
            </w:tcBorders>
            <w:noWrap/>
            <w:vAlign w:val="center"/>
            <w:hideMark/>
          </w:tcPr>
          <w:p w14:paraId="111D8FC9"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b/>
                <w:sz w:val="16"/>
                <w:szCs w:val="16"/>
              </w:rPr>
              <w:t>(</w:t>
            </w:r>
            <w:r w:rsidRPr="00146564">
              <w:rPr>
                <w:rFonts w:ascii="Public Sans" w:hAnsi="Public Sans"/>
                <w:b/>
                <w:sz w:val="16"/>
                <w:szCs w:val="16"/>
              </w:rPr>
              <w:t>2,218</w:t>
            </w:r>
            <w:r>
              <w:rPr>
                <w:rFonts w:ascii="Public Sans" w:hAnsi="Public Sans"/>
                <w:b/>
                <w:sz w:val="16"/>
                <w:szCs w:val="16"/>
              </w:rPr>
              <w:t>)</w:t>
            </w:r>
          </w:p>
        </w:tc>
        <w:tc>
          <w:tcPr>
            <w:tcW w:w="953" w:type="dxa"/>
            <w:tcBorders>
              <w:top w:val="single" w:sz="4" w:space="0" w:color="auto"/>
              <w:left w:val="nil"/>
              <w:bottom w:val="single" w:sz="4" w:space="0" w:color="auto"/>
              <w:right w:val="nil"/>
            </w:tcBorders>
            <w:shd w:val="clear" w:color="auto" w:fill="FFFFFF" w:themeFill="background1"/>
            <w:noWrap/>
            <w:vAlign w:val="center"/>
            <w:hideMark/>
          </w:tcPr>
          <w:p w14:paraId="3621BD8E"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b/>
                <w:sz w:val="16"/>
                <w:szCs w:val="16"/>
              </w:rPr>
              <w:t>(</w:t>
            </w:r>
            <w:r w:rsidRPr="00146564">
              <w:rPr>
                <w:rFonts w:ascii="Public Sans" w:hAnsi="Public Sans"/>
                <w:b/>
                <w:sz w:val="16"/>
                <w:szCs w:val="16"/>
              </w:rPr>
              <w:t>1,737</w:t>
            </w:r>
            <w:r>
              <w:rPr>
                <w:rFonts w:ascii="Public Sans" w:hAnsi="Public Sans"/>
                <w:b/>
                <w:sz w:val="16"/>
                <w:szCs w:val="16"/>
              </w:rPr>
              <w:t>)</w:t>
            </w:r>
          </w:p>
        </w:tc>
        <w:tc>
          <w:tcPr>
            <w:tcW w:w="954" w:type="dxa"/>
            <w:tcBorders>
              <w:top w:val="single" w:sz="4" w:space="0" w:color="auto"/>
              <w:left w:val="nil"/>
              <w:bottom w:val="single" w:sz="4" w:space="0" w:color="auto"/>
              <w:right w:val="nil"/>
            </w:tcBorders>
            <w:shd w:val="clear" w:color="auto" w:fill="FFFFFF" w:themeFill="background1"/>
            <w:noWrap/>
            <w:vAlign w:val="center"/>
            <w:hideMark/>
          </w:tcPr>
          <w:p w14:paraId="4771B884"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b/>
                <w:sz w:val="16"/>
                <w:szCs w:val="16"/>
              </w:rPr>
              <w:t>(</w:t>
            </w:r>
            <w:r w:rsidRPr="00146564">
              <w:rPr>
                <w:rFonts w:ascii="Public Sans" w:hAnsi="Public Sans"/>
                <w:b/>
                <w:sz w:val="16"/>
                <w:szCs w:val="16"/>
              </w:rPr>
              <w:t>1,307</w:t>
            </w:r>
            <w:r>
              <w:rPr>
                <w:rFonts w:ascii="Public Sans" w:hAnsi="Public Sans"/>
                <w:b/>
                <w:sz w:val="16"/>
                <w:szCs w:val="16"/>
              </w:rPr>
              <w:t>)</w:t>
            </w:r>
          </w:p>
        </w:tc>
        <w:tc>
          <w:tcPr>
            <w:tcW w:w="955" w:type="dxa"/>
            <w:tcBorders>
              <w:top w:val="single" w:sz="4" w:space="0" w:color="auto"/>
              <w:left w:val="nil"/>
              <w:bottom w:val="single" w:sz="4" w:space="0" w:color="auto"/>
              <w:right w:val="nil"/>
            </w:tcBorders>
            <w:shd w:val="clear" w:color="auto" w:fill="FFFFFF" w:themeFill="background1"/>
            <w:vAlign w:val="center"/>
          </w:tcPr>
          <w:p w14:paraId="70C0882D" w14:textId="77777777" w:rsidR="00A26E97" w:rsidRPr="009275B5" w:rsidRDefault="00A26E97" w:rsidP="00C2056E">
            <w:pPr>
              <w:jc w:val="right"/>
              <w:rPr>
                <w:rFonts w:ascii="Public Sans" w:hAnsi="Public Sans" w:cs="Arial"/>
                <w:b/>
                <w:sz w:val="16"/>
                <w:szCs w:val="16"/>
                <w:lang w:val="en-AU" w:eastAsia="en-AU"/>
              </w:rPr>
            </w:pPr>
            <w:r w:rsidRPr="00542E89">
              <w:rPr>
                <w:rFonts w:ascii="Public Sans" w:hAnsi="Public Sans"/>
                <w:b/>
                <w:sz w:val="16"/>
                <w:szCs w:val="16"/>
              </w:rPr>
              <w:t>N/A</w:t>
            </w:r>
          </w:p>
        </w:tc>
      </w:tr>
      <w:tr w:rsidR="00A26E97" w:rsidRPr="00DE4207" w14:paraId="5EDF6DAE" w14:textId="77777777" w:rsidTr="00C2056E">
        <w:trPr>
          <w:trHeight w:val="490"/>
        </w:trPr>
        <w:tc>
          <w:tcPr>
            <w:tcW w:w="4765" w:type="dxa"/>
            <w:tcBorders>
              <w:top w:val="nil"/>
              <w:left w:val="nil"/>
              <w:bottom w:val="nil"/>
              <w:right w:val="nil"/>
            </w:tcBorders>
            <w:shd w:val="clear" w:color="auto" w:fill="FFFFFF" w:themeFill="background1"/>
            <w:noWrap/>
            <w:vAlign w:val="center"/>
          </w:tcPr>
          <w:p w14:paraId="0123776C" w14:textId="77777777" w:rsidR="00A26E97" w:rsidRPr="00A001E1" w:rsidRDefault="00A26E97" w:rsidP="00C2056E">
            <w:pPr>
              <w:rPr>
                <w:rFonts w:ascii="Public Sans" w:hAnsi="Public Sans" w:cs="Arial"/>
                <w:bCs/>
                <w:sz w:val="16"/>
                <w:szCs w:val="16"/>
                <w:lang w:val="en-AU" w:eastAsia="en-AU"/>
              </w:rPr>
            </w:pPr>
            <w:r w:rsidRPr="00A001E1">
              <w:rPr>
                <w:rFonts w:ascii="Public Sans" w:hAnsi="Public Sans" w:cs="Arial"/>
                <w:bCs/>
                <w:sz w:val="16"/>
                <w:szCs w:val="16"/>
                <w:lang w:val="en-AU" w:eastAsia="en-AU"/>
              </w:rPr>
              <w:t xml:space="preserve">Changes from the </w:t>
            </w:r>
            <w:r>
              <w:rPr>
                <w:rFonts w:ascii="Public Sans" w:hAnsi="Public Sans" w:cs="Arial"/>
                <w:bCs/>
                <w:sz w:val="16"/>
                <w:szCs w:val="16"/>
                <w:lang w:val="en-AU" w:eastAsia="en-AU"/>
              </w:rPr>
              <w:t xml:space="preserve">2024-25 Half-Yearly Review </w:t>
            </w:r>
            <w:r w:rsidRPr="00A001E1">
              <w:rPr>
                <w:rFonts w:ascii="Public Sans" w:hAnsi="Public Sans" w:cs="Arial"/>
                <w:bCs/>
                <w:sz w:val="16"/>
                <w:szCs w:val="16"/>
                <w:lang w:val="en-AU" w:eastAsia="en-AU"/>
              </w:rPr>
              <w:t xml:space="preserve">to </w:t>
            </w:r>
            <w:r>
              <w:rPr>
                <w:rFonts w:ascii="Public Sans" w:hAnsi="Public Sans" w:cs="Arial"/>
                <w:bCs/>
                <w:sz w:val="16"/>
                <w:szCs w:val="16"/>
                <w:lang w:val="en-AU" w:eastAsia="en-AU"/>
              </w:rPr>
              <w:t>2025-26</w:t>
            </w:r>
            <w:r w:rsidRPr="00A001E1">
              <w:rPr>
                <w:rFonts w:ascii="Public Sans" w:hAnsi="Public Sans" w:cs="Arial"/>
                <w:bCs/>
                <w:sz w:val="16"/>
                <w:szCs w:val="16"/>
                <w:lang w:val="en-AU" w:eastAsia="en-AU"/>
              </w:rPr>
              <w:t xml:space="preserve"> Budget</w:t>
            </w:r>
          </w:p>
        </w:tc>
        <w:tc>
          <w:tcPr>
            <w:tcW w:w="953" w:type="dxa"/>
            <w:tcBorders>
              <w:top w:val="nil"/>
              <w:left w:val="nil"/>
              <w:bottom w:val="nil"/>
              <w:right w:val="nil"/>
            </w:tcBorders>
            <w:shd w:val="clear" w:color="auto" w:fill="FFFFFF" w:themeFill="background1"/>
            <w:noWrap/>
            <w:vAlign w:val="bottom"/>
          </w:tcPr>
          <w:p w14:paraId="48A91B3D" w14:textId="77777777" w:rsidR="00A26E97" w:rsidRPr="009275B5" w:rsidRDefault="00A26E97" w:rsidP="00C2056E">
            <w:pPr>
              <w:jc w:val="right"/>
              <w:rPr>
                <w:rFonts w:ascii="Public Sans" w:hAnsi="Public Sans" w:cs="Arial"/>
                <w:sz w:val="16"/>
                <w:szCs w:val="16"/>
                <w:lang w:val="en-AU" w:eastAsia="en-AU"/>
              </w:rPr>
            </w:pPr>
          </w:p>
        </w:tc>
        <w:tc>
          <w:tcPr>
            <w:tcW w:w="953" w:type="dxa"/>
            <w:tcBorders>
              <w:top w:val="nil"/>
              <w:left w:val="nil"/>
              <w:bottom w:val="nil"/>
              <w:right w:val="nil"/>
            </w:tcBorders>
            <w:noWrap/>
            <w:vAlign w:val="bottom"/>
          </w:tcPr>
          <w:p w14:paraId="1A86C510" w14:textId="77777777" w:rsidR="00A26E97" w:rsidRPr="009275B5" w:rsidRDefault="00A26E97" w:rsidP="00C2056E">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FFFFFF" w:themeFill="background1"/>
            <w:noWrap/>
            <w:vAlign w:val="bottom"/>
          </w:tcPr>
          <w:p w14:paraId="3F42A3D8" w14:textId="77777777" w:rsidR="00A26E97" w:rsidRPr="009275B5" w:rsidRDefault="00A26E97" w:rsidP="00C2056E">
            <w:pPr>
              <w:jc w:val="right"/>
              <w:rPr>
                <w:rFonts w:ascii="Public Sans" w:hAnsi="Public Sans" w:cs="Arial"/>
                <w:sz w:val="16"/>
                <w:szCs w:val="16"/>
                <w:lang w:val="en-AU" w:eastAsia="en-AU"/>
              </w:rPr>
            </w:pPr>
          </w:p>
        </w:tc>
        <w:tc>
          <w:tcPr>
            <w:tcW w:w="954" w:type="dxa"/>
            <w:tcBorders>
              <w:top w:val="nil"/>
              <w:left w:val="nil"/>
              <w:bottom w:val="nil"/>
              <w:right w:val="nil"/>
            </w:tcBorders>
            <w:shd w:val="clear" w:color="auto" w:fill="FFFFFF" w:themeFill="background1"/>
            <w:noWrap/>
            <w:vAlign w:val="bottom"/>
          </w:tcPr>
          <w:p w14:paraId="7A9475AC" w14:textId="77777777" w:rsidR="00A26E97" w:rsidRPr="009275B5" w:rsidRDefault="00A26E97" w:rsidP="00C2056E">
            <w:pPr>
              <w:jc w:val="right"/>
              <w:rPr>
                <w:rFonts w:ascii="Public Sans" w:hAnsi="Public Sans" w:cs="Arial"/>
                <w:sz w:val="16"/>
                <w:szCs w:val="16"/>
                <w:lang w:val="en-AU" w:eastAsia="en-AU"/>
              </w:rPr>
            </w:pPr>
          </w:p>
        </w:tc>
        <w:tc>
          <w:tcPr>
            <w:tcW w:w="955" w:type="dxa"/>
            <w:tcBorders>
              <w:top w:val="nil"/>
              <w:left w:val="nil"/>
              <w:bottom w:val="nil"/>
              <w:right w:val="nil"/>
            </w:tcBorders>
            <w:shd w:val="clear" w:color="auto" w:fill="FFFFFF" w:themeFill="background1"/>
            <w:vAlign w:val="bottom"/>
          </w:tcPr>
          <w:p w14:paraId="2C735061" w14:textId="77777777" w:rsidR="00A26E97" w:rsidRDefault="00A26E97" w:rsidP="00C2056E">
            <w:pPr>
              <w:jc w:val="right"/>
              <w:rPr>
                <w:rFonts w:ascii="Public Sans" w:hAnsi="Public Sans" w:cs="Arial"/>
                <w:sz w:val="16"/>
                <w:szCs w:val="16"/>
                <w:lang w:val="en-AU" w:eastAsia="en-AU"/>
              </w:rPr>
            </w:pPr>
          </w:p>
        </w:tc>
      </w:tr>
      <w:tr w:rsidR="00A26E97" w:rsidRPr="00DE4207" w14:paraId="3864E753" w14:textId="77777777" w:rsidTr="00C2056E">
        <w:trPr>
          <w:trHeight w:val="227"/>
        </w:trPr>
        <w:tc>
          <w:tcPr>
            <w:tcW w:w="4765" w:type="dxa"/>
            <w:tcBorders>
              <w:top w:val="nil"/>
              <w:left w:val="nil"/>
              <w:bottom w:val="nil"/>
              <w:right w:val="nil"/>
            </w:tcBorders>
            <w:shd w:val="clear" w:color="auto" w:fill="FFFFFF" w:themeFill="background1"/>
            <w:noWrap/>
            <w:vAlign w:val="center"/>
            <w:hideMark/>
          </w:tcPr>
          <w:p w14:paraId="3C7FA140" w14:textId="77777777" w:rsidR="00A26E97" w:rsidRPr="009275B5" w:rsidRDefault="00A26E97" w:rsidP="00C2056E">
            <w:pPr>
              <w:ind w:firstLineChars="300" w:firstLine="480"/>
              <w:rPr>
                <w:rFonts w:ascii="Public Sans" w:hAnsi="Public Sans" w:cs="Arial"/>
                <w:sz w:val="16"/>
                <w:szCs w:val="16"/>
                <w:lang w:val="en-AU" w:eastAsia="en-AU"/>
              </w:rPr>
            </w:pPr>
            <w:r w:rsidRPr="009275B5">
              <w:rPr>
                <w:rFonts w:ascii="Public Sans" w:hAnsi="Public Sans" w:cs="Arial"/>
                <w:sz w:val="16"/>
                <w:szCs w:val="16"/>
                <w:lang w:val="en-AU" w:eastAsia="en-AU"/>
              </w:rPr>
              <w:t>Revenues</w:t>
            </w:r>
          </w:p>
        </w:tc>
        <w:tc>
          <w:tcPr>
            <w:tcW w:w="953" w:type="dxa"/>
            <w:tcBorders>
              <w:top w:val="nil"/>
              <w:left w:val="nil"/>
              <w:bottom w:val="nil"/>
              <w:right w:val="nil"/>
            </w:tcBorders>
            <w:shd w:val="clear" w:color="auto" w:fill="FFFFFF" w:themeFill="background1"/>
            <w:noWrap/>
            <w:vAlign w:val="center"/>
          </w:tcPr>
          <w:p w14:paraId="0759E374" w14:textId="77777777" w:rsidR="00A26E97" w:rsidRPr="00146564" w:rsidRDefault="00A26E97" w:rsidP="00C2056E">
            <w:pPr>
              <w:jc w:val="right"/>
              <w:rPr>
                <w:rFonts w:ascii="Public Sans" w:hAnsi="Public Sans" w:cs="Arial"/>
                <w:sz w:val="16"/>
                <w:szCs w:val="16"/>
                <w:lang w:val="en-AU" w:eastAsia="en-AU"/>
              </w:rPr>
            </w:pPr>
            <w:r>
              <w:rPr>
                <w:rFonts w:ascii="Public Sans" w:hAnsi="Public Sans" w:cs="Calibri"/>
                <w:color w:val="000000"/>
                <w:sz w:val="16"/>
                <w:szCs w:val="16"/>
              </w:rPr>
              <w:t>(</w:t>
            </w:r>
            <w:r w:rsidRPr="00146564">
              <w:rPr>
                <w:rFonts w:ascii="Public Sans" w:hAnsi="Public Sans" w:cs="Calibri"/>
                <w:color w:val="000000"/>
                <w:sz w:val="16"/>
                <w:szCs w:val="16"/>
              </w:rPr>
              <w:t>530</w:t>
            </w:r>
            <w:r>
              <w:rPr>
                <w:rFonts w:ascii="Public Sans" w:hAnsi="Public Sans" w:cs="Calibri"/>
                <w:color w:val="000000"/>
                <w:sz w:val="16"/>
                <w:szCs w:val="16"/>
              </w:rPr>
              <w:t>)</w:t>
            </w:r>
          </w:p>
        </w:tc>
        <w:tc>
          <w:tcPr>
            <w:tcW w:w="953" w:type="dxa"/>
            <w:tcBorders>
              <w:top w:val="nil"/>
              <w:left w:val="nil"/>
              <w:bottom w:val="nil"/>
              <w:right w:val="nil"/>
            </w:tcBorders>
            <w:noWrap/>
          </w:tcPr>
          <w:p w14:paraId="1E778C65"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Calibri"/>
                <w:color w:val="000000"/>
                <w:sz w:val="16"/>
                <w:szCs w:val="16"/>
              </w:rPr>
              <w:t>806</w:t>
            </w:r>
          </w:p>
        </w:tc>
        <w:tc>
          <w:tcPr>
            <w:tcW w:w="953" w:type="dxa"/>
            <w:tcBorders>
              <w:top w:val="nil"/>
              <w:left w:val="nil"/>
              <w:bottom w:val="nil"/>
              <w:right w:val="nil"/>
            </w:tcBorders>
            <w:shd w:val="clear" w:color="auto" w:fill="FFFFFF" w:themeFill="background1"/>
            <w:noWrap/>
          </w:tcPr>
          <w:p w14:paraId="6B51BB75"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Calibri"/>
                <w:color w:val="000000"/>
                <w:sz w:val="16"/>
                <w:szCs w:val="16"/>
              </w:rPr>
              <w:t>1,370</w:t>
            </w:r>
          </w:p>
        </w:tc>
        <w:tc>
          <w:tcPr>
            <w:tcW w:w="954" w:type="dxa"/>
            <w:tcBorders>
              <w:top w:val="nil"/>
              <w:left w:val="nil"/>
              <w:bottom w:val="nil"/>
              <w:right w:val="nil"/>
            </w:tcBorders>
            <w:shd w:val="clear" w:color="auto" w:fill="FFFFFF" w:themeFill="background1"/>
            <w:noWrap/>
          </w:tcPr>
          <w:p w14:paraId="39915D42"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Calibri"/>
                <w:color w:val="000000"/>
                <w:sz w:val="16"/>
                <w:szCs w:val="16"/>
              </w:rPr>
              <w:t>4,818</w:t>
            </w:r>
          </w:p>
        </w:tc>
        <w:tc>
          <w:tcPr>
            <w:tcW w:w="955" w:type="dxa"/>
            <w:tcBorders>
              <w:top w:val="nil"/>
              <w:left w:val="nil"/>
              <w:bottom w:val="nil"/>
              <w:right w:val="nil"/>
            </w:tcBorders>
            <w:shd w:val="clear" w:color="auto" w:fill="FFFFFF" w:themeFill="background1"/>
            <w:vAlign w:val="center"/>
          </w:tcPr>
          <w:p w14:paraId="18B37A3B" w14:textId="77777777" w:rsidR="00A26E97" w:rsidRPr="00BB22F5" w:rsidRDefault="00A26E97" w:rsidP="00C2056E">
            <w:pPr>
              <w:jc w:val="right"/>
              <w:rPr>
                <w:rFonts w:ascii="Public Sans" w:hAnsi="Public Sans" w:cs="Arial"/>
                <w:sz w:val="16"/>
                <w:szCs w:val="16"/>
                <w:lang w:val="en-AU" w:eastAsia="en-AU"/>
              </w:rPr>
            </w:pPr>
            <w:r w:rsidRPr="00BB22F5">
              <w:rPr>
                <w:rFonts w:ascii="Public Sans" w:hAnsi="Public Sans" w:cs="Arial"/>
                <w:sz w:val="16"/>
                <w:szCs w:val="16"/>
                <w:lang w:val="en-AU" w:eastAsia="en-AU"/>
              </w:rPr>
              <w:t>N/A</w:t>
            </w:r>
          </w:p>
        </w:tc>
      </w:tr>
      <w:tr w:rsidR="00A26E97" w:rsidRPr="00DE4207" w14:paraId="216517D5" w14:textId="77777777" w:rsidTr="00C2056E">
        <w:trPr>
          <w:trHeight w:val="227"/>
        </w:trPr>
        <w:tc>
          <w:tcPr>
            <w:tcW w:w="4765" w:type="dxa"/>
            <w:tcBorders>
              <w:top w:val="nil"/>
              <w:left w:val="nil"/>
              <w:bottom w:val="nil"/>
              <w:right w:val="nil"/>
            </w:tcBorders>
            <w:shd w:val="clear" w:color="auto" w:fill="FFFFFF" w:themeFill="background1"/>
            <w:noWrap/>
            <w:vAlign w:val="center"/>
            <w:hideMark/>
          </w:tcPr>
          <w:p w14:paraId="120B3658" w14:textId="77777777" w:rsidR="00A26E97" w:rsidRPr="009275B5" w:rsidRDefault="00A26E97" w:rsidP="00C2056E">
            <w:pPr>
              <w:ind w:firstLineChars="300" w:firstLine="480"/>
              <w:rPr>
                <w:rFonts w:ascii="Public Sans" w:hAnsi="Public Sans" w:cs="Arial"/>
                <w:sz w:val="16"/>
                <w:szCs w:val="16"/>
                <w:lang w:val="en-AU" w:eastAsia="en-AU"/>
              </w:rPr>
            </w:pPr>
            <w:r w:rsidRPr="009275B5">
              <w:rPr>
                <w:rFonts w:ascii="Public Sans" w:hAnsi="Public Sans" w:cs="Arial"/>
                <w:sz w:val="16"/>
                <w:szCs w:val="16"/>
                <w:lang w:val="en-AU" w:eastAsia="en-AU"/>
              </w:rPr>
              <w:t>Expenses</w:t>
            </w:r>
          </w:p>
        </w:tc>
        <w:tc>
          <w:tcPr>
            <w:tcW w:w="953" w:type="dxa"/>
            <w:tcBorders>
              <w:top w:val="nil"/>
              <w:left w:val="nil"/>
              <w:bottom w:val="nil"/>
              <w:right w:val="nil"/>
            </w:tcBorders>
            <w:shd w:val="clear" w:color="auto" w:fill="FFFFFF" w:themeFill="background1"/>
            <w:noWrap/>
          </w:tcPr>
          <w:p w14:paraId="5330839E"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Calibri"/>
                <w:color w:val="000000"/>
                <w:sz w:val="16"/>
                <w:szCs w:val="16"/>
              </w:rPr>
              <w:t>202</w:t>
            </w:r>
          </w:p>
        </w:tc>
        <w:tc>
          <w:tcPr>
            <w:tcW w:w="953" w:type="dxa"/>
            <w:tcBorders>
              <w:top w:val="nil"/>
              <w:left w:val="nil"/>
              <w:bottom w:val="nil"/>
              <w:right w:val="nil"/>
            </w:tcBorders>
            <w:noWrap/>
          </w:tcPr>
          <w:p w14:paraId="07362057"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Calibri"/>
                <w:color w:val="000000"/>
                <w:sz w:val="16"/>
                <w:szCs w:val="16"/>
              </w:rPr>
              <w:t>2,015</w:t>
            </w:r>
          </w:p>
        </w:tc>
        <w:tc>
          <w:tcPr>
            <w:tcW w:w="953" w:type="dxa"/>
            <w:tcBorders>
              <w:top w:val="nil"/>
              <w:left w:val="nil"/>
              <w:bottom w:val="nil"/>
              <w:right w:val="nil"/>
            </w:tcBorders>
            <w:shd w:val="clear" w:color="auto" w:fill="FFFFFF" w:themeFill="background1"/>
            <w:noWrap/>
          </w:tcPr>
          <w:p w14:paraId="42835836"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Calibri"/>
                <w:color w:val="000000"/>
                <w:sz w:val="16"/>
                <w:szCs w:val="16"/>
              </w:rPr>
              <w:t>782</w:t>
            </w:r>
          </w:p>
        </w:tc>
        <w:tc>
          <w:tcPr>
            <w:tcW w:w="954" w:type="dxa"/>
            <w:tcBorders>
              <w:top w:val="nil"/>
              <w:left w:val="nil"/>
              <w:bottom w:val="nil"/>
              <w:right w:val="nil"/>
            </w:tcBorders>
            <w:shd w:val="clear" w:color="auto" w:fill="FFFFFF" w:themeFill="background1"/>
            <w:noWrap/>
          </w:tcPr>
          <w:p w14:paraId="43DBE8B5"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Calibri"/>
                <w:color w:val="000000"/>
                <w:sz w:val="16"/>
                <w:szCs w:val="16"/>
              </w:rPr>
              <w:t>2,379</w:t>
            </w:r>
          </w:p>
        </w:tc>
        <w:tc>
          <w:tcPr>
            <w:tcW w:w="955" w:type="dxa"/>
            <w:tcBorders>
              <w:top w:val="nil"/>
              <w:left w:val="nil"/>
              <w:bottom w:val="nil"/>
              <w:right w:val="nil"/>
            </w:tcBorders>
            <w:shd w:val="clear" w:color="auto" w:fill="FFFFFF" w:themeFill="background1"/>
            <w:vAlign w:val="center"/>
          </w:tcPr>
          <w:p w14:paraId="667B4078" w14:textId="77777777" w:rsidR="00A26E97" w:rsidRPr="00BB22F5" w:rsidRDefault="00A26E97" w:rsidP="00C2056E">
            <w:pPr>
              <w:jc w:val="right"/>
              <w:rPr>
                <w:rFonts w:ascii="Public Sans" w:hAnsi="Public Sans" w:cs="Arial"/>
                <w:sz w:val="16"/>
                <w:szCs w:val="16"/>
                <w:lang w:val="en-AU" w:eastAsia="en-AU"/>
              </w:rPr>
            </w:pPr>
            <w:r w:rsidRPr="00BB22F5">
              <w:rPr>
                <w:rFonts w:ascii="Public Sans" w:hAnsi="Public Sans"/>
                <w:sz w:val="16"/>
                <w:szCs w:val="16"/>
              </w:rPr>
              <w:t xml:space="preserve">N/A </w:t>
            </w:r>
          </w:p>
        </w:tc>
      </w:tr>
      <w:tr w:rsidR="00A26E97" w:rsidRPr="00DE4207" w14:paraId="294DCE0D" w14:textId="77777777" w:rsidTr="00C2056E">
        <w:trPr>
          <w:trHeight w:val="314"/>
        </w:trPr>
        <w:tc>
          <w:tcPr>
            <w:tcW w:w="4765" w:type="dxa"/>
            <w:tcBorders>
              <w:top w:val="nil"/>
              <w:left w:val="nil"/>
              <w:bottom w:val="nil"/>
              <w:right w:val="nil"/>
            </w:tcBorders>
            <w:noWrap/>
            <w:vAlign w:val="center"/>
            <w:hideMark/>
          </w:tcPr>
          <w:p w14:paraId="3E5010DC" w14:textId="77777777" w:rsidR="00A26E97" w:rsidRPr="00A001E1" w:rsidRDefault="00A26E97" w:rsidP="00C2056E">
            <w:pPr>
              <w:rPr>
                <w:rFonts w:ascii="Public Sans" w:hAnsi="Public Sans" w:cs="Arial"/>
                <w:bCs/>
                <w:sz w:val="17"/>
                <w:szCs w:val="17"/>
                <w:lang w:val="en-AU" w:eastAsia="en-AU"/>
              </w:rPr>
            </w:pPr>
            <w:r w:rsidRPr="00A001E1">
              <w:rPr>
                <w:rFonts w:ascii="Public Sans" w:hAnsi="Public Sans" w:cs="Arial"/>
                <w:bCs/>
                <w:sz w:val="17"/>
                <w:szCs w:val="17"/>
                <w:lang w:val="en-AU" w:eastAsia="en-AU"/>
              </w:rPr>
              <w:t>Total budget result impact</w:t>
            </w:r>
          </w:p>
        </w:tc>
        <w:tc>
          <w:tcPr>
            <w:tcW w:w="953" w:type="dxa"/>
            <w:tcBorders>
              <w:top w:val="nil"/>
              <w:left w:val="nil"/>
              <w:bottom w:val="nil"/>
              <w:right w:val="nil"/>
            </w:tcBorders>
            <w:shd w:val="clear" w:color="auto" w:fill="FFFFFF" w:themeFill="background1"/>
            <w:noWrap/>
          </w:tcPr>
          <w:p w14:paraId="20A39088" w14:textId="77777777" w:rsidR="00A26E97" w:rsidRPr="00146564" w:rsidRDefault="00A26E97" w:rsidP="00C2056E">
            <w:pPr>
              <w:jc w:val="right"/>
              <w:rPr>
                <w:rFonts w:ascii="Public Sans" w:hAnsi="Public Sans" w:cs="Arial"/>
                <w:sz w:val="16"/>
                <w:szCs w:val="16"/>
                <w:lang w:val="en-AU" w:eastAsia="en-AU"/>
              </w:rPr>
            </w:pPr>
            <w:r>
              <w:rPr>
                <w:rFonts w:ascii="Public Sans" w:hAnsi="Public Sans" w:cs="Calibri"/>
                <w:color w:val="000000"/>
                <w:sz w:val="16"/>
                <w:szCs w:val="16"/>
              </w:rPr>
              <w:t>(</w:t>
            </w:r>
            <w:r w:rsidRPr="00146564">
              <w:rPr>
                <w:rFonts w:ascii="Public Sans" w:hAnsi="Public Sans" w:cs="Calibri"/>
                <w:color w:val="000000"/>
                <w:sz w:val="16"/>
                <w:szCs w:val="16"/>
              </w:rPr>
              <w:t>733</w:t>
            </w:r>
            <w:r>
              <w:rPr>
                <w:rFonts w:ascii="Public Sans" w:hAnsi="Public Sans" w:cs="Calibri"/>
                <w:color w:val="000000"/>
                <w:sz w:val="16"/>
                <w:szCs w:val="16"/>
              </w:rPr>
              <w:t>)</w:t>
            </w:r>
          </w:p>
        </w:tc>
        <w:tc>
          <w:tcPr>
            <w:tcW w:w="953" w:type="dxa"/>
            <w:tcBorders>
              <w:top w:val="nil"/>
              <w:left w:val="nil"/>
              <w:bottom w:val="nil"/>
              <w:right w:val="nil"/>
            </w:tcBorders>
            <w:noWrap/>
          </w:tcPr>
          <w:p w14:paraId="3DEC6542" w14:textId="77777777" w:rsidR="00A26E97" w:rsidRPr="00146564" w:rsidRDefault="00A26E97" w:rsidP="00C2056E">
            <w:pPr>
              <w:jc w:val="right"/>
              <w:rPr>
                <w:rFonts w:ascii="Public Sans" w:hAnsi="Public Sans" w:cs="Arial"/>
                <w:sz w:val="16"/>
                <w:szCs w:val="16"/>
                <w:lang w:val="en-AU" w:eastAsia="en-AU"/>
              </w:rPr>
            </w:pPr>
            <w:r>
              <w:rPr>
                <w:rFonts w:ascii="Public Sans" w:hAnsi="Public Sans" w:cs="Calibri"/>
                <w:color w:val="000000"/>
                <w:sz w:val="16"/>
                <w:szCs w:val="16"/>
              </w:rPr>
              <w:t>(</w:t>
            </w:r>
            <w:r w:rsidRPr="00146564">
              <w:rPr>
                <w:rFonts w:ascii="Public Sans" w:hAnsi="Public Sans" w:cs="Calibri"/>
                <w:color w:val="000000"/>
                <w:sz w:val="16"/>
                <w:szCs w:val="16"/>
              </w:rPr>
              <w:t>1,209</w:t>
            </w:r>
            <w:r>
              <w:rPr>
                <w:rFonts w:ascii="Public Sans" w:hAnsi="Public Sans" w:cs="Calibri"/>
                <w:color w:val="000000"/>
                <w:sz w:val="16"/>
                <w:szCs w:val="16"/>
              </w:rPr>
              <w:t>)</w:t>
            </w:r>
          </w:p>
        </w:tc>
        <w:tc>
          <w:tcPr>
            <w:tcW w:w="953" w:type="dxa"/>
            <w:tcBorders>
              <w:top w:val="nil"/>
              <w:left w:val="nil"/>
              <w:bottom w:val="nil"/>
              <w:right w:val="nil"/>
            </w:tcBorders>
            <w:shd w:val="clear" w:color="auto" w:fill="FFFFFF" w:themeFill="background1"/>
            <w:noWrap/>
          </w:tcPr>
          <w:p w14:paraId="30F56321"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Calibri"/>
                <w:color w:val="000000"/>
                <w:sz w:val="16"/>
                <w:szCs w:val="16"/>
              </w:rPr>
              <w:t>589</w:t>
            </w:r>
          </w:p>
        </w:tc>
        <w:tc>
          <w:tcPr>
            <w:tcW w:w="954" w:type="dxa"/>
            <w:tcBorders>
              <w:top w:val="nil"/>
              <w:left w:val="nil"/>
              <w:bottom w:val="nil"/>
              <w:right w:val="nil"/>
            </w:tcBorders>
            <w:shd w:val="clear" w:color="auto" w:fill="FFFFFF" w:themeFill="background1"/>
            <w:noWrap/>
          </w:tcPr>
          <w:p w14:paraId="50E8ADC6" w14:textId="77777777" w:rsidR="00A26E97" w:rsidRPr="00146564" w:rsidRDefault="00A26E97" w:rsidP="00C2056E">
            <w:pPr>
              <w:jc w:val="right"/>
              <w:rPr>
                <w:rFonts w:ascii="Public Sans" w:hAnsi="Public Sans" w:cs="Arial"/>
                <w:sz w:val="16"/>
                <w:szCs w:val="16"/>
                <w:lang w:val="en-AU" w:eastAsia="en-AU"/>
              </w:rPr>
            </w:pPr>
            <w:r w:rsidRPr="00146564">
              <w:rPr>
                <w:rFonts w:ascii="Public Sans" w:hAnsi="Public Sans" w:cs="Calibri"/>
                <w:color w:val="000000"/>
                <w:sz w:val="16"/>
                <w:szCs w:val="16"/>
              </w:rPr>
              <w:t>2,439</w:t>
            </w:r>
          </w:p>
        </w:tc>
        <w:tc>
          <w:tcPr>
            <w:tcW w:w="955" w:type="dxa"/>
            <w:tcBorders>
              <w:top w:val="nil"/>
              <w:left w:val="nil"/>
              <w:bottom w:val="nil"/>
              <w:right w:val="nil"/>
            </w:tcBorders>
            <w:shd w:val="clear" w:color="auto" w:fill="FFFFFF" w:themeFill="background1"/>
            <w:vAlign w:val="center"/>
          </w:tcPr>
          <w:p w14:paraId="095F5508" w14:textId="77777777" w:rsidR="00A26E97" w:rsidRPr="00BB22F5" w:rsidRDefault="00A26E97" w:rsidP="00C2056E">
            <w:pPr>
              <w:jc w:val="right"/>
              <w:rPr>
                <w:rFonts w:ascii="Public Sans" w:hAnsi="Public Sans" w:cs="Arial"/>
                <w:sz w:val="16"/>
                <w:szCs w:val="16"/>
                <w:lang w:val="en-AU" w:eastAsia="en-AU"/>
              </w:rPr>
            </w:pPr>
            <w:r w:rsidRPr="00BB22F5">
              <w:rPr>
                <w:rFonts w:ascii="Public Sans" w:hAnsi="Public Sans"/>
                <w:sz w:val="16"/>
                <w:szCs w:val="16"/>
              </w:rPr>
              <w:t xml:space="preserve">N/A </w:t>
            </w:r>
          </w:p>
        </w:tc>
      </w:tr>
      <w:tr w:rsidR="00A26E97" w:rsidRPr="00297B76" w14:paraId="394BE49A" w14:textId="77777777" w:rsidTr="00C2056E">
        <w:trPr>
          <w:trHeight w:val="340"/>
        </w:trPr>
        <w:tc>
          <w:tcPr>
            <w:tcW w:w="4765" w:type="dxa"/>
            <w:tcBorders>
              <w:top w:val="single" w:sz="4" w:space="0" w:color="auto"/>
              <w:left w:val="nil"/>
              <w:bottom w:val="single" w:sz="4" w:space="0" w:color="auto"/>
              <w:right w:val="nil"/>
            </w:tcBorders>
            <w:noWrap/>
            <w:vAlign w:val="center"/>
            <w:hideMark/>
          </w:tcPr>
          <w:p w14:paraId="28E6A0C4" w14:textId="77777777" w:rsidR="00A26E97" w:rsidRPr="009275B5" w:rsidRDefault="00A26E97" w:rsidP="00C2056E">
            <w:pPr>
              <w:rPr>
                <w:rFonts w:ascii="Public Sans" w:hAnsi="Public Sans" w:cs="Arial"/>
                <w:b/>
                <w:sz w:val="17"/>
                <w:szCs w:val="17"/>
                <w:lang w:val="en-AU" w:eastAsia="en-AU"/>
              </w:rPr>
            </w:pPr>
            <w:r w:rsidRPr="009275B5">
              <w:rPr>
                <w:rFonts w:ascii="Public Sans" w:hAnsi="Public Sans" w:cs="Arial"/>
                <w:b/>
                <w:sz w:val="17"/>
                <w:szCs w:val="17"/>
                <w:lang w:val="en-AU" w:eastAsia="en-AU"/>
              </w:rPr>
              <w:t xml:space="preserve">Budget result: </w:t>
            </w:r>
            <w:r>
              <w:rPr>
                <w:rFonts w:ascii="Public Sans" w:hAnsi="Public Sans" w:cs="Arial"/>
                <w:b/>
                <w:sz w:val="17"/>
                <w:szCs w:val="17"/>
                <w:lang w:val="en-AU" w:eastAsia="en-AU"/>
              </w:rPr>
              <w:t>2025-26</w:t>
            </w:r>
            <w:r w:rsidRPr="009275B5">
              <w:rPr>
                <w:rFonts w:ascii="Public Sans" w:hAnsi="Public Sans" w:cs="Arial"/>
                <w:b/>
                <w:sz w:val="17"/>
                <w:szCs w:val="17"/>
                <w:lang w:val="en-AU" w:eastAsia="en-AU"/>
              </w:rPr>
              <w:t xml:space="preserve"> Budget</w:t>
            </w:r>
          </w:p>
        </w:tc>
        <w:tc>
          <w:tcPr>
            <w:tcW w:w="953" w:type="dxa"/>
            <w:tcBorders>
              <w:top w:val="single" w:sz="4" w:space="0" w:color="auto"/>
              <w:left w:val="nil"/>
              <w:bottom w:val="single" w:sz="4" w:space="0" w:color="auto"/>
              <w:right w:val="nil"/>
            </w:tcBorders>
            <w:noWrap/>
            <w:vAlign w:val="center"/>
            <w:hideMark/>
          </w:tcPr>
          <w:p w14:paraId="32B24317"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cs="Calibri"/>
                <w:b/>
                <w:color w:val="000000"/>
                <w:sz w:val="16"/>
                <w:szCs w:val="16"/>
              </w:rPr>
              <w:t>(</w:t>
            </w:r>
            <w:r w:rsidRPr="00146564">
              <w:rPr>
                <w:rFonts w:ascii="Public Sans" w:hAnsi="Public Sans" w:cs="Calibri"/>
                <w:b/>
                <w:color w:val="000000"/>
                <w:sz w:val="16"/>
                <w:szCs w:val="16"/>
              </w:rPr>
              <w:t>5,715</w:t>
            </w:r>
            <w:r>
              <w:rPr>
                <w:rFonts w:ascii="Public Sans" w:hAnsi="Public Sans" w:cs="Calibri"/>
                <w:b/>
                <w:color w:val="000000"/>
                <w:sz w:val="16"/>
                <w:szCs w:val="16"/>
              </w:rPr>
              <w:t>)</w:t>
            </w:r>
          </w:p>
        </w:tc>
        <w:tc>
          <w:tcPr>
            <w:tcW w:w="953" w:type="dxa"/>
            <w:tcBorders>
              <w:top w:val="single" w:sz="4" w:space="0" w:color="auto"/>
              <w:left w:val="nil"/>
              <w:bottom w:val="single" w:sz="4" w:space="0" w:color="auto"/>
              <w:right w:val="nil"/>
            </w:tcBorders>
            <w:noWrap/>
            <w:vAlign w:val="center"/>
            <w:hideMark/>
          </w:tcPr>
          <w:p w14:paraId="7BC4928F"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cs="Calibri"/>
                <w:b/>
                <w:color w:val="000000"/>
                <w:sz w:val="16"/>
                <w:szCs w:val="16"/>
              </w:rPr>
              <w:t>(</w:t>
            </w:r>
            <w:r w:rsidRPr="00146564">
              <w:rPr>
                <w:rFonts w:ascii="Public Sans" w:hAnsi="Public Sans" w:cs="Calibri"/>
                <w:b/>
                <w:color w:val="000000"/>
                <w:sz w:val="16"/>
                <w:szCs w:val="16"/>
              </w:rPr>
              <w:t>3,427</w:t>
            </w:r>
            <w:r>
              <w:rPr>
                <w:rFonts w:ascii="Public Sans" w:hAnsi="Public Sans" w:cs="Calibri"/>
                <w:b/>
                <w:color w:val="000000"/>
                <w:sz w:val="16"/>
                <w:szCs w:val="16"/>
              </w:rPr>
              <w:t>)</w:t>
            </w:r>
          </w:p>
        </w:tc>
        <w:tc>
          <w:tcPr>
            <w:tcW w:w="953" w:type="dxa"/>
            <w:tcBorders>
              <w:top w:val="single" w:sz="4" w:space="0" w:color="auto"/>
              <w:left w:val="nil"/>
              <w:bottom w:val="single" w:sz="4" w:space="0" w:color="auto"/>
              <w:right w:val="nil"/>
            </w:tcBorders>
            <w:shd w:val="clear" w:color="auto" w:fill="FFFFFF" w:themeFill="background1"/>
            <w:noWrap/>
            <w:vAlign w:val="center"/>
            <w:hideMark/>
          </w:tcPr>
          <w:p w14:paraId="3F37638C" w14:textId="77777777" w:rsidR="00A26E97" w:rsidRPr="00146564" w:rsidRDefault="00A26E97" w:rsidP="00C2056E">
            <w:pPr>
              <w:jc w:val="right"/>
              <w:rPr>
                <w:rFonts w:ascii="Public Sans" w:hAnsi="Public Sans" w:cs="Arial"/>
                <w:b/>
                <w:sz w:val="16"/>
                <w:szCs w:val="16"/>
                <w:lang w:val="en-AU" w:eastAsia="en-AU"/>
              </w:rPr>
            </w:pPr>
            <w:r>
              <w:rPr>
                <w:rFonts w:ascii="Public Sans" w:hAnsi="Public Sans" w:cs="Calibri"/>
                <w:b/>
                <w:color w:val="000000"/>
                <w:sz w:val="16"/>
                <w:szCs w:val="16"/>
              </w:rPr>
              <w:t>(</w:t>
            </w:r>
            <w:r w:rsidRPr="00146564">
              <w:rPr>
                <w:rFonts w:ascii="Public Sans" w:hAnsi="Public Sans" w:cs="Calibri"/>
                <w:b/>
                <w:color w:val="000000"/>
                <w:sz w:val="16"/>
                <w:szCs w:val="16"/>
              </w:rPr>
              <w:t>1,148</w:t>
            </w:r>
            <w:r>
              <w:rPr>
                <w:rFonts w:ascii="Public Sans" w:hAnsi="Public Sans" w:cs="Calibri"/>
                <w:b/>
                <w:color w:val="000000"/>
                <w:sz w:val="16"/>
                <w:szCs w:val="16"/>
              </w:rPr>
              <w:t>)</w:t>
            </w:r>
          </w:p>
        </w:tc>
        <w:tc>
          <w:tcPr>
            <w:tcW w:w="954" w:type="dxa"/>
            <w:tcBorders>
              <w:top w:val="single" w:sz="4" w:space="0" w:color="auto"/>
              <w:left w:val="nil"/>
              <w:bottom w:val="single" w:sz="4" w:space="0" w:color="auto"/>
              <w:right w:val="nil"/>
            </w:tcBorders>
            <w:shd w:val="clear" w:color="auto" w:fill="FFFFFF" w:themeFill="background1"/>
            <w:noWrap/>
            <w:vAlign w:val="center"/>
            <w:hideMark/>
          </w:tcPr>
          <w:p w14:paraId="4AF2C567" w14:textId="77777777" w:rsidR="00A26E97" w:rsidRPr="00146564" w:rsidRDefault="00A26E97" w:rsidP="00C2056E">
            <w:pPr>
              <w:jc w:val="right"/>
              <w:rPr>
                <w:rFonts w:ascii="Public Sans" w:hAnsi="Public Sans" w:cs="Arial"/>
                <w:b/>
                <w:sz w:val="16"/>
                <w:szCs w:val="16"/>
                <w:lang w:val="en-AU" w:eastAsia="en-AU"/>
              </w:rPr>
            </w:pPr>
            <w:r w:rsidRPr="00146564">
              <w:rPr>
                <w:rFonts w:ascii="Public Sans" w:hAnsi="Public Sans" w:cs="Calibri"/>
                <w:b/>
                <w:color w:val="000000"/>
                <w:sz w:val="16"/>
                <w:szCs w:val="16"/>
              </w:rPr>
              <w:t>1,132</w:t>
            </w:r>
          </w:p>
        </w:tc>
        <w:tc>
          <w:tcPr>
            <w:tcW w:w="955" w:type="dxa"/>
            <w:tcBorders>
              <w:top w:val="single" w:sz="4" w:space="0" w:color="auto"/>
              <w:left w:val="nil"/>
              <w:bottom w:val="single" w:sz="4" w:space="0" w:color="auto"/>
              <w:right w:val="nil"/>
            </w:tcBorders>
            <w:shd w:val="clear" w:color="auto" w:fill="FFFFFF" w:themeFill="background1"/>
            <w:vAlign w:val="center"/>
          </w:tcPr>
          <w:p w14:paraId="5E8BEE90" w14:textId="77777777" w:rsidR="00A26E97" w:rsidRPr="00146564" w:rsidRDefault="00A26E97" w:rsidP="00C2056E">
            <w:pPr>
              <w:jc w:val="right"/>
              <w:rPr>
                <w:rFonts w:ascii="Public Sans" w:hAnsi="Public Sans" w:cs="Arial"/>
                <w:b/>
                <w:sz w:val="16"/>
                <w:szCs w:val="16"/>
                <w:lang w:val="en-AU" w:eastAsia="en-AU"/>
              </w:rPr>
            </w:pPr>
            <w:r w:rsidRPr="00146564">
              <w:rPr>
                <w:rFonts w:ascii="Public Sans" w:hAnsi="Public Sans" w:cs="Calibri"/>
                <w:b/>
                <w:color w:val="000000"/>
                <w:sz w:val="16"/>
                <w:szCs w:val="16"/>
              </w:rPr>
              <w:t>1,058</w:t>
            </w:r>
          </w:p>
        </w:tc>
      </w:tr>
    </w:tbl>
    <w:p w14:paraId="2F8DBD11" w14:textId="17593158" w:rsidR="00A26E97" w:rsidRPr="004D2A06" w:rsidRDefault="00A26E97" w:rsidP="003A2E47">
      <w:pPr>
        <w:pStyle w:val="ListParagraph"/>
        <w:numPr>
          <w:ilvl w:val="0"/>
          <w:numId w:val="92"/>
        </w:numPr>
        <w:ind w:left="357" w:hanging="357"/>
        <w:rPr>
          <w:sz w:val="16"/>
          <w:szCs w:val="16"/>
        </w:rPr>
      </w:pPr>
      <w:r w:rsidRPr="004D2A06">
        <w:rPr>
          <w:rFonts w:ascii="Public Sans" w:hAnsi="Public Sans" w:cs="Arial"/>
          <w:sz w:val="16"/>
          <w:szCs w:val="16"/>
        </w:rPr>
        <w:t>Positive amounts reflect a positive impact on the budget result e.g., an increase in revenue or a decrease in expenses.</w:t>
      </w:r>
    </w:p>
    <w:p w14:paraId="32D60994" w14:textId="7D7C25E4" w:rsidR="00A26E97" w:rsidRPr="004D72DA" w:rsidRDefault="00A26E97" w:rsidP="00EA0E06">
      <w:pPr>
        <w:pStyle w:val="BodyText"/>
      </w:pPr>
      <w:r w:rsidRPr="411F2202">
        <w:rPr>
          <w:lang w:val="en-US"/>
        </w:rPr>
        <w:t>Since the 2024-25 Half-Yearly Review, the State’s budget result has been impacted by several fiscal pressures, including an increase in funds for natural disaster response (see</w:t>
      </w:r>
      <w:r w:rsidR="00D3078E" w:rsidRPr="411F2202">
        <w:rPr>
          <w:lang w:val="en-US"/>
        </w:rPr>
        <w:t> </w:t>
      </w:r>
      <w:r w:rsidRPr="411F2202">
        <w:rPr>
          <w:lang w:val="en-US"/>
        </w:rPr>
        <w:t xml:space="preserve">Box 4.2) and </w:t>
      </w:r>
      <w:r w:rsidRPr="411F2202">
        <w:rPr>
          <w:color w:val="auto"/>
          <w:lang w:val="en-US"/>
        </w:rPr>
        <w:t xml:space="preserve">$790.7 million </w:t>
      </w:r>
      <w:r w:rsidRPr="411F2202">
        <w:rPr>
          <w:lang w:val="en-US"/>
        </w:rPr>
        <w:t>increase in depreciation</w:t>
      </w:r>
      <w:r w:rsidR="00794DBC" w:rsidRPr="411F2202">
        <w:rPr>
          <w:lang w:val="en-US"/>
        </w:rPr>
        <w:t xml:space="preserve"> and amortisation</w:t>
      </w:r>
      <w:r w:rsidRPr="411F2202">
        <w:rPr>
          <w:lang w:val="en-US"/>
        </w:rPr>
        <w:t xml:space="preserve"> expenses over the four years to 2027-28. For more details, see Chapter 7 Recurrent expenditure. </w:t>
      </w:r>
    </w:p>
    <w:p w14:paraId="20B2FAF8" w14:textId="10073CF1" w:rsidR="001E61B1" w:rsidRDefault="001E61B1" w:rsidP="00EA0E06">
      <w:pPr>
        <w:pStyle w:val="BodyText"/>
      </w:pPr>
      <w:r w:rsidRPr="411F2202" w:rsidDel="003D774A">
        <w:rPr>
          <w:lang w:val="en-US"/>
        </w:rPr>
        <w:t xml:space="preserve">The 2024-25 </w:t>
      </w:r>
      <w:r w:rsidR="00D3078E" w:rsidRPr="411F2202">
        <w:rPr>
          <w:lang w:val="en-US"/>
        </w:rPr>
        <w:t>B</w:t>
      </w:r>
      <w:r w:rsidRPr="411F2202">
        <w:rPr>
          <w:lang w:val="en-US"/>
        </w:rPr>
        <w:t xml:space="preserve">udget result was significantly impacted by the </w:t>
      </w:r>
      <w:r w:rsidR="00C862EE" w:rsidRPr="411F2202">
        <w:rPr>
          <w:lang w:val="en-US"/>
        </w:rPr>
        <w:t xml:space="preserve">following </w:t>
      </w:r>
      <w:r w:rsidR="00EC3A3B" w:rsidRPr="411F2202">
        <w:rPr>
          <w:lang w:val="en-US"/>
        </w:rPr>
        <w:t>pressures</w:t>
      </w:r>
      <w:r w:rsidR="00C862EE" w:rsidRPr="411F2202">
        <w:rPr>
          <w:lang w:val="en-US"/>
        </w:rPr>
        <w:t>:</w:t>
      </w:r>
    </w:p>
    <w:p w14:paraId="0D52BDCF" w14:textId="2DB9A287" w:rsidR="001E61B1" w:rsidRPr="004D72DA" w:rsidRDefault="00A17B78" w:rsidP="00EA0E06">
      <w:pPr>
        <w:pStyle w:val="Bullet1"/>
        <w:rPr>
          <w:lang w:val="en-US"/>
        </w:rPr>
      </w:pPr>
      <w:r w:rsidRPr="411F2202">
        <w:rPr>
          <w:lang w:val="en-US"/>
        </w:rPr>
        <w:t xml:space="preserve">$3.4 billion </w:t>
      </w:r>
      <w:r w:rsidR="6B6A16B5" w:rsidRPr="411F2202">
        <w:rPr>
          <w:lang w:val="en-US"/>
        </w:rPr>
        <w:t>increase in</w:t>
      </w:r>
      <w:r w:rsidR="006A23B9" w:rsidRPr="411F2202">
        <w:rPr>
          <w:lang w:val="en-US"/>
        </w:rPr>
        <w:t xml:space="preserve"> </w:t>
      </w:r>
      <w:r w:rsidR="00396F77" w:rsidRPr="411F2202">
        <w:rPr>
          <w:lang w:val="en-US"/>
        </w:rPr>
        <w:t>insurance</w:t>
      </w:r>
      <w:r w:rsidR="006A23B9" w:rsidRPr="411F2202">
        <w:rPr>
          <w:lang w:val="en-US"/>
        </w:rPr>
        <w:t xml:space="preserve"> </w:t>
      </w:r>
      <w:r w:rsidR="00F1014F" w:rsidRPr="411F2202">
        <w:rPr>
          <w:lang w:val="en-US"/>
        </w:rPr>
        <w:t>expenses</w:t>
      </w:r>
      <w:r w:rsidRPr="411F2202">
        <w:rPr>
          <w:lang w:val="en-US"/>
        </w:rPr>
        <w:t xml:space="preserve"> over five years</w:t>
      </w:r>
      <w:r w:rsidR="27F7D2C5" w:rsidRPr="411F2202">
        <w:rPr>
          <w:lang w:val="en-US"/>
        </w:rPr>
        <w:t xml:space="preserve">, </w:t>
      </w:r>
      <w:r w:rsidRPr="411F2202">
        <w:rPr>
          <w:lang w:val="en-US"/>
        </w:rPr>
        <w:t xml:space="preserve">of </w:t>
      </w:r>
      <w:r w:rsidR="27F7D2C5" w:rsidRPr="411F2202">
        <w:rPr>
          <w:lang w:val="en-US"/>
        </w:rPr>
        <w:t>which</w:t>
      </w:r>
      <w:r w:rsidRPr="411F2202">
        <w:rPr>
          <w:lang w:val="en-US"/>
        </w:rPr>
        <w:t xml:space="preserve"> $2.6 billion relates to the deteriorating performance of workers’ compensation scheme (</w:t>
      </w:r>
      <w:r w:rsidR="00585F29" w:rsidRPr="411F2202">
        <w:rPr>
          <w:lang w:val="en-US"/>
        </w:rPr>
        <w:t>see Chart 4.2</w:t>
      </w:r>
      <w:r w:rsidRPr="411F2202">
        <w:rPr>
          <w:lang w:val="en-US"/>
        </w:rPr>
        <w:t xml:space="preserve"> below for</w:t>
      </w:r>
      <w:r w:rsidR="002F4AA5" w:rsidRPr="411F2202">
        <w:rPr>
          <w:lang w:val="en-US"/>
        </w:rPr>
        <w:t xml:space="preserve"> increasing Treasury Managed Fund liabilities</w:t>
      </w:r>
      <w:r w:rsidR="00585F29" w:rsidRPr="411F2202">
        <w:rPr>
          <w:lang w:val="en-US"/>
        </w:rPr>
        <w:t>)</w:t>
      </w:r>
      <w:r w:rsidR="64F1352B" w:rsidRPr="411F2202">
        <w:rPr>
          <w:lang w:val="en-US"/>
        </w:rPr>
        <w:t>, with</w:t>
      </w:r>
      <w:r w:rsidR="4BEC17F3" w:rsidRPr="411F2202">
        <w:rPr>
          <w:lang w:val="en-US"/>
        </w:rPr>
        <w:t xml:space="preserve"> $</w:t>
      </w:r>
      <w:r w:rsidR="009914C0" w:rsidRPr="411F2202">
        <w:rPr>
          <w:lang w:val="en-US"/>
        </w:rPr>
        <w:t>87</w:t>
      </w:r>
      <w:r w:rsidR="002F4AA5" w:rsidRPr="411F2202">
        <w:rPr>
          <w:lang w:val="en-US"/>
        </w:rPr>
        <w:t>9</w:t>
      </w:r>
      <w:r w:rsidR="009914C0" w:rsidRPr="411F2202">
        <w:rPr>
          <w:lang w:val="en-US"/>
        </w:rPr>
        <w:t>.</w:t>
      </w:r>
      <w:r w:rsidR="002F4AA5" w:rsidRPr="411F2202">
        <w:rPr>
          <w:lang w:val="en-US"/>
        </w:rPr>
        <w:t>6</w:t>
      </w:r>
      <w:r w:rsidR="00B91AE9" w:rsidRPr="411F2202">
        <w:rPr>
          <w:lang w:val="en-US"/>
        </w:rPr>
        <w:t> </w:t>
      </w:r>
      <w:r w:rsidR="4BEC17F3" w:rsidRPr="411F2202">
        <w:rPr>
          <w:lang w:val="en-US"/>
        </w:rPr>
        <w:t xml:space="preserve">million of this deterioration </w:t>
      </w:r>
      <w:r w:rsidR="6EF7272D" w:rsidRPr="411F2202">
        <w:rPr>
          <w:lang w:val="en-US"/>
        </w:rPr>
        <w:t>occurring</w:t>
      </w:r>
      <w:r w:rsidR="4BEC17F3" w:rsidRPr="411F2202">
        <w:rPr>
          <w:lang w:val="en-US"/>
        </w:rPr>
        <w:t xml:space="preserve"> in </w:t>
      </w:r>
      <w:r w:rsidR="5C230BFE" w:rsidRPr="411F2202">
        <w:rPr>
          <w:lang w:val="en-US"/>
        </w:rPr>
        <w:t>2024-25</w:t>
      </w:r>
      <w:r w:rsidR="002F4AA5" w:rsidRPr="411F2202">
        <w:rPr>
          <w:lang w:val="en-US"/>
        </w:rPr>
        <w:t xml:space="preserve"> since the Half-Yearly Review</w:t>
      </w:r>
      <w:r w:rsidR="007F09C9" w:rsidRPr="411F2202">
        <w:rPr>
          <w:rStyle w:val="FootnoteReference"/>
          <w:lang w:val="en-US"/>
        </w:rPr>
        <w:footnoteReference w:id="3"/>
      </w:r>
    </w:p>
    <w:p w14:paraId="3A486D24" w14:textId="3006AB77" w:rsidR="001E61B1" w:rsidRPr="004D72DA" w:rsidRDefault="00691BD4" w:rsidP="00EA0E06">
      <w:pPr>
        <w:pStyle w:val="Bullet1"/>
      </w:pPr>
      <w:r w:rsidRPr="00186CF1">
        <w:t>increase</w:t>
      </w:r>
      <w:r w:rsidR="007E23D0">
        <w:t xml:space="preserve"> in </w:t>
      </w:r>
      <w:r w:rsidRPr="002A6E9A">
        <w:t xml:space="preserve">costs from </w:t>
      </w:r>
      <w:r w:rsidR="00CC59C4" w:rsidRPr="004D72DA">
        <w:t>n</w:t>
      </w:r>
      <w:r w:rsidR="001E61B1" w:rsidRPr="004D72DA">
        <w:t>atural</w:t>
      </w:r>
      <w:r w:rsidR="001E61B1" w:rsidRPr="002A6E9A">
        <w:t xml:space="preserve"> disasters </w:t>
      </w:r>
      <w:r w:rsidRPr="004D72DA">
        <w:t>and un</w:t>
      </w:r>
      <w:r w:rsidR="001E61B1" w:rsidRPr="004D72DA">
        <w:t>certainty</w:t>
      </w:r>
      <w:r w:rsidR="001E61B1" w:rsidRPr="002A6E9A">
        <w:t xml:space="preserve"> around the timing of </w:t>
      </w:r>
      <w:r w:rsidR="00CC117A" w:rsidRPr="004D72DA">
        <w:t>Australian</w:t>
      </w:r>
      <w:r w:rsidR="00CC117A" w:rsidRPr="002A6E9A">
        <w:t xml:space="preserve"> Government</w:t>
      </w:r>
      <w:r w:rsidR="001E61B1" w:rsidRPr="002A6E9A">
        <w:t xml:space="preserve"> contributions</w:t>
      </w:r>
    </w:p>
    <w:p w14:paraId="1C193B01" w14:textId="0AECC322" w:rsidR="001E61B1" w:rsidRDefault="00D46CB0" w:rsidP="00EA0E06">
      <w:pPr>
        <w:pStyle w:val="Bullet1"/>
      </w:pPr>
      <w:r w:rsidRPr="411F2202">
        <w:rPr>
          <w:lang w:val="en-US"/>
        </w:rPr>
        <w:t>r</w:t>
      </w:r>
      <w:r w:rsidR="00691BD4" w:rsidRPr="411F2202">
        <w:rPr>
          <w:lang w:val="en-US"/>
        </w:rPr>
        <w:t>is</w:t>
      </w:r>
      <w:r w:rsidR="006104F3" w:rsidRPr="411F2202">
        <w:rPr>
          <w:lang w:val="en-US"/>
        </w:rPr>
        <w:t>e</w:t>
      </w:r>
      <w:r w:rsidR="0003041E" w:rsidRPr="411F2202" w:rsidDel="007B37B2">
        <w:rPr>
          <w:lang w:val="en-US"/>
        </w:rPr>
        <w:t xml:space="preserve"> in </w:t>
      </w:r>
      <w:r w:rsidR="00CC59C4" w:rsidRPr="411F2202">
        <w:rPr>
          <w:lang w:val="en-US"/>
        </w:rPr>
        <w:t>d</w:t>
      </w:r>
      <w:r w:rsidR="001E61B1" w:rsidRPr="411F2202">
        <w:rPr>
          <w:lang w:val="en-US"/>
        </w:rPr>
        <w:t>epreciation</w:t>
      </w:r>
      <w:r w:rsidR="008C047C" w:rsidRPr="411F2202">
        <w:rPr>
          <w:lang w:val="en-US"/>
        </w:rPr>
        <w:t xml:space="preserve"> and amortisation</w:t>
      </w:r>
      <w:r w:rsidR="001E61B1" w:rsidRPr="411F2202">
        <w:rPr>
          <w:lang w:val="en-US"/>
        </w:rPr>
        <w:t xml:space="preserve"> expenses</w:t>
      </w:r>
      <w:r w:rsidR="0053291F" w:rsidRPr="411F2202">
        <w:rPr>
          <w:lang w:val="en-US"/>
        </w:rPr>
        <w:t xml:space="preserve"> (see Chart 4.</w:t>
      </w:r>
      <w:r w:rsidR="00AE17E8" w:rsidRPr="411F2202">
        <w:rPr>
          <w:lang w:val="en-US"/>
        </w:rPr>
        <w:t>3</w:t>
      </w:r>
      <w:r w:rsidR="0053291F" w:rsidRPr="411F2202">
        <w:rPr>
          <w:lang w:val="en-US"/>
        </w:rPr>
        <w:t>)</w:t>
      </w:r>
      <w:r w:rsidR="004A64A4" w:rsidRPr="411F2202">
        <w:rPr>
          <w:lang w:val="en-US"/>
        </w:rPr>
        <w:t xml:space="preserve">, </w:t>
      </w:r>
      <w:r w:rsidR="00954AA0" w:rsidRPr="411F2202">
        <w:rPr>
          <w:lang w:val="en-US"/>
        </w:rPr>
        <w:t xml:space="preserve">with </w:t>
      </w:r>
      <w:r w:rsidR="00F507E6" w:rsidRPr="411F2202">
        <w:rPr>
          <w:lang w:val="en-US"/>
        </w:rPr>
        <w:t xml:space="preserve">further information on depreciation, and valuation reforms found in Chapter </w:t>
      </w:r>
      <w:r w:rsidR="009E619F" w:rsidRPr="411F2202">
        <w:rPr>
          <w:lang w:val="en-US"/>
        </w:rPr>
        <w:t>8</w:t>
      </w:r>
      <w:r w:rsidR="00F507E6" w:rsidRPr="411F2202">
        <w:rPr>
          <w:lang w:val="en-US"/>
        </w:rPr>
        <w:t xml:space="preserve"> Balance </w:t>
      </w:r>
      <w:r w:rsidR="00694AC3" w:rsidRPr="411F2202">
        <w:rPr>
          <w:lang w:val="en-US"/>
        </w:rPr>
        <w:t>s</w:t>
      </w:r>
      <w:r w:rsidR="00F507E6" w:rsidRPr="411F2202">
        <w:rPr>
          <w:lang w:val="en-US"/>
        </w:rPr>
        <w:t>heet</w:t>
      </w:r>
    </w:p>
    <w:p w14:paraId="6DDB63BA" w14:textId="3806AD18" w:rsidR="00773787" w:rsidRPr="004D72DA" w:rsidRDefault="002B230D" w:rsidP="00EA0E06">
      <w:pPr>
        <w:pStyle w:val="Bullet1"/>
      </w:pPr>
      <w:r w:rsidRPr="004D72DA">
        <w:t>s</w:t>
      </w:r>
      <w:r w:rsidR="00773787" w:rsidRPr="004D72DA">
        <w:t>ignificant volatility in the State’s bond yields and equity markets</w:t>
      </w:r>
      <w:r w:rsidR="005E1EC6" w:rsidRPr="004D72DA">
        <w:t xml:space="preserve"> </w:t>
      </w:r>
    </w:p>
    <w:p w14:paraId="422DA806" w14:textId="22D66476" w:rsidR="00773787" w:rsidRPr="004D72DA" w:rsidRDefault="00E55A10" w:rsidP="00EA0E06">
      <w:pPr>
        <w:pStyle w:val="Bullet1"/>
      </w:pPr>
      <w:r w:rsidRPr="004D72DA">
        <w:t>lower</w:t>
      </w:r>
      <w:r w:rsidR="00773787" w:rsidRPr="004D72DA">
        <w:t xml:space="preserve"> transfer dut</w:t>
      </w:r>
      <w:r w:rsidR="00FF62B5" w:rsidRPr="004D72DA">
        <w:t>y</w:t>
      </w:r>
      <w:r w:rsidR="005E1EC6" w:rsidRPr="004D72DA">
        <w:t xml:space="preserve"> (see </w:t>
      </w:r>
      <w:r w:rsidR="002E114B" w:rsidRPr="004D72DA">
        <w:t>Chapter</w:t>
      </w:r>
      <w:r w:rsidR="005E1EC6" w:rsidRPr="004D72DA">
        <w:t xml:space="preserve"> </w:t>
      </w:r>
      <w:r w:rsidR="002E114B" w:rsidRPr="004D72DA">
        <w:t>5 Revenue</w:t>
      </w:r>
      <w:r w:rsidR="005E1EC6" w:rsidRPr="004D72DA">
        <w:t>)</w:t>
      </w:r>
      <w:r w:rsidR="00CB7B0E" w:rsidRPr="004D72DA">
        <w:t xml:space="preserve">. </w:t>
      </w:r>
    </w:p>
    <w:p w14:paraId="445F155F" w14:textId="0E91D5B7" w:rsidR="007B37B2" w:rsidRDefault="00E81C0F" w:rsidP="00EA0E06">
      <w:pPr>
        <w:pStyle w:val="BodyText"/>
      </w:pPr>
      <w:r w:rsidRPr="411F2202">
        <w:rPr>
          <w:lang w:val="en-US"/>
        </w:rPr>
        <w:t xml:space="preserve">Notably, the </w:t>
      </w:r>
      <w:r w:rsidR="00C55B01" w:rsidRPr="411F2202">
        <w:rPr>
          <w:lang w:val="en-US"/>
        </w:rPr>
        <w:t xml:space="preserve">2024-25 </w:t>
      </w:r>
      <w:r w:rsidR="005C68F1" w:rsidRPr="411F2202">
        <w:rPr>
          <w:lang w:val="en-US"/>
        </w:rPr>
        <w:t>B</w:t>
      </w:r>
      <w:r w:rsidR="00C55B01" w:rsidRPr="411F2202">
        <w:rPr>
          <w:lang w:val="en-US"/>
        </w:rPr>
        <w:t>udget result</w:t>
      </w:r>
      <w:r w:rsidRPr="411F2202">
        <w:rPr>
          <w:lang w:val="en-US"/>
        </w:rPr>
        <w:t xml:space="preserve"> </w:t>
      </w:r>
      <w:r w:rsidR="00C55B01" w:rsidRPr="411F2202">
        <w:rPr>
          <w:lang w:val="en-US"/>
        </w:rPr>
        <w:t>h</w:t>
      </w:r>
      <w:r w:rsidR="006C7991" w:rsidRPr="411F2202">
        <w:rPr>
          <w:lang w:val="en-US"/>
        </w:rPr>
        <w:t xml:space="preserve">as been </w:t>
      </w:r>
      <w:r w:rsidR="00CA01DE" w:rsidRPr="411F2202">
        <w:rPr>
          <w:lang w:val="en-US"/>
        </w:rPr>
        <w:t>achieved</w:t>
      </w:r>
      <w:r w:rsidR="006C7991" w:rsidRPr="411F2202">
        <w:rPr>
          <w:lang w:val="en-US"/>
        </w:rPr>
        <w:t xml:space="preserve"> despite New South Wales receiving </w:t>
      </w:r>
      <w:r w:rsidR="001644E9" w:rsidRPr="411F2202">
        <w:rPr>
          <w:lang w:val="en-US"/>
        </w:rPr>
        <w:t xml:space="preserve">a lower GST revenue </w:t>
      </w:r>
      <w:r w:rsidR="002B17CC" w:rsidRPr="411F2202">
        <w:rPr>
          <w:lang w:val="en-US"/>
        </w:rPr>
        <w:t>share</w:t>
      </w:r>
      <w:r w:rsidR="001644E9" w:rsidRPr="411F2202">
        <w:rPr>
          <w:lang w:val="en-US"/>
        </w:rPr>
        <w:t>, with the largest single-year drop in</w:t>
      </w:r>
      <w:r w:rsidR="00E85B56" w:rsidRPr="411F2202">
        <w:rPr>
          <w:lang w:val="en-US"/>
        </w:rPr>
        <w:t xml:space="preserve"> the GST relativity since the introduction of the tax. </w:t>
      </w:r>
      <w:r w:rsidR="001E61B1" w:rsidRPr="411F2202">
        <w:rPr>
          <w:lang w:val="en-US"/>
        </w:rPr>
        <w:t xml:space="preserve"> </w:t>
      </w:r>
    </w:p>
    <w:p w14:paraId="58449025" w14:textId="77777777" w:rsidR="000264F5" w:rsidRDefault="000264F5">
      <w:pPr>
        <w:spacing w:before="360" w:after="120"/>
        <w:ind w:left="851" w:hanging="851"/>
        <w:rPr>
          <w:rFonts w:ascii="Public Sans" w:hAnsi="Public Sans"/>
          <w:i/>
          <w:noProof/>
          <w:color w:val="000000" w:themeColor="text1"/>
          <w:kern w:val="28"/>
          <w:sz w:val="22"/>
          <w:szCs w:val="22"/>
          <w:lang w:val="en-AU"/>
        </w:rPr>
      </w:pPr>
      <w:r>
        <w:rPr>
          <w:bCs/>
        </w:rPr>
        <w:br w:type="page"/>
      </w:r>
    </w:p>
    <w:p w14:paraId="0CADBF14" w14:textId="412C5DA4" w:rsidR="008E6F01" w:rsidRPr="00073137" w:rsidRDefault="008E6F01" w:rsidP="00073137">
      <w:pPr>
        <w:pStyle w:val="Chart4X"/>
        <w:rPr>
          <w:bCs w:val="0"/>
        </w:rPr>
      </w:pPr>
      <w:r w:rsidRPr="00073137">
        <w:rPr>
          <w:bCs w:val="0"/>
        </w:rPr>
        <w:lastRenderedPageBreak/>
        <w:t xml:space="preserve">Treasury Managed Funds liability valuations from 2019-20 to 2028-29 </w:t>
      </w:r>
    </w:p>
    <w:p w14:paraId="00880ABB" w14:textId="63EFD3A3" w:rsidR="008E6F01" w:rsidRDefault="00456A0C" w:rsidP="008E6F01">
      <w:r>
        <w:rPr>
          <w:noProof/>
        </w:rPr>
        <w:drawing>
          <wp:inline distT="0" distB="0" distL="0" distR="0" wp14:anchorId="6ECD55C7" wp14:editId="61888EC6">
            <wp:extent cx="6120765" cy="2859405"/>
            <wp:effectExtent l="0" t="0" r="0" b="0"/>
            <wp:docPr id="941608510" name="Chart 1" descr="Chart 4.2: Treasury Managed Funds liability valuations from 2019-20 to 2028-29 ">
              <a:extLst xmlns:a="http://schemas.openxmlformats.org/drawingml/2006/main">
                <a:ext uri="{FF2B5EF4-FFF2-40B4-BE49-F238E27FC236}">
                  <a16:creationId xmlns:a16="http://schemas.microsoft.com/office/drawing/2014/main" id="{BEDF2F27-5FD6-FFD6-E046-F361CD473A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105EB4" w14:textId="77777777" w:rsidR="008E6F01" w:rsidRPr="00CD25B5" w:rsidRDefault="008E6F01" w:rsidP="008E6F01">
      <w:pPr>
        <w:pStyle w:val="Source"/>
        <w:rPr>
          <w:sz w:val="16"/>
          <w:szCs w:val="16"/>
        </w:rPr>
      </w:pPr>
      <w:r w:rsidRPr="00CD25B5">
        <w:rPr>
          <w:sz w:val="16"/>
          <w:szCs w:val="16"/>
        </w:rPr>
        <w:t>Source: iCare</w:t>
      </w:r>
    </w:p>
    <w:p w14:paraId="550E1720" w14:textId="128AED11" w:rsidR="008E6F01" w:rsidRPr="00BC01E8" w:rsidRDefault="008E6F01" w:rsidP="008E6F01">
      <w:pPr>
        <w:spacing w:before="120"/>
        <w:rPr>
          <w:rFonts w:ascii="Public Sans" w:hAnsi="Public Sans"/>
          <w:sz w:val="16"/>
          <w:szCs w:val="16"/>
        </w:rPr>
      </w:pPr>
      <w:r w:rsidRPr="00BC01E8">
        <w:rPr>
          <w:rFonts w:ascii="Public Sans" w:hAnsi="Public Sans"/>
          <w:sz w:val="16"/>
          <w:szCs w:val="16"/>
        </w:rPr>
        <w:t xml:space="preserve">Note: Actuals from 2019-20 to 2023-24 are based on published financial statements for SiCorp at each balance date. Forecast and Budget are based on the latest 2025-26 </w:t>
      </w:r>
      <w:r w:rsidR="00847DDB" w:rsidRPr="00BC01E8">
        <w:rPr>
          <w:rFonts w:ascii="Public Sans" w:hAnsi="Public Sans"/>
          <w:sz w:val="16"/>
          <w:szCs w:val="16"/>
        </w:rPr>
        <w:t>Statement of Business Intent</w:t>
      </w:r>
      <w:r w:rsidR="00756C64">
        <w:rPr>
          <w:rFonts w:ascii="Public Sans" w:hAnsi="Public Sans"/>
          <w:sz w:val="16"/>
          <w:szCs w:val="16"/>
        </w:rPr>
        <w:t xml:space="preserve"> Budget</w:t>
      </w:r>
      <w:r w:rsidRPr="00BC01E8">
        <w:rPr>
          <w:rFonts w:ascii="Public Sans" w:hAnsi="Public Sans"/>
          <w:sz w:val="16"/>
          <w:szCs w:val="16"/>
        </w:rPr>
        <w:t>. The Pre-Managed Fund Reserve, Government Workers Compensation Account, and Residual Workers Compensation Liabilities of the Crown were amalgamated into TMF on 7 August 2024.</w:t>
      </w:r>
    </w:p>
    <w:p w14:paraId="198EEFE8" w14:textId="77777777" w:rsidR="00C27660" w:rsidRPr="00D249DC" w:rsidRDefault="00C27660" w:rsidP="008E6F01">
      <w:pPr>
        <w:spacing w:before="120"/>
        <w:rPr>
          <w:rFonts w:ascii="Public Sans" w:hAnsi="Public Sans"/>
          <w:sz w:val="17"/>
          <w:szCs w:val="17"/>
        </w:rPr>
      </w:pPr>
    </w:p>
    <w:tbl>
      <w:tblPr>
        <w:tblW w:w="9639" w:type="dxa"/>
        <w:shd w:val="clear" w:color="auto" w:fill="D9D9D9" w:themeFill="background1" w:themeFillShade="D9"/>
        <w:tblLayout w:type="fixed"/>
        <w:tblLook w:val="0000" w:firstRow="0" w:lastRow="0" w:firstColumn="0" w:lastColumn="0" w:noHBand="0" w:noVBand="0"/>
        <w:tblCaption w:val="Box 1.3: Investing to reduce domestic and family violence"/>
        <w:tblDescription w:val="Box 1.3: Investing to reduce domestic and family violence"/>
      </w:tblPr>
      <w:tblGrid>
        <w:gridCol w:w="9639"/>
      </w:tblGrid>
      <w:tr w:rsidR="0008030F" w:rsidRPr="00E24665" w14:paraId="0921A734" w14:textId="77777777" w:rsidTr="63CB6604">
        <w:trPr>
          <w:trHeight w:val="284"/>
        </w:trPr>
        <w:tc>
          <w:tcPr>
            <w:tcW w:w="9639" w:type="dxa"/>
            <w:shd w:val="clear" w:color="auto" w:fill="F2F2F2" w:themeFill="accent5" w:themeFillTint="33"/>
          </w:tcPr>
          <w:p w14:paraId="0EE0CFD5" w14:textId="77777777" w:rsidR="0008030F" w:rsidRDefault="0008030F" w:rsidP="00C2056E">
            <w:pPr>
              <w:pStyle w:val="Box4XBoxHeading"/>
              <w:rPr>
                <w:rFonts w:ascii="Public Sans" w:hAnsi="Public Sans"/>
                <w:szCs w:val="22"/>
              </w:rPr>
            </w:pPr>
            <w:r w:rsidRPr="00E24665">
              <w:rPr>
                <w:rFonts w:ascii="Public Sans" w:hAnsi="Public Sans"/>
                <w:szCs w:val="22"/>
              </w:rPr>
              <w:t>Addressing natural disaster impacts</w:t>
            </w:r>
          </w:p>
          <w:p w14:paraId="0BB458D8" w14:textId="23A45168" w:rsidR="00B97914" w:rsidRPr="003D566D" w:rsidRDefault="0008030F" w:rsidP="00EA0E06">
            <w:pPr>
              <w:pStyle w:val="BodyText"/>
            </w:pPr>
            <w:r w:rsidRPr="00E24665">
              <w:t xml:space="preserve">Since </w:t>
            </w:r>
            <w:r w:rsidR="38079B0A" w:rsidRPr="00E24665">
              <w:t>March 2023</w:t>
            </w:r>
            <w:r w:rsidRPr="00E24665">
              <w:t xml:space="preserve">, the NSW Government has committed </w:t>
            </w:r>
            <w:r w:rsidR="2387A09B" w:rsidRPr="00E24665">
              <w:t xml:space="preserve">an </w:t>
            </w:r>
            <w:r w:rsidR="2387A09B" w:rsidRPr="00141E25">
              <w:t>extra</w:t>
            </w:r>
            <w:r w:rsidRPr="00141E25">
              <w:t xml:space="preserve"> </w:t>
            </w:r>
            <w:r w:rsidR="00C372C1" w:rsidRPr="00141E25">
              <w:t>$8.</w:t>
            </w:r>
            <w:r w:rsidR="000E2885" w:rsidRPr="00141E25">
              <w:t xml:space="preserve">2 billion </w:t>
            </w:r>
            <w:r w:rsidR="000E2885" w:rsidRPr="00E24665">
              <w:t>to</w:t>
            </w:r>
            <w:r w:rsidRPr="00E24665">
              <w:t xml:space="preserve"> support communities affected by natural disasters and to strengthen the State’s resilience to future events. </w:t>
            </w:r>
            <w:r w:rsidR="00B97914" w:rsidRPr="00E24665">
              <w:t xml:space="preserve">In the six years since the unprecedented 2019-20 bushfires, the NSW and Australian Governments have spent $9.5 billion providing disaster relief and recovery across the </w:t>
            </w:r>
            <w:r w:rsidR="00CE57AC" w:rsidRPr="00E24665">
              <w:t>S</w:t>
            </w:r>
            <w:r w:rsidR="00B97914" w:rsidRPr="00E24665">
              <w:t>tate. The costs of responding to natural disasters are rising:</w:t>
            </w:r>
          </w:p>
          <w:p w14:paraId="6555DDF6" w14:textId="10DB9A5D" w:rsidR="000B7AAF" w:rsidRPr="003D566D" w:rsidRDefault="000B7AAF" w:rsidP="00EA0E06">
            <w:pPr>
              <w:pStyle w:val="Bullet1"/>
            </w:pPr>
            <w:r w:rsidRPr="00E24665">
              <w:t>$1.6</w:t>
            </w:r>
            <w:r w:rsidR="00A66A95" w:rsidRPr="00E24665">
              <w:t xml:space="preserve"> </w:t>
            </w:r>
            <w:r w:rsidRPr="00E24665">
              <w:t>b</w:t>
            </w:r>
            <w:r w:rsidR="00A66A95" w:rsidRPr="00E24665">
              <w:t>illion</w:t>
            </w:r>
            <w:r w:rsidRPr="00E24665">
              <w:t xml:space="preserve"> average annual expenditure in the six years </w:t>
            </w:r>
            <w:r w:rsidR="000B27CD" w:rsidRPr="00E24665">
              <w:t>from</w:t>
            </w:r>
            <w:r w:rsidRPr="00E24665">
              <w:t xml:space="preserve"> 2019-20</w:t>
            </w:r>
          </w:p>
          <w:p w14:paraId="2A3116B0" w14:textId="0118B0BC" w:rsidR="000B7AAF" w:rsidRPr="003D566D" w:rsidRDefault="000B7AAF" w:rsidP="00EA0E06">
            <w:pPr>
              <w:pStyle w:val="Bullet1"/>
            </w:pPr>
            <w:r w:rsidRPr="003D566D">
              <w:t>$</w:t>
            </w:r>
            <w:r w:rsidR="00EF17A1">
              <w:t>15</w:t>
            </w:r>
            <w:r w:rsidR="00B55E70">
              <w:t>4</w:t>
            </w:r>
            <w:r w:rsidR="00FB3B4E">
              <w:t xml:space="preserve"> million</w:t>
            </w:r>
            <w:r w:rsidRPr="003D566D">
              <w:t xml:space="preserve"> average annual expenditure in the six years </w:t>
            </w:r>
            <w:r w:rsidR="009D2E6C" w:rsidRPr="003D566D">
              <w:t>prior to</w:t>
            </w:r>
            <w:r w:rsidRPr="003D566D">
              <w:t xml:space="preserve"> 2019-20</w:t>
            </w:r>
            <w:r w:rsidR="00EB5A27" w:rsidRPr="003D566D">
              <w:t>.</w:t>
            </w:r>
          </w:p>
          <w:p w14:paraId="00787FAB" w14:textId="09C7EDE1" w:rsidR="003E7CFE" w:rsidRPr="003D566D" w:rsidRDefault="003E7CFE" w:rsidP="00EA0E06">
            <w:pPr>
              <w:pStyle w:val="BodyText"/>
            </w:pPr>
            <w:r w:rsidRPr="411F2202">
              <w:rPr>
                <w:lang w:val="en-US"/>
              </w:rPr>
              <w:t xml:space="preserve">The </w:t>
            </w:r>
            <w:r w:rsidR="3355F438" w:rsidRPr="411F2202">
              <w:rPr>
                <w:lang w:val="en-US"/>
              </w:rPr>
              <w:t xml:space="preserve">2025-26 Budget allocates </w:t>
            </w:r>
            <w:r w:rsidR="2F2E2F4A" w:rsidRPr="411F2202">
              <w:rPr>
                <w:lang w:val="en-US"/>
              </w:rPr>
              <w:t>$4.</w:t>
            </w:r>
            <w:r w:rsidR="6DD3F160" w:rsidRPr="411F2202">
              <w:rPr>
                <w:lang w:val="en-US"/>
              </w:rPr>
              <w:t>2</w:t>
            </w:r>
            <w:r w:rsidRPr="411F2202">
              <w:rPr>
                <w:lang w:val="en-US"/>
              </w:rPr>
              <w:t xml:space="preserve"> billion to disaster relief across the forward estimates</w:t>
            </w:r>
            <w:r w:rsidR="54CCA9B8" w:rsidRPr="411F2202">
              <w:rPr>
                <w:lang w:val="en-US"/>
              </w:rPr>
              <w:t>, including Australian Government contributions</w:t>
            </w:r>
            <w:r w:rsidRPr="411F2202">
              <w:rPr>
                <w:lang w:val="en-US"/>
              </w:rPr>
              <w:t xml:space="preserve">. </w:t>
            </w:r>
          </w:p>
          <w:p w14:paraId="62F26BE2" w14:textId="6AA4F4E1" w:rsidR="00E24665" w:rsidRPr="00E24665" w:rsidRDefault="0008030F" w:rsidP="00EA0E06">
            <w:pPr>
              <w:pStyle w:val="BodyText"/>
            </w:pPr>
            <w:r w:rsidRPr="003D566D">
              <w:t xml:space="preserve">This investment responds to the increased prevalence and severity of natural disasters, which is resulting in escalating </w:t>
            </w:r>
            <w:r w:rsidR="009D2E6C" w:rsidRPr="003D566D">
              <w:t>costs</w:t>
            </w:r>
            <w:r w:rsidRPr="003D566D">
              <w:t xml:space="preserve"> in New South Wales, </w:t>
            </w:r>
            <w:r w:rsidR="0C289C8F" w:rsidRPr="003D566D">
              <w:t>which have increased</w:t>
            </w:r>
            <w:r w:rsidRPr="003D566D">
              <w:t xml:space="preserve"> by over 1,000 per cent in recent years. These events represent a material fiscal risk, reinforcing the importance of proactive resilience investment and long-term recovery planning.</w:t>
            </w:r>
          </w:p>
        </w:tc>
      </w:tr>
    </w:tbl>
    <w:p w14:paraId="791AC84F" w14:textId="77777777" w:rsidR="007C1D86" w:rsidRDefault="007C1D86" w:rsidP="007C1D86"/>
    <w:p w14:paraId="03D20DCF" w14:textId="319D6C9B" w:rsidR="005A56D5" w:rsidRDefault="00BF3178" w:rsidP="00EA0E06">
      <w:pPr>
        <w:pStyle w:val="BodyText"/>
      </w:pPr>
      <w:r w:rsidRPr="411F2202">
        <w:rPr>
          <w:lang w:val="en-US"/>
        </w:rPr>
        <w:t xml:space="preserve">From 2015-16 to </w:t>
      </w:r>
      <w:r w:rsidR="00F13BB6" w:rsidRPr="411F2202">
        <w:rPr>
          <w:lang w:val="en-US"/>
        </w:rPr>
        <w:t xml:space="preserve">2023-24, depreciation </w:t>
      </w:r>
      <w:r w:rsidR="00EB32B8" w:rsidRPr="411F2202">
        <w:rPr>
          <w:lang w:val="en-US"/>
        </w:rPr>
        <w:t>and amorti</w:t>
      </w:r>
      <w:r w:rsidR="003B70C6" w:rsidRPr="411F2202">
        <w:rPr>
          <w:lang w:val="en-US"/>
        </w:rPr>
        <w:t>s</w:t>
      </w:r>
      <w:r w:rsidR="00EB32B8" w:rsidRPr="411F2202">
        <w:rPr>
          <w:lang w:val="en-US"/>
        </w:rPr>
        <w:t xml:space="preserve">ation </w:t>
      </w:r>
      <w:r w:rsidR="00F13BB6" w:rsidRPr="411F2202">
        <w:rPr>
          <w:lang w:val="en-US"/>
        </w:rPr>
        <w:t xml:space="preserve">expenses </w:t>
      </w:r>
      <w:r w:rsidR="0007770C" w:rsidRPr="411F2202">
        <w:rPr>
          <w:lang w:val="en-US"/>
        </w:rPr>
        <w:t>nearly doubled</w:t>
      </w:r>
      <w:r w:rsidR="00F13BB6" w:rsidRPr="411F2202">
        <w:rPr>
          <w:lang w:val="en-US"/>
        </w:rPr>
        <w:t xml:space="preserve"> from </w:t>
      </w:r>
      <w:r w:rsidR="00056CD8" w:rsidRPr="411F2202">
        <w:rPr>
          <w:lang w:val="en-US"/>
        </w:rPr>
        <w:t>$4.4</w:t>
      </w:r>
      <w:r w:rsidR="00F7233F" w:rsidRPr="411F2202">
        <w:rPr>
          <w:lang w:val="en-US"/>
        </w:rPr>
        <w:t> </w:t>
      </w:r>
      <w:r w:rsidR="00F13BB6" w:rsidRPr="411F2202">
        <w:rPr>
          <w:lang w:val="en-US"/>
        </w:rPr>
        <w:t xml:space="preserve">billion to </w:t>
      </w:r>
      <w:r w:rsidR="0007770C" w:rsidRPr="411F2202">
        <w:rPr>
          <w:lang w:val="en-US"/>
        </w:rPr>
        <w:t>$8.6</w:t>
      </w:r>
      <w:r w:rsidR="00F13BB6" w:rsidRPr="411F2202">
        <w:rPr>
          <w:lang w:val="en-US"/>
        </w:rPr>
        <w:t xml:space="preserve"> billion and are projected to rise to </w:t>
      </w:r>
      <w:r w:rsidR="0007770C" w:rsidRPr="411F2202">
        <w:rPr>
          <w:lang w:val="en-US"/>
        </w:rPr>
        <w:t>$11.7 billion</w:t>
      </w:r>
      <w:r w:rsidR="00F13BB6" w:rsidRPr="411F2202">
        <w:rPr>
          <w:lang w:val="en-US"/>
        </w:rPr>
        <w:t xml:space="preserve"> by 2028-29</w:t>
      </w:r>
      <w:r w:rsidR="0082307C" w:rsidRPr="411F2202">
        <w:rPr>
          <w:lang w:val="en-US"/>
        </w:rPr>
        <w:t xml:space="preserve"> (see Chart 4.3)</w:t>
      </w:r>
      <w:r w:rsidR="0007770C" w:rsidRPr="411F2202">
        <w:rPr>
          <w:lang w:val="en-US"/>
        </w:rPr>
        <w:t>.</w:t>
      </w:r>
      <w:r w:rsidR="00417AF0" w:rsidRPr="411F2202">
        <w:rPr>
          <w:lang w:val="en-US"/>
        </w:rPr>
        <w:t xml:space="preserve"> </w:t>
      </w:r>
      <w:r w:rsidR="003B70C6" w:rsidRPr="411F2202">
        <w:rPr>
          <w:lang w:val="en-US"/>
        </w:rPr>
        <w:t>This g</w:t>
      </w:r>
      <w:r w:rsidR="007455FD" w:rsidRPr="411F2202">
        <w:rPr>
          <w:lang w:val="en-US"/>
        </w:rPr>
        <w:t xml:space="preserve">rowth in depreciation is broadly in line with </w:t>
      </w:r>
      <w:r w:rsidR="00845451" w:rsidRPr="411F2202">
        <w:rPr>
          <w:lang w:val="en-US"/>
        </w:rPr>
        <w:t xml:space="preserve">the </w:t>
      </w:r>
      <w:r w:rsidR="004F3A31" w:rsidRPr="411F2202">
        <w:rPr>
          <w:lang w:val="en-US"/>
        </w:rPr>
        <w:t>expa</w:t>
      </w:r>
      <w:r w:rsidR="004F5085" w:rsidRPr="411F2202">
        <w:rPr>
          <w:lang w:val="en-US"/>
        </w:rPr>
        <w:t xml:space="preserve">nsion of the </w:t>
      </w:r>
      <w:r w:rsidR="004F3A31" w:rsidRPr="411F2202">
        <w:rPr>
          <w:lang w:val="en-US"/>
        </w:rPr>
        <w:t>State’s infrastructure program</w:t>
      </w:r>
      <w:r w:rsidR="0082307C" w:rsidRPr="411F2202">
        <w:rPr>
          <w:lang w:val="en-US"/>
        </w:rPr>
        <w:t xml:space="preserve"> (see Chart 4.5)</w:t>
      </w:r>
      <w:r w:rsidR="00E00EF0" w:rsidRPr="411F2202">
        <w:rPr>
          <w:lang w:val="en-US"/>
        </w:rPr>
        <w:t xml:space="preserve">. </w:t>
      </w:r>
    </w:p>
    <w:p w14:paraId="22B87032" w14:textId="77777777" w:rsidR="004E0125" w:rsidRDefault="004E0125">
      <w:pPr>
        <w:spacing w:before="360" w:after="120"/>
        <w:ind w:left="851" w:hanging="851"/>
        <w:rPr>
          <w:rFonts w:ascii="Public Sans" w:hAnsi="Public Sans"/>
          <w:bCs/>
          <w:i/>
          <w:noProof/>
          <w:color w:val="000000" w:themeColor="text1"/>
          <w:kern w:val="28"/>
          <w:sz w:val="22"/>
          <w:szCs w:val="22"/>
          <w:lang w:val="en-AU"/>
        </w:rPr>
      </w:pPr>
      <w:r>
        <w:br w:type="page"/>
      </w:r>
    </w:p>
    <w:p w14:paraId="12906118" w14:textId="0F895617" w:rsidR="0053291F" w:rsidRPr="00154B37" w:rsidRDefault="0053291F" w:rsidP="005D2F5C">
      <w:pPr>
        <w:pStyle w:val="Chart4X"/>
        <w:rPr>
          <w:color w:val="auto"/>
          <w:kern w:val="0"/>
          <w:szCs w:val="20"/>
          <w:lang w:val="en-US"/>
        </w:rPr>
      </w:pPr>
      <w:r w:rsidRPr="00146564">
        <w:lastRenderedPageBreak/>
        <w:t xml:space="preserve">Depreciation </w:t>
      </w:r>
      <w:r w:rsidR="009A23AD" w:rsidRPr="00E04266">
        <w:t>and amortisation</w:t>
      </w:r>
      <w:r w:rsidRPr="00E04266">
        <w:t xml:space="preserve"> </w:t>
      </w:r>
      <w:r w:rsidRPr="00146564">
        <w:t>expenses</w:t>
      </w:r>
    </w:p>
    <w:p w14:paraId="7BB55B34" w14:textId="5651C234" w:rsidR="0053291F" w:rsidRDefault="0084788F" w:rsidP="008D6019">
      <w:r>
        <w:rPr>
          <w:noProof/>
        </w:rPr>
        <w:drawing>
          <wp:inline distT="0" distB="0" distL="0" distR="0" wp14:anchorId="0525E42F" wp14:editId="539FB000">
            <wp:extent cx="6089270" cy="2241447"/>
            <wp:effectExtent l="0" t="0" r="0" b="0"/>
            <wp:docPr id="1197930055" name="Chart 1" descr="Chart 4.3: Depreciation and amortisation expenses">
              <a:extLst xmlns:a="http://schemas.openxmlformats.org/drawingml/2006/main">
                <a:ext uri="{FF2B5EF4-FFF2-40B4-BE49-F238E27FC236}">
                  <a16:creationId xmlns:a16="http://schemas.microsoft.com/office/drawing/2014/main" id="{31B7964F-AAE3-4D62-B9C6-7C2D54F14E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9BEBED" w14:textId="6622631E" w:rsidR="004A13D7" w:rsidRDefault="004A13D7" w:rsidP="008A1E0B">
      <w:r w:rsidRPr="00E4727C">
        <w:rPr>
          <w:rFonts w:ascii="Public Sans" w:hAnsi="Public Sans"/>
          <w:i/>
          <w:iCs/>
          <w:sz w:val="16"/>
          <w:szCs w:val="16"/>
          <w:lang w:val="en-AU"/>
        </w:rPr>
        <w:t>Source: NSW Treasury</w:t>
      </w:r>
    </w:p>
    <w:p w14:paraId="1072C3BD" w14:textId="35BD396B" w:rsidR="001E61B1" w:rsidRDefault="001E61B1" w:rsidP="008D6019"/>
    <w:p w14:paraId="5666CAC1" w14:textId="2CC83D01" w:rsidR="00977354" w:rsidRPr="003D566D" w:rsidRDefault="00520C76" w:rsidP="00EA0E06">
      <w:pPr>
        <w:pStyle w:val="BodyText"/>
      </w:pPr>
      <w:r w:rsidRPr="411F2202">
        <w:rPr>
          <w:lang w:val="en-US"/>
        </w:rPr>
        <w:t xml:space="preserve">The </w:t>
      </w:r>
      <w:r w:rsidR="00DC4FB0" w:rsidRPr="411F2202">
        <w:rPr>
          <w:lang w:val="en-US"/>
        </w:rPr>
        <w:t>2025-26</w:t>
      </w:r>
      <w:r w:rsidR="002067D6" w:rsidRPr="411F2202">
        <w:rPr>
          <w:lang w:val="en-US"/>
        </w:rPr>
        <w:t xml:space="preserve"> Budget </w:t>
      </w:r>
      <w:r w:rsidR="00C54D4E" w:rsidRPr="411F2202">
        <w:rPr>
          <w:lang w:val="en-US"/>
        </w:rPr>
        <w:t xml:space="preserve">is </w:t>
      </w:r>
      <w:r w:rsidRPr="411F2202">
        <w:rPr>
          <w:lang w:val="en-US"/>
        </w:rPr>
        <w:t xml:space="preserve">also </w:t>
      </w:r>
      <w:r w:rsidR="00C54D4E" w:rsidRPr="411F2202">
        <w:rPr>
          <w:lang w:val="en-US"/>
        </w:rPr>
        <w:t>impacted by</w:t>
      </w:r>
      <w:r w:rsidRPr="411F2202">
        <w:rPr>
          <w:lang w:val="en-US"/>
        </w:rPr>
        <w:t xml:space="preserve"> </w:t>
      </w:r>
      <w:r w:rsidR="001642D4" w:rsidRPr="411F2202">
        <w:rPr>
          <w:lang w:val="en-US"/>
        </w:rPr>
        <w:t>significant volatility in the State’s bond yields and equity markets</w:t>
      </w:r>
      <w:r w:rsidR="00D64238" w:rsidRPr="411F2202">
        <w:rPr>
          <w:lang w:val="en-US"/>
        </w:rPr>
        <w:t>.</w:t>
      </w:r>
      <w:r w:rsidR="008F7EE8" w:rsidRPr="411F2202">
        <w:rPr>
          <w:lang w:val="en-US"/>
        </w:rPr>
        <w:t xml:space="preserve"> </w:t>
      </w:r>
      <w:r w:rsidR="00C54D4E" w:rsidRPr="411F2202">
        <w:rPr>
          <w:lang w:val="en-US"/>
        </w:rPr>
        <w:t>The volatility has led</w:t>
      </w:r>
      <w:r w:rsidR="00913BDC" w:rsidRPr="411F2202">
        <w:rPr>
          <w:lang w:val="en-US"/>
        </w:rPr>
        <w:t xml:space="preserve"> to </w:t>
      </w:r>
      <w:r w:rsidR="004B5209" w:rsidRPr="411F2202">
        <w:rPr>
          <w:lang w:val="en-US"/>
        </w:rPr>
        <w:t>i</w:t>
      </w:r>
      <w:r w:rsidR="008F7EE8" w:rsidRPr="411F2202">
        <w:rPr>
          <w:lang w:val="en-US"/>
        </w:rPr>
        <w:t>nterest expenses</w:t>
      </w:r>
      <w:r w:rsidR="0001348C" w:rsidRPr="411F2202">
        <w:rPr>
          <w:lang w:val="en-US"/>
        </w:rPr>
        <w:t xml:space="preserve"> </w:t>
      </w:r>
      <w:r w:rsidR="00EC68CC" w:rsidRPr="411F2202">
        <w:rPr>
          <w:lang w:val="en-US"/>
        </w:rPr>
        <w:t>being</w:t>
      </w:r>
      <w:r w:rsidR="0001348C" w:rsidRPr="411F2202">
        <w:rPr>
          <w:lang w:val="en-US"/>
        </w:rPr>
        <w:t xml:space="preserve"> </w:t>
      </w:r>
      <w:r w:rsidR="00915655" w:rsidRPr="411F2202">
        <w:rPr>
          <w:lang w:val="en-US"/>
        </w:rPr>
        <w:t>$</w:t>
      </w:r>
      <w:r w:rsidR="00E11790" w:rsidRPr="411F2202">
        <w:rPr>
          <w:lang w:val="en-US"/>
        </w:rPr>
        <w:t>279.8</w:t>
      </w:r>
      <w:r w:rsidR="00915655" w:rsidRPr="411F2202">
        <w:rPr>
          <w:lang w:val="en-US"/>
        </w:rPr>
        <w:t xml:space="preserve"> million </w:t>
      </w:r>
      <w:r w:rsidR="00BA64EA" w:rsidRPr="411F2202">
        <w:rPr>
          <w:lang w:val="en-US"/>
        </w:rPr>
        <w:t>higher</w:t>
      </w:r>
      <w:r w:rsidR="00915655" w:rsidRPr="411F2202">
        <w:rPr>
          <w:lang w:val="en-US"/>
        </w:rPr>
        <w:t xml:space="preserve"> </w:t>
      </w:r>
      <w:r w:rsidR="00977354" w:rsidRPr="411F2202">
        <w:rPr>
          <w:lang w:val="en-US"/>
        </w:rPr>
        <w:t>over the four years to 2027-28</w:t>
      </w:r>
      <w:r w:rsidR="00915655" w:rsidRPr="411F2202">
        <w:rPr>
          <w:lang w:val="en-US"/>
        </w:rPr>
        <w:t xml:space="preserve"> </w:t>
      </w:r>
      <w:r w:rsidR="00102019" w:rsidRPr="411F2202">
        <w:rPr>
          <w:lang w:val="en-US"/>
        </w:rPr>
        <w:t>compared with</w:t>
      </w:r>
      <w:r w:rsidR="00915655" w:rsidRPr="411F2202">
        <w:rPr>
          <w:lang w:val="en-US"/>
        </w:rPr>
        <w:t xml:space="preserve"> the 2024-25 Half-Yearly Review</w:t>
      </w:r>
      <w:r w:rsidR="00977354" w:rsidRPr="411F2202">
        <w:rPr>
          <w:lang w:val="en-US"/>
        </w:rPr>
        <w:t xml:space="preserve">. </w:t>
      </w:r>
    </w:p>
    <w:p w14:paraId="0C62C149" w14:textId="1C3F819D" w:rsidR="00AD075D" w:rsidRDefault="00BF3F0D" w:rsidP="00EA0E06">
      <w:pPr>
        <w:pStyle w:val="BodyText"/>
      </w:pPr>
      <w:r w:rsidRPr="411F2202">
        <w:rPr>
          <w:lang w:val="en-US"/>
        </w:rPr>
        <w:t>Despite recent volatility in global financial markets, OneFund</w:t>
      </w:r>
      <w:r w:rsidR="0058503B" w:rsidRPr="411F2202">
        <w:rPr>
          <w:lang w:val="en-US"/>
        </w:rPr>
        <w:t xml:space="preserve"> </w:t>
      </w:r>
      <w:r w:rsidR="00977354" w:rsidRPr="411F2202">
        <w:rPr>
          <w:lang w:val="en-US"/>
        </w:rPr>
        <w:t>has</w:t>
      </w:r>
      <w:r w:rsidRPr="411F2202">
        <w:rPr>
          <w:color w:val="FF0000"/>
          <w:lang w:val="en-US"/>
        </w:rPr>
        <w:t xml:space="preserve"> </w:t>
      </w:r>
      <w:r w:rsidRPr="411F2202">
        <w:rPr>
          <w:lang w:val="en-US"/>
        </w:rPr>
        <w:t xml:space="preserve">demonstrated </w:t>
      </w:r>
      <w:r w:rsidR="00977354" w:rsidRPr="411F2202">
        <w:rPr>
          <w:lang w:val="en-US"/>
        </w:rPr>
        <w:t>good</w:t>
      </w:r>
      <w:r w:rsidRPr="411F2202">
        <w:rPr>
          <w:lang w:val="en-US"/>
        </w:rPr>
        <w:t xml:space="preserve"> resilience generating a net return of 4 per cent per annum in the </w:t>
      </w:r>
      <w:r w:rsidR="48691001" w:rsidRPr="411F2202">
        <w:rPr>
          <w:lang w:val="en-US"/>
        </w:rPr>
        <w:t>eight</w:t>
      </w:r>
      <w:r w:rsidRPr="411F2202">
        <w:rPr>
          <w:lang w:val="en-US"/>
        </w:rPr>
        <w:t xml:space="preserve"> months since its inception (31 August 2024) and outperforming several global equity markets. </w:t>
      </w:r>
      <w:r w:rsidR="0001348C" w:rsidRPr="411F2202">
        <w:rPr>
          <w:highlight w:val="yellow"/>
          <w:lang w:val="en-US"/>
        </w:rPr>
        <w:t xml:space="preserve"> </w:t>
      </w:r>
      <w:r w:rsidR="001642D4" w:rsidRPr="411F2202">
        <w:rPr>
          <w:lang w:val="en-US"/>
        </w:rPr>
        <w:t xml:space="preserve"> </w:t>
      </w:r>
    </w:p>
    <w:p w14:paraId="475F039B" w14:textId="19BB6826" w:rsidR="006269C4" w:rsidRPr="00AD3C1F" w:rsidRDefault="00297074" w:rsidP="006269C4">
      <w:pPr>
        <w:pStyle w:val="41Heading2"/>
      </w:pPr>
      <w:r w:rsidRPr="00AD3C1F">
        <w:t>Keeping the State’s debt in check</w:t>
      </w:r>
    </w:p>
    <w:p w14:paraId="326806E2" w14:textId="44A2B66B" w:rsidR="00235756" w:rsidRPr="003D566D" w:rsidRDefault="00235756" w:rsidP="00EA0E06">
      <w:pPr>
        <w:pStyle w:val="BodyText"/>
      </w:pPr>
      <w:r w:rsidRPr="00E24665">
        <w:t xml:space="preserve">This Budget continues to move the State’s finances to a more sustainable footing while safeguarding essential services. Gross debt is projected to be $9.4 billion lower by June 2026 than forecast in the 2023 Pre-election Budget Update (equivalent to around $1,000 per person in New South Wales or around 1 per cent of </w:t>
      </w:r>
      <w:r w:rsidR="008505AC">
        <w:t>gross state product (</w:t>
      </w:r>
      <w:r w:rsidRPr="00E24665">
        <w:t>GSP)</w:t>
      </w:r>
      <w:r w:rsidR="008505AC">
        <w:t>)</w:t>
      </w:r>
      <w:r w:rsidRPr="00E24665">
        <w:t xml:space="preserve"> and the rate of new borrowings has moderated significantly (see Chart 4.</w:t>
      </w:r>
      <w:r w:rsidR="00772CD8" w:rsidRPr="00E24665">
        <w:t>4</w:t>
      </w:r>
      <w:r w:rsidRPr="00E24665">
        <w:t xml:space="preserve">). </w:t>
      </w:r>
    </w:p>
    <w:p w14:paraId="5BDCCA24" w14:textId="77777777" w:rsidR="00235756" w:rsidRPr="00885B3A" w:rsidRDefault="00235756" w:rsidP="00235756">
      <w:pPr>
        <w:pStyle w:val="Chart4X"/>
      </w:pPr>
      <w:r w:rsidRPr="00284322">
        <w:t>Annual change in NSW’s gross debt</w:t>
      </w:r>
      <w:r w:rsidRPr="00C43627">
        <w:rPr>
          <w:i w:val="0"/>
        </w:rPr>
        <w:t xml:space="preserve">  </w:t>
      </w:r>
    </w:p>
    <w:p w14:paraId="4043B034" w14:textId="77777777" w:rsidR="00235756" w:rsidRPr="00E4727C" w:rsidRDefault="00235756" w:rsidP="00235756">
      <w:pPr>
        <w:rPr>
          <w:rFonts w:ascii="Public Sans" w:hAnsi="Public Sans"/>
          <w:i/>
          <w:iCs/>
          <w:sz w:val="16"/>
          <w:szCs w:val="16"/>
          <w:lang w:val="en-AU"/>
        </w:rPr>
      </w:pPr>
      <w:r>
        <w:rPr>
          <w:noProof/>
        </w:rPr>
        <w:drawing>
          <wp:inline distT="0" distB="0" distL="0" distR="0" wp14:anchorId="0BD06220" wp14:editId="2E98D6DF">
            <wp:extent cx="6088846" cy="2314780"/>
            <wp:effectExtent l="0" t="0" r="7620" b="0"/>
            <wp:docPr id="1288400148" name="Chart 1" descr="Chart 4.4: Annual change in NSW’s gross debt  ">
              <a:extLst xmlns:a="http://schemas.openxmlformats.org/drawingml/2006/main">
                <a:ext uri="{FF2B5EF4-FFF2-40B4-BE49-F238E27FC236}">
                  <a16:creationId xmlns:a16="http://schemas.microsoft.com/office/drawing/2014/main" id="{5E1FF30B-4110-44E4-8A39-8B999C92E0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4727C">
        <w:rPr>
          <w:rFonts w:ascii="Public Sans" w:hAnsi="Public Sans"/>
          <w:i/>
          <w:iCs/>
          <w:sz w:val="16"/>
          <w:szCs w:val="16"/>
          <w:lang w:val="en-AU"/>
        </w:rPr>
        <w:t>Source: NSW Treasury</w:t>
      </w:r>
    </w:p>
    <w:p w14:paraId="7FCB8EA8" w14:textId="77777777" w:rsidR="00235756" w:rsidRDefault="00235756" w:rsidP="00235756"/>
    <w:p w14:paraId="3F2CC615" w14:textId="6A6F0B65" w:rsidR="00235756" w:rsidRPr="00D21F22" w:rsidRDefault="00235756" w:rsidP="00EA0E06">
      <w:pPr>
        <w:pStyle w:val="BodyText"/>
      </w:pPr>
      <w:r w:rsidRPr="00D21F22">
        <w:t xml:space="preserve">The reduction in gross debt has been achieved </w:t>
      </w:r>
      <w:r w:rsidR="00387831">
        <w:t>while still delivering on</w:t>
      </w:r>
      <w:r w:rsidRPr="00D21F22">
        <w:t xml:space="preserve"> the general government’s infrastructure program and investment in essential services that support long</w:t>
      </w:r>
      <w:r w:rsidR="00700D7E">
        <w:noBreakHyphen/>
      </w:r>
      <w:r w:rsidRPr="00D21F22">
        <w:t>term economic growth (see Chart 4.</w:t>
      </w:r>
      <w:r w:rsidR="0021697A">
        <w:t>5</w:t>
      </w:r>
      <w:r w:rsidRPr="00D21F22">
        <w:t xml:space="preserve">). </w:t>
      </w:r>
    </w:p>
    <w:p w14:paraId="729C7012" w14:textId="77777777" w:rsidR="004E0125" w:rsidRDefault="004E0125">
      <w:pPr>
        <w:spacing w:before="360" w:after="120"/>
        <w:ind w:left="851" w:hanging="851"/>
        <w:rPr>
          <w:rFonts w:ascii="Public Sans" w:hAnsi="Public Sans"/>
          <w:bCs/>
          <w:i/>
          <w:noProof/>
          <w:color w:val="000000" w:themeColor="text1"/>
          <w:kern w:val="28"/>
          <w:sz w:val="22"/>
          <w:szCs w:val="22"/>
          <w:lang w:val="en-AU"/>
        </w:rPr>
      </w:pPr>
      <w:r>
        <w:br w:type="page"/>
      </w:r>
    </w:p>
    <w:p w14:paraId="33B7E1A1" w14:textId="18B4FEB7" w:rsidR="00235756" w:rsidRPr="00146564" w:rsidRDefault="000E6141" w:rsidP="00235756">
      <w:pPr>
        <w:pStyle w:val="Chart4X"/>
      </w:pPr>
      <w:r>
        <w:lastRenderedPageBreak/>
        <w:t>I</w:t>
      </w:r>
      <w:r w:rsidR="00235756" w:rsidRPr="00146564">
        <w:t>nfra</w:t>
      </w:r>
      <w:r w:rsidR="00E750A9">
        <w:t>s</w:t>
      </w:r>
      <w:r w:rsidR="00235756" w:rsidRPr="00146564">
        <w:t>tructure</w:t>
      </w:r>
      <w:r>
        <w:t xml:space="preserve"> investment</w:t>
      </w:r>
      <w:r w:rsidR="00235756" w:rsidRPr="00146564">
        <w:t xml:space="preserve"> </w:t>
      </w:r>
      <w:r>
        <w:t>program</w:t>
      </w:r>
      <w:r w:rsidR="00235756" w:rsidRPr="00146564">
        <w:t xml:space="preserve"> </w:t>
      </w:r>
    </w:p>
    <w:p w14:paraId="5B191EE8" w14:textId="6018A1F0" w:rsidR="00235756" w:rsidRDefault="005776F9" w:rsidP="0082590A">
      <w:pPr>
        <w:jc w:val="center"/>
        <w:rPr>
          <w:highlight w:val="yellow"/>
          <w:lang w:val="en-AU"/>
        </w:rPr>
      </w:pPr>
      <w:r>
        <w:rPr>
          <w:noProof/>
        </w:rPr>
        <w:drawing>
          <wp:inline distT="0" distB="0" distL="0" distR="0" wp14:anchorId="69B6C331" wp14:editId="73569AFD">
            <wp:extent cx="6047243" cy="3016885"/>
            <wp:effectExtent l="0" t="0" r="0" b="0"/>
            <wp:docPr id="657917110" name="Chart 1" descr="Chart 4.5: Infrastructure investment program ">
              <a:extLst xmlns:a="http://schemas.openxmlformats.org/drawingml/2006/main">
                <a:ext uri="{FF2B5EF4-FFF2-40B4-BE49-F238E27FC236}">
                  <a16:creationId xmlns:a16="http://schemas.microsoft.com/office/drawing/2014/main" id="{251E49F7-6C63-4402-A4CA-F55447B92F47}"/>
                </a:ext>
                <a:ext uri="{147F2762-F138-4A5C-976F-8EAC2B608ADB}">
                  <a16:predDERef xmlns:a16="http://schemas.microsoft.com/office/drawing/2014/main" pred="{69D0DE27-ACFA-494C-8B27-A11176CFD2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C3895D" w14:textId="0A0C5745" w:rsidR="00235756" w:rsidRDefault="0082098D" w:rsidP="00235756">
      <w:pPr>
        <w:rPr>
          <w:rFonts w:ascii="Public Sans" w:hAnsi="Public Sans"/>
          <w:i/>
          <w:iCs/>
          <w:sz w:val="16"/>
          <w:szCs w:val="16"/>
          <w:lang w:val="en-AU"/>
        </w:rPr>
      </w:pPr>
      <w:r w:rsidRPr="00E4727C">
        <w:rPr>
          <w:rFonts w:ascii="Public Sans" w:hAnsi="Public Sans"/>
          <w:i/>
          <w:iCs/>
          <w:sz w:val="16"/>
          <w:szCs w:val="16"/>
          <w:lang w:val="en-AU"/>
        </w:rPr>
        <w:t>Source: NSW Treasury</w:t>
      </w:r>
    </w:p>
    <w:p w14:paraId="4256534D" w14:textId="77777777" w:rsidR="00B34337" w:rsidRDefault="00B34337" w:rsidP="00235756">
      <w:pPr>
        <w:rPr>
          <w:highlight w:val="yellow"/>
          <w:lang w:val="en-AU"/>
        </w:rPr>
      </w:pPr>
    </w:p>
    <w:tbl>
      <w:tblPr>
        <w:tblW w:w="9639" w:type="dxa"/>
        <w:shd w:val="clear" w:color="auto" w:fill="F2F2F2" w:themeFill="background1" w:themeFillShade="F2"/>
        <w:tblLayout w:type="fixed"/>
        <w:tblLook w:val="0000" w:firstRow="0" w:lastRow="0" w:firstColumn="0" w:lastColumn="0" w:noHBand="0" w:noVBand="0"/>
        <w:tblCaption w:val="Box 1.3: Investing to reduce domestic and family violence"/>
        <w:tblDescription w:val="Box 1.3: Investing to reduce domestic and family violence"/>
      </w:tblPr>
      <w:tblGrid>
        <w:gridCol w:w="9639"/>
      </w:tblGrid>
      <w:tr w:rsidR="00235756" w:rsidRPr="005F5B5D" w14:paraId="4B656494" w14:textId="77777777" w:rsidTr="00B34337">
        <w:trPr>
          <w:trHeight w:val="4819"/>
        </w:trPr>
        <w:tc>
          <w:tcPr>
            <w:tcW w:w="9639" w:type="dxa"/>
            <w:shd w:val="clear" w:color="auto" w:fill="F2F2F2" w:themeFill="accent5" w:themeFillTint="33"/>
          </w:tcPr>
          <w:p w14:paraId="1AB179A1" w14:textId="77777777" w:rsidR="00235756" w:rsidRPr="008708B6" w:rsidRDefault="00235756" w:rsidP="0082590A">
            <w:pPr>
              <w:pStyle w:val="Box4XBoxHeading"/>
              <w:widowControl w:val="0"/>
              <w:rPr>
                <w:rFonts w:ascii="Public Sans" w:hAnsi="Public Sans"/>
              </w:rPr>
            </w:pPr>
            <w:r>
              <w:t>Keeping the State’s debt in check</w:t>
            </w:r>
          </w:p>
          <w:p w14:paraId="2593CB97" w14:textId="4612ECF4" w:rsidR="00235756" w:rsidRDefault="00235756" w:rsidP="0082590A">
            <w:pPr>
              <w:pStyle w:val="BodyText"/>
              <w:widowControl w:val="0"/>
            </w:pPr>
            <w:r w:rsidRPr="411F2202">
              <w:rPr>
                <w:lang w:val="en-US"/>
              </w:rPr>
              <w:t xml:space="preserve">To help stabilise the State’s gross debt </w:t>
            </w:r>
            <w:r w:rsidR="20F4DD65" w:rsidRPr="411F2202">
              <w:rPr>
                <w:lang w:val="en-US"/>
              </w:rPr>
              <w:t>at</w:t>
            </w:r>
            <w:r w:rsidRPr="411F2202">
              <w:rPr>
                <w:lang w:val="en-US"/>
              </w:rPr>
              <w:t xml:space="preserve"> around 20 per cent of GSP over the four years to June 2029 (see Chart 4.</w:t>
            </w:r>
            <w:r w:rsidR="00320176" w:rsidRPr="411F2202">
              <w:rPr>
                <w:lang w:val="en-US"/>
              </w:rPr>
              <w:t>6</w:t>
            </w:r>
            <w:r w:rsidRPr="411F2202">
              <w:rPr>
                <w:lang w:val="en-US"/>
              </w:rPr>
              <w:t>), the Government is focused on:</w:t>
            </w:r>
          </w:p>
          <w:p w14:paraId="31F618E1" w14:textId="77777777" w:rsidR="00235756" w:rsidRPr="009F1145" w:rsidRDefault="00235756" w:rsidP="0082590A">
            <w:pPr>
              <w:pStyle w:val="Bullet1"/>
              <w:widowControl w:val="0"/>
            </w:pPr>
            <w:r w:rsidRPr="411F2202">
              <w:rPr>
                <w:lang w:val="en-US"/>
              </w:rPr>
              <w:t xml:space="preserve">returning the operating position to balance and maintaining a strong cash operating position to reduce pressure on the State’s borrowing requirements </w:t>
            </w:r>
          </w:p>
          <w:p w14:paraId="49252BFB" w14:textId="77777777" w:rsidR="00235756" w:rsidRDefault="00235756" w:rsidP="0082590A">
            <w:pPr>
              <w:pStyle w:val="Bullet1"/>
              <w:widowControl w:val="0"/>
            </w:pPr>
            <w:r w:rsidRPr="411F2202">
              <w:rPr>
                <w:lang w:val="en-US"/>
              </w:rPr>
              <w:t xml:space="preserve">resetting the State’s infrastructure program to be around 2 per cent of GSP over the forward estimates. This will help relieve market capacity pressures and reduce borrowing requirements. </w:t>
            </w:r>
          </w:p>
          <w:p w14:paraId="2C555680" w14:textId="36DFB7DE" w:rsidR="00235756" w:rsidRDefault="00235756" w:rsidP="007C14BB">
            <w:pPr>
              <w:pStyle w:val="BodyText"/>
              <w:widowControl w:val="0"/>
              <w:rPr>
                <w:color w:val="auto"/>
              </w:rPr>
            </w:pPr>
            <w:r w:rsidRPr="356452D0">
              <w:t xml:space="preserve">In this Budget, the operating position is projected to </w:t>
            </w:r>
            <w:r w:rsidR="009D792F">
              <w:t>improve</w:t>
            </w:r>
            <w:r w:rsidRPr="356452D0">
              <w:t xml:space="preserve"> from </w:t>
            </w:r>
            <w:r w:rsidR="009D792F">
              <w:t>a</w:t>
            </w:r>
            <w:r w:rsidRPr="356452D0">
              <w:t xml:space="preserve"> $10.7 billion deficit in 2023-24 to return to a surplus of $1.1 billion by 20</w:t>
            </w:r>
            <w:r w:rsidR="008C2E96">
              <w:t>27</w:t>
            </w:r>
            <w:r w:rsidRPr="356452D0">
              <w:t>-2</w:t>
            </w:r>
            <w:r w:rsidR="008C2E96">
              <w:t>8</w:t>
            </w:r>
            <w:r w:rsidRPr="356452D0">
              <w:t>. This reflects the Government’s intention to balance the need for prudent fiscal management with continued investment in the delivery of essential services. The State’s cash operating position is projected to grow from a surplus of $</w:t>
            </w:r>
            <w:r w:rsidR="00CD7A1A" w:rsidRPr="356452D0">
              <w:t>37</w:t>
            </w:r>
            <w:r w:rsidR="00F10894" w:rsidRPr="356452D0">
              <w:t>7.8</w:t>
            </w:r>
            <w:r w:rsidRPr="356452D0">
              <w:t xml:space="preserve"> </w:t>
            </w:r>
            <w:r w:rsidR="00F10894" w:rsidRPr="356452D0">
              <w:t>m</w:t>
            </w:r>
            <w:r w:rsidRPr="356452D0">
              <w:t xml:space="preserve">illion in 2023-24 to $12.5 billion in 2028-29. This improvement means the State is less reliant on borrowings to fund its infrastructure program. </w:t>
            </w:r>
            <w:r w:rsidRPr="356452D0">
              <w:rPr>
                <w:color w:val="auto"/>
              </w:rPr>
              <w:t>Debt</w:t>
            </w:r>
            <w:r w:rsidR="0060183B">
              <w:rPr>
                <w:color w:val="auto"/>
              </w:rPr>
              <w:noBreakHyphen/>
            </w:r>
            <w:r w:rsidRPr="356452D0">
              <w:rPr>
                <w:color w:val="auto"/>
              </w:rPr>
              <w:t xml:space="preserve">funding of the State’s infrastructure program has reduced from a peak of </w:t>
            </w:r>
            <w:r w:rsidRPr="356452D0">
              <w:t>83.4</w:t>
            </w:r>
            <w:r w:rsidR="00C957DC">
              <w:t> </w:t>
            </w:r>
            <w:r w:rsidRPr="356452D0">
              <w:t>per</w:t>
            </w:r>
            <w:r w:rsidR="00C957DC">
              <w:t> </w:t>
            </w:r>
            <w:r w:rsidRPr="356452D0">
              <w:t>cent of debt in the 2020-21 Budget</w:t>
            </w:r>
            <w:r w:rsidRPr="356452D0">
              <w:rPr>
                <w:color w:val="auto"/>
              </w:rPr>
              <w:t xml:space="preserve"> to </w:t>
            </w:r>
            <w:r w:rsidRPr="356452D0">
              <w:t>53.1 per cent</w:t>
            </w:r>
            <w:r w:rsidRPr="356452D0">
              <w:rPr>
                <w:color w:val="auto"/>
              </w:rPr>
              <w:t xml:space="preserve"> in this Budget. </w:t>
            </w:r>
          </w:p>
          <w:p w14:paraId="57BB66D9" w14:textId="5BC5D584" w:rsidR="00B34337" w:rsidRPr="00B34337" w:rsidRDefault="00B34337" w:rsidP="007C14BB">
            <w:pPr>
              <w:pStyle w:val="BodyText"/>
              <w:widowControl w:val="0"/>
            </w:pPr>
            <w:r w:rsidRPr="356452D0">
              <w:t>The State’s infrastructure program has expanded significantly in recent years and has been impacted by</w:t>
            </w:r>
            <w:r w:rsidRPr="356452D0" w:rsidDel="00384D80">
              <w:t xml:space="preserve"> </w:t>
            </w:r>
            <w:r w:rsidRPr="356452D0">
              <w:t>high inflation, market capacity constraints and delivery delays. The Government is resetting the State’s infrastructure program to more sustainable levels of around 2 per cent of GSP, which will also take pressure off the State’s borrowing requirements.</w:t>
            </w:r>
          </w:p>
        </w:tc>
      </w:tr>
      <w:tr w:rsidR="007C14BB" w:rsidRPr="005F5B5D" w14:paraId="4102F982" w14:textId="77777777" w:rsidTr="00B34337">
        <w:trPr>
          <w:trHeight w:val="4252"/>
        </w:trPr>
        <w:tc>
          <w:tcPr>
            <w:tcW w:w="9639" w:type="dxa"/>
            <w:shd w:val="clear" w:color="auto" w:fill="F2F2F2" w:themeFill="accent5" w:themeFillTint="33"/>
          </w:tcPr>
          <w:p w14:paraId="11A29E80" w14:textId="77777777" w:rsidR="007C14BB" w:rsidRPr="00154B37" w:rsidRDefault="007C14BB" w:rsidP="007C14BB">
            <w:pPr>
              <w:pStyle w:val="Chart4X"/>
              <w:keepLines w:val="0"/>
              <w:widowControl w:val="0"/>
            </w:pPr>
            <w:r w:rsidRPr="00146564">
              <w:lastRenderedPageBreak/>
              <w:t>NSW’s gross debt from June 2020 to June 2029</w:t>
            </w:r>
            <w:r w:rsidRPr="00154B37">
              <w:t xml:space="preserve"> </w:t>
            </w:r>
          </w:p>
          <w:p w14:paraId="26A74D73" w14:textId="77777777" w:rsidR="007C14BB" w:rsidRDefault="007C14BB" w:rsidP="007C14BB">
            <w:pPr>
              <w:widowControl w:val="0"/>
              <w:jc w:val="center"/>
            </w:pPr>
            <w:r>
              <w:rPr>
                <w:noProof/>
              </w:rPr>
              <w:drawing>
                <wp:inline distT="0" distB="0" distL="0" distR="0" wp14:anchorId="36E9D42F" wp14:editId="59CFF2F9">
                  <wp:extent cx="5541818" cy="2078182"/>
                  <wp:effectExtent l="0" t="0" r="0" b="0"/>
                  <wp:docPr id="637074468" name="Chart 1" descr="Chart 4.6: NSW’s gross debt from June 2020 to June 2029 ">
                    <a:extLst xmlns:a="http://schemas.openxmlformats.org/drawingml/2006/main">
                      <a:ext uri="{FF2B5EF4-FFF2-40B4-BE49-F238E27FC236}">
                        <a16:creationId xmlns:a16="http://schemas.microsoft.com/office/drawing/2014/main" id="{D2ED0AB6-07F1-4223-AA7B-18A9E4559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46AA60" w14:textId="7B52EA0C" w:rsidR="007C14BB" w:rsidRDefault="007C14BB" w:rsidP="007C14BB">
            <w:pPr>
              <w:pStyle w:val="Source"/>
            </w:pPr>
            <w:r w:rsidRPr="00E4727C">
              <w:rPr>
                <w:lang w:val="en-AU"/>
              </w:rPr>
              <w:t>Source: NSW Treasury</w:t>
            </w:r>
          </w:p>
        </w:tc>
      </w:tr>
    </w:tbl>
    <w:p w14:paraId="07A40607" w14:textId="77777777" w:rsidR="00235756" w:rsidRDefault="00235756" w:rsidP="005B6B2D"/>
    <w:p w14:paraId="08DCB258" w14:textId="6A565F5C" w:rsidR="008927FC" w:rsidRPr="002817A9" w:rsidRDefault="00AD4D45" w:rsidP="008927FC">
      <w:pPr>
        <w:pStyle w:val="41Heading2"/>
      </w:pPr>
      <w:r w:rsidRPr="00A426EE">
        <w:t>Efficiently</w:t>
      </w:r>
      <w:r>
        <w:t xml:space="preserve"> m</w:t>
      </w:r>
      <w:r w:rsidR="008927FC">
        <w:t>anaging the State’s cash</w:t>
      </w:r>
      <w:r>
        <w:t xml:space="preserve"> flows</w:t>
      </w:r>
    </w:p>
    <w:p w14:paraId="77F1347B" w14:textId="58BEB3AA" w:rsidR="00260359" w:rsidRDefault="00B57D2B" w:rsidP="00EA0E06">
      <w:pPr>
        <w:pStyle w:val="BodyText"/>
      </w:pPr>
      <w:r w:rsidRPr="521F7799">
        <w:t>The Government is e</w:t>
      </w:r>
      <w:r w:rsidR="00260359" w:rsidRPr="521F7799">
        <w:t xml:space="preserve">fficiently managing the State’s cash operating position </w:t>
      </w:r>
      <w:r w:rsidR="006151FF">
        <w:t>to</w:t>
      </w:r>
      <w:r w:rsidR="006151FF" w:rsidRPr="521F7799">
        <w:t xml:space="preserve"> </w:t>
      </w:r>
      <w:r w:rsidR="00BA53B0" w:rsidRPr="521F7799">
        <w:t>free</w:t>
      </w:r>
      <w:r w:rsidR="00C9396E" w:rsidRPr="521F7799">
        <w:t xml:space="preserve"> up resources to invest in infrastructure and </w:t>
      </w:r>
      <w:r w:rsidR="00FA46EB" w:rsidRPr="521F7799">
        <w:t>take</w:t>
      </w:r>
      <w:r w:rsidR="00C9396E" w:rsidRPr="521F7799">
        <w:t xml:space="preserve"> pressure off the State’s borrowing requirements. </w:t>
      </w:r>
    </w:p>
    <w:p w14:paraId="709CE1A3" w14:textId="324C2D90" w:rsidR="00B82CA1" w:rsidRDefault="00132D36" w:rsidP="00EA0E06">
      <w:pPr>
        <w:pStyle w:val="BodyText"/>
      </w:pPr>
      <w:r>
        <w:t>Over the four years to 2028-29, the net cash operating position</w:t>
      </w:r>
      <w:r w:rsidR="00B82CA1">
        <w:t xml:space="preserve"> is projected to improve from </w:t>
      </w:r>
      <w:r w:rsidR="00B82CA1" w:rsidRPr="00146564">
        <w:t>$</w:t>
      </w:r>
      <w:r w:rsidR="00E62EB7" w:rsidRPr="00146564">
        <w:t>7.</w:t>
      </w:r>
      <w:r w:rsidR="002744EF" w:rsidRPr="00146564">
        <w:t>4</w:t>
      </w:r>
      <w:r w:rsidR="00E62EB7" w:rsidRPr="00146564">
        <w:t xml:space="preserve"> </w:t>
      </w:r>
      <w:r w:rsidR="00B82CA1" w:rsidRPr="00146564">
        <w:t>billion in 2025-26 to $</w:t>
      </w:r>
      <w:r w:rsidR="000542EB" w:rsidRPr="00146564">
        <w:t xml:space="preserve">12.5 </w:t>
      </w:r>
      <w:r w:rsidR="00B82CA1" w:rsidRPr="00146564">
        <w:t>billion in 2028-29</w:t>
      </w:r>
      <w:r w:rsidR="00B82CA1">
        <w:t xml:space="preserve">. This is primarily due to </w:t>
      </w:r>
      <w:r w:rsidR="005A122B" w:rsidRPr="356452D0">
        <w:t xml:space="preserve">the Government’s </w:t>
      </w:r>
      <w:r w:rsidR="00951501" w:rsidRPr="356452D0">
        <w:t xml:space="preserve">careful </w:t>
      </w:r>
      <w:r w:rsidR="005A122B" w:rsidRPr="356452D0">
        <w:t xml:space="preserve">management </w:t>
      </w:r>
      <w:r w:rsidR="00305660">
        <w:t>of cash payments by</w:t>
      </w:r>
      <w:r w:rsidR="00F20559" w:rsidRPr="0041378E">
        <w:t xml:space="preserve"> keeping expense growth low across the forward estimates</w:t>
      </w:r>
      <w:r w:rsidR="00F20559">
        <w:t xml:space="preserve"> and </w:t>
      </w:r>
      <w:r w:rsidR="00251590">
        <w:t xml:space="preserve">projecting </w:t>
      </w:r>
      <w:r w:rsidR="00F20559">
        <w:t>stro</w:t>
      </w:r>
      <w:r w:rsidR="00AE4F4C">
        <w:t>nger cash receipts</w:t>
      </w:r>
      <w:r w:rsidR="00305660">
        <w:t xml:space="preserve"> (including GST). </w:t>
      </w:r>
    </w:p>
    <w:p w14:paraId="3CE23050" w14:textId="611ACC10" w:rsidR="008328FC" w:rsidRPr="008355E6" w:rsidRDefault="00B82CA1" w:rsidP="00EA0E06">
      <w:pPr>
        <w:pStyle w:val="BodyText"/>
      </w:pPr>
      <w:r w:rsidRPr="411F2202">
        <w:rPr>
          <w:lang w:val="en-US"/>
        </w:rPr>
        <w:t xml:space="preserve">By </w:t>
      </w:r>
      <w:r w:rsidR="00FA46EB" w:rsidRPr="411F2202">
        <w:rPr>
          <w:lang w:val="en-US"/>
        </w:rPr>
        <w:t>maintaining</w:t>
      </w:r>
      <w:r w:rsidRPr="411F2202">
        <w:rPr>
          <w:lang w:val="en-US"/>
        </w:rPr>
        <w:t xml:space="preserve"> a </w:t>
      </w:r>
      <w:r w:rsidR="003542B0" w:rsidRPr="411F2202">
        <w:rPr>
          <w:lang w:val="en-US"/>
        </w:rPr>
        <w:t xml:space="preserve">strong </w:t>
      </w:r>
      <w:r w:rsidRPr="411F2202">
        <w:rPr>
          <w:lang w:val="en-US"/>
        </w:rPr>
        <w:t xml:space="preserve">cash operating surplus, the Government </w:t>
      </w:r>
      <w:r w:rsidR="003D77EC" w:rsidRPr="411F2202">
        <w:rPr>
          <w:lang w:val="en-US"/>
        </w:rPr>
        <w:t>can</w:t>
      </w:r>
      <w:r w:rsidR="008819A9" w:rsidRPr="411F2202">
        <w:rPr>
          <w:lang w:val="en-US"/>
        </w:rPr>
        <w:t xml:space="preserve"> use</w:t>
      </w:r>
      <w:r w:rsidR="00844490" w:rsidRPr="411F2202">
        <w:rPr>
          <w:lang w:val="en-US"/>
        </w:rPr>
        <w:t xml:space="preserve"> </w:t>
      </w:r>
      <w:r w:rsidR="003A00F5" w:rsidRPr="411F2202">
        <w:rPr>
          <w:lang w:val="en-US"/>
        </w:rPr>
        <w:t xml:space="preserve">the </w:t>
      </w:r>
      <w:r w:rsidRPr="411F2202">
        <w:rPr>
          <w:lang w:val="en-US"/>
        </w:rPr>
        <w:t>$</w:t>
      </w:r>
      <w:r w:rsidR="0099133E" w:rsidRPr="411F2202">
        <w:rPr>
          <w:lang w:val="en-US"/>
        </w:rPr>
        <w:t>42.</w:t>
      </w:r>
      <w:r w:rsidR="008E2FA6" w:rsidRPr="411F2202">
        <w:rPr>
          <w:lang w:val="en-US"/>
        </w:rPr>
        <w:t>8</w:t>
      </w:r>
      <w:r w:rsidR="0099133E" w:rsidRPr="411F2202">
        <w:rPr>
          <w:lang w:val="en-US"/>
        </w:rPr>
        <w:t xml:space="preserve"> </w:t>
      </w:r>
      <w:r w:rsidRPr="411F2202">
        <w:rPr>
          <w:lang w:val="en-US"/>
        </w:rPr>
        <w:t>billion</w:t>
      </w:r>
      <w:r w:rsidR="00844490" w:rsidRPr="411F2202">
        <w:rPr>
          <w:lang w:val="en-US"/>
        </w:rPr>
        <w:t xml:space="preserve"> to invest in infrastructure over the four years to 2028-29</w:t>
      </w:r>
      <w:r w:rsidR="00085B22" w:rsidRPr="411F2202">
        <w:rPr>
          <w:lang w:val="en-US"/>
        </w:rPr>
        <w:t xml:space="preserve"> (see Chart </w:t>
      </w:r>
      <w:r w:rsidR="00950617" w:rsidRPr="411F2202">
        <w:rPr>
          <w:lang w:val="en-US"/>
        </w:rPr>
        <w:t>4.7</w:t>
      </w:r>
      <w:r w:rsidR="00085B22" w:rsidRPr="411F2202">
        <w:rPr>
          <w:lang w:val="en-US"/>
        </w:rPr>
        <w:t>)</w:t>
      </w:r>
      <w:r w:rsidR="00844490" w:rsidRPr="411F2202">
        <w:rPr>
          <w:lang w:val="en-US"/>
        </w:rPr>
        <w:t xml:space="preserve">. </w:t>
      </w:r>
      <w:r w:rsidR="00D7501B" w:rsidRPr="411F2202">
        <w:rPr>
          <w:lang w:val="en-US"/>
        </w:rPr>
        <w:t>This allows for a record essential infrastructure program without privati</w:t>
      </w:r>
      <w:r w:rsidR="008E3853" w:rsidRPr="411F2202">
        <w:rPr>
          <w:lang w:val="en-US"/>
        </w:rPr>
        <w:t>s</w:t>
      </w:r>
      <w:r w:rsidR="00D7501B" w:rsidRPr="411F2202">
        <w:rPr>
          <w:lang w:val="en-US"/>
        </w:rPr>
        <w:t>ation. Debt will now be used to fund just 53.1</w:t>
      </w:r>
      <w:r w:rsidR="000443B4" w:rsidRPr="411F2202">
        <w:rPr>
          <w:lang w:val="en-US"/>
        </w:rPr>
        <w:t> </w:t>
      </w:r>
      <w:r w:rsidR="00D7501B" w:rsidRPr="411F2202">
        <w:rPr>
          <w:lang w:val="en-US"/>
        </w:rPr>
        <w:t xml:space="preserve">per cent in this </w:t>
      </w:r>
      <w:r w:rsidR="00F641BB" w:rsidRPr="411F2202">
        <w:rPr>
          <w:lang w:val="en-US"/>
        </w:rPr>
        <w:t>B</w:t>
      </w:r>
      <w:r w:rsidR="00D7501B" w:rsidRPr="411F2202">
        <w:rPr>
          <w:lang w:val="en-US"/>
        </w:rPr>
        <w:t xml:space="preserve">udget, down from a peak of 83.4 per cent in </w:t>
      </w:r>
      <w:r w:rsidR="000443B4" w:rsidRPr="411F2202">
        <w:rPr>
          <w:lang w:val="en-US"/>
        </w:rPr>
        <w:t xml:space="preserve">the </w:t>
      </w:r>
      <w:r w:rsidR="00D7501B" w:rsidRPr="411F2202">
        <w:rPr>
          <w:lang w:val="en-US"/>
        </w:rPr>
        <w:t>2020-21 Budget.</w:t>
      </w:r>
    </w:p>
    <w:p w14:paraId="0B988307" w14:textId="1A0D4190" w:rsidR="009131E5" w:rsidRDefault="009131E5" w:rsidP="005D2F5C">
      <w:pPr>
        <w:pStyle w:val="Chart4X"/>
        <w:rPr>
          <w:lang w:val="en-US"/>
        </w:rPr>
      </w:pPr>
      <w:r w:rsidRPr="00146564">
        <w:rPr>
          <w:lang w:val="en-US"/>
        </w:rPr>
        <w:t xml:space="preserve">General government </w:t>
      </w:r>
      <w:r>
        <w:rPr>
          <w:lang w:val="en-US"/>
        </w:rPr>
        <w:t xml:space="preserve">sector </w:t>
      </w:r>
      <w:r w:rsidRPr="00146564">
        <w:rPr>
          <w:lang w:val="en-US"/>
        </w:rPr>
        <w:t xml:space="preserve">cash </w:t>
      </w:r>
      <w:r w:rsidRPr="007B0FD5">
        <w:rPr>
          <w:lang w:val="en-US"/>
        </w:rPr>
        <w:t xml:space="preserve">deficit </w:t>
      </w:r>
    </w:p>
    <w:p w14:paraId="0EF41EF3" w14:textId="0463EE40" w:rsidR="009C3304" w:rsidRPr="008D5CC0" w:rsidRDefault="00425320" w:rsidP="00146564">
      <w:r>
        <w:rPr>
          <w:noProof/>
        </w:rPr>
        <w:drawing>
          <wp:inline distT="0" distB="0" distL="0" distR="0" wp14:anchorId="08B7D110" wp14:editId="34C2FFBF">
            <wp:extent cx="5615457" cy="3361971"/>
            <wp:effectExtent l="0" t="0" r="4445" b="0"/>
            <wp:docPr id="1013160989" name="Chart 1" descr="Chart 4.7: General government sector cash deficit ">
              <a:extLst xmlns:a="http://schemas.openxmlformats.org/drawingml/2006/main">
                <a:ext uri="{FF2B5EF4-FFF2-40B4-BE49-F238E27FC236}">
                  <a16:creationId xmlns:a16="http://schemas.microsoft.com/office/drawing/2014/main" id="{9FFD37BC-63DA-9FC9-6BA6-31B8A4EF5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CDCEC0" w14:textId="052BB41A" w:rsidR="00C645D1" w:rsidRPr="00F96D4C" w:rsidRDefault="00C645D1" w:rsidP="00F96D4C">
      <w:pPr>
        <w:rPr>
          <w:rFonts w:ascii="Public Sans" w:hAnsi="Public Sans"/>
          <w:i/>
          <w:iCs/>
          <w:sz w:val="16"/>
          <w:szCs w:val="16"/>
          <w:lang w:val="en-AU"/>
        </w:rPr>
      </w:pPr>
      <w:r w:rsidRPr="00F96D4C">
        <w:rPr>
          <w:rFonts w:ascii="Public Sans" w:hAnsi="Public Sans"/>
          <w:i/>
          <w:iCs/>
          <w:sz w:val="16"/>
          <w:szCs w:val="16"/>
          <w:lang w:val="en-AU"/>
        </w:rPr>
        <w:t>Source: NSW Treasury</w:t>
      </w:r>
    </w:p>
    <w:p w14:paraId="5746B323" w14:textId="2B1FBEB4" w:rsidR="00FF1352" w:rsidRPr="002817A9" w:rsidRDefault="004E6C03" w:rsidP="00FF1352">
      <w:pPr>
        <w:pStyle w:val="41Heading2"/>
      </w:pPr>
      <w:r>
        <w:lastRenderedPageBreak/>
        <w:t>Delivering the Government’s essential infrastructure plan</w:t>
      </w:r>
    </w:p>
    <w:p w14:paraId="221E41E7" w14:textId="120FEEBF" w:rsidR="00EB30C2" w:rsidRPr="00D91D7E" w:rsidRDefault="00EB30C2" w:rsidP="00EA0E06">
      <w:pPr>
        <w:pStyle w:val="BodyText"/>
      </w:pPr>
      <w:r w:rsidRPr="411F2202">
        <w:rPr>
          <w:lang w:val="en-US"/>
        </w:rPr>
        <w:t xml:space="preserve">The 2025-26 Budget provides $118.3 billion in capital expenditure over four years to </w:t>
      </w:r>
      <w:r>
        <w:br/>
      </w:r>
      <w:r w:rsidRPr="411F2202">
        <w:rPr>
          <w:lang w:val="en-US"/>
        </w:rPr>
        <w:t>2028-29</w:t>
      </w:r>
      <w:r w:rsidR="00484C6C" w:rsidRPr="411F2202">
        <w:rPr>
          <w:lang w:val="en-US"/>
        </w:rPr>
        <w:t>, towards</w:t>
      </w:r>
      <w:r w:rsidRPr="411F2202">
        <w:rPr>
          <w:lang w:val="en-US"/>
        </w:rPr>
        <w:t xml:space="preserve"> the </w:t>
      </w:r>
      <w:r w:rsidR="00484C6C" w:rsidRPr="411F2202">
        <w:rPr>
          <w:lang w:val="en-US"/>
        </w:rPr>
        <w:t>State’s</w:t>
      </w:r>
      <w:r w:rsidRPr="411F2202">
        <w:rPr>
          <w:lang w:val="en-US"/>
        </w:rPr>
        <w:t xml:space="preserve"> essential infrastructure, </w:t>
      </w:r>
      <w:r w:rsidR="00484C6C" w:rsidRPr="411F2202">
        <w:rPr>
          <w:lang w:val="en-US"/>
        </w:rPr>
        <w:t>with investment prioritised in schools, hospitals, housing</w:t>
      </w:r>
      <w:r w:rsidRPr="411F2202">
        <w:rPr>
          <w:lang w:val="en-US"/>
        </w:rPr>
        <w:t xml:space="preserve">, and </w:t>
      </w:r>
      <w:r w:rsidR="00153AC6" w:rsidRPr="411F2202">
        <w:rPr>
          <w:lang w:val="en-US"/>
        </w:rPr>
        <w:t>critical services like</w:t>
      </w:r>
      <w:r w:rsidRPr="411F2202">
        <w:rPr>
          <w:lang w:val="en-US"/>
        </w:rPr>
        <w:t xml:space="preserve"> water and </w:t>
      </w:r>
      <w:r w:rsidR="00153AC6" w:rsidRPr="411F2202">
        <w:rPr>
          <w:lang w:val="en-US"/>
        </w:rPr>
        <w:t>energy</w:t>
      </w:r>
      <w:r w:rsidR="009446D9" w:rsidRPr="411F2202">
        <w:rPr>
          <w:lang w:val="en-US"/>
        </w:rPr>
        <w:t xml:space="preserve">. </w:t>
      </w:r>
    </w:p>
    <w:p w14:paraId="5DBE0A27" w14:textId="6BF6B3B5" w:rsidR="003C43E3" w:rsidRDefault="009D3D7C" w:rsidP="00EA0E06">
      <w:pPr>
        <w:pStyle w:val="BodyText"/>
      </w:pPr>
      <w:r w:rsidRPr="411F2202">
        <w:rPr>
          <w:lang w:val="en-US"/>
        </w:rPr>
        <w:t xml:space="preserve">Funding for the infrastructure program is comprised of state funding, public non-financial corporations own source revenue, and Australian Government grants. The majority of state funding is through borrowings, with </w:t>
      </w:r>
      <w:r w:rsidR="00086886" w:rsidRPr="411F2202">
        <w:rPr>
          <w:lang w:val="en-US"/>
        </w:rPr>
        <w:t>53.1</w:t>
      </w:r>
      <w:r w:rsidRPr="411F2202">
        <w:rPr>
          <w:lang w:val="en-US"/>
        </w:rPr>
        <w:t xml:space="preserve"> per cent of the infrastructure program from 202</w:t>
      </w:r>
      <w:r w:rsidR="003C43E3" w:rsidRPr="411F2202">
        <w:rPr>
          <w:lang w:val="en-US"/>
        </w:rPr>
        <w:t>4</w:t>
      </w:r>
      <w:r w:rsidRPr="411F2202">
        <w:rPr>
          <w:lang w:val="en-US"/>
        </w:rPr>
        <w:t>-2</w:t>
      </w:r>
      <w:r w:rsidR="003C43E3" w:rsidRPr="411F2202">
        <w:rPr>
          <w:lang w:val="en-US"/>
        </w:rPr>
        <w:t>5</w:t>
      </w:r>
      <w:r w:rsidRPr="411F2202">
        <w:rPr>
          <w:lang w:val="en-US"/>
        </w:rPr>
        <w:t xml:space="preserve"> to 202</w:t>
      </w:r>
      <w:r w:rsidR="003C43E3" w:rsidRPr="411F2202">
        <w:rPr>
          <w:lang w:val="en-US"/>
        </w:rPr>
        <w:t>8</w:t>
      </w:r>
      <w:r w:rsidRPr="411F2202">
        <w:rPr>
          <w:lang w:val="en-US"/>
        </w:rPr>
        <w:t>-2</w:t>
      </w:r>
      <w:r w:rsidR="003C43E3" w:rsidRPr="411F2202">
        <w:rPr>
          <w:lang w:val="en-US"/>
        </w:rPr>
        <w:t>9</w:t>
      </w:r>
      <w:r w:rsidRPr="411F2202">
        <w:rPr>
          <w:lang w:val="en-US"/>
        </w:rPr>
        <w:t xml:space="preserve"> projected to be funded by borrowings. </w:t>
      </w:r>
    </w:p>
    <w:p w14:paraId="2D5FBA17" w14:textId="725915DF" w:rsidR="009D3D7C" w:rsidRDefault="009D3D7C" w:rsidP="00EA0E06">
      <w:pPr>
        <w:pStyle w:val="BodyText"/>
      </w:pPr>
      <w:r w:rsidRPr="411F2202">
        <w:rPr>
          <w:lang w:val="en-US"/>
        </w:rPr>
        <w:t xml:space="preserve">Box </w:t>
      </w:r>
      <w:r w:rsidR="003C43E3" w:rsidRPr="411F2202">
        <w:rPr>
          <w:lang w:val="en-US"/>
        </w:rPr>
        <w:t>4.</w:t>
      </w:r>
      <w:r w:rsidR="00065B18" w:rsidRPr="411F2202">
        <w:rPr>
          <w:lang w:val="en-US"/>
        </w:rPr>
        <w:t>4</w:t>
      </w:r>
      <w:r w:rsidR="003C43E3" w:rsidRPr="411F2202">
        <w:rPr>
          <w:lang w:val="en-US"/>
        </w:rPr>
        <w:t xml:space="preserve"> </w:t>
      </w:r>
      <w:r w:rsidRPr="411F2202">
        <w:rPr>
          <w:lang w:val="en-US"/>
        </w:rPr>
        <w:t>provides more information on the Government’s approach to a sustainable infrastructure program</w:t>
      </w:r>
      <w:r w:rsidR="003C43E3" w:rsidRPr="411F2202">
        <w:rPr>
          <w:lang w:val="en-US"/>
        </w:rPr>
        <w:t xml:space="preserve">. </w:t>
      </w:r>
    </w:p>
    <w:p w14:paraId="7C6C5E03" w14:textId="77777777" w:rsidR="00356617" w:rsidRDefault="00356617" w:rsidP="005B6B2D"/>
    <w:tbl>
      <w:tblPr>
        <w:tblW w:w="9634" w:type="dxa"/>
        <w:tblInd w:w="5" w:type="dxa"/>
        <w:shd w:val="clear" w:color="auto" w:fill="F2F2F2" w:themeFill="background1" w:themeFillShade="F2"/>
        <w:tblLook w:val="04A0" w:firstRow="1" w:lastRow="0" w:firstColumn="1" w:lastColumn="0" w:noHBand="0" w:noVBand="1"/>
        <w:tblCaption w:val="Box 1.5: Parramatta Light Rail Stage 2"/>
        <w:tblDescription w:val="Box 1.5: Parramatta Light Rail Stage 2"/>
      </w:tblPr>
      <w:tblGrid>
        <w:gridCol w:w="9634"/>
      </w:tblGrid>
      <w:tr w:rsidR="00586AC6" w:rsidRPr="00925CCD" w14:paraId="19276ACE" w14:textId="77777777" w:rsidTr="006E2EE6">
        <w:trPr>
          <w:trHeight w:val="3288"/>
        </w:trPr>
        <w:tc>
          <w:tcPr>
            <w:tcW w:w="9634" w:type="dxa"/>
            <w:tcBorders>
              <w:top w:val="nil"/>
              <w:left w:val="nil"/>
              <w:bottom w:val="nil"/>
              <w:right w:val="nil"/>
            </w:tcBorders>
            <w:shd w:val="clear" w:color="auto" w:fill="F2F2F2" w:themeFill="accent5" w:themeFillTint="33"/>
          </w:tcPr>
          <w:p w14:paraId="15E3FDD3" w14:textId="7350CCC7" w:rsidR="00586AC6" w:rsidRPr="00065B18" w:rsidRDefault="00586AC6" w:rsidP="00154B37">
            <w:pPr>
              <w:pStyle w:val="Box4XBoxHeading"/>
            </w:pPr>
            <w:r w:rsidRPr="00065B18">
              <w:t>Fiscally responsible approach to the State’s infrastructure program</w:t>
            </w:r>
          </w:p>
          <w:p w14:paraId="668D4BD6" w14:textId="79BF666E" w:rsidR="00586AC6" w:rsidRDefault="00586AC6" w:rsidP="00EA0E06">
            <w:pPr>
              <w:pStyle w:val="BodyText"/>
            </w:pPr>
            <w:r w:rsidRPr="356452D0">
              <w:t xml:space="preserve">The State’s infrastructure program has expanded in recent years and is projected to reach $30.8 billion in 2025-26, </w:t>
            </w:r>
            <w:r w:rsidR="005D0A18">
              <w:t xml:space="preserve">one of </w:t>
            </w:r>
            <w:r w:rsidRPr="356452D0">
              <w:t>the largest year</w:t>
            </w:r>
            <w:r w:rsidR="00967AAC">
              <w:t>s</w:t>
            </w:r>
            <w:r w:rsidRPr="356452D0">
              <w:t xml:space="preserve"> on record for New South Wales. </w:t>
            </w:r>
          </w:p>
          <w:p w14:paraId="55A335D2" w14:textId="77777777" w:rsidR="00586AC6" w:rsidRPr="00384AA0" w:rsidRDefault="00586AC6" w:rsidP="00EA0E06">
            <w:pPr>
              <w:pStyle w:val="BodyText"/>
            </w:pPr>
            <w:r>
              <w:t xml:space="preserve">While the Government has been able to lower debt funding for the State’s infrastructure program from its peak </w:t>
            </w:r>
            <w:r w:rsidRPr="30CF89ED">
              <w:rPr>
                <w:color w:val="auto"/>
              </w:rPr>
              <w:t xml:space="preserve">of </w:t>
            </w:r>
            <w:r w:rsidRPr="00191531">
              <w:rPr>
                <w:color w:val="auto"/>
              </w:rPr>
              <w:t>8</w:t>
            </w:r>
            <w:r w:rsidRPr="00191531">
              <w:t>3.4 per cent of debt in the 2020-21 Budget to 53.1 per cent in this Budget</w:t>
            </w:r>
            <w:r>
              <w:t xml:space="preserve">, </w:t>
            </w:r>
            <w:r w:rsidRPr="43430222">
              <w:t xml:space="preserve">high inflation and market capacity constraints </w:t>
            </w:r>
            <w:r>
              <w:t xml:space="preserve">are still </w:t>
            </w:r>
            <w:r w:rsidRPr="43430222">
              <w:t>putting pressure on both cost and delivery of infrastructure projects.</w:t>
            </w:r>
          </w:p>
          <w:p w14:paraId="280D1690" w14:textId="72F0F1D1" w:rsidR="00586AC6" w:rsidRPr="00925CCD" w:rsidRDefault="00586AC6" w:rsidP="006E2EE6">
            <w:pPr>
              <w:pStyle w:val="BodyText"/>
            </w:pPr>
            <w:r w:rsidRPr="356452D0">
              <w:t xml:space="preserve">The Government is focused on resetting the State’s infrastructure program to more sustainable levels of around 2 per cent of GSP over the forward estimates through targeting </w:t>
            </w:r>
            <w:r w:rsidRPr="356452D0" w:rsidDel="00670A2B">
              <w:t xml:space="preserve">the </w:t>
            </w:r>
            <w:r w:rsidRPr="356452D0">
              <w:t>delivery of essential infrastructure for the State, while also ensuring that existing infrastructure is maintained.</w:t>
            </w:r>
          </w:p>
        </w:tc>
      </w:tr>
      <w:tr w:rsidR="006E2EE6" w:rsidRPr="00925CCD" w14:paraId="07E9A778" w14:textId="77777777" w:rsidTr="006E2EE6">
        <w:trPr>
          <w:trHeight w:val="5295"/>
        </w:trPr>
        <w:tc>
          <w:tcPr>
            <w:tcW w:w="9634" w:type="dxa"/>
            <w:tcBorders>
              <w:top w:val="nil"/>
              <w:left w:val="nil"/>
              <w:bottom w:val="nil"/>
              <w:right w:val="nil"/>
            </w:tcBorders>
            <w:shd w:val="clear" w:color="auto" w:fill="F2F2F2" w:themeFill="accent5" w:themeFillTint="33"/>
          </w:tcPr>
          <w:p w14:paraId="1A162B9E" w14:textId="52982AE8" w:rsidR="006E2EE6" w:rsidRPr="00154B37" w:rsidRDefault="006E2EE6" w:rsidP="006E2EE6">
            <w:pPr>
              <w:pStyle w:val="Chart4X"/>
              <w:rPr>
                <w:lang w:val="en-US"/>
              </w:rPr>
            </w:pPr>
            <w:r w:rsidRPr="00154B37">
              <w:rPr>
                <w:lang w:val="en-US"/>
              </w:rPr>
              <w:t>Infrastructure program as a percentage of GSP</w:t>
            </w:r>
          </w:p>
          <w:p w14:paraId="5F940ABD" w14:textId="77777777" w:rsidR="006E2EE6" w:rsidRPr="000E7F93" w:rsidRDefault="006E2EE6" w:rsidP="006E2EE6">
            <w:pPr>
              <w:pStyle w:val="Chart8X"/>
              <w:numPr>
                <w:ilvl w:val="0"/>
                <w:numId w:val="0"/>
              </w:numPr>
            </w:pPr>
            <w:r>
              <w:rPr>
                <w:noProof/>
              </w:rPr>
              <w:drawing>
                <wp:inline distT="0" distB="0" distL="0" distR="0" wp14:anchorId="62F2CDE5" wp14:editId="4A389EC4">
                  <wp:extent cx="6120765" cy="2632075"/>
                  <wp:effectExtent l="0" t="0" r="0" b="0"/>
                  <wp:docPr id="1114788998" name="Chart 1" descr="Chart 4.8: Infrastructure program as a percentage of GSP">
                    <a:extLst xmlns:a="http://schemas.openxmlformats.org/drawingml/2006/main">
                      <a:ext uri="{FF2B5EF4-FFF2-40B4-BE49-F238E27FC236}">
                        <a16:creationId xmlns:a16="http://schemas.microsoft.com/office/drawing/2014/main" id="{D187CC3A-1403-44D0-8E2B-BE40E75B8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6BF6D8" w14:textId="4D6CD34B" w:rsidR="006E2EE6" w:rsidRPr="00065B18" w:rsidRDefault="006E2EE6" w:rsidP="006E2EE6">
            <w:r w:rsidRPr="00F96D4C">
              <w:rPr>
                <w:rFonts w:ascii="Public Sans" w:hAnsi="Public Sans"/>
                <w:i/>
                <w:iCs/>
                <w:sz w:val="16"/>
                <w:szCs w:val="16"/>
                <w:lang w:val="en-AU"/>
              </w:rPr>
              <w:t>Source: NSW Treasury</w:t>
            </w:r>
          </w:p>
        </w:tc>
      </w:tr>
    </w:tbl>
    <w:p w14:paraId="24D8B732" w14:textId="77777777" w:rsidR="003F72DA" w:rsidRDefault="003F72DA" w:rsidP="005B6B2D"/>
    <w:p w14:paraId="2E68CE2F" w14:textId="77777777" w:rsidR="00BA7F95" w:rsidRDefault="00BA7F95">
      <w:pPr>
        <w:spacing w:before="360" w:after="120"/>
        <w:ind w:left="851" w:hanging="851"/>
        <w:rPr>
          <w:rFonts w:ascii="Public Sans SemiBold" w:hAnsi="Public Sans SemiBold"/>
          <w:b/>
          <w:bCs/>
          <w:color w:val="000000" w:themeColor="text1"/>
          <w:kern w:val="28"/>
          <w:sz w:val="26"/>
          <w:szCs w:val="28"/>
          <w:lang w:val="en-AU"/>
        </w:rPr>
      </w:pPr>
      <w:r>
        <w:br w:type="page"/>
      </w:r>
    </w:p>
    <w:p w14:paraId="4997620B" w14:textId="1D5058BB" w:rsidR="003F72DA" w:rsidRPr="003D566D" w:rsidRDefault="003F72DA" w:rsidP="00665684">
      <w:pPr>
        <w:pStyle w:val="Heading3"/>
      </w:pPr>
      <w:r w:rsidRPr="003D566D">
        <w:lastRenderedPageBreak/>
        <w:t xml:space="preserve">Infrastructure investment in the </w:t>
      </w:r>
      <w:r w:rsidR="00CF7C33" w:rsidRPr="003D566D">
        <w:t>2025-26</w:t>
      </w:r>
      <w:r w:rsidRPr="003D566D">
        <w:t xml:space="preserve"> Budget </w:t>
      </w:r>
    </w:p>
    <w:p w14:paraId="59335BE8" w14:textId="1155FA8C" w:rsidR="00FC1E38" w:rsidRDefault="003F72DA" w:rsidP="00EA0E06">
      <w:pPr>
        <w:pStyle w:val="BodyText"/>
      </w:pPr>
      <w:r w:rsidRPr="356452D0">
        <w:t>The general government capital expenditure is projected to be $</w:t>
      </w:r>
      <w:r w:rsidR="004035E9" w:rsidRPr="356452D0">
        <w:t>22.3</w:t>
      </w:r>
      <w:r w:rsidRPr="356452D0">
        <w:t xml:space="preserve"> billion for 202</w:t>
      </w:r>
      <w:r w:rsidR="003C43E3" w:rsidRPr="356452D0">
        <w:t>5</w:t>
      </w:r>
      <w:r w:rsidRPr="356452D0">
        <w:t>-2</w:t>
      </w:r>
      <w:r w:rsidR="003C43E3" w:rsidRPr="356452D0">
        <w:t>6</w:t>
      </w:r>
      <w:r w:rsidRPr="356452D0">
        <w:t xml:space="preserve">, </w:t>
      </w:r>
      <w:r w:rsidR="0058707A" w:rsidRPr="356452D0">
        <w:t>broadly in line with</w:t>
      </w:r>
      <w:r w:rsidRPr="356452D0">
        <w:t xml:space="preserve"> 202</w:t>
      </w:r>
      <w:r w:rsidR="003C43E3" w:rsidRPr="356452D0">
        <w:t>4</w:t>
      </w:r>
      <w:r w:rsidRPr="356452D0">
        <w:t>-2</w:t>
      </w:r>
      <w:r w:rsidR="003C43E3" w:rsidRPr="356452D0">
        <w:t>5</w:t>
      </w:r>
      <w:r w:rsidRPr="356452D0">
        <w:t xml:space="preserve">. General government investment excludes the investment program of State-Owned Corporations, such as Sydney Water. </w:t>
      </w:r>
    </w:p>
    <w:p w14:paraId="54F10799" w14:textId="4DEFA815" w:rsidR="00D62224" w:rsidRDefault="003F72DA" w:rsidP="00EA0E06">
      <w:pPr>
        <w:pStyle w:val="BodyText"/>
      </w:pPr>
      <w:r w:rsidRPr="411F2202">
        <w:rPr>
          <w:lang w:val="en-US"/>
        </w:rPr>
        <w:t xml:space="preserve">Since the </w:t>
      </w:r>
      <w:r w:rsidR="006258CD" w:rsidRPr="411F2202">
        <w:rPr>
          <w:lang w:val="en-US"/>
        </w:rPr>
        <w:t>2024-25</w:t>
      </w:r>
      <w:r w:rsidRPr="411F2202">
        <w:rPr>
          <w:lang w:val="en-US"/>
        </w:rPr>
        <w:t xml:space="preserve"> Half-Yearly Review</w:t>
      </w:r>
      <w:r w:rsidR="00CC2B55" w:rsidRPr="411F2202">
        <w:rPr>
          <w:lang w:val="en-US"/>
        </w:rPr>
        <w:t>,</w:t>
      </w:r>
      <w:r w:rsidRPr="411F2202">
        <w:rPr>
          <w:lang w:val="en-US"/>
        </w:rPr>
        <w:t xml:space="preserve"> new funding </w:t>
      </w:r>
      <w:r w:rsidR="00CC2B55" w:rsidRPr="411F2202">
        <w:rPr>
          <w:lang w:val="en-US"/>
        </w:rPr>
        <w:t xml:space="preserve">for infrastructure </w:t>
      </w:r>
      <w:r w:rsidRPr="411F2202">
        <w:rPr>
          <w:lang w:val="en-US"/>
        </w:rPr>
        <w:t>includ</w:t>
      </w:r>
      <w:r w:rsidR="00CC2B55" w:rsidRPr="411F2202">
        <w:rPr>
          <w:lang w:val="en-US"/>
        </w:rPr>
        <w:t>es</w:t>
      </w:r>
      <w:r w:rsidR="00750749" w:rsidRPr="411F2202">
        <w:rPr>
          <w:lang w:val="en-US"/>
        </w:rPr>
        <w:t xml:space="preserve"> a</w:t>
      </w:r>
      <w:r w:rsidR="00350A81" w:rsidRPr="411F2202">
        <w:rPr>
          <w:lang w:val="en-US"/>
        </w:rPr>
        <w:t>dditional funding of $700.0 million for the New Bankstown Hospital to integrate inpatient services, bringing total investment to $2.0 billion – the largest ever investment in a new hospital in New</w:t>
      </w:r>
      <w:r w:rsidR="00B6149B" w:rsidRPr="411F2202">
        <w:rPr>
          <w:lang w:val="en-US"/>
        </w:rPr>
        <w:t> </w:t>
      </w:r>
      <w:r w:rsidR="00350A81" w:rsidRPr="411F2202">
        <w:rPr>
          <w:lang w:val="en-US"/>
        </w:rPr>
        <w:t>South Wales.</w:t>
      </w:r>
      <w:r w:rsidR="00257FCA" w:rsidRPr="411F2202">
        <w:rPr>
          <w:lang w:val="en-US"/>
        </w:rPr>
        <w:t xml:space="preserve"> </w:t>
      </w:r>
      <w:r w:rsidR="005C5DBB" w:rsidRPr="411F2202">
        <w:rPr>
          <w:lang w:val="en-US"/>
        </w:rPr>
        <w:t xml:space="preserve">This Budget also includes a record $9.0 billion school infrastructure investment pipeline over four years. </w:t>
      </w:r>
    </w:p>
    <w:p w14:paraId="27BCBC59" w14:textId="56F54666" w:rsidR="003F72DA" w:rsidRPr="003B1A3E" w:rsidRDefault="003F72DA" w:rsidP="00EA0E06">
      <w:pPr>
        <w:pStyle w:val="BodyText"/>
      </w:pPr>
      <w:r>
        <w:t xml:space="preserve">Detailed analysis of the Government’s capital program is available in Budget Paper No. 3 </w:t>
      </w:r>
      <w:r w:rsidRPr="005B6B2D">
        <w:rPr>
          <w:i/>
        </w:rPr>
        <w:t>Infrastructure Statement</w:t>
      </w:r>
      <w:r>
        <w:t>.</w:t>
      </w:r>
    </w:p>
    <w:p w14:paraId="370302A5" w14:textId="40085639" w:rsidR="00E81833" w:rsidRDefault="00217EBB" w:rsidP="00EA0E06">
      <w:pPr>
        <w:pStyle w:val="BodyText"/>
      </w:pPr>
      <w:r>
        <w:t xml:space="preserve">Table </w:t>
      </w:r>
      <w:r w:rsidRPr="356452D0">
        <w:t>4.</w:t>
      </w:r>
      <w:r w:rsidR="00BC0ED7" w:rsidRPr="356452D0">
        <w:t>2</w:t>
      </w:r>
      <w:r>
        <w:t xml:space="preserve"> outlines the profile over the four years to 2028-29 as well as changes since the 2024-25 Half-Yearly Review.</w:t>
      </w:r>
    </w:p>
    <w:p w14:paraId="5B32E227" w14:textId="2D2EF1FC" w:rsidR="00E81833" w:rsidRPr="006C47F9" w:rsidRDefault="00E81833" w:rsidP="00154B37">
      <w:pPr>
        <w:pStyle w:val="Table4X"/>
      </w:pPr>
      <w:bookmarkStart w:id="1" w:name="_Hlk198888545"/>
      <w:r w:rsidRPr="00154B37">
        <w:t>Capital expenditure reconciliation</w:t>
      </w:r>
      <w:bookmarkEnd w:id="1"/>
      <w:r w:rsidR="00235622">
        <w:rPr>
          <w:rStyle w:val="FootnoteReference"/>
        </w:rPr>
        <w:footnoteReference w:id="4"/>
      </w:r>
    </w:p>
    <w:tbl>
      <w:tblPr>
        <w:tblStyle w:val="Budgetpapertable0"/>
        <w:tblW w:w="9596" w:type="dxa"/>
        <w:tblLayout w:type="fixed"/>
        <w:tblLook w:val="04A0" w:firstRow="1" w:lastRow="0" w:firstColumn="1" w:lastColumn="0" w:noHBand="0" w:noVBand="1"/>
        <w:tblCaption w:val="Table 4.2: Capital expenditure reconciliation"/>
      </w:tblPr>
      <w:tblGrid>
        <w:gridCol w:w="3193"/>
        <w:gridCol w:w="1069"/>
        <w:gridCol w:w="1161"/>
        <w:gridCol w:w="1116"/>
        <w:gridCol w:w="957"/>
        <w:gridCol w:w="1031"/>
        <w:gridCol w:w="1069"/>
      </w:tblGrid>
      <w:tr w:rsidR="00D21F22" w:rsidRPr="00D15683" w14:paraId="502E0372" w14:textId="77777777" w:rsidTr="2CF565F3">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262" w:type="dxa"/>
            <w:gridSpan w:val="2"/>
            <w:shd w:val="clear" w:color="auto" w:fill="F2F2F2" w:themeFill="accent5" w:themeFillTint="33"/>
            <w:noWrap/>
            <w:hideMark/>
          </w:tcPr>
          <w:p w14:paraId="4A1AD333" w14:textId="3E9206A6" w:rsidR="00324BD2" w:rsidRPr="00D15683" w:rsidRDefault="00324BD2" w:rsidP="00324BD2">
            <w:pPr>
              <w:rPr>
                <w:rFonts w:ascii="Public Sans" w:hAnsi="Public Sans" w:cs="Calibri"/>
                <w:color w:val="auto"/>
                <w:sz w:val="17"/>
                <w:szCs w:val="17"/>
                <w:lang w:val="en-AU" w:eastAsia="en-AU"/>
              </w:rPr>
            </w:pPr>
          </w:p>
        </w:tc>
        <w:tc>
          <w:tcPr>
            <w:tcW w:w="1161" w:type="dxa"/>
            <w:shd w:val="clear" w:color="auto" w:fill="F2F2F2" w:themeFill="accent5" w:themeFillTint="33"/>
            <w:noWrap/>
            <w:hideMark/>
          </w:tcPr>
          <w:p w14:paraId="02252DFD" w14:textId="77777777" w:rsidR="00324BD2" w:rsidRPr="00B640F9" w:rsidRDefault="00324BD2" w:rsidP="00324BD2">
            <w:pPr>
              <w:cnfStyle w:val="100000000000" w:firstRow="1" w:lastRow="0" w:firstColumn="0" w:lastColumn="0" w:oddVBand="0" w:evenVBand="0" w:oddHBand="0" w:evenHBand="0" w:firstRowFirstColumn="0" w:firstRowLastColumn="0" w:lastRowFirstColumn="0" w:lastRowLastColumn="0"/>
              <w:rPr>
                <w:rFonts w:ascii="Public Sans" w:hAnsi="Public Sans" w:cs="Calibri"/>
                <w:color w:val="auto"/>
                <w:sz w:val="17"/>
                <w:szCs w:val="17"/>
                <w:lang w:val="en-AU" w:eastAsia="en-AU"/>
              </w:rPr>
            </w:pPr>
            <w:r w:rsidRPr="00B640F9">
              <w:rPr>
                <w:rFonts w:ascii="Public Sans" w:hAnsi="Public Sans" w:cs="Calibri"/>
                <w:color w:val="auto"/>
                <w:sz w:val="17"/>
                <w:szCs w:val="17"/>
                <w:lang w:val="en-AU" w:eastAsia="en-AU"/>
              </w:rPr>
              <w:t>2024-25</w:t>
            </w:r>
          </w:p>
        </w:tc>
        <w:tc>
          <w:tcPr>
            <w:tcW w:w="1116" w:type="dxa"/>
            <w:shd w:val="clear" w:color="auto" w:fill="F2F2F2" w:themeFill="accent5" w:themeFillTint="33"/>
          </w:tcPr>
          <w:p w14:paraId="6761E9F2" w14:textId="46530375" w:rsidR="00324BD2" w:rsidRPr="00B640F9" w:rsidRDefault="00324BD2" w:rsidP="00324BD2">
            <w:pPr>
              <w:cnfStyle w:val="100000000000" w:firstRow="1" w:lastRow="0" w:firstColumn="0" w:lastColumn="0" w:oddVBand="0" w:evenVBand="0" w:oddHBand="0" w:evenHBand="0" w:firstRowFirstColumn="0" w:firstRowLastColumn="0" w:lastRowFirstColumn="0" w:lastRowLastColumn="0"/>
              <w:rPr>
                <w:rFonts w:ascii="Public Sans" w:hAnsi="Public Sans" w:cs="Calibri"/>
                <w:color w:val="auto"/>
                <w:sz w:val="17"/>
                <w:szCs w:val="17"/>
                <w:lang w:val="en-AU" w:eastAsia="en-AU"/>
              </w:rPr>
            </w:pPr>
            <w:r w:rsidRPr="00B640F9">
              <w:rPr>
                <w:rFonts w:ascii="Public Sans" w:hAnsi="Public Sans" w:cs="Calibri"/>
                <w:color w:val="auto"/>
                <w:sz w:val="17"/>
                <w:szCs w:val="17"/>
                <w:lang w:val="en-AU" w:eastAsia="en-AU"/>
              </w:rPr>
              <w:t>2025-26</w:t>
            </w:r>
          </w:p>
        </w:tc>
        <w:tc>
          <w:tcPr>
            <w:tcW w:w="957" w:type="dxa"/>
            <w:shd w:val="clear" w:color="auto" w:fill="F2F2F2" w:themeFill="accent5" w:themeFillTint="33"/>
            <w:noWrap/>
            <w:hideMark/>
          </w:tcPr>
          <w:p w14:paraId="3258DB1C" w14:textId="6FDAD888" w:rsidR="00324BD2" w:rsidRPr="00B640F9" w:rsidRDefault="00324BD2" w:rsidP="00324BD2">
            <w:pPr>
              <w:cnfStyle w:val="100000000000" w:firstRow="1" w:lastRow="0" w:firstColumn="0" w:lastColumn="0" w:oddVBand="0" w:evenVBand="0" w:oddHBand="0" w:evenHBand="0" w:firstRowFirstColumn="0" w:firstRowLastColumn="0" w:lastRowFirstColumn="0" w:lastRowLastColumn="0"/>
              <w:rPr>
                <w:rFonts w:ascii="Public Sans" w:hAnsi="Public Sans" w:cs="Calibri"/>
                <w:color w:val="auto"/>
                <w:sz w:val="17"/>
                <w:szCs w:val="17"/>
                <w:lang w:val="en-AU" w:eastAsia="en-AU"/>
              </w:rPr>
            </w:pPr>
            <w:r w:rsidRPr="00B640F9">
              <w:rPr>
                <w:rFonts w:ascii="Public Sans" w:hAnsi="Public Sans" w:cs="Calibri"/>
                <w:color w:val="auto"/>
                <w:sz w:val="17"/>
                <w:szCs w:val="17"/>
                <w:lang w:val="en-AU" w:eastAsia="en-AU"/>
              </w:rPr>
              <w:t>2026-27</w:t>
            </w:r>
          </w:p>
        </w:tc>
        <w:tc>
          <w:tcPr>
            <w:tcW w:w="1031" w:type="dxa"/>
            <w:shd w:val="clear" w:color="auto" w:fill="F2F2F2" w:themeFill="accent5" w:themeFillTint="33"/>
            <w:noWrap/>
          </w:tcPr>
          <w:p w14:paraId="15DA84C3" w14:textId="39B1C9CD" w:rsidR="00324BD2" w:rsidRPr="00B640F9" w:rsidRDefault="00324BD2" w:rsidP="00324BD2">
            <w:pPr>
              <w:cnfStyle w:val="100000000000" w:firstRow="1" w:lastRow="0" w:firstColumn="0" w:lastColumn="0" w:oddVBand="0" w:evenVBand="0" w:oddHBand="0" w:evenHBand="0" w:firstRowFirstColumn="0" w:firstRowLastColumn="0" w:lastRowFirstColumn="0" w:lastRowLastColumn="0"/>
              <w:rPr>
                <w:rFonts w:ascii="Public Sans" w:hAnsi="Public Sans" w:cs="Calibri"/>
                <w:color w:val="auto"/>
                <w:sz w:val="17"/>
                <w:szCs w:val="17"/>
                <w:lang w:val="en-AU" w:eastAsia="en-AU"/>
              </w:rPr>
            </w:pPr>
            <w:r w:rsidRPr="00B640F9">
              <w:rPr>
                <w:rFonts w:ascii="Public Sans" w:hAnsi="Public Sans" w:cs="Calibri"/>
                <w:color w:val="auto"/>
                <w:sz w:val="17"/>
                <w:szCs w:val="17"/>
                <w:lang w:val="en-AU" w:eastAsia="en-AU"/>
              </w:rPr>
              <w:t>2027-28</w:t>
            </w:r>
          </w:p>
        </w:tc>
        <w:tc>
          <w:tcPr>
            <w:tcW w:w="1069" w:type="dxa"/>
            <w:shd w:val="clear" w:color="auto" w:fill="F2F2F2" w:themeFill="accent5" w:themeFillTint="33"/>
          </w:tcPr>
          <w:p w14:paraId="37A24B18" w14:textId="18D76B06" w:rsidR="00324BD2" w:rsidRPr="00B640F9" w:rsidRDefault="00324BD2" w:rsidP="00324BD2">
            <w:pPr>
              <w:cnfStyle w:val="100000000000" w:firstRow="1" w:lastRow="0" w:firstColumn="0" w:lastColumn="0" w:oddVBand="0" w:evenVBand="0" w:oddHBand="0" w:evenHBand="0" w:firstRowFirstColumn="0" w:firstRowLastColumn="0" w:lastRowFirstColumn="0" w:lastRowLastColumn="0"/>
              <w:rPr>
                <w:rFonts w:ascii="Public Sans" w:hAnsi="Public Sans" w:cs="Calibri"/>
                <w:color w:val="auto"/>
                <w:sz w:val="17"/>
                <w:szCs w:val="17"/>
                <w:lang w:val="en-AU" w:eastAsia="en-AU"/>
              </w:rPr>
            </w:pPr>
            <w:r w:rsidRPr="00B640F9">
              <w:rPr>
                <w:rFonts w:ascii="Public Sans" w:hAnsi="Public Sans" w:cs="Calibri"/>
                <w:color w:val="auto"/>
                <w:sz w:val="17"/>
                <w:szCs w:val="17"/>
                <w:lang w:val="en-AU" w:eastAsia="en-AU"/>
              </w:rPr>
              <w:t>2028-29</w:t>
            </w:r>
          </w:p>
        </w:tc>
      </w:tr>
      <w:tr w:rsidR="00D21F22" w:rsidRPr="00D15683" w14:paraId="71FF1514" w14:textId="77777777" w:rsidTr="2CF565F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193" w:type="dxa"/>
            <w:shd w:val="clear" w:color="auto" w:fill="F2F2F2" w:themeFill="accent5" w:themeFillTint="33"/>
            <w:noWrap/>
            <w:hideMark/>
          </w:tcPr>
          <w:p w14:paraId="6571348E" w14:textId="77777777" w:rsidR="00324BD2" w:rsidRPr="00D15683" w:rsidRDefault="00324BD2" w:rsidP="007C1257">
            <w:pPr>
              <w:jc w:val="center"/>
              <w:rPr>
                <w:rFonts w:cs="Calibri"/>
                <w:sz w:val="17"/>
                <w:szCs w:val="17"/>
                <w:lang w:val="en-AU" w:eastAsia="en-AU"/>
              </w:rPr>
            </w:pPr>
            <w:r w:rsidRPr="00D15683">
              <w:rPr>
                <w:rFonts w:cs="Calibri"/>
                <w:sz w:val="17"/>
                <w:szCs w:val="17"/>
                <w:lang w:val="en-AU" w:eastAsia="en-AU"/>
              </w:rPr>
              <w:t> </w:t>
            </w:r>
          </w:p>
        </w:tc>
        <w:tc>
          <w:tcPr>
            <w:tcW w:w="1069" w:type="dxa"/>
            <w:shd w:val="clear" w:color="auto" w:fill="F2F2F2" w:themeFill="accent5" w:themeFillTint="33"/>
          </w:tcPr>
          <w:p w14:paraId="42FA0B92" w14:textId="77777777" w:rsidR="00324BD2" w:rsidRPr="00D15683" w:rsidRDefault="00324BD2" w:rsidP="007C1257">
            <w:pPr>
              <w:cnfStyle w:val="000000100000" w:firstRow="0" w:lastRow="0" w:firstColumn="0" w:lastColumn="0" w:oddVBand="0" w:evenVBand="0" w:oddHBand="1" w:evenHBand="0" w:firstRowFirstColumn="0" w:firstRowLastColumn="0" w:lastRowFirstColumn="0" w:lastRowLastColumn="0"/>
              <w:rPr>
                <w:rFonts w:cs="Calibri"/>
                <w:sz w:val="17"/>
                <w:szCs w:val="17"/>
                <w:lang w:val="en-AU" w:eastAsia="en-AU"/>
              </w:rPr>
            </w:pPr>
          </w:p>
        </w:tc>
        <w:tc>
          <w:tcPr>
            <w:tcW w:w="1161" w:type="dxa"/>
            <w:shd w:val="clear" w:color="auto" w:fill="F2F2F2" w:themeFill="accent5" w:themeFillTint="33"/>
            <w:noWrap/>
            <w:hideMark/>
          </w:tcPr>
          <w:p w14:paraId="0D9AADAB" w14:textId="77777777" w:rsidR="00324BD2" w:rsidRPr="00D15683" w:rsidRDefault="00324BD2" w:rsidP="00154B37">
            <w:pPr>
              <w:jc w:val="center"/>
              <w:cnfStyle w:val="000000100000" w:firstRow="0" w:lastRow="0" w:firstColumn="0" w:lastColumn="0" w:oddVBand="0" w:evenVBand="0" w:oddHBand="1" w:evenHBand="0" w:firstRowFirstColumn="0" w:firstRowLastColumn="0" w:lastRowFirstColumn="0" w:lastRowLastColumn="0"/>
              <w:rPr>
                <w:rFonts w:cs="Calibri"/>
                <w:sz w:val="17"/>
                <w:szCs w:val="17"/>
                <w:lang w:val="en-AU" w:eastAsia="en-AU"/>
              </w:rPr>
            </w:pPr>
            <w:r w:rsidRPr="00D15683">
              <w:rPr>
                <w:rFonts w:cs="Calibri"/>
                <w:sz w:val="17"/>
                <w:szCs w:val="17"/>
                <w:lang w:val="en-AU" w:eastAsia="en-AU"/>
              </w:rPr>
              <w:t>Revised</w:t>
            </w:r>
          </w:p>
        </w:tc>
        <w:tc>
          <w:tcPr>
            <w:tcW w:w="1116" w:type="dxa"/>
            <w:shd w:val="clear" w:color="auto" w:fill="F2F2F2" w:themeFill="accent5" w:themeFillTint="33"/>
            <w:noWrap/>
            <w:hideMark/>
          </w:tcPr>
          <w:p w14:paraId="682DD717" w14:textId="77777777" w:rsidR="00324BD2" w:rsidRPr="00D15683" w:rsidRDefault="00324BD2" w:rsidP="00154B37">
            <w:pPr>
              <w:jc w:val="center"/>
              <w:cnfStyle w:val="000000100000" w:firstRow="0" w:lastRow="0" w:firstColumn="0" w:lastColumn="0" w:oddVBand="0" w:evenVBand="0" w:oddHBand="1" w:evenHBand="0" w:firstRowFirstColumn="0" w:firstRowLastColumn="0" w:lastRowFirstColumn="0" w:lastRowLastColumn="0"/>
              <w:rPr>
                <w:rFonts w:cs="Calibri"/>
                <w:sz w:val="17"/>
                <w:szCs w:val="17"/>
                <w:lang w:val="en-AU" w:eastAsia="en-AU"/>
              </w:rPr>
            </w:pPr>
            <w:r w:rsidRPr="00D15683">
              <w:rPr>
                <w:rFonts w:cs="Calibri"/>
                <w:sz w:val="17"/>
                <w:szCs w:val="17"/>
                <w:lang w:val="en-AU" w:eastAsia="en-AU"/>
              </w:rPr>
              <w:t>Budget</w:t>
            </w:r>
          </w:p>
        </w:tc>
        <w:tc>
          <w:tcPr>
            <w:tcW w:w="3057" w:type="dxa"/>
            <w:gridSpan w:val="3"/>
            <w:shd w:val="clear" w:color="auto" w:fill="F2F2F2" w:themeFill="accent5" w:themeFillTint="33"/>
          </w:tcPr>
          <w:p w14:paraId="38F7F794" w14:textId="1528D7B8" w:rsidR="00324BD2" w:rsidRPr="00D15683" w:rsidRDefault="00324BD2" w:rsidP="00324BD2">
            <w:pPr>
              <w:jc w:val="center"/>
              <w:cnfStyle w:val="000000100000" w:firstRow="0" w:lastRow="0" w:firstColumn="0" w:lastColumn="0" w:oddVBand="0" w:evenVBand="0" w:oddHBand="1" w:evenHBand="0" w:firstRowFirstColumn="0" w:firstRowLastColumn="0" w:lastRowFirstColumn="0" w:lastRowLastColumn="0"/>
              <w:rPr>
                <w:rFonts w:cs="Calibri"/>
                <w:sz w:val="17"/>
                <w:szCs w:val="17"/>
                <w:lang w:val="en-AU" w:eastAsia="en-AU"/>
              </w:rPr>
            </w:pPr>
            <w:r w:rsidRPr="00D15683">
              <w:rPr>
                <w:rFonts w:cs="Calibri"/>
                <w:sz w:val="17"/>
                <w:szCs w:val="17"/>
                <w:lang w:val="en-AU" w:eastAsia="en-AU"/>
              </w:rPr>
              <w:t>Forward Estimates</w:t>
            </w:r>
          </w:p>
        </w:tc>
      </w:tr>
      <w:tr w:rsidR="00D21F22" w:rsidRPr="00D15683" w14:paraId="75E5FA03" w14:textId="77777777" w:rsidTr="005B6B2D">
        <w:trPr>
          <w:cnfStyle w:val="000000010000" w:firstRow="0" w:lastRow="0" w:firstColumn="0" w:lastColumn="0" w:oddVBand="0" w:evenVBand="0" w:oddHBand="0" w:evenHBand="1"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262" w:type="dxa"/>
            <w:gridSpan w:val="2"/>
            <w:shd w:val="clear" w:color="auto" w:fill="F2F2F2" w:themeFill="accent5" w:themeFillTint="33"/>
            <w:noWrap/>
            <w:hideMark/>
          </w:tcPr>
          <w:p w14:paraId="08A68C40" w14:textId="77777777" w:rsidR="00324BD2" w:rsidRPr="00D15683" w:rsidRDefault="00324BD2" w:rsidP="007C1257">
            <w:pPr>
              <w:jc w:val="center"/>
              <w:rPr>
                <w:rFonts w:cs="Calibri"/>
                <w:sz w:val="17"/>
                <w:szCs w:val="17"/>
                <w:lang w:val="en-AU" w:eastAsia="en-AU"/>
              </w:rPr>
            </w:pPr>
            <w:r w:rsidRPr="00D15683">
              <w:rPr>
                <w:rFonts w:cs="Calibri"/>
                <w:sz w:val="17"/>
                <w:szCs w:val="17"/>
                <w:lang w:val="en-AU" w:eastAsia="en-AU"/>
              </w:rPr>
              <w:t> </w:t>
            </w:r>
          </w:p>
        </w:tc>
        <w:tc>
          <w:tcPr>
            <w:tcW w:w="1161" w:type="dxa"/>
            <w:shd w:val="clear" w:color="auto" w:fill="F2F2F2" w:themeFill="accent5" w:themeFillTint="33"/>
            <w:noWrap/>
            <w:hideMark/>
          </w:tcPr>
          <w:p w14:paraId="785F24D9" w14:textId="77777777" w:rsidR="00324BD2" w:rsidRPr="00D15683" w:rsidRDefault="00324BD2" w:rsidP="007C1257">
            <w:pPr>
              <w:jc w:val="center"/>
              <w:cnfStyle w:val="000000010000" w:firstRow="0" w:lastRow="0" w:firstColumn="0" w:lastColumn="0" w:oddVBand="0" w:evenVBand="0" w:oddHBand="0" w:evenHBand="1" w:firstRowFirstColumn="0" w:firstRowLastColumn="0" w:lastRowFirstColumn="0" w:lastRowLastColumn="0"/>
              <w:rPr>
                <w:rFonts w:cs="Calibri"/>
                <w:sz w:val="17"/>
                <w:szCs w:val="17"/>
                <w:lang w:val="en-AU" w:eastAsia="en-AU"/>
              </w:rPr>
            </w:pPr>
            <w:r w:rsidRPr="00D15683">
              <w:rPr>
                <w:rFonts w:cs="Calibri"/>
                <w:sz w:val="17"/>
                <w:szCs w:val="17"/>
                <w:lang w:val="en-AU" w:eastAsia="en-AU"/>
              </w:rPr>
              <w:t>$m</w:t>
            </w:r>
          </w:p>
        </w:tc>
        <w:tc>
          <w:tcPr>
            <w:tcW w:w="1116" w:type="dxa"/>
            <w:shd w:val="clear" w:color="auto" w:fill="F2F2F2" w:themeFill="accent5" w:themeFillTint="33"/>
          </w:tcPr>
          <w:p w14:paraId="7515A279" w14:textId="699FF930" w:rsidR="00324BD2" w:rsidRPr="00D15683" w:rsidRDefault="00324BD2" w:rsidP="007C1257">
            <w:pPr>
              <w:jc w:val="center"/>
              <w:cnfStyle w:val="000000010000" w:firstRow="0" w:lastRow="0" w:firstColumn="0" w:lastColumn="0" w:oddVBand="0" w:evenVBand="0" w:oddHBand="0" w:evenHBand="1" w:firstRowFirstColumn="0" w:firstRowLastColumn="0" w:lastRowFirstColumn="0" w:lastRowLastColumn="0"/>
              <w:rPr>
                <w:rFonts w:cs="Calibri"/>
                <w:sz w:val="17"/>
                <w:szCs w:val="17"/>
                <w:lang w:val="en-AU" w:eastAsia="en-AU"/>
              </w:rPr>
            </w:pPr>
            <w:r w:rsidRPr="00D15683">
              <w:rPr>
                <w:rFonts w:cs="Calibri"/>
                <w:sz w:val="17"/>
                <w:szCs w:val="17"/>
                <w:lang w:val="en-AU" w:eastAsia="en-AU"/>
              </w:rPr>
              <w:t>$m</w:t>
            </w:r>
          </w:p>
        </w:tc>
        <w:tc>
          <w:tcPr>
            <w:tcW w:w="957" w:type="dxa"/>
            <w:shd w:val="clear" w:color="auto" w:fill="F2F2F2" w:themeFill="accent5" w:themeFillTint="33"/>
            <w:noWrap/>
          </w:tcPr>
          <w:p w14:paraId="5A06EFB8" w14:textId="749782A1" w:rsidR="00324BD2" w:rsidRPr="00D15683" w:rsidRDefault="00324BD2" w:rsidP="007C1257">
            <w:pPr>
              <w:jc w:val="center"/>
              <w:cnfStyle w:val="000000010000" w:firstRow="0" w:lastRow="0" w:firstColumn="0" w:lastColumn="0" w:oddVBand="0" w:evenVBand="0" w:oddHBand="0" w:evenHBand="1" w:firstRowFirstColumn="0" w:firstRowLastColumn="0" w:lastRowFirstColumn="0" w:lastRowLastColumn="0"/>
              <w:rPr>
                <w:rFonts w:cs="Calibri"/>
                <w:sz w:val="17"/>
                <w:szCs w:val="17"/>
                <w:lang w:val="en-AU" w:eastAsia="en-AU"/>
              </w:rPr>
            </w:pPr>
            <w:r w:rsidRPr="00D15683">
              <w:rPr>
                <w:rFonts w:cs="Calibri"/>
                <w:sz w:val="17"/>
                <w:szCs w:val="17"/>
                <w:lang w:val="en-AU" w:eastAsia="en-AU"/>
              </w:rPr>
              <w:t>$m</w:t>
            </w:r>
          </w:p>
        </w:tc>
        <w:tc>
          <w:tcPr>
            <w:tcW w:w="1031" w:type="dxa"/>
            <w:shd w:val="clear" w:color="auto" w:fill="F2F2F2" w:themeFill="accent5" w:themeFillTint="33"/>
            <w:noWrap/>
          </w:tcPr>
          <w:p w14:paraId="5727581C" w14:textId="737B4D6D" w:rsidR="00324BD2" w:rsidRPr="00D15683" w:rsidRDefault="00324BD2" w:rsidP="007C1257">
            <w:pPr>
              <w:jc w:val="center"/>
              <w:cnfStyle w:val="000000010000" w:firstRow="0" w:lastRow="0" w:firstColumn="0" w:lastColumn="0" w:oddVBand="0" w:evenVBand="0" w:oddHBand="0" w:evenHBand="1" w:firstRowFirstColumn="0" w:firstRowLastColumn="0" w:lastRowFirstColumn="0" w:lastRowLastColumn="0"/>
              <w:rPr>
                <w:rFonts w:cs="Calibri"/>
                <w:sz w:val="17"/>
                <w:szCs w:val="17"/>
                <w:lang w:val="en-AU" w:eastAsia="en-AU"/>
              </w:rPr>
            </w:pPr>
            <w:r w:rsidRPr="00D15683">
              <w:rPr>
                <w:rFonts w:cs="Calibri"/>
                <w:sz w:val="17"/>
                <w:szCs w:val="17"/>
                <w:lang w:val="en-AU" w:eastAsia="en-AU"/>
              </w:rPr>
              <w:t>$m</w:t>
            </w:r>
          </w:p>
        </w:tc>
        <w:tc>
          <w:tcPr>
            <w:tcW w:w="1069" w:type="dxa"/>
            <w:shd w:val="clear" w:color="auto" w:fill="F2F2F2" w:themeFill="accent5" w:themeFillTint="33"/>
          </w:tcPr>
          <w:p w14:paraId="14FFC373" w14:textId="0E23E4B3" w:rsidR="00324BD2" w:rsidRPr="00D15683" w:rsidRDefault="00324BD2" w:rsidP="007C1257">
            <w:pPr>
              <w:jc w:val="center"/>
              <w:cnfStyle w:val="000000010000" w:firstRow="0" w:lastRow="0" w:firstColumn="0" w:lastColumn="0" w:oddVBand="0" w:evenVBand="0" w:oddHBand="0" w:evenHBand="1" w:firstRowFirstColumn="0" w:firstRowLastColumn="0" w:lastRowFirstColumn="0" w:lastRowLastColumn="0"/>
              <w:rPr>
                <w:rFonts w:cs="Calibri"/>
                <w:sz w:val="17"/>
                <w:szCs w:val="17"/>
                <w:lang w:val="en-AU" w:eastAsia="en-AU"/>
              </w:rPr>
            </w:pPr>
            <w:r w:rsidRPr="00D15683">
              <w:rPr>
                <w:rFonts w:cs="Calibri"/>
                <w:sz w:val="17"/>
                <w:szCs w:val="17"/>
                <w:lang w:val="en-AU" w:eastAsia="en-AU"/>
              </w:rPr>
              <w:t>$m</w:t>
            </w:r>
          </w:p>
        </w:tc>
      </w:tr>
      <w:tr w:rsidR="00BB4857" w:rsidRPr="00D15683" w14:paraId="05BC47FB" w14:textId="77777777" w:rsidTr="005B6B2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262" w:type="dxa"/>
            <w:gridSpan w:val="2"/>
            <w:noWrap/>
            <w:hideMark/>
          </w:tcPr>
          <w:p w14:paraId="3830F7DD" w14:textId="77777777" w:rsidR="00324BD2" w:rsidRPr="00D15683" w:rsidRDefault="00324BD2" w:rsidP="00324BD2">
            <w:pPr>
              <w:rPr>
                <w:rFonts w:cs="Calibri"/>
                <w:b/>
                <w:sz w:val="17"/>
                <w:szCs w:val="17"/>
                <w:lang w:val="en-AU" w:eastAsia="en-AU"/>
              </w:rPr>
            </w:pPr>
            <w:r w:rsidRPr="00D15683">
              <w:rPr>
                <w:rFonts w:cs="Calibri"/>
                <w:b/>
                <w:sz w:val="17"/>
                <w:szCs w:val="17"/>
                <w:lang w:val="en-AU" w:eastAsia="en-AU"/>
              </w:rPr>
              <w:t>Capital – 2024-25 Half-Yearly Review</w:t>
            </w:r>
          </w:p>
        </w:tc>
        <w:tc>
          <w:tcPr>
            <w:tcW w:w="1161" w:type="dxa"/>
            <w:noWrap/>
            <w:hideMark/>
          </w:tcPr>
          <w:p w14:paraId="49A1A184" w14:textId="5C564103" w:rsidR="00324BD2" w:rsidRPr="00D15683" w:rsidRDefault="00324BD2" w:rsidP="00324BD2">
            <w:pPr>
              <w:cnfStyle w:val="000000100000" w:firstRow="0" w:lastRow="0" w:firstColumn="0" w:lastColumn="0" w:oddVBand="0" w:evenVBand="0" w:oddHBand="1" w:evenHBand="0" w:firstRowFirstColumn="0" w:firstRowLastColumn="0" w:lastRowFirstColumn="0" w:lastRowLastColumn="0"/>
              <w:rPr>
                <w:rFonts w:cs="Calibri"/>
                <w:b/>
                <w:sz w:val="17"/>
                <w:szCs w:val="17"/>
                <w:lang w:val="en-AU" w:eastAsia="en-AU"/>
              </w:rPr>
            </w:pPr>
            <w:r w:rsidRPr="00D15683">
              <w:rPr>
                <w:rFonts w:cs="Calibri"/>
                <w:b/>
                <w:color w:val="000000"/>
                <w:sz w:val="17"/>
                <w:szCs w:val="17"/>
              </w:rPr>
              <w:t>23,</w:t>
            </w:r>
            <w:r w:rsidR="0096326A" w:rsidRPr="00D15683">
              <w:rPr>
                <w:rFonts w:cs="Calibri"/>
                <w:b/>
                <w:color w:val="000000"/>
                <w:sz w:val="17"/>
                <w:szCs w:val="17"/>
              </w:rPr>
              <w:t>220</w:t>
            </w:r>
          </w:p>
        </w:tc>
        <w:tc>
          <w:tcPr>
            <w:tcW w:w="1116" w:type="dxa"/>
          </w:tcPr>
          <w:p w14:paraId="58BE22B0" w14:textId="7408F803" w:rsidR="00324BD2" w:rsidRPr="00D15683" w:rsidRDefault="0096326A" w:rsidP="00324BD2">
            <w:pPr>
              <w:cnfStyle w:val="000000100000" w:firstRow="0" w:lastRow="0" w:firstColumn="0" w:lastColumn="0" w:oddVBand="0" w:evenVBand="0" w:oddHBand="1" w:evenHBand="0" w:firstRowFirstColumn="0" w:firstRowLastColumn="0" w:lastRowFirstColumn="0" w:lastRowLastColumn="0"/>
              <w:rPr>
                <w:rFonts w:cs="Calibri"/>
                <w:b/>
                <w:color w:val="000000"/>
                <w:sz w:val="17"/>
                <w:szCs w:val="17"/>
              </w:rPr>
            </w:pPr>
            <w:r w:rsidRPr="00D15683">
              <w:rPr>
                <w:rFonts w:cs="Calibri"/>
                <w:b/>
                <w:color w:val="000000"/>
                <w:sz w:val="17"/>
                <w:szCs w:val="17"/>
              </w:rPr>
              <w:t>22,073</w:t>
            </w:r>
          </w:p>
        </w:tc>
        <w:tc>
          <w:tcPr>
            <w:tcW w:w="957" w:type="dxa"/>
            <w:noWrap/>
          </w:tcPr>
          <w:p w14:paraId="11459CB2" w14:textId="7456631B" w:rsidR="00324BD2" w:rsidRPr="00D15683" w:rsidRDefault="0096326A" w:rsidP="00324BD2">
            <w:pPr>
              <w:cnfStyle w:val="000000100000" w:firstRow="0" w:lastRow="0" w:firstColumn="0" w:lastColumn="0" w:oddVBand="0" w:evenVBand="0" w:oddHBand="1" w:evenHBand="0" w:firstRowFirstColumn="0" w:firstRowLastColumn="0" w:lastRowFirstColumn="0" w:lastRowLastColumn="0"/>
              <w:rPr>
                <w:rFonts w:cs="Calibri"/>
                <w:b/>
                <w:sz w:val="17"/>
                <w:szCs w:val="17"/>
                <w:lang w:val="en-AU" w:eastAsia="en-AU"/>
              </w:rPr>
            </w:pPr>
            <w:r w:rsidRPr="00D15683">
              <w:rPr>
                <w:rFonts w:cs="Calibri"/>
                <w:b/>
                <w:color w:val="000000"/>
                <w:sz w:val="17"/>
                <w:szCs w:val="17"/>
              </w:rPr>
              <w:t>21,175</w:t>
            </w:r>
          </w:p>
        </w:tc>
        <w:tc>
          <w:tcPr>
            <w:tcW w:w="1031" w:type="dxa"/>
            <w:noWrap/>
          </w:tcPr>
          <w:p w14:paraId="36991B93" w14:textId="5FEAEC22" w:rsidR="00324BD2" w:rsidRPr="00D15683" w:rsidRDefault="00324BD2" w:rsidP="00324BD2">
            <w:pPr>
              <w:cnfStyle w:val="000000100000" w:firstRow="0" w:lastRow="0" w:firstColumn="0" w:lastColumn="0" w:oddVBand="0" w:evenVBand="0" w:oddHBand="1" w:evenHBand="0" w:firstRowFirstColumn="0" w:firstRowLastColumn="0" w:lastRowFirstColumn="0" w:lastRowLastColumn="0"/>
              <w:rPr>
                <w:rFonts w:cs="Calibri"/>
                <w:b/>
                <w:sz w:val="17"/>
                <w:szCs w:val="17"/>
                <w:lang w:val="en-AU" w:eastAsia="en-AU"/>
              </w:rPr>
            </w:pPr>
            <w:r w:rsidRPr="00D15683" w:rsidDel="007C1257">
              <w:rPr>
                <w:rFonts w:cs="Calibri"/>
                <w:b/>
                <w:color w:val="000000"/>
                <w:sz w:val="17"/>
                <w:szCs w:val="17"/>
              </w:rPr>
              <w:t>19,</w:t>
            </w:r>
            <w:r w:rsidR="0096326A" w:rsidRPr="00D15683">
              <w:rPr>
                <w:rFonts w:cs="Calibri"/>
                <w:b/>
                <w:color w:val="000000"/>
                <w:sz w:val="17"/>
                <w:szCs w:val="17"/>
              </w:rPr>
              <w:t>591</w:t>
            </w:r>
          </w:p>
        </w:tc>
        <w:tc>
          <w:tcPr>
            <w:tcW w:w="1069" w:type="dxa"/>
          </w:tcPr>
          <w:p w14:paraId="6008111E" w14:textId="3BDB5CB0" w:rsidR="00324BD2" w:rsidRPr="00D15683" w:rsidDel="007C1257" w:rsidRDefault="00CF16DC" w:rsidP="00324BD2">
            <w:pPr>
              <w:cnfStyle w:val="000000100000" w:firstRow="0" w:lastRow="0" w:firstColumn="0" w:lastColumn="0" w:oddVBand="0" w:evenVBand="0" w:oddHBand="1" w:evenHBand="0" w:firstRowFirstColumn="0" w:firstRowLastColumn="0" w:lastRowFirstColumn="0" w:lastRowLastColumn="0"/>
              <w:rPr>
                <w:rFonts w:cs="Calibri"/>
                <w:b/>
                <w:color w:val="000000"/>
                <w:sz w:val="17"/>
                <w:szCs w:val="17"/>
              </w:rPr>
            </w:pPr>
            <w:r w:rsidRPr="00D15683">
              <w:rPr>
                <w:rFonts w:cs="Calibri"/>
                <w:b/>
                <w:color w:val="000000"/>
                <w:sz w:val="17"/>
                <w:szCs w:val="17"/>
              </w:rPr>
              <w:t>n.a.</w:t>
            </w:r>
          </w:p>
        </w:tc>
      </w:tr>
      <w:tr w:rsidR="001D041C" w:rsidRPr="00D15683" w14:paraId="63C9C33A" w14:textId="77777777" w:rsidTr="00545E9A">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262" w:type="dxa"/>
            <w:gridSpan w:val="2"/>
            <w:noWrap/>
          </w:tcPr>
          <w:p w14:paraId="496838FA" w14:textId="798E16CD" w:rsidR="001D041C" w:rsidRPr="00D15683" w:rsidRDefault="00F63C68" w:rsidP="00324BD2">
            <w:pPr>
              <w:rPr>
                <w:rFonts w:cs="Calibri"/>
                <w:bCs/>
                <w:sz w:val="17"/>
                <w:szCs w:val="17"/>
                <w:highlight w:val="yellow"/>
                <w:lang w:val="en-AU" w:eastAsia="en-AU"/>
              </w:rPr>
            </w:pPr>
            <w:r>
              <w:rPr>
                <w:rFonts w:cs="Calibri"/>
                <w:sz w:val="17"/>
                <w:szCs w:val="17"/>
                <w:lang w:val="en-AU" w:eastAsia="en-AU"/>
              </w:rPr>
              <w:t xml:space="preserve">   </w:t>
            </w:r>
            <w:r w:rsidR="0003387D" w:rsidRPr="00D15683">
              <w:rPr>
                <w:rFonts w:cs="Calibri"/>
                <w:sz w:val="17"/>
                <w:szCs w:val="17"/>
                <w:lang w:val="en-AU" w:eastAsia="en-AU"/>
              </w:rPr>
              <w:t>Capital measures</w:t>
            </w:r>
          </w:p>
        </w:tc>
        <w:tc>
          <w:tcPr>
            <w:tcW w:w="1161" w:type="dxa"/>
            <w:noWrap/>
          </w:tcPr>
          <w:p w14:paraId="3E5EBADE" w14:textId="020112C5" w:rsidR="001D041C" w:rsidRPr="00D15683" w:rsidRDefault="00D3025A" w:rsidP="00324BD2">
            <w:pPr>
              <w:cnfStyle w:val="000000010000" w:firstRow="0" w:lastRow="0" w:firstColumn="0" w:lastColumn="0" w:oddVBand="0" w:evenVBand="0" w:oddHBand="0" w:evenHBand="1" w:firstRowFirstColumn="0" w:firstRowLastColumn="0" w:lastRowFirstColumn="0" w:lastRowLastColumn="0"/>
              <w:rPr>
                <w:rFonts w:cs="Calibri"/>
                <w:color w:val="000000"/>
                <w:sz w:val="17"/>
                <w:szCs w:val="17"/>
              </w:rPr>
            </w:pPr>
            <w:r>
              <w:rPr>
                <w:rFonts w:cs="Calibri"/>
                <w:color w:val="000000"/>
                <w:sz w:val="16"/>
                <w:szCs w:val="16"/>
              </w:rPr>
              <w:t>(</w:t>
            </w:r>
            <w:r w:rsidR="00196A3E">
              <w:rPr>
                <w:rFonts w:cs="Calibri"/>
                <w:color w:val="000000"/>
                <w:sz w:val="16"/>
                <w:szCs w:val="16"/>
              </w:rPr>
              <w:t>64</w:t>
            </w:r>
            <w:r>
              <w:rPr>
                <w:rFonts w:cs="Calibri"/>
                <w:color w:val="000000"/>
                <w:sz w:val="16"/>
                <w:szCs w:val="16"/>
              </w:rPr>
              <w:t>)</w:t>
            </w:r>
          </w:p>
        </w:tc>
        <w:tc>
          <w:tcPr>
            <w:tcW w:w="1116" w:type="dxa"/>
          </w:tcPr>
          <w:p w14:paraId="5333ADA4" w14:textId="21A24393" w:rsidR="001D041C" w:rsidRPr="00D15683" w:rsidRDefault="00196A3E" w:rsidP="00324BD2">
            <w:pPr>
              <w:cnfStyle w:val="000000010000" w:firstRow="0" w:lastRow="0" w:firstColumn="0" w:lastColumn="0" w:oddVBand="0" w:evenVBand="0" w:oddHBand="0" w:evenHBand="1" w:firstRowFirstColumn="0" w:firstRowLastColumn="0" w:lastRowFirstColumn="0" w:lastRowLastColumn="0"/>
              <w:rPr>
                <w:rFonts w:cs="Calibri"/>
                <w:color w:val="000000"/>
                <w:sz w:val="17"/>
                <w:szCs w:val="17"/>
              </w:rPr>
            </w:pPr>
            <w:r>
              <w:rPr>
                <w:rFonts w:cs="Calibri"/>
                <w:color w:val="000000"/>
                <w:sz w:val="16"/>
                <w:szCs w:val="16"/>
              </w:rPr>
              <w:t>1,022</w:t>
            </w:r>
          </w:p>
        </w:tc>
        <w:tc>
          <w:tcPr>
            <w:tcW w:w="957" w:type="dxa"/>
            <w:noWrap/>
          </w:tcPr>
          <w:p w14:paraId="00994200" w14:textId="6907207D" w:rsidR="001D041C" w:rsidRPr="00D15683" w:rsidRDefault="00196A3E" w:rsidP="00324BD2">
            <w:pPr>
              <w:cnfStyle w:val="000000010000" w:firstRow="0" w:lastRow="0" w:firstColumn="0" w:lastColumn="0" w:oddVBand="0" w:evenVBand="0" w:oddHBand="0" w:evenHBand="1" w:firstRowFirstColumn="0" w:firstRowLastColumn="0" w:lastRowFirstColumn="0" w:lastRowLastColumn="0"/>
              <w:rPr>
                <w:rFonts w:cs="Calibri"/>
                <w:color w:val="000000"/>
                <w:sz w:val="17"/>
                <w:szCs w:val="17"/>
              </w:rPr>
            </w:pPr>
            <w:r>
              <w:rPr>
                <w:rFonts w:cs="Calibri"/>
                <w:color w:val="000000"/>
                <w:sz w:val="16"/>
                <w:szCs w:val="16"/>
              </w:rPr>
              <w:t>2,585</w:t>
            </w:r>
          </w:p>
        </w:tc>
        <w:tc>
          <w:tcPr>
            <w:tcW w:w="1031" w:type="dxa"/>
            <w:noWrap/>
          </w:tcPr>
          <w:p w14:paraId="1285B02D" w14:textId="51763D31" w:rsidR="001D041C" w:rsidRPr="00D15683" w:rsidRDefault="00196A3E" w:rsidP="00324BD2">
            <w:pPr>
              <w:cnfStyle w:val="000000010000" w:firstRow="0" w:lastRow="0" w:firstColumn="0" w:lastColumn="0" w:oddVBand="0" w:evenVBand="0" w:oddHBand="0" w:evenHBand="1" w:firstRowFirstColumn="0" w:firstRowLastColumn="0" w:lastRowFirstColumn="0" w:lastRowLastColumn="0"/>
              <w:rPr>
                <w:rFonts w:cs="Calibri"/>
                <w:color w:val="000000"/>
                <w:sz w:val="17"/>
                <w:szCs w:val="17"/>
              </w:rPr>
            </w:pPr>
            <w:r>
              <w:rPr>
                <w:rFonts w:cs="Calibri"/>
                <w:color w:val="000000"/>
                <w:sz w:val="16"/>
                <w:szCs w:val="16"/>
              </w:rPr>
              <w:t>1,954</w:t>
            </w:r>
          </w:p>
        </w:tc>
        <w:tc>
          <w:tcPr>
            <w:tcW w:w="0" w:type="dxa"/>
          </w:tcPr>
          <w:p w14:paraId="2DC46E57" w14:textId="40165C37" w:rsidR="001D041C" w:rsidRPr="00D15683" w:rsidDel="007C1257" w:rsidRDefault="00196A3E" w:rsidP="00324BD2">
            <w:pPr>
              <w:cnfStyle w:val="000000010000" w:firstRow="0" w:lastRow="0" w:firstColumn="0" w:lastColumn="0" w:oddVBand="0" w:evenVBand="0" w:oddHBand="0" w:evenHBand="1" w:firstRowFirstColumn="0" w:firstRowLastColumn="0" w:lastRowFirstColumn="0" w:lastRowLastColumn="0"/>
              <w:rPr>
                <w:rFonts w:cs="Calibri"/>
                <w:color w:val="000000"/>
                <w:sz w:val="17"/>
                <w:szCs w:val="17"/>
              </w:rPr>
            </w:pPr>
            <w:r>
              <w:rPr>
                <w:rFonts w:cs="Calibri"/>
                <w:color w:val="000000"/>
                <w:sz w:val="16"/>
                <w:szCs w:val="16"/>
              </w:rPr>
              <w:t>2,620</w:t>
            </w:r>
          </w:p>
        </w:tc>
      </w:tr>
      <w:tr w:rsidR="00AF0B95" w:rsidRPr="00D15683" w14:paraId="11C02784" w14:textId="77777777" w:rsidTr="00545E9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0" w:type="dxa"/>
            <w:gridSpan w:val="2"/>
            <w:tcBorders>
              <w:bottom w:val="single" w:sz="4" w:space="0" w:color="auto"/>
            </w:tcBorders>
            <w:noWrap/>
            <w:hideMark/>
          </w:tcPr>
          <w:p w14:paraId="1317021B" w14:textId="1DF5FA71" w:rsidR="00324BD2" w:rsidRPr="00D15683" w:rsidRDefault="00324BD2" w:rsidP="00324BD2">
            <w:pPr>
              <w:rPr>
                <w:rFonts w:cs="Calibri"/>
                <w:color w:val="000000"/>
                <w:sz w:val="17"/>
                <w:szCs w:val="17"/>
                <w:lang w:val="en-AU" w:eastAsia="en-AU"/>
              </w:rPr>
            </w:pPr>
            <w:r w:rsidRPr="00D15683">
              <w:rPr>
                <w:rFonts w:cs="Calibri"/>
                <w:color w:val="000000" w:themeColor="text1"/>
                <w:sz w:val="17"/>
                <w:szCs w:val="17"/>
                <w:vertAlign w:val="superscript"/>
                <w:lang w:val="en-AU" w:eastAsia="en-AU"/>
              </w:rPr>
              <w:t xml:space="preserve"> </w:t>
            </w:r>
            <w:r w:rsidR="00F63C68">
              <w:rPr>
                <w:rFonts w:cs="Calibri"/>
                <w:color w:val="000000" w:themeColor="text1"/>
                <w:sz w:val="17"/>
                <w:szCs w:val="17"/>
                <w:vertAlign w:val="superscript"/>
                <w:lang w:val="en-AU" w:eastAsia="en-AU"/>
              </w:rPr>
              <w:t xml:space="preserve">     </w:t>
            </w:r>
            <w:r w:rsidR="0003387D" w:rsidRPr="00D15683">
              <w:rPr>
                <w:rFonts w:cs="Calibri"/>
                <w:color w:val="000000"/>
                <w:sz w:val="17"/>
                <w:szCs w:val="17"/>
                <w:lang w:val="en-AU" w:eastAsia="en-AU"/>
              </w:rPr>
              <w:t>Parameter and other variations</w:t>
            </w:r>
          </w:p>
        </w:tc>
        <w:tc>
          <w:tcPr>
            <w:tcW w:w="0" w:type="dxa"/>
            <w:tcBorders>
              <w:bottom w:val="single" w:sz="4" w:space="0" w:color="auto"/>
            </w:tcBorders>
            <w:noWrap/>
            <w:hideMark/>
          </w:tcPr>
          <w:p w14:paraId="74B8790F" w14:textId="7E39B1E1" w:rsidR="00324BD2" w:rsidRPr="00D15683" w:rsidRDefault="00D3025A" w:rsidP="00324BD2">
            <w:pPr>
              <w:cnfStyle w:val="000000100000" w:firstRow="0" w:lastRow="0" w:firstColumn="0" w:lastColumn="0" w:oddVBand="0" w:evenVBand="0" w:oddHBand="1" w:evenHBand="0" w:firstRowFirstColumn="0" w:firstRowLastColumn="0" w:lastRowFirstColumn="0" w:lastRowLastColumn="0"/>
              <w:rPr>
                <w:rFonts w:cs="Calibri"/>
                <w:color w:val="000000"/>
                <w:sz w:val="17"/>
                <w:szCs w:val="17"/>
                <w:lang w:val="en-AU" w:eastAsia="en-AU"/>
              </w:rPr>
            </w:pPr>
            <w:r>
              <w:rPr>
                <w:rFonts w:cs="Calibri"/>
                <w:color w:val="000000"/>
                <w:sz w:val="16"/>
                <w:szCs w:val="16"/>
              </w:rPr>
              <w:t>(</w:t>
            </w:r>
            <w:r w:rsidR="00196A3E">
              <w:rPr>
                <w:rFonts w:cs="Calibri"/>
                <w:color w:val="000000"/>
                <w:sz w:val="16"/>
                <w:szCs w:val="16"/>
              </w:rPr>
              <w:t>840</w:t>
            </w:r>
            <w:r>
              <w:rPr>
                <w:rFonts w:cs="Calibri"/>
                <w:color w:val="000000"/>
                <w:sz w:val="16"/>
                <w:szCs w:val="16"/>
              </w:rPr>
              <w:t>)</w:t>
            </w:r>
          </w:p>
        </w:tc>
        <w:tc>
          <w:tcPr>
            <w:tcW w:w="0" w:type="dxa"/>
            <w:tcBorders>
              <w:bottom w:val="single" w:sz="4" w:space="0" w:color="auto"/>
            </w:tcBorders>
          </w:tcPr>
          <w:p w14:paraId="64091794" w14:textId="066A0C4A" w:rsidR="00324BD2" w:rsidRPr="00D15683" w:rsidRDefault="00D3025A" w:rsidP="00324BD2">
            <w:pPr>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Pr>
                <w:rFonts w:cs="Calibri"/>
                <w:color w:val="000000"/>
                <w:sz w:val="16"/>
                <w:szCs w:val="16"/>
              </w:rPr>
              <w:t>(</w:t>
            </w:r>
            <w:r w:rsidR="00196A3E">
              <w:rPr>
                <w:rFonts w:cs="Calibri"/>
                <w:color w:val="000000"/>
                <w:sz w:val="16"/>
                <w:szCs w:val="16"/>
              </w:rPr>
              <w:t>751</w:t>
            </w:r>
            <w:r>
              <w:rPr>
                <w:rFonts w:cs="Calibri"/>
                <w:color w:val="000000"/>
                <w:sz w:val="16"/>
                <w:szCs w:val="16"/>
              </w:rPr>
              <w:t>)</w:t>
            </w:r>
          </w:p>
        </w:tc>
        <w:tc>
          <w:tcPr>
            <w:tcW w:w="957" w:type="dxa"/>
            <w:tcBorders>
              <w:bottom w:val="single" w:sz="4" w:space="0" w:color="auto"/>
            </w:tcBorders>
            <w:noWrap/>
          </w:tcPr>
          <w:p w14:paraId="4BDA6E98" w14:textId="2D662D8E" w:rsidR="00324BD2" w:rsidRPr="00D15683" w:rsidRDefault="00D3025A" w:rsidP="00324BD2">
            <w:pPr>
              <w:cnfStyle w:val="000000100000" w:firstRow="0" w:lastRow="0" w:firstColumn="0" w:lastColumn="0" w:oddVBand="0" w:evenVBand="0" w:oddHBand="1" w:evenHBand="0" w:firstRowFirstColumn="0" w:firstRowLastColumn="0" w:lastRowFirstColumn="0" w:lastRowLastColumn="0"/>
              <w:rPr>
                <w:rFonts w:cs="Calibri"/>
                <w:color w:val="000000"/>
                <w:sz w:val="17"/>
                <w:szCs w:val="17"/>
                <w:lang w:val="en-AU" w:eastAsia="en-AU"/>
              </w:rPr>
            </w:pPr>
            <w:r>
              <w:rPr>
                <w:rFonts w:cs="Calibri"/>
                <w:color w:val="000000"/>
                <w:sz w:val="16"/>
                <w:szCs w:val="16"/>
              </w:rPr>
              <w:t>(</w:t>
            </w:r>
            <w:r w:rsidR="00196A3E">
              <w:rPr>
                <w:rFonts w:cs="Calibri"/>
                <w:color w:val="000000"/>
                <w:sz w:val="16"/>
                <w:szCs w:val="16"/>
              </w:rPr>
              <w:t>1,717</w:t>
            </w:r>
            <w:r>
              <w:rPr>
                <w:rFonts w:cs="Calibri"/>
                <w:color w:val="000000"/>
                <w:sz w:val="16"/>
                <w:szCs w:val="16"/>
              </w:rPr>
              <w:t>)</w:t>
            </w:r>
          </w:p>
        </w:tc>
        <w:tc>
          <w:tcPr>
            <w:tcW w:w="1031" w:type="dxa"/>
            <w:tcBorders>
              <w:bottom w:val="single" w:sz="4" w:space="0" w:color="auto"/>
            </w:tcBorders>
            <w:noWrap/>
          </w:tcPr>
          <w:p w14:paraId="15D1914B" w14:textId="43EE5CAE" w:rsidR="00324BD2" w:rsidRPr="00D15683" w:rsidRDefault="00D3025A" w:rsidP="00324BD2">
            <w:pPr>
              <w:cnfStyle w:val="000000100000" w:firstRow="0" w:lastRow="0" w:firstColumn="0" w:lastColumn="0" w:oddVBand="0" w:evenVBand="0" w:oddHBand="1" w:evenHBand="0" w:firstRowFirstColumn="0" w:firstRowLastColumn="0" w:lastRowFirstColumn="0" w:lastRowLastColumn="0"/>
              <w:rPr>
                <w:rFonts w:cs="Calibri"/>
                <w:color w:val="000000"/>
                <w:sz w:val="17"/>
                <w:szCs w:val="17"/>
                <w:lang w:val="en-AU" w:eastAsia="en-AU"/>
              </w:rPr>
            </w:pPr>
            <w:r>
              <w:rPr>
                <w:rFonts w:cs="Calibri"/>
                <w:color w:val="000000"/>
                <w:sz w:val="16"/>
                <w:szCs w:val="16"/>
              </w:rPr>
              <w:t>(</w:t>
            </w:r>
            <w:r w:rsidR="00196A3E">
              <w:rPr>
                <w:rFonts w:cs="Calibri"/>
                <w:color w:val="000000"/>
                <w:sz w:val="16"/>
                <w:szCs w:val="16"/>
              </w:rPr>
              <w:t>64</w:t>
            </w:r>
            <w:r>
              <w:rPr>
                <w:rFonts w:cs="Calibri"/>
                <w:color w:val="000000"/>
                <w:sz w:val="16"/>
                <w:szCs w:val="16"/>
              </w:rPr>
              <w:t>)</w:t>
            </w:r>
          </w:p>
        </w:tc>
        <w:tc>
          <w:tcPr>
            <w:tcW w:w="0" w:type="dxa"/>
            <w:tcBorders>
              <w:bottom w:val="single" w:sz="4" w:space="0" w:color="auto"/>
            </w:tcBorders>
          </w:tcPr>
          <w:p w14:paraId="29E7DF22" w14:textId="4C79CBDE" w:rsidR="00324BD2" w:rsidRPr="00D15683" w:rsidRDefault="00196A3E" w:rsidP="00324BD2">
            <w:pPr>
              <w:cnfStyle w:val="000000100000" w:firstRow="0" w:lastRow="0" w:firstColumn="0" w:lastColumn="0" w:oddVBand="0" w:evenVBand="0" w:oddHBand="1" w:evenHBand="0" w:firstRowFirstColumn="0" w:firstRowLastColumn="0" w:lastRowFirstColumn="0" w:lastRowLastColumn="0"/>
              <w:rPr>
                <w:rFonts w:cs="Calibri"/>
                <w:color w:val="000000"/>
                <w:sz w:val="17"/>
                <w:szCs w:val="17"/>
                <w:lang w:val="en-AU" w:eastAsia="en-AU"/>
              </w:rPr>
            </w:pPr>
            <w:r>
              <w:rPr>
                <w:rFonts w:cs="Calibri"/>
                <w:color w:val="000000"/>
                <w:sz w:val="16"/>
                <w:szCs w:val="16"/>
              </w:rPr>
              <w:t>n.a.</w:t>
            </w:r>
          </w:p>
        </w:tc>
      </w:tr>
      <w:tr w:rsidR="00BB4857" w:rsidRPr="00D15683" w14:paraId="31E8B1D6" w14:textId="77777777" w:rsidTr="00196A3E">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262" w:type="dxa"/>
            <w:gridSpan w:val="2"/>
            <w:tcBorders>
              <w:top w:val="single" w:sz="4" w:space="0" w:color="auto"/>
              <w:bottom w:val="single" w:sz="4" w:space="0" w:color="auto"/>
            </w:tcBorders>
            <w:noWrap/>
            <w:hideMark/>
          </w:tcPr>
          <w:p w14:paraId="1736E389" w14:textId="2653AEC4" w:rsidR="00324BD2" w:rsidRPr="00D15683" w:rsidRDefault="00324BD2" w:rsidP="00324BD2">
            <w:pPr>
              <w:rPr>
                <w:rFonts w:cs="Calibri"/>
                <w:b/>
                <w:sz w:val="17"/>
                <w:szCs w:val="17"/>
                <w:lang w:val="en-AU" w:eastAsia="en-AU"/>
              </w:rPr>
            </w:pPr>
            <w:r w:rsidRPr="00D15683">
              <w:rPr>
                <w:rFonts w:cs="Calibri"/>
                <w:b/>
                <w:sz w:val="17"/>
                <w:szCs w:val="17"/>
                <w:lang w:val="en-AU" w:eastAsia="en-AU"/>
              </w:rPr>
              <w:t>Capital – 2025-26 Budget</w:t>
            </w:r>
          </w:p>
        </w:tc>
        <w:tc>
          <w:tcPr>
            <w:tcW w:w="1161" w:type="dxa"/>
            <w:tcBorders>
              <w:top w:val="single" w:sz="4" w:space="0" w:color="auto"/>
              <w:bottom w:val="single" w:sz="4" w:space="0" w:color="auto"/>
            </w:tcBorders>
            <w:noWrap/>
            <w:hideMark/>
          </w:tcPr>
          <w:p w14:paraId="2FC3B219" w14:textId="01857F2E" w:rsidR="00324BD2" w:rsidRPr="00D15683" w:rsidRDefault="00324BD2" w:rsidP="00324BD2">
            <w:pPr>
              <w:cnfStyle w:val="000000010000" w:firstRow="0" w:lastRow="0" w:firstColumn="0" w:lastColumn="0" w:oddVBand="0" w:evenVBand="0" w:oddHBand="0" w:evenHBand="1" w:firstRowFirstColumn="0" w:firstRowLastColumn="0" w:lastRowFirstColumn="0" w:lastRowLastColumn="0"/>
              <w:rPr>
                <w:rFonts w:cs="Calibri"/>
                <w:b/>
                <w:sz w:val="17"/>
                <w:szCs w:val="17"/>
                <w:lang w:val="en-AU" w:eastAsia="en-AU"/>
              </w:rPr>
            </w:pPr>
            <w:r w:rsidRPr="00D15683">
              <w:rPr>
                <w:rFonts w:cs="Calibri"/>
                <w:b/>
                <w:sz w:val="17"/>
                <w:szCs w:val="17"/>
                <w:lang w:val="en-AU" w:eastAsia="en-AU"/>
              </w:rPr>
              <w:t>22,</w:t>
            </w:r>
            <w:r w:rsidR="008F72D8" w:rsidRPr="00D15683">
              <w:rPr>
                <w:rFonts w:cs="Calibri"/>
                <w:b/>
                <w:sz w:val="17"/>
                <w:szCs w:val="17"/>
                <w:lang w:val="en-AU" w:eastAsia="en-AU"/>
              </w:rPr>
              <w:t>315</w:t>
            </w:r>
          </w:p>
        </w:tc>
        <w:tc>
          <w:tcPr>
            <w:tcW w:w="1116" w:type="dxa"/>
            <w:tcBorders>
              <w:top w:val="single" w:sz="4" w:space="0" w:color="auto"/>
              <w:bottom w:val="single" w:sz="4" w:space="0" w:color="auto"/>
            </w:tcBorders>
          </w:tcPr>
          <w:p w14:paraId="01942CD2" w14:textId="796CC60C" w:rsidR="00324BD2" w:rsidRPr="00D15683" w:rsidRDefault="008F72D8" w:rsidP="00324BD2">
            <w:pPr>
              <w:cnfStyle w:val="000000010000" w:firstRow="0" w:lastRow="0" w:firstColumn="0" w:lastColumn="0" w:oddVBand="0" w:evenVBand="0" w:oddHBand="0" w:evenHBand="1" w:firstRowFirstColumn="0" w:firstRowLastColumn="0" w:lastRowFirstColumn="0" w:lastRowLastColumn="0"/>
              <w:rPr>
                <w:rFonts w:cs="Calibri"/>
                <w:b/>
                <w:sz w:val="17"/>
                <w:szCs w:val="17"/>
                <w:lang w:val="en-AU" w:eastAsia="en-AU"/>
              </w:rPr>
            </w:pPr>
            <w:r w:rsidRPr="00D15683">
              <w:rPr>
                <w:rFonts w:cs="Calibri"/>
                <w:b/>
                <w:sz w:val="17"/>
                <w:szCs w:val="17"/>
                <w:lang w:val="en-AU" w:eastAsia="en-AU"/>
              </w:rPr>
              <w:t>22,343</w:t>
            </w:r>
          </w:p>
        </w:tc>
        <w:tc>
          <w:tcPr>
            <w:tcW w:w="957" w:type="dxa"/>
            <w:tcBorders>
              <w:top w:val="single" w:sz="4" w:space="0" w:color="auto"/>
              <w:bottom w:val="single" w:sz="4" w:space="0" w:color="auto"/>
            </w:tcBorders>
            <w:noWrap/>
          </w:tcPr>
          <w:p w14:paraId="2C882F8F" w14:textId="10115CE6" w:rsidR="00324BD2" w:rsidRPr="00D15683" w:rsidRDefault="008F72D8" w:rsidP="00324BD2">
            <w:pPr>
              <w:cnfStyle w:val="000000010000" w:firstRow="0" w:lastRow="0" w:firstColumn="0" w:lastColumn="0" w:oddVBand="0" w:evenVBand="0" w:oddHBand="0" w:evenHBand="1" w:firstRowFirstColumn="0" w:firstRowLastColumn="0" w:lastRowFirstColumn="0" w:lastRowLastColumn="0"/>
              <w:rPr>
                <w:rFonts w:cs="Calibri"/>
                <w:b/>
                <w:sz w:val="17"/>
                <w:szCs w:val="17"/>
                <w:lang w:val="en-AU" w:eastAsia="en-AU"/>
              </w:rPr>
            </w:pPr>
            <w:r w:rsidRPr="00D15683">
              <w:rPr>
                <w:rFonts w:cs="Calibri"/>
                <w:b/>
                <w:sz w:val="17"/>
                <w:szCs w:val="17"/>
                <w:lang w:val="en-AU" w:eastAsia="en-AU"/>
              </w:rPr>
              <w:t>22,043</w:t>
            </w:r>
          </w:p>
        </w:tc>
        <w:tc>
          <w:tcPr>
            <w:tcW w:w="1031" w:type="dxa"/>
            <w:tcBorders>
              <w:top w:val="single" w:sz="4" w:space="0" w:color="auto"/>
              <w:bottom w:val="single" w:sz="4" w:space="0" w:color="auto"/>
            </w:tcBorders>
            <w:noWrap/>
          </w:tcPr>
          <w:p w14:paraId="7F954E6C" w14:textId="1B54C8AD" w:rsidR="00324BD2" w:rsidRPr="00D15683" w:rsidRDefault="008F72D8" w:rsidP="00324BD2">
            <w:pPr>
              <w:cnfStyle w:val="000000010000" w:firstRow="0" w:lastRow="0" w:firstColumn="0" w:lastColumn="0" w:oddVBand="0" w:evenVBand="0" w:oddHBand="0" w:evenHBand="1" w:firstRowFirstColumn="0" w:firstRowLastColumn="0" w:lastRowFirstColumn="0" w:lastRowLastColumn="0"/>
              <w:rPr>
                <w:rFonts w:cs="Calibri"/>
                <w:b/>
                <w:sz w:val="17"/>
                <w:szCs w:val="17"/>
                <w:lang w:val="en-AU" w:eastAsia="en-AU"/>
              </w:rPr>
            </w:pPr>
            <w:r w:rsidRPr="00D15683">
              <w:rPr>
                <w:rFonts w:cs="Calibri"/>
                <w:b/>
                <w:sz w:val="17"/>
                <w:szCs w:val="17"/>
                <w:lang w:val="en-AU" w:eastAsia="en-AU"/>
              </w:rPr>
              <w:t>21,480</w:t>
            </w:r>
          </w:p>
        </w:tc>
        <w:tc>
          <w:tcPr>
            <w:tcW w:w="1069" w:type="dxa"/>
            <w:tcBorders>
              <w:top w:val="single" w:sz="4" w:space="0" w:color="auto"/>
              <w:bottom w:val="single" w:sz="4" w:space="0" w:color="auto"/>
            </w:tcBorders>
          </w:tcPr>
          <w:p w14:paraId="6B1AD259" w14:textId="1EA34AE9" w:rsidR="00324BD2" w:rsidRPr="00D15683" w:rsidRDefault="008F72D8" w:rsidP="00324BD2">
            <w:pPr>
              <w:cnfStyle w:val="000000010000" w:firstRow="0" w:lastRow="0" w:firstColumn="0" w:lastColumn="0" w:oddVBand="0" w:evenVBand="0" w:oddHBand="0" w:evenHBand="1" w:firstRowFirstColumn="0" w:firstRowLastColumn="0" w:lastRowFirstColumn="0" w:lastRowLastColumn="0"/>
              <w:rPr>
                <w:rFonts w:cs="Calibri"/>
                <w:b/>
                <w:sz w:val="17"/>
                <w:szCs w:val="17"/>
                <w:lang w:val="en-AU" w:eastAsia="en-AU"/>
              </w:rPr>
            </w:pPr>
            <w:r w:rsidRPr="00D15683">
              <w:rPr>
                <w:rFonts w:cs="Calibri"/>
                <w:b/>
                <w:sz w:val="17"/>
                <w:szCs w:val="17"/>
                <w:lang w:val="en-AU" w:eastAsia="en-AU"/>
              </w:rPr>
              <w:t>20,111</w:t>
            </w:r>
          </w:p>
        </w:tc>
      </w:tr>
    </w:tbl>
    <w:p w14:paraId="4C7EC5E8" w14:textId="2C377BA3" w:rsidR="00E81833" w:rsidRPr="00154B37" w:rsidRDefault="00B73788" w:rsidP="005B6B2D">
      <w:pPr>
        <w:spacing w:before="60"/>
        <w:rPr>
          <w:rFonts w:ascii="Public Sans" w:hAnsi="Public Sans"/>
          <w:sz w:val="16"/>
          <w:szCs w:val="16"/>
          <w:lang w:val="en-AU"/>
        </w:rPr>
      </w:pPr>
      <w:r w:rsidRPr="00154B37">
        <w:rPr>
          <w:rFonts w:ascii="Public Sans" w:hAnsi="Public Sans"/>
          <w:sz w:val="16"/>
          <w:szCs w:val="16"/>
          <w:lang w:val="en-AU"/>
        </w:rPr>
        <w:t>n.a = not available</w:t>
      </w:r>
    </w:p>
    <w:p w14:paraId="282C2694" w14:textId="466367D5" w:rsidR="00F921F9" w:rsidRDefault="00F921F9" w:rsidP="00EA0E06">
      <w:pPr>
        <w:pStyle w:val="BodyText"/>
      </w:pPr>
    </w:p>
    <w:sectPr w:rsidR="00F921F9" w:rsidSect="000264F5">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8F347" w14:textId="77777777" w:rsidR="00C8048B" w:rsidRDefault="00C8048B">
      <w:r>
        <w:separator/>
      </w:r>
    </w:p>
  </w:endnote>
  <w:endnote w:type="continuationSeparator" w:id="0">
    <w:p w14:paraId="27C27912" w14:textId="77777777" w:rsidR="00C8048B" w:rsidRDefault="00C8048B">
      <w:r>
        <w:continuationSeparator/>
      </w:r>
    </w:p>
  </w:endnote>
  <w:endnote w:type="continuationNotice" w:id="1">
    <w:p w14:paraId="4D283F18" w14:textId="77777777" w:rsidR="00C8048B" w:rsidRDefault="00C80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6785" w14:textId="2EB4E1BF" w:rsidR="0013162D" w:rsidRPr="007F240F" w:rsidRDefault="00277A6C" w:rsidP="005B6B2D">
    <w:pPr>
      <w:pBdr>
        <w:top w:val="single" w:sz="4" w:space="4" w:color="auto"/>
      </w:pBdr>
      <w:tabs>
        <w:tab w:val="right" w:pos="9639"/>
      </w:tabs>
      <w:rPr>
        <w:rFonts w:ascii="Arial" w:hAnsi="Arial" w:cs="Arial"/>
        <w:snapToGrid w:val="0"/>
        <w:sz w:val="18"/>
        <w:szCs w:val="18"/>
        <w:lang w:val="en-AU"/>
      </w:rPr>
    </w:pPr>
    <w:r w:rsidRPr="007F240F">
      <w:rPr>
        <w:rFonts w:ascii="Public Sans" w:hAnsi="Public Sans" w:cs="Arial"/>
        <w:sz w:val="18"/>
        <w:szCs w:val="18"/>
      </w:rPr>
      <w:t xml:space="preserve">4 - </w:t>
    </w:r>
    <w:r w:rsidRPr="007F240F">
      <w:rPr>
        <w:rFonts w:ascii="Public Sans" w:hAnsi="Public Sans" w:cs="Arial"/>
        <w:sz w:val="18"/>
        <w:szCs w:val="18"/>
      </w:rPr>
      <w:fldChar w:fldCharType="begin"/>
    </w:r>
    <w:r w:rsidRPr="007F240F">
      <w:rPr>
        <w:rFonts w:ascii="Public Sans" w:hAnsi="Public Sans" w:cs="Arial"/>
        <w:sz w:val="18"/>
        <w:szCs w:val="18"/>
      </w:rPr>
      <w:instrText xml:space="preserve"> PAGE   \* MERGEFORMAT </w:instrText>
    </w:r>
    <w:r w:rsidRPr="007F240F">
      <w:rPr>
        <w:rFonts w:ascii="Public Sans" w:hAnsi="Public Sans" w:cs="Arial"/>
        <w:sz w:val="18"/>
        <w:szCs w:val="18"/>
      </w:rPr>
      <w:fldChar w:fldCharType="separate"/>
    </w:r>
    <w:r w:rsidRPr="007F240F">
      <w:rPr>
        <w:rFonts w:ascii="Public Sans" w:hAnsi="Public Sans" w:cs="Arial"/>
        <w:sz w:val="18"/>
        <w:szCs w:val="18"/>
      </w:rPr>
      <w:t>2</w:t>
    </w:r>
    <w:r w:rsidRPr="007F240F">
      <w:rPr>
        <w:rFonts w:ascii="Public Sans" w:hAnsi="Public Sans" w:cs="Arial"/>
        <w:noProof/>
        <w:sz w:val="18"/>
        <w:szCs w:val="18"/>
      </w:rPr>
      <w:fldChar w:fldCharType="end"/>
    </w:r>
    <w:r w:rsidRPr="007F240F">
      <w:rPr>
        <w:rFonts w:ascii="Public Sans" w:hAnsi="Public Sans" w:cs="Arial"/>
        <w:noProof/>
        <w:sz w:val="18"/>
        <w:szCs w:val="18"/>
      </w:rPr>
      <w:tab/>
    </w:r>
    <w:r w:rsidR="006447E1" w:rsidRPr="007F240F">
      <w:rPr>
        <w:rFonts w:ascii="Public Sans" w:hAnsi="Public Sans" w:cs="Arial"/>
        <w:sz w:val="18"/>
        <w:szCs w:val="18"/>
      </w:rPr>
      <w:t xml:space="preserve">2025-26 </w:t>
    </w:r>
    <w:r w:rsidRPr="007F240F">
      <w:rPr>
        <w:rFonts w:ascii="Public Sans" w:hAnsi="Public Sans" w:cs="Arial"/>
        <w:sz w:val="18"/>
        <w:szCs w:val="18"/>
      </w:rPr>
      <w:t xml:space="preserve">Budget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6D46" w14:textId="5D2EE912" w:rsidR="0013162D" w:rsidRPr="0013162D" w:rsidRDefault="006447E1" w:rsidP="005B6B2D">
    <w:pPr>
      <w:pBdr>
        <w:top w:val="single" w:sz="4" w:space="4" w:color="auto"/>
      </w:pBdr>
      <w:tabs>
        <w:tab w:val="right" w:pos="9639"/>
      </w:tabs>
      <w:rPr>
        <w:rFonts w:ascii="Arial" w:hAnsi="Arial" w:cs="Arial"/>
        <w:snapToGrid w:val="0"/>
        <w:sz w:val="10"/>
        <w:szCs w:val="12"/>
        <w:lang w:val="en-AU"/>
      </w:rPr>
    </w:pPr>
    <w:r w:rsidRPr="004E0645">
      <w:rPr>
        <w:rFonts w:ascii="Public Sans" w:hAnsi="Public Sans" w:cs="Arial"/>
        <w:sz w:val="18"/>
        <w:szCs w:val="18"/>
      </w:rPr>
      <w:t>202</w:t>
    </w:r>
    <w:r>
      <w:rPr>
        <w:rFonts w:ascii="Public Sans" w:hAnsi="Public Sans" w:cs="Arial"/>
        <w:sz w:val="18"/>
        <w:szCs w:val="18"/>
      </w:rPr>
      <w:t>5</w:t>
    </w:r>
    <w:r w:rsidRPr="004E0645">
      <w:rPr>
        <w:rFonts w:ascii="Public Sans" w:hAnsi="Public Sans" w:cs="Arial"/>
        <w:sz w:val="18"/>
        <w:szCs w:val="18"/>
      </w:rPr>
      <w:t>-2</w:t>
    </w:r>
    <w:r>
      <w:rPr>
        <w:rFonts w:ascii="Public Sans" w:hAnsi="Public Sans" w:cs="Arial"/>
        <w:sz w:val="18"/>
        <w:szCs w:val="18"/>
      </w:rPr>
      <w:t xml:space="preserve">6 </w:t>
    </w:r>
    <w:r w:rsidR="006A1424" w:rsidRPr="004E0645">
      <w:rPr>
        <w:rFonts w:ascii="Public Sans" w:hAnsi="Public Sans" w:cs="Arial"/>
        <w:sz w:val="18"/>
        <w:szCs w:val="18"/>
      </w:rPr>
      <w:t>Budget Statement</w:t>
    </w:r>
    <w:r w:rsidR="006A1424" w:rsidRPr="004E0645">
      <w:rPr>
        <w:rFonts w:ascii="Public Sans" w:hAnsi="Public Sans" w:cs="Arial"/>
        <w:sz w:val="18"/>
        <w:szCs w:val="18"/>
      </w:rPr>
      <w:tab/>
    </w:r>
    <w:r w:rsidR="006A1424">
      <w:rPr>
        <w:rFonts w:ascii="Public Sans" w:hAnsi="Public Sans" w:cs="Arial"/>
        <w:sz w:val="18"/>
        <w:szCs w:val="18"/>
      </w:rPr>
      <w:t>4</w:t>
    </w:r>
    <w:r w:rsidR="006A1424" w:rsidRPr="004E0645">
      <w:rPr>
        <w:rFonts w:ascii="Public Sans" w:hAnsi="Public Sans" w:cs="Arial"/>
        <w:sz w:val="18"/>
        <w:szCs w:val="18"/>
      </w:rPr>
      <w:t xml:space="preserve"> - </w:t>
    </w:r>
    <w:r w:rsidR="006A1424" w:rsidRPr="004E0645">
      <w:rPr>
        <w:rFonts w:ascii="Public Sans" w:hAnsi="Public Sans" w:cs="Arial"/>
        <w:sz w:val="18"/>
        <w:szCs w:val="18"/>
      </w:rPr>
      <w:fldChar w:fldCharType="begin"/>
    </w:r>
    <w:r w:rsidR="006A1424" w:rsidRPr="004E0645">
      <w:rPr>
        <w:rFonts w:ascii="Public Sans" w:hAnsi="Public Sans" w:cs="Arial"/>
        <w:sz w:val="18"/>
        <w:szCs w:val="18"/>
      </w:rPr>
      <w:instrText xml:space="preserve"> PAGE   \* MERGEFORMAT </w:instrText>
    </w:r>
    <w:r w:rsidR="006A1424" w:rsidRPr="004E0645">
      <w:rPr>
        <w:rFonts w:ascii="Public Sans" w:hAnsi="Public Sans" w:cs="Arial"/>
        <w:sz w:val="18"/>
        <w:szCs w:val="18"/>
      </w:rPr>
      <w:fldChar w:fldCharType="separate"/>
    </w:r>
    <w:r w:rsidR="006A1424">
      <w:rPr>
        <w:rFonts w:ascii="Public Sans" w:hAnsi="Public Sans" w:cs="Arial"/>
        <w:sz w:val="18"/>
        <w:szCs w:val="18"/>
      </w:rPr>
      <w:t>1</w:t>
    </w:r>
    <w:r w:rsidR="006A1424" w:rsidRPr="004E0645">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B65F" w14:textId="2B8EAE71" w:rsidR="002700AB" w:rsidRPr="007F240F" w:rsidRDefault="006447E1" w:rsidP="005B6B2D">
    <w:pPr>
      <w:pBdr>
        <w:top w:val="single" w:sz="4" w:space="4" w:color="auto"/>
      </w:pBdr>
      <w:tabs>
        <w:tab w:val="right" w:pos="9639"/>
      </w:tabs>
      <w:rPr>
        <w:rFonts w:ascii="Public Sans" w:hAnsi="Public Sans" w:cs="Arial"/>
        <w:sz w:val="10"/>
        <w:szCs w:val="12"/>
      </w:rPr>
    </w:pPr>
    <w:r w:rsidRPr="007F240F">
      <w:rPr>
        <w:rFonts w:ascii="Public Sans" w:hAnsi="Public Sans" w:cs="Arial"/>
        <w:sz w:val="18"/>
        <w:szCs w:val="18"/>
      </w:rPr>
      <w:t xml:space="preserve">2025-26 </w:t>
    </w:r>
    <w:r w:rsidR="002700AB" w:rsidRPr="007F240F">
      <w:rPr>
        <w:rFonts w:ascii="Public Sans" w:hAnsi="Public Sans" w:cs="Arial"/>
        <w:sz w:val="18"/>
        <w:szCs w:val="18"/>
      </w:rPr>
      <w:t>Budget Statement</w:t>
    </w:r>
    <w:r w:rsidR="002700AB" w:rsidRPr="007F240F">
      <w:rPr>
        <w:rFonts w:ascii="Public Sans" w:hAnsi="Public Sans" w:cs="Arial"/>
        <w:sz w:val="18"/>
        <w:szCs w:val="18"/>
      </w:rPr>
      <w:tab/>
      <w:t xml:space="preserve">4 - </w:t>
    </w:r>
    <w:r w:rsidR="002700AB" w:rsidRPr="007F240F">
      <w:rPr>
        <w:rFonts w:ascii="Public Sans" w:hAnsi="Public Sans" w:cs="Arial"/>
        <w:sz w:val="18"/>
        <w:szCs w:val="18"/>
      </w:rPr>
      <w:fldChar w:fldCharType="begin"/>
    </w:r>
    <w:r w:rsidR="002700AB" w:rsidRPr="007F240F">
      <w:rPr>
        <w:rFonts w:ascii="Public Sans" w:hAnsi="Public Sans" w:cs="Arial"/>
        <w:sz w:val="18"/>
        <w:szCs w:val="18"/>
      </w:rPr>
      <w:instrText xml:space="preserve"> PAGE   \* MERGEFORMAT </w:instrText>
    </w:r>
    <w:r w:rsidR="002700AB" w:rsidRPr="007F240F">
      <w:rPr>
        <w:rFonts w:ascii="Public Sans" w:hAnsi="Public Sans" w:cs="Arial"/>
        <w:sz w:val="18"/>
        <w:szCs w:val="18"/>
      </w:rPr>
      <w:fldChar w:fldCharType="separate"/>
    </w:r>
    <w:r w:rsidR="002700AB" w:rsidRPr="007F240F">
      <w:rPr>
        <w:rFonts w:ascii="Public Sans" w:hAnsi="Public Sans" w:cs="Arial"/>
        <w:sz w:val="18"/>
        <w:szCs w:val="18"/>
      </w:rPr>
      <w:t>3</w:t>
    </w:r>
    <w:r w:rsidR="002700AB" w:rsidRPr="007F240F">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E4C11" w14:textId="77777777" w:rsidR="00C8048B" w:rsidRDefault="00C8048B">
      <w:pPr>
        <w:spacing w:before="120"/>
      </w:pPr>
      <w:r>
        <w:separator/>
      </w:r>
    </w:p>
  </w:footnote>
  <w:footnote w:type="continuationSeparator" w:id="0">
    <w:p w14:paraId="52ED37EF" w14:textId="77777777" w:rsidR="00C8048B" w:rsidRDefault="00C8048B">
      <w:pPr>
        <w:spacing w:before="120"/>
      </w:pPr>
      <w:r>
        <w:continuationSeparator/>
      </w:r>
    </w:p>
  </w:footnote>
  <w:footnote w:type="continuationNotice" w:id="1">
    <w:p w14:paraId="7F357689" w14:textId="77777777" w:rsidR="00C8048B" w:rsidRDefault="00C8048B">
      <w:pPr>
        <w:rPr>
          <w:sz w:val="16"/>
        </w:rPr>
      </w:pPr>
    </w:p>
  </w:footnote>
  <w:footnote w:id="2">
    <w:p w14:paraId="32FD66E6" w14:textId="71D8EF07" w:rsidR="00AF2C4B" w:rsidRPr="00241899" w:rsidRDefault="00AF2C4B" w:rsidP="00A160FD">
      <w:pPr>
        <w:spacing w:before="20" w:after="60"/>
        <w:ind w:left="709" w:hanging="284"/>
        <w:rPr>
          <w:rFonts w:ascii="Public Sans" w:hAnsi="Public Sans"/>
          <w:sz w:val="16"/>
          <w:szCs w:val="16"/>
        </w:rPr>
      </w:pPr>
      <w:r w:rsidRPr="00241899">
        <w:rPr>
          <w:rStyle w:val="FootnoteReference"/>
          <w:rFonts w:ascii="Public Sans" w:hAnsi="Public Sans"/>
          <w:sz w:val="16"/>
          <w:szCs w:val="16"/>
          <w:lang w:val="en-AU"/>
        </w:rPr>
        <w:footnoteRef/>
      </w:r>
      <w:r w:rsidR="7A002C33" w:rsidRPr="00241899">
        <w:rPr>
          <w:rStyle w:val="FootnoteReference"/>
          <w:rFonts w:ascii="Public Sans" w:hAnsi="Public Sans"/>
          <w:sz w:val="16"/>
          <w:szCs w:val="16"/>
          <w:lang w:val="en-AU"/>
        </w:rPr>
        <w:t xml:space="preserve"> </w:t>
      </w:r>
      <w:r w:rsidR="00241899">
        <w:rPr>
          <w:rFonts w:ascii="Public Sans" w:hAnsi="Public Sans"/>
          <w:sz w:val="16"/>
          <w:szCs w:val="16"/>
          <w:lang w:val="en-AU"/>
        </w:rPr>
        <w:tab/>
      </w:r>
      <w:r w:rsidR="7A002C33" w:rsidRPr="00241899">
        <w:rPr>
          <w:rStyle w:val="FootnoteReference"/>
          <w:rFonts w:ascii="Public Sans" w:hAnsi="Public Sans"/>
          <w:sz w:val="16"/>
          <w:szCs w:val="16"/>
          <w:vertAlign w:val="baseline"/>
          <w:lang w:val="en-AU"/>
        </w:rPr>
        <w:t>This figure excludes provision</w:t>
      </w:r>
      <w:r w:rsidR="00680277" w:rsidRPr="00241899">
        <w:rPr>
          <w:rFonts w:ascii="Public Sans" w:hAnsi="Public Sans"/>
          <w:sz w:val="16"/>
          <w:szCs w:val="16"/>
        </w:rPr>
        <w:t>s</w:t>
      </w:r>
      <w:r w:rsidR="7A002C33" w:rsidRPr="00241899">
        <w:rPr>
          <w:rStyle w:val="FootnoteReference"/>
          <w:rFonts w:ascii="Public Sans" w:hAnsi="Public Sans"/>
          <w:sz w:val="16"/>
          <w:szCs w:val="16"/>
          <w:vertAlign w:val="baseline"/>
          <w:lang w:val="en-AU"/>
        </w:rPr>
        <w:t xml:space="preserve"> taken at</w:t>
      </w:r>
      <w:r w:rsidR="00794DBC">
        <w:rPr>
          <w:rFonts w:ascii="Public Sans" w:hAnsi="Public Sans"/>
          <w:sz w:val="16"/>
          <w:szCs w:val="16"/>
          <w:lang w:val="en-AU"/>
        </w:rPr>
        <w:t xml:space="preserve"> the</w:t>
      </w:r>
      <w:r w:rsidR="7A002C33" w:rsidRPr="00241899">
        <w:rPr>
          <w:rStyle w:val="FootnoteReference"/>
          <w:rFonts w:ascii="Public Sans" w:hAnsi="Public Sans"/>
          <w:sz w:val="16"/>
          <w:szCs w:val="16"/>
          <w:vertAlign w:val="baseline"/>
          <w:lang w:val="en-AU"/>
        </w:rPr>
        <w:t xml:space="preserve"> 2024-25 Half-Yearly Review to account for the impacts on workers’ compensation </w:t>
      </w:r>
      <w:r w:rsidR="00C054E7" w:rsidRPr="00241899">
        <w:rPr>
          <w:rFonts w:ascii="Public Sans" w:hAnsi="Public Sans"/>
          <w:sz w:val="16"/>
          <w:szCs w:val="16"/>
        </w:rPr>
        <w:t xml:space="preserve">expenses </w:t>
      </w:r>
      <w:r w:rsidR="7A002C33" w:rsidRPr="00241899">
        <w:rPr>
          <w:rFonts w:ascii="Public Sans" w:hAnsi="Public Sans"/>
          <w:sz w:val="16"/>
          <w:szCs w:val="16"/>
        </w:rPr>
        <w:t xml:space="preserve">associated with the police wage increase and reforms to the Police Officer Support Scheme. </w:t>
      </w:r>
    </w:p>
  </w:footnote>
  <w:footnote w:id="3">
    <w:p w14:paraId="2B3A2336" w14:textId="60C29877" w:rsidR="007F09C9" w:rsidRPr="004D2A06" w:rsidRDefault="007F09C9" w:rsidP="00E23B0A">
      <w:pPr>
        <w:spacing w:before="20" w:after="60"/>
        <w:ind w:left="709" w:hanging="284"/>
        <w:rPr>
          <w:rFonts w:ascii="Public Sans" w:hAnsi="Public Sans"/>
          <w:sz w:val="16"/>
          <w:szCs w:val="16"/>
        </w:rPr>
      </w:pPr>
      <w:r w:rsidRPr="004D2A06">
        <w:rPr>
          <w:rStyle w:val="FootnoteReference"/>
          <w:rFonts w:ascii="Public Sans" w:hAnsi="Public Sans"/>
          <w:sz w:val="16"/>
          <w:szCs w:val="16"/>
        </w:rPr>
        <w:footnoteRef/>
      </w:r>
      <w:r w:rsidR="7A002C33" w:rsidRPr="004D2A06">
        <w:rPr>
          <w:rStyle w:val="FootnoteReference"/>
          <w:rFonts w:ascii="Public Sans" w:hAnsi="Public Sans"/>
          <w:sz w:val="16"/>
          <w:szCs w:val="16"/>
          <w:vertAlign w:val="baseline"/>
        </w:rPr>
        <w:t xml:space="preserve"> </w:t>
      </w:r>
      <w:r w:rsidR="004D2A06">
        <w:rPr>
          <w:rFonts w:ascii="Public Sans" w:hAnsi="Public Sans"/>
          <w:sz w:val="16"/>
          <w:szCs w:val="16"/>
        </w:rPr>
        <w:tab/>
      </w:r>
      <w:r w:rsidR="7A002C33" w:rsidRPr="004D2A06">
        <w:rPr>
          <w:rStyle w:val="FootnoteReference"/>
          <w:rFonts w:ascii="Public Sans" w:hAnsi="Public Sans"/>
          <w:sz w:val="16"/>
          <w:szCs w:val="16"/>
          <w:vertAlign w:val="baseline"/>
        </w:rPr>
        <w:t xml:space="preserve">These figures exclude provisions taken at </w:t>
      </w:r>
      <w:r w:rsidR="00794DBC">
        <w:rPr>
          <w:rFonts w:ascii="Public Sans" w:hAnsi="Public Sans"/>
          <w:sz w:val="16"/>
          <w:szCs w:val="16"/>
        </w:rPr>
        <w:t xml:space="preserve">the </w:t>
      </w:r>
      <w:r w:rsidR="7A002C33" w:rsidRPr="004D2A06">
        <w:rPr>
          <w:rStyle w:val="FootnoteReference"/>
          <w:rFonts w:ascii="Public Sans" w:hAnsi="Public Sans"/>
          <w:sz w:val="16"/>
          <w:szCs w:val="16"/>
          <w:vertAlign w:val="baseline"/>
        </w:rPr>
        <w:t>2024-25 Half-Yearly Review to account for the impacts on workers’ compensation expenses associated with the police wage increase and reforms to the Police Officer Support Scheme.</w:t>
      </w:r>
      <w:r w:rsidR="7A002C33" w:rsidRPr="004D2A06">
        <w:rPr>
          <w:rFonts w:ascii="Public Sans" w:hAnsi="Public Sans"/>
          <w:sz w:val="16"/>
          <w:szCs w:val="16"/>
        </w:rPr>
        <w:t xml:space="preserve"> Reforms to workers’ compensation being considered by Parliament will impact the reporting of these figures.</w:t>
      </w:r>
    </w:p>
  </w:footnote>
  <w:footnote w:id="4">
    <w:p w14:paraId="55E21904" w14:textId="420862E0" w:rsidR="00235622" w:rsidRPr="00154B37" w:rsidRDefault="00235622" w:rsidP="00A70B77">
      <w:pPr>
        <w:pStyle w:val="Footnotestyle"/>
        <w:tabs>
          <w:tab w:val="left" w:pos="284"/>
        </w:tabs>
        <w:spacing w:before="20" w:after="60"/>
      </w:pPr>
      <w:r w:rsidRPr="007C1450">
        <w:rPr>
          <w:rStyle w:val="FootnoteReference"/>
          <w:szCs w:val="16"/>
        </w:rPr>
        <w:footnoteRef/>
      </w:r>
      <w:r w:rsidRPr="005B6B2D">
        <w:t xml:space="preserve"> </w:t>
      </w:r>
      <w:r w:rsidR="00665684">
        <w:tab/>
      </w:r>
      <w:r w:rsidRPr="005B6B2D">
        <w:t xml:space="preserve">Total </w:t>
      </w:r>
      <w:r w:rsidRPr="007C1450">
        <w:rPr>
          <w:rFonts w:cs="Arial"/>
          <w:iCs/>
          <w:color w:val="000000" w:themeColor="text1"/>
          <w:szCs w:val="16"/>
          <w:lang w:val="en-AU"/>
        </w:rPr>
        <w:t>estimated</w:t>
      </w:r>
      <w:r w:rsidRPr="005B6B2D">
        <w:t xml:space="preserve"> capital expenditure includes an allowance for the established tendency for capital expenditure to slip each year. The extent of slippage has been increasing in recent years due to market capacity constraints and supply chain disruptions. In setting the allowance, observed past slippage and broad assessments of market capacity are considered. In the</w:t>
      </w:r>
      <w:r w:rsidR="009025BC" w:rsidRPr="005B6B2D">
        <w:t xml:space="preserve"> </w:t>
      </w:r>
      <w:r w:rsidRPr="005B6B2D">
        <w:t>2025-26 Budget, this allowance for capital slippage is set at $2.5 billion in 2025-26 reducing to $1.5</w:t>
      </w:r>
      <w:r w:rsidR="00822E99">
        <w:t> </w:t>
      </w:r>
      <w:r w:rsidRPr="005B6B2D">
        <w:t>billion in 2028-29</w:t>
      </w:r>
      <w:r w:rsidRPr="00154B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67FB" w14:textId="5CCBA792" w:rsidR="00AB6E24" w:rsidRPr="003D42A2" w:rsidRDefault="00AB6E24" w:rsidP="00AB6E24">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sidRPr="003D42A2">
      <w:rPr>
        <w:rFonts w:ascii="Public Sans" w:eastAsia="Calibri" w:hAnsi="Public Sans" w:cs="Arial"/>
        <w:sz w:val="18"/>
        <w:szCs w:val="18"/>
      </w:rPr>
      <w:t xml:space="preserve">Fiscal </w:t>
    </w:r>
    <w:r w:rsidR="00BB4916">
      <w:rPr>
        <w:rFonts w:ascii="Public Sans" w:eastAsia="Calibri" w:hAnsi="Public Sans" w:cs="Arial"/>
        <w:sz w:val="18"/>
        <w:szCs w:val="18"/>
      </w:rPr>
      <w:t>s</w:t>
    </w:r>
    <w:r w:rsidRPr="003D42A2">
      <w:rPr>
        <w:rFonts w:ascii="Public Sans" w:eastAsia="Calibri" w:hAnsi="Public Sans" w:cs="Arial"/>
        <w:sz w:val="18"/>
        <w:szCs w:val="18"/>
      </w:rPr>
      <w:t xml:space="preserve">trategy and </w:t>
    </w:r>
    <w:r w:rsidR="00BB4916">
      <w:rPr>
        <w:rFonts w:ascii="Public Sans" w:eastAsia="Calibri" w:hAnsi="Public Sans" w:cs="Arial"/>
        <w:sz w:val="18"/>
        <w:szCs w:val="18"/>
      </w:rPr>
      <w:t>o</w:t>
    </w:r>
    <w:r w:rsidRPr="003D42A2">
      <w:rPr>
        <w:rFonts w:ascii="Public Sans" w:eastAsia="Calibri" w:hAnsi="Public Sans" w:cs="Arial"/>
        <w:sz w:val="18"/>
        <w:szCs w:val="18"/>
      </w:rPr>
      <w:t>utlook</w:t>
    </w:r>
  </w:p>
  <w:p w14:paraId="7EA34893" w14:textId="77777777" w:rsidR="005A27AF" w:rsidRDefault="005A2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AC76" w14:textId="6A3924C1" w:rsidR="00441BD1" w:rsidRPr="003D42A2" w:rsidRDefault="00441BD1" w:rsidP="006A1424">
    <w:pPr>
      <w:pBdr>
        <w:bottom w:val="single" w:sz="4" w:space="4" w:color="auto"/>
      </w:pBdr>
      <w:tabs>
        <w:tab w:val="center" w:pos="4153"/>
        <w:tab w:val="right" w:pos="8306"/>
      </w:tabs>
      <w:spacing w:line="192" w:lineRule="auto"/>
      <w:contextualSpacing/>
      <w:jc w:val="right"/>
      <w:rPr>
        <w:rFonts w:ascii="Public Sans" w:eastAsia="Calibri" w:hAnsi="Public Sans" w:cs="Arial"/>
        <w:sz w:val="18"/>
        <w:szCs w:val="18"/>
      </w:rPr>
    </w:pPr>
    <w:r w:rsidRPr="003D42A2">
      <w:rPr>
        <w:rFonts w:ascii="Public Sans" w:eastAsia="Calibri" w:hAnsi="Public Sans" w:cs="Arial"/>
        <w:sz w:val="18"/>
        <w:szCs w:val="18"/>
      </w:rPr>
      <w:t xml:space="preserve">Fiscal </w:t>
    </w:r>
    <w:r w:rsidR="00BB4916">
      <w:rPr>
        <w:rFonts w:ascii="Public Sans" w:eastAsia="Calibri" w:hAnsi="Public Sans" w:cs="Arial"/>
        <w:sz w:val="18"/>
        <w:szCs w:val="18"/>
      </w:rPr>
      <w:t>s</w:t>
    </w:r>
    <w:r w:rsidRPr="003D42A2">
      <w:rPr>
        <w:rFonts w:ascii="Public Sans" w:eastAsia="Calibri" w:hAnsi="Public Sans" w:cs="Arial"/>
        <w:sz w:val="18"/>
        <w:szCs w:val="18"/>
      </w:rPr>
      <w:t xml:space="preserve">trategy and </w:t>
    </w:r>
    <w:r w:rsidR="00BB4916">
      <w:rPr>
        <w:rFonts w:ascii="Public Sans" w:eastAsia="Calibri" w:hAnsi="Public Sans" w:cs="Arial"/>
        <w:sz w:val="18"/>
        <w:szCs w:val="18"/>
      </w:rPr>
      <w:t>o</w:t>
    </w:r>
    <w:r w:rsidRPr="003D42A2">
      <w:rPr>
        <w:rFonts w:ascii="Public Sans" w:eastAsia="Calibri" w:hAnsi="Public Sans" w:cs="Arial"/>
        <w:sz w:val="18"/>
        <w:szCs w:val="18"/>
      </w:rPr>
      <w:t>utlook</w:t>
    </w:r>
  </w:p>
  <w:p w14:paraId="5C9F1AEA" w14:textId="77777777" w:rsidR="005A27AF" w:rsidRDefault="005A2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C9DF" w14:textId="6CF008E9" w:rsidR="002812FB" w:rsidRDefault="002812FB" w:rsidP="008A59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6"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606A9A"/>
    <w:multiLevelType w:val="hybridMultilevel"/>
    <w:tmpl w:val="0AEECC9C"/>
    <w:lvl w:ilvl="0" w:tplc="1A1CE80C">
      <w:start w:val="1"/>
      <w:numFmt w:val="lowerLetter"/>
      <w:lvlText w:val="(%1)"/>
      <w:lvlJc w:val="left"/>
      <w:pPr>
        <w:ind w:left="720" w:hanging="360"/>
      </w:pPr>
      <w:rPr>
        <w:rFonts w:ascii="Public Sans" w:hAnsi="Public San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9"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D55888"/>
    <w:multiLevelType w:val="hybridMultilevel"/>
    <w:tmpl w:val="6BD2EC92"/>
    <w:lvl w:ilvl="0" w:tplc="1AEC3B50">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4"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38"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3"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90D3232"/>
    <w:multiLevelType w:val="hybridMultilevel"/>
    <w:tmpl w:val="868E9D76"/>
    <w:lvl w:ilvl="0" w:tplc="321E080C">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2"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1562A08"/>
    <w:multiLevelType w:val="hybridMultilevel"/>
    <w:tmpl w:val="5E1EFE3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7"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5D6282E"/>
    <w:multiLevelType w:val="hybridMultilevel"/>
    <w:tmpl w:val="AA10A754"/>
    <w:lvl w:ilvl="0" w:tplc="80E09D80">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0"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9D174D9"/>
    <w:multiLevelType w:val="hybridMultilevel"/>
    <w:tmpl w:val="52F29EA4"/>
    <w:lvl w:ilvl="0" w:tplc="DE6A0CD6">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325578F"/>
    <w:multiLevelType w:val="hybridMultilevel"/>
    <w:tmpl w:val="B93A9A64"/>
    <w:lvl w:ilvl="0" w:tplc="11F41EBE">
      <w:start w:val="1"/>
      <w:numFmt w:val="decimal"/>
      <w:pStyle w:val="Chart8X"/>
      <w:lvlText w:val="Chart 8.%1:"/>
      <w:lvlJc w:val="left"/>
      <w:pPr>
        <w:ind w:left="72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2"/>
  </w:num>
  <w:num w:numId="2" w16cid:durableId="255671717">
    <w:abstractNumId w:val="29"/>
  </w:num>
  <w:num w:numId="3" w16cid:durableId="944921910">
    <w:abstractNumId w:val="76"/>
  </w:num>
  <w:num w:numId="4" w16cid:durableId="138966501">
    <w:abstractNumId w:val="47"/>
  </w:num>
  <w:num w:numId="5" w16cid:durableId="656809923">
    <w:abstractNumId w:val="28"/>
  </w:num>
  <w:num w:numId="6" w16cid:durableId="569657645">
    <w:abstractNumId w:val="42"/>
  </w:num>
  <w:num w:numId="7" w16cid:durableId="245574238">
    <w:abstractNumId w:val="41"/>
  </w:num>
  <w:num w:numId="8" w16cid:durableId="188878145">
    <w:abstractNumId w:val="60"/>
  </w:num>
  <w:num w:numId="9" w16cid:durableId="391320423">
    <w:abstractNumId w:val="31"/>
  </w:num>
  <w:num w:numId="10" w16cid:durableId="742064803">
    <w:abstractNumId w:val="2"/>
  </w:num>
  <w:num w:numId="11" w16cid:durableId="1393775218">
    <w:abstractNumId w:val="45"/>
  </w:num>
  <w:num w:numId="12" w16cid:durableId="411241496">
    <w:abstractNumId w:val="74"/>
  </w:num>
  <w:num w:numId="13" w16cid:durableId="394359246">
    <w:abstractNumId w:val="23"/>
  </w:num>
  <w:num w:numId="14" w16cid:durableId="850683154">
    <w:abstractNumId w:val="75"/>
  </w:num>
  <w:num w:numId="15" w16cid:durableId="1868331908">
    <w:abstractNumId w:val="51"/>
  </w:num>
  <w:num w:numId="16" w16cid:durableId="1290091537">
    <w:abstractNumId w:val="88"/>
  </w:num>
  <w:num w:numId="17" w16cid:durableId="542593098">
    <w:abstractNumId w:val="53"/>
  </w:num>
  <w:num w:numId="18" w16cid:durableId="1553082212">
    <w:abstractNumId w:val="77"/>
  </w:num>
  <w:num w:numId="19" w16cid:durableId="1807233844">
    <w:abstractNumId w:val="0"/>
  </w:num>
  <w:num w:numId="20" w16cid:durableId="520625010">
    <w:abstractNumId w:val="48"/>
  </w:num>
  <w:num w:numId="21" w16cid:durableId="604308429">
    <w:abstractNumId w:val="38"/>
  </w:num>
  <w:num w:numId="22" w16cid:durableId="158927636">
    <w:abstractNumId w:val="72"/>
  </w:num>
  <w:num w:numId="23" w16cid:durableId="999962685">
    <w:abstractNumId w:val="55"/>
  </w:num>
  <w:num w:numId="24" w16cid:durableId="950090191">
    <w:abstractNumId w:val="70"/>
  </w:num>
  <w:num w:numId="25" w16cid:durableId="87895317">
    <w:abstractNumId w:val="37"/>
  </w:num>
  <w:num w:numId="26" w16cid:durableId="727800497">
    <w:abstractNumId w:val="39"/>
  </w:num>
  <w:num w:numId="27" w16cid:durableId="613026023">
    <w:abstractNumId w:val="79"/>
  </w:num>
  <w:num w:numId="28" w16cid:durableId="1229460431">
    <w:abstractNumId w:val="34"/>
  </w:num>
  <w:num w:numId="29" w16cid:durableId="1433208727">
    <w:abstractNumId w:val="46"/>
  </w:num>
  <w:num w:numId="30" w16cid:durableId="1765496755">
    <w:abstractNumId w:val="87"/>
  </w:num>
  <w:num w:numId="31" w16cid:durableId="1055085254">
    <w:abstractNumId w:val="63"/>
  </w:num>
  <w:num w:numId="32" w16cid:durableId="761806013">
    <w:abstractNumId w:val="58"/>
  </w:num>
  <w:num w:numId="33" w16cid:durableId="1453789243">
    <w:abstractNumId w:val="1"/>
  </w:num>
  <w:num w:numId="34" w16cid:durableId="1617979971">
    <w:abstractNumId w:val="36"/>
  </w:num>
  <w:num w:numId="35" w16cid:durableId="1270621810">
    <w:abstractNumId w:val="50"/>
  </w:num>
  <w:num w:numId="36" w16cid:durableId="783966971">
    <w:abstractNumId w:val="24"/>
  </w:num>
  <w:num w:numId="37" w16cid:durableId="2135782715">
    <w:abstractNumId w:val="19"/>
  </w:num>
  <w:num w:numId="38" w16cid:durableId="447046910">
    <w:abstractNumId w:val="10"/>
  </w:num>
  <w:num w:numId="39" w16cid:durableId="735393617">
    <w:abstractNumId w:val="57"/>
  </w:num>
  <w:num w:numId="40" w16cid:durableId="1570767065">
    <w:abstractNumId w:val="82"/>
  </w:num>
  <w:num w:numId="41" w16cid:durableId="899943030">
    <w:abstractNumId w:val="92"/>
  </w:num>
  <w:num w:numId="42" w16cid:durableId="1962877264">
    <w:abstractNumId w:val="59"/>
  </w:num>
  <w:num w:numId="43" w16cid:durableId="796332572">
    <w:abstractNumId w:val="62"/>
  </w:num>
  <w:num w:numId="44" w16cid:durableId="1708682187">
    <w:abstractNumId w:val="15"/>
  </w:num>
  <w:num w:numId="45" w16cid:durableId="220410582">
    <w:abstractNumId w:val="89"/>
  </w:num>
  <w:num w:numId="46" w16cid:durableId="62527521">
    <w:abstractNumId w:val="85"/>
  </w:num>
  <w:num w:numId="47" w16cid:durableId="1686518500">
    <w:abstractNumId w:val="64"/>
  </w:num>
  <w:num w:numId="48" w16cid:durableId="2107460047">
    <w:abstractNumId w:val="14"/>
  </w:num>
  <w:num w:numId="49" w16cid:durableId="1140463078">
    <w:abstractNumId w:val="27"/>
  </w:num>
  <w:num w:numId="50" w16cid:durableId="1289124565">
    <w:abstractNumId w:val="43"/>
  </w:num>
  <w:num w:numId="51" w16cid:durableId="402918949">
    <w:abstractNumId w:val="67"/>
  </w:num>
  <w:num w:numId="52" w16cid:durableId="1399593453">
    <w:abstractNumId w:val="11"/>
  </w:num>
  <w:num w:numId="53" w16cid:durableId="1239706779">
    <w:abstractNumId w:val="71"/>
  </w:num>
  <w:num w:numId="54" w16cid:durableId="1147436578">
    <w:abstractNumId w:val="86"/>
  </w:num>
  <w:num w:numId="55" w16cid:durableId="1048645305">
    <w:abstractNumId w:val="30"/>
  </w:num>
  <w:num w:numId="56" w16cid:durableId="1953248666">
    <w:abstractNumId w:val="25"/>
  </w:num>
  <w:num w:numId="57" w16cid:durableId="46493347">
    <w:abstractNumId w:val="20"/>
  </w:num>
  <w:num w:numId="58" w16cid:durableId="825900618">
    <w:abstractNumId w:val="80"/>
  </w:num>
  <w:num w:numId="59" w16cid:durableId="1707755831">
    <w:abstractNumId w:val="4"/>
  </w:num>
  <w:num w:numId="60" w16cid:durableId="85998868">
    <w:abstractNumId w:val="90"/>
  </w:num>
  <w:num w:numId="61" w16cid:durableId="1601452920">
    <w:abstractNumId w:val="73"/>
  </w:num>
  <w:num w:numId="62" w16cid:durableId="401414469">
    <w:abstractNumId w:val="44"/>
  </w:num>
  <w:num w:numId="63" w16cid:durableId="878476084">
    <w:abstractNumId w:val="65"/>
  </w:num>
  <w:num w:numId="64" w16cid:durableId="103232878">
    <w:abstractNumId w:val="61"/>
  </w:num>
  <w:num w:numId="65" w16cid:durableId="2057580741">
    <w:abstractNumId w:val="6"/>
  </w:num>
  <w:num w:numId="66" w16cid:durableId="1207178984">
    <w:abstractNumId w:val="5"/>
  </w:num>
  <w:num w:numId="67" w16cid:durableId="1444154533">
    <w:abstractNumId w:val="56"/>
  </w:num>
  <w:num w:numId="68" w16cid:durableId="517892986">
    <w:abstractNumId w:val="33"/>
  </w:num>
  <w:num w:numId="69" w16cid:durableId="836968643">
    <w:abstractNumId w:val="16"/>
  </w:num>
  <w:num w:numId="70" w16cid:durableId="695280043">
    <w:abstractNumId w:val="13"/>
  </w:num>
  <w:num w:numId="71" w16cid:durableId="599413421">
    <w:abstractNumId w:val="18"/>
  </w:num>
  <w:num w:numId="72" w16cid:durableId="183373765">
    <w:abstractNumId w:val="52"/>
  </w:num>
  <w:num w:numId="73" w16cid:durableId="824593350">
    <w:abstractNumId w:val="83"/>
  </w:num>
  <w:num w:numId="74" w16cid:durableId="803278928">
    <w:abstractNumId w:val="32"/>
  </w:num>
  <w:num w:numId="75" w16cid:durableId="32929676">
    <w:abstractNumId w:val="12"/>
  </w:num>
  <w:num w:numId="76" w16cid:durableId="443156701">
    <w:abstractNumId w:val="26"/>
  </w:num>
  <w:num w:numId="77" w16cid:durableId="1209486655">
    <w:abstractNumId w:val="7"/>
  </w:num>
  <w:num w:numId="78" w16cid:durableId="929509220">
    <w:abstractNumId w:val="81"/>
  </w:num>
  <w:num w:numId="79" w16cid:durableId="1173184454">
    <w:abstractNumId w:val="21"/>
  </w:num>
  <w:num w:numId="80" w16cid:durableId="140195891">
    <w:abstractNumId w:val="35"/>
  </w:num>
  <w:num w:numId="81" w16cid:durableId="865796964">
    <w:abstractNumId w:val="3"/>
  </w:num>
  <w:num w:numId="82" w16cid:durableId="916743036">
    <w:abstractNumId w:val="8"/>
  </w:num>
  <w:num w:numId="83" w16cid:durableId="1447115474">
    <w:abstractNumId w:val="91"/>
  </w:num>
  <w:num w:numId="84" w16cid:durableId="1041975083">
    <w:abstractNumId w:val="17"/>
  </w:num>
  <w:num w:numId="85" w16cid:durableId="123891229">
    <w:abstractNumId w:val="78"/>
  </w:num>
  <w:num w:numId="86" w16cid:durableId="641009776">
    <w:abstractNumId w:val="66"/>
  </w:num>
  <w:num w:numId="87" w16cid:durableId="1940676276">
    <w:abstractNumId w:val="84"/>
  </w:num>
  <w:num w:numId="88" w16cid:durableId="2109690733">
    <w:abstractNumId w:val="40"/>
  </w:num>
  <w:num w:numId="89" w16cid:durableId="92363650">
    <w:abstractNumId w:val="49"/>
  </w:num>
  <w:num w:numId="90" w16cid:durableId="844783594">
    <w:abstractNumId w:val="69"/>
  </w:num>
  <w:num w:numId="91" w16cid:durableId="398283939">
    <w:abstractNumId w:val="54"/>
  </w:num>
  <w:num w:numId="92" w16cid:durableId="113401721">
    <w:abstractNumId w:val="9"/>
  </w:num>
  <w:num w:numId="93" w16cid:durableId="1503007527">
    <w:abstractNumId w:val="68"/>
  </w:num>
  <w:num w:numId="94" w16cid:durableId="1225608175">
    <w:abstractNumId w:val="72"/>
  </w:num>
  <w:num w:numId="95" w16cid:durableId="966207455">
    <w:abstractNumId w:val="88"/>
  </w:num>
  <w:num w:numId="96" w16cid:durableId="389185320">
    <w:abstractNumId w:val="5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A0"/>
    <w:rsid w:val="00000C60"/>
    <w:rsid w:val="00000E66"/>
    <w:rsid w:val="000012DF"/>
    <w:rsid w:val="000015AB"/>
    <w:rsid w:val="0000197B"/>
    <w:rsid w:val="000020FF"/>
    <w:rsid w:val="00002763"/>
    <w:rsid w:val="00002C9A"/>
    <w:rsid w:val="00002D4D"/>
    <w:rsid w:val="00003099"/>
    <w:rsid w:val="000032F6"/>
    <w:rsid w:val="00003DED"/>
    <w:rsid w:val="000046A0"/>
    <w:rsid w:val="00004731"/>
    <w:rsid w:val="00004FF3"/>
    <w:rsid w:val="0000519E"/>
    <w:rsid w:val="000055EA"/>
    <w:rsid w:val="00005B63"/>
    <w:rsid w:val="00006735"/>
    <w:rsid w:val="00006EFB"/>
    <w:rsid w:val="00007AB6"/>
    <w:rsid w:val="00007E0B"/>
    <w:rsid w:val="00010224"/>
    <w:rsid w:val="00010CAC"/>
    <w:rsid w:val="00010D33"/>
    <w:rsid w:val="00010D7E"/>
    <w:rsid w:val="000114C1"/>
    <w:rsid w:val="00011C9B"/>
    <w:rsid w:val="000121F0"/>
    <w:rsid w:val="0001268F"/>
    <w:rsid w:val="00012A83"/>
    <w:rsid w:val="0001319A"/>
    <w:rsid w:val="0001348C"/>
    <w:rsid w:val="0001376C"/>
    <w:rsid w:val="00013BFF"/>
    <w:rsid w:val="000143FC"/>
    <w:rsid w:val="00014504"/>
    <w:rsid w:val="0001482B"/>
    <w:rsid w:val="00014DE7"/>
    <w:rsid w:val="00014E5C"/>
    <w:rsid w:val="00014ED1"/>
    <w:rsid w:val="000153CD"/>
    <w:rsid w:val="00015DFB"/>
    <w:rsid w:val="00016175"/>
    <w:rsid w:val="000162BB"/>
    <w:rsid w:val="000167B1"/>
    <w:rsid w:val="000169FD"/>
    <w:rsid w:val="00016C1A"/>
    <w:rsid w:val="00016D31"/>
    <w:rsid w:val="000177C2"/>
    <w:rsid w:val="000178D9"/>
    <w:rsid w:val="00017ED7"/>
    <w:rsid w:val="000201E4"/>
    <w:rsid w:val="00020407"/>
    <w:rsid w:val="00020DE7"/>
    <w:rsid w:val="000217CC"/>
    <w:rsid w:val="00021B9A"/>
    <w:rsid w:val="00021F0C"/>
    <w:rsid w:val="0002207A"/>
    <w:rsid w:val="000239DC"/>
    <w:rsid w:val="00023F37"/>
    <w:rsid w:val="0002419E"/>
    <w:rsid w:val="000253BE"/>
    <w:rsid w:val="00025AB0"/>
    <w:rsid w:val="0002629E"/>
    <w:rsid w:val="000263B7"/>
    <w:rsid w:val="000264F5"/>
    <w:rsid w:val="00026668"/>
    <w:rsid w:val="00026DCA"/>
    <w:rsid w:val="00026F56"/>
    <w:rsid w:val="00027068"/>
    <w:rsid w:val="000278E1"/>
    <w:rsid w:val="00027F54"/>
    <w:rsid w:val="00030212"/>
    <w:rsid w:val="000303E8"/>
    <w:rsid w:val="0003041E"/>
    <w:rsid w:val="00031267"/>
    <w:rsid w:val="000321EB"/>
    <w:rsid w:val="000326FD"/>
    <w:rsid w:val="00032D76"/>
    <w:rsid w:val="00032DF2"/>
    <w:rsid w:val="00033297"/>
    <w:rsid w:val="000336DF"/>
    <w:rsid w:val="00033761"/>
    <w:rsid w:val="0003387D"/>
    <w:rsid w:val="000347DB"/>
    <w:rsid w:val="0003545F"/>
    <w:rsid w:val="00035B28"/>
    <w:rsid w:val="00035F0D"/>
    <w:rsid w:val="00036760"/>
    <w:rsid w:val="000367AF"/>
    <w:rsid w:val="00036823"/>
    <w:rsid w:val="00037104"/>
    <w:rsid w:val="000372DF"/>
    <w:rsid w:val="000375B9"/>
    <w:rsid w:val="00037A20"/>
    <w:rsid w:val="00040210"/>
    <w:rsid w:val="000403BD"/>
    <w:rsid w:val="00040BEB"/>
    <w:rsid w:val="00041169"/>
    <w:rsid w:val="000416F3"/>
    <w:rsid w:val="00041B3C"/>
    <w:rsid w:val="00042644"/>
    <w:rsid w:val="00042BA0"/>
    <w:rsid w:val="0004375B"/>
    <w:rsid w:val="00043A56"/>
    <w:rsid w:val="00043E2D"/>
    <w:rsid w:val="00044145"/>
    <w:rsid w:val="000443B4"/>
    <w:rsid w:val="00044F64"/>
    <w:rsid w:val="000459B4"/>
    <w:rsid w:val="0004632A"/>
    <w:rsid w:val="0004659E"/>
    <w:rsid w:val="00047280"/>
    <w:rsid w:val="00047316"/>
    <w:rsid w:val="0004736F"/>
    <w:rsid w:val="000478E6"/>
    <w:rsid w:val="00047AC3"/>
    <w:rsid w:val="00047B5D"/>
    <w:rsid w:val="00047C0E"/>
    <w:rsid w:val="0005019D"/>
    <w:rsid w:val="000508C5"/>
    <w:rsid w:val="00050D20"/>
    <w:rsid w:val="00051653"/>
    <w:rsid w:val="0005185E"/>
    <w:rsid w:val="00051D96"/>
    <w:rsid w:val="00051DE2"/>
    <w:rsid w:val="00051F9E"/>
    <w:rsid w:val="00052204"/>
    <w:rsid w:val="000523D2"/>
    <w:rsid w:val="00052634"/>
    <w:rsid w:val="0005268F"/>
    <w:rsid w:val="00052CF4"/>
    <w:rsid w:val="00052E79"/>
    <w:rsid w:val="00053470"/>
    <w:rsid w:val="000542EB"/>
    <w:rsid w:val="000545A8"/>
    <w:rsid w:val="000545EA"/>
    <w:rsid w:val="00054B4B"/>
    <w:rsid w:val="00055144"/>
    <w:rsid w:val="00055B21"/>
    <w:rsid w:val="00055F3E"/>
    <w:rsid w:val="000566C7"/>
    <w:rsid w:val="00056B56"/>
    <w:rsid w:val="00056C10"/>
    <w:rsid w:val="00056CD8"/>
    <w:rsid w:val="00056D1B"/>
    <w:rsid w:val="000574C5"/>
    <w:rsid w:val="0005758A"/>
    <w:rsid w:val="00060F3A"/>
    <w:rsid w:val="0006187E"/>
    <w:rsid w:val="00061A82"/>
    <w:rsid w:val="00061B69"/>
    <w:rsid w:val="00061EA9"/>
    <w:rsid w:val="00062372"/>
    <w:rsid w:val="00062458"/>
    <w:rsid w:val="00062547"/>
    <w:rsid w:val="00062A52"/>
    <w:rsid w:val="00062CBE"/>
    <w:rsid w:val="00062D6C"/>
    <w:rsid w:val="00063BD3"/>
    <w:rsid w:val="00064481"/>
    <w:rsid w:val="0006565C"/>
    <w:rsid w:val="00065B18"/>
    <w:rsid w:val="00066AA8"/>
    <w:rsid w:val="00067132"/>
    <w:rsid w:val="00070139"/>
    <w:rsid w:val="00070159"/>
    <w:rsid w:val="00070747"/>
    <w:rsid w:val="00070A12"/>
    <w:rsid w:val="00072313"/>
    <w:rsid w:val="00072C35"/>
    <w:rsid w:val="00072F63"/>
    <w:rsid w:val="000730F4"/>
    <w:rsid w:val="00073137"/>
    <w:rsid w:val="00073A59"/>
    <w:rsid w:val="00073CE0"/>
    <w:rsid w:val="00073F58"/>
    <w:rsid w:val="000746AA"/>
    <w:rsid w:val="00074A72"/>
    <w:rsid w:val="00074CFA"/>
    <w:rsid w:val="000762C3"/>
    <w:rsid w:val="00076456"/>
    <w:rsid w:val="00076C46"/>
    <w:rsid w:val="00076F2A"/>
    <w:rsid w:val="00077039"/>
    <w:rsid w:val="0007770C"/>
    <w:rsid w:val="00077763"/>
    <w:rsid w:val="00077DC3"/>
    <w:rsid w:val="00077FE0"/>
    <w:rsid w:val="00080224"/>
    <w:rsid w:val="000802DD"/>
    <w:rsid w:val="0008030F"/>
    <w:rsid w:val="00080F8C"/>
    <w:rsid w:val="000812D5"/>
    <w:rsid w:val="00081BF9"/>
    <w:rsid w:val="000822B9"/>
    <w:rsid w:val="00082328"/>
    <w:rsid w:val="0008293D"/>
    <w:rsid w:val="00082F8C"/>
    <w:rsid w:val="00083043"/>
    <w:rsid w:val="00083258"/>
    <w:rsid w:val="00083468"/>
    <w:rsid w:val="00083C2D"/>
    <w:rsid w:val="0008436D"/>
    <w:rsid w:val="00084C97"/>
    <w:rsid w:val="0008500A"/>
    <w:rsid w:val="00085099"/>
    <w:rsid w:val="00085756"/>
    <w:rsid w:val="000857D6"/>
    <w:rsid w:val="00085B22"/>
    <w:rsid w:val="00086886"/>
    <w:rsid w:val="00086DAA"/>
    <w:rsid w:val="00087037"/>
    <w:rsid w:val="000870B1"/>
    <w:rsid w:val="00087217"/>
    <w:rsid w:val="00087286"/>
    <w:rsid w:val="000877A5"/>
    <w:rsid w:val="000903B0"/>
    <w:rsid w:val="000907F8"/>
    <w:rsid w:val="0009139B"/>
    <w:rsid w:val="0009194F"/>
    <w:rsid w:val="00091F23"/>
    <w:rsid w:val="00093720"/>
    <w:rsid w:val="00093AAA"/>
    <w:rsid w:val="000940AE"/>
    <w:rsid w:val="00094247"/>
    <w:rsid w:val="000944DA"/>
    <w:rsid w:val="00094757"/>
    <w:rsid w:val="00094766"/>
    <w:rsid w:val="0009491D"/>
    <w:rsid w:val="00094BEE"/>
    <w:rsid w:val="00095712"/>
    <w:rsid w:val="000961E1"/>
    <w:rsid w:val="00096316"/>
    <w:rsid w:val="00096A02"/>
    <w:rsid w:val="00096A1E"/>
    <w:rsid w:val="00096ACA"/>
    <w:rsid w:val="00097DCE"/>
    <w:rsid w:val="000A0468"/>
    <w:rsid w:val="000A05E1"/>
    <w:rsid w:val="000A0620"/>
    <w:rsid w:val="000A072E"/>
    <w:rsid w:val="000A07DD"/>
    <w:rsid w:val="000A0C41"/>
    <w:rsid w:val="000A0DFA"/>
    <w:rsid w:val="000A0E8C"/>
    <w:rsid w:val="000A0F31"/>
    <w:rsid w:val="000A11DF"/>
    <w:rsid w:val="000A13F1"/>
    <w:rsid w:val="000A1B2E"/>
    <w:rsid w:val="000A1E35"/>
    <w:rsid w:val="000A2037"/>
    <w:rsid w:val="000A2692"/>
    <w:rsid w:val="000A29E8"/>
    <w:rsid w:val="000A2A20"/>
    <w:rsid w:val="000A2DAE"/>
    <w:rsid w:val="000A30B4"/>
    <w:rsid w:val="000A32B1"/>
    <w:rsid w:val="000A395F"/>
    <w:rsid w:val="000A486C"/>
    <w:rsid w:val="000A4A15"/>
    <w:rsid w:val="000A5A2E"/>
    <w:rsid w:val="000A61F5"/>
    <w:rsid w:val="000A62CE"/>
    <w:rsid w:val="000A6467"/>
    <w:rsid w:val="000A6552"/>
    <w:rsid w:val="000A7228"/>
    <w:rsid w:val="000A7AD0"/>
    <w:rsid w:val="000B04FE"/>
    <w:rsid w:val="000B0D99"/>
    <w:rsid w:val="000B0EC7"/>
    <w:rsid w:val="000B1813"/>
    <w:rsid w:val="000B243F"/>
    <w:rsid w:val="000B25DD"/>
    <w:rsid w:val="000B27CD"/>
    <w:rsid w:val="000B32FD"/>
    <w:rsid w:val="000B34DD"/>
    <w:rsid w:val="000B3D39"/>
    <w:rsid w:val="000B3E9C"/>
    <w:rsid w:val="000B3EB5"/>
    <w:rsid w:val="000B494D"/>
    <w:rsid w:val="000B4ABC"/>
    <w:rsid w:val="000B4C8F"/>
    <w:rsid w:val="000B5167"/>
    <w:rsid w:val="000B5CBB"/>
    <w:rsid w:val="000B61F3"/>
    <w:rsid w:val="000B6261"/>
    <w:rsid w:val="000B6640"/>
    <w:rsid w:val="000B6B54"/>
    <w:rsid w:val="000B6B84"/>
    <w:rsid w:val="000B7896"/>
    <w:rsid w:val="000B7944"/>
    <w:rsid w:val="000B79F3"/>
    <w:rsid w:val="000B7A33"/>
    <w:rsid w:val="000B7AAF"/>
    <w:rsid w:val="000C00F4"/>
    <w:rsid w:val="000C17B3"/>
    <w:rsid w:val="000C1BAD"/>
    <w:rsid w:val="000C204F"/>
    <w:rsid w:val="000C2D87"/>
    <w:rsid w:val="000C2DFE"/>
    <w:rsid w:val="000C2E0E"/>
    <w:rsid w:val="000C2E6A"/>
    <w:rsid w:val="000C3266"/>
    <w:rsid w:val="000C4D29"/>
    <w:rsid w:val="000C5032"/>
    <w:rsid w:val="000C5079"/>
    <w:rsid w:val="000C5D77"/>
    <w:rsid w:val="000C65C1"/>
    <w:rsid w:val="000C6A51"/>
    <w:rsid w:val="000C6D06"/>
    <w:rsid w:val="000C7129"/>
    <w:rsid w:val="000C7843"/>
    <w:rsid w:val="000C7A20"/>
    <w:rsid w:val="000C7E25"/>
    <w:rsid w:val="000C7E73"/>
    <w:rsid w:val="000D0347"/>
    <w:rsid w:val="000D1AE6"/>
    <w:rsid w:val="000D25F8"/>
    <w:rsid w:val="000D2C7D"/>
    <w:rsid w:val="000D2DC3"/>
    <w:rsid w:val="000D2F9D"/>
    <w:rsid w:val="000D343F"/>
    <w:rsid w:val="000D4418"/>
    <w:rsid w:val="000D486B"/>
    <w:rsid w:val="000D4F74"/>
    <w:rsid w:val="000D4FC3"/>
    <w:rsid w:val="000D5276"/>
    <w:rsid w:val="000D57DC"/>
    <w:rsid w:val="000D5EA0"/>
    <w:rsid w:val="000D61FB"/>
    <w:rsid w:val="000D6C22"/>
    <w:rsid w:val="000D6D84"/>
    <w:rsid w:val="000D7053"/>
    <w:rsid w:val="000D7900"/>
    <w:rsid w:val="000D7C11"/>
    <w:rsid w:val="000E0557"/>
    <w:rsid w:val="000E06C8"/>
    <w:rsid w:val="000E0BEF"/>
    <w:rsid w:val="000E1093"/>
    <w:rsid w:val="000E1E03"/>
    <w:rsid w:val="000E1F60"/>
    <w:rsid w:val="000E2885"/>
    <w:rsid w:val="000E2B09"/>
    <w:rsid w:val="000E3608"/>
    <w:rsid w:val="000E374E"/>
    <w:rsid w:val="000E3C8A"/>
    <w:rsid w:val="000E46BC"/>
    <w:rsid w:val="000E48DE"/>
    <w:rsid w:val="000E4AA5"/>
    <w:rsid w:val="000E50F6"/>
    <w:rsid w:val="000E56FD"/>
    <w:rsid w:val="000E5849"/>
    <w:rsid w:val="000E5DAA"/>
    <w:rsid w:val="000E6141"/>
    <w:rsid w:val="000E6813"/>
    <w:rsid w:val="000E6930"/>
    <w:rsid w:val="000E6F5B"/>
    <w:rsid w:val="000E6FB0"/>
    <w:rsid w:val="000E707D"/>
    <w:rsid w:val="000E727C"/>
    <w:rsid w:val="000E73AB"/>
    <w:rsid w:val="000E7487"/>
    <w:rsid w:val="000E7D70"/>
    <w:rsid w:val="000F0628"/>
    <w:rsid w:val="000F06A9"/>
    <w:rsid w:val="000F09CC"/>
    <w:rsid w:val="000F0AF4"/>
    <w:rsid w:val="000F0D89"/>
    <w:rsid w:val="000F10BE"/>
    <w:rsid w:val="000F1207"/>
    <w:rsid w:val="000F13A1"/>
    <w:rsid w:val="000F1478"/>
    <w:rsid w:val="000F17E5"/>
    <w:rsid w:val="000F1938"/>
    <w:rsid w:val="000F197A"/>
    <w:rsid w:val="000F1AAE"/>
    <w:rsid w:val="000F1B44"/>
    <w:rsid w:val="000F200F"/>
    <w:rsid w:val="000F20F4"/>
    <w:rsid w:val="000F2644"/>
    <w:rsid w:val="000F2F12"/>
    <w:rsid w:val="000F33A2"/>
    <w:rsid w:val="000F3443"/>
    <w:rsid w:val="000F3811"/>
    <w:rsid w:val="000F4000"/>
    <w:rsid w:val="000F4032"/>
    <w:rsid w:val="000F4072"/>
    <w:rsid w:val="000F4426"/>
    <w:rsid w:val="000F4D11"/>
    <w:rsid w:val="000F5265"/>
    <w:rsid w:val="000F5C1B"/>
    <w:rsid w:val="000F5F99"/>
    <w:rsid w:val="000F62DA"/>
    <w:rsid w:val="000F6CF9"/>
    <w:rsid w:val="000F6D1B"/>
    <w:rsid w:val="000F7006"/>
    <w:rsid w:val="00100188"/>
    <w:rsid w:val="0010062C"/>
    <w:rsid w:val="001010EB"/>
    <w:rsid w:val="0010113B"/>
    <w:rsid w:val="00101151"/>
    <w:rsid w:val="001011A5"/>
    <w:rsid w:val="001017F6"/>
    <w:rsid w:val="00101C15"/>
    <w:rsid w:val="00102019"/>
    <w:rsid w:val="00102179"/>
    <w:rsid w:val="001022CD"/>
    <w:rsid w:val="00103713"/>
    <w:rsid w:val="00104409"/>
    <w:rsid w:val="00104A62"/>
    <w:rsid w:val="001052FC"/>
    <w:rsid w:val="00105AC6"/>
    <w:rsid w:val="00105DAB"/>
    <w:rsid w:val="001062EE"/>
    <w:rsid w:val="0010654D"/>
    <w:rsid w:val="00106C40"/>
    <w:rsid w:val="0010747F"/>
    <w:rsid w:val="00107509"/>
    <w:rsid w:val="00107948"/>
    <w:rsid w:val="00107A03"/>
    <w:rsid w:val="00110F0E"/>
    <w:rsid w:val="00111579"/>
    <w:rsid w:val="0011166C"/>
    <w:rsid w:val="00111761"/>
    <w:rsid w:val="00111E24"/>
    <w:rsid w:val="001123B7"/>
    <w:rsid w:val="00112A23"/>
    <w:rsid w:val="00112F88"/>
    <w:rsid w:val="001139BE"/>
    <w:rsid w:val="00113A3A"/>
    <w:rsid w:val="00113EB0"/>
    <w:rsid w:val="00114157"/>
    <w:rsid w:val="00114327"/>
    <w:rsid w:val="00114A15"/>
    <w:rsid w:val="00114D07"/>
    <w:rsid w:val="00115B86"/>
    <w:rsid w:val="00115EEC"/>
    <w:rsid w:val="00116272"/>
    <w:rsid w:val="0011636B"/>
    <w:rsid w:val="00116A15"/>
    <w:rsid w:val="0011707E"/>
    <w:rsid w:val="001174FB"/>
    <w:rsid w:val="00117793"/>
    <w:rsid w:val="00117965"/>
    <w:rsid w:val="001179FB"/>
    <w:rsid w:val="00117AF9"/>
    <w:rsid w:val="00120826"/>
    <w:rsid w:val="00121004"/>
    <w:rsid w:val="00121E39"/>
    <w:rsid w:val="001223E1"/>
    <w:rsid w:val="001234AD"/>
    <w:rsid w:val="00123B84"/>
    <w:rsid w:val="00125A4B"/>
    <w:rsid w:val="00125C02"/>
    <w:rsid w:val="00125C7B"/>
    <w:rsid w:val="00125D22"/>
    <w:rsid w:val="001266C4"/>
    <w:rsid w:val="00126722"/>
    <w:rsid w:val="0012707F"/>
    <w:rsid w:val="001279B2"/>
    <w:rsid w:val="001308B3"/>
    <w:rsid w:val="00130FCB"/>
    <w:rsid w:val="0013162D"/>
    <w:rsid w:val="00131AB2"/>
    <w:rsid w:val="00131E36"/>
    <w:rsid w:val="001327B6"/>
    <w:rsid w:val="00132AF2"/>
    <w:rsid w:val="00132D36"/>
    <w:rsid w:val="00132DDB"/>
    <w:rsid w:val="00132F27"/>
    <w:rsid w:val="001342A3"/>
    <w:rsid w:val="00134B21"/>
    <w:rsid w:val="00135155"/>
    <w:rsid w:val="001351CD"/>
    <w:rsid w:val="0013578C"/>
    <w:rsid w:val="001362EC"/>
    <w:rsid w:val="00136A12"/>
    <w:rsid w:val="00136FE6"/>
    <w:rsid w:val="00137725"/>
    <w:rsid w:val="00137C32"/>
    <w:rsid w:val="00137DB5"/>
    <w:rsid w:val="00140396"/>
    <w:rsid w:val="0014042E"/>
    <w:rsid w:val="00140550"/>
    <w:rsid w:val="00140B1F"/>
    <w:rsid w:val="00141005"/>
    <w:rsid w:val="00141533"/>
    <w:rsid w:val="001415E7"/>
    <w:rsid w:val="00141E25"/>
    <w:rsid w:val="00141E66"/>
    <w:rsid w:val="00141F22"/>
    <w:rsid w:val="00142A47"/>
    <w:rsid w:val="00142B08"/>
    <w:rsid w:val="00143E8A"/>
    <w:rsid w:val="001443D9"/>
    <w:rsid w:val="00144C46"/>
    <w:rsid w:val="00144DC1"/>
    <w:rsid w:val="00144E56"/>
    <w:rsid w:val="00144FD4"/>
    <w:rsid w:val="001454E3"/>
    <w:rsid w:val="001454FC"/>
    <w:rsid w:val="00145701"/>
    <w:rsid w:val="00145C24"/>
    <w:rsid w:val="00145E15"/>
    <w:rsid w:val="00146230"/>
    <w:rsid w:val="00146564"/>
    <w:rsid w:val="00146CA3"/>
    <w:rsid w:val="00147749"/>
    <w:rsid w:val="00147FEA"/>
    <w:rsid w:val="0015013F"/>
    <w:rsid w:val="0015037A"/>
    <w:rsid w:val="001503A7"/>
    <w:rsid w:val="0015081E"/>
    <w:rsid w:val="00150A33"/>
    <w:rsid w:val="0015160D"/>
    <w:rsid w:val="00151B93"/>
    <w:rsid w:val="001520D6"/>
    <w:rsid w:val="001520EA"/>
    <w:rsid w:val="00152133"/>
    <w:rsid w:val="0015241D"/>
    <w:rsid w:val="0015282D"/>
    <w:rsid w:val="00153A35"/>
    <w:rsid w:val="00153AC6"/>
    <w:rsid w:val="00154444"/>
    <w:rsid w:val="001547A6"/>
    <w:rsid w:val="00154A09"/>
    <w:rsid w:val="00154B37"/>
    <w:rsid w:val="00154CA5"/>
    <w:rsid w:val="00154E83"/>
    <w:rsid w:val="0015577E"/>
    <w:rsid w:val="001557D1"/>
    <w:rsid w:val="00156378"/>
    <w:rsid w:val="00156804"/>
    <w:rsid w:val="00156D52"/>
    <w:rsid w:val="00156E76"/>
    <w:rsid w:val="00157010"/>
    <w:rsid w:val="00157110"/>
    <w:rsid w:val="001607E0"/>
    <w:rsid w:val="00160EDC"/>
    <w:rsid w:val="00161C22"/>
    <w:rsid w:val="00162C76"/>
    <w:rsid w:val="00162D84"/>
    <w:rsid w:val="00162DCF"/>
    <w:rsid w:val="00162F88"/>
    <w:rsid w:val="00163BDE"/>
    <w:rsid w:val="00163C89"/>
    <w:rsid w:val="00163FC9"/>
    <w:rsid w:val="001642D4"/>
    <w:rsid w:val="001643F0"/>
    <w:rsid w:val="001644E9"/>
    <w:rsid w:val="001644FD"/>
    <w:rsid w:val="001656B1"/>
    <w:rsid w:val="001657CC"/>
    <w:rsid w:val="00165AA1"/>
    <w:rsid w:val="00165E4A"/>
    <w:rsid w:val="00166258"/>
    <w:rsid w:val="0016656E"/>
    <w:rsid w:val="00166586"/>
    <w:rsid w:val="00166CC1"/>
    <w:rsid w:val="00166DD7"/>
    <w:rsid w:val="00167150"/>
    <w:rsid w:val="00167999"/>
    <w:rsid w:val="00170215"/>
    <w:rsid w:val="001707AE"/>
    <w:rsid w:val="001707B6"/>
    <w:rsid w:val="0017082B"/>
    <w:rsid w:val="00170871"/>
    <w:rsid w:val="00171267"/>
    <w:rsid w:val="00171279"/>
    <w:rsid w:val="001712F2"/>
    <w:rsid w:val="00171BF9"/>
    <w:rsid w:val="00171D8B"/>
    <w:rsid w:val="00172077"/>
    <w:rsid w:val="0017225A"/>
    <w:rsid w:val="00172899"/>
    <w:rsid w:val="00173176"/>
    <w:rsid w:val="001731A2"/>
    <w:rsid w:val="00173234"/>
    <w:rsid w:val="00173ED3"/>
    <w:rsid w:val="0017419D"/>
    <w:rsid w:val="001746E7"/>
    <w:rsid w:val="00174A9D"/>
    <w:rsid w:val="00174B37"/>
    <w:rsid w:val="001759C7"/>
    <w:rsid w:val="00175C6D"/>
    <w:rsid w:val="00175F13"/>
    <w:rsid w:val="0017618F"/>
    <w:rsid w:val="001762C1"/>
    <w:rsid w:val="001762F5"/>
    <w:rsid w:val="001768DE"/>
    <w:rsid w:val="00176C9E"/>
    <w:rsid w:val="00176DA0"/>
    <w:rsid w:val="00176DB5"/>
    <w:rsid w:val="001802EA"/>
    <w:rsid w:val="00181321"/>
    <w:rsid w:val="00181587"/>
    <w:rsid w:val="001816C8"/>
    <w:rsid w:val="0018228E"/>
    <w:rsid w:val="00182F85"/>
    <w:rsid w:val="00183A4E"/>
    <w:rsid w:val="0018427B"/>
    <w:rsid w:val="00184CE8"/>
    <w:rsid w:val="00185C88"/>
    <w:rsid w:val="00185E16"/>
    <w:rsid w:val="001865EB"/>
    <w:rsid w:val="00186855"/>
    <w:rsid w:val="00186BA5"/>
    <w:rsid w:val="00186CF1"/>
    <w:rsid w:val="00186E0A"/>
    <w:rsid w:val="001872B0"/>
    <w:rsid w:val="0018781E"/>
    <w:rsid w:val="00187F73"/>
    <w:rsid w:val="00190FF1"/>
    <w:rsid w:val="001916E3"/>
    <w:rsid w:val="00191952"/>
    <w:rsid w:val="001921B6"/>
    <w:rsid w:val="00192525"/>
    <w:rsid w:val="0019262C"/>
    <w:rsid w:val="00192862"/>
    <w:rsid w:val="00193025"/>
    <w:rsid w:val="001935ED"/>
    <w:rsid w:val="001936F1"/>
    <w:rsid w:val="0019391A"/>
    <w:rsid w:val="00193934"/>
    <w:rsid w:val="001939D9"/>
    <w:rsid w:val="00193CF8"/>
    <w:rsid w:val="00193D74"/>
    <w:rsid w:val="001943F5"/>
    <w:rsid w:val="001948E4"/>
    <w:rsid w:val="001953EC"/>
    <w:rsid w:val="00195CBC"/>
    <w:rsid w:val="00195D13"/>
    <w:rsid w:val="00196A3E"/>
    <w:rsid w:val="00196B5E"/>
    <w:rsid w:val="00196EE0"/>
    <w:rsid w:val="0019708E"/>
    <w:rsid w:val="00197B31"/>
    <w:rsid w:val="00197F8B"/>
    <w:rsid w:val="001A0321"/>
    <w:rsid w:val="001A04DB"/>
    <w:rsid w:val="001A189E"/>
    <w:rsid w:val="001A1A50"/>
    <w:rsid w:val="001A1B8E"/>
    <w:rsid w:val="001A1DD7"/>
    <w:rsid w:val="001A2108"/>
    <w:rsid w:val="001A2C48"/>
    <w:rsid w:val="001A2E54"/>
    <w:rsid w:val="001A30BA"/>
    <w:rsid w:val="001A33C8"/>
    <w:rsid w:val="001A3CB0"/>
    <w:rsid w:val="001A3D1F"/>
    <w:rsid w:val="001A3DE1"/>
    <w:rsid w:val="001A3EFE"/>
    <w:rsid w:val="001A4BB2"/>
    <w:rsid w:val="001A5EA0"/>
    <w:rsid w:val="001A68DC"/>
    <w:rsid w:val="001A6F2F"/>
    <w:rsid w:val="001A7248"/>
    <w:rsid w:val="001A7358"/>
    <w:rsid w:val="001A7AF1"/>
    <w:rsid w:val="001A7DB0"/>
    <w:rsid w:val="001B0349"/>
    <w:rsid w:val="001B0D7B"/>
    <w:rsid w:val="001B0F42"/>
    <w:rsid w:val="001B120B"/>
    <w:rsid w:val="001B1CE2"/>
    <w:rsid w:val="001B21D3"/>
    <w:rsid w:val="001B2265"/>
    <w:rsid w:val="001B283F"/>
    <w:rsid w:val="001B2C69"/>
    <w:rsid w:val="001B5302"/>
    <w:rsid w:val="001B5F0C"/>
    <w:rsid w:val="001B61DC"/>
    <w:rsid w:val="001B6646"/>
    <w:rsid w:val="001B7E1E"/>
    <w:rsid w:val="001B7F51"/>
    <w:rsid w:val="001C016C"/>
    <w:rsid w:val="001C0426"/>
    <w:rsid w:val="001C04DE"/>
    <w:rsid w:val="001C0735"/>
    <w:rsid w:val="001C0742"/>
    <w:rsid w:val="001C117A"/>
    <w:rsid w:val="001C18C4"/>
    <w:rsid w:val="001C1910"/>
    <w:rsid w:val="001C22FB"/>
    <w:rsid w:val="001C259C"/>
    <w:rsid w:val="001C29EF"/>
    <w:rsid w:val="001C2AB2"/>
    <w:rsid w:val="001C324B"/>
    <w:rsid w:val="001C3552"/>
    <w:rsid w:val="001C385A"/>
    <w:rsid w:val="001C3927"/>
    <w:rsid w:val="001C3DDB"/>
    <w:rsid w:val="001C3F6E"/>
    <w:rsid w:val="001C4773"/>
    <w:rsid w:val="001C4A11"/>
    <w:rsid w:val="001C4AFA"/>
    <w:rsid w:val="001C5306"/>
    <w:rsid w:val="001C570A"/>
    <w:rsid w:val="001C5828"/>
    <w:rsid w:val="001C5B40"/>
    <w:rsid w:val="001C5EC6"/>
    <w:rsid w:val="001C6181"/>
    <w:rsid w:val="001C65D1"/>
    <w:rsid w:val="001C6E0D"/>
    <w:rsid w:val="001D010A"/>
    <w:rsid w:val="001D041C"/>
    <w:rsid w:val="001D0CCB"/>
    <w:rsid w:val="001D1140"/>
    <w:rsid w:val="001D146F"/>
    <w:rsid w:val="001D1B61"/>
    <w:rsid w:val="001D1D47"/>
    <w:rsid w:val="001D1D5D"/>
    <w:rsid w:val="001D2416"/>
    <w:rsid w:val="001D286A"/>
    <w:rsid w:val="001D28CD"/>
    <w:rsid w:val="001D2A95"/>
    <w:rsid w:val="001D2AB2"/>
    <w:rsid w:val="001D2FB2"/>
    <w:rsid w:val="001D330F"/>
    <w:rsid w:val="001D3E46"/>
    <w:rsid w:val="001D3F9D"/>
    <w:rsid w:val="001D49F7"/>
    <w:rsid w:val="001D5DE1"/>
    <w:rsid w:val="001D5E8C"/>
    <w:rsid w:val="001D5F2F"/>
    <w:rsid w:val="001D6A93"/>
    <w:rsid w:val="001D6AC1"/>
    <w:rsid w:val="001D6C55"/>
    <w:rsid w:val="001D6D26"/>
    <w:rsid w:val="001D6F1D"/>
    <w:rsid w:val="001D73DF"/>
    <w:rsid w:val="001D7BB9"/>
    <w:rsid w:val="001D7FDA"/>
    <w:rsid w:val="001E0773"/>
    <w:rsid w:val="001E077A"/>
    <w:rsid w:val="001E0C21"/>
    <w:rsid w:val="001E0E15"/>
    <w:rsid w:val="001E0E3F"/>
    <w:rsid w:val="001E10B9"/>
    <w:rsid w:val="001E1DC2"/>
    <w:rsid w:val="001E2587"/>
    <w:rsid w:val="001E264D"/>
    <w:rsid w:val="001E29EC"/>
    <w:rsid w:val="001E2C7F"/>
    <w:rsid w:val="001E35BA"/>
    <w:rsid w:val="001E3B47"/>
    <w:rsid w:val="001E3CD8"/>
    <w:rsid w:val="001E3D2D"/>
    <w:rsid w:val="001E3F4A"/>
    <w:rsid w:val="001E4049"/>
    <w:rsid w:val="001E4201"/>
    <w:rsid w:val="001E4775"/>
    <w:rsid w:val="001E49C3"/>
    <w:rsid w:val="001E4DCB"/>
    <w:rsid w:val="001E541D"/>
    <w:rsid w:val="001E5C23"/>
    <w:rsid w:val="001E61B1"/>
    <w:rsid w:val="001E6318"/>
    <w:rsid w:val="001E6368"/>
    <w:rsid w:val="001E6D10"/>
    <w:rsid w:val="001E758A"/>
    <w:rsid w:val="001E7ABA"/>
    <w:rsid w:val="001F01CF"/>
    <w:rsid w:val="001F0B7F"/>
    <w:rsid w:val="001F0C3A"/>
    <w:rsid w:val="001F174A"/>
    <w:rsid w:val="001F177D"/>
    <w:rsid w:val="001F1F25"/>
    <w:rsid w:val="001F2092"/>
    <w:rsid w:val="001F22CB"/>
    <w:rsid w:val="001F261B"/>
    <w:rsid w:val="001F2A34"/>
    <w:rsid w:val="001F323F"/>
    <w:rsid w:val="001F335B"/>
    <w:rsid w:val="001F415B"/>
    <w:rsid w:val="001F492D"/>
    <w:rsid w:val="001F5A6D"/>
    <w:rsid w:val="001F5F40"/>
    <w:rsid w:val="001F5FB7"/>
    <w:rsid w:val="001F6BE0"/>
    <w:rsid w:val="001F7061"/>
    <w:rsid w:val="001F77C2"/>
    <w:rsid w:val="001F7E47"/>
    <w:rsid w:val="0020035A"/>
    <w:rsid w:val="00200361"/>
    <w:rsid w:val="00200515"/>
    <w:rsid w:val="002005DE"/>
    <w:rsid w:val="00200A9C"/>
    <w:rsid w:val="00200D20"/>
    <w:rsid w:val="00200E5A"/>
    <w:rsid w:val="00201C44"/>
    <w:rsid w:val="00201E9F"/>
    <w:rsid w:val="00201F03"/>
    <w:rsid w:val="00202010"/>
    <w:rsid w:val="002026E0"/>
    <w:rsid w:val="002026FF"/>
    <w:rsid w:val="0020271D"/>
    <w:rsid w:val="00203680"/>
    <w:rsid w:val="00203873"/>
    <w:rsid w:val="00203AC2"/>
    <w:rsid w:val="002045F5"/>
    <w:rsid w:val="00204923"/>
    <w:rsid w:val="002049B1"/>
    <w:rsid w:val="0020645C"/>
    <w:rsid w:val="002067D6"/>
    <w:rsid w:val="00207258"/>
    <w:rsid w:val="002072E1"/>
    <w:rsid w:val="002076A0"/>
    <w:rsid w:val="002076E4"/>
    <w:rsid w:val="00207E20"/>
    <w:rsid w:val="00207EF7"/>
    <w:rsid w:val="002100D6"/>
    <w:rsid w:val="00210432"/>
    <w:rsid w:val="0021044D"/>
    <w:rsid w:val="00210561"/>
    <w:rsid w:val="002112A5"/>
    <w:rsid w:val="00211E6C"/>
    <w:rsid w:val="00212256"/>
    <w:rsid w:val="00212320"/>
    <w:rsid w:val="002123C8"/>
    <w:rsid w:val="002124CC"/>
    <w:rsid w:val="002127D9"/>
    <w:rsid w:val="00212887"/>
    <w:rsid w:val="002128AA"/>
    <w:rsid w:val="0021292D"/>
    <w:rsid w:val="00213054"/>
    <w:rsid w:val="0021324C"/>
    <w:rsid w:val="002133C5"/>
    <w:rsid w:val="002133EF"/>
    <w:rsid w:val="002140F2"/>
    <w:rsid w:val="00214708"/>
    <w:rsid w:val="00214B53"/>
    <w:rsid w:val="00214C09"/>
    <w:rsid w:val="00214E0B"/>
    <w:rsid w:val="00214F78"/>
    <w:rsid w:val="0021521B"/>
    <w:rsid w:val="002154E8"/>
    <w:rsid w:val="0021552F"/>
    <w:rsid w:val="002157F5"/>
    <w:rsid w:val="00215D8B"/>
    <w:rsid w:val="0021692A"/>
    <w:rsid w:val="0021697A"/>
    <w:rsid w:val="00217EBB"/>
    <w:rsid w:val="00217F0D"/>
    <w:rsid w:val="00217FC2"/>
    <w:rsid w:val="00220354"/>
    <w:rsid w:val="002211E1"/>
    <w:rsid w:val="00221AF3"/>
    <w:rsid w:val="00221BA1"/>
    <w:rsid w:val="00221F3C"/>
    <w:rsid w:val="00221F5B"/>
    <w:rsid w:val="00222423"/>
    <w:rsid w:val="002226FE"/>
    <w:rsid w:val="002228DE"/>
    <w:rsid w:val="00222975"/>
    <w:rsid w:val="00222E82"/>
    <w:rsid w:val="0022308F"/>
    <w:rsid w:val="002233EE"/>
    <w:rsid w:val="0022394D"/>
    <w:rsid w:val="00224266"/>
    <w:rsid w:val="002248C1"/>
    <w:rsid w:val="00225218"/>
    <w:rsid w:val="00225978"/>
    <w:rsid w:val="00225FE9"/>
    <w:rsid w:val="00226255"/>
    <w:rsid w:val="00226313"/>
    <w:rsid w:val="002267BB"/>
    <w:rsid w:val="00226A1C"/>
    <w:rsid w:val="00227138"/>
    <w:rsid w:val="00227A54"/>
    <w:rsid w:val="00227A7F"/>
    <w:rsid w:val="00227AFB"/>
    <w:rsid w:val="00227E92"/>
    <w:rsid w:val="00230905"/>
    <w:rsid w:val="00231110"/>
    <w:rsid w:val="0023160E"/>
    <w:rsid w:val="00231840"/>
    <w:rsid w:val="002324BC"/>
    <w:rsid w:val="00232728"/>
    <w:rsid w:val="00232AF4"/>
    <w:rsid w:val="002332E4"/>
    <w:rsid w:val="0023386D"/>
    <w:rsid w:val="002338CD"/>
    <w:rsid w:val="00233A3E"/>
    <w:rsid w:val="00233DFA"/>
    <w:rsid w:val="00234493"/>
    <w:rsid w:val="002346C5"/>
    <w:rsid w:val="002346CB"/>
    <w:rsid w:val="00234E5E"/>
    <w:rsid w:val="0023524F"/>
    <w:rsid w:val="00235504"/>
    <w:rsid w:val="00235622"/>
    <w:rsid w:val="00235756"/>
    <w:rsid w:val="00236097"/>
    <w:rsid w:val="002364B1"/>
    <w:rsid w:val="00236734"/>
    <w:rsid w:val="0023687F"/>
    <w:rsid w:val="00236BD2"/>
    <w:rsid w:val="00237188"/>
    <w:rsid w:val="00237935"/>
    <w:rsid w:val="00237D44"/>
    <w:rsid w:val="002402B5"/>
    <w:rsid w:val="0024034D"/>
    <w:rsid w:val="0024053F"/>
    <w:rsid w:val="002413B6"/>
    <w:rsid w:val="002416B2"/>
    <w:rsid w:val="00241899"/>
    <w:rsid w:val="00242E42"/>
    <w:rsid w:val="00243044"/>
    <w:rsid w:val="002430EB"/>
    <w:rsid w:val="00243CFA"/>
    <w:rsid w:val="002445A1"/>
    <w:rsid w:val="00245821"/>
    <w:rsid w:val="00245AA0"/>
    <w:rsid w:val="002465C5"/>
    <w:rsid w:val="002466E7"/>
    <w:rsid w:val="00246FA4"/>
    <w:rsid w:val="00247000"/>
    <w:rsid w:val="0024711F"/>
    <w:rsid w:val="00247463"/>
    <w:rsid w:val="0024746B"/>
    <w:rsid w:val="00247644"/>
    <w:rsid w:val="00247752"/>
    <w:rsid w:val="00250327"/>
    <w:rsid w:val="00250681"/>
    <w:rsid w:val="0025076D"/>
    <w:rsid w:val="00250875"/>
    <w:rsid w:val="00250C0B"/>
    <w:rsid w:val="00250F0C"/>
    <w:rsid w:val="002510B6"/>
    <w:rsid w:val="00251517"/>
    <w:rsid w:val="00251590"/>
    <w:rsid w:val="00251768"/>
    <w:rsid w:val="002517A9"/>
    <w:rsid w:val="0025194C"/>
    <w:rsid w:val="00251D69"/>
    <w:rsid w:val="00251FBE"/>
    <w:rsid w:val="002521FD"/>
    <w:rsid w:val="00252470"/>
    <w:rsid w:val="002525BE"/>
    <w:rsid w:val="00252A99"/>
    <w:rsid w:val="002531EC"/>
    <w:rsid w:val="00253238"/>
    <w:rsid w:val="00253A93"/>
    <w:rsid w:val="00253B9A"/>
    <w:rsid w:val="00253BAF"/>
    <w:rsid w:val="00254CFB"/>
    <w:rsid w:val="00255397"/>
    <w:rsid w:val="00255439"/>
    <w:rsid w:val="00255B02"/>
    <w:rsid w:val="00256137"/>
    <w:rsid w:val="00256617"/>
    <w:rsid w:val="00256FCD"/>
    <w:rsid w:val="0025730F"/>
    <w:rsid w:val="0025773E"/>
    <w:rsid w:val="0025791A"/>
    <w:rsid w:val="00257FCA"/>
    <w:rsid w:val="002602E8"/>
    <w:rsid w:val="00260311"/>
    <w:rsid w:val="00260359"/>
    <w:rsid w:val="0026037D"/>
    <w:rsid w:val="00260870"/>
    <w:rsid w:val="00261571"/>
    <w:rsid w:val="00262367"/>
    <w:rsid w:val="002624D5"/>
    <w:rsid w:val="002625B4"/>
    <w:rsid w:val="00262768"/>
    <w:rsid w:val="00263020"/>
    <w:rsid w:val="002631BE"/>
    <w:rsid w:val="0026397B"/>
    <w:rsid w:val="00263FDE"/>
    <w:rsid w:val="00264FB7"/>
    <w:rsid w:val="002654E2"/>
    <w:rsid w:val="002655B2"/>
    <w:rsid w:val="0026564E"/>
    <w:rsid w:val="00265D0A"/>
    <w:rsid w:val="00265D15"/>
    <w:rsid w:val="00266228"/>
    <w:rsid w:val="0026679D"/>
    <w:rsid w:val="00266915"/>
    <w:rsid w:val="00266A51"/>
    <w:rsid w:val="00266F1A"/>
    <w:rsid w:val="00267108"/>
    <w:rsid w:val="00267852"/>
    <w:rsid w:val="00267E5B"/>
    <w:rsid w:val="002700AB"/>
    <w:rsid w:val="002708B5"/>
    <w:rsid w:val="00270B48"/>
    <w:rsid w:val="00270FAA"/>
    <w:rsid w:val="0027109A"/>
    <w:rsid w:val="00271505"/>
    <w:rsid w:val="00271A07"/>
    <w:rsid w:val="0027260E"/>
    <w:rsid w:val="00273699"/>
    <w:rsid w:val="00273833"/>
    <w:rsid w:val="002744EF"/>
    <w:rsid w:val="002745CB"/>
    <w:rsid w:val="00274718"/>
    <w:rsid w:val="00274D08"/>
    <w:rsid w:val="002752F6"/>
    <w:rsid w:val="002759EF"/>
    <w:rsid w:val="00275D27"/>
    <w:rsid w:val="002762FB"/>
    <w:rsid w:val="00276558"/>
    <w:rsid w:val="00276599"/>
    <w:rsid w:val="00276A19"/>
    <w:rsid w:val="00276F59"/>
    <w:rsid w:val="0027754C"/>
    <w:rsid w:val="0027771F"/>
    <w:rsid w:val="0027787C"/>
    <w:rsid w:val="00277900"/>
    <w:rsid w:val="00277A6C"/>
    <w:rsid w:val="00277E9A"/>
    <w:rsid w:val="0028072B"/>
    <w:rsid w:val="002812FB"/>
    <w:rsid w:val="0028148B"/>
    <w:rsid w:val="002814B6"/>
    <w:rsid w:val="0028166D"/>
    <w:rsid w:val="002817A9"/>
    <w:rsid w:val="00281A06"/>
    <w:rsid w:val="00281A56"/>
    <w:rsid w:val="00281F38"/>
    <w:rsid w:val="002823FF"/>
    <w:rsid w:val="00283110"/>
    <w:rsid w:val="0028373D"/>
    <w:rsid w:val="002837CE"/>
    <w:rsid w:val="00284140"/>
    <w:rsid w:val="00284322"/>
    <w:rsid w:val="00284F22"/>
    <w:rsid w:val="002853F8"/>
    <w:rsid w:val="0028681A"/>
    <w:rsid w:val="00286C05"/>
    <w:rsid w:val="00287DC5"/>
    <w:rsid w:val="00287F5C"/>
    <w:rsid w:val="0029008B"/>
    <w:rsid w:val="002901F7"/>
    <w:rsid w:val="002907D8"/>
    <w:rsid w:val="0029121B"/>
    <w:rsid w:val="002918FA"/>
    <w:rsid w:val="002923E8"/>
    <w:rsid w:val="0029275C"/>
    <w:rsid w:val="00292985"/>
    <w:rsid w:val="00293D04"/>
    <w:rsid w:val="00293E96"/>
    <w:rsid w:val="00293FFE"/>
    <w:rsid w:val="00294E44"/>
    <w:rsid w:val="002955E5"/>
    <w:rsid w:val="00295767"/>
    <w:rsid w:val="00295BE0"/>
    <w:rsid w:val="00295CA3"/>
    <w:rsid w:val="002966C1"/>
    <w:rsid w:val="002968D2"/>
    <w:rsid w:val="00296E91"/>
    <w:rsid w:val="00297074"/>
    <w:rsid w:val="002973A7"/>
    <w:rsid w:val="002973BC"/>
    <w:rsid w:val="002976F4"/>
    <w:rsid w:val="00297D3A"/>
    <w:rsid w:val="002A0030"/>
    <w:rsid w:val="002A04B5"/>
    <w:rsid w:val="002A0593"/>
    <w:rsid w:val="002A0C3B"/>
    <w:rsid w:val="002A16CA"/>
    <w:rsid w:val="002A1D97"/>
    <w:rsid w:val="002A1F3A"/>
    <w:rsid w:val="002A203C"/>
    <w:rsid w:val="002A216B"/>
    <w:rsid w:val="002A227F"/>
    <w:rsid w:val="002A23B2"/>
    <w:rsid w:val="002A2841"/>
    <w:rsid w:val="002A2AD0"/>
    <w:rsid w:val="002A2C9C"/>
    <w:rsid w:val="002A2D46"/>
    <w:rsid w:val="002A2DC8"/>
    <w:rsid w:val="002A3306"/>
    <w:rsid w:val="002A3A26"/>
    <w:rsid w:val="002A4503"/>
    <w:rsid w:val="002A4C48"/>
    <w:rsid w:val="002A55CD"/>
    <w:rsid w:val="002A6DB7"/>
    <w:rsid w:val="002A6E47"/>
    <w:rsid w:val="002A6E9A"/>
    <w:rsid w:val="002A6F8C"/>
    <w:rsid w:val="002A7719"/>
    <w:rsid w:val="002B041F"/>
    <w:rsid w:val="002B099D"/>
    <w:rsid w:val="002B17CC"/>
    <w:rsid w:val="002B1B66"/>
    <w:rsid w:val="002B2031"/>
    <w:rsid w:val="002B230D"/>
    <w:rsid w:val="002B26E2"/>
    <w:rsid w:val="002B2776"/>
    <w:rsid w:val="002B2937"/>
    <w:rsid w:val="002B2C14"/>
    <w:rsid w:val="002B2CC4"/>
    <w:rsid w:val="002B3359"/>
    <w:rsid w:val="002B3763"/>
    <w:rsid w:val="002B3C61"/>
    <w:rsid w:val="002B43D1"/>
    <w:rsid w:val="002B470B"/>
    <w:rsid w:val="002B47EB"/>
    <w:rsid w:val="002B5380"/>
    <w:rsid w:val="002B5E7F"/>
    <w:rsid w:val="002B6D4B"/>
    <w:rsid w:val="002B72EF"/>
    <w:rsid w:val="002B7361"/>
    <w:rsid w:val="002B7574"/>
    <w:rsid w:val="002B7697"/>
    <w:rsid w:val="002C0001"/>
    <w:rsid w:val="002C01C3"/>
    <w:rsid w:val="002C03C6"/>
    <w:rsid w:val="002C05FE"/>
    <w:rsid w:val="002C09FF"/>
    <w:rsid w:val="002C0CCE"/>
    <w:rsid w:val="002C0E29"/>
    <w:rsid w:val="002C1782"/>
    <w:rsid w:val="002C193F"/>
    <w:rsid w:val="002C19A2"/>
    <w:rsid w:val="002C1F53"/>
    <w:rsid w:val="002C2077"/>
    <w:rsid w:val="002C224E"/>
    <w:rsid w:val="002C2399"/>
    <w:rsid w:val="002C23B5"/>
    <w:rsid w:val="002C2531"/>
    <w:rsid w:val="002C275D"/>
    <w:rsid w:val="002C2C0B"/>
    <w:rsid w:val="002C303E"/>
    <w:rsid w:val="002C376E"/>
    <w:rsid w:val="002C3820"/>
    <w:rsid w:val="002C3CBC"/>
    <w:rsid w:val="002C439B"/>
    <w:rsid w:val="002C4BDC"/>
    <w:rsid w:val="002C59F8"/>
    <w:rsid w:val="002C600D"/>
    <w:rsid w:val="002C6626"/>
    <w:rsid w:val="002C6D04"/>
    <w:rsid w:val="002C6D89"/>
    <w:rsid w:val="002C6D8E"/>
    <w:rsid w:val="002C6FAF"/>
    <w:rsid w:val="002C71F1"/>
    <w:rsid w:val="002C748E"/>
    <w:rsid w:val="002C7837"/>
    <w:rsid w:val="002C788B"/>
    <w:rsid w:val="002D03BE"/>
    <w:rsid w:val="002D0552"/>
    <w:rsid w:val="002D07CB"/>
    <w:rsid w:val="002D0E90"/>
    <w:rsid w:val="002D1269"/>
    <w:rsid w:val="002D1C68"/>
    <w:rsid w:val="002D1E72"/>
    <w:rsid w:val="002D1E82"/>
    <w:rsid w:val="002D216D"/>
    <w:rsid w:val="002D2D0D"/>
    <w:rsid w:val="002D3291"/>
    <w:rsid w:val="002D3466"/>
    <w:rsid w:val="002D40FE"/>
    <w:rsid w:val="002D46BC"/>
    <w:rsid w:val="002D4C5D"/>
    <w:rsid w:val="002D5006"/>
    <w:rsid w:val="002D5144"/>
    <w:rsid w:val="002D55F3"/>
    <w:rsid w:val="002D5B11"/>
    <w:rsid w:val="002D5F71"/>
    <w:rsid w:val="002D6212"/>
    <w:rsid w:val="002D63EA"/>
    <w:rsid w:val="002D6653"/>
    <w:rsid w:val="002D6676"/>
    <w:rsid w:val="002D66A2"/>
    <w:rsid w:val="002D6893"/>
    <w:rsid w:val="002D6951"/>
    <w:rsid w:val="002D6997"/>
    <w:rsid w:val="002D6C0D"/>
    <w:rsid w:val="002D78A6"/>
    <w:rsid w:val="002D78D5"/>
    <w:rsid w:val="002D7BC0"/>
    <w:rsid w:val="002E018B"/>
    <w:rsid w:val="002E0285"/>
    <w:rsid w:val="002E0367"/>
    <w:rsid w:val="002E049C"/>
    <w:rsid w:val="002E05B7"/>
    <w:rsid w:val="002E09C6"/>
    <w:rsid w:val="002E114B"/>
    <w:rsid w:val="002E1984"/>
    <w:rsid w:val="002E31C9"/>
    <w:rsid w:val="002E3527"/>
    <w:rsid w:val="002E3734"/>
    <w:rsid w:val="002E46F1"/>
    <w:rsid w:val="002E4896"/>
    <w:rsid w:val="002E4CF7"/>
    <w:rsid w:val="002E5C2F"/>
    <w:rsid w:val="002E619A"/>
    <w:rsid w:val="002E6766"/>
    <w:rsid w:val="002E6A4B"/>
    <w:rsid w:val="002E6F53"/>
    <w:rsid w:val="002E7402"/>
    <w:rsid w:val="002E7423"/>
    <w:rsid w:val="002E74F7"/>
    <w:rsid w:val="002E78F8"/>
    <w:rsid w:val="002E7CA8"/>
    <w:rsid w:val="002F0604"/>
    <w:rsid w:val="002F07E2"/>
    <w:rsid w:val="002F0DE4"/>
    <w:rsid w:val="002F107B"/>
    <w:rsid w:val="002F124E"/>
    <w:rsid w:val="002F1812"/>
    <w:rsid w:val="002F1A74"/>
    <w:rsid w:val="002F1E81"/>
    <w:rsid w:val="002F1FB7"/>
    <w:rsid w:val="002F2405"/>
    <w:rsid w:val="002F2736"/>
    <w:rsid w:val="002F2933"/>
    <w:rsid w:val="002F2A3E"/>
    <w:rsid w:val="002F3220"/>
    <w:rsid w:val="002F325E"/>
    <w:rsid w:val="002F3337"/>
    <w:rsid w:val="002F3CB1"/>
    <w:rsid w:val="002F3DC9"/>
    <w:rsid w:val="002F4613"/>
    <w:rsid w:val="002F4AA5"/>
    <w:rsid w:val="002F4DAB"/>
    <w:rsid w:val="002F4EC0"/>
    <w:rsid w:val="002F52BE"/>
    <w:rsid w:val="002F58DD"/>
    <w:rsid w:val="002F5C9B"/>
    <w:rsid w:val="002F6197"/>
    <w:rsid w:val="002F61CD"/>
    <w:rsid w:val="002F676D"/>
    <w:rsid w:val="002F6E22"/>
    <w:rsid w:val="002F7265"/>
    <w:rsid w:val="002F7ADF"/>
    <w:rsid w:val="002F7FB6"/>
    <w:rsid w:val="003006CC"/>
    <w:rsid w:val="003006E7"/>
    <w:rsid w:val="003006F5"/>
    <w:rsid w:val="00301795"/>
    <w:rsid w:val="0030202D"/>
    <w:rsid w:val="0030295B"/>
    <w:rsid w:val="00302D68"/>
    <w:rsid w:val="00303F12"/>
    <w:rsid w:val="003040DF"/>
    <w:rsid w:val="0030480F"/>
    <w:rsid w:val="00304949"/>
    <w:rsid w:val="00304A76"/>
    <w:rsid w:val="00304DAB"/>
    <w:rsid w:val="00305660"/>
    <w:rsid w:val="00305B08"/>
    <w:rsid w:val="00305CBF"/>
    <w:rsid w:val="00305D28"/>
    <w:rsid w:val="00305DFF"/>
    <w:rsid w:val="00306B4F"/>
    <w:rsid w:val="00306D81"/>
    <w:rsid w:val="00306EDA"/>
    <w:rsid w:val="0031002C"/>
    <w:rsid w:val="003102F5"/>
    <w:rsid w:val="0031036E"/>
    <w:rsid w:val="003104C7"/>
    <w:rsid w:val="003107F0"/>
    <w:rsid w:val="003108DF"/>
    <w:rsid w:val="00310A30"/>
    <w:rsid w:val="00310FDE"/>
    <w:rsid w:val="0031162C"/>
    <w:rsid w:val="003117A4"/>
    <w:rsid w:val="00311B04"/>
    <w:rsid w:val="00311D12"/>
    <w:rsid w:val="00312A5A"/>
    <w:rsid w:val="0031305D"/>
    <w:rsid w:val="003132FE"/>
    <w:rsid w:val="00313457"/>
    <w:rsid w:val="00313615"/>
    <w:rsid w:val="00313E7F"/>
    <w:rsid w:val="00314056"/>
    <w:rsid w:val="003149CF"/>
    <w:rsid w:val="00314A42"/>
    <w:rsid w:val="00315C45"/>
    <w:rsid w:val="00317D79"/>
    <w:rsid w:val="00317E81"/>
    <w:rsid w:val="00317FC1"/>
    <w:rsid w:val="00320176"/>
    <w:rsid w:val="003202E4"/>
    <w:rsid w:val="00320419"/>
    <w:rsid w:val="00320483"/>
    <w:rsid w:val="0032088A"/>
    <w:rsid w:val="00320936"/>
    <w:rsid w:val="00320D2A"/>
    <w:rsid w:val="003214E1"/>
    <w:rsid w:val="00321C6E"/>
    <w:rsid w:val="00321DEA"/>
    <w:rsid w:val="00321E79"/>
    <w:rsid w:val="00322B21"/>
    <w:rsid w:val="00322C4B"/>
    <w:rsid w:val="003230DF"/>
    <w:rsid w:val="0032319C"/>
    <w:rsid w:val="003234D3"/>
    <w:rsid w:val="00324BD2"/>
    <w:rsid w:val="00324F33"/>
    <w:rsid w:val="0032524B"/>
    <w:rsid w:val="00325334"/>
    <w:rsid w:val="003257F4"/>
    <w:rsid w:val="003259FC"/>
    <w:rsid w:val="00325F17"/>
    <w:rsid w:val="00326214"/>
    <w:rsid w:val="00326399"/>
    <w:rsid w:val="00326B5C"/>
    <w:rsid w:val="00326E84"/>
    <w:rsid w:val="00327909"/>
    <w:rsid w:val="00327C97"/>
    <w:rsid w:val="00327ED3"/>
    <w:rsid w:val="00327F64"/>
    <w:rsid w:val="0033005F"/>
    <w:rsid w:val="003303A2"/>
    <w:rsid w:val="003308C3"/>
    <w:rsid w:val="003309E3"/>
    <w:rsid w:val="003310D2"/>
    <w:rsid w:val="003319D7"/>
    <w:rsid w:val="0033291D"/>
    <w:rsid w:val="003339E4"/>
    <w:rsid w:val="003343AE"/>
    <w:rsid w:val="00334436"/>
    <w:rsid w:val="00334590"/>
    <w:rsid w:val="00334984"/>
    <w:rsid w:val="0033499D"/>
    <w:rsid w:val="00334CF7"/>
    <w:rsid w:val="0033558B"/>
    <w:rsid w:val="0033595B"/>
    <w:rsid w:val="00335B11"/>
    <w:rsid w:val="00336130"/>
    <w:rsid w:val="0033632A"/>
    <w:rsid w:val="0033664B"/>
    <w:rsid w:val="003369EE"/>
    <w:rsid w:val="00336F6E"/>
    <w:rsid w:val="00337737"/>
    <w:rsid w:val="003378C5"/>
    <w:rsid w:val="00337A22"/>
    <w:rsid w:val="003403F5"/>
    <w:rsid w:val="00340483"/>
    <w:rsid w:val="00340E4E"/>
    <w:rsid w:val="00341785"/>
    <w:rsid w:val="00341859"/>
    <w:rsid w:val="00341F9C"/>
    <w:rsid w:val="00343301"/>
    <w:rsid w:val="0034383A"/>
    <w:rsid w:val="003438C5"/>
    <w:rsid w:val="00343ED6"/>
    <w:rsid w:val="003444D6"/>
    <w:rsid w:val="003454D5"/>
    <w:rsid w:val="003455B0"/>
    <w:rsid w:val="0034668D"/>
    <w:rsid w:val="00347A77"/>
    <w:rsid w:val="00347AF8"/>
    <w:rsid w:val="00350556"/>
    <w:rsid w:val="00350A02"/>
    <w:rsid w:val="00350A81"/>
    <w:rsid w:val="00350EEC"/>
    <w:rsid w:val="00351053"/>
    <w:rsid w:val="0035112A"/>
    <w:rsid w:val="003517FF"/>
    <w:rsid w:val="00351C5C"/>
    <w:rsid w:val="00351C72"/>
    <w:rsid w:val="00351E9A"/>
    <w:rsid w:val="00351EF0"/>
    <w:rsid w:val="003521B2"/>
    <w:rsid w:val="00352497"/>
    <w:rsid w:val="00352FD7"/>
    <w:rsid w:val="003542B0"/>
    <w:rsid w:val="00354AA4"/>
    <w:rsid w:val="00355031"/>
    <w:rsid w:val="00355384"/>
    <w:rsid w:val="00355743"/>
    <w:rsid w:val="00356182"/>
    <w:rsid w:val="003561B5"/>
    <w:rsid w:val="00356617"/>
    <w:rsid w:val="00356904"/>
    <w:rsid w:val="00356C39"/>
    <w:rsid w:val="00356CDD"/>
    <w:rsid w:val="00356CFB"/>
    <w:rsid w:val="00356D63"/>
    <w:rsid w:val="00357EBA"/>
    <w:rsid w:val="00360791"/>
    <w:rsid w:val="00360C8F"/>
    <w:rsid w:val="003611C5"/>
    <w:rsid w:val="00362E6A"/>
    <w:rsid w:val="00363395"/>
    <w:rsid w:val="003633A1"/>
    <w:rsid w:val="00363752"/>
    <w:rsid w:val="00364386"/>
    <w:rsid w:val="00365D06"/>
    <w:rsid w:val="0036624A"/>
    <w:rsid w:val="00366BB5"/>
    <w:rsid w:val="00367465"/>
    <w:rsid w:val="003703BF"/>
    <w:rsid w:val="003704FA"/>
    <w:rsid w:val="003708C3"/>
    <w:rsid w:val="00370CD3"/>
    <w:rsid w:val="00371641"/>
    <w:rsid w:val="00371962"/>
    <w:rsid w:val="00371A6B"/>
    <w:rsid w:val="00371A6C"/>
    <w:rsid w:val="00371B22"/>
    <w:rsid w:val="00372201"/>
    <w:rsid w:val="003723AC"/>
    <w:rsid w:val="00372441"/>
    <w:rsid w:val="00372D86"/>
    <w:rsid w:val="0037320D"/>
    <w:rsid w:val="00373764"/>
    <w:rsid w:val="00373D95"/>
    <w:rsid w:val="003745E0"/>
    <w:rsid w:val="0037506F"/>
    <w:rsid w:val="0037524D"/>
    <w:rsid w:val="0037541D"/>
    <w:rsid w:val="0037570D"/>
    <w:rsid w:val="00375900"/>
    <w:rsid w:val="003759B2"/>
    <w:rsid w:val="00375CE4"/>
    <w:rsid w:val="00376BAC"/>
    <w:rsid w:val="00376CC0"/>
    <w:rsid w:val="00377F50"/>
    <w:rsid w:val="003804FE"/>
    <w:rsid w:val="00380858"/>
    <w:rsid w:val="00380F71"/>
    <w:rsid w:val="00380F83"/>
    <w:rsid w:val="00380F9B"/>
    <w:rsid w:val="00381EE6"/>
    <w:rsid w:val="00382196"/>
    <w:rsid w:val="003835F0"/>
    <w:rsid w:val="00383957"/>
    <w:rsid w:val="00383C0D"/>
    <w:rsid w:val="00383C76"/>
    <w:rsid w:val="00384117"/>
    <w:rsid w:val="003845C8"/>
    <w:rsid w:val="00384D80"/>
    <w:rsid w:val="00385240"/>
    <w:rsid w:val="0038558B"/>
    <w:rsid w:val="00385728"/>
    <w:rsid w:val="003858EC"/>
    <w:rsid w:val="00385B84"/>
    <w:rsid w:val="00385C59"/>
    <w:rsid w:val="00385E3C"/>
    <w:rsid w:val="00386203"/>
    <w:rsid w:val="0038632C"/>
    <w:rsid w:val="003865C5"/>
    <w:rsid w:val="00386A18"/>
    <w:rsid w:val="00386B4B"/>
    <w:rsid w:val="00387831"/>
    <w:rsid w:val="00387D41"/>
    <w:rsid w:val="00387E3B"/>
    <w:rsid w:val="00390AE6"/>
    <w:rsid w:val="00390B9C"/>
    <w:rsid w:val="00390FA0"/>
    <w:rsid w:val="003911CE"/>
    <w:rsid w:val="00391824"/>
    <w:rsid w:val="00392205"/>
    <w:rsid w:val="003932E6"/>
    <w:rsid w:val="00393860"/>
    <w:rsid w:val="00393C8B"/>
    <w:rsid w:val="003942F7"/>
    <w:rsid w:val="003946A8"/>
    <w:rsid w:val="00394843"/>
    <w:rsid w:val="00394F35"/>
    <w:rsid w:val="00395976"/>
    <w:rsid w:val="00395AC8"/>
    <w:rsid w:val="00395B09"/>
    <w:rsid w:val="00396134"/>
    <w:rsid w:val="00396311"/>
    <w:rsid w:val="00396374"/>
    <w:rsid w:val="0039644C"/>
    <w:rsid w:val="00396518"/>
    <w:rsid w:val="00396542"/>
    <w:rsid w:val="003965E0"/>
    <w:rsid w:val="003966E3"/>
    <w:rsid w:val="00396A25"/>
    <w:rsid w:val="00396F77"/>
    <w:rsid w:val="00397ABD"/>
    <w:rsid w:val="00397CA7"/>
    <w:rsid w:val="003A00F5"/>
    <w:rsid w:val="003A04DE"/>
    <w:rsid w:val="003A05FB"/>
    <w:rsid w:val="003A1255"/>
    <w:rsid w:val="003A1484"/>
    <w:rsid w:val="003A1E7D"/>
    <w:rsid w:val="003A1F27"/>
    <w:rsid w:val="003A2299"/>
    <w:rsid w:val="003A28A7"/>
    <w:rsid w:val="003A2A7F"/>
    <w:rsid w:val="003A2E47"/>
    <w:rsid w:val="003A2E51"/>
    <w:rsid w:val="003A3791"/>
    <w:rsid w:val="003A3B36"/>
    <w:rsid w:val="003A40BB"/>
    <w:rsid w:val="003A4558"/>
    <w:rsid w:val="003A4E66"/>
    <w:rsid w:val="003A4F6E"/>
    <w:rsid w:val="003A504B"/>
    <w:rsid w:val="003A5B7E"/>
    <w:rsid w:val="003A5CC1"/>
    <w:rsid w:val="003A5E25"/>
    <w:rsid w:val="003A652C"/>
    <w:rsid w:val="003A6615"/>
    <w:rsid w:val="003A6B3C"/>
    <w:rsid w:val="003A6C1D"/>
    <w:rsid w:val="003A6D07"/>
    <w:rsid w:val="003A7103"/>
    <w:rsid w:val="003A71C7"/>
    <w:rsid w:val="003A781A"/>
    <w:rsid w:val="003B0BC4"/>
    <w:rsid w:val="003B0C2B"/>
    <w:rsid w:val="003B0EA4"/>
    <w:rsid w:val="003B13BB"/>
    <w:rsid w:val="003B16BA"/>
    <w:rsid w:val="003B1A3E"/>
    <w:rsid w:val="003B23B9"/>
    <w:rsid w:val="003B27CF"/>
    <w:rsid w:val="003B2871"/>
    <w:rsid w:val="003B2DFC"/>
    <w:rsid w:val="003B3C9C"/>
    <w:rsid w:val="003B48F2"/>
    <w:rsid w:val="003B49F2"/>
    <w:rsid w:val="003B4C77"/>
    <w:rsid w:val="003B4FC1"/>
    <w:rsid w:val="003B51DA"/>
    <w:rsid w:val="003B56E2"/>
    <w:rsid w:val="003B5B1D"/>
    <w:rsid w:val="003B64F4"/>
    <w:rsid w:val="003B6517"/>
    <w:rsid w:val="003B67C3"/>
    <w:rsid w:val="003B67FD"/>
    <w:rsid w:val="003B6854"/>
    <w:rsid w:val="003B70C6"/>
    <w:rsid w:val="003B719F"/>
    <w:rsid w:val="003B7664"/>
    <w:rsid w:val="003B77EF"/>
    <w:rsid w:val="003C09ED"/>
    <w:rsid w:val="003C116D"/>
    <w:rsid w:val="003C18A5"/>
    <w:rsid w:val="003C1A04"/>
    <w:rsid w:val="003C2179"/>
    <w:rsid w:val="003C24FE"/>
    <w:rsid w:val="003C2A22"/>
    <w:rsid w:val="003C2BEA"/>
    <w:rsid w:val="003C2C2A"/>
    <w:rsid w:val="003C35B0"/>
    <w:rsid w:val="003C4153"/>
    <w:rsid w:val="003C43E3"/>
    <w:rsid w:val="003C4687"/>
    <w:rsid w:val="003C4E97"/>
    <w:rsid w:val="003C5200"/>
    <w:rsid w:val="003C60B4"/>
    <w:rsid w:val="003C60FD"/>
    <w:rsid w:val="003C631D"/>
    <w:rsid w:val="003C679E"/>
    <w:rsid w:val="003C7217"/>
    <w:rsid w:val="003C78BC"/>
    <w:rsid w:val="003D1764"/>
    <w:rsid w:val="003D17F8"/>
    <w:rsid w:val="003D3088"/>
    <w:rsid w:val="003D36A4"/>
    <w:rsid w:val="003D376E"/>
    <w:rsid w:val="003D37E8"/>
    <w:rsid w:val="003D45A6"/>
    <w:rsid w:val="003D49A9"/>
    <w:rsid w:val="003D4E02"/>
    <w:rsid w:val="003D566D"/>
    <w:rsid w:val="003D567F"/>
    <w:rsid w:val="003D5C7B"/>
    <w:rsid w:val="003D5E96"/>
    <w:rsid w:val="003D6690"/>
    <w:rsid w:val="003D6B9A"/>
    <w:rsid w:val="003D6CB0"/>
    <w:rsid w:val="003D6E32"/>
    <w:rsid w:val="003D6E77"/>
    <w:rsid w:val="003D6F8D"/>
    <w:rsid w:val="003D7628"/>
    <w:rsid w:val="003D774A"/>
    <w:rsid w:val="003D77EC"/>
    <w:rsid w:val="003D7C96"/>
    <w:rsid w:val="003E0162"/>
    <w:rsid w:val="003E02CA"/>
    <w:rsid w:val="003E05B7"/>
    <w:rsid w:val="003E0D80"/>
    <w:rsid w:val="003E0E8F"/>
    <w:rsid w:val="003E1638"/>
    <w:rsid w:val="003E175A"/>
    <w:rsid w:val="003E18F8"/>
    <w:rsid w:val="003E1CD6"/>
    <w:rsid w:val="003E29D3"/>
    <w:rsid w:val="003E2B55"/>
    <w:rsid w:val="003E2C50"/>
    <w:rsid w:val="003E362C"/>
    <w:rsid w:val="003E3EE1"/>
    <w:rsid w:val="003E4536"/>
    <w:rsid w:val="003E47F4"/>
    <w:rsid w:val="003E4DE9"/>
    <w:rsid w:val="003E5488"/>
    <w:rsid w:val="003E5820"/>
    <w:rsid w:val="003E585E"/>
    <w:rsid w:val="003E5F86"/>
    <w:rsid w:val="003E61B8"/>
    <w:rsid w:val="003E64B7"/>
    <w:rsid w:val="003E6B4D"/>
    <w:rsid w:val="003E7135"/>
    <w:rsid w:val="003E74FB"/>
    <w:rsid w:val="003E766B"/>
    <w:rsid w:val="003E7CFE"/>
    <w:rsid w:val="003E7D83"/>
    <w:rsid w:val="003E7E64"/>
    <w:rsid w:val="003F03B3"/>
    <w:rsid w:val="003F03E3"/>
    <w:rsid w:val="003F054F"/>
    <w:rsid w:val="003F11D0"/>
    <w:rsid w:val="003F1815"/>
    <w:rsid w:val="003F1FE7"/>
    <w:rsid w:val="003F2091"/>
    <w:rsid w:val="003F20F3"/>
    <w:rsid w:val="003F2366"/>
    <w:rsid w:val="003F252A"/>
    <w:rsid w:val="003F26F8"/>
    <w:rsid w:val="003F29E5"/>
    <w:rsid w:val="003F3261"/>
    <w:rsid w:val="003F33BB"/>
    <w:rsid w:val="003F3D4D"/>
    <w:rsid w:val="003F4D82"/>
    <w:rsid w:val="003F4E40"/>
    <w:rsid w:val="003F5139"/>
    <w:rsid w:val="003F533E"/>
    <w:rsid w:val="003F5CF2"/>
    <w:rsid w:val="003F66B4"/>
    <w:rsid w:val="003F66EC"/>
    <w:rsid w:val="003F70EB"/>
    <w:rsid w:val="003F72DA"/>
    <w:rsid w:val="003F7432"/>
    <w:rsid w:val="003F7C21"/>
    <w:rsid w:val="003F7D35"/>
    <w:rsid w:val="003F7E39"/>
    <w:rsid w:val="003F7E4D"/>
    <w:rsid w:val="0040021D"/>
    <w:rsid w:val="00400824"/>
    <w:rsid w:val="0040090D"/>
    <w:rsid w:val="004010B6"/>
    <w:rsid w:val="0040148A"/>
    <w:rsid w:val="004015BA"/>
    <w:rsid w:val="0040179E"/>
    <w:rsid w:val="00401A50"/>
    <w:rsid w:val="00402C43"/>
    <w:rsid w:val="00402D59"/>
    <w:rsid w:val="004035E9"/>
    <w:rsid w:val="004035ED"/>
    <w:rsid w:val="00403670"/>
    <w:rsid w:val="004039BA"/>
    <w:rsid w:val="00404A11"/>
    <w:rsid w:val="00404E71"/>
    <w:rsid w:val="0040531C"/>
    <w:rsid w:val="0040599E"/>
    <w:rsid w:val="00406500"/>
    <w:rsid w:val="00407BA1"/>
    <w:rsid w:val="00407F69"/>
    <w:rsid w:val="004100C4"/>
    <w:rsid w:val="0041011F"/>
    <w:rsid w:val="00410245"/>
    <w:rsid w:val="004108EC"/>
    <w:rsid w:val="00410A22"/>
    <w:rsid w:val="00410C21"/>
    <w:rsid w:val="00410F90"/>
    <w:rsid w:val="0041115F"/>
    <w:rsid w:val="0041178A"/>
    <w:rsid w:val="004119BC"/>
    <w:rsid w:val="00412424"/>
    <w:rsid w:val="00412428"/>
    <w:rsid w:val="00412CB5"/>
    <w:rsid w:val="004136E1"/>
    <w:rsid w:val="0041378E"/>
    <w:rsid w:val="00413956"/>
    <w:rsid w:val="00413A54"/>
    <w:rsid w:val="00414F4C"/>
    <w:rsid w:val="00414FE3"/>
    <w:rsid w:val="004152BF"/>
    <w:rsid w:val="0041530B"/>
    <w:rsid w:val="004153E9"/>
    <w:rsid w:val="004156E0"/>
    <w:rsid w:val="00415754"/>
    <w:rsid w:val="004161B9"/>
    <w:rsid w:val="00416F62"/>
    <w:rsid w:val="004173C1"/>
    <w:rsid w:val="00417678"/>
    <w:rsid w:val="00417ADB"/>
    <w:rsid w:val="00417AF0"/>
    <w:rsid w:val="00417FE7"/>
    <w:rsid w:val="00420030"/>
    <w:rsid w:val="00420921"/>
    <w:rsid w:val="00420A58"/>
    <w:rsid w:val="00420ADB"/>
    <w:rsid w:val="00420CD2"/>
    <w:rsid w:val="00420F89"/>
    <w:rsid w:val="00420FEC"/>
    <w:rsid w:val="0042124D"/>
    <w:rsid w:val="004215D9"/>
    <w:rsid w:val="004219AB"/>
    <w:rsid w:val="00421CC0"/>
    <w:rsid w:val="00422242"/>
    <w:rsid w:val="004228F4"/>
    <w:rsid w:val="00422B6A"/>
    <w:rsid w:val="00422F02"/>
    <w:rsid w:val="00423569"/>
    <w:rsid w:val="004238EC"/>
    <w:rsid w:val="004239AC"/>
    <w:rsid w:val="0042400C"/>
    <w:rsid w:val="00424690"/>
    <w:rsid w:val="00425320"/>
    <w:rsid w:val="00425384"/>
    <w:rsid w:val="00425A16"/>
    <w:rsid w:val="00425CF5"/>
    <w:rsid w:val="00426D3A"/>
    <w:rsid w:val="00427168"/>
    <w:rsid w:val="004274D7"/>
    <w:rsid w:val="0042786C"/>
    <w:rsid w:val="00427E8F"/>
    <w:rsid w:val="00430313"/>
    <w:rsid w:val="00430E56"/>
    <w:rsid w:val="004314D8"/>
    <w:rsid w:val="00431AAD"/>
    <w:rsid w:val="00432B55"/>
    <w:rsid w:val="00432C37"/>
    <w:rsid w:val="00433438"/>
    <w:rsid w:val="0043470D"/>
    <w:rsid w:val="00434A4A"/>
    <w:rsid w:val="00435006"/>
    <w:rsid w:val="00435307"/>
    <w:rsid w:val="00435697"/>
    <w:rsid w:val="00435B86"/>
    <w:rsid w:val="0043628A"/>
    <w:rsid w:val="00436469"/>
    <w:rsid w:val="0043672D"/>
    <w:rsid w:val="004375C0"/>
    <w:rsid w:val="00437929"/>
    <w:rsid w:val="00437E2A"/>
    <w:rsid w:val="0044054B"/>
    <w:rsid w:val="0044077A"/>
    <w:rsid w:val="00440A05"/>
    <w:rsid w:val="00440B48"/>
    <w:rsid w:val="00440F1D"/>
    <w:rsid w:val="00440F2A"/>
    <w:rsid w:val="00440FF4"/>
    <w:rsid w:val="004412A5"/>
    <w:rsid w:val="00441BD1"/>
    <w:rsid w:val="00441E81"/>
    <w:rsid w:val="004421A4"/>
    <w:rsid w:val="00442322"/>
    <w:rsid w:val="00442A0E"/>
    <w:rsid w:val="00442C85"/>
    <w:rsid w:val="004431B1"/>
    <w:rsid w:val="0044359A"/>
    <w:rsid w:val="00443777"/>
    <w:rsid w:val="0044429B"/>
    <w:rsid w:val="0044442D"/>
    <w:rsid w:val="00444751"/>
    <w:rsid w:val="00444C12"/>
    <w:rsid w:val="00444D1E"/>
    <w:rsid w:val="00444F41"/>
    <w:rsid w:val="0044509B"/>
    <w:rsid w:val="00445273"/>
    <w:rsid w:val="00445437"/>
    <w:rsid w:val="004457DC"/>
    <w:rsid w:val="00445A09"/>
    <w:rsid w:val="00445D03"/>
    <w:rsid w:val="0044624F"/>
    <w:rsid w:val="00446270"/>
    <w:rsid w:val="00446569"/>
    <w:rsid w:val="00446959"/>
    <w:rsid w:val="00446D95"/>
    <w:rsid w:val="0044737D"/>
    <w:rsid w:val="00447821"/>
    <w:rsid w:val="004479A4"/>
    <w:rsid w:val="00447E76"/>
    <w:rsid w:val="00450365"/>
    <w:rsid w:val="0045092C"/>
    <w:rsid w:val="00450AC3"/>
    <w:rsid w:val="0045102B"/>
    <w:rsid w:val="00451696"/>
    <w:rsid w:val="00451B22"/>
    <w:rsid w:val="00451BC7"/>
    <w:rsid w:val="0045225A"/>
    <w:rsid w:val="0045233C"/>
    <w:rsid w:val="0045261B"/>
    <w:rsid w:val="00452B4D"/>
    <w:rsid w:val="00452BEB"/>
    <w:rsid w:val="004538EF"/>
    <w:rsid w:val="00453DB2"/>
    <w:rsid w:val="00454BFD"/>
    <w:rsid w:val="00454FD8"/>
    <w:rsid w:val="00455468"/>
    <w:rsid w:val="00455892"/>
    <w:rsid w:val="00455C51"/>
    <w:rsid w:val="00456355"/>
    <w:rsid w:val="00456678"/>
    <w:rsid w:val="00456A0C"/>
    <w:rsid w:val="00456BC4"/>
    <w:rsid w:val="00456C23"/>
    <w:rsid w:val="0045713C"/>
    <w:rsid w:val="00457908"/>
    <w:rsid w:val="00457E7A"/>
    <w:rsid w:val="00460067"/>
    <w:rsid w:val="00460131"/>
    <w:rsid w:val="00460AC1"/>
    <w:rsid w:val="00461097"/>
    <w:rsid w:val="004612D7"/>
    <w:rsid w:val="00461391"/>
    <w:rsid w:val="0046156F"/>
    <w:rsid w:val="00461711"/>
    <w:rsid w:val="00462449"/>
    <w:rsid w:val="004633F6"/>
    <w:rsid w:val="00463767"/>
    <w:rsid w:val="00463B9A"/>
    <w:rsid w:val="00463C84"/>
    <w:rsid w:val="00463D81"/>
    <w:rsid w:val="00463E10"/>
    <w:rsid w:val="00464125"/>
    <w:rsid w:val="00464133"/>
    <w:rsid w:val="004647E3"/>
    <w:rsid w:val="00464A3E"/>
    <w:rsid w:val="00464DC9"/>
    <w:rsid w:val="004651BD"/>
    <w:rsid w:val="0046605F"/>
    <w:rsid w:val="0046606C"/>
    <w:rsid w:val="0046617B"/>
    <w:rsid w:val="0046665C"/>
    <w:rsid w:val="0046670D"/>
    <w:rsid w:val="0047015B"/>
    <w:rsid w:val="004701A0"/>
    <w:rsid w:val="004702C2"/>
    <w:rsid w:val="00470831"/>
    <w:rsid w:val="004709E1"/>
    <w:rsid w:val="00471591"/>
    <w:rsid w:val="00471969"/>
    <w:rsid w:val="0047229F"/>
    <w:rsid w:val="00472819"/>
    <w:rsid w:val="004734B5"/>
    <w:rsid w:val="0047398B"/>
    <w:rsid w:val="004739EC"/>
    <w:rsid w:val="00474687"/>
    <w:rsid w:val="00474C82"/>
    <w:rsid w:val="00474DCB"/>
    <w:rsid w:val="004758E6"/>
    <w:rsid w:val="0047596A"/>
    <w:rsid w:val="00475C6C"/>
    <w:rsid w:val="00475CDC"/>
    <w:rsid w:val="0047618D"/>
    <w:rsid w:val="004763FB"/>
    <w:rsid w:val="00476773"/>
    <w:rsid w:val="00476EE1"/>
    <w:rsid w:val="004770FB"/>
    <w:rsid w:val="00477B5F"/>
    <w:rsid w:val="00477FEF"/>
    <w:rsid w:val="0048067A"/>
    <w:rsid w:val="0048072A"/>
    <w:rsid w:val="004807FE"/>
    <w:rsid w:val="00480889"/>
    <w:rsid w:val="00480CC7"/>
    <w:rsid w:val="00481845"/>
    <w:rsid w:val="00481B24"/>
    <w:rsid w:val="004822D5"/>
    <w:rsid w:val="004826FD"/>
    <w:rsid w:val="0048393D"/>
    <w:rsid w:val="004839EA"/>
    <w:rsid w:val="00484154"/>
    <w:rsid w:val="004845BE"/>
    <w:rsid w:val="004846F5"/>
    <w:rsid w:val="00484BF5"/>
    <w:rsid w:val="00484C6C"/>
    <w:rsid w:val="00485153"/>
    <w:rsid w:val="0048578E"/>
    <w:rsid w:val="0048582B"/>
    <w:rsid w:val="00485963"/>
    <w:rsid w:val="00485976"/>
    <w:rsid w:val="00486D20"/>
    <w:rsid w:val="00486F7E"/>
    <w:rsid w:val="00487459"/>
    <w:rsid w:val="004874E4"/>
    <w:rsid w:val="00487523"/>
    <w:rsid w:val="00487A1E"/>
    <w:rsid w:val="00487E26"/>
    <w:rsid w:val="00490240"/>
    <w:rsid w:val="00490377"/>
    <w:rsid w:val="00490585"/>
    <w:rsid w:val="0049064E"/>
    <w:rsid w:val="00490CBE"/>
    <w:rsid w:val="00490F82"/>
    <w:rsid w:val="0049114D"/>
    <w:rsid w:val="00491A8C"/>
    <w:rsid w:val="00491B11"/>
    <w:rsid w:val="00491ECE"/>
    <w:rsid w:val="00492CB1"/>
    <w:rsid w:val="00493191"/>
    <w:rsid w:val="0049338E"/>
    <w:rsid w:val="00493803"/>
    <w:rsid w:val="00493E6B"/>
    <w:rsid w:val="00494084"/>
    <w:rsid w:val="004949DF"/>
    <w:rsid w:val="00494FCA"/>
    <w:rsid w:val="0049504B"/>
    <w:rsid w:val="004959D6"/>
    <w:rsid w:val="00495C4F"/>
    <w:rsid w:val="00495D66"/>
    <w:rsid w:val="00495F41"/>
    <w:rsid w:val="00495FC6"/>
    <w:rsid w:val="00496BFE"/>
    <w:rsid w:val="00497E0A"/>
    <w:rsid w:val="00497E20"/>
    <w:rsid w:val="00497E25"/>
    <w:rsid w:val="004A058C"/>
    <w:rsid w:val="004A0C89"/>
    <w:rsid w:val="004A0D5D"/>
    <w:rsid w:val="004A13D7"/>
    <w:rsid w:val="004A1594"/>
    <w:rsid w:val="004A1A49"/>
    <w:rsid w:val="004A1C30"/>
    <w:rsid w:val="004A1D72"/>
    <w:rsid w:val="004A2C26"/>
    <w:rsid w:val="004A2C29"/>
    <w:rsid w:val="004A3189"/>
    <w:rsid w:val="004A3512"/>
    <w:rsid w:val="004A353D"/>
    <w:rsid w:val="004A37DC"/>
    <w:rsid w:val="004A3ACA"/>
    <w:rsid w:val="004A3AFD"/>
    <w:rsid w:val="004A4177"/>
    <w:rsid w:val="004A46EA"/>
    <w:rsid w:val="004A4B54"/>
    <w:rsid w:val="004A4FF8"/>
    <w:rsid w:val="004A5018"/>
    <w:rsid w:val="004A5B0A"/>
    <w:rsid w:val="004A64A4"/>
    <w:rsid w:val="004A6BFB"/>
    <w:rsid w:val="004A6C5E"/>
    <w:rsid w:val="004A6DB3"/>
    <w:rsid w:val="004A74D3"/>
    <w:rsid w:val="004B1683"/>
    <w:rsid w:val="004B19AF"/>
    <w:rsid w:val="004B1CC5"/>
    <w:rsid w:val="004B2149"/>
    <w:rsid w:val="004B24DA"/>
    <w:rsid w:val="004B26B9"/>
    <w:rsid w:val="004B29DD"/>
    <w:rsid w:val="004B30A7"/>
    <w:rsid w:val="004B31A2"/>
    <w:rsid w:val="004B4532"/>
    <w:rsid w:val="004B4709"/>
    <w:rsid w:val="004B4799"/>
    <w:rsid w:val="004B5209"/>
    <w:rsid w:val="004B5270"/>
    <w:rsid w:val="004B52A7"/>
    <w:rsid w:val="004B5662"/>
    <w:rsid w:val="004B5C94"/>
    <w:rsid w:val="004B5DF6"/>
    <w:rsid w:val="004B5EB2"/>
    <w:rsid w:val="004B5ED5"/>
    <w:rsid w:val="004B71FC"/>
    <w:rsid w:val="004B755F"/>
    <w:rsid w:val="004C0452"/>
    <w:rsid w:val="004C05CB"/>
    <w:rsid w:val="004C0750"/>
    <w:rsid w:val="004C0D99"/>
    <w:rsid w:val="004C0E58"/>
    <w:rsid w:val="004C0E5C"/>
    <w:rsid w:val="004C0EE0"/>
    <w:rsid w:val="004C11B1"/>
    <w:rsid w:val="004C1C31"/>
    <w:rsid w:val="004C26F5"/>
    <w:rsid w:val="004C2ADB"/>
    <w:rsid w:val="004C2F98"/>
    <w:rsid w:val="004C3A31"/>
    <w:rsid w:val="004C3A93"/>
    <w:rsid w:val="004C3EAF"/>
    <w:rsid w:val="004C4810"/>
    <w:rsid w:val="004C4878"/>
    <w:rsid w:val="004C5544"/>
    <w:rsid w:val="004C5A84"/>
    <w:rsid w:val="004C5CD9"/>
    <w:rsid w:val="004C60FA"/>
    <w:rsid w:val="004C6124"/>
    <w:rsid w:val="004C62B6"/>
    <w:rsid w:val="004C67EC"/>
    <w:rsid w:val="004C680D"/>
    <w:rsid w:val="004C68DE"/>
    <w:rsid w:val="004C6AB1"/>
    <w:rsid w:val="004C6BCE"/>
    <w:rsid w:val="004C6C7C"/>
    <w:rsid w:val="004C6C7E"/>
    <w:rsid w:val="004C6F2C"/>
    <w:rsid w:val="004C7AA2"/>
    <w:rsid w:val="004C7E3C"/>
    <w:rsid w:val="004D0172"/>
    <w:rsid w:val="004D074A"/>
    <w:rsid w:val="004D0A5D"/>
    <w:rsid w:val="004D0C94"/>
    <w:rsid w:val="004D0CCD"/>
    <w:rsid w:val="004D0D1F"/>
    <w:rsid w:val="004D0D21"/>
    <w:rsid w:val="004D115D"/>
    <w:rsid w:val="004D159D"/>
    <w:rsid w:val="004D1CC7"/>
    <w:rsid w:val="004D2A06"/>
    <w:rsid w:val="004D2C61"/>
    <w:rsid w:val="004D2CAE"/>
    <w:rsid w:val="004D2DB6"/>
    <w:rsid w:val="004D381D"/>
    <w:rsid w:val="004D3F1B"/>
    <w:rsid w:val="004D505C"/>
    <w:rsid w:val="004D50FF"/>
    <w:rsid w:val="004D595A"/>
    <w:rsid w:val="004D72DA"/>
    <w:rsid w:val="004D7309"/>
    <w:rsid w:val="004D73A2"/>
    <w:rsid w:val="004D7750"/>
    <w:rsid w:val="004D7CAC"/>
    <w:rsid w:val="004E0125"/>
    <w:rsid w:val="004E057D"/>
    <w:rsid w:val="004E0645"/>
    <w:rsid w:val="004E0CE1"/>
    <w:rsid w:val="004E1834"/>
    <w:rsid w:val="004E1B7F"/>
    <w:rsid w:val="004E2566"/>
    <w:rsid w:val="004E2569"/>
    <w:rsid w:val="004E29F8"/>
    <w:rsid w:val="004E2B70"/>
    <w:rsid w:val="004E2D7B"/>
    <w:rsid w:val="004E3E7C"/>
    <w:rsid w:val="004E4042"/>
    <w:rsid w:val="004E40F0"/>
    <w:rsid w:val="004E4170"/>
    <w:rsid w:val="004E4B48"/>
    <w:rsid w:val="004E4BE5"/>
    <w:rsid w:val="004E4CD0"/>
    <w:rsid w:val="004E5624"/>
    <w:rsid w:val="004E57AD"/>
    <w:rsid w:val="004E5F1F"/>
    <w:rsid w:val="004E6736"/>
    <w:rsid w:val="004E68AB"/>
    <w:rsid w:val="004E6C03"/>
    <w:rsid w:val="004E7413"/>
    <w:rsid w:val="004E7660"/>
    <w:rsid w:val="004E76A3"/>
    <w:rsid w:val="004E7C3E"/>
    <w:rsid w:val="004E7D7D"/>
    <w:rsid w:val="004F00EA"/>
    <w:rsid w:val="004F07FD"/>
    <w:rsid w:val="004F0EEA"/>
    <w:rsid w:val="004F163B"/>
    <w:rsid w:val="004F1648"/>
    <w:rsid w:val="004F1660"/>
    <w:rsid w:val="004F1871"/>
    <w:rsid w:val="004F328E"/>
    <w:rsid w:val="004F3A31"/>
    <w:rsid w:val="004F3F25"/>
    <w:rsid w:val="004F4A19"/>
    <w:rsid w:val="004F4B7E"/>
    <w:rsid w:val="004F5085"/>
    <w:rsid w:val="004F5602"/>
    <w:rsid w:val="004F57DE"/>
    <w:rsid w:val="004F5F87"/>
    <w:rsid w:val="004F6104"/>
    <w:rsid w:val="004F6350"/>
    <w:rsid w:val="004F66B3"/>
    <w:rsid w:val="004F78A3"/>
    <w:rsid w:val="004F7D4A"/>
    <w:rsid w:val="00500173"/>
    <w:rsid w:val="00500D43"/>
    <w:rsid w:val="0050140D"/>
    <w:rsid w:val="0050147F"/>
    <w:rsid w:val="00501487"/>
    <w:rsid w:val="00501694"/>
    <w:rsid w:val="0050291D"/>
    <w:rsid w:val="00502926"/>
    <w:rsid w:val="00502E01"/>
    <w:rsid w:val="00502E3A"/>
    <w:rsid w:val="00502E78"/>
    <w:rsid w:val="00503177"/>
    <w:rsid w:val="0050333D"/>
    <w:rsid w:val="00503458"/>
    <w:rsid w:val="00503898"/>
    <w:rsid w:val="005055AE"/>
    <w:rsid w:val="005057F1"/>
    <w:rsid w:val="00505818"/>
    <w:rsid w:val="00506341"/>
    <w:rsid w:val="00506AF3"/>
    <w:rsid w:val="00506DF9"/>
    <w:rsid w:val="00506F34"/>
    <w:rsid w:val="0050724E"/>
    <w:rsid w:val="00507405"/>
    <w:rsid w:val="0050758D"/>
    <w:rsid w:val="005104D1"/>
    <w:rsid w:val="0051077A"/>
    <w:rsid w:val="005108CE"/>
    <w:rsid w:val="005108D1"/>
    <w:rsid w:val="0051110A"/>
    <w:rsid w:val="0051137C"/>
    <w:rsid w:val="00511452"/>
    <w:rsid w:val="005119BB"/>
    <w:rsid w:val="00511C38"/>
    <w:rsid w:val="00512C44"/>
    <w:rsid w:val="00513691"/>
    <w:rsid w:val="00513724"/>
    <w:rsid w:val="00513C86"/>
    <w:rsid w:val="0051551C"/>
    <w:rsid w:val="005155E7"/>
    <w:rsid w:val="00515719"/>
    <w:rsid w:val="00515E4C"/>
    <w:rsid w:val="00516C2C"/>
    <w:rsid w:val="00516ED1"/>
    <w:rsid w:val="0051717D"/>
    <w:rsid w:val="005205F8"/>
    <w:rsid w:val="00520B6B"/>
    <w:rsid w:val="00520C76"/>
    <w:rsid w:val="00520E3C"/>
    <w:rsid w:val="00521097"/>
    <w:rsid w:val="0052122E"/>
    <w:rsid w:val="00521314"/>
    <w:rsid w:val="00521691"/>
    <w:rsid w:val="00521910"/>
    <w:rsid w:val="00521BDA"/>
    <w:rsid w:val="0052234C"/>
    <w:rsid w:val="00522A82"/>
    <w:rsid w:val="00522CB8"/>
    <w:rsid w:val="00523E64"/>
    <w:rsid w:val="00523F9A"/>
    <w:rsid w:val="005241AF"/>
    <w:rsid w:val="005242FD"/>
    <w:rsid w:val="005243AC"/>
    <w:rsid w:val="005246F7"/>
    <w:rsid w:val="005252B5"/>
    <w:rsid w:val="005254F8"/>
    <w:rsid w:val="00525C96"/>
    <w:rsid w:val="00525D06"/>
    <w:rsid w:val="00526011"/>
    <w:rsid w:val="00526C1D"/>
    <w:rsid w:val="00526E4F"/>
    <w:rsid w:val="005272D7"/>
    <w:rsid w:val="0052783C"/>
    <w:rsid w:val="00527A26"/>
    <w:rsid w:val="00527EDB"/>
    <w:rsid w:val="00530340"/>
    <w:rsid w:val="00530C6D"/>
    <w:rsid w:val="005311F7"/>
    <w:rsid w:val="00531C73"/>
    <w:rsid w:val="00531CF6"/>
    <w:rsid w:val="00531EA0"/>
    <w:rsid w:val="005327D5"/>
    <w:rsid w:val="0053291F"/>
    <w:rsid w:val="00533923"/>
    <w:rsid w:val="00533A4B"/>
    <w:rsid w:val="00533D46"/>
    <w:rsid w:val="005342D7"/>
    <w:rsid w:val="00534540"/>
    <w:rsid w:val="00534943"/>
    <w:rsid w:val="005349C0"/>
    <w:rsid w:val="00534AE5"/>
    <w:rsid w:val="0053580F"/>
    <w:rsid w:val="00535912"/>
    <w:rsid w:val="0053627E"/>
    <w:rsid w:val="00536B10"/>
    <w:rsid w:val="0053702E"/>
    <w:rsid w:val="0053750A"/>
    <w:rsid w:val="005379A5"/>
    <w:rsid w:val="00537A36"/>
    <w:rsid w:val="00537D06"/>
    <w:rsid w:val="00540090"/>
    <w:rsid w:val="00540419"/>
    <w:rsid w:val="005408B5"/>
    <w:rsid w:val="00540922"/>
    <w:rsid w:val="0054092F"/>
    <w:rsid w:val="005409E0"/>
    <w:rsid w:val="00541455"/>
    <w:rsid w:val="005419B8"/>
    <w:rsid w:val="00541A0B"/>
    <w:rsid w:val="00541A7A"/>
    <w:rsid w:val="00542262"/>
    <w:rsid w:val="00542B07"/>
    <w:rsid w:val="00542CEA"/>
    <w:rsid w:val="0054312C"/>
    <w:rsid w:val="00543EED"/>
    <w:rsid w:val="00544BF6"/>
    <w:rsid w:val="0054589C"/>
    <w:rsid w:val="00545E9A"/>
    <w:rsid w:val="00546071"/>
    <w:rsid w:val="005469C8"/>
    <w:rsid w:val="005469E4"/>
    <w:rsid w:val="00547FA6"/>
    <w:rsid w:val="00547FB9"/>
    <w:rsid w:val="00550353"/>
    <w:rsid w:val="005507F7"/>
    <w:rsid w:val="00550908"/>
    <w:rsid w:val="005509E7"/>
    <w:rsid w:val="00550DC3"/>
    <w:rsid w:val="0055182E"/>
    <w:rsid w:val="00551CC1"/>
    <w:rsid w:val="00552673"/>
    <w:rsid w:val="005526D1"/>
    <w:rsid w:val="005527EF"/>
    <w:rsid w:val="00552F1C"/>
    <w:rsid w:val="00553226"/>
    <w:rsid w:val="005532A9"/>
    <w:rsid w:val="00553CC2"/>
    <w:rsid w:val="005541CC"/>
    <w:rsid w:val="0055457C"/>
    <w:rsid w:val="005546BD"/>
    <w:rsid w:val="0055477D"/>
    <w:rsid w:val="0055498F"/>
    <w:rsid w:val="00555038"/>
    <w:rsid w:val="00555559"/>
    <w:rsid w:val="0055615F"/>
    <w:rsid w:val="0055639E"/>
    <w:rsid w:val="0055666A"/>
    <w:rsid w:val="00556A10"/>
    <w:rsid w:val="00556A23"/>
    <w:rsid w:val="00556E1E"/>
    <w:rsid w:val="00556E5D"/>
    <w:rsid w:val="00556E64"/>
    <w:rsid w:val="0055787B"/>
    <w:rsid w:val="00560620"/>
    <w:rsid w:val="00560AC9"/>
    <w:rsid w:val="00561503"/>
    <w:rsid w:val="0056192E"/>
    <w:rsid w:val="00561B05"/>
    <w:rsid w:val="00561CBB"/>
    <w:rsid w:val="005621E4"/>
    <w:rsid w:val="00562795"/>
    <w:rsid w:val="00562CBF"/>
    <w:rsid w:val="0056387A"/>
    <w:rsid w:val="00564025"/>
    <w:rsid w:val="00564A5E"/>
    <w:rsid w:val="0056616C"/>
    <w:rsid w:val="0056618C"/>
    <w:rsid w:val="00566308"/>
    <w:rsid w:val="0056639E"/>
    <w:rsid w:val="005705A1"/>
    <w:rsid w:val="005706BA"/>
    <w:rsid w:val="005707DA"/>
    <w:rsid w:val="00570F84"/>
    <w:rsid w:val="00571234"/>
    <w:rsid w:val="005716D8"/>
    <w:rsid w:val="00571749"/>
    <w:rsid w:val="00571AFA"/>
    <w:rsid w:val="00571EF2"/>
    <w:rsid w:val="00571F2A"/>
    <w:rsid w:val="00572109"/>
    <w:rsid w:val="005721B2"/>
    <w:rsid w:val="00572C3B"/>
    <w:rsid w:val="00572DAD"/>
    <w:rsid w:val="005742CB"/>
    <w:rsid w:val="00574491"/>
    <w:rsid w:val="00574738"/>
    <w:rsid w:val="00574E55"/>
    <w:rsid w:val="0057564F"/>
    <w:rsid w:val="0057573D"/>
    <w:rsid w:val="00575969"/>
    <w:rsid w:val="00576549"/>
    <w:rsid w:val="005765D4"/>
    <w:rsid w:val="0057686C"/>
    <w:rsid w:val="00576E5C"/>
    <w:rsid w:val="00577104"/>
    <w:rsid w:val="005775F2"/>
    <w:rsid w:val="00577680"/>
    <w:rsid w:val="005776F9"/>
    <w:rsid w:val="00577D24"/>
    <w:rsid w:val="00577DFC"/>
    <w:rsid w:val="00581C88"/>
    <w:rsid w:val="00581F7B"/>
    <w:rsid w:val="00582376"/>
    <w:rsid w:val="00582A58"/>
    <w:rsid w:val="00583035"/>
    <w:rsid w:val="005832CD"/>
    <w:rsid w:val="00583407"/>
    <w:rsid w:val="005838A8"/>
    <w:rsid w:val="00584459"/>
    <w:rsid w:val="0058503B"/>
    <w:rsid w:val="0058549F"/>
    <w:rsid w:val="00585DAD"/>
    <w:rsid w:val="00585F29"/>
    <w:rsid w:val="0058631E"/>
    <w:rsid w:val="005863CA"/>
    <w:rsid w:val="00586AC6"/>
    <w:rsid w:val="00586EA0"/>
    <w:rsid w:val="00586FEA"/>
    <w:rsid w:val="0058707A"/>
    <w:rsid w:val="00587BA3"/>
    <w:rsid w:val="00587C7C"/>
    <w:rsid w:val="00590507"/>
    <w:rsid w:val="00590828"/>
    <w:rsid w:val="00590985"/>
    <w:rsid w:val="00590BC0"/>
    <w:rsid w:val="00590D78"/>
    <w:rsid w:val="00590E7D"/>
    <w:rsid w:val="00591025"/>
    <w:rsid w:val="0059160F"/>
    <w:rsid w:val="005916BD"/>
    <w:rsid w:val="00591C06"/>
    <w:rsid w:val="00591D60"/>
    <w:rsid w:val="00591E18"/>
    <w:rsid w:val="00591FF5"/>
    <w:rsid w:val="005930E7"/>
    <w:rsid w:val="005932DB"/>
    <w:rsid w:val="0059365B"/>
    <w:rsid w:val="00593D51"/>
    <w:rsid w:val="00594F61"/>
    <w:rsid w:val="00595431"/>
    <w:rsid w:val="0059551E"/>
    <w:rsid w:val="005959CB"/>
    <w:rsid w:val="00595B89"/>
    <w:rsid w:val="00596684"/>
    <w:rsid w:val="00596814"/>
    <w:rsid w:val="00597E5A"/>
    <w:rsid w:val="005A0113"/>
    <w:rsid w:val="005A0457"/>
    <w:rsid w:val="005A0D65"/>
    <w:rsid w:val="005A122B"/>
    <w:rsid w:val="005A1279"/>
    <w:rsid w:val="005A1464"/>
    <w:rsid w:val="005A1501"/>
    <w:rsid w:val="005A15A8"/>
    <w:rsid w:val="005A253D"/>
    <w:rsid w:val="005A27AF"/>
    <w:rsid w:val="005A2D52"/>
    <w:rsid w:val="005A3179"/>
    <w:rsid w:val="005A3C2D"/>
    <w:rsid w:val="005A4B65"/>
    <w:rsid w:val="005A4B84"/>
    <w:rsid w:val="005A52F3"/>
    <w:rsid w:val="005A56D5"/>
    <w:rsid w:val="005A57C9"/>
    <w:rsid w:val="005A5E51"/>
    <w:rsid w:val="005A5E9B"/>
    <w:rsid w:val="005A6337"/>
    <w:rsid w:val="005A6736"/>
    <w:rsid w:val="005A6761"/>
    <w:rsid w:val="005A6C58"/>
    <w:rsid w:val="005A76A7"/>
    <w:rsid w:val="005A7E6B"/>
    <w:rsid w:val="005A7F0A"/>
    <w:rsid w:val="005B00C6"/>
    <w:rsid w:val="005B03CA"/>
    <w:rsid w:val="005B07B9"/>
    <w:rsid w:val="005B0DF4"/>
    <w:rsid w:val="005B1B5F"/>
    <w:rsid w:val="005B2791"/>
    <w:rsid w:val="005B2949"/>
    <w:rsid w:val="005B3553"/>
    <w:rsid w:val="005B45B5"/>
    <w:rsid w:val="005B46FD"/>
    <w:rsid w:val="005B4A46"/>
    <w:rsid w:val="005B4E7A"/>
    <w:rsid w:val="005B54F5"/>
    <w:rsid w:val="005B55D2"/>
    <w:rsid w:val="005B57E1"/>
    <w:rsid w:val="005B6B2D"/>
    <w:rsid w:val="005B6C4C"/>
    <w:rsid w:val="005B7750"/>
    <w:rsid w:val="005B7C08"/>
    <w:rsid w:val="005C00A9"/>
    <w:rsid w:val="005C0731"/>
    <w:rsid w:val="005C087E"/>
    <w:rsid w:val="005C1083"/>
    <w:rsid w:val="005C173A"/>
    <w:rsid w:val="005C2102"/>
    <w:rsid w:val="005C256B"/>
    <w:rsid w:val="005C2CE3"/>
    <w:rsid w:val="005C2F70"/>
    <w:rsid w:val="005C3158"/>
    <w:rsid w:val="005C3DE4"/>
    <w:rsid w:val="005C3E03"/>
    <w:rsid w:val="005C3EDE"/>
    <w:rsid w:val="005C41EA"/>
    <w:rsid w:val="005C494E"/>
    <w:rsid w:val="005C5DBB"/>
    <w:rsid w:val="005C5FC6"/>
    <w:rsid w:val="005C60D6"/>
    <w:rsid w:val="005C6369"/>
    <w:rsid w:val="005C66E5"/>
    <w:rsid w:val="005C68F1"/>
    <w:rsid w:val="005C6DB8"/>
    <w:rsid w:val="005C6E4A"/>
    <w:rsid w:val="005C6E54"/>
    <w:rsid w:val="005C721B"/>
    <w:rsid w:val="005C7A40"/>
    <w:rsid w:val="005C7DB6"/>
    <w:rsid w:val="005D0A18"/>
    <w:rsid w:val="005D0B3A"/>
    <w:rsid w:val="005D110C"/>
    <w:rsid w:val="005D128D"/>
    <w:rsid w:val="005D1B8D"/>
    <w:rsid w:val="005D1E2C"/>
    <w:rsid w:val="005D289D"/>
    <w:rsid w:val="005D2EEA"/>
    <w:rsid w:val="005D2F5C"/>
    <w:rsid w:val="005D3461"/>
    <w:rsid w:val="005D3B77"/>
    <w:rsid w:val="005D3BF0"/>
    <w:rsid w:val="005D4596"/>
    <w:rsid w:val="005D45BE"/>
    <w:rsid w:val="005D4CF6"/>
    <w:rsid w:val="005D552A"/>
    <w:rsid w:val="005D5693"/>
    <w:rsid w:val="005D5A67"/>
    <w:rsid w:val="005D5C6A"/>
    <w:rsid w:val="005D5F48"/>
    <w:rsid w:val="005D5FD0"/>
    <w:rsid w:val="005D64C3"/>
    <w:rsid w:val="005D6A16"/>
    <w:rsid w:val="005D6A38"/>
    <w:rsid w:val="005D6E2B"/>
    <w:rsid w:val="005D6FD4"/>
    <w:rsid w:val="005D7360"/>
    <w:rsid w:val="005D783B"/>
    <w:rsid w:val="005D7B77"/>
    <w:rsid w:val="005E013C"/>
    <w:rsid w:val="005E0340"/>
    <w:rsid w:val="005E04CC"/>
    <w:rsid w:val="005E0800"/>
    <w:rsid w:val="005E09D5"/>
    <w:rsid w:val="005E1231"/>
    <w:rsid w:val="005E1EC6"/>
    <w:rsid w:val="005E27B6"/>
    <w:rsid w:val="005E28FE"/>
    <w:rsid w:val="005E29D5"/>
    <w:rsid w:val="005E2ACE"/>
    <w:rsid w:val="005E358D"/>
    <w:rsid w:val="005E3779"/>
    <w:rsid w:val="005E37B3"/>
    <w:rsid w:val="005E3C4F"/>
    <w:rsid w:val="005E459E"/>
    <w:rsid w:val="005E45AA"/>
    <w:rsid w:val="005E4AC1"/>
    <w:rsid w:val="005E4E8D"/>
    <w:rsid w:val="005E59E4"/>
    <w:rsid w:val="005E5BB3"/>
    <w:rsid w:val="005E6BE0"/>
    <w:rsid w:val="005F0095"/>
    <w:rsid w:val="005F01C5"/>
    <w:rsid w:val="005F17D0"/>
    <w:rsid w:val="005F1B6F"/>
    <w:rsid w:val="005F21B8"/>
    <w:rsid w:val="005F28BD"/>
    <w:rsid w:val="005F2936"/>
    <w:rsid w:val="005F2EF3"/>
    <w:rsid w:val="005F32D3"/>
    <w:rsid w:val="005F3340"/>
    <w:rsid w:val="005F36DD"/>
    <w:rsid w:val="005F3C03"/>
    <w:rsid w:val="005F4189"/>
    <w:rsid w:val="005F424E"/>
    <w:rsid w:val="005F4AD4"/>
    <w:rsid w:val="005F5AD9"/>
    <w:rsid w:val="005F5B5D"/>
    <w:rsid w:val="005F5DE5"/>
    <w:rsid w:val="005F66D5"/>
    <w:rsid w:val="005F723B"/>
    <w:rsid w:val="005F751F"/>
    <w:rsid w:val="005F77F6"/>
    <w:rsid w:val="005F79FF"/>
    <w:rsid w:val="006003B6"/>
    <w:rsid w:val="00600408"/>
    <w:rsid w:val="0060063F"/>
    <w:rsid w:val="00600941"/>
    <w:rsid w:val="00600BA6"/>
    <w:rsid w:val="00600CD2"/>
    <w:rsid w:val="00600E7B"/>
    <w:rsid w:val="00600F5D"/>
    <w:rsid w:val="00600FAE"/>
    <w:rsid w:val="0060183B"/>
    <w:rsid w:val="006026D8"/>
    <w:rsid w:val="00603291"/>
    <w:rsid w:val="00603578"/>
    <w:rsid w:val="0060369E"/>
    <w:rsid w:val="00603BB5"/>
    <w:rsid w:val="006042B4"/>
    <w:rsid w:val="00604437"/>
    <w:rsid w:val="00604AED"/>
    <w:rsid w:val="006050FD"/>
    <w:rsid w:val="00605279"/>
    <w:rsid w:val="006055CB"/>
    <w:rsid w:val="00605937"/>
    <w:rsid w:val="00606390"/>
    <w:rsid w:val="0060646E"/>
    <w:rsid w:val="00606D82"/>
    <w:rsid w:val="00606F8B"/>
    <w:rsid w:val="006074E0"/>
    <w:rsid w:val="006104F3"/>
    <w:rsid w:val="006107B5"/>
    <w:rsid w:val="00610C82"/>
    <w:rsid w:val="00610DDC"/>
    <w:rsid w:val="0061124A"/>
    <w:rsid w:val="006117DE"/>
    <w:rsid w:val="00611AA4"/>
    <w:rsid w:val="00611CD4"/>
    <w:rsid w:val="00611D8D"/>
    <w:rsid w:val="00611DF6"/>
    <w:rsid w:val="00612188"/>
    <w:rsid w:val="00612982"/>
    <w:rsid w:val="00612BFB"/>
    <w:rsid w:val="006132C0"/>
    <w:rsid w:val="00613666"/>
    <w:rsid w:val="006137E2"/>
    <w:rsid w:val="00613B83"/>
    <w:rsid w:val="00614164"/>
    <w:rsid w:val="00614873"/>
    <w:rsid w:val="006148AE"/>
    <w:rsid w:val="00614AD7"/>
    <w:rsid w:val="00614F0F"/>
    <w:rsid w:val="006151FF"/>
    <w:rsid w:val="006155E0"/>
    <w:rsid w:val="00615869"/>
    <w:rsid w:val="00615D09"/>
    <w:rsid w:val="0061612B"/>
    <w:rsid w:val="006169F7"/>
    <w:rsid w:val="00617239"/>
    <w:rsid w:val="00617319"/>
    <w:rsid w:val="00617A37"/>
    <w:rsid w:val="00617DDF"/>
    <w:rsid w:val="00620144"/>
    <w:rsid w:val="0062076B"/>
    <w:rsid w:val="00620799"/>
    <w:rsid w:val="00620B56"/>
    <w:rsid w:val="0062190A"/>
    <w:rsid w:val="00621BCA"/>
    <w:rsid w:val="00622631"/>
    <w:rsid w:val="00622E51"/>
    <w:rsid w:val="006230B8"/>
    <w:rsid w:val="00623253"/>
    <w:rsid w:val="006239DB"/>
    <w:rsid w:val="00624088"/>
    <w:rsid w:val="006243DB"/>
    <w:rsid w:val="00624726"/>
    <w:rsid w:val="00624E02"/>
    <w:rsid w:val="006250A0"/>
    <w:rsid w:val="006254E4"/>
    <w:rsid w:val="006258CD"/>
    <w:rsid w:val="00625B52"/>
    <w:rsid w:val="00625CAE"/>
    <w:rsid w:val="0062646F"/>
    <w:rsid w:val="00626535"/>
    <w:rsid w:val="0062689A"/>
    <w:rsid w:val="00626915"/>
    <w:rsid w:val="006269C4"/>
    <w:rsid w:val="006271C1"/>
    <w:rsid w:val="0062728E"/>
    <w:rsid w:val="006272AF"/>
    <w:rsid w:val="00627B23"/>
    <w:rsid w:val="00627DDF"/>
    <w:rsid w:val="00627E9A"/>
    <w:rsid w:val="006300F4"/>
    <w:rsid w:val="00630583"/>
    <w:rsid w:val="00630F3B"/>
    <w:rsid w:val="00631188"/>
    <w:rsid w:val="006319ED"/>
    <w:rsid w:val="00631E45"/>
    <w:rsid w:val="00631FDF"/>
    <w:rsid w:val="00632323"/>
    <w:rsid w:val="006324C2"/>
    <w:rsid w:val="006329DE"/>
    <w:rsid w:val="00632FA8"/>
    <w:rsid w:val="006332BC"/>
    <w:rsid w:val="006332F3"/>
    <w:rsid w:val="00633F05"/>
    <w:rsid w:val="00633FC9"/>
    <w:rsid w:val="00634AB3"/>
    <w:rsid w:val="00634BDD"/>
    <w:rsid w:val="00634FBD"/>
    <w:rsid w:val="00635C08"/>
    <w:rsid w:val="00635C7C"/>
    <w:rsid w:val="00635FCD"/>
    <w:rsid w:val="00636663"/>
    <w:rsid w:val="00636C12"/>
    <w:rsid w:val="00636E6F"/>
    <w:rsid w:val="00637130"/>
    <w:rsid w:val="00637B58"/>
    <w:rsid w:val="00637D0F"/>
    <w:rsid w:val="00637F9E"/>
    <w:rsid w:val="0064043F"/>
    <w:rsid w:val="00640463"/>
    <w:rsid w:val="006405B8"/>
    <w:rsid w:val="00640694"/>
    <w:rsid w:val="00640771"/>
    <w:rsid w:val="0064099D"/>
    <w:rsid w:val="006419AE"/>
    <w:rsid w:val="00641B4E"/>
    <w:rsid w:val="00641EF9"/>
    <w:rsid w:val="00642157"/>
    <w:rsid w:val="00642BDA"/>
    <w:rsid w:val="0064439E"/>
    <w:rsid w:val="006447E1"/>
    <w:rsid w:val="00644C6D"/>
    <w:rsid w:val="00644D59"/>
    <w:rsid w:val="0064527F"/>
    <w:rsid w:val="00645634"/>
    <w:rsid w:val="00645A52"/>
    <w:rsid w:val="00645AAF"/>
    <w:rsid w:val="00645E8E"/>
    <w:rsid w:val="00646307"/>
    <w:rsid w:val="006466FC"/>
    <w:rsid w:val="006469FF"/>
    <w:rsid w:val="00646A33"/>
    <w:rsid w:val="006472E6"/>
    <w:rsid w:val="0064763D"/>
    <w:rsid w:val="006478FD"/>
    <w:rsid w:val="00647996"/>
    <w:rsid w:val="00651827"/>
    <w:rsid w:val="00651DD4"/>
    <w:rsid w:val="00651FA4"/>
    <w:rsid w:val="00651FBD"/>
    <w:rsid w:val="0065336F"/>
    <w:rsid w:val="00653E41"/>
    <w:rsid w:val="00654557"/>
    <w:rsid w:val="00654AD4"/>
    <w:rsid w:val="00654C46"/>
    <w:rsid w:val="00655484"/>
    <w:rsid w:val="006558CE"/>
    <w:rsid w:val="00655EA0"/>
    <w:rsid w:val="00655EA3"/>
    <w:rsid w:val="00656734"/>
    <w:rsid w:val="00656A3D"/>
    <w:rsid w:val="00657D5C"/>
    <w:rsid w:val="0066017A"/>
    <w:rsid w:val="006602C3"/>
    <w:rsid w:val="006606DC"/>
    <w:rsid w:val="00661028"/>
    <w:rsid w:val="00661171"/>
    <w:rsid w:val="0066167A"/>
    <w:rsid w:val="0066172B"/>
    <w:rsid w:val="00661B5A"/>
    <w:rsid w:val="00662011"/>
    <w:rsid w:val="006620E8"/>
    <w:rsid w:val="006621A9"/>
    <w:rsid w:val="006630C7"/>
    <w:rsid w:val="00663627"/>
    <w:rsid w:val="00663963"/>
    <w:rsid w:val="0066456B"/>
    <w:rsid w:val="00664CC0"/>
    <w:rsid w:val="00665342"/>
    <w:rsid w:val="00665578"/>
    <w:rsid w:val="00665684"/>
    <w:rsid w:val="006661C1"/>
    <w:rsid w:val="006664C1"/>
    <w:rsid w:val="00666860"/>
    <w:rsid w:val="00666943"/>
    <w:rsid w:val="006711DD"/>
    <w:rsid w:val="00671463"/>
    <w:rsid w:val="006716CC"/>
    <w:rsid w:val="0067205D"/>
    <w:rsid w:val="0067216B"/>
    <w:rsid w:val="006721B0"/>
    <w:rsid w:val="0067260A"/>
    <w:rsid w:val="00673002"/>
    <w:rsid w:val="0067309D"/>
    <w:rsid w:val="0067339C"/>
    <w:rsid w:val="0067356D"/>
    <w:rsid w:val="00673BEC"/>
    <w:rsid w:val="00673D53"/>
    <w:rsid w:val="00673DD7"/>
    <w:rsid w:val="0067462A"/>
    <w:rsid w:val="0067493B"/>
    <w:rsid w:val="00674A48"/>
    <w:rsid w:val="00675044"/>
    <w:rsid w:val="00675191"/>
    <w:rsid w:val="00675278"/>
    <w:rsid w:val="006752C6"/>
    <w:rsid w:val="006752E7"/>
    <w:rsid w:val="006754AE"/>
    <w:rsid w:val="006756DD"/>
    <w:rsid w:val="00675786"/>
    <w:rsid w:val="00675D83"/>
    <w:rsid w:val="00675F01"/>
    <w:rsid w:val="00676281"/>
    <w:rsid w:val="006763D6"/>
    <w:rsid w:val="0067693C"/>
    <w:rsid w:val="00676A17"/>
    <w:rsid w:val="00676CC0"/>
    <w:rsid w:val="00676F0A"/>
    <w:rsid w:val="00676F1B"/>
    <w:rsid w:val="0067722C"/>
    <w:rsid w:val="006774EC"/>
    <w:rsid w:val="00680184"/>
    <w:rsid w:val="00680277"/>
    <w:rsid w:val="0068084C"/>
    <w:rsid w:val="00680B25"/>
    <w:rsid w:val="006812FC"/>
    <w:rsid w:val="0068178E"/>
    <w:rsid w:val="00681B9A"/>
    <w:rsid w:val="00681D5A"/>
    <w:rsid w:val="00682093"/>
    <w:rsid w:val="006820CE"/>
    <w:rsid w:val="006821C3"/>
    <w:rsid w:val="006823D0"/>
    <w:rsid w:val="00682819"/>
    <w:rsid w:val="006829F7"/>
    <w:rsid w:val="0068411B"/>
    <w:rsid w:val="006850DE"/>
    <w:rsid w:val="00685DE6"/>
    <w:rsid w:val="006860E4"/>
    <w:rsid w:val="006864C3"/>
    <w:rsid w:val="00686709"/>
    <w:rsid w:val="0068686C"/>
    <w:rsid w:val="00686AF4"/>
    <w:rsid w:val="006873E0"/>
    <w:rsid w:val="006875D6"/>
    <w:rsid w:val="0069039E"/>
    <w:rsid w:val="006905D9"/>
    <w:rsid w:val="006906A7"/>
    <w:rsid w:val="00690B87"/>
    <w:rsid w:val="006912FF"/>
    <w:rsid w:val="006919AA"/>
    <w:rsid w:val="00691A25"/>
    <w:rsid w:val="00691BD4"/>
    <w:rsid w:val="00692575"/>
    <w:rsid w:val="00692747"/>
    <w:rsid w:val="006929FA"/>
    <w:rsid w:val="00693A84"/>
    <w:rsid w:val="00693FD2"/>
    <w:rsid w:val="0069423F"/>
    <w:rsid w:val="00694AC3"/>
    <w:rsid w:val="00694DA1"/>
    <w:rsid w:val="006950FA"/>
    <w:rsid w:val="006960BE"/>
    <w:rsid w:val="0069658C"/>
    <w:rsid w:val="0069691A"/>
    <w:rsid w:val="00696EC7"/>
    <w:rsid w:val="006975E5"/>
    <w:rsid w:val="006977D4"/>
    <w:rsid w:val="006978A3"/>
    <w:rsid w:val="00697B15"/>
    <w:rsid w:val="006A0CAE"/>
    <w:rsid w:val="006A1052"/>
    <w:rsid w:val="006A1424"/>
    <w:rsid w:val="006A15CE"/>
    <w:rsid w:val="006A16AE"/>
    <w:rsid w:val="006A1FED"/>
    <w:rsid w:val="006A23B9"/>
    <w:rsid w:val="006A29E2"/>
    <w:rsid w:val="006A3010"/>
    <w:rsid w:val="006A37C4"/>
    <w:rsid w:val="006A3E7D"/>
    <w:rsid w:val="006A3F68"/>
    <w:rsid w:val="006A3F8A"/>
    <w:rsid w:val="006A4534"/>
    <w:rsid w:val="006A471F"/>
    <w:rsid w:val="006A4AE9"/>
    <w:rsid w:val="006A5315"/>
    <w:rsid w:val="006A59C7"/>
    <w:rsid w:val="006A5B2B"/>
    <w:rsid w:val="006A5D54"/>
    <w:rsid w:val="006A6420"/>
    <w:rsid w:val="006A7385"/>
    <w:rsid w:val="006B0102"/>
    <w:rsid w:val="006B02D2"/>
    <w:rsid w:val="006B039E"/>
    <w:rsid w:val="006B0BDF"/>
    <w:rsid w:val="006B0EDD"/>
    <w:rsid w:val="006B0FB0"/>
    <w:rsid w:val="006B1568"/>
    <w:rsid w:val="006B1612"/>
    <w:rsid w:val="006B1A15"/>
    <w:rsid w:val="006B1EBA"/>
    <w:rsid w:val="006B20B8"/>
    <w:rsid w:val="006B3A6C"/>
    <w:rsid w:val="006B3BA9"/>
    <w:rsid w:val="006B457E"/>
    <w:rsid w:val="006B45E7"/>
    <w:rsid w:val="006B4C35"/>
    <w:rsid w:val="006B4F15"/>
    <w:rsid w:val="006B577E"/>
    <w:rsid w:val="006B5EE3"/>
    <w:rsid w:val="006B6089"/>
    <w:rsid w:val="006B63D3"/>
    <w:rsid w:val="006B656F"/>
    <w:rsid w:val="006B69C0"/>
    <w:rsid w:val="006B79E3"/>
    <w:rsid w:val="006C1E34"/>
    <w:rsid w:val="006C242D"/>
    <w:rsid w:val="006C26CD"/>
    <w:rsid w:val="006C2CE0"/>
    <w:rsid w:val="006C3ED7"/>
    <w:rsid w:val="006C4716"/>
    <w:rsid w:val="006C47F9"/>
    <w:rsid w:val="006C4918"/>
    <w:rsid w:val="006C49E4"/>
    <w:rsid w:val="006C4B60"/>
    <w:rsid w:val="006C5925"/>
    <w:rsid w:val="006C5C81"/>
    <w:rsid w:val="006C5E6B"/>
    <w:rsid w:val="006C6030"/>
    <w:rsid w:val="006C6421"/>
    <w:rsid w:val="006C67D6"/>
    <w:rsid w:val="006C694E"/>
    <w:rsid w:val="006C7991"/>
    <w:rsid w:val="006C7EBE"/>
    <w:rsid w:val="006C7FA3"/>
    <w:rsid w:val="006D0423"/>
    <w:rsid w:val="006D05E8"/>
    <w:rsid w:val="006D1202"/>
    <w:rsid w:val="006D17D7"/>
    <w:rsid w:val="006D1919"/>
    <w:rsid w:val="006D20CC"/>
    <w:rsid w:val="006D238D"/>
    <w:rsid w:val="006D2759"/>
    <w:rsid w:val="006D2CA1"/>
    <w:rsid w:val="006D2D07"/>
    <w:rsid w:val="006D3061"/>
    <w:rsid w:val="006D3D1B"/>
    <w:rsid w:val="006D4000"/>
    <w:rsid w:val="006D4D2E"/>
    <w:rsid w:val="006D5449"/>
    <w:rsid w:val="006D55FC"/>
    <w:rsid w:val="006D5CBC"/>
    <w:rsid w:val="006D5FA9"/>
    <w:rsid w:val="006D682E"/>
    <w:rsid w:val="006D7105"/>
    <w:rsid w:val="006D7ACD"/>
    <w:rsid w:val="006D7D7A"/>
    <w:rsid w:val="006E09AC"/>
    <w:rsid w:val="006E11B5"/>
    <w:rsid w:val="006E1976"/>
    <w:rsid w:val="006E1AE1"/>
    <w:rsid w:val="006E1F44"/>
    <w:rsid w:val="006E2395"/>
    <w:rsid w:val="006E29C7"/>
    <w:rsid w:val="006E2CE8"/>
    <w:rsid w:val="006E2E58"/>
    <w:rsid w:val="006E2EE6"/>
    <w:rsid w:val="006E316E"/>
    <w:rsid w:val="006E3D97"/>
    <w:rsid w:val="006E3ECB"/>
    <w:rsid w:val="006E3FE2"/>
    <w:rsid w:val="006E40E2"/>
    <w:rsid w:val="006E46A3"/>
    <w:rsid w:val="006E4AB2"/>
    <w:rsid w:val="006E4D5D"/>
    <w:rsid w:val="006E4FF0"/>
    <w:rsid w:val="006E5276"/>
    <w:rsid w:val="006E5439"/>
    <w:rsid w:val="006E568A"/>
    <w:rsid w:val="006E5AC6"/>
    <w:rsid w:val="006E6287"/>
    <w:rsid w:val="006E6433"/>
    <w:rsid w:val="006E70D2"/>
    <w:rsid w:val="006E710E"/>
    <w:rsid w:val="006E774B"/>
    <w:rsid w:val="006E7C37"/>
    <w:rsid w:val="006E7E82"/>
    <w:rsid w:val="006F01DE"/>
    <w:rsid w:val="006F06D6"/>
    <w:rsid w:val="006F09F6"/>
    <w:rsid w:val="006F1094"/>
    <w:rsid w:val="006F134B"/>
    <w:rsid w:val="006F1584"/>
    <w:rsid w:val="006F1743"/>
    <w:rsid w:val="006F21AE"/>
    <w:rsid w:val="006F311F"/>
    <w:rsid w:val="006F3225"/>
    <w:rsid w:val="006F36B5"/>
    <w:rsid w:val="006F388C"/>
    <w:rsid w:val="006F3B86"/>
    <w:rsid w:val="006F3F16"/>
    <w:rsid w:val="006F3F1C"/>
    <w:rsid w:val="006F5398"/>
    <w:rsid w:val="006F541E"/>
    <w:rsid w:val="006F5633"/>
    <w:rsid w:val="006F5D90"/>
    <w:rsid w:val="006F664F"/>
    <w:rsid w:val="006F70F7"/>
    <w:rsid w:val="006F73BE"/>
    <w:rsid w:val="006F74C0"/>
    <w:rsid w:val="006F77CC"/>
    <w:rsid w:val="006F7A29"/>
    <w:rsid w:val="00700408"/>
    <w:rsid w:val="00700D7E"/>
    <w:rsid w:val="0070169E"/>
    <w:rsid w:val="00701CBD"/>
    <w:rsid w:val="00703C71"/>
    <w:rsid w:val="0070460A"/>
    <w:rsid w:val="00704659"/>
    <w:rsid w:val="00704D2B"/>
    <w:rsid w:val="00705B30"/>
    <w:rsid w:val="00705D6F"/>
    <w:rsid w:val="007063CF"/>
    <w:rsid w:val="007065D3"/>
    <w:rsid w:val="00707211"/>
    <w:rsid w:val="0070725E"/>
    <w:rsid w:val="007078E5"/>
    <w:rsid w:val="00707DCB"/>
    <w:rsid w:val="00707FD6"/>
    <w:rsid w:val="0071090C"/>
    <w:rsid w:val="00710979"/>
    <w:rsid w:val="00710BCA"/>
    <w:rsid w:val="00710C49"/>
    <w:rsid w:val="00710F09"/>
    <w:rsid w:val="0071189D"/>
    <w:rsid w:val="00711A61"/>
    <w:rsid w:val="00711D36"/>
    <w:rsid w:val="00711E05"/>
    <w:rsid w:val="00711F71"/>
    <w:rsid w:val="00712634"/>
    <w:rsid w:val="00713001"/>
    <w:rsid w:val="00713165"/>
    <w:rsid w:val="0071348C"/>
    <w:rsid w:val="007135E5"/>
    <w:rsid w:val="0071390B"/>
    <w:rsid w:val="00713AC9"/>
    <w:rsid w:val="00713E55"/>
    <w:rsid w:val="00714385"/>
    <w:rsid w:val="007151FC"/>
    <w:rsid w:val="00715B7E"/>
    <w:rsid w:val="00715EB6"/>
    <w:rsid w:val="007165EC"/>
    <w:rsid w:val="00716CD5"/>
    <w:rsid w:val="00717759"/>
    <w:rsid w:val="00717F99"/>
    <w:rsid w:val="00717FF2"/>
    <w:rsid w:val="007200A0"/>
    <w:rsid w:val="0072098F"/>
    <w:rsid w:val="00720A5E"/>
    <w:rsid w:val="00720EC8"/>
    <w:rsid w:val="007214AB"/>
    <w:rsid w:val="007216E2"/>
    <w:rsid w:val="00721A2F"/>
    <w:rsid w:val="00721DF5"/>
    <w:rsid w:val="00722508"/>
    <w:rsid w:val="00722C24"/>
    <w:rsid w:val="00722DDB"/>
    <w:rsid w:val="00722E79"/>
    <w:rsid w:val="00723020"/>
    <w:rsid w:val="0072315C"/>
    <w:rsid w:val="007232B2"/>
    <w:rsid w:val="00723509"/>
    <w:rsid w:val="007238B7"/>
    <w:rsid w:val="00724063"/>
    <w:rsid w:val="0072407A"/>
    <w:rsid w:val="007245A3"/>
    <w:rsid w:val="00724A32"/>
    <w:rsid w:val="00725090"/>
    <w:rsid w:val="007256B6"/>
    <w:rsid w:val="00726214"/>
    <w:rsid w:val="00726CB6"/>
    <w:rsid w:val="00726CDD"/>
    <w:rsid w:val="00727340"/>
    <w:rsid w:val="00727B57"/>
    <w:rsid w:val="00727BEC"/>
    <w:rsid w:val="00727C6E"/>
    <w:rsid w:val="00727C8C"/>
    <w:rsid w:val="00727C97"/>
    <w:rsid w:val="00730CF8"/>
    <w:rsid w:val="0073118E"/>
    <w:rsid w:val="00731445"/>
    <w:rsid w:val="007314A2"/>
    <w:rsid w:val="007314DC"/>
    <w:rsid w:val="007318B7"/>
    <w:rsid w:val="007319B3"/>
    <w:rsid w:val="00731A51"/>
    <w:rsid w:val="00732637"/>
    <w:rsid w:val="007326C1"/>
    <w:rsid w:val="00733441"/>
    <w:rsid w:val="00733C7C"/>
    <w:rsid w:val="00734326"/>
    <w:rsid w:val="0073441E"/>
    <w:rsid w:val="00734B41"/>
    <w:rsid w:val="00734DAD"/>
    <w:rsid w:val="007350AD"/>
    <w:rsid w:val="00736844"/>
    <w:rsid w:val="00736C2C"/>
    <w:rsid w:val="00736F65"/>
    <w:rsid w:val="007375A3"/>
    <w:rsid w:val="007401DA"/>
    <w:rsid w:val="007401E1"/>
    <w:rsid w:val="007403AB"/>
    <w:rsid w:val="0074082C"/>
    <w:rsid w:val="007409FE"/>
    <w:rsid w:val="00740AC0"/>
    <w:rsid w:val="00740DF3"/>
    <w:rsid w:val="00741378"/>
    <w:rsid w:val="007413E7"/>
    <w:rsid w:val="007418C8"/>
    <w:rsid w:val="00741E25"/>
    <w:rsid w:val="00742487"/>
    <w:rsid w:val="00742FDF"/>
    <w:rsid w:val="0074481C"/>
    <w:rsid w:val="00744880"/>
    <w:rsid w:val="00744AC3"/>
    <w:rsid w:val="0074528C"/>
    <w:rsid w:val="007453A9"/>
    <w:rsid w:val="00745529"/>
    <w:rsid w:val="007455FD"/>
    <w:rsid w:val="0074572C"/>
    <w:rsid w:val="00745B20"/>
    <w:rsid w:val="007462C4"/>
    <w:rsid w:val="00746648"/>
    <w:rsid w:val="007468B0"/>
    <w:rsid w:val="00746D37"/>
    <w:rsid w:val="00747393"/>
    <w:rsid w:val="0074772B"/>
    <w:rsid w:val="00747BB2"/>
    <w:rsid w:val="0075033E"/>
    <w:rsid w:val="00750749"/>
    <w:rsid w:val="00750B0A"/>
    <w:rsid w:val="00750F2A"/>
    <w:rsid w:val="00751920"/>
    <w:rsid w:val="00751D2C"/>
    <w:rsid w:val="00751E6D"/>
    <w:rsid w:val="007522E3"/>
    <w:rsid w:val="0075255D"/>
    <w:rsid w:val="00752B70"/>
    <w:rsid w:val="0075379D"/>
    <w:rsid w:val="00753D14"/>
    <w:rsid w:val="00753E2F"/>
    <w:rsid w:val="00753EE0"/>
    <w:rsid w:val="00754B3B"/>
    <w:rsid w:val="00755B1F"/>
    <w:rsid w:val="00755B37"/>
    <w:rsid w:val="00756C64"/>
    <w:rsid w:val="007570B5"/>
    <w:rsid w:val="007571FA"/>
    <w:rsid w:val="00757802"/>
    <w:rsid w:val="007579B9"/>
    <w:rsid w:val="00757B72"/>
    <w:rsid w:val="00760A5B"/>
    <w:rsid w:val="0076114C"/>
    <w:rsid w:val="0076151B"/>
    <w:rsid w:val="00761680"/>
    <w:rsid w:val="00761731"/>
    <w:rsid w:val="0076226B"/>
    <w:rsid w:val="00762B41"/>
    <w:rsid w:val="00763461"/>
    <w:rsid w:val="007634CD"/>
    <w:rsid w:val="0076391C"/>
    <w:rsid w:val="00763C9A"/>
    <w:rsid w:val="00763F4B"/>
    <w:rsid w:val="00765A54"/>
    <w:rsid w:val="00765C1B"/>
    <w:rsid w:val="00765C9B"/>
    <w:rsid w:val="007663C7"/>
    <w:rsid w:val="00766485"/>
    <w:rsid w:val="007664E7"/>
    <w:rsid w:val="00767515"/>
    <w:rsid w:val="00767B31"/>
    <w:rsid w:val="00767EC1"/>
    <w:rsid w:val="00770313"/>
    <w:rsid w:val="00770D67"/>
    <w:rsid w:val="0077106E"/>
    <w:rsid w:val="0077119C"/>
    <w:rsid w:val="0077174E"/>
    <w:rsid w:val="0077230F"/>
    <w:rsid w:val="007726A4"/>
    <w:rsid w:val="007727C8"/>
    <w:rsid w:val="00772A44"/>
    <w:rsid w:val="00772AC0"/>
    <w:rsid w:val="00772CD8"/>
    <w:rsid w:val="007732A3"/>
    <w:rsid w:val="0077335D"/>
    <w:rsid w:val="00773787"/>
    <w:rsid w:val="007747E4"/>
    <w:rsid w:val="00774974"/>
    <w:rsid w:val="00774AE0"/>
    <w:rsid w:val="00774DFF"/>
    <w:rsid w:val="00774ED7"/>
    <w:rsid w:val="00775119"/>
    <w:rsid w:val="007756DC"/>
    <w:rsid w:val="00775B96"/>
    <w:rsid w:val="007760E0"/>
    <w:rsid w:val="007769EE"/>
    <w:rsid w:val="00776D2A"/>
    <w:rsid w:val="00776D6E"/>
    <w:rsid w:val="00777458"/>
    <w:rsid w:val="0077760A"/>
    <w:rsid w:val="00777AA5"/>
    <w:rsid w:val="00777E0E"/>
    <w:rsid w:val="00780036"/>
    <w:rsid w:val="00780095"/>
    <w:rsid w:val="00780A98"/>
    <w:rsid w:val="00781C70"/>
    <w:rsid w:val="00781F04"/>
    <w:rsid w:val="00782152"/>
    <w:rsid w:val="00782E40"/>
    <w:rsid w:val="00783275"/>
    <w:rsid w:val="00783C66"/>
    <w:rsid w:val="0078486E"/>
    <w:rsid w:val="00785058"/>
    <w:rsid w:val="00785828"/>
    <w:rsid w:val="00785A32"/>
    <w:rsid w:val="00785C70"/>
    <w:rsid w:val="00785F93"/>
    <w:rsid w:val="00786038"/>
    <w:rsid w:val="007862E3"/>
    <w:rsid w:val="0078637D"/>
    <w:rsid w:val="007864C7"/>
    <w:rsid w:val="0078655A"/>
    <w:rsid w:val="00787649"/>
    <w:rsid w:val="00787C22"/>
    <w:rsid w:val="007904E4"/>
    <w:rsid w:val="00790603"/>
    <w:rsid w:val="0079062A"/>
    <w:rsid w:val="00791238"/>
    <w:rsid w:val="00791A4E"/>
    <w:rsid w:val="00791BF0"/>
    <w:rsid w:val="0079248F"/>
    <w:rsid w:val="00792C85"/>
    <w:rsid w:val="0079326C"/>
    <w:rsid w:val="007935F8"/>
    <w:rsid w:val="007936C6"/>
    <w:rsid w:val="00793FBC"/>
    <w:rsid w:val="0079454A"/>
    <w:rsid w:val="0079488F"/>
    <w:rsid w:val="00794DBC"/>
    <w:rsid w:val="00795072"/>
    <w:rsid w:val="007952CA"/>
    <w:rsid w:val="00795679"/>
    <w:rsid w:val="00795D89"/>
    <w:rsid w:val="00795E5F"/>
    <w:rsid w:val="0079601F"/>
    <w:rsid w:val="00796164"/>
    <w:rsid w:val="00796338"/>
    <w:rsid w:val="00796354"/>
    <w:rsid w:val="00796B99"/>
    <w:rsid w:val="00796C24"/>
    <w:rsid w:val="00796C77"/>
    <w:rsid w:val="00797273"/>
    <w:rsid w:val="0079774A"/>
    <w:rsid w:val="00797A69"/>
    <w:rsid w:val="007A03B6"/>
    <w:rsid w:val="007A0868"/>
    <w:rsid w:val="007A0B59"/>
    <w:rsid w:val="007A1145"/>
    <w:rsid w:val="007A11FD"/>
    <w:rsid w:val="007A1BD2"/>
    <w:rsid w:val="007A2377"/>
    <w:rsid w:val="007A32FC"/>
    <w:rsid w:val="007A3953"/>
    <w:rsid w:val="007A3FDA"/>
    <w:rsid w:val="007A48AA"/>
    <w:rsid w:val="007A4931"/>
    <w:rsid w:val="007A57EA"/>
    <w:rsid w:val="007A6AA6"/>
    <w:rsid w:val="007A6F2D"/>
    <w:rsid w:val="007A722C"/>
    <w:rsid w:val="007A7AE8"/>
    <w:rsid w:val="007B016D"/>
    <w:rsid w:val="007B073D"/>
    <w:rsid w:val="007B0944"/>
    <w:rsid w:val="007B0FD5"/>
    <w:rsid w:val="007B1D76"/>
    <w:rsid w:val="007B1E94"/>
    <w:rsid w:val="007B1F98"/>
    <w:rsid w:val="007B2346"/>
    <w:rsid w:val="007B27DE"/>
    <w:rsid w:val="007B2AE4"/>
    <w:rsid w:val="007B3423"/>
    <w:rsid w:val="007B37B2"/>
    <w:rsid w:val="007B3C39"/>
    <w:rsid w:val="007B3E90"/>
    <w:rsid w:val="007B40A9"/>
    <w:rsid w:val="007B4442"/>
    <w:rsid w:val="007B493B"/>
    <w:rsid w:val="007B4CA9"/>
    <w:rsid w:val="007B4EDC"/>
    <w:rsid w:val="007B5561"/>
    <w:rsid w:val="007B577F"/>
    <w:rsid w:val="007B585F"/>
    <w:rsid w:val="007B5AC9"/>
    <w:rsid w:val="007B66FF"/>
    <w:rsid w:val="007B672E"/>
    <w:rsid w:val="007B7560"/>
    <w:rsid w:val="007B7AF4"/>
    <w:rsid w:val="007C0257"/>
    <w:rsid w:val="007C0475"/>
    <w:rsid w:val="007C0E71"/>
    <w:rsid w:val="007C1004"/>
    <w:rsid w:val="007C1084"/>
    <w:rsid w:val="007C1171"/>
    <w:rsid w:val="007C1257"/>
    <w:rsid w:val="007C1450"/>
    <w:rsid w:val="007C14BB"/>
    <w:rsid w:val="007C1525"/>
    <w:rsid w:val="007C16C5"/>
    <w:rsid w:val="007C1D86"/>
    <w:rsid w:val="007C237A"/>
    <w:rsid w:val="007C2986"/>
    <w:rsid w:val="007C2CFB"/>
    <w:rsid w:val="007C3339"/>
    <w:rsid w:val="007C37D0"/>
    <w:rsid w:val="007C3BEB"/>
    <w:rsid w:val="007C3C6C"/>
    <w:rsid w:val="007C5754"/>
    <w:rsid w:val="007C5773"/>
    <w:rsid w:val="007C5873"/>
    <w:rsid w:val="007C60AE"/>
    <w:rsid w:val="007C6144"/>
    <w:rsid w:val="007C6511"/>
    <w:rsid w:val="007C6A54"/>
    <w:rsid w:val="007C6F96"/>
    <w:rsid w:val="007C78E2"/>
    <w:rsid w:val="007C7A9C"/>
    <w:rsid w:val="007D002E"/>
    <w:rsid w:val="007D03F8"/>
    <w:rsid w:val="007D053E"/>
    <w:rsid w:val="007D0BC0"/>
    <w:rsid w:val="007D0C0F"/>
    <w:rsid w:val="007D165E"/>
    <w:rsid w:val="007D2061"/>
    <w:rsid w:val="007D3FB6"/>
    <w:rsid w:val="007D4298"/>
    <w:rsid w:val="007D499E"/>
    <w:rsid w:val="007D4D21"/>
    <w:rsid w:val="007D5538"/>
    <w:rsid w:val="007D5703"/>
    <w:rsid w:val="007D5EFD"/>
    <w:rsid w:val="007D6164"/>
    <w:rsid w:val="007D62DA"/>
    <w:rsid w:val="007D6845"/>
    <w:rsid w:val="007D6A8F"/>
    <w:rsid w:val="007D727D"/>
    <w:rsid w:val="007D75DB"/>
    <w:rsid w:val="007E0B11"/>
    <w:rsid w:val="007E0B68"/>
    <w:rsid w:val="007E0DE5"/>
    <w:rsid w:val="007E0F41"/>
    <w:rsid w:val="007E14A0"/>
    <w:rsid w:val="007E1674"/>
    <w:rsid w:val="007E185C"/>
    <w:rsid w:val="007E2164"/>
    <w:rsid w:val="007E22F5"/>
    <w:rsid w:val="007E23D0"/>
    <w:rsid w:val="007E2A8F"/>
    <w:rsid w:val="007E2E1C"/>
    <w:rsid w:val="007E2FB2"/>
    <w:rsid w:val="007E384F"/>
    <w:rsid w:val="007E3A30"/>
    <w:rsid w:val="007E3C57"/>
    <w:rsid w:val="007E409D"/>
    <w:rsid w:val="007E40B6"/>
    <w:rsid w:val="007E4F0B"/>
    <w:rsid w:val="007E4F25"/>
    <w:rsid w:val="007E523E"/>
    <w:rsid w:val="007E5540"/>
    <w:rsid w:val="007E582F"/>
    <w:rsid w:val="007E5D1B"/>
    <w:rsid w:val="007E6440"/>
    <w:rsid w:val="007E66B4"/>
    <w:rsid w:val="007E6AA1"/>
    <w:rsid w:val="007E6F5B"/>
    <w:rsid w:val="007E738A"/>
    <w:rsid w:val="007E7BB0"/>
    <w:rsid w:val="007F012F"/>
    <w:rsid w:val="007F0154"/>
    <w:rsid w:val="007F0679"/>
    <w:rsid w:val="007F06AA"/>
    <w:rsid w:val="007F09C9"/>
    <w:rsid w:val="007F0D83"/>
    <w:rsid w:val="007F1414"/>
    <w:rsid w:val="007F1653"/>
    <w:rsid w:val="007F1B5F"/>
    <w:rsid w:val="007F2130"/>
    <w:rsid w:val="007F232F"/>
    <w:rsid w:val="007F240F"/>
    <w:rsid w:val="007F25D1"/>
    <w:rsid w:val="007F2CC4"/>
    <w:rsid w:val="007F386D"/>
    <w:rsid w:val="007F3A9C"/>
    <w:rsid w:val="007F5839"/>
    <w:rsid w:val="007F5B08"/>
    <w:rsid w:val="007F5DC0"/>
    <w:rsid w:val="007F5EEC"/>
    <w:rsid w:val="007F72A2"/>
    <w:rsid w:val="007F7C31"/>
    <w:rsid w:val="0080000C"/>
    <w:rsid w:val="008003CF"/>
    <w:rsid w:val="008004B7"/>
    <w:rsid w:val="008004BD"/>
    <w:rsid w:val="00800E2D"/>
    <w:rsid w:val="0080308F"/>
    <w:rsid w:val="00803369"/>
    <w:rsid w:val="00803523"/>
    <w:rsid w:val="00804EB7"/>
    <w:rsid w:val="00805A80"/>
    <w:rsid w:val="00806C49"/>
    <w:rsid w:val="00806E71"/>
    <w:rsid w:val="008074CE"/>
    <w:rsid w:val="0080754A"/>
    <w:rsid w:val="00810326"/>
    <w:rsid w:val="0081064F"/>
    <w:rsid w:val="00810DC4"/>
    <w:rsid w:val="00810DD7"/>
    <w:rsid w:val="00811545"/>
    <w:rsid w:val="00811634"/>
    <w:rsid w:val="00811C6A"/>
    <w:rsid w:val="00811DCF"/>
    <w:rsid w:val="00811E82"/>
    <w:rsid w:val="00812BB3"/>
    <w:rsid w:val="00813864"/>
    <w:rsid w:val="008139FD"/>
    <w:rsid w:val="00813A2F"/>
    <w:rsid w:val="00813CD3"/>
    <w:rsid w:val="00814307"/>
    <w:rsid w:val="0081435C"/>
    <w:rsid w:val="008147CA"/>
    <w:rsid w:val="008147FD"/>
    <w:rsid w:val="00814D46"/>
    <w:rsid w:val="008151FF"/>
    <w:rsid w:val="008154CE"/>
    <w:rsid w:val="0081561A"/>
    <w:rsid w:val="00815BF8"/>
    <w:rsid w:val="00815E24"/>
    <w:rsid w:val="00816916"/>
    <w:rsid w:val="008175D4"/>
    <w:rsid w:val="00817A12"/>
    <w:rsid w:val="008208B1"/>
    <w:rsid w:val="0082098D"/>
    <w:rsid w:val="00821269"/>
    <w:rsid w:val="0082163F"/>
    <w:rsid w:val="008219F8"/>
    <w:rsid w:val="0082283E"/>
    <w:rsid w:val="00822A6F"/>
    <w:rsid w:val="00822E99"/>
    <w:rsid w:val="0082307C"/>
    <w:rsid w:val="0082308C"/>
    <w:rsid w:val="0082400F"/>
    <w:rsid w:val="008240A0"/>
    <w:rsid w:val="008243F4"/>
    <w:rsid w:val="008251C8"/>
    <w:rsid w:val="00825753"/>
    <w:rsid w:val="0082590A"/>
    <w:rsid w:val="0082692D"/>
    <w:rsid w:val="00826FC1"/>
    <w:rsid w:val="00827979"/>
    <w:rsid w:val="00827E1D"/>
    <w:rsid w:val="0083025C"/>
    <w:rsid w:val="008303BC"/>
    <w:rsid w:val="0083132D"/>
    <w:rsid w:val="00831FBB"/>
    <w:rsid w:val="0083228C"/>
    <w:rsid w:val="008324AD"/>
    <w:rsid w:val="0083273D"/>
    <w:rsid w:val="008328FC"/>
    <w:rsid w:val="00832D26"/>
    <w:rsid w:val="00832F6F"/>
    <w:rsid w:val="00833192"/>
    <w:rsid w:val="00833407"/>
    <w:rsid w:val="00833508"/>
    <w:rsid w:val="00833CD1"/>
    <w:rsid w:val="00834100"/>
    <w:rsid w:val="00834445"/>
    <w:rsid w:val="008344C0"/>
    <w:rsid w:val="00834DB8"/>
    <w:rsid w:val="008355E6"/>
    <w:rsid w:val="008357D8"/>
    <w:rsid w:val="00836AB5"/>
    <w:rsid w:val="00836DA0"/>
    <w:rsid w:val="0083702D"/>
    <w:rsid w:val="00837FC7"/>
    <w:rsid w:val="008403C1"/>
    <w:rsid w:val="0084047B"/>
    <w:rsid w:val="008407F5"/>
    <w:rsid w:val="00840D25"/>
    <w:rsid w:val="0084114F"/>
    <w:rsid w:val="00841426"/>
    <w:rsid w:val="00842988"/>
    <w:rsid w:val="00842A45"/>
    <w:rsid w:val="00843031"/>
    <w:rsid w:val="008435BA"/>
    <w:rsid w:val="00843A44"/>
    <w:rsid w:val="00844490"/>
    <w:rsid w:val="008449F5"/>
    <w:rsid w:val="00844C5D"/>
    <w:rsid w:val="00844EBA"/>
    <w:rsid w:val="00844EC0"/>
    <w:rsid w:val="00845451"/>
    <w:rsid w:val="008454E8"/>
    <w:rsid w:val="00845753"/>
    <w:rsid w:val="00845CE4"/>
    <w:rsid w:val="00846835"/>
    <w:rsid w:val="00846958"/>
    <w:rsid w:val="00847503"/>
    <w:rsid w:val="008477BD"/>
    <w:rsid w:val="0084788F"/>
    <w:rsid w:val="00847C24"/>
    <w:rsid w:val="00847D8B"/>
    <w:rsid w:val="00847DDB"/>
    <w:rsid w:val="008501F3"/>
    <w:rsid w:val="008505AC"/>
    <w:rsid w:val="008506E4"/>
    <w:rsid w:val="008511BA"/>
    <w:rsid w:val="008519BE"/>
    <w:rsid w:val="00851A53"/>
    <w:rsid w:val="00851E07"/>
    <w:rsid w:val="0085243A"/>
    <w:rsid w:val="0085297F"/>
    <w:rsid w:val="00852D44"/>
    <w:rsid w:val="008541C1"/>
    <w:rsid w:val="00854361"/>
    <w:rsid w:val="008544A3"/>
    <w:rsid w:val="00854F24"/>
    <w:rsid w:val="0085596F"/>
    <w:rsid w:val="008560D8"/>
    <w:rsid w:val="0085703E"/>
    <w:rsid w:val="00857048"/>
    <w:rsid w:val="008571C3"/>
    <w:rsid w:val="00857A7F"/>
    <w:rsid w:val="00860565"/>
    <w:rsid w:val="0086084F"/>
    <w:rsid w:val="00860BC7"/>
    <w:rsid w:val="00860E74"/>
    <w:rsid w:val="00861109"/>
    <w:rsid w:val="0086154E"/>
    <w:rsid w:val="00861DCB"/>
    <w:rsid w:val="0086253A"/>
    <w:rsid w:val="00862FCC"/>
    <w:rsid w:val="0086306F"/>
    <w:rsid w:val="008631F8"/>
    <w:rsid w:val="008632CC"/>
    <w:rsid w:val="0086370B"/>
    <w:rsid w:val="00863BDA"/>
    <w:rsid w:val="00863D73"/>
    <w:rsid w:val="00863E9D"/>
    <w:rsid w:val="00865095"/>
    <w:rsid w:val="00865C0E"/>
    <w:rsid w:val="00865D6F"/>
    <w:rsid w:val="00865E17"/>
    <w:rsid w:val="008662C4"/>
    <w:rsid w:val="00866A2D"/>
    <w:rsid w:val="0086714A"/>
    <w:rsid w:val="00867509"/>
    <w:rsid w:val="00870128"/>
    <w:rsid w:val="008708B6"/>
    <w:rsid w:val="00871AFB"/>
    <w:rsid w:val="0087267F"/>
    <w:rsid w:val="00872AFA"/>
    <w:rsid w:val="0087354B"/>
    <w:rsid w:val="008737E1"/>
    <w:rsid w:val="00873F50"/>
    <w:rsid w:val="00874808"/>
    <w:rsid w:val="00874FCB"/>
    <w:rsid w:val="00874FFF"/>
    <w:rsid w:val="008751C6"/>
    <w:rsid w:val="00875CF2"/>
    <w:rsid w:val="0087629F"/>
    <w:rsid w:val="00876379"/>
    <w:rsid w:val="00876641"/>
    <w:rsid w:val="008766FD"/>
    <w:rsid w:val="008768D1"/>
    <w:rsid w:val="00876BCC"/>
    <w:rsid w:val="00876C19"/>
    <w:rsid w:val="00876C44"/>
    <w:rsid w:val="00876C5E"/>
    <w:rsid w:val="00877041"/>
    <w:rsid w:val="00877131"/>
    <w:rsid w:val="00877381"/>
    <w:rsid w:val="0087741A"/>
    <w:rsid w:val="00877A4A"/>
    <w:rsid w:val="008808DC"/>
    <w:rsid w:val="0088159D"/>
    <w:rsid w:val="00881623"/>
    <w:rsid w:val="008819A9"/>
    <w:rsid w:val="00881B08"/>
    <w:rsid w:val="008821FB"/>
    <w:rsid w:val="008826BF"/>
    <w:rsid w:val="00882D00"/>
    <w:rsid w:val="00883156"/>
    <w:rsid w:val="008831C3"/>
    <w:rsid w:val="00883567"/>
    <w:rsid w:val="00883FB6"/>
    <w:rsid w:val="00884A95"/>
    <w:rsid w:val="00885290"/>
    <w:rsid w:val="00885B3A"/>
    <w:rsid w:val="00886A22"/>
    <w:rsid w:val="00887ADD"/>
    <w:rsid w:val="00887D86"/>
    <w:rsid w:val="0089075C"/>
    <w:rsid w:val="00890DED"/>
    <w:rsid w:val="00891E50"/>
    <w:rsid w:val="0089239F"/>
    <w:rsid w:val="00892401"/>
    <w:rsid w:val="008927FC"/>
    <w:rsid w:val="00892C88"/>
    <w:rsid w:val="00892D15"/>
    <w:rsid w:val="00893A2C"/>
    <w:rsid w:val="00893F07"/>
    <w:rsid w:val="008942EC"/>
    <w:rsid w:val="00894D35"/>
    <w:rsid w:val="00894E13"/>
    <w:rsid w:val="00895245"/>
    <w:rsid w:val="00895386"/>
    <w:rsid w:val="00895F1C"/>
    <w:rsid w:val="00895FA0"/>
    <w:rsid w:val="00896A56"/>
    <w:rsid w:val="00896DCF"/>
    <w:rsid w:val="00897185"/>
    <w:rsid w:val="008976FB"/>
    <w:rsid w:val="00897A8A"/>
    <w:rsid w:val="008A0809"/>
    <w:rsid w:val="008A0A97"/>
    <w:rsid w:val="008A1219"/>
    <w:rsid w:val="008A12E7"/>
    <w:rsid w:val="008A157D"/>
    <w:rsid w:val="008A1D2B"/>
    <w:rsid w:val="008A1D5F"/>
    <w:rsid w:val="008A1E0B"/>
    <w:rsid w:val="008A1F1B"/>
    <w:rsid w:val="008A27F5"/>
    <w:rsid w:val="008A2DE2"/>
    <w:rsid w:val="008A316D"/>
    <w:rsid w:val="008A32BC"/>
    <w:rsid w:val="008A338E"/>
    <w:rsid w:val="008A3461"/>
    <w:rsid w:val="008A3F41"/>
    <w:rsid w:val="008A3FF5"/>
    <w:rsid w:val="008A4BF1"/>
    <w:rsid w:val="008A534A"/>
    <w:rsid w:val="008A595E"/>
    <w:rsid w:val="008B0EEA"/>
    <w:rsid w:val="008B13A2"/>
    <w:rsid w:val="008B2461"/>
    <w:rsid w:val="008B2F98"/>
    <w:rsid w:val="008B31AD"/>
    <w:rsid w:val="008B3211"/>
    <w:rsid w:val="008B3385"/>
    <w:rsid w:val="008B3CA0"/>
    <w:rsid w:val="008B3D15"/>
    <w:rsid w:val="008B415D"/>
    <w:rsid w:val="008B491C"/>
    <w:rsid w:val="008B4E6B"/>
    <w:rsid w:val="008B509C"/>
    <w:rsid w:val="008B51EB"/>
    <w:rsid w:val="008B5AC2"/>
    <w:rsid w:val="008B6109"/>
    <w:rsid w:val="008B6B41"/>
    <w:rsid w:val="008B7490"/>
    <w:rsid w:val="008C047C"/>
    <w:rsid w:val="008C0539"/>
    <w:rsid w:val="008C0BCE"/>
    <w:rsid w:val="008C10AD"/>
    <w:rsid w:val="008C1A9A"/>
    <w:rsid w:val="008C1ADF"/>
    <w:rsid w:val="008C1DE9"/>
    <w:rsid w:val="008C2146"/>
    <w:rsid w:val="008C270C"/>
    <w:rsid w:val="008C29D0"/>
    <w:rsid w:val="008C2C82"/>
    <w:rsid w:val="008C2E96"/>
    <w:rsid w:val="008C2EB4"/>
    <w:rsid w:val="008C3032"/>
    <w:rsid w:val="008C3986"/>
    <w:rsid w:val="008C3B2D"/>
    <w:rsid w:val="008C4EE3"/>
    <w:rsid w:val="008C5025"/>
    <w:rsid w:val="008C57CC"/>
    <w:rsid w:val="008C671F"/>
    <w:rsid w:val="008C688A"/>
    <w:rsid w:val="008C7394"/>
    <w:rsid w:val="008C7562"/>
    <w:rsid w:val="008C76B1"/>
    <w:rsid w:val="008C76DC"/>
    <w:rsid w:val="008C7753"/>
    <w:rsid w:val="008C7794"/>
    <w:rsid w:val="008C77C3"/>
    <w:rsid w:val="008C7A2E"/>
    <w:rsid w:val="008D05DF"/>
    <w:rsid w:val="008D0740"/>
    <w:rsid w:val="008D0890"/>
    <w:rsid w:val="008D09A6"/>
    <w:rsid w:val="008D125A"/>
    <w:rsid w:val="008D14FF"/>
    <w:rsid w:val="008D19AA"/>
    <w:rsid w:val="008D1E32"/>
    <w:rsid w:val="008D2E84"/>
    <w:rsid w:val="008D2F52"/>
    <w:rsid w:val="008D4BB2"/>
    <w:rsid w:val="008D4CCA"/>
    <w:rsid w:val="008D4E51"/>
    <w:rsid w:val="008D524C"/>
    <w:rsid w:val="008D52AA"/>
    <w:rsid w:val="008D5449"/>
    <w:rsid w:val="008D5B25"/>
    <w:rsid w:val="008D5BDB"/>
    <w:rsid w:val="008D5C24"/>
    <w:rsid w:val="008D5CC0"/>
    <w:rsid w:val="008D6019"/>
    <w:rsid w:val="008D64D8"/>
    <w:rsid w:val="008D67D5"/>
    <w:rsid w:val="008D6B21"/>
    <w:rsid w:val="008D6BAA"/>
    <w:rsid w:val="008D7495"/>
    <w:rsid w:val="008D754C"/>
    <w:rsid w:val="008D7AD2"/>
    <w:rsid w:val="008D7D0E"/>
    <w:rsid w:val="008D7DED"/>
    <w:rsid w:val="008E0242"/>
    <w:rsid w:val="008E037E"/>
    <w:rsid w:val="008E03D4"/>
    <w:rsid w:val="008E03D7"/>
    <w:rsid w:val="008E0992"/>
    <w:rsid w:val="008E188D"/>
    <w:rsid w:val="008E1F3F"/>
    <w:rsid w:val="008E225D"/>
    <w:rsid w:val="008E24D2"/>
    <w:rsid w:val="008E2FA6"/>
    <w:rsid w:val="008E3220"/>
    <w:rsid w:val="008E3853"/>
    <w:rsid w:val="008E3FA8"/>
    <w:rsid w:val="008E417E"/>
    <w:rsid w:val="008E44B3"/>
    <w:rsid w:val="008E45C2"/>
    <w:rsid w:val="008E4AE7"/>
    <w:rsid w:val="008E5B74"/>
    <w:rsid w:val="008E5C7C"/>
    <w:rsid w:val="008E5F0A"/>
    <w:rsid w:val="008E6238"/>
    <w:rsid w:val="008E6F01"/>
    <w:rsid w:val="008E6F2E"/>
    <w:rsid w:val="008E73E7"/>
    <w:rsid w:val="008E7408"/>
    <w:rsid w:val="008E7604"/>
    <w:rsid w:val="008E7C07"/>
    <w:rsid w:val="008F0355"/>
    <w:rsid w:val="008F0911"/>
    <w:rsid w:val="008F14E4"/>
    <w:rsid w:val="008F2406"/>
    <w:rsid w:val="008F2D0A"/>
    <w:rsid w:val="008F3490"/>
    <w:rsid w:val="008F3569"/>
    <w:rsid w:val="008F3851"/>
    <w:rsid w:val="008F47C0"/>
    <w:rsid w:val="008F49CC"/>
    <w:rsid w:val="008F4A20"/>
    <w:rsid w:val="008F4C27"/>
    <w:rsid w:val="008F5041"/>
    <w:rsid w:val="008F5B04"/>
    <w:rsid w:val="008F5F8D"/>
    <w:rsid w:val="008F6E7B"/>
    <w:rsid w:val="008F72D8"/>
    <w:rsid w:val="008F765A"/>
    <w:rsid w:val="008F7C72"/>
    <w:rsid w:val="008F7C80"/>
    <w:rsid w:val="008F7EE8"/>
    <w:rsid w:val="00900082"/>
    <w:rsid w:val="009001E6"/>
    <w:rsid w:val="00900404"/>
    <w:rsid w:val="0090138F"/>
    <w:rsid w:val="009016D8"/>
    <w:rsid w:val="00901BA2"/>
    <w:rsid w:val="00901E3D"/>
    <w:rsid w:val="009025BC"/>
    <w:rsid w:val="00902A68"/>
    <w:rsid w:val="00903568"/>
    <w:rsid w:val="009037B1"/>
    <w:rsid w:val="00903EE8"/>
    <w:rsid w:val="00903F13"/>
    <w:rsid w:val="009044A8"/>
    <w:rsid w:val="009045E6"/>
    <w:rsid w:val="0090460F"/>
    <w:rsid w:val="00904626"/>
    <w:rsid w:val="00904AE6"/>
    <w:rsid w:val="00905172"/>
    <w:rsid w:val="00905DF3"/>
    <w:rsid w:val="009062D1"/>
    <w:rsid w:val="00906310"/>
    <w:rsid w:val="00906614"/>
    <w:rsid w:val="009069D2"/>
    <w:rsid w:val="0090759F"/>
    <w:rsid w:val="00907BD8"/>
    <w:rsid w:val="00907CBB"/>
    <w:rsid w:val="00907D3C"/>
    <w:rsid w:val="009109F2"/>
    <w:rsid w:val="00910C62"/>
    <w:rsid w:val="00910EEB"/>
    <w:rsid w:val="00910FA6"/>
    <w:rsid w:val="009111F4"/>
    <w:rsid w:val="0091184B"/>
    <w:rsid w:val="009118E4"/>
    <w:rsid w:val="00911EA2"/>
    <w:rsid w:val="00911F04"/>
    <w:rsid w:val="00912440"/>
    <w:rsid w:val="0091260A"/>
    <w:rsid w:val="00912D79"/>
    <w:rsid w:val="00912DF5"/>
    <w:rsid w:val="00912E47"/>
    <w:rsid w:val="00912E74"/>
    <w:rsid w:val="00913045"/>
    <w:rsid w:val="009131E5"/>
    <w:rsid w:val="009133FE"/>
    <w:rsid w:val="009137CB"/>
    <w:rsid w:val="00913BA3"/>
    <w:rsid w:val="00913BDC"/>
    <w:rsid w:val="00913EDF"/>
    <w:rsid w:val="00913FA1"/>
    <w:rsid w:val="00914DED"/>
    <w:rsid w:val="00915276"/>
    <w:rsid w:val="0091529E"/>
    <w:rsid w:val="00915655"/>
    <w:rsid w:val="009156E5"/>
    <w:rsid w:val="009156F3"/>
    <w:rsid w:val="00915A36"/>
    <w:rsid w:val="00916A35"/>
    <w:rsid w:val="00916C9E"/>
    <w:rsid w:val="00917392"/>
    <w:rsid w:val="00917F26"/>
    <w:rsid w:val="0092003A"/>
    <w:rsid w:val="009201D9"/>
    <w:rsid w:val="00920A27"/>
    <w:rsid w:val="00920E6D"/>
    <w:rsid w:val="00921351"/>
    <w:rsid w:val="00921E37"/>
    <w:rsid w:val="00922296"/>
    <w:rsid w:val="0092287C"/>
    <w:rsid w:val="00922F45"/>
    <w:rsid w:val="00922FE1"/>
    <w:rsid w:val="009231F8"/>
    <w:rsid w:val="00923CD8"/>
    <w:rsid w:val="009241A8"/>
    <w:rsid w:val="00924255"/>
    <w:rsid w:val="0092446E"/>
    <w:rsid w:val="00924489"/>
    <w:rsid w:val="0092461C"/>
    <w:rsid w:val="009246EA"/>
    <w:rsid w:val="00924955"/>
    <w:rsid w:val="009249EF"/>
    <w:rsid w:val="00924A9E"/>
    <w:rsid w:val="00924DED"/>
    <w:rsid w:val="00925408"/>
    <w:rsid w:val="009254D3"/>
    <w:rsid w:val="00925596"/>
    <w:rsid w:val="009256B9"/>
    <w:rsid w:val="009259B7"/>
    <w:rsid w:val="00925ADB"/>
    <w:rsid w:val="00925DC4"/>
    <w:rsid w:val="00926107"/>
    <w:rsid w:val="00926341"/>
    <w:rsid w:val="0092638F"/>
    <w:rsid w:val="00926562"/>
    <w:rsid w:val="00926DBC"/>
    <w:rsid w:val="00927370"/>
    <w:rsid w:val="00930055"/>
    <w:rsid w:val="0093019A"/>
    <w:rsid w:val="009309CA"/>
    <w:rsid w:val="00931B73"/>
    <w:rsid w:val="009324F7"/>
    <w:rsid w:val="009327DC"/>
    <w:rsid w:val="00932B8D"/>
    <w:rsid w:val="00932C38"/>
    <w:rsid w:val="00932CA7"/>
    <w:rsid w:val="009331A9"/>
    <w:rsid w:val="00933491"/>
    <w:rsid w:val="0093379D"/>
    <w:rsid w:val="0093383F"/>
    <w:rsid w:val="00934B9A"/>
    <w:rsid w:val="00934CBC"/>
    <w:rsid w:val="0093500E"/>
    <w:rsid w:val="009353F2"/>
    <w:rsid w:val="009355BB"/>
    <w:rsid w:val="009355CF"/>
    <w:rsid w:val="0093594F"/>
    <w:rsid w:val="00935B19"/>
    <w:rsid w:val="00936947"/>
    <w:rsid w:val="009369B7"/>
    <w:rsid w:val="009370F9"/>
    <w:rsid w:val="0093719F"/>
    <w:rsid w:val="009371DB"/>
    <w:rsid w:val="009378BF"/>
    <w:rsid w:val="00937F4B"/>
    <w:rsid w:val="009406AA"/>
    <w:rsid w:val="009408EF"/>
    <w:rsid w:val="00940C06"/>
    <w:rsid w:val="00941484"/>
    <w:rsid w:val="009417CB"/>
    <w:rsid w:val="00941B2C"/>
    <w:rsid w:val="009424AA"/>
    <w:rsid w:val="00942980"/>
    <w:rsid w:val="00943236"/>
    <w:rsid w:val="00943677"/>
    <w:rsid w:val="00943B36"/>
    <w:rsid w:val="009446D9"/>
    <w:rsid w:val="00945505"/>
    <w:rsid w:val="009457F2"/>
    <w:rsid w:val="009461D5"/>
    <w:rsid w:val="00946869"/>
    <w:rsid w:val="0094691B"/>
    <w:rsid w:val="00947EAD"/>
    <w:rsid w:val="0095034B"/>
    <w:rsid w:val="00950617"/>
    <w:rsid w:val="0095096D"/>
    <w:rsid w:val="00951501"/>
    <w:rsid w:val="0095172E"/>
    <w:rsid w:val="00951B19"/>
    <w:rsid w:val="00951E1B"/>
    <w:rsid w:val="00952147"/>
    <w:rsid w:val="00952265"/>
    <w:rsid w:val="00952802"/>
    <w:rsid w:val="009529C4"/>
    <w:rsid w:val="00953B5F"/>
    <w:rsid w:val="009543D7"/>
    <w:rsid w:val="009548AC"/>
    <w:rsid w:val="00954AA0"/>
    <w:rsid w:val="00954B12"/>
    <w:rsid w:val="00954B75"/>
    <w:rsid w:val="00954D6A"/>
    <w:rsid w:val="0095537D"/>
    <w:rsid w:val="009555F1"/>
    <w:rsid w:val="0095579B"/>
    <w:rsid w:val="00955AED"/>
    <w:rsid w:val="00955C7F"/>
    <w:rsid w:val="00956608"/>
    <w:rsid w:val="009568E4"/>
    <w:rsid w:val="009575C3"/>
    <w:rsid w:val="009576AB"/>
    <w:rsid w:val="00957F82"/>
    <w:rsid w:val="00960308"/>
    <w:rsid w:val="0096054A"/>
    <w:rsid w:val="00960E83"/>
    <w:rsid w:val="00960FD4"/>
    <w:rsid w:val="00961244"/>
    <w:rsid w:val="00961C6A"/>
    <w:rsid w:val="0096229D"/>
    <w:rsid w:val="00962427"/>
    <w:rsid w:val="0096254A"/>
    <w:rsid w:val="00962A64"/>
    <w:rsid w:val="0096326A"/>
    <w:rsid w:val="00963294"/>
    <w:rsid w:val="00963419"/>
    <w:rsid w:val="0096396F"/>
    <w:rsid w:val="009639E0"/>
    <w:rsid w:val="00963D3E"/>
    <w:rsid w:val="00963D80"/>
    <w:rsid w:val="00963DC1"/>
    <w:rsid w:val="0096408D"/>
    <w:rsid w:val="0096423B"/>
    <w:rsid w:val="00964590"/>
    <w:rsid w:val="009645B0"/>
    <w:rsid w:val="00964DC5"/>
    <w:rsid w:val="00965CE9"/>
    <w:rsid w:val="009668BD"/>
    <w:rsid w:val="009671FC"/>
    <w:rsid w:val="0096740F"/>
    <w:rsid w:val="00967981"/>
    <w:rsid w:val="00967A70"/>
    <w:rsid w:val="00967AAC"/>
    <w:rsid w:val="009700B2"/>
    <w:rsid w:val="00970DDF"/>
    <w:rsid w:val="00971D52"/>
    <w:rsid w:val="00971EDA"/>
    <w:rsid w:val="00972031"/>
    <w:rsid w:val="009727E6"/>
    <w:rsid w:val="00972BD8"/>
    <w:rsid w:val="00972CC7"/>
    <w:rsid w:val="00973F73"/>
    <w:rsid w:val="009743A6"/>
    <w:rsid w:val="009744B3"/>
    <w:rsid w:val="00974884"/>
    <w:rsid w:val="00975A0E"/>
    <w:rsid w:val="00975C3B"/>
    <w:rsid w:val="009764C5"/>
    <w:rsid w:val="009767C1"/>
    <w:rsid w:val="00976A64"/>
    <w:rsid w:val="00976BA6"/>
    <w:rsid w:val="00977224"/>
    <w:rsid w:val="00977240"/>
    <w:rsid w:val="00977354"/>
    <w:rsid w:val="009773CB"/>
    <w:rsid w:val="00977709"/>
    <w:rsid w:val="00980291"/>
    <w:rsid w:val="00980377"/>
    <w:rsid w:val="009806E0"/>
    <w:rsid w:val="00980E2D"/>
    <w:rsid w:val="00980FA4"/>
    <w:rsid w:val="0098168D"/>
    <w:rsid w:val="00981744"/>
    <w:rsid w:val="00981EA1"/>
    <w:rsid w:val="00982A37"/>
    <w:rsid w:val="00982AA0"/>
    <w:rsid w:val="00983132"/>
    <w:rsid w:val="009833D5"/>
    <w:rsid w:val="00983A69"/>
    <w:rsid w:val="00983DEB"/>
    <w:rsid w:val="0098421E"/>
    <w:rsid w:val="0098485F"/>
    <w:rsid w:val="00984A4F"/>
    <w:rsid w:val="00984E58"/>
    <w:rsid w:val="0098516E"/>
    <w:rsid w:val="009854AD"/>
    <w:rsid w:val="0098557E"/>
    <w:rsid w:val="0098569B"/>
    <w:rsid w:val="009864F3"/>
    <w:rsid w:val="00986712"/>
    <w:rsid w:val="00986797"/>
    <w:rsid w:val="00986962"/>
    <w:rsid w:val="00986B72"/>
    <w:rsid w:val="00987500"/>
    <w:rsid w:val="009900D8"/>
    <w:rsid w:val="009905C7"/>
    <w:rsid w:val="009908D8"/>
    <w:rsid w:val="009910E2"/>
    <w:rsid w:val="0099133E"/>
    <w:rsid w:val="009914C0"/>
    <w:rsid w:val="00991737"/>
    <w:rsid w:val="00991EF1"/>
    <w:rsid w:val="00991FE8"/>
    <w:rsid w:val="00992144"/>
    <w:rsid w:val="0099262A"/>
    <w:rsid w:val="009929C4"/>
    <w:rsid w:val="00992F32"/>
    <w:rsid w:val="009933E6"/>
    <w:rsid w:val="00993765"/>
    <w:rsid w:val="00993957"/>
    <w:rsid w:val="00993ED3"/>
    <w:rsid w:val="009940E0"/>
    <w:rsid w:val="00994936"/>
    <w:rsid w:val="00994FCA"/>
    <w:rsid w:val="009951C2"/>
    <w:rsid w:val="009953E8"/>
    <w:rsid w:val="0099599B"/>
    <w:rsid w:val="00995DEA"/>
    <w:rsid w:val="009972CE"/>
    <w:rsid w:val="009A14C5"/>
    <w:rsid w:val="009A15FC"/>
    <w:rsid w:val="009A1876"/>
    <w:rsid w:val="009A1E7B"/>
    <w:rsid w:val="009A20C1"/>
    <w:rsid w:val="009A2189"/>
    <w:rsid w:val="009A22EE"/>
    <w:rsid w:val="009A23AD"/>
    <w:rsid w:val="009A26B4"/>
    <w:rsid w:val="009A26DE"/>
    <w:rsid w:val="009A3AEC"/>
    <w:rsid w:val="009A47A8"/>
    <w:rsid w:val="009A4D87"/>
    <w:rsid w:val="009A545D"/>
    <w:rsid w:val="009A558C"/>
    <w:rsid w:val="009A5BB5"/>
    <w:rsid w:val="009A5C86"/>
    <w:rsid w:val="009A5E38"/>
    <w:rsid w:val="009A6422"/>
    <w:rsid w:val="009A6489"/>
    <w:rsid w:val="009A6B24"/>
    <w:rsid w:val="009A6B8D"/>
    <w:rsid w:val="009A70AD"/>
    <w:rsid w:val="009A7278"/>
    <w:rsid w:val="009B00C3"/>
    <w:rsid w:val="009B00F4"/>
    <w:rsid w:val="009B038F"/>
    <w:rsid w:val="009B14B6"/>
    <w:rsid w:val="009B1615"/>
    <w:rsid w:val="009B183A"/>
    <w:rsid w:val="009B19A1"/>
    <w:rsid w:val="009B1C95"/>
    <w:rsid w:val="009B1D8E"/>
    <w:rsid w:val="009B20AF"/>
    <w:rsid w:val="009B25D1"/>
    <w:rsid w:val="009B2F27"/>
    <w:rsid w:val="009B35B3"/>
    <w:rsid w:val="009B3985"/>
    <w:rsid w:val="009B420A"/>
    <w:rsid w:val="009B43B3"/>
    <w:rsid w:val="009B45BC"/>
    <w:rsid w:val="009B4D0A"/>
    <w:rsid w:val="009B4DA3"/>
    <w:rsid w:val="009B58B2"/>
    <w:rsid w:val="009B5946"/>
    <w:rsid w:val="009B5E6D"/>
    <w:rsid w:val="009B6D7E"/>
    <w:rsid w:val="009B7601"/>
    <w:rsid w:val="009B76C2"/>
    <w:rsid w:val="009B7C38"/>
    <w:rsid w:val="009C059E"/>
    <w:rsid w:val="009C093D"/>
    <w:rsid w:val="009C107C"/>
    <w:rsid w:val="009C10EA"/>
    <w:rsid w:val="009C1197"/>
    <w:rsid w:val="009C11CD"/>
    <w:rsid w:val="009C1322"/>
    <w:rsid w:val="009C28EB"/>
    <w:rsid w:val="009C2D16"/>
    <w:rsid w:val="009C2F11"/>
    <w:rsid w:val="009C2F66"/>
    <w:rsid w:val="009C324D"/>
    <w:rsid w:val="009C3304"/>
    <w:rsid w:val="009C3C2B"/>
    <w:rsid w:val="009C4006"/>
    <w:rsid w:val="009C44BB"/>
    <w:rsid w:val="009C4674"/>
    <w:rsid w:val="009C4871"/>
    <w:rsid w:val="009C4903"/>
    <w:rsid w:val="009C499F"/>
    <w:rsid w:val="009C4EE3"/>
    <w:rsid w:val="009C5AEF"/>
    <w:rsid w:val="009C5EE2"/>
    <w:rsid w:val="009C6A27"/>
    <w:rsid w:val="009C750D"/>
    <w:rsid w:val="009C76AF"/>
    <w:rsid w:val="009C787E"/>
    <w:rsid w:val="009D0E23"/>
    <w:rsid w:val="009D1243"/>
    <w:rsid w:val="009D153C"/>
    <w:rsid w:val="009D18D9"/>
    <w:rsid w:val="009D1A6A"/>
    <w:rsid w:val="009D268E"/>
    <w:rsid w:val="009D286E"/>
    <w:rsid w:val="009D2E6C"/>
    <w:rsid w:val="009D2EA4"/>
    <w:rsid w:val="009D3611"/>
    <w:rsid w:val="009D364E"/>
    <w:rsid w:val="009D3995"/>
    <w:rsid w:val="009D3D7C"/>
    <w:rsid w:val="009D4DC7"/>
    <w:rsid w:val="009D4F4B"/>
    <w:rsid w:val="009D792F"/>
    <w:rsid w:val="009E004F"/>
    <w:rsid w:val="009E0B25"/>
    <w:rsid w:val="009E121A"/>
    <w:rsid w:val="009E1953"/>
    <w:rsid w:val="009E198B"/>
    <w:rsid w:val="009E1CB4"/>
    <w:rsid w:val="009E1FA0"/>
    <w:rsid w:val="009E2306"/>
    <w:rsid w:val="009E2D9C"/>
    <w:rsid w:val="009E3110"/>
    <w:rsid w:val="009E3212"/>
    <w:rsid w:val="009E3660"/>
    <w:rsid w:val="009E3B7A"/>
    <w:rsid w:val="009E3E1E"/>
    <w:rsid w:val="009E4668"/>
    <w:rsid w:val="009E46F3"/>
    <w:rsid w:val="009E508C"/>
    <w:rsid w:val="009E5213"/>
    <w:rsid w:val="009E5A7C"/>
    <w:rsid w:val="009E5A91"/>
    <w:rsid w:val="009E619F"/>
    <w:rsid w:val="009E62AF"/>
    <w:rsid w:val="009E6D29"/>
    <w:rsid w:val="009E6E27"/>
    <w:rsid w:val="009E7085"/>
    <w:rsid w:val="009E7341"/>
    <w:rsid w:val="009E7436"/>
    <w:rsid w:val="009E7D1A"/>
    <w:rsid w:val="009F0C88"/>
    <w:rsid w:val="009F1145"/>
    <w:rsid w:val="009F1EDB"/>
    <w:rsid w:val="009F2407"/>
    <w:rsid w:val="009F24B1"/>
    <w:rsid w:val="009F2C84"/>
    <w:rsid w:val="009F3251"/>
    <w:rsid w:val="009F471C"/>
    <w:rsid w:val="009F4AE1"/>
    <w:rsid w:val="009F4C6B"/>
    <w:rsid w:val="009F508E"/>
    <w:rsid w:val="009F582D"/>
    <w:rsid w:val="009F6075"/>
    <w:rsid w:val="009F60A9"/>
    <w:rsid w:val="009F6398"/>
    <w:rsid w:val="009F654C"/>
    <w:rsid w:val="009F6580"/>
    <w:rsid w:val="009F65DA"/>
    <w:rsid w:val="009F6762"/>
    <w:rsid w:val="009F67D3"/>
    <w:rsid w:val="009F6EF6"/>
    <w:rsid w:val="00A0022A"/>
    <w:rsid w:val="00A0024F"/>
    <w:rsid w:val="00A0098A"/>
    <w:rsid w:val="00A0116F"/>
    <w:rsid w:val="00A01207"/>
    <w:rsid w:val="00A01623"/>
    <w:rsid w:val="00A017D4"/>
    <w:rsid w:val="00A01C8A"/>
    <w:rsid w:val="00A01EA7"/>
    <w:rsid w:val="00A01F3C"/>
    <w:rsid w:val="00A03102"/>
    <w:rsid w:val="00A035D6"/>
    <w:rsid w:val="00A036FA"/>
    <w:rsid w:val="00A049A0"/>
    <w:rsid w:val="00A04AC0"/>
    <w:rsid w:val="00A04B75"/>
    <w:rsid w:val="00A04F13"/>
    <w:rsid w:val="00A04F58"/>
    <w:rsid w:val="00A05D0E"/>
    <w:rsid w:val="00A05F79"/>
    <w:rsid w:val="00A06024"/>
    <w:rsid w:val="00A06038"/>
    <w:rsid w:val="00A0663A"/>
    <w:rsid w:val="00A070CE"/>
    <w:rsid w:val="00A07426"/>
    <w:rsid w:val="00A074EA"/>
    <w:rsid w:val="00A07589"/>
    <w:rsid w:val="00A07AEA"/>
    <w:rsid w:val="00A101FB"/>
    <w:rsid w:val="00A10839"/>
    <w:rsid w:val="00A10AE8"/>
    <w:rsid w:val="00A10F05"/>
    <w:rsid w:val="00A112B6"/>
    <w:rsid w:val="00A1161E"/>
    <w:rsid w:val="00A11645"/>
    <w:rsid w:val="00A11EEB"/>
    <w:rsid w:val="00A1242F"/>
    <w:rsid w:val="00A13285"/>
    <w:rsid w:val="00A13FE6"/>
    <w:rsid w:val="00A1427D"/>
    <w:rsid w:val="00A145A5"/>
    <w:rsid w:val="00A14B72"/>
    <w:rsid w:val="00A14C7E"/>
    <w:rsid w:val="00A150CF"/>
    <w:rsid w:val="00A1544B"/>
    <w:rsid w:val="00A158F1"/>
    <w:rsid w:val="00A15947"/>
    <w:rsid w:val="00A15A2B"/>
    <w:rsid w:val="00A160FD"/>
    <w:rsid w:val="00A1617B"/>
    <w:rsid w:val="00A17187"/>
    <w:rsid w:val="00A1769A"/>
    <w:rsid w:val="00A17B78"/>
    <w:rsid w:val="00A17D04"/>
    <w:rsid w:val="00A20325"/>
    <w:rsid w:val="00A20668"/>
    <w:rsid w:val="00A20965"/>
    <w:rsid w:val="00A20A44"/>
    <w:rsid w:val="00A2118E"/>
    <w:rsid w:val="00A21220"/>
    <w:rsid w:val="00A214E2"/>
    <w:rsid w:val="00A21593"/>
    <w:rsid w:val="00A216DB"/>
    <w:rsid w:val="00A21EC1"/>
    <w:rsid w:val="00A224AC"/>
    <w:rsid w:val="00A225BC"/>
    <w:rsid w:val="00A2268B"/>
    <w:rsid w:val="00A23546"/>
    <w:rsid w:val="00A238C8"/>
    <w:rsid w:val="00A23FDF"/>
    <w:rsid w:val="00A24088"/>
    <w:rsid w:val="00A240C3"/>
    <w:rsid w:val="00A24206"/>
    <w:rsid w:val="00A25A51"/>
    <w:rsid w:val="00A2610D"/>
    <w:rsid w:val="00A26C08"/>
    <w:rsid w:val="00A26E97"/>
    <w:rsid w:val="00A26F8A"/>
    <w:rsid w:val="00A26F91"/>
    <w:rsid w:val="00A27067"/>
    <w:rsid w:val="00A27354"/>
    <w:rsid w:val="00A27533"/>
    <w:rsid w:val="00A2765D"/>
    <w:rsid w:val="00A2785E"/>
    <w:rsid w:val="00A278B7"/>
    <w:rsid w:val="00A27A81"/>
    <w:rsid w:val="00A27BEB"/>
    <w:rsid w:val="00A27D04"/>
    <w:rsid w:val="00A27D56"/>
    <w:rsid w:val="00A27FE2"/>
    <w:rsid w:val="00A30557"/>
    <w:rsid w:val="00A3071C"/>
    <w:rsid w:val="00A30FDF"/>
    <w:rsid w:val="00A316C5"/>
    <w:rsid w:val="00A318EB"/>
    <w:rsid w:val="00A31B21"/>
    <w:rsid w:val="00A31C29"/>
    <w:rsid w:val="00A31CCC"/>
    <w:rsid w:val="00A3231C"/>
    <w:rsid w:val="00A32497"/>
    <w:rsid w:val="00A325E1"/>
    <w:rsid w:val="00A33105"/>
    <w:rsid w:val="00A33E6F"/>
    <w:rsid w:val="00A33E8A"/>
    <w:rsid w:val="00A340D2"/>
    <w:rsid w:val="00A34A6D"/>
    <w:rsid w:val="00A34BCA"/>
    <w:rsid w:val="00A35030"/>
    <w:rsid w:val="00A353B2"/>
    <w:rsid w:val="00A35DF6"/>
    <w:rsid w:val="00A35F96"/>
    <w:rsid w:val="00A3612E"/>
    <w:rsid w:val="00A362C6"/>
    <w:rsid w:val="00A36732"/>
    <w:rsid w:val="00A36BC6"/>
    <w:rsid w:val="00A36F84"/>
    <w:rsid w:val="00A37842"/>
    <w:rsid w:val="00A37CF0"/>
    <w:rsid w:val="00A40238"/>
    <w:rsid w:val="00A403A9"/>
    <w:rsid w:val="00A415E1"/>
    <w:rsid w:val="00A41709"/>
    <w:rsid w:val="00A41727"/>
    <w:rsid w:val="00A4245A"/>
    <w:rsid w:val="00A42475"/>
    <w:rsid w:val="00A4253A"/>
    <w:rsid w:val="00A425C0"/>
    <w:rsid w:val="00A426EE"/>
    <w:rsid w:val="00A434A0"/>
    <w:rsid w:val="00A43975"/>
    <w:rsid w:val="00A44568"/>
    <w:rsid w:val="00A446DD"/>
    <w:rsid w:val="00A449B6"/>
    <w:rsid w:val="00A451F7"/>
    <w:rsid w:val="00A45539"/>
    <w:rsid w:val="00A45EC9"/>
    <w:rsid w:val="00A46C3E"/>
    <w:rsid w:val="00A46D10"/>
    <w:rsid w:val="00A4720E"/>
    <w:rsid w:val="00A4754A"/>
    <w:rsid w:val="00A50288"/>
    <w:rsid w:val="00A507ED"/>
    <w:rsid w:val="00A50D05"/>
    <w:rsid w:val="00A50DD7"/>
    <w:rsid w:val="00A51771"/>
    <w:rsid w:val="00A51A01"/>
    <w:rsid w:val="00A51E82"/>
    <w:rsid w:val="00A52596"/>
    <w:rsid w:val="00A528F7"/>
    <w:rsid w:val="00A52B82"/>
    <w:rsid w:val="00A532AC"/>
    <w:rsid w:val="00A533EC"/>
    <w:rsid w:val="00A5349E"/>
    <w:rsid w:val="00A535E6"/>
    <w:rsid w:val="00A5401D"/>
    <w:rsid w:val="00A548BE"/>
    <w:rsid w:val="00A55E5A"/>
    <w:rsid w:val="00A55F4F"/>
    <w:rsid w:val="00A56532"/>
    <w:rsid w:val="00A5743D"/>
    <w:rsid w:val="00A576F3"/>
    <w:rsid w:val="00A60676"/>
    <w:rsid w:val="00A612B4"/>
    <w:rsid w:val="00A613AB"/>
    <w:rsid w:val="00A61540"/>
    <w:rsid w:val="00A61591"/>
    <w:rsid w:val="00A61596"/>
    <w:rsid w:val="00A62114"/>
    <w:rsid w:val="00A6256F"/>
    <w:rsid w:val="00A629A4"/>
    <w:rsid w:val="00A62A70"/>
    <w:rsid w:val="00A62AC5"/>
    <w:rsid w:val="00A62B9B"/>
    <w:rsid w:val="00A62F93"/>
    <w:rsid w:val="00A63048"/>
    <w:rsid w:val="00A63118"/>
    <w:rsid w:val="00A634EA"/>
    <w:rsid w:val="00A6366C"/>
    <w:rsid w:val="00A63E7A"/>
    <w:rsid w:val="00A63EBB"/>
    <w:rsid w:val="00A64469"/>
    <w:rsid w:val="00A644ED"/>
    <w:rsid w:val="00A64696"/>
    <w:rsid w:val="00A64ACD"/>
    <w:rsid w:val="00A64B47"/>
    <w:rsid w:val="00A64D35"/>
    <w:rsid w:val="00A65024"/>
    <w:rsid w:val="00A65EEC"/>
    <w:rsid w:val="00A6622E"/>
    <w:rsid w:val="00A66A95"/>
    <w:rsid w:val="00A67AB7"/>
    <w:rsid w:val="00A67D44"/>
    <w:rsid w:val="00A70B77"/>
    <w:rsid w:val="00A7114F"/>
    <w:rsid w:val="00A713BA"/>
    <w:rsid w:val="00A71660"/>
    <w:rsid w:val="00A717E7"/>
    <w:rsid w:val="00A71CDA"/>
    <w:rsid w:val="00A71ED7"/>
    <w:rsid w:val="00A71F25"/>
    <w:rsid w:val="00A72242"/>
    <w:rsid w:val="00A72A90"/>
    <w:rsid w:val="00A72C72"/>
    <w:rsid w:val="00A7307B"/>
    <w:rsid w:val="00A7314C"/>
    <w:rsid w:val="00A738D6"/>
    <w:rsid w:val="00A74290"/>
    <w:rsid w:val="00A74AB2"/>
    <w:rsid w:val="00A7543A"/>
    <w:rsid w:val="00A759A9"/>
    <w:rsid w:val="00A75A6D"/>
    <w:rsid w:val="00A75BE5"/>
    <w:rsid w:val="00A75CB9"/>
    <w:rsid w:val="00A765CA"/>
    <w:rsid w:val="00A76777"/>
    <w:rsid w:val="00A76A76"/>
    <w:rsid w:val="00A76E57"/>
    <w:rsid w:val="00A773BA"/>
    <w:rsid w:val="00A773D0"/>
    <w:rsid w:val="00A804A5"/>
    <w:rsid w:val="00A804C3"/>
    <w:rsid w:val="00A80C15"/>
    <w:rsid w:val="00A81102"/>
    <w:rsid w:val="00A81C5A"/>
    <w:rsid w:val="00A81DD1"/>
    <w:rsid w:val="00A82406"/>
    <w:rsid w:val="00A8276C"/>
    <w:rsid w:val="00A82DAA"/>
    <w:rsid w:val="00A82DE5"/>
    <w:rsid w:val="00A82F9E"/>
    <w:rsid w:val="00A83058"/>
    <w:rsid w:val="00A8353E"/>
    <w:rsid w:val="00A83DA5"/>
    <w:rsid w:val="00A84073"/>
    <w:rsid w:val="00A850CC"/>
    <w:rsid w:val="00A85790"/>
    <w:rsid w:val="00A8593C"/>
    <w:rsid w:val="00A865A3"/>
    <w:rsid w:val="00A87014"/>
    <w:rsid w:val="00A871FD"/>
    <w:rsid w:val="00A903EA"/>
    <w:rsid w:val="00A9135E"/>
    <w:rsid w:val="00A91E82"/>
    <w:rsid w:val="00A9220A"/>
    <w:rsid w:val="00A9239D"/>
    <w:rsid w:val="00A929A3"/>
    <w:rsid w:val="00A92AF0"/>
    <w:rsid w:val="00A9302E"/>
    <w:rsid w:val="00A93737"/>
    <w:rsid w:val="00A938FA"/>
    <w:rsid w:val="00A93AE8"/>
    <w:rsid w:val="00A93B0E"/>
    <w:rsid w:val="00A93CE9"/>
    <w:rsid w:val="00A93DE1"/>
    <w:rsid w:val="00A93EAF"/>
    <w:rsid w:val="00A941A3"/>
    <w:rsid w:val="00A9435A"/>
    <w:rsid w:val="00A943FF"/>
    <w:rsid w:val="00A947D6"/>
    <w:rsid w:val="00A94838"/>
    <w:rsid w:val="00A94B13"/>
    <w:rsid w:val="00A94DA1"/>
    <w:rsid w:val="00A95D91"/>
    <w:rsid w:val="00A95F37"/>
    <w:rsid w:val="00A96D4B"/>
    <w:rsid w:val="00A96E24"/>
    <w:rsid w:val="00A975D7"/>
    <w:rsid w:val="00A97885"/>
    <w:rsid w:val="00A97C93"/>
    <w:rsid w:val="00A97FC3"/>
    <w:rsid w:val="00AA07D8"/>
    <w:rsid w:val="00AA0D9C"/>
    <w:rsid w:val="00AA0EB1"/>
    <w:rsid w:val="00AA186B"/>
    <w:rsid w:val="00AA1B90"/>
    <w:rsid w:val="00AA1C22"/>
    <w:rsid w:val="00AA1D4A"/>
    <w:rsid w:val="00AA2217"/>
    <w:rsid w:val="00AA240A"/>
    <w:rsid w:val="00AA24A7"/>
    <w:rsid w:val="00AA24D2"/>
    <w:rsid w:val="00AA26F6"/>
    <w:rsid w:val="00AA2C47"/>
    <w:rsid w:val="00AA2DAE"/>
    <w:rsid w:val="00AA2DF7"/>
    <w:rsid w:val="00AA3103"/>
    <w:rsid w:val="00AA37C3"/>
    <w:rsid w:val="00AA3A0E"/>
    <w:rsid w:val="00AA3CA6"/>
    <w:rsid w:val="00AA4696"/>
    <w:rsid w:val="00AA4739"/>
    <w:rsid w:val="00AA49EB"/>
    <w:rsid w:val="00AA4C2C"/>
    <w:rsid w:val="00AA4DF0"/>
    <w:rsid w:val="00AA4EB3"/>
    <w:rsid w:val="00AA592F"/>
    <w:rsid w:val="00AA6B2E"/>
    <w:rsid w:val="00AA6F1C"/>
    <w:rsid w:val="00AA70E0"/>
    <w:rsid w:val="00AA71FB"/>
    <w:rsid w:val="00AA7281"/>
    <w:rsid w:val="00AA7567"/>
    <w:rsid w:val="00AA7F16"/>
    <w:rsid w:val="00AB09EE"/>
    <w:rsid w:val="00AB0B1F"/>
    <w:rsid w:val="00AB1657"/>
    <w:rsid w:val="00AB1976"/>
    <w:rsid w:val="00AB1D54"/>
    <w:rsid w:val="00AB202E"/>
    <w:rsid w:val="00AB27DD"/>
    <w:rsid w:val="00AB29DC"/>
    <w:rsid w:val="00AB2DCE"/>
    <w:rsid w:val="00AB3305"/>
    <w:rsid w:val="00AB3424"/>
    <w:rsid w:val="00AB3DEB"/>
    <w:rsid w:val="00AB420D"/>
    <w:rsid w:val="00AB43CD"/>
    <w:rsid w:val="00AB4BEE"/>
    <w:rsid w:val="00AB4D1B"/>
    <w:rsid w:val="00AB5A9B"/>
    <w:rsid w:val="00AB5B52"/>
    <w:rsid w:val="00AB657C"/>
    <w:rsid w:val="00AB6E24"/>
    <w:rsid w:val="00AB6F58"/>
    <w:rsid w:val="00AB71EF"/>
    <w:rsid w:val="00AB7936"/>
    <w:rsid w:val="00AC0028"/>
    <w:rsid w:val="00AC0152"/>
    <w:rsid w:val="00AC027B"/>
    <w:rsid w:val="00AC0945"/>
    <w:rsid w:val="00AC0F86"/>
    <w:rsid w:val="00AC0FF4"/>
    <w:rsid w:val="00AC1092"/>
    <w:rsid w:val="00AC1E49"/>
    <w:rsid w:val="00AC234D"/>
    <w:rsid w:val="00AC2BB8"/>
    <w:rsid w:val="00AC2FB1"/>
    <w:rsid w:val="00AC3202"/>
    <w:rsid w:val="00AC47DF"/>
    <w:rsid w:val="00AC49A4"/>
    <w:rsid w:val="00AC4CC5"/>
    <w:rsid w:val="00AC500F"/>
    <w:rsid w:val="00AC535D"/>
    <w:rsid w:val="00AC5371"/>
    <w:rsid w:val="00AC549D"/>
    <w:rsid w:val="00AC60E6"/>
    <w:rsid w:val="00AC6485"/>
    <w:rsid w:val="00AC6C20"/>
    <w:rsid w:val="00AC7689"/>
    <w:rsid w:val="00AC7AC6"/>
    <w:rsid w:val="00AD069E"/>
    <w:rsid w:val="00AD075D"/>
    <w:rsid w:val="00AD077F"/>
    <w:rsid w:val="00AD0889"/>
    <w:rsid w:val="00AD0B7E"/>
    <w:rsid w:val="00AD12E1"/>
    <w:rsid w:val="00AD151E"/>
    <w:rsid w:val="00AD1EAF"/>
    <w:rsid w:val="00AD24A7"/>
    <w:rsid w:val="00AD2621"/>
    <w:rsid w:val="00AD276B"/>
    <w:rsid w:val="00AD2A57"/>
    <w:rsid w:val="00AD3B63"/>
    <w:rsid w:val="00AD3C1F"/>
    <w:rsid w:val="00AD3DA5"/>
    <w:rsid w:val="00AD4924"/>
    <w:rsid w:val="00AD4AA4"/>
    <w:rsid w:val="00AD4CEB"/>
    <w:rsid w:val="00AD4D45"/>
    <w:rsid w:val="00AD4EFD"/>
    <w:rsid w:val="00AD51DF"/>
    <w:rsid w:val="00AD5815"/>
    <w:rsid w:val="00AD69DB"/>
    <w:rsid w:val="00AD6F7D"/>
    <w:rsid w:val="00AD7713"/>
    <w:rsid w:val="00AD78EB"/>
    <w:rsid w:val="00AD7C60"/>
    <w:rsid w:val="00AE0283"/>
    <w:rsid w:val="00AE089C"/>
    <w:rsid w:val="00AE11F8"/>
    <w:rsid w:val="00AE1202"/>
    <w:rsid w:val="00AE1721"/>
    <w:rsid w:val="00AE17E8"/>
    <w:rsid w:val="00AE1918"/>
    <w:rsid w:val="00AE1F3B"/>
    <w:rsid w:val="00AE209C"/>
    <w:rsid w:val="00AE29F2"/>
    <w:rsid w:val="00AE3002"/>
    <w:rsid w:val="00AE31D8"/>
    <w:rsid w:val="00AE3305"/>
    <w:rsid w:val="00AE34FC"/>
    <w:rsid w:val="00AE362A"/>
    <w:rsid w:val="00AE3D9D"/>
    <w:rsid w:val="00AE4138"/>
    <w:rsid w:val="00AE4463"/>
    <w:rsid w:val="00AE46C8"/>
    <w:rsid w:val="00AE4F4C"/>
    <w:rsid w:val="00AE511D"/>
    <w:rsid w:val="00AE5B40"/>
    <w:rsid w:val="00AE63F3"/>
    <w:rsid w:val="00AE6C12"/>
    <w:rsid w:val="00AE7DA0"/>
    <w:rsid w:val="00AF0832"/>
    <w:rsid w:val="00AF09FE"/>
    <w:rsid w:val="00AF0A66"/>
    <w:rsid w:val="00AF0B95"/>
    <w:rsid w:val="00AF0C6D"/>
    <w:rsid w:val="00AF21D7"/>
    <w:rsid w:val="00AF21ED"/>
    <w:rsid w:val="00AF2C4B"/>
    <w:rsid w:val="00AF2F9C"/>
    <w:rsid w:val="00AF312E"/>
    <w:rsid w:val="00AF39D4"/>
    <w:rsid w:val="00AF4113"/>
    <w:rsid w:val="00AF4B83"/>
    <w:rsid w:val="00AF56C7"/>
    <w:rsid w:val="00AF59BB"/>
    <w:rsid w:val="00AF64B0"/>
    <w:rsid w:val="00AF676E"/>
    <w:rsid w:val="00AF6A78"/>
    <w:rsid w:val="00AF72A7"/>
    <w:rsid w:val="00AF735A"/>
    <w:rsid w:val="00AF77C2"/>
    <w:rsid w:val="00B0023C"/>
    <w:rsid w:val="00B00654"/>
    <w:rsid w:val="00B00E26"/>
    <w:rsid w:val="00B010C1"/>
    <w:rsid w:val="00B01903"/>
    <w:rsid w:val="00B0233E"/>
    <w:rsid w:val="00B0248F"/>
    <w:rsid w:val="00B02699"/>
    <w:rsid w:val="00B03796"/>
    <w:rsid w:val="00B0382C"/>
    <w:rsid w:val="00B043B2"/>
    <w:rsid w:val="00B0496A"/>
    <w:rsid w:val="00B04A6A"/>
    <w:rsid w:val="00B0583F"/>
    <w:rsid w:val="00B058D0"/>
    <w:rsid w:val="00B05CCB"/>
    <w:rsid w:val="00B06301"/>
    <w:rsid w:val="00B06989"/>
    <w:rsid w:val="00B06D65"/>
    <w:rsid w:val="00B07038"/>
    <w:rsid w:val="00B07213"/>
    <w:rsid w:val="00B07E12"/>
    <w:rsid w:val="00B07EBE"/>
    <w:rsid w:val="00B10336"/>
    <w:rsid w:val="00B1079E"/>
    <w:rsid w:val="00B10BB1"/>
    <w:rsid w:val="00B10DE4"/>
    <w:rsid w:val="00B110B0"/>
    <w:rsid w:val="00B11202"/>
    <w:rsid w:val="00B118A2"/>
    <w:rsid w:val="00B11F93"/>
    <w:rsid w:val="00B1242A"/>
    <w:rsid w:val="00B126A8"/>
    <w:rsid w:val="00B129F7"/>
    <w:rsid w:val="00B130B1"/>
    <w:rsid w:val="00B13A99"/>
    <w:rsid w:val="00B13D53"/>
    <w:rsid w:val="00B13ECF"/>
    <w:rsid w:val="00B16CA0"/>
    <w:rsid w:val="00B1736D"/>
    <w:rsid w:val="00B1739B"/>
    <w:rsid w:val="00B1770A"/>
    <w:rsid w:val="00B17A40"/>
    <w:rsid w:val="00B20151"/>
    <w:rsid w:val="00B20620"/>
    <w:rsid w:val="00B20C2B"/>
    <w:rsid w:val="00B20DCA"/>
    <w:rsid w:val="00B222FC"/>
    <w:rsid w:val="00B22861"/>
    <w:rsid w:val="00B22D56"/>
    <w:rsid w:val="00B236E1"/>
    <w:rsid w:val="00B23751"/>
    <w:rsid w:val="00B24481"/>
    <w:rsid w:val="00B25009"/>
    <w:rsid w:val="00B2503C"/>
    <w:rsid w:val="00B257C2"/>
    <w:rsid w:val="00B25AF4"/>
    <w:rsid w:val="00B25F47"/>
    <w:rsid w:val="00B26335"/>
    <w:rsid w:val="00B26DD7"/>
    <w:rsid w:val="00B27066"/>
    <w:rsid w:val="00B27468"/>
    <w:rsid w:val="00B30725"/>
    <w:rsid w:val="00B3090B"/>
    <w:rsid w:val="00B309D3"/>
    <w:rsid w:val="00B3100E"/>
    <w:rsid w:val="00B31589"/>
    <w:rsid w:val="00B31BEB"/>
    <w:rsid w:val="00B31C6D"/>
    <w:rsid w:val="00B31DC1"/>
    <w:rsid w:val="00B32A57"/>
    <w:rsid w:val="00B32C50"/>
    <w:rsid w:val="00B332D6"/>
    <w:rsid w:val="00B33376"/>
    <w:rsid w:val="00B3356C"/>
    <w:rsid w:val="00B33912"/>
    <w:rsid w:val="00B33992"/>
    <w:rsid w:val="00B34337"/>
    <w:rsid w:val="00B34343"/>
    <w:rsid w:val="00B354B9"/>
    <w:rsid w:val="00B356C5"/>
    <w:rsid w:val="00B35B09"/>
    <w:rsid w:val="00B35D8F"/>
    <w:rsid w:val="00B363FA"/>
    <w:rsid w:val="00B3651A"/>
    <w:rsid w:val="00B36675"/>
    <w:rsid w:val="00B37399"/>
    <w:rsid w:val="00B37666"/>
    <w:rsid w:val="00B4075F"/>
    <w:rsid w:val="00B40D0E"/>
    <w:rsid w:val="00B410CB"/>
    <w:rsid w:val="00B414DB"/>
    <w:rsid w:val="00B41958"/>
    <w:rsid w:val="00B41B21"/>
    <w:rsid w:val="00B42473"/>
    <w:rsid w:val="00B42643"/>
    <w:rsid w:val="00B4292A"/>
    <w:rsid w:val="00B42A3C"/>
    <w:rsid w:val="00B42A60"/>
    <w:rsid w:val="00B42BF1"/>
    <w:rsid w:val="00B435A3"/>
    <w:rsid w:val="00B43A3E"/>
    <w:rsid w:val="00B44415"/>
    <w:rsid w:val="00B44F4A"/>
    <w:rsid w:val="00B45535"/>
    <w:rsid w:val="00B458CE"/>
    <w:rsid w:val="00B4673B"/>
    <w:rsid w:val="00B4725C"/>
    <w:rsid w:val="00B473D2"/>
    <w:rsid w:val="00B475A4"/>
    <w:rsid w:val="00B47969"/>
    <w:rsid w:val="00B479EE"/>
    <w:rsid w:val="00B47C63"/>
    <w:rsid w:val="00B5106D"/>
    <w:rsid w:val="00B512DE"/>
    <w:rsid w:val="00B518F4"/>
    <w:rsid w:val="00B51ADF"/>
    <w:rsid w:val="00B522A7"/>
    <w:rsid w:val="00B53B6D"/>
    <w:rsid w:val="00B540F9"/>
    <w:rsid w:val="00B5417F"/>
    <w:rsid w:val="00B555BA"/>
    <w:rsid w:val="00B55D70"/>
    <w:rsid w:val="00B55E70"/>
    <w:rsid w:val="00B55FD8"/>
    <w:rsid w:val="00B56607"/>
    <w:rsid w:val="00B5662B"/>
    <w:rsid w:val="00B57D2B"/>
    <w:rsid w:val="00B6040A"/>
    <w:rsid w:val="00B6050B"/>
    <w:rsid w:val="00B60915"/>
    <w:rsid w:val="00B61351"/>
    <w:rsid w:val="00B61352"/>
    <w:rsid w:val="00B6149B"/>
    <w:rsid w:val="00B61D48"/>
    <w:rsid w:val="00B61FAF"/>
    <w:rsid w:val="00B62C4E"/>
    <w:rsid w:val="00B63637"/>
    <w:rsid w:val="00B640F9"/>
    <w:rsid w:val="00B649EA"/>
    <w:rsid w:val="00B64CB1"/>
    <w:rsid w:val="00B65231"/>
    <w:rsid w:val="00B658E5"/>
    <w:rsid w:val="00B665AF"/>
    <w:rsid w:val="00B66733"/>
    <w:rsid w:val="00B6753E"/>
    <w:rsid w:val="00B700CA"/>
    <w:rsid w:val="00B70184"/>
    <w:rsid w:val="00B702DB"/>
    <w:rsid w:val="00B70918"/>
    <w:rsid w:val="00B71591"/>
    <w:rsid w:val="00B7169C"/>
    <w:rsid w:val="00B72013"/>
    <w:rsid w:val="00B7232B"/>
    <w:rsid w:val="00B73084"/>
    <w:rsid w:val="00B730DC"/>
    <w:rsid w:val="00B73788"/>
    <w:rsid w:val="00B7477B"/>
    <w:rsid w:val="00B74EA0"/>
    <w:rsid w:val="00B7500A"/>
    <w:rsid w:val="00B75395"/>
    <w:rsid w:val="00B75C3A"/>
    <w:rsid w:val="00B75F4E"/>
    <w:rsid w:val="00B76921"/>
    <w:rsid w:val="00B76DD8"/>
    <w:rsid w:val="00B76ECB"/>
    <w:rsid w:val="00B7750D"/>
    <w:rsid w:val="00B80AA5"/>
    <w:rsid w:val="00B80FC2"/>
    <w:rsid w:val="00B81653"/>
    <w:rsid w:val="00B81870"/>
    <w:rsid w:val="00B81C7C"/>
    <w:rsid w:val="00B824ED"/>
    <w:rsid w:val="00B82609"/>
    <w:rsid w:val="00B8271B"/>
    <w:rsid w:val="00B82805"/>
    <w:rsid w:val="00B82CA1"/>
    <w:rsid w:val="00B8346B"/>
    <w:rsid w:val="00B83687"/>
    <w:rsid w:val="00B83CB0"/>
    <w:rsid w:val="00B83F5D"/>
    <w:rsid w:val="00B84233"/>
    <w:rsid w:val="00B84270"/>
    <w:rsid w:val="00B844B0"/>
    <w:rsid w:val="00B84ECB"/>
    <w:rsid w:val="00B84FC3"/>
    <w:rsid w:val="00B8525A"/>
    <w:rsid w:val="00B852CD"/>
    <w:rsid w:val="00B852D1"/>
    <w:rsid w:val="00B85359"/>
    <w:rsid w:val="00B85599"/>
    <w:rsid w:val="00B85CDB"/>
    <w:rsid w:val="00B85DA5"/>
    <w:rsid w:val="00B85DAA"/>
    <w:rsid w:val="00B865C1"/>
    <w:rsid w:val="00B86B30"/>
    <w:rsid w:val="00B86FE3"/>
    <w:rsid w:val="00B871E2"/>
    <w:rsid w:val="00B8781A"/>
    <w:rsid w:val="00B87B28"/>
    <w:rsid w:val="00B87B8B"/>
    <w:rsid w:val="00B87E2F"/>
    <w:rsid w:val="00B90572"/>
    <w:rsid w:val="00B9086F"/>
    <w:rsid w:val="00B91055"/>
    <w:rsid w:val="00B9165D"/>
    <w:rsid w:val="00B91A5F"/>
    <w:rsid w:val="00B91AE9"/>
    <w:rsid w:val="00B91C8C"/>
    <w:rsid w:val="00B91FE0"/>
    <w:rsid w:val="00B920C3"/>
    <w:rsid w:val="00B926B5"/>
    <w:rsid w:val="00B92FAD"/>
    <w:rsid w:val="00B93532"/>
    <w:rsid w:val="00B94740"/>
    <w:rsid w:val="00B947AA"/>
    <w:rsid w:val="00B95BA5"/>
    <w:rsid w:val="00B96032"/>
    <w:rsid w:val="00B9606E"/>
    <w:rsid w:val="00B96258"/>
    <w:rsid w:val="00B96E88"/>
    <w:rsid w:val="00B97758"/>
    <w:rsid w:val="00B97914"/>
    <w:rsid w:val="00BA023A"/>
    <w:rsid w:val="00BA0572"/>
    <w:rsid w:val="00BA0688"/>
    <w:rsid w:val="00BA09A4"/>
    <w:rsid w:val="00BA1667"/>
    <w:rsid w:val="00BA1D78"/>
    <w:rsid w:val="00BA2013"/>
    <w:rsid w:val="00BA295E"/>
    <w:rsid w:val="00BA2AD4"/>
    <w:rsid w:val="00BA2BC9"/>
    <w:rsid w:val="00BA2E16"/>
    <w:rsid w:val="00BA3470"/>
    <w:rsid w:val="00BA3796"/>
    <w:rsid w:val="00BA3D30"/>
    <w:rsid w:val="00BA475B"/>
    <w:rsid w:val="00BA4C0A"/>
    <w:rsid w:val="00BA4F55"/>
    <w:rsid w:val="00BA5118"/>
    <w:rsid w:val="00BA53B0"/>
    <w:rsid w:val="00BA5547"/>
    <w:rsid w:val="00BA5863"/>
    <w:rsid w:val="00BA5EC3"/>
    <w:rsid w:val="00BA64EA"/>
    <w:rsid w:val="00BA64F5"/>
    <w:rsid w:val="00BA6602"/>
    <w:rsid w:val="00BA6710"/>
    <w:rsid w:val="00BA6F4A"/>
    <w:rsid w:val="00BA7097"/>
    <w:rsid w:val="00BA71AF"/>
    <w:rsid w:val="00BA7428"/>
    <w:rsid w:val="00BA7623"/>
    <w:rsid w:val="00BA7F95"/>
    <w:rsid w:val="00BB03E5"/>
    <w:rsid w:val="00BB0584"/>
    <w:rsid w:val="00BB10BC"/>
    <w:rsid w:val="00BB1FE5"/>
    <w:rsid w:val="00BB20CC"/>
    <w:rsid w:val="00BB22F5"/>
    <w:rsid w:val="00BB272F"/>
    <w:rsid w:val="00BB2876"/>
    <w:rsid w:val="00BB2A6B"/>
    <w:rsid w:val="00BB2BF7"/>
    <w:rsid w:val="00BB2D7E"/>
    <w:rsid w:val="00BB2FF0"/>
    <w:rsid w:val="00BB35EB"/>
    <w:rsid w:val="00BB3990"/>
    <w:rsid w:val="00BB3CB7"/>
    <w:rsid w:val="00BB3EE2"/>
    <w:rsid w:val="00BB3F3E"/>
    <w:rsid w:val="00BB4857"/>
    <w:rsid w:val="00BB4916"/>
    <w:rsid w:val="00BB558F"/>
    <w:rsid w:val="00BB63C4"/>
    <w:rsid w:val="00BB6500"/>
    <w:rsid w:val="00BB676D"/>
    <w:rsid w:val="00BB6E0A"/>
    <w:rsid w:val="00BB6F28"/>
    <w:rsid w:val="00BB6FE3"/>
    <w:rsid w:val="00BC01E8"/>
    <w:rsid w:val="00BC06AE"/>
    <w:rsid w:val="00BC0B64"/>
    <w:rsid w:val="00BC0ED7"/>
    <w:rsid w:val="00BC1521"/>
    <w:rsid w:val="00BC16AE"/>
    <w:rsid w:val="00BC1BDD"/>
    <w:rsid w:val="00BC1F00"/>
    <w:rsid w:val="00BC2658"/>
    <w:rsid w:val="00BC2D22"/>
    <w:rsid w:val="00BC334D"/>
    <w:rsid w:val="00BC3A4A"/>
    <w:rsid w:val="00BC425F"/>
    <w:rsid w:val="00BC43BA"/>
    <w:rsid w:val="00BC5156"/>
    <w:rsid w:val="00BC6390"/>
    <w:rsid w:val="00BC661D"/>
    <w:rsid w:val="00BC6A28"/>
    <w:rsid w:val="00BC6A48"/>
    <w:rsid w:val="00BC6C9D"/>
    <w:rsid w:val="00BC7024"/>
    <w:rsid w:val="00BC7AC0"/>
    <w:rsid w:val="00BD04C7"/>
    <w:rsid w:val="00BD082B"/>
    <w:rsid w:val="00BD0B0F"/>
    <w:rsid w:val="00BD1739"/>
    <w:rsid w:val="00BD1DF7"/>
    <w:rsid w:val="00BD28C7"/>
    <w:rsid w:val="00BD2E1A"/>
    <w:rsid w:val="00BD3B31"/>
    <w:rsid w:val="00BD45C1"/>
    <w:rsid w:val="00BD4873"/>
    <w:rsid w:val="00BD4A74"/>
    <w:rsid w:val="00BD4E9B"/>
    <w:rsid w:val="00BD534D"/>
    <w:rsid w:val="00BD5780"/>
    <w:rsid w:val="00BD5EEA"/>
    <w:rsid w:val="00BD6075"/>
    <w:rsid w:val="00BD6244"/>
    <w:rsid w:val="00BD6B1F"/>
    <w:rsid w:val="00BD7012"/>
    <w:rsid w:val="00BD7069"/>
    <w:rsid w:val="00BD78C3"/>
    <w:rsid w:val="00BD7C4B"/>
    <w:rsid w:val="00BE0420"/>
    <w:rsid w:val="00BE04F7"/>
    <w:rsid w:val="00BE056B"/>
    <w:rsid w:val="00BE08C1"/>
    <w:rsid w:val="00BE0EEC"/>
    <w:rsid w:val="00BE0F68"/>
    <w:rsid w:val="00BE125E"/>
    <w:rsid w:val="00BE1F31"/>
    <w:rsid w:val="00BE1F6C"/>
    <w:rsid w:val="00BE2675"/>
    <w:rsid w:val="00BE287D"/>
    <w:rsid w:val="00BE3264"/>
    <w:rsid w:val="00BE3866"/>
    <w:rsid w:val="00BE391B"/>
    <w:rsid w:val="00BE4C15"/>
    <w:rsid w:val="00BE51FE"/>
    <w:rsid w:val="00BE68F5"/>
    <w:rsid w:val="00BE6B43"/>
    <w:rsid w:val="00BF0299"/>
    <w:rsid w:val="00BF1FF4"/>
    <w:rsid w:val="00BF21F8"/>
    <w:rsid w:val="00BF23DC"/>
    <w:rsid w:val="00BF2703"/>
    <w:rsid w:val="00BF2D23"/>
    <w:rsid w:val="00BF3178"/>
    <w:rsid w:val="00BF3736"/>
    <w:rsid w:val="00BF38F2"/>
    <w:rsid w:val="00BF3B48"/>
    <w:rsid w:val="00BF3F0D"/>
    <w:rsid w:val="00BF4377"/>
    <w:rsid w:val="00BF4891"/>
    <w:rsid w:val="00BF4B22"/>
    <w:rsid w:val="00BF4B4A"/>
    <w:rsid w:val="00BF4BE3"/>
    <w:rsid w:val="00BF5420"/>
    <w:rsid w:val="00BF6AFA"/>
    <w:rsid w:val="00BF7B94"/>
    <w:rsid w:val="00C00AA2"/>
    <w:rsid w:val="00C00C06"/>
    <w:rsid w:val="00C00C09"/>
    <w:rsid w:val="00C00CFF"/>
    <w:rsid w:val="00C0380D"/>
    <w:rsid w:val="00C0532E"/>
    <w:rsid w:val="00C054E7"/>
    <w:rsid w:val="00C054F3"/>
    <w:rsid w:val="00C06C4F"/>
    <w:rsid w:val="00C06E3B"/>
    <w:rsid w:val="00C06EB0"/>
    <w:rsid w:val="00C07984"/>
    <w:rsid w:val="00C07A1B"/>
    <w:rsid w:val="00C10379"/>
    <w:rsid w:val="00C10473"/>
    <w:rsid w:val="00C10996"/>
    <w:rsid w:val="00C10BDF"/>
    <w:rsid w:val="00C10C07"/>
    <w:rsid w:val="00C10E55"/>
    <w:rsid w:val="00C10EDF"/>
    <w:rsid w:val="00C10EFE"/>
    <w:rsid w:val="00C11159"/>
    <w:rsid w:val="00C11723"/>
    <w:rsid w:val="00C117D1"/>
    <w:rsid w:val="00C11918"/>
    <w:rsid w:val="00C11F86"/>
    <w:rsid w:val="00C1238B"/>
    <w:rsid w:val="00C12504"/>
    <w:rsid w:val="00C12AC4"/>
    <w:rsid w:val="00C139CB"/>
    <w:rsid w:val="00C13D10"/>
    <w:rsid w:val="00C1416A"/>
    <w:rsid w:val="00C14206"/>
    <w:rsid w:val="00C15A9B"/>
    <w:rsid w:val="00C15AC7"/>
    <w:rsid w:val="00C15E13"/>
    <w:rsid w:val="00C166B1"/>
    <w:rsid w:val="00C16FD2"/>
    <w:rsid w:val="00C17837"/>
    <w:rsid w:val="00C2038A"/>
    <w:rsid w:val="00C204A5"/>
    <w:rsid w:val="00C2056E"/>
    <w:rsid w:val="00C206B1"/>
    <w:rsid w:val="00C20714"/>
    <w:rsid w:val="00C209F3"/>
    <w:rsid w:val="00C20A18"/>
    <w:rsid w:val="00C212CA"/>
    <w:rsid w:val="00C214CF"/>
    <w:rsid w:val="00C223E6"/>
    <w:rsid w:val="00C228C5"/>
    <w:rsid w:val="00C2315B"/>
    <w:rsid w:val="00C23323"/>
    <w:rsid w:val="00C233ED"/>
    <w:rsid w:val="00C23860"/>
    <w:rsid w:val="00C23E18"/>
    <w:rsid w:val="00C240AE"/>
    <w:rsid w:val="00C25318"/>
    <w:rsid w:val="00C26199"/>
    <w:rsid w:val="00C2652D"/>
    <w:rsid w:val="00C26E9D"/>
    <w:rsid w:val="00C27425"/>
    <w:rsid w:val="00C27583"/>
    <w:rsid w:val="00C27660"/>
    <w:rsid w:val="00C27956"/>
    <w:rsid w:val="00C3089C"/>
    <w:rsid w:val="00C30A86"/>
    <w:rsid w:val="00C30AC9"/>
    <w:rsid w:val="00C30AE6"/>
    <w:rsid w:val="00C30D91"/>
    <w:rsid w:val="00C30F5E"/>
    <w:rsid w:val="00C31CD4"/>
    <w:rsid w:val="00C31E71"/>
    <w:rsid w:val="00C31EA6"/>
    <w:rsid w:val="00C32508"/>
    <w:rsid w:val="00C32A8E"/>
    <w:rsid w:val="00C332F4"/>
    <w:rsid w:val="00C33495"/>
    <w:rsid w:val="00C3383C"/>
    <w:rsid w:val="00C340EC"/>
    <w:rsid w:val="00C34766"/>
    <w:rsid w:val="00C3482E"/>
    <w:rsid w:val="00C34F92"/>
    <w:rsid w:val="00C35768"/>
    <w:rsid w:val="00C35D02"/>
    <w:rsid w:val="00C35D57"/>
    <w:rsid w:val="00C36012"/>
    <w:rsid w:val="00C36256"/>
    <w:rsid w:val="00C3672E"/>
    <w:rsid w:val="00C36843"/>
    <w:rsid w:val="00C372C1"/>
    <w:rsid w:val="00C3763A"/>
    <w:rsid w:val="00C3793E"/>
    <w:rsid w:val="00C379EE"/>
    <w:rsid w:val="00C4042F"/>
    <w:rsid w:val="00C41115"/>
    <w:rsid w:val="00C416DC"/>
    <w:rsid w:val="00C41729"/>
    <w:rsid w:val="00C41C2B"/>
    <w:rsid w:val="00C420C4"/>
    <w:rsid w:val="00C42A18"/>
    <w:rsid w:val="00C42CD7"/>
    <w:rsid w:val="00C42DD4"/>
    <w:rsid w:val="00C43627"/>
    <w:rsid w:val="00C43BA5"/>
    <w:rsid w:val="00C44084"/>
    <w:rsid w:val="00C44468"/>
    <w:rsid w:val="00C456F6"/>
    <w:rsid w:val="00C4578A"/>
    <w:rsid w:val="00C45794"/>
    <w:rsid w:val="00C46916"/>
    <w:rsid w:val="00C47413"/>
    <w:rsid w:val="00C4775E"/>
    <w:rsid w:val="00C4786E"/>
    <w:rsid w:val="00C47B62"/>
    <w:rsid w:val="00C500D9"/>
    <w:rsid w:val="00C504A7"/>
    <w:rsid w:val="00C508BC"/>
    <w:rsid w:val="00C508E9"/>
    <w:rsid w:val="00C50DC3"/>
    <w:rsid w:val="00C512F5"/>
    <w:rsid w:val="00C52FA8"/>
    <w:rsid w:val="00C536A5"/>
    <w:rsid w:val="00C53AA0"/>
    <w:rsid w:val="00C53BEA"/>
    <w:rsid w:val="00C5402F"/>
    <w:rsid w:val="00C54D4E"/>
    <w:rsid w:val="00C54FD9"/>
    <w:rsid w:val="00C5529B"/>
    <w:rsid w:val="00C5545F"/>
    <w:rsid w:val="00C55B01"/>
    <w:rsid w:val="00C55FC0"/>
    <w:rsid w:val="00C5654A"/>
    <w:rsid w:val="00C577CD"/>
    <w:rsid w:val="00C579C1"/>
    <w:rsid w:val="00C57CEE"/>
    <w:rsid w:val="00C60344"/>
    <w:rsid w:val="00C60522"/>
    <w:rsid w:val="00C607A9"/>
    <w:rsid w:val="00C60DDD"/>
    <w:rsid w:val="00C6139B"/>
    <w:rsid w:val="00C61544"/>
    <w:rsid w:val="00C615EA"/>
    <w:rsid w:val="00C62059"/>
    <w:rsid w:val="00C626D7"/>
    <w:rsid w:val="00C629E7"/>
    <w:rsid w:val="00C62D71"/>
    <w:rsid w:val="00C62FEC"/>
    <w:rsid w:val="00C63A6E"/>
    <w:rsid w:val="00C641A4"/>
    <w:rsid w:val="00C643B6"/>
    <w:rsid w:val="00C6454C"/>
    <w:rsid w:val="00C645D1"/>
    <w:rsid w:val="00C6460B"/>
    <w:rsid w:val="00C64B44"/>
    <w:rsid w:val="00C65222"/>
    <w:rsid w:val="00C65D82"/>
    <w:rsid w:val="00C6620C"/>
    <w:rsid w:val="00C666E8"/>
    <w:rsid w:val="00C66C1E"/>
    <w:rsid w:val="00C66E38"/>
    <w:rsid w:val="00C66F7B"/>
    <w:rsid w:val="00C679EA"/>
    <w:rsid w:val="00C70C43"/>
    <w:rsid w:val="00C71253"/>
    <w:rsid w:val="00C73018"/>
    <w:rsid w:val="00C748AD"/>
    <w:rsid w:val="00C749FA"/>
    <w:rsid w:val="00C75B8B"/>
    <w:rsid w:val="00C7702E"/>
    <w:rsid w:val="00C773B3"/>
    <w:rsid w:val="00C77C14"/>
    <w:rsid w:val="00C77C84"/>
    <w:rsid w:val="00C8029F"/>
    <w:rsid w:val="00C80380"/>
    <w:rsid w:val="00C8048B"/>
    <w:rsid w:val="00C81116"/>
    <w:rsid w:val="00C81410"/>
    <w:rsid w:val="00C8145F"/>
    <w:rsid w:val="00C8254A"/>
    <w:rsid w:val="00C83426"/>
    <w:rsid w:val="00C8346A"/>
    <w:rsid w:val="00C83670"/>
    <w:rsid w:val="00C8397E"/>
    <w:rsid w:val="00C83BB7"/>
    <w:rsid w:val="00C83E0D"/>
    <w:rsid w:val="00C8400F"/>
    <w:rsid w:val="00C8430D"/>
    <w:rsid w:val="00C843E7"/>
    <w:rsid w:val="00C84740"/>
    <w:rsid w:val="00C84818"/>
    <w:rsid w:val="00C84CBE"/>
    <w:rsid w:val="00C85229"/>
    <w:rsid w:val="00C853FD"/>
    <w:rsid w:val="00C85C77"/>
    <w:rsid w:val="00C85CAA"/>
    <w:rsid w:val="00C85DD9"/>
    <w:rsid w:val="00C862EE"/>
    <w:rsid w:val="00C86707"/>
    <w:rsid w:val="00C86C42"/>
    <w:rsid w:val="00C86E1A"/>
    <w:rsid w:val="00C87218"/>
    <w:rsid w:val="00C87287"/>
    <w:rsid w:val="00C872C3"/>
    <w:rsid w:val="00C8776D"/>
    <w:rsid w:val="00C87AC0"/>
    <w:rsid w:val="00C87CFD"/>
    <w:rsid w:val="00C87D1D"/>
    <w:rsid w:val="00C90692"/>
    <w:rsid w:val="00C90732"/>
    <w:rsid w:val="00C90B7E"/>
    <w:rsid w:val="00C90C5A"/>
    <w:rsid w:val="00C90DDD"/>
    <w:rsid w:val="00C91032"/>
    <w:rsid w:val="00C911E5"/>
    <w:rsid w:val="00C9173B"/>
    <w:rsid w:val="00C91CDF"/>
    <w:rsid w:val="00C91DAA"/>
    <w:rsid w:val="00C92ACC"/>
    <w:rsid w:val="00C92E93"/>
    <w:rsid w:val="00C93530"/>
    <w:rsid w:val="00C93531"/>
    <w:rsid w:val="00C9396E"/>
    <w:rsid w:val="00C939D5"/>
    <w:rsid w:val="00C9455D"/>
    <w:rsid w:val="00C948D8"/>
    <w:rsid w:val="00C94F2C"/>
    <w:rsid w:val="00C9512F"/>
    <w:rsid w:val="00C95134"/>
    <w:rsid w:val="00C952E7"/>
    <w:rsid w:val="00C9546B"/>
    <w:rsid w:val="00C957DB"/>
    <w:rsid w:val="00C957DC"/>
    <w:rsid w:val="00C95CB8"/>
    <w:rsid w:val="00C960AE"/>
    <w:rsid w:val="00C963A5"/>
    <w:rsid w:val="00C963C2"/>
    <w:rsid w:val="00C96A5E"/>
    <w:rsid w:val="00C96D00"/>
    <w:rsid w:val="00C97787"/>
    <w:rsid w:val="00C97D15"/>
    <w:rsid w:val="00CA01DE"/>
    <w:rsid w:val="00CA0293"/>
    <w:rsid w:val="00CA0F76"/>
    <w:rsid w:val="00CA1381"/>
    <w:rsid w:val="00CA1503"/>
    <w:rsid w:val="00CA1B6A"/>
    <w:rsid w:val="00CA2870"/>
    <w:rsid w:val="00CA2A65"/>
    <w:rsid w:val="00CA2C6B"/>
    <w:rsid w:val="00CA3734"/>
    <w:rsid w:val="00CA3A04"/>
    <w:rsid w:val="00CA3B55"/>
    <w:rsid w:val="00CA3DD6"/>
    <w:rsid w:val="00CA3E1D"/>
    <w:rsid w:val="00CA3E2E"/>
    <w:rsid w:val="00CA401D"/>
    <w:rsid w:val="00CA44D3"/>
    <w:rsid w:val="00CA463E"/>
    <w:rsid w:val="00CA468A"/>
    <w:rsid w:val="00CA4729"/>
    <w:rsid w:val="00CA4BD5"/>
    <w:rsid w:val="00CA4D6A"/>
    <w:rsid w:val="00CA50A9"/>
    <w:rsid w:val="00CA51DF"/>
    <w:rsid w:val="00CA6BFF"/>
    <w:rsid w:val="00CA7632"/>
    <w:rsid w:val="00CA7B7A"/>
    <w:rsid w:val="00CA7FCA"/>
    <w:rsid w:val="00CB0224"/>
    <w:rsid w:val="00CB05A3"/>
    <w:rsid w:val="00CB0852"/>
    <w:rsid w:val="00CB0F61"/>
    <w:rsid w:val="00CB163E"/>
    <w:rsid w:val="00CB1B09"/>
    <w:rsid w:val="00CB1FAB"/>
    <w:rsid w:val="00CB204C"/>
    <w:rsid w:val="00CB2360"/>
    <w:rsid w:val="00CB2571"/>
    <w:rsid w:val="00CB286C"/>
    <w:rsid w:val="00CB2954"/>
    <w:rsid w:val="00CB2A55"/>
    <w:rsid w:val="00CB30B8"/>
    <w:rsid w:val="00CB341C"/>
    <w:rsid w:val="00CB37D6"/>
    <w:rsid w:val="00CB4509"/>
    <w:rsid w:val="00CB45C0"/>
    <w:rsid w:val="00CB4A70"/>
    <w:rsid w:val="00CB5039"/>
    <w:rsid w:val="00CB523D"/>
    <w:rsid w:val="00CB5B8F"/>
    <w:rsid w:val="00CB65DE"/>
    <w:rsid w:val="00CB6A07"/>
    <w:rsid w:val="00CB6EAB"/>
    <w:rsid w:val="00CB7A0A"/>
    <w:rsid w:val="00CB7B0E"/>
    <w:rsid w:val="00CC0496"/>
    <w:rsid w:val="00CC117A"/>
    <w:rsid w:val="00CC12F1"/>
    <w:rsid w:val="00CC17E6"/>
    <w:rsid w:val="00CC1E36"/>
    <w:rsid w:val="00CC21F2"/>
    <w:rsid w:val="00CC2465"/>
    <w:rsid w:val="00CC2717"/>
    <w:rsid w:val="00CC28A0"/>
    <w:rsid w:val="00CC2B55"/>
    <w:rsid w:val="00CC330B"/>
    <w:rsid w:val="00CC3D96"/>
    <w:rsid w:val="00CC3F10"/>
    <w:rsid w:val="00CC4178"/>
    <w:rsid w:val="00CC41BA"/>
    <w:rsid w:val="00CC47FF"/>
    <w:rsid w:val="00CC4909"/>
    <w:rsid w:val="00CC4D6B"/>
    <w:rsid w:val="00CC54E6"/>
    <w:rsid w:val="00CC59C4"/>
    <w:rsid w:val="00CC5D2C"/>
    <w:rsid w:val="00CC5D9A"/>
    <w:rsid w:val="00CC642F"/>
    <w:rsid w:val="00CC67F6"/>
    <w:rsid w:val="00CC69BD"/>
    <w:rsid w:val="00CC7C5F"/>
    <w:rsid w:val="00CC7D35"/>
    <w:rsid w:val="00CC7DCB"/>
    <w:rsid w:val="00CD0310"/>
    <w:rsid w:val="00CD0B23"/>
    <w:rsid w:val="00CD0C00"/>
    <w:rsid w:val="00CD1155"/>
    <w:rsid w:val="00CD13D0"/>
    <w:rsid w:val="00CD1579"/>
    <w:rsid w:val="00CD1DC3"/>
    <w:rsid w:val="00CD1EB1"/>
    <w:rsid w:val="00CD243A"/>
    <w:rsid w:val="00CD25A6"/>
    <w:rsid w:val="00CD25B5"/>
    <w:rsid w:val="00CD29BA"/>
    <w:rsid w:val="00CD29F9"/>
    <w:rsid w:val="00CD32D2"/>
    <w:rsid w:val="00CD3BEC"/>
    <w:rsid w:val="00CD3D26"/>
    <w:rsid w:val="00CD4140"/>
    <w:rsid w:val="00CD48B5"/>
    <w:rsid w:val="00CD4FED"/>
    <w:rsid w:val="00CD550D"/>
    <w:rsid w:val="00CD6C00"/>
    <w:rsid w:val="00CD7025"/>
    <w:rsid w:val="00CD77E1"/>
    <w:rsid w:val="00CD7A1A"/>
    <w:rsid w:val="00CD7BBD"/>
    <w:rsid w:val="00CD7DB4"/>
    <w:rsid w:val="00CE058A"/>
    <w:rsid w:val="00CE0AC8"/>
    <w:rsid w:val="00CE0C24"/>
    <w:rsid w:val="00CE0D5C"/>
    <w:rsid w:val="00CE1749"/>
    <w:rsid w:val="00CE2732"/>
    <w:rsid w:val="00CE32CA"/>
    <w:rsid w:val="00CE351A"/>
    <w:rsid w:val="00CE351C"/>
    <w:rsid w:val="00CE3866"/>
    <w:rsid w:val="00CE3E16"/>
    <w:rsid w:val="00CE424C"/>
    <w:rsid w:val="00CE4798"/>
    <w:rsid w:val="00CE5225"/>
    <w:rsid w:val="00CE57AC"/>
    <w:rsid w:val="00CE59B9"/>
    <w:rsid w:val="00CE6E94"/>
    <w:rsid w:val="00CE7244"/>
    <w:rsid w:val="00CE7332"/>
    <w:rsid w:val="00CE7386"/>
    <w:rsid w:val="00CE7753"/>
    <w:rsid w:val="00CE77C1"/>
    <w:rsid w:val="00CF06A3"/>
    <w:rsid w:val="00CF0B54"/>
    <w:rsid w:val="00CF16DC"/>
    <w:rsid w:val="00CF1AC2"/>
    <w:rsid w:val="00CF31B5"/>
    <w:rsid w:val="00CF3511"/>
    <w:rsid w:val="00CF35D2"/>
    <w:rsid w:val="00CF385A"/>
    <w:rsid w:val="00CF3A87"/>
    <w:rsid w:val="00CF43C4"/>
    <w:rsid w:val="00CF43EB"/>
    <w:rsid w:val="00CF48F8"/>
    <w:rsid w:val="00CF5ACF"/>
    <w:rsid w:val="00CF5C7E"/>
    <w:rsid w:val="00CF60EA"/>
    <w:rsid w:val="00CF6181"/>
    <w:rsid w:val="00CF67C0"/>
    <w:rsid w:val="00CF68DE"/>
    <w:rsid w:val="00CF7C33"/>
    <w:rsid w:val="00CF7E51"/>
    <w:rsid w:val="00D00940"/>
    <w:rsid w:val="00D00991"/>
    <w:rsid w:val="00D017DA"/>
    <w:rsid w:val="00D01AD5"/>
    <w:rsid w:val="00D01BD3"/>
    <w:rsid w:val="00D02110"/>
    <w:rsid w:val="00D0219A"/>
    <w:rsid w:val="00D026E0"/>
    <w:rsid w:val="00D02F97"/>
    <w:rsid w:val="00D03399"/>
    <w:rsid w:val="00D038C9"/>
    <w:rsid w:val="00D03E70"/>
    <w:rsid w:val="00D04324"/>
    <w:rsid w:val="00D046A5"/>
    <w:rsid w:val="00D049F7"/>
    <w:rsid w:val="00D054BD"/>
    <w:rsid w:val="00D0556E"/>
    <w:rsid w:val="00D05631"/>
    <w:rsid w:val="00D0568B"/>
    <w:rsid w:val="00D056F3"/>
    <w:rsid w:val="00D05D99"/>
    <w:rsid w:val="00D06AED"/>
    <w:rsid w:val="00D071D7"/>
    <w:rsid w:val="00D074E0"/>
    <w:rsid w:val="00D1018D"/>
    <w:rsid w:val="00D10460"/>
    <w:rsid w:val="00D1059A"/>
    <w:rsid w:val="00D10741"/>
    <w:rsid w:val="00D10924"/>
    <w:rsid w:val="00D11BB8"/>
    <w:rsid w:val="00D1282A"/>
    <w:rsid w:val="00D12C40"/>
    <w:rsid w:val="00D1345F"/>
    <w:rsid w:val="00D13514"/>
    <w:rsid w:val="00D138F4"/>
    <w:rsid w:val="00D141CF"/>
    <w:rsid w:val="00D14396"/>
    <w:rsid w:val="00D14748"/>
    <w:rsid w:val="00D149C2"/>
    <w:rsid w:val="00D14B82"/>
    <w:rsid w:val="00D151FD"/>
    <w:rsid w:val="00D15683"/>
    <w:rsid w:val="00D15E1F"/>
    <w:rsid w:val="00D1649D"/>
    <w:rsid w:val="00D16A66"/>
    <w:rsid w:val="00D17A75"/>
    <w:rsid w:val="00D17EBB"/>
    <w:rsid w:val="00D2009E"/>
    <w:rsid w:val="00D20150"/>
    <w:rsid w:val="00D204A7"/>
    <w:rsid w:val="00D209A6"/>
    <w:rsid w:val="00D2170E"/>
    <w:rsid w:val="00D21D26"/>
    <w:rsid w:val="00D21DAD"/>
    <w:rsid w:val="00D21F22"/>
    <w:rsid w:val="00D2246B"/>
    <w:rsid w:val="00D23332"/>
    <w:rsid w:val="00D23485"/>
    <w:rsid w:val="00D2378F"/>
    <w:rsid w:val="00D24217"/>
    <w:rsid w:val="00D24F9D"/>
    <w:rsid w:val="00D24FBD"/>
    <w:rsid w:val="00D262D6"/>
    <w:rsid w:val="00D26743"/>
    <w:rsid w:val="00D27378"/>
    <w:rsid w:val="00D3025A"/>
    <w:rsid w:val="00D30711"/>
    <w:rsid w:val="00D3078E"/>
    <w:rsid w:val="00D30E1C"/>
    <w:rsid w:val="00D31454"/>
    <w:rsid w:val="00D315C1"/>
    <w:rsid w:val="00D321AF"/>
    <w:rsid w:val="00D32380"/>
    <w:rsid w:val="00D32516"/>
    <w:rsid w:val="00D32A7E"/>
    <w:rsid w:val="00D32EBF"/>
    <w:rsid w:val="00D3306F"/>
    <w:rsid w:val="00D33109"/>
    <w:rsid w:val="00D33326"/>
    <w:rsid w:val="00D33551"/>
    <w:rsid w:val="00D33CE2"/>
    <w:rsid w:val="00D343F6"/>
    <w:rsid w:val="00D346CA"/>
    <w:rsid w:val="00D349F5"/>
    <w:rsid w:val="00D35825"/>
    <w:rsid w:val="00D35B9C"/>
    <w:rsid w:val="00D36626"/>
    <w:rsid w:val="00D36692"/>
    <w:rsid w:val="00D3675F"/>
    <w:rsid w:val="00D40B05"/>
    <w:rsid w:val="00D40C11"/>
    <w:rsid w:val="00D42EE7"/>
    <w:rsid w:val="00D43F52"/>
    <w:rsid w:val="00D4422D"/>
    <w:rsid w:val="00D44318"/>
    <w:rsid w:val="00D447BB"/>
    <w:rsid w:val="00D44D0B"/>
    <w:rsid w:val="00D45014"/>
    <w:rsid w:val="00D4503C"/>
    <w:rsid w:val="00D4560C"/>
    <w:rsid w:val="00D46AF0"/>
    <w:rsid w:val="00D46CB0"/>
    <w:rsid w:val="00D46D29"/>
    <w:rsid w:val="00D46DF7"/>
    <w:rsid w:val="00D470DC"/>
    <w:rsid w:val="00D50033"/>
    <w:rsid w:val="00D506AE"/>
    <w:rsid w:val="00D50BD2"/>
    <w:rsid w:val="00D50C39"/>
    <w:rsid w:val="00D5193F"/>
    <w:rsid w:val="00D51FF7"/>
    <w:rsid w:val="00D52004"/>
    <w:rsid w:val="00D520D6"/>
    <w:rsid w:val="00D5213D"/>
    <w:rsid w:val="00D52720"/>
    <w:rsid w:val="00D5291F"/>
    <w:rsid w:val="00D52B90"/>
    <w:rsid w:val="00D53309"/>
    <w:rsid w:val="00D53438"/>
    <w:rsid w:val="00D534EC"/>
    <w:rsid w:val="00D5367C"/>
    <w:rsid w:val="00D53714"/>
    <w:rsid w:val="00D54156"/>
    <w:rsid w:val="00D542CC"/>
    <w:rsid w:val="00D54802"/>
    <w:rsid w:val="00D54F5C"/>
    <w:rsid w:val="00D54F6A"/>
    <w:rsid w:val="00D551F9"/>
    <w:rsid w:val="00D56002"/>
    <w:rsid w:val="00D5647D"/>
    <w:rsid w:val="00D568CA"/>
    <w:rsid w:val="00D56909"/>
    <w:rsid w:val="00D57199"/>
    <w:rsid w:val="00D57A82"/>
    <w:rsid w:val="00D60062"/>
    <w:rsid w:val="00D60388"/>
    <w:rsid w:val="00D60509"/>
    <w:rsid w:val="00D609A9"/>
    <w:rsid w:val="00D60D94"/>
    <w:rsid w:val="00D60FC3"/>
    <w:rsid w:val="00D613DE"/>
    <w:rsid w:val="00D61E8A"/>
    <w:rsid w:val="00D6212B"/>
    <w:rsid w:val="00D62224"/>
    <w:rsid w:val="00D63068"/>
    <w:rsid w:val="00D6341A"/>
    <w:rsid w:val="00D63682"/>
    <w:rsid w:val="00D63F09"/>
    <w:rsid w:val="00D64053"/>
    <w:rsid w:val="00D64238"/>
    <w:rsid w:val="00D6478D"/>
    <w:rsid w:val="00D649CA"/>
    <w:rsid w:val="00D65732"/>
    <w:rsid w:val="00D663EF"/>
    <w:rsid w:val="00D66797"/>
    <w:rsid w:val="00D66D10"/>
    <w:rsid w:val="00D66FDD"/>
    <w:rsid w:val="00D6714A"/>
    <w:rsid w:val="00D67B73"/>
    <w:rsid w:val="00D707F0"/>
    <w:rsid w:val="00D7093A"/>
    <w:rsid w:val="00D70C4E"/>
    <w:rsid w:val="00D710FE"/>
    <w:rsid w:val="00D7159B"/>
    <w:rsid w:val="00D72B19"/>
    <w:rsid w:val="00D72DAA"/>
    <w:rsid w:val="00D731A3"/>
    <w:rsid w:val="00D7390A"/>
    <w:rsid w:val="00D73950"/>
    <w:rsid w:val="00D73B34"/>
    <w:rsid w:val="00D73CA3"/>
    <w:rsid w:val="00D73FA1"/>
    <w:rsid w:val="00D74A5D"/>
    <w:rsid w:val="00D7501B"/>
    <w:rsid w:val="00D750BC"/>
    <w:rsid w:val="00D75D0F"/>
    <w:rsid w:val="00D761B6"/>
    <w:rsid w:val="00D768CA"/>
    <w:rsid w:val="00D77181"/>
    <w:rsid w:val="00D772EF"/>
    <w:rsid w:val="00D7749A"/>
    <w:rsid w:val="00D77A1D"/>
    <w:rsid w:val="00D80951"/>
    <w:rsid w:val="00D80AD1"/>
    <w:rsid w:val="00D8107D"/>
    <w:rsid w:val="00D81232"/>
    <w:rsid w:val="00D817B1"/>
    <w:rsid w:val="00D81F0C"/>
    <w:rsid w:val="00D81FE0"/>
    <w:rsid w:val="00D8221D"/>
    <w:rsid w:val="00D822AF"/>
    <w:rsid w:val="00D82A5A"/>
    <w:rsid w:val="00D82EA3"/>
    <w:rsid w:val="00D835C7"/>
    <w:rsid w:val="00D83FEB"/>
    <w:rsid w:val="00D848BD"/>
    <w:rsid w:val="00D84943"/>
    <w:rsid w:val="00D8545C"/>
    <w:rsid w:val="00D867CC"/>
    <w:rsid w:val="00D86D3C"/>
    <w:rsid w:val="00D87D6E"/>
    <w:rsid w:val="00D87F05"/>
    <w:rsid w:val="00D91755"/>
    <w:rsid w:val="00D917CE"/>
    <w:rsid w:val="00D918EA"/>
    <w:rsid w:val="00D9285A"/>
    <w:rsid w:val="00D92D79"/>
    <w:rsid w:val="00D92D87"/>
    <w:rsid w:val="00D93EC0"/>
    <w:rsid w:val="00D94798"/>
    <w:rsid w:val="00D95C76"/>
    <w:rsid w:val="00D95FDE"/>
    <w:rsid w:val="00D963CE"/>
    <w:rsid w:val="00D96595"/>
    <w:rsid w:val="00D96CF8"/>
    <w:rsid w:val="00D9700B"/>
    <w:rsid w:val="00D970D5"/>
    <w:rsid w:val="00D9775D"/>
    <w:rsid w:val="00D97E6C"/>
    <w:rsid w:val="00D97E7E"/>
    <w:rsid w:val="00DA002F"/>
    <w:rsid w:val="00DA07F0"/>
    <w:rsid w:val="00DA0C87"/>
    <w:rsid w:val="00DA120A"/>
    <w:rsid w:val="00DA184D"/>
    <w:rsid w:val="00DA1D93"/>
    <w:rsid w:val="00DA225B"/>
    <w:rsid w:val="00DA230B"/>
    <w:rsid w:val="00DA2673"/>
    <w:rsid w:val="00DA3409"/>
    <w:rsid w:val="00DA3E85"/>
    <w:rsid w:val="00DA4643"/>
    <w:rsid w:val="00DA4AD5"/>
    <w:rsid w:val="00DA653B"/>
    <w:rsid w:val="00DA6740"/>
    <w:rsid w:val="00DA6A6A"/>
    <w:rsid w:val="00DA7012"/>
    <w:rsid w:val="00DA742B"/>
    <w:rsid w:val="00DA7B43"/>
    <w:rsid w:val="00DB07B2"/>
    <w:rsid w:val="00DB0E2B"/>
    <w:rsid w:val="00DB19EC"/>
    <w:rsid w:val="00DB284B"/>
    <w:rsid w:val="00DB3015"/>
    <w:rsid w:val="00DB3E2B"/>
    <w:rsid w:val="00DB4F41"/>
    <w:rsid w:val="00DB551E"/>
    <w:rsid w:val="00DB5903"/>
    <w:rsid w:val="00DB62CD"/>
    <w:rsid w:val="00DB6370"/>
    <w:rsid w:val="00DB6722"/>
    <w:rsid w:val="00DB6852"/>
    <w:rsid w:val="00DB7061"/>
    <w:rsid w:val="00DB714F"/>
    <w:rsid w:val="00DB751A"/>
    <w:rsid w:val="00DC0341"/>
    <w:rsid w:val="00DC11C9"/>
    <w:rsid w:val="00DC2229"/>
    <w:rsid w:val="00DC27D6"/>
    <w:rsid w:val="00DC28A1"/>
    <w:rsid w:val="00DC3660"/>
    <w:rsid w:val="00DC3888"/>
    <w:rsid w:val="00DC46FF"/>
    <w:rsid w:val="00DC485D"/>
    <w:rsid w:val="00DC4FB0"/>
    <w:rsid w:val="00DC620A"/>
    <w:rsid w:val="00DC6309"/>
    <w:rsid w:val="00DC6459"/>
    <w:rsid w:val="00DC64B1"/>
    <w:rsid w:val="00DC660D"/>
    <w:rsid w:val="00DC6712"/>
    <w:rsid w:val="00DC6C9B"/>
    <w:rsid w:val="00DC6F41"/>
    <w:rsid w:val="00DC6F84"/>
    <w:rsid w:val="00DC75C4"/>
    <w:rsid w:val="00DC78A0"/>
    <w:rsid w:val="00DC7A0A"/>
    <w:rsid w:val="00DD01C3"/>
    <w:rsid w:val="00DD0B2A"/>
    <w:rsid w:val="00DD0F76"/>
    <w:rsid w:val="00DD14AB"/>
    <w:rsid w:val="00DD205A"/>
    <w:rsid w:val="00DD28AB"/>
    <w:rsid w:val="00DD2FF6"/>
    <w:rsid w:val="00DD3088"/>
    <w:rsid w:val="00DD320E"/>
    <w:rsid w:val="00DD4198"/>
    <w:rsid w:val="00DD4629"/>
    <w:rsid w:val="00DD463B"/>
    <w:rsid w:val="00DD4674"/>
    <w:rsid w:val="00DD4A68"/>
    <w:rsid w:val="00DD5650"/>
    <w:rsid w:val="00DD5ABA"/>
    <w:rsid w:val="00DD5C30"/>
    <w:rsid w:val="00DD5E14"/>
    <w:rsid w:val="00DD609D"/>
    <w:rsid w:val="00DD72BC"/>
    <w:rsid w:val="00DD7E42"/>
    <w:rsid w:val="00DE0354"/>
    <w:rsid w:val="00DE0369"/>
    <w:rsid w:val="00DE04B7"/>
    <w:rsid w:val="00DE0A23"/>
    <w:rsid w:val="00DE102D"/>
    <w:rsid w:val="00DE1449"/>
    <w:rsid w:val="00DE1A1F"/>
    <w:rsid w:val="00DE23F8"/>
    <w:rsid w:val="00DE2445"/>
    <w:rsid w:val="00DE2757"/>
    <w:rsid w:val="00DE2943"/>
    <w:rsid w:val="00DE2AB3"/>
    <w:rsid w:val="00DE3385"/>
    <w:rsid w:val="00DE37AA"/>
    <w:rsid w:val="00DE3BE5"/>
    <w:rsid w:val="00DE3DDE"/>
    <w:rsid w:val="00DE431C"/>
    <w:rsid w:val="00DE49BB"/>
    <w:rsid w:val="00DE4F37"/>
    <w:rsid w:val="00DE4F45"/>
    <w:rsid w:val="00DE568F"/>
    <w:rsid w:val="00DE5FF0"/>
    <w:rsid w:val="00DE60E9"/>
    <w:rsid w:val="00DE62A9"/>
    <w:rsid w:val="00DE6F5C"/>
    <w:rsid w:val="00DF01B3"/>
    <w:rsid w:val="00DF0332"/>
    <w:rsid w:val="00DF05F2"/>
    <w:rsid w:val="00DF0CCD"/>
    <w:rsid w:val="00DF13C2"/>
    <w:rsid w:val="00DF170A"/>
    <w:rsid w:val="00DF1AEB"/>
    <w:rsid w:val="00DF1EF0"/>
    <w:rsid w:val="00DF1F5A"/>
    <w:rsid w:val="00DF20C3"/>
    <w:rsid w:val="00DF2238"/>
    <w:rsid w:val="00DF23A4"/>
    <w:rsid w:val="00DF282F"/>
    <w:rsid w:val="00DF33E2"/>
    <w:rsid w:val="00DF3953"/>
    <w:rsid w:val="00DF3D13"/>
    <w:rsid w:val="00DF434A"/>
    <w:rsid w:val="00DF440F"/>
    <w:rsid w:val="00DF44DD"/>
    <w:rsid w:val="00DF4C0F"/>
    <w:rsid w:val="00DF4E29"/>
    <w:rsid w:val="00DF4FCE"/>
    <w:rsid w:val="00DF541F"/>
    <w:rsid w:val="00DF558C"/>
    <w:rsid w:val="00DF57EA"/>
    <w:rsid w:val="00DF5812"/>
    <w:rsid w:val="00DF72C6"/>
    <w:rsid w:val="00DF7886"/>
    <w:rsid w:val="00DF79ED"/>
    <w:rsid w:val="00DF7ED0"/>
    <w:rsid w:val="00DF7FFC"/>
    <w:rsid w:val="00E009B0"/>
    <w:rsid w:val="00E00EF0"/>
    <w:rsid w:val="00E00F92"/>
    <w:rsid w:val="00E00FD5"/>
    <w:rsid w:val="00E01A6B"/>
    <w:rsid w:val="00E01D99"/>
    <w:rsid w:val="00E02EE7"/>
    <w:rsid w:val="00E035B8"/>
    <w:rsid w:val="00E03741"/>
    <w:rsid w:val="00E03ABB"/>
    <w:rsid w:val="00E03C40"/>
    <w:rsid w:val="00E04266"/>
    <w:rsid w:val="00E05474"/>
    <w:rsid w:val="00E05479"/>
    <w:rsid w:val="00E05542"/>
    <w:rsid w:val="00E05809"/>
    <w:rsid w:val="00E05876"/>
    <w:rsid w:val="00E05CE3"/>
    <w:rsid w:val="00E05D68"/>
    <w:rsid w:val="00E05F3C"/>
    <w:rsid w:val="00E06C28"/>
    <w:rsid w:val="00E06DA8"/>
    <w:rsid w:val="00E07136"/>
    <w:rsid w:val="00E079F5"/>
    <w:rsid w:val="00E110CF"/>
    <w:rsid w:val="00E11790"/>
    <w:rsid w:val="00E1190E"/>
    <w:rsid w:val="00E11B11"/>
    <w:rsid w:val="00E1230B"/>
    <w:rsid w:val="00E12A65"/>
    <w:rsid w:val="00E13153"/>
    <w:rsid w:val="00E137A0"/>
    <w:rsid w:val="00E1478A"/>
    <w:rsid w:val="00E148D8"/>
    <w:rsid w:val="00E14C12"/>
    <w:rsid w:val="00E14D5D"/>
    <w:rsid w:val="00E15C75"/>
    <w:rsid w:val="00E15EAB"/>
    <w:rsid w:val="00E1605B"/>
    <w:rsid w:val="00E16809"/>
    <w:rsid w:val="00E16840"/>
    <w:rsid w:val="00E16F16"/>
    <w:rsid w:val="00E170F2"/>
    <w:rsid w:val="00E17370"/>
    <w:rsid w:val="00E174DC"/>
    <w:rsid w:val="00E17B7F"/>
    <w:rsid w:val="00E17D43"/>
    <w:rsid w:val="00E17DA7"/>
    <w:rsid w:val="00E17F7F"/>
    <w:rsid w:val="00E2057F"/>
    <w:rsid w:val="00E208B0"/>
    <w:rsid w:val="00E20924"/>
    <w:rsid w:val="00E20BA6"/>
    <w:rsid w:val="00E21CA4"/>
    <w:rsid w:val="00E21DAD"/>
    <w:rsid w:val="00E222CB"/>
    <w:rsid w:val="00E230D6"/>
    <w:rsid w:val="00E235E4"/>
    <w:rsid w:val="00E23789"/>
    <w:rsid w:val="00E23808"/>
    <w:rsid w:val="00E23B0A"/>
    <w:rsid w:val="00E23BA8"/>
    <w:rsid w:val="00E23C04"/>
    <w:rsid w:val="00E24665"/>
    <w:rsid w:val="00E24915"/>
    <w:rsid w:val="00E24A27"/>
    <w:rsid w:val="00E258AF"/>
    <w:rsid w:val="00E25C28"/>
    <w:rsid w:val="00E263FD"/>
    <w:rsid w:val="00E265A2"/>
    <w:rsid w:val="00E266FD"/>
    <w:rsid w:val="00E2671A"/>
    <w:rsid w:val="00E26752"/>
    <w:rsid w:val="00E26777"/>
    <w:rsid w:val="00E279CE"/>
    <w:rsid w:val="00E27D10"/>
    <w:rsid w:val="00E30022"/>
    <w:rsid w:val="00E3009B"/>
    <w:rsid w:val="00E30501"/>
    <w:rsid w:val="00E310EB"/>
    <w:rsid w:val="00E312DA"/>
    <w:rsid w:val="00E31790"/>
    <w:rsid w:val="00E32813"/>
    <w:rsid w:val="00E32B24"/>
    <w:rsid w:val="00E32C2A"/>
    <w:rsid w:val="00E32C3B"/>
    <w:rsid w:val="00E33569"/>
    <w:rsid w:val="00E3389A"/>
    <w:rsid w:val="00E33EB2"/>
    <w:rsid w:val="00E341E4"/>
    <w:rsid w:val="00E345CC"/>
    <w:rsid w:val="00E34F9C"/>
    <w:rsid w:val="00E3514D"/>
    <w:rsid w:val="00E3589C"/>
    <w:rsid w:val="00E35D03"/>
    <w:rsid w:val="00E35E2E"/>
    <w:rsid w:val="00E3603C"/>
    <w:rsid w:val="00E36203"/>
    <w:rsid w:val="00E37A6E"/>
    <w:rsid w:val="00E40232"/>
    <w:rsid w:val="00E40A47"/>
    <w:rsid w:val="00E40B67"/>
    <w:rsid w:val="00E40BF8"/>
    <w:rsid w:val="00E41182"/>
    <w:rsid w:val="00E417FE"/>
    <w:rsid w:val="00E419A0"/>
    <w:rsid w:val="00E41A50"/>
    <w:rsid w:val="00E422C1"/>
    <w:rsid w:val="00E42E95"/>
    <w:rsid w:val="00E43026"/>
    <w:rsid w:val="00E4327F"/>
    <w:rsid w:val="00E4416C"/>
    <w:rsid w:val="00E44569"/>
    <w:rsid w:val="00E44B1A"/>
    <w:rsid w:val="00E44F61"/>
    <w:rsid w:val="00E45690"/>
    <w:rsid w:val="00E45725"/>
    <w:rsid w:val="00E45B4D"/>
    <w:rsid w:val="00E4601F"/>
    <w:rsid w:val="00E4685F"/>
    <w:rsid w:val="00E46861"/>
    <w:rsid w:val="00E46A09"/>
    <w:rsid w:val="00E471D3"/>
    <w:rsid w:val="00E4727C"/>
    <w:rsid w:val="00E473AC"/>
    <w:rsid w:val="00E50002"/>
    <w:rsid w:val="00E5091C"/>
    <w:rsid w:val="00E5101E"/>
    <w:rsid w:val="00E5150F"/>
    <w:rsid w:val="00E515BD"/>
    <w:rsid w:val="00E51744"/>
    <w:rsid w:val="00E51AFA"/>
    <w:rsid w:val="00E5206B"/>
    <w:rsid w:val="00E52289"/>
    <w:rsid w:val="00E53ACD"/>
    <w:rsid w:val="00E53C46"/>
    <w:rsid w:val="00E53D24"/>
    <w:rsid w:val="00E54504"/>
    <w:rsid w:val="00E54B03"/>
    <w:rsid w:val="00E55010"/>
    <w:rsid w:val="00E55A10"/>
    <w:rsid w:val="00E55AE9"/>
    <w:rsid w:val="00E55FA8"/>
    <w:rsid w:val="00E56424"/>
    <w:rsid w:val="00E5772B"/>
    <w:rsid w:val="00E57F09"/>
    <w:rsid w:val="00E60C12"/>
    <w:rsid w:val="00E61334"/>
    <w:rsid w:val="00E61D18"/>
    <w:rsid w:val="00E62303"/>
    <w:rsid w:val="00E62535"/>
    <w:rsid w:val="00E62CEA"/>
    <w:rsid w:val="00E62EB7"/>
    <w:rsid w:val="00E62ECF"/>
    <w:rsid w:val="00E6312E"/>
    <w:rsid w:val="00E63256"/>
    <w:rsid w:val="00E63264"/>
    <w:rsid w:val="00E63DF8"/>
    <w:rsid w:val="00E64639"/>
    <w:rsid w:val="00E64641"/>
    <w:rsid w:val="00E65000"/>
    <w:rsid w:val="00E65184"/>
    <w:rsid w:val="00E65746"/>
    <w:rsid w:val="00E65814"/>
    <w:rsid w:val="00E6627E"/>
    <w:rsid w:val="00E66375"/>
    <w:rsid w:val="00E664AE"/>
    <w:rsid w:val="00E66A11"/>
    <w:rsid w:val="00E66CB0"/>
    <w:rsid w:val="00E67014"/>
    <w:rsid w:val="00E674AF"/>
    <w:rsid w:val="00E70153"/>
    <w:rsid w:val="00E707EA"/>
    <w:rsid w:val="00E70894"/>
    <w:rsid w:val="00E70965"/>
    <w:rsid w:val="00E7145C"/>
    <w:rsid w:val="00E71E65"/>
    <w:rsid w:val="00E71F24"/>
    <w:rsid w:val="00E71FA1"/>
    <w:rsid w:val="00E720C8"/>
    <w:rsid w:val="00E72227"/>
    <w:rsid w:val="00E727A1"/>
    <w:rsid w:val="00E72F4E"/>
    <w:rsid w:val="00E73030"/>
    <w:rsid w:val="00E746B7"/>
    <w:rsid w:val="00E748D2"/>
    <w:rsid w:val="00E74C02"/>
    <w:rsid w:val="00E750A9"/>
    <w:rsid w:val="00E760A0"/>
    <w:rsid w:val="00E7643B"/>
    <w:rsid w:val="00E767A2"/>
    <w:rsid w:val="00E77343"/>
    <w:rsid w:val="00E77600"/>
    <w:rsid w:val="00E77913"/>
    <w:rsid w:val="00E779E5"/>
    <w:rsid w:val="00E77BA8"/>
    <w:rsid w:val="00E77CDE"/>
    <w:rsid w:val="00E8097B"/>
    <w:rsid w:val="00E80A4E"/>
    <w:rsid w:val="00E817DC"/>
    <w:rsid w:val="00E81833"/>
    <w:rsid w:val="00E819E7"/>
    <w:rsid w:val="00E81C0F"/>
    <w:rsid w:val="00E81E3A"/>
    <w:rsid w:val="00E81FA4"/>
    <w:rsid w:val="00E82066"/>
    <w:rsid w:val="00E8229D"/>
    <w:rsid w:val="00E832EB"/>
    <w:rsid w:val="00E83350"/>
    <w:rsid w:val="00E83E6A"/>
    <w:rsid w:val="00E84004"/>
    <w:rsid w:val="00E84322"/>
    <w:rsid w:val="00E844AC"/>
    <w:rsid w:val="00E845B7"/>
    <w:rsid w:val="00E8483B"/>
    <w:rsid w:val="00E84ADC"/>
    <w:rsid w:val="00E84FEE"/>
    <w:rsid w:val="00E85942"/>
    <w:rsid w:val="00E859CB"/>
    <w:rsid w:val="00E85B56"/>
    <w:rsid w:val="00E85C6B"/>
    <w:rsid w:val="00E85CAA"/>
    <w:rsid w:val="00E860F8"/>
    <w:rsid w:val="00E863BE"/>
    <w:rsid w:val="00E866DA"/>
    <w:rsid w:val="00E86730"/>
    <w:rsid w:val="00E86DF8"/>
    <w:rsid w:val="00E86FD4"/>
    <w:rsid w:val="00E87CBC"/>
    <w:rsid w:val="00E87CBE"/>
    <w:rsid w:val="00E9028D"/>
    <w:rsid w:val="00E90439"/>
    <w:rsid w:val="00E9065F"/>
    <w:rsid w:val="00E90DF2"/>
    <w:rsid w:val="00E90E37"/>
    <w:rsid w:val="00E90F0E"/>
    <w:rsid w:val="00E910DD"/>
    <w:rsid w:val="00E91329"/>
    <w:rsid w:val="00E918A6"/>
    <w:rsid w:val="00E91A43"/>
    <w:rsid w:val="00E91A84"/>
    <w:rsid w:val="00E91BA6"/>
    <w:rsid w:val="00E91C32"/>
    <w:rsid w:val="00E92232"/>
    <w:rsid w:val="00E92F90"/>
    <w:rsid w:val="00E93120"/>
    <w:rsid w:val="00E93770"/>
    <w:rsid w:val="00E937D4"/>
    <w:rsid w:val="00E93C99"/>
    <w:rsid w:val="00E93DA1"/>
    <w:rsid w:val="00E941F0"/>
    <w:rsid w:val="00E94438"/>
    <w:rsid w:val="00E94D7A"/>
    <w:rsid w:val="00E957D1"/>
    <w:rsid w:val="00E96198"/>
    <w:rsid w:val="00E9626B"/>
    <w:rsid w:val="00E965C8"/>
    <w:rsid w:val="00E96B5C"/>
    <w:rsid w:val="00E971D9"/>
    <w:rsid w:val="00E976F5"/>
    <w:rsid w:val="00E97804"/>
    <w:rsid w:val="00E97DE4"/>
    <w:rsid w:val="00EA0CB6"/>
    <w:rsid w:val="00EA0CC8"/>
    <w:rsid w:val="00EA0CD1"/>
    <w:rsid w:val="00EA0E06"/>
    <w:rsid w:val="00EA0F5E"/>
    <w:rsid w:val="00EA18F7"/>
    <w:rsid w:val="00EA1CCF"/>
    <w:rsid w:val="00EA1DA0"/>
    <w:rsid w:val="00EA2400"/>
    <w:rsid w:val="00EA29F7"/>
    <w:rsid w:val="00EA2AB4"/>
    <w:rsid w:val="00EA3153"/>
    <w:rsid w:val="00EA34C7"/>
    <w:rsid w:val="00EA3546"/>
    <w:rsid w:val="00EA3D20"/>
    <w:rsid w:val="00EA4818"/>
    <w:rsid w:val="00EA4DC6"/>
    <w:rsid w:val="00EA515D"/>
    <w:rsid w:val="00EA52F5"/>
    <w:rsid w:val="00EA534C"/>
    <w:rsid w:val="00EA5B86"/>
    <w:rsid w:val="00EA614D"/>
    <w:rsid w:val="00EA6C34"/>
    <w:rsid w:val="00EA6D3B"/>
    <w:rsid w:val="00EA6D74"/>
    <w:rsid w:val="00EA71A8"/>
    <w:rsid w:val="00EA76E9"/>
    <w:rsid w:val="00EA7F98"/>
    <w:rsid w:val="00EB0021"/>
    <w:rsid w:val="00EB0AC0"/>
    <w:rsid w:val="00EB1AC7"/>
    <w:rsid w:val="00EB2EF8"/>
    <w:rsid w:val="00EB30C2"/>
    <w:rsid w:val="00EB32B8"/>
    <w:rsid w:val="00EB32CB"/>
    <w:rsid w:val="00EB36DE"/>
    <w:rsid w:val="00EB3AD0"/>
    <w:rsid w:val="00EB41F8"/>
    <w:rsid w:val="00EB4A81"/>
    <w:rsid w:val="00EB4D93"/>
    <w:rsid w:val="00EB4E72"/>
    <w:rsid w:val="00EB4E81"/>
    <w:rsid w:val="00EB56B8"/>
    <w:rsid w:val="00EB586A"/>
    <w:rsid w:val="00EB5959"/>
    <w:rsid w:val="00EB5A27"/>
    <w:rsid w:val="00EB6566"/>
    <w:rsid w:val="00EB69D9"/>
    <w:rsid w:val="00EB6D12"/>
    <w:rsid w:val="00EB7029"/>
    <w:rsid w:val="00EB74C4"/>
    <w:rsid w:val="00EB7F56"/>
    <w:rsid w:val="00EC0BFF"/>
    <w:rsid w:val="00EC0F27"/>
    <w:rsid w:val="00EC1156"/>
    <w:rsid w:val="00EC1EEF"/>
    <w:rsid w:val="00EC25F6"/>
    <w:rsid w:val="00EC2AE1"/>
    <w:rsid w:val="00EC311B"/>
    <w:rsid w:val="00EC3475"/>
    <w:rsid w:val="00EC3A3B"/>
    <w:rsid w:val="00EC4982"/>
    <w:rsid w:val="00EC4C20"/>
    <w:rsid w:val="00EC4E9D"/>
    <w:rsid w:val="00EC5AFD"/>
    <w:rsid w:val="00EC5B4D"/>
    <w:rsid w:val="00EC5B60"/>
    <w:rsid w:val="00EC5BA2"/>
    <w:rsid w:val="00EC5D2D"/>
    <w:rsid w:val="00EC5E4C"/>
    <w:rsid w:val="00EC630B"/>
    <w:rsid w:val="00EC6667"/>
    <w:rsid w:val="00EC68CC"/>
    <w:rsid w:val="00EC7809"/>
    <w:rsid w:val="00EC7C32"/>
    <w:rsid w:val="00EC7E24"/>
    <w:rsid w:val="00ED024C"/>
    <w:rsid w:val="00ED0319"/>
    <w:rsid w:val="00ED085B"/>
    <w:rsid w:val="00ED0DC6"/>
    <w:rsid w:val="00ED10A7"/>
    <w:rsid w:val="00ED10AC"/>
    <w:rsid w:val="00ED1A5E"/>
    <w:rsid w:val="00ED1C32"/>
    <w:rsid w:val="00ED23AE"/>
    <w:rsid w:val="00ED26F2"/>
    <w:rsid w:val="00ED271F"/>
    <w:rsid w:val="00ED289D"/>
    <w:rsid w:val="00ED30DC"/>
    <w:rsid w:val="00ED3257"/>
    <w:rsid w:val="00ED3520"/>
    <w:rsid w:val="00ED364A"/>
    <w:rsid w:val="00ED379C"/>
    <w:rsid w:val="00ED3951"/>
    <w:rsid w:val="00ED3F6A"/>
    <w:rsid w:val="00ED4407"/>
    <w:rsid w:val="00ED4AAD"/>
    <w:rsid w:val="00ED4C49"/>
    <w:rsid w:val="00ED4E33"/>
    <w:rsid w:val="00ED50F5"/>
    <w:rsid w:val="00ED53C3"/>
    <w:rsid w:val="00ED53F0"/>
    <w:rsid w:val="00ED5D4B"/>
    <w:rsid w:val="00ED5DFF"/>
    <w:rsid w:val="00ED5F4F"/>
    <w:rsid w:val="00ED654E"/>
    <w:rsid w:val="00ED6712"/>
    <w:rsid w:val="00ED6FE6"/>
    <w:rsid w:val="00ED7401"/>
    <w:rsid w:val="00ED75DD"/>
    <w:rsid w:val="00ED788F"/>
    <w:rsid w:val="00ED7AF2"/>
    <w:rsid w:val="00ED7F7E"/>
    <w:rsid w:val="00EE0340"/>
    <w:rsid w:val="00EE03EA"/>
    <w:rsid w:val="00EE1012"/>
    <w:rsid w:val="00EE155D"/>
    <w:rsid w:val="00EE1A95"/>
    <w:rsid w:val="00EE1DFB"/>
    <w:rsid w:val="00EE1FA8"/>
    <w:rsid w:val="00EE2DC0"/>
    <w:rsid w:val="00EE2EBB"/>
    <w:rsid w:val="00EE3297"/>
    <w:rsid w:val="00EE3B15"/>
    <w:rsid w:val="00EE3D45"/>
    <w:rsid w:val="00EE3FD8"/>
    <w:rsid w:val="00EE411A"/>
    <w:rsid w:val="00EE5D9F"/>
    <w:rsid w:val="00EE6294"/>
    <w:rsid w:val="00EE6B29"/>
    <w:rsid w:val="00EE6DC2"/>
    <w:rsid w:val="00EE6EC2"/>
    <w:rsid w:val="00EE7176"/>
    <w:rsid w:val="00EE725E"/>
    <w:rsid w:val="00EE7591"/>
    <w:rsid w:val="00EE775D"/>
    <w:rsid w:val="00EE7D75"/>
    <w:rsid w:val="00EF042D"/>
    <w:rsid w:val="00EF0922"/>
    <w:rsid w:val="00EF0983"/>
    <w:rsid w:val="00EF0DBF"/>
    <w:rsid w:val="00EF15E8"/>
    <w:rsid w:val="00EF17A1"/>
    <w:rsid w:val="00EF1884"/>
    <w:rsid w:val="00EF2266"/>
    <w:rsid w:val="00EF2BDF"/>
    <w:rsid w:val="00EF37F2"/>
    <w:rsid w:val="00EF3BDF"/>
    <w:rsid w:val="00EF3E12"/>
    <w:rsid w:val="00EF3E59"/>
    <w:rsid w:val="00EF41E5"/>
    <w:rsid w:val="00EF48AA"/>
    <w:rsid w:val="00EF4AC3"/>
    <w:rsid w:val="00EF53F7"/>
    <w:rsid w:val="00EF5A10"/>
    <w:rsid w:val="00EF5D02"/>
    <w:rsid w:val="00EF67F1"/>
    <w:rsid w:val="00EF69BB"/>
    <w:rsid w:val="00EF6DB0"/>
    <w:rsid w:val="00EF710E"/>
    <w:rsid w:val="00EF762C"/>
    <w:rsid w:val="00EF7A5F"/>
    <w:rsid w:val="00EF7F98"/>
    <w:rsid w:val="00F0072A"/>
    <w:rsid w:val="00F007DC"/>
    <w:rsid w:val="00F00AEF"/>
    <w:rsid w:val="00F00BAA"/>
    <w:rsid w:val="00F00C55"/>
    <w:rsid w:val="00F00DC9"/>
    <w:rsid w:val="00F011B4"/>
    <w:rsid w:val="00F011EF"/>
    <w:rsid w:val="00F014D4"/>
    <w:rsid w:val="00F018F8"/>
    <w:rsid w:val="00F01D07"/>
    <w:rsid w:val="00F0200E"/>
    <w:rsid w:val="00F02217"/>
    <w:rsid w:val="00F0251D"/>
    <w:rsid w:val="00F02AB5"/>
    <w:rsid w:val="00F02ED1"/>
    <w:rsid w:val="00F02EDD"/>
    <w:rsid w:val="00F031B1"/>
    <w:rsid w:val="00F034DA"/>
    <w:rsid w:val="00F03836"/>
    <w:rsid w:val="00F0440F"/>
    <w:rsid w:val="00F04A0E"/>
    <w:rsid w:val="00F050F7"/>
    <w:rsid w:val="00F0518D"/>
    <w:rsid w:val="00F0556B"/>
    <w:rsid w:val="00F0617E"/>
    <w:rsid w:val="00F06299"/>
    <w:rsid w:val="00F06650"/>
    <w:rsid w:val="00F06700"/>
    <w:rsid w:val="00F068E1"/>
    <w:rsid w:val="00F0697F"/>
    <w:rsid w:val="00F07154"/>
    <w:rsid w:val="00F07411"/>
    <w:rsid w:val="00F07F2B"/>
    <w:rsid w:val="00F10138"/>
    <w:rsid w:val="00F1014F"/>
    <w:rsid w:val="00F10484"/>
    <w:rsid w:val="00F10894"/>
    <w:rsid w:val="00F10ADE"/>
    <w:rsid w:val="00F10C59"/>
    <w:rsid w:val="00F11285"/>
    <w:rsid w:val="00F1128B"/>
    <w:rsid w:val="00F114EB"/>
    <w:rsid w:val="00F1165F"/>
    <w:rsid w:val="00F11A1F"/>
    <w:rsid w:val="00F12CD7"/>
    <w:rsid w:val="00F12DA5"/>
    <w:rsid w:val="00F12DF0"/>
    <w:rsid w:val="00F12DF6"/>
    <w:rsid w:val="00F12F6E"/>
    <w:rsid w:val="00F13233"/>
    <w:rsid w:val="00F1390E"/>
    <w:rsid w:val="00F13A86"/>
    <w:rsid w:val="00F13BB6"/>
    <w:rsid w:val="00F14168"/>
    <w:rsid w:val="00F148CF"/>
    <w:rsid w:val="00F14903"/>
    <w:rsid w:val="00F14BFD"/>
    <w:rsid w:val="00F14C9C"/>
    <w:rsid w:val="00F152DB"/>
    <w:rsid w:val="00F158CB"/>
    <w:rsid w:val="00F15E5C"/>
    <w:rsid w:val="00F15EDC"/>
    <w:rsid w:val="00F163C7"/>
    <w:rsid w:val="00F172FF"/>
    <w:rsid w:val="00F17782"/>
    <w:rsid w:val="00F17935"/>
    <w:rsid w:val="00F20147"/>
    <w:rsid w:val="00F20558"/>
    <w:rsid w:val="00F20559"/>
    <w:rsid w:val="00F2080B"/>
    <w:rsid w:val="00F209D4"/>
    <w:rsid w:val="00F21840"/>
    <w:rsid w:val="00F21AC6"/>
    <w:rsid w:val="00F21EAC"/>
    <w:rsid w:val="00F21FC3"/>
    <w:rsid w:val="00F21FE4"/>
    <w:rsid w:val="00F22186"/>
    <w:rsid w:val="00F22868"/>
    <w:rsid w:val="00F228B2"/>
    <w:rsid w:val="00F23776"/>
    <w:rsid w:val="00F23E8B"/>
    <w:rsid w:val="00F24063"/>
    <w:rsid w:val="00F24211"/>
    <w:rsid w:val="00F244C2"/>
    <w:rsid w:val="00F24A55"/>
    <w:rsid w:val="00F24ED8"/>
    <w:rsid w:val="00F253FB"/>
    <w:rsid w:val="00F2551D"/>
    <w:rsid w:val="00F25674"/>
    <w:rsid w:val="00F25BD1"/>
    <w:rsid w:val="00F25E79"/>
    <w:rsid w:val="00F25EA0"/>
    <w:rsid w:val="00F26C4E"/>
    <w:rsid w:val="00F26CF6"/>
    <w:rsid w:val="00F26D3C"/>
    <w:rsid w:val="00F27165"/>
    <w:rsid w:val="00F278ED"/>
    <w:rsid w:val="00F27EB3"/>
    <w:rsid w:val="00F30912"/>
    <w:rsid w:val="00F3099F"/>
    <w:rsid w:val="00F30E6E"/>
    <w:rsid w:val="00F30EA7"/>
    <w:rsid w:val="00F32012"/>
    <w:rsid w:val="00F321B0"/>
    <w:rsid w:val="00F32751"/>
    <w:rsid w:val="00F329CE"/>
    <w:rsid w:val="00F32B27"/>
    <w:rsid w:val="00F33302"/>
    <w:rsid w:val="00F334D3"/>
    <w:rsid w:val="00F348F6"/>
    <w:rsid w:val="00F34915"/>
    <w:rsid w:val="00F34D6A"/>
    <w:rsid w:val="00F34D81"/>
    <w:rsid w:val="00F350B2"/>
    <w:rsid w:val="00F354FD"/>
    <w:rsid w:val="00F3586E"/>
    <w:rsid w:val="00F35B7B"/>
    <w:rsid w:val="00F363B1"/>
    <w:rsid w:val="00F36530"/>
    <w:rsid w:val="00F36636"/>
    <w:rsid w:val="00F36638"/>
    <w:rsid w:val="00F36DFD"/>
    <w:rsid w:val="00F372C7"/>
    <w:rsid w:val="00F3745A"/>
    <w:rsid w:val="00F374F5"/>
    <w:rsid w:val="00F37667"/>
    <w:rsid w:val="00F37745"/>
    <w:rsid w:val="00F37B97"/>
    <w:rsid w:val="00F40712"/>
    <w:rsid w:val="00F40A8F"/>
    <w:rsid w:val="00F40C86"/>
    <w:rsid w:val="00F41DF4"/>
    <w:rsid w:val="00F41FEF"/>
    <w:rsid w:val="00F4279A"/>
    <w:rsid w:val="00F42890"/>
    <w:rsid w:val="00F42E47"/>
    <w:rsid w:val="00F432D2"/>
    <w:rsid w:val="00F4365C"/>
    <w:rsid w:val="00F43BF5"/>
    <w:rsid w:val="00F44043"/>
    <w:rsid w:val="00F442B1"/>
    <w:rsid w:val="00F44531"/>
    <w:rsid w:val="00F4483F"/>
    <w:rsid w:val="00F44A8D"/>
    <w:rsid w:val="00F44B3D"/>
    <w:rsid w:val="00F45124"/>
    <w:rsid w:val="00F457CC"/>
    <w:rsid w:val="00F45AAD"/>
    <w:rsid w:val="00F461A6"/>
    <w:rsid w:val="00F46587"/>
    <w:rsid w:val="00F46836"/>
    <w:rsid w:val="00F46B91"/>
    <w:rsid w:val="00F46FF1"/>
    <w:rsid w:val="00F507E6"/>
    <w:rsid w:val="00F50C45"/>
    <w:rsid w:val="00F50DC5"/>
    <w:rsid w:val="00F50FAF"/>
    <w:rsid w:val="00F51294"/>
    <w:rsid w:val="00F5150D"/>
    <w:rsid w:val="00F515CD"/>
    <w:rsid w:val="00F51659"/>
    <w:rsid w:val="00F5171D"/>
    <w:rsid w:val="00F51D99"/>
    <w:rsid w:val="00F520E6"/>
    <w:rsid w:val="00F52D4B"/>
    <w:rsid w:val="00F53222"/>
    <w:rsid w:val="00F532F3"/>
    <w:rsid w:val="00F53522"/>
    <w:rsid w:val="00F54278"/>
    <w:rsid w:val="00F54621"/>
    <w:rsid w:val="00F546E2"/>
    <w:rsid w:val="00F55656"/>
    <w:rsid w:val="00F57805"/>
    <w:rsid w:val="00F605A8"/>
    <w:rsid w:val="00F6062B"/>
    <w:rsid w:val="00F607A3"/>
    <w:rsid w:val="00F60D0A"/>
    <w:rsid w:val="00F60E6F"/>
    <w:rsid w:val="00F60F2B"/>
    <w:rsid w:val="00F613ED"/>
    <w:rsid w:val="00F61E56"/>
    <w:rsid w:val="00F622AF"/>
    <w:rsid w:val="00F62568"/>
    <w:rsid w:val="00F62981"/>
    <w:rsid w:val="00F62A11"/>
    <w:rsid w:val="00F62EDE"/>
    <w:rsid w:val="00F62F11"/>
    <w:rsid w:val="00F636B1"/>
    <w:rsid w:val="00F637D3"/>
    <w:rsid w:val="00F63C68"/>
    <w:rsid w:val="00F641BB"/>
    <w:rsid w:val="00F64234"/>
    <w:rsid w:val="00F64379"/>
    <w:rsid w:val="00F64EA0"/>
    <w:rsid w:val="00F65223"/>
    <w:rsid w:val="00F6558C"/>
    <w:rsid w:val="00F65FCA"/>
    <w:rsid w:val="00F6743A"/>
    <w:rsid w:val="00F67F63"/>
    <w:rsid w:val="00F70F75"/>
    <w:rsid w:val="00F716C9"/>
    <w:rsid w:val="00F71E9C"/>
    <w:rsid w:val="00F71FC4"/>
    <w:rsid w:val="00F7233F"/>
    <w:rsid w:val="00F72660"/>
    <w:rsid w:val="00F729D7"/>
    <w:rsid w:val="00F72BDC"/>
    <w:rsid w:val="00F73A27"/>
    <w:rsid w:val="00F74EA9"/>
    <w:rsid w:val="00F75883"/>
    <w:rsid w:val="00F761D7"/>
    <w:rsid w:val="00F76997"/>
    <w:rsid w:val="00F801DF"/>
    <w:rsid w:val="00F8063F"/>
    <w:rsid w:val="00F80A94"/>
    <w:rsid w:val="00F80E00"/>
    <w:rsid w:val="00F815F6"/>
    <w:rsid w:val="00F817A5"/>
    <w:rsid w:val="00F8234C"/>
    <w:rsid w:val="00F825E4"/>
    <w:rsid w:val="00F8308E"/>
    <w:rsid w:val="00F835EC"/>
    <w:rsid w:val="00F83D88"/>
    <w:rsid w:val="00F8456A"/>
    <w:rsid w:val="00F845E7"/>
    <w:rsid w:val="00F84D39"/>
    <w:rsid w:val="00F84D90"/>
    <w:rsid w:val="00F85114"/>
    <w:rsid w:val="00F8530D"/>
    <w:rsid w:val="00F85DA0"/>
    <w:rsid w:val="00F86B68"/>
    <w:rsid w:val="00F86C4F"/>
    <w:rsid w:val="00F87D2A"/>
    <w:rsid w:val="00F87FDB"/>
    <w:rsid w:val="00F90017"/>
    <w:rsid w:val="00F90411"/>
    <w:rsid w:val="00F913FD"/>
    <w:rsid w:val="00F915AC"/>
    <w:rsid w:val="00F91B1B"/>
    <w:rsid w:val="00F921F9"/>
    <w:rsid w:val="00F92295"/>
    <w:rsid w:val="00F9229D"/>
    <w:rsid w:val="00F928FE"/>
    <w:rsid w:val="00F92ADB"/>
    <w:rsid w:val="00F93935"/>
    <w:rsid w:val="00F93A9B"/>
    <w:rsid w:val="00F93E48"/>
    <w:rsid w:val="00F94549"/>
    <w:rsid w:val="00F94575"/>
    <w:rsid w:val="00F95211"/>
    <w:rsid w:val="00F95393"/>
    <w:rsid w:val="00F95C77"/>
    <w:rsid w:val="00F9609B"/>
    <w:rsid w:val="00F966B1"/>
    <w:rsid w:val="00F96D4C"/>
    <w:rsid w:val="00F9754A"/>
    <w:rsid w:val="00F97661"/>
    <w:rsid w:val="00F97830"/>
    <w:rsid w:val="00F978A9"/>
    <w:rsid w:val="00FA0CA8"/>
    <w:rsid w:val="00FA0CCF"/>
    <w:rsid w:val="00FA10E2"/>
    <w:rsid w:val="00FA11C3"/>
    <w:rsid w:val="00FA1EB3"/>
    <w:rsid w:val="00FA2797"/>
    <w:rsid w:val="00FA2A33"/>
    <w:rsid w:val="00FA3237"/>
    <w:rsid w:val="00FA3443"/>
    <w:rsid w:val="00FA3841"/>
    <w:rsid w:val="00FA408B"/>
    <w:rsid w:val="00FA4676"/>
    <w:rsid w:val="00FA46EB"/>
    <w:rsid w:val="00FA482B"/>
    <w:rsid w:val="00FA4E70"/>
    <w:rsid w:val="00FA56B4"/>
    <w:rsid w:val="00FA57CC"/>
    <w:rsid w:val="00FA5842"/>
    <w:rsid w:val="00FA6338"/>
    <w:rsid w:val="00FA671C"/>
    <w:rsid w:val="00FA67F2"/>
    <w:rsid w:val="00FA728C"/>
    <w:rsid w:val="00FA74DB"/>
    <w:rsid w:val="00FA7B69"/>
    <w:rsid w:val="00FA7EF1"/>
    <w:rsid w:val="00FB07C9"/>
    <w:rsid w:val="00FB0900"/>
    <w:rsid w:val="00FB0A9B"/>
    <w:rsid w:val="00FB2070"/>
    <w:rsid w:val="00FB20F5"/>
    <w:rsid w:val="00FB21BA"/>
    <w:rsid w:val="00FB2856"/>
    <w:rsid w:val="00FB3016"/>
    <w:rsid w:val="00FB3478"/>
    <w:rsid w:val="00FB3975"/>
    <w:rsid w:val="00FB3B4E"/>
    <w:rsid w:val="00FB3C40"/>
    <w:rsid w:val="00FB3DB0"/>
    <w:rsid w:val="00FB3E0F"/>
    <w:rsid w:val="00FB4ADF"/>
    <w:rsid w:val="00FB4DB1"/>
    <w:rsid w:val="00FB5556"/>
    <w:rsid w:val="00FB577E"/>
    <w:rsid w:val="00FB6319"/>
    <w:rsid w:val="00FB6524"/>
    <w:rsid w:val="00FB6760"/>
    <w:rsid w:val="00FB68C7"/>
    <w:rsid w:val="00FB6C6D"/>
    <w:rsid w:val="00FB7715"/>
    <w:rsid w:val="00FC0318"/>
    <w:rsid w:val="00FC0EF5"/>
    <w:rsid w:val="00FC199D"/>
    <w:rsid w:val="00FC1DDE"/>
    <w:rsid w:val="00FC1E38"/>
    <w:rsid w:val="00FC213E"/>
    <w:rsid w:val="00FC2422"/>
    <w:rsid w:val="00FC325F"/>
    <w:rsid w:val="00FC338E"/>
    <w:rsid w:val="00FC3BE5"/>
    <w:rsid w:val="00FC3F9F"/>
    <w:rsid w:val="00FC4281"/>
    <w:rsid w:val="00FC461F"/>
    <w:rsid w:val="00FC46D5"/>
    <w:rsid w:val="00FC54FF"/>
    <w:rsid w:val="00FC5B7E"/>
    <w:rsid w:val="00FC61C0"/>
    <w:rsid w:val="00FC67F6"/>
    <w:rsid w:val="00FC688D"/>
    <w:rsid w:val="00FC7C8A"/>
    <w:rsid w:val="00FD0653"/>
    <w:rsid w:val="00FD0B5B"/>
    <w:rsid w:val="00FD0DE2"/>
    <w:rsid w:val="00FD0F04"/>
    <w:rsid w:val="00FD122F"/>
    <w:rsid w:val="00FD1544"/>
    <w:rsid w:val="00FD1A79"/>
    <w:rsid w:val="00FD1BFB"/>
    <w:rsid w:val="00FD2038"/>
    <w:rsid w:val="00FD2BF4"/>
    <w:rsid w:val="00FD30B7"/>
    <w:rsid w:val="00FD31D1"/>
    <w:rsid w:val="00FD4D9F"/>
    <w:rsid w:val="00FD5962"/>
    <w:rsid w:val="00FD5A10"/>
    <w:rsid w:val="00FD5E36"/>
    <w:rsid w:val="00FD68FD"/>
    <w:rsid w:val="00FD6A8B"/>
    <w:rsid w:val="00FD6AB0"/>
    <w:rsid w:val="00FD6FD5"/>
    <w:rsid w:val="00FD707B"/>
    <w:rsid w:val="00FD710A"/>
    <w:rsid w:val="00FD7A04"/>
    <w:rsid w:val="00FE063B"/>
    <w:rsid w:val="00FE0C6B"/>
    <w:rsid w:val="00FE136C"/>
    <w:rsid w:val="00FE16CD"/>
    <w:rsid w:val="00FE1BBC"/>
    <w:rsid w:val="00FE1DF7"/>
    <w:rsid w:val="00FE2BD0"/>
    <w:rsid w:val="00FE2FF1"/>
    <w:rsid w:val="00FE30B0"/>
    <w:rsid w:val="00FE395B"/>
    <w:rsid w:val="00FE399C"/>
    <w:rsid w:val="00FE4039"/>
    <w:rsid w:val="00FE533F"/>
    <w:rsid w:val="00FE5F91"/>
    <w:rsid w:val="00FE72CA"/>
    <w:rsid w:val="00FE7804"/>
    <w:rsid w:val="00FF12BF"/>
    <w:rsid w:val="00FF1352"/>
    <w:rsid w:val="00FF146D"/>
    <w:rsid w:val="00FF155A"/>
    <w:rsid w:val="00FF1711"/>
    <w:rsid w:val="00FF1736"/>
    <w:rsid w:val="00FF1BCC"/>
    <w:rsid w:val="00FF1E60"/>
    <w:rsid w:val="00FF214E"/>
    <w:rsid w:val="00FF24A1"/>
    <w:rsid w:val="00FF2D67"/>
    <w:rsid w:val="00FF37DC"/>
    <w:rsid w:val="00FF3DF1"/>
    <w:rsid w:val="00FF4077"/>
    <w:rsid w:val="00FF45EC"/>
    <w:rsid w:val="00FF4872"/>
    <w:rsid w:val="00FF4A62"/>
    <w:rsid w:val="00FF4F4A"/>
    <w:rsid w:val="00FF546D"/>
    <w:rsid w:val="00FF57FA"/>
    <w:rsid w:val="00FF5908"/>
    <w:rsid w:val="00FF62B5"/>
    <w:rsid w:val="00FF68AF"/>
    <w:rsid w:val="00FF79FF"/>
    <w:rsid w:val="00FF7BCD"/>
    <w:rsid w:val="01824499"/>
    <w:rsid w:val="018AF8C0"/>
    <w:rsid w:val="01B0B3C1"/>
    <w:rsid w:val="01B0CD64"/>
    <w:rsid w:val="01FA77DB"/>
    <w:rsid w:val="021ACA17"/>
    <w:rsid w:val="0234EDE7"/>
    <w:rsid w:val="044F5DB3"/>
    <w:rsid w:val="0488AFB0"/>
    <w:rsid w:val="048D47DA"/>
    <w:rsid w:val="04BD27B1"/>
    <w:rsid w:val="04E15623"/>
    <w:rsid w:val="050B7AAE"/>
    <w:rsid w:val="05942010"/>
    <w:rsid w:val="06415627"/>
    <w:rsid w:val="07222327"/>
    <w:rsid w:val="07341296"/>
    <w:rsid w:val="074C1A49"/>
    <w:rsid w:val="077953DF"/>
    <w:rsid w:val="07E5D08A"/>
    <w:rsid w:val="07F3124F"/>
    <w:rsid w:val="08043052"/>
    <w:rsid w:val="0831CA76"/>
    <w:rsid w:val="085788F6"/>
    <w:rsid w:val="08B5E7D7"/>
    <w:rsid w:val="08CB7F9E"/>
    <w:rsid w:val="09467A08"/>
    <w:rsid w:val="0B5D3830"/>
    <w:rsid w:val="0BD48DCC"/>
    <w:rsid w:val="0BF13C56"/>
    <w:rsid w:val="0BF9B4BF"/>
    <w:rsid w:val="0C289C8F"/>
    <w:rsid w:val="0C8883B4"/>
    <w:rsid w:val="0D00E9EB"/>
    <w:rsid w:val="0D807276"/>
    <w:rsid w:val="0DA65BEB"/>
    <w:rsid w:val="0DCF6C8C"/>
    <w:rsid w:val="0DD0E70E"/>
    <w:rsid w:val="0E1D0CEB"/>
    <w:rsid w:val="0E572554"/>
    <w:rsid w:val="0E5F64EC"/>
    <w:rsid w:val="0F2087DA"/>
    <w:rsid w:val="0F915573"/>
    <w:rsid w:val="0FB19338"/>
    <w:rsid w:val="0FB70E96"/>
    <w:rsid w:val="0FCE779D"/>
    <w:rsid w:val="104FC4CC"/>
    <w:rsid w:val="10C9F0CF"/>
    <w:rsid w:val="112C3C29"/>
    <w:rsid w:val="113018FF"/>
    <w:rsid w:val="11B1CB7A"/>
    <w:rsid w:val="11C23CD4"/>
    <w:rsid w:val="1299912C"/>
    <w:rsid w:val="12EFB2C8"/>
    <w:rsid w:val="12F8ECF5"/>
    <w:rsid w:val="13A3FA39"/>
    <w:rsid w:val="13E86875"/>
    <w:rsid w:val="1435EA1F"/>
    <w:rsid w:val="145565EF"/>
    <w:rsid w:val="1473BCF0"/>
    <w:rsid w:val="151202B8"/>
    <w:rsid w:val="151BE952"/>
    <w:rsid w:val="155F7420"/>
    <w:rsid w:val="15684CDA"/>
    <w:rsid w:val="1613FFE0"/>
    <w:rsid w:val="1690A094"/>
    <w:rsid w:val="1700BBA7"/>
    <w:rsid w:val="178479D6"/>
    <w:rsid w:val="178B1D1F"/>
    <w:rsid w:val="17AA0CD0"/>
    <w:rsid w:val="180D7DF7"/>
    <w:rsid w:val="1896023F"/>
    <w:rsid w:val="18BCB64A"/>
    <w:rsid w:val="18F0A135"/>
    <w:rsid w:val="194A6C42"/>
    <w:rsid w:val="194FBA08"/>
    <w:rsid w:val="19817BA6"/>
    <w:rsid w:val="19F14387"/>
    <w:rsid w:val="1A94451B"/>
    <w:rsid w:val="1A97018E"/>
    <w:rsid w:val="1AFFE43D"/>
    <w:rsid w:val="1B8C1E2F"/>
    <w:rsid w:val="1BEA40C2"/>
    <w:rsid w:val="1C1F74EA"/>
    <w:rsid w:val="1C341488"/>
    <w:rsid w:val="1C3AB964"/>
    <w:rsid w:val="1C80A1A2"/>
    <w:rsid w:val="1C88CBD5"/>
    <w:rsid w:val="1CE5FDF3"/>
    <w:rsid w:val="1CF57018"/>
    <w:rsid w:val="1CF83B25"/>
    <w:rsid w:val="1D83BF68"/>
    <w:rsid w:val="1D871698"/>
    <w:rsid w:val="1DA31D16"/>
    <w:rsid w:val="1DC9F55F"/>
    <w:rsid w:val="1E3D0082"/>
    <w:rsid w:val="1E4FB751"/>
    <w:rsid w:val="1E7AE0F9"/>
    <w:rsid w:val="1E9E2C87"/>
    <w:rsid w:val="1EE32A7F"/>
    <w:rsid w:val="1EE80C53"/>
    <w:rsid w:val="1F1A8909"/>
    <w:rsid w:val="1F512D17"/>
    <w:rsid w:val="1F52207F"/>
    <w:rsid w:val="1FD0D8FC"/>
    <w:rsid w:val="200B1C38"/>
    <w:rsid w:val="20310D78"/>
    <w:rsid w:val="206E4515"/>
    <w:rsid w:val="20C21D0B"/>
    <w:rsid w:val="20F4DD65"/>
    <w:rsid w:val="20F5A002"/>
    <w:rsid w:val="2139A38E"/>
    <w:rsid w:val="214B36E4"/>
    <w:rsid w:val="219BD041"/>
    <w:rsid w:val="220C3218"/>
    <w:rsid w:val="22A3AA0B"/>
    <w:rsid w:val="22C973FC"/>
    <w:rsid w:val="22D353DD"/>
    <w:rsid w:val="2338EC5D"/>
    <w:rsid w:val="236D595B"/>
    <w:rsid w:val="2387A09B"/>
    <w:rsid w:val="23A8F6C7"/>
    <w:rsid w:val="23FE2D60"/>
    <w:rsid w:val="2428FF25"/>
    <w:rsid w:val="247DD5BC"/>
    <w:rsid w:val="24C92697"/>
    <w:rsid w:val="24CC2502"/>
    <w:rsid w:val="24F8E00F"/>
    <w:rsid w:val="2541E653"/>
    <w:rsid w:val="256C5BD1"/>
    <w:rsid w:val="25AFE3E1"/>
    <w:rsid w:val="25D2BF17"/>
    <w:rsid w:val="26913891"/>
    <w:rsid w:val="26A03E8E"/>
    <w:rsid w:val="26C193F0"/>
    <w:rsid w:val="271E41B3"/>
    <w:rsid w:val="2749DCC8"/>
    <w:rsid w:val="27833F27"/>
    <w:rsid w:val="279563D4"/>
    <w:rsid w:val="27990DC7"/>
    <w:rsid w:val="27A2D54B"/>
    <w:rsid w:val="27C5CB3A"/>
    <w:rsid w:val="27F7D2C5"/>
    <w:rsid w:val="28977A95"/>
    <w:rsid w:val="2961310B"/>
    <w:rsid w:val="29B46457"/>
    <w:rsid w:val="29BD93A0"/>
    <w:rsid w:val="29D0F369"/>
    <w:rsid w:val="2A1170B9"/>
    <w:rsid w:val="2AA2D620"/>
    <w:rsid w:val="2AAD795C"/>
    <w:rsid w:val="2B0F26EF"/>
    <w:rsid w:val="2B4E1AA0"/>
    <w:rsid w:val="2B93D4F8"/>
    <w:rsid w:val="2BC9A7E2"/>
    <w:rsid w:val="2BEC1E3B"/>
    <w:rsid w:val="2BF092A1"/>
    <w:rsid w:val="2BFBD3C1"/>
    <w:rsid w:val="2C199DC1"/>
    <w:rsid w:val="2C7A63F4"/>
    <w:rsid w:val="2CAD64BA"/>
    <w:rsid w:val="2CD84006"/>
    <w:rsid w:val="2CF565F3"/>
    <w:rsid w:val="2D1FAF66"/>
    <w:rsid w:val="2D493D85"/>
    <w:rsid w:val="2D523820"/>
    <w:rsid w:val="2DB32897"/>
    <w:rsid w:val="2E4CB539"/>
    <w:rsid w:val="2E8F4CED"/>
    <w:rsid w:val="2F2E2F4A"/>
    <w:rsid w:val="2F7F0341"/>
    <w:rsid w:val="2FC8197C"/>
    <w:rsid w:val="2FCFE5F3"/>
    <w:rsid w:val="3007B654"/>
    <w:rsid w:val="30CF89ED"/>
    <w:rsid w:val="30F983AC"/>
    <w:rsid w:val="31323B80"/>
    <w:rsid w:val="31D023EF"/>
    <w:rsid w:val="31E3EB75"/>
    <w:rsid w:val="31F80D57"/>
    <w:rsid w:val="31F85E6F"/>
    <w:rsid w:val="3218933E"/>
    <w:rsid w:val="325A3F0C"/>
    <w:rsid w:val="325E70F6"/>
    <w:rsid w:val="32852B09"/>
    <w:rsid w:val="333A1063"/>
    <w:rsid w:val="3355F438"/>
    <w:rsid w:val="33C7BBC7"/>
    <w:rsid w:val="346B618A"/>
    <w:rsid w:val="3471235C"/>
    <w:rsid w:val="34C25806"/>
    <w:rsid w:val="35009353"/>
    <w:rsid w:val="356452D0"/>
    <w:rsid w:val="35B3D00B"/>
    <w:rsid w:val="367B66F5"/>
    <w:rsid w:val="367EE8B8"/>
    <w:rsid w:val="36838F67"/>
    <w:rsid w:val="36855B2A"/>
    <w:rsid w:val="36A4945D"/>
    <w:rsid w:val="3736A34D"/>
    <w:rsid w:val="37F3126C"/>
    <w:rsid w:val="38079B0A"/>
    <w:rsid w:val="381C28DC"/>
    <w:rsid w:val="38A7CFD0"/>
    <w:rsid w:val="3919BC01"/>
    <w:rsid w:val="39301EDD"/>
    <w:rsid w:val="398EFF92"/>
    <w:rsid w:val="3A28A1E5"/>
    <w:rsid w:val="3AB9F7CC"/>
    <w:rsid w:val="3B138189"/>
    <w:rsid w:val="3B3488FD"/>
    <w:rsid w:val="3B3BCAEF"/>
    <w:rsid w:val="3BF8A55B"/>
    <w:rsid w:val="3BF96AF3"/>
    <w:rsid w:val="3C148C03"/>
    <w:rsid w:val="3C74D2BF"/>
    <w:rsid w:val="3C908DEB"/>
    <w:rsid w:val="3C987F5F"/>
    <w:rsid w:val="3CCC52C3"/>
    <w:rsid w:val="3D0281D2"/>
    <w:rsid w:val="3D225C1B"/>
    <w:rsid w:val="3D9CDB59"/>
    <w:rsid w:val="3DB03823"/>
    <w:rsid w:val="3DE10093"/>
    <w:rsid w:val="3E5E0D1A"/>
    <w:rsid w:val="3F04BC05"/>
    <w:rsid w:val="3F13A6AB"/>
    <w:rsid w:val="3F2C5FED"/>
    <w:rsid w:val="3F700755"/>
    <w:rsid w:val="3F78285B"/>
    <w:rsid w:val="3F9A339A"/>
    <w:rsid w:val="3FA01367"/>
    <w:rsid w:val="40018E63"/>
    <w:rsid w:val="4002CA9F"/>
    <w:rsid w:val="402169B4"/>
    <w:rsid w:val="40D6C5F5"/>
    <w:rsid w:val="411F2202"/>
    <w:rsid w:val="413728B1"/>
    <w:rsid w:val="42799BE9"/>
    <w:rsid w:val="43E99F52"/>
    <w:rsid w:val="43F1DB0E"/>
    <w:rsid w:val="4454C099"/>
    <w:rsid w:val="44D7BE64"/>
    <w:rsid w:val="44E96E51"/>
    <w:rsid w:val="44F1E2BD"/>
    <w:rsid w:val="44FE8FC7"/>
    <w:rsid w:val="452D476C"/>
    <w:rsid w:val="459B5705"/>
    <w:rsid w:val="460A9BAD"/>
    <w:rsid w:val="468A8CD0"/>
    <w:rsid w:val="46C51AF8"/>
    <w:rsid w:val="46CC9C4B"/>
    <w:rsid w:val="46E7D22F"/>
    <w:rsid w:val="47794B37"/>
    <w:rsid w:val="47915CE0"/>
    <w:rsid w:val="481F355D"/>
    <w:rsid w:val="48691001"/>
    <w:rsid w:val="4890D1CE"/>
    <w:rsid w:val="48FA8D68"/>
    <w:rsid w:val="49595065"/>
    <w:rsid w:val="4966FD9E"/>
    <w:rsid w:val="497630A2"/>
    <w:rsid w:val="499E0C92"/>
    <w:rsid w:val="49FDCF81"/>
    <w:rsid w:val="4A060FEC"/>
    <w:rsid w:val="4AB0B901"/>
    <w:rsid w:val="4AFE7FBD"/>
    <w:rsid w:val="4B56E87E"/>
    <w:rsid w:val="4B6046E3"/>
    <w:rsid w:val="4BB5E57F"/>
    <w:rsid w:val="4BEC17F3"/>
    <w:rsid w:val="4C8BD749"/>
    <w:rsid w:val="4D142DC8"/>
    <w:rsid w:val="4D311A0E"/>
    <w:rsid w:val="4D79B943"/>
    <w:rsid w:val="4DA64A46"/>
    <w:rsid w:val="4E1F06D9"/>
    <w:rsid w:val="4F7C5CF9"/>
    <w:rsid w:val="50077243"/>
    <w:rsid w:val="5014ECE6"/>
    <w:rsid w:val="50EF964B"/>
    <w:rsid w:val="50F1E63C"/>
    <w:rsid w:val="5133E1AD"/>
    <w:rsid w:val="5178C86A"/>
    <w:rsid w:val="51FC8DC0"/>
    <w:rsid w:val="521F7799"/>
    <w:rsid w:val="52226D3C"/>
    <w:rsid w:val="52CB75D1"/>
    <w:rsid w:val="533E445A"/>
    <w:rsid w:val="534A5B36"/>
    <w:rsid w:val="53DA3680"/>
    <w:rsid w:val="53DBC453"/>
    <w:rsid w:val="541BF9D7"/>
    <w:rsid w:val="5430D2A0"/>
    <w:rsid w:val="5431B2F0"/>
    <w:rsid w:val="54995FC4"/>
    <w:rsid w:val="54CCA9B8"/>
    <w:rsid w:val="54EDE307"/>
    <w:rsid w:val="552F0A04"/>
    <w:rsid w:val="554EF3BC"/>
    <w:rsid w:val="555BB9B6"/>
    <w:rsid w:val="5577C8E3"/>
    <w:rsid w:val="55E60BFF"/>
    <w:rsid w:val="55E8F2CC"/>
    <w:rsid w:val="56240D0F"/>
    <w:rsid w:val="5636145C"/>
    <w:rsid w:val="564E81EC"/>
    <w:rsid w:val="56D6AEB9"/>
    <w:rsid w:val="57AD2345"/>
    <w:rsid w:val="58392B55"/>
    <w:rsid w:val="5891D4F0"/>
    <w:rsid w:val="589F3E37"/>
    <w:rsid w:val="58BAD35D"/>
    <w:rsid w:val="5986C223"/>
    <w:rsid w:val="5A0D522F"/>
    <w:rsid w:val="5A1BB374"/>
    <w:rsid w:val="5A8A59D2"/>
    <w:rsid w:val="5B066768"/>
    <w:rsid w:val="5BCA3C90"/>
    <w:rsid w:val="5C230BFE"/>
    <w:rsid w:val="5C31FC15"/>
    <w:rsid w:val="5C9C88F9"/>
    <w:rsid w:val="5CB50FDC"/>
    <w:rsid w:val="5CF2772F"/>
    <w:rsid w:val="5DA30D30"/>
    <w:rsid w:val="5DD89594"/>
    <w:rsid w:val="5DE91C7E"/>
    <w:rsid w:val="5E2BAA33"/>
    <w:rsid w:val="5ECC0D3F"/>
    <w:rsid w:val="5F2CCD45"/>
    <w:rsid w:val="5F386527"/>
    <w:rsid w:val="5F7B22F0"/>
    <w:rsid w:val="5FE781F0"/>
    <w:rsid w:val="603FF6C0"/>
    <w:rsid w:val="608278F3"/>
    <w:rsid w:val="60DEA0A0"/>
    <w:rsid w:val="610131CD"/>
    <w:rsid w:val="616D19B7"/>
    <w:rsid w:val="61C58BB6"/>
    <w:rsid w:val="61FA9D71"/>
    <w:rsid w:val="621D8369"/>
    <w:rsid w:val="623F038E"/>
    <w:rsid w:val="627C5BA9"/>
    <w:rsid w:val="6314A95F"/>
    <w:rsid w:val="6369CB28"/>
    <w:rsid w:val="63850C06"/>
    <w:rsid w:val="638D2597"/>
    <w:rsid w:val="63941ED0"/>
    <w:rsid w:val="63CB6604"/>
    <w:rsid w:val="63D2FF31"/>
    <w:rsid w:val="6461C3EA"/>
    <w:rsid w:val="649DA77D"/>
    <w:rsid w:val="64F1352B"/>
    <w:rsid w:val="651150F9"/>
    <w:rsid w:val="6554EAF6"/>
    <w:rsid w:val="655C6B01"/>
    <w:rsid w:val="66292E6E"/>
    <w:rsid w:val="66751A50"/>
    <w:rsid w:val="668AD4F8"/>
    <w:rsid w:val="66BD7E68"/>
    <w:rsid w:val="66F0803E"/>
    <w:rsid w:val="670029C5"/>
    <w:rsid w:val="673BD21A"/>
    <w:rsid w:val="673EE74B"/>
    <w:rsid w:val="6780DCD5"/>
    <w:rsid w:val="67C69CB2"/>
    <w:rsid w:val="6849552C"/>
    <w:rsid w:val="685DA7C1"/>
    <w:rsid w:val="699500DC"/>
    <w:rsid w:val="6A19014E"/>
    <w:rsid w:val="6A57D6AB"/>
    <w:rsid w:val="6AF1E85F"/>
    <w:rsid w:val="6B6A16B5"/>
    <w:rsid w:val="6BE133DA"/>
    <w:rsid w:val="6C05939A"/>
    <w:rsid w:val="6C623CB3"/>
    <w:rsid w:val="6C633B33"/>
    <w:rsid w:val="6C88783D"/>
    <w:rsid w:val="6D63B3BF"/>
    <w:rsid w:val="6DD3F160"/>
    <w:rsid w:val="6DFD8F75"/>
    <w:rsid w:val="6E2D0538"/>
    <w:rsid w:val="6EB0F966"/>
    <w:rsid w:val="6EF23836"/>
    <w:rsid w:val="6EF7272D"/>
    <w:rsid w:val="6F0F8705"/>
    <w:rsid w:val="6F67934B"/>
    <w:rsid w:val="6FF8665E"/>
    <w:rsid w:val="6FF9B175"/>
    <w:rsid w:val="7097E72F"/>
    <w:rsid w:val="717EEA56"/>
    <w:rsid w:val="71D67780"/>
    <w:rsid w:val="727A29AB"/>
    <w:rsid w:val="73033B48"/>
    <w:rsid w:val="731E270F"/>
    <w:rsid w:val="73484DC6"/>
    <w:rsid w:val="739BA422"/>
    <w:rsid w:val="73BDE21F"/>
    <w:rsid w:val="741A7441"/>
    <w:rsid w:val="7429B059"/>
    <w:rsid w:val="7444BACC"/>
    <w:rsid w:val="74706A7E"/>
    <w:rsid w:val="74EA0C7D"/>
    <w:rsid w:val="75541611"/>
    <w:rsid w:val="75B5A5BE"/>
    <w:rsid w:val="75EEDE84"/>
    <w:rsid w:val="769A60DE"/>
    <w:rsid w:val="76DA3F91"/>
    <w:rsid w:val="76EC77D4"/>
    <w:rsid w:val="770E5951"/>
    <w:rsid w:val="774EB436"/>
    <w:rsid w:val="777E8278"/>
    <w:rsid w:val="7797122B"/>
    <w:rsid w:val="78712256"/>
    <w:rsid w:val="78A5D3A7"/>
    <w:rsid w:val="79237AF2"/>
    <w:rsid w:val="7926F5F3"/>
    <w:rsid w:val="796786A6"/>
    <w:rsid w:val="798573E7"/>
    <w:rsid w:val="79FAE77C"/>
    <w:rsid w:val="7A002C33"/>
    <w:rsid w:val="7A3B0553"/>
    <w:rsid w:val="7A523208"/>
    <w:rsid w:val="7AB7A63C"/>
    <w:rsid w:val="7B25239C"/>
    <w:rsid w:val="7BA04C88"/>
    <w:rsid w:val="7BDA56E4"/>
    <w:rsid w:val="7C03E458"/>
    <w:rsid w:val="7C2839BF"/>
    <w:rsid w:val="7CAB727D"/>
    <w:rsid w:val="7CC1E1BA"/>
    <w:rsid w:val="7CC3D30C"/>
    <w:rsid w:val="7CD3F942"/>
    <w:rsid w:val="7CD45782"/>
    <w:rsid w:val="7D3D8C8F"/>
    <w:rsid w:val="7D49918C"/>
    <w:rsid w:val="7D84D7A8"/>
    <w:rsid w:val="7E103E4C"/>
    <w:rsid w:val="7F45D26F"/>
    <w:rsid w:val="7F906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D06A4"/>
  <w15:docId w15:val="{C3799BBE-47EF-46DA-8FFD-7DE8FA05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420A58"/>
    <w:pPr>
      <w:spacing w:before="0" w:after="0"/>
      <w:ind w:left="0" w:firstLine="0"/>
    </w:pPr>
    <w:rPr>
      <w:lang w:val="en-US" w:eastAsia="en-US"/>
    </w:rPr>
  </w:style>
  <w:style w:type="paragraph" w:styleId="Heading1">
    <w:name w:val="heading 1"/>
    <w:basedOn w:val="Normal"/>
    <w:next w:val="BodyText"/>
    <w:link w:val="Heading1Char"/>
    <w:qFormat/>
    <w:locked/>
    <w:rsid w:val="00B3090B"/>
    <w:pPr>
      <w:keepNext/>
      <w:numPr>
        <w:numId w:val="64"/>
      </w:numPr>
      <w:spacing w:before="400" w:after="600"/>
      <w:outlineLvl w:val="0"/>
    </w:pPr>
    <w:rPr>
      <w:rFonts w:ascii="Public Sans SemiBold" w:hAnsi="Public Sans SemiBold"/>
      <w:caps/>
      <w:color w:val="0B3F47"/>
      <w:kern w:val="28"/>
      <w:sz w:val="40"/>
      <w:szCs w:val="36"/>
      <w:lang w:val="en-AU"/>
    </w:rPr>
  </w:style>
  <w:style w:type="paragraph" w:styleId="Heading2">
    <w:name w:val="heading 2"/>
    <w:aliases w:val="Heading2 Numbered"/>
    <w:basedOn w:val="Normal"/>
    <w:next w:val="BodyText"/>
    <w:link w:val="Heading2Char"/>
    <w:qFormat/>
    <w:rsid w:val="00173234"/>
    <w:pPr>
      <w:keepNext/>
      <w:widowControl w:val="0"/>
      <w:pBdr>
        <w:bottom w:val="single" w:sz="4" w:space="2" w:color="008EBA"/>
      </w:pBdr>
      <w:tabs>
        <w:tab w:val="num" w:pos="714"/>
      </w:tabs>
      <w:spacing w:before="240" w:after="100" w:line="240" w:lineRule="atLeast"/>
      <w:ind w:left="714" w:hanging="357"/>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4C5544"/>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EA0E06"/>
    <w:pPr>
      <w:spacing w:before="120"/>
      <w:ind w:left="0" w:firstLine="0"/>
    </w:pPr>
    <w:rPr>
      <w:rFonts w:ascii="Public Sans" w:hAnsi="Public Sans" w:cs="Arial"/>
      <w:iCs/>
      <w:color w:val="000000" w:themeColor="text1"/>
      <w:sz w:val="22"/>
      <w:lang w:eastAsia="en-US"/>
    </w:rPr>
  </w:style>
  <w:style w:type="paragraph" w:customStyle="1" w:styleId="Bullet1">
    <w:name w:val="Bullet 1"/>
    <w:basedOn w:val="BodyText"/>
    <w:link w:val="Bullet1Char"/>
    <w:autoRedefine/>
    <w:qFormat/>
    <w:locked/>
    <w:rsid w:val="00EA0E06"/>
    <w:pPr>
      <w:numPr>
        <w:numId w:val="94"/>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147FEA"/>
    <w:pPr>
      <w:numPr>
        <w:numId w:val="96"/>
      </w:numPr>
      <w:tabs>
        <w:tab w:val="clear" w:pos="785"/>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semiHidden/>
    <w:qFormat/>
    <w:locked/>
    <w:rsid w:val="0025730F"/>
    <w:pPr>
      <w:numPr>
        <w:numId w:val="89"/>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semiHidden/>
    <w:qFormat/>
    <w:locked/>
    <w:rsid w:val="00600F5D"/>
    <w:pPr>
      <w:numPr>
        <w:numId w:val="0"/>
      </w:numPr>
      <w:ind w:left="851" w:hanging="851"/>
    </w:pPr>
  </w:style>
  <w:style w:type="paragraph" w:customStyle="1" w:styleId="11Heading2">
    <w:name w:val="1.1 Heading 2"/>
    <w:basedOn w:val="Normal"/>
    <w:semiHidden/>
    <w:qFormat/>
    <w:locked/>
    <w:rsid w:val="007E14A0"/>
    <w:pPr>
      <w:numPr>
        <w:numId w:val="3"/>
      </w:numPr>
      <w:pBdr>
        <w:bottom w:val="single" w:sz="4" w:space="4" w:color="22272B"/>
      </w:pBdr>
      <w:spacing w:before="360" w:after="120"/>
      <w:ind w:left="851" w:hanging="851"/>
    </w:pPr>
    <w:rPr>
      <w:rFonts w:ascii="Public Sans SemiBold" w:hAnsi="Public Sans SemiBold"/>
      <w:b/>
      <w:color w:val="22272B"/>
      <w:sz w:val="28"/>
      <w:lang w:val="en-AU"/>
    </w:rPr>
  </w:style>
  <w:style w:type="paragraph" w:customStyle="1" w:styleId="Chart1X">
    <w:name w:val="Chart 1.X"/>
    <w:basedOn w:val="Table1X"/>
    <w:next w:val="Normal"/>
    <w:locked/>
    <w:rsid w:val="00FA6338"/>
    <w:pPr>
      <w:keepLines/>
      <w:numPr>
        <w:numId w:val="27"/>
      </w:numPr>
      <w:ind w:left="1418" w:hanging="1418"/>
    </w:pPr>
  </w:style>
  <w:style w:type="character" w:customStyle="1" w:styleId="Heading2Char">
    <w:name w:val="Heading 2 Char"/>
    <w:aliases w:val="Heading2 Numbered Char"/>
    <w:link w:val="Heading2"/>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C5544"/>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EA0E06"/>
    <w:rPr>
      <w:rFonts w:ascii="Public Sans" w:eastAsiaTheme="minorEastAsia" w:hAnsi="Public Sans" w:cs="Arial"/>
      <w:iCs/>
      <w:color w:val="000000" w:themeColor="text1"/>
      <w:sz w:val="22"/>
      <w:szCs w:val="23"/>
    </w:rPr>
  </w:style>
  <w:style w:type="paragraph" w:customStyle="1" w:styleId="Box1XBoxHeading">
    <w:name w:val="Box 1.X: Box Heading"/>
    <w:basedOn w:val="Normal"/>
    <w:next w:val="Normal"/>
    <w:qFormat/>
    <w:locked/>
    <w:rsid w:val="00600F5D"/>
    <w:pPr>
      <w:numPr>
        <w:numId w:val="14"/>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semiHidden/>
    <w:qFormat/>
    <w:locked/>
    <w:rsid w:val="00600F5D"/>
    <w:pPr>
      <w:numPr>
        <w:numId w:val="15"/>
      </w:numPr>
      <w:ind w:left="1134" w:hanging="1134"/>
    </w:pPr>
  </w:style>
  <w:style w:type="paragraph" w:customStyle="1" w:styleId="Box6XBoxHeading">
    <w:name w:val="Box 6.X: Box Heading"/>
    <w:basedOn w:val="Box1XBoxHeading"/>
    <w:autoRedefine/>
    <w:semiHidden/>
    <w:qFormat/>
    <w:locked/>
    <w:rsid w:val="00600F5D"/>
    <w:pPr>
      <w:keepLines/>
      <w:widowControl w:val="0"/>
      <w:numPr>
        <w:numId w:val="18"/>
      </w:numPr>
      <w:ind w:left="1134" w:hanging="1134"/>
    </w:pPr>
    <w:rPr>
      <w:rFonts w:eastAsia="Arial Unicode MS" w:cs="Arial"/>
      <w:bCs/>
      <w:szCs w:val="17"/>
      <w:lang w:eastAsia="en-AU"/>
    </w:rPr>
  </w:style>
  <w:style w:type="paragraph" w:customStyle="1" w:styleId="Box2XBoxHeading">
    <w:name w:val="Box 2.X: Box Heading"/>
    <w:basedOn w:val="Box1XBoxHeading"/>
    <w:semiHidden/>
    <w:qFormat/>
    <w:locked/>
    <w:rsid w:val="00600F5D"/>
    <w:pPr>
      <w:numPr>
        <w:numId w:val="87"/>
      </w:numPr>
      <w:ind w:left="1134" w:hanging="1134"/>
    </w:pPr>
  </w:style>
  <w:style w:type="paragraph" w:customStyle="1" w:styleId="Chart2X">
    <w:name w:val="Chart 2.X"/>
    <w:basedOn w:val="Chart1X"/>
    <w:next w:val="Normal"/>
    <w:semiHidden/>
    <w:locked/>
    <w:rsid w:val="00FA6338"/>
    <w:pPr>
      <w:numPr>
        <w:numId w:val="28"/>
      </w:numPr>
      <w:ind w:left="1418" w:hanging="1418"/>
    </w:pPr>
  </w:style>
  <w:style w:type="paragraph" w:customStyle="1" w:styleId="Table2X">
    <w:name w:val="Table 2.X"/>
    <w:basedOn w:val="Table1X"/>
    <w:next w:val="Normal"/>
    <w:semiHidden/>
    <w:qFormat/>
    <w:locked/>
    <w:rsid w:val="00B61FAF"/>
    <w:pPr>
      <w:numPr>
        <w:numId w:val="72"/>
      </w:numPr>
      <w:ind w:left="1418" w:hanging="1418"/>
    </w:pPr>
    <w:rPr>
      <w:lang w:val="fr-FR"/>
    </w:rPr>
  </w:style>
  <w:style w:type="paragraph" w:customStyle="1" w:styleId="Table3X">
    <w:name w:val="Table 3.X"/>
    <w:basedOn w:val="Table1X"/>
    <w:next w:val="Normal"/>
    <w:locked/>
    <w:rsid w:val="0086714A"/>
    <w:pPr>
      <w:widowControl w:val="0"/>
      <w:numPr>
        <w:numId w:val="73"/>
      </w:numPr>
      <w:ind w:left="1418" w:hanging="1418"/>
    </w:pPr>
    <w:rPr>
      <w:bCs w:val="0"/>
    </w:rPr>
  </w:style>
  <w:style w:type="paragraph" w:customStyle="1" w:styleId="TableFX">
    <w:name w:val="Table F.X"/>
    <w:basedOn w:val="TableA1X"/>
    <w:next w:val="Normal"/>
    <w:semiHidden/>
    <w:locked/>
    <w:rsid w:val="00913FA1"/>
    <w:pPr>
      <w:widowControl w:val="0"/>
      <w:numPr>
        <w:numId w:val="86"/>
      </w:numPr>
      <w:ind w:left="1418" w:hanging="1418"/>
    </w:pPr>
    <w:rPr>
      <w:bCs w:val="0"/>
    </w:rPr>
  </w:style>
  <w:style w:type="paragraph" w:customStyle="1" w:styleId="31Heading2">
    <w:name w:val="3.1 Heading 2"/>
    <w:basedOn w:val="11Heading2"/>
    <w:next w:val="BodyText"/>
    <w:semiHidden/>
    <w:qFormat/>
    <w:locked/>
    <w:rsid w:val="00600F5D"/>
    <w:pPr>
      <w:numPr>
        <w:numId w:val="4"/>
      </w:numPr>
      <w:ind w:left="851" w:hanging="851"/>
    </w:pPr>
  </w:style>
  <w:style w:type="paragraph" w:customStyle="1" w:styleId="Box71BoxHeading">
    <w:name w:val="Box 7.1 Box Heading"/>
    <w:basedOn w:val="Normal"/>
    <w:autoRedefine/>
    <w:semiHidden/>
    <w:rsid w:val="00173234"/>
    <w:pPr>
      <w:keepLines/>
      <w:widowControl w:val="0"/>
      <w:numPr>
        <w:numId w:val="19"/>
      </w:numPr>
      <w:tabs>
        <w:tab w:val="left" w:pos="1134"/>
      </w:tabs>
      <w:spacing w:before="80" w:after="60" w:line="240" w:lineRule="atLeast"/>
      <w:ind w:left="360"/>
      <w:outlineLvl w:val="2"/>
    </w:pPr>
    <w:rPr>
      <w:rFonts w:ascii="Arial Bold" w:hAnsi="Arial Bold" w:cs="Arial"/>
      <w:b/>
      <w:sz w:val="23"/>
    </w:rPr>
  </w:style>
  <w:style w:type="paragraph" w:customStyle="1" w:styleId="Chart3X">
    <w:name w:val="Chart 3.X"/>
    <w:basedOn w:val="Chart1X"/>
    <w:next w:val="Normal"/>
    <w:qFormat/>
    <w:locked/>
    <w:rsid w:val="00FA6338"/>
    <w:pPr>
      <w:numPr>
        <w:numId w:val="90"/>
      </w:numPr>
      <w:ind w:left="1418" w:hanging="1418"/>
    </w:pPr>
  </w:style>
  <w:style w:type="paragraph" w:customStyle="1" w:styleId="41Heading2">
    <w:name w:val="4.1 Heading 2"/>
    <w:basedOn w:val="11Heading2"/>
    <w:next w:val="BodyText"/>
    <w:qFormat/>
    <w:locked/>
    <w:rsid w:val="007C1D86"/>
    <w:pPr>
      <w:numPr>
        <w:numId w:val="5"/>
      </w:numPr>
      <w:ind w:left="851" w:hanging="851"/>
    </w:pPr>
    <w:rPr>
      <w:color w:val="000000" w:themeColor="text1"/>
    </w:rPr>
  </w:style>
  <w:style w:type="paragraph" w:customStyle="1" w:styleId="Box4XBoxHeading">
    <w:name w:val="Box 4.X Box Heading"/>
    <w:basedOn w:val="Box1XBoxHeading"/>
    <w:next w:val="Normal"/>
    <w:autoRedefine/>
    <w:locked/>
    <w:rsid w:val="00CD25B5"/>
    <w:pPr>
      <w:numPr>
        <w:numId w:val="95"/>
      </w:numPr>
      <w:ind w:left="1134" w:hanging="1134"/>
    </w:pPr>
    <w:rPr>
      <w:rFonts w:cs="Arial"/>
      <w:lang w:eastAsia="en-AU"/>
    </w:rPr>
  </w:style>
  <w:style w:type="paragraph" w:customStyle="1" w:styleId="Chart4X">
    <w:name w:val="Chart 4.X"/>
    <w:basedOn w:val="Chart1X"/>
    <w:next w:val="Normal"/>
    <w:qFormat/>
    <w:locked/>
    <w:rsid w:val="00F07411"/>
    <w:pPr>
      <w:numPr>
        <w:numId w:val="29"/>
      </w:numPr>
      <w:ind w:left="1418" w:hanging="1418"/>
    </w:pPr>
    <w:rPr>
      <w:noProof/>
    </w:rPr>
  </w:style>
  <w:style w:type="paragraph" w:customStyle="1" w:styleId="Table4X">
    <w:name w:val="Table 4.X"/>
    <w:basedOn w:val="Table1X"/>
    <w:next w:val="Normal"/>
    <w:locked/>
    <w:rsid w:val="00241899"/>
    <w:pPr>
      <w:widowControl w:val="0"/>
      <w:numPr>
        <w:numId w:val="74"/>
      </w:numPr>
      <w:ind w:left="1418" w:hanging="1418"/>
    </w:pPr>
    <w:rPr>
      <w:bCs w:val="0"/>
    </w:rPr>
  </w:style>
  <w:style w:type="paragraph" w:customStyle="1" w:styleId="51Heading2">
    <w:name w:val="5.1 Heading 2"/>
    <w:basedOn w:val="11Heading2"/>
    <w:next w:val="BodyText"/>
    <w:semiHidden/>
    <w:qFormat/>
    <w:locked/>
    <w:rsid w:val="00600F5D"/>
    <w:pPr>
      <w:numPr>
        <w:numId w:val="6"/>
      </w:numPr>
      <w:ind w:left="851" w:hanging="851"/>
    </w:pPr>
    <w:rPr>
      <w:color w:val="000000" w:themeColor="text1"/>
    </w:rPr>
  </w:style>
  <w:style w:type="paragraph" w:customStyle="1" w:styleId="Box5XBoxHeading">
    <w:name w:val="Box 5.X: Box Heading"/>
    <w:basedOn w:val="Box1XBoxHeading"/>
    <w:next w:val="Normal"/>
    <w:semiHidden/>
    <w:qFormat/>
    <w:locked/>
    <w:rsid w:val="00600F5D"/>
    <w:pPr>
      <w:numPr>
        <w:numId w:val="17"/>
      </w:numPr>
      <w:ind w:left="1134" w:hanging="1134"/>
    </w:pPr>
  </w:style>
  <w:style w:type="paragraph" w:customStyle="1" w:styleId="Chart5X">
    <w:name w:val="Chart 5.X"/>
    <w:basedOn w:val="Chart1X"/>
    <w:next w:val="Normal"/>
    <w:semiHidden/>
    <w:locked/>
    <w:rsid w:val="00FA6338"/>
    <w:pPr>
      <w:numPr>
        <w:numId w:val="30"/>
      </w:numPr>
      <w:ind w:left="1418" w:hanging="1418"/>
    </w:pPr>
  </w:style>
  <w:style w:type="paragraph" w:customStyle="1" w:styleId="Table5X">
    <w:name w:val="Table 5.X"/>
    <w:basedOn w:val="Table1X"/>
    <w:next w:val="Normal"/>
    <w:semiHidden/>
    <w:locked/>
    <w:rsid w:val="0086714A"/>
    <w:pPr>
      <w:widowControl w:val="0"/>
      <w:numPr>
        <w:numId w:val="75"/>
      </w:numPr>
      <w:ind w:left="1418" w:hanging="1418"/>
    </w:pPr>
    <w:rPr>
      <w:bCs w:val="0"/>
    </w:rPr>
  </w:style>
  <w:style w:type="paragraph" w:customStyle="1" w:styleId="Chart6X">
    <w:name w:val="Chart 6.X"/>
    <w:basedOn w:val="Chart1X"/>
    <w:next w:val="Normal"/>
    <w:semiHidden/>
    <w:qFormat/>
    <w:locked/>
    <w:rsid w:val="00FA6338"/>
    <w:pPr>
      <w:numPr>
        <w:numId w:val="31"/>
      </w:numPr>
      <w:ind w:left="1418" w:hanging="1418"/>
    </w:pPr>
  </w:style>
  <w:style w:type="paragraph" w:customStyle="1" w:styleId="Table6X">
    <w:name w:val="Table 6.X"/>
    <w:basedOn w:val="Table1X"/>
    <w:next w:val="Normal"/>
    <w:semiHidden/>
    <w:qFormat/>
    <w:locked/>
    <w:rsid w:val="0086714A"/>
    <w:pPr>
      <w:widowControl w:val="0"/>
      <w:numPr>
        <w:numId w:val="76"/>
      </w:numPr>
      <w:ind w:left="1418" w:hanging="1418"/>
    </w:pPr>
    <w:rPr>
      <w:bCs w:val="0"/>
    </w:rPr>
  </w:style>
  <w:style w:type="paragraph" w:customStyle="1" w:styleId="71Heading2">
    <w:name w:val="7.1 Heading 2"/>
    <w:basedOn w:val="11Heading2"/>
    <w:next w:val="BodyText"/>
    <w:semiHidden/>
    <w:qFormat/>
    <w:locked/>
    <w:rsid w:val="00600F5D"/>
    <w:pPr>
      <w:numPr>
        <w:numId w:val="8"/>
      </w:numPr>
      <w:ind w:left="851" w:hanging="851"/>
    </w:pPr>
    <w:rPr>
      <w:color w:val="000000" w:themeColor="text1"/>
    </w:rPr>
  </w:style>
  <w:style w:type="paragraph" w:customStyle="1" w:styleId="81Heading2">
    <w:name w:val="8.1 Heading 2"/>
    <w:basedOn w:val="11Heading2"/>
    <w:next w:val="BodyText"/>
    <w:semiHidden/>
    <w:qFormat/>
    <w:locked/>
    <w:rsid w:val="00600F5D"/>
    <w:pPr>
      <w:numPr>
        <w:numId w:val="9"/>
      </w:numPr>
      <w:ind w:left="851" w:hanging="851"/>
    </w:pPr>
    <w:rPr>
      <w:color w:val="000000" w:themeColor="text1"/>
    </w:rPr>
  </w:style>
  <w:style w:type="paragraph" w:customStyle="1" w:styleId="Chart7X">
    <w:name w:val="Chart 7.X"/>
    <w:basedOn w:val="Chart1X"/>
    <w:next w:val="Normal"/>
    <w:semiHidden/>
    <w:qFormat/>
    <w:locked/>
    <w:rsid w:val="00FA6338"/>
    <w:pPr>
      <w:numPr>
        <w:numId w:val="32"/>
      </w:numPr>
      <w:ind w:left="1418" w:hanging="1418"/>
    </w:pPr>
  </w:style>
  <w:style w:type="paragraph" w:customStyle="1" w:styleId="Box7XBoxHeading">
    <w:name w:val="Box 7.X: Box Heading"/>
    <w:basedOn w:val="Box1XBoxHeading"/>
    <w:next w:val="Normal"/>
    <w:semiHidden/>
    <w:qFormat/>
    <w:locked/>
    <w:rsid w:val="00600F5D"/>
    <w:pPr>
      <w:numPr>
        <w:numId w:val="20"/>
      </w:numPr>
      <w:ind w:left="1134" w:hanging="1134"/>
    </w:pPr>
  </w:style>
  <w:style w:type="paragraph" w:customStyle="1" w:styleId="Table7X">
    <w:name w:val="Table 7.X"/>
    <w:basedOn w:val="Table1X"/>
    <w:next w:val="Normal"/>
    <w:semiHidden/>
    <w:qFormat/>
    <w:locked/>
    <w:rsid w:val="0086714A"/>
    <w:pPr>
      <w:numPr>
        <w:numId w:val="77"/>
      </w:numPr>
      <w:ind w:left="1418" w:hanging="1418"/>
    </w:pPr>
  </w:style>
  <w:style w:type="paragraph" w:customStyle="1" w:styleId="ChartEX">
    <w:name w:val="Chart E.X"/>
    <w:basedOn w:val="ChartA1X"/>
    <w:next w:val="Normal"/>
    <w:semiHidden/>
    <w:qFormat/>
    <w:locked/>
    <w:rsid w:val="00FA6338"/>
    <w:pPr>
      <w:numPr>
        <w:numId w:val="41"/>
      </w:numPr>
      <w:ind w:left="1418" w:hanging="1418"/>
    </w:pPr>
  </w:style>
  <w:style w:type="paragraph" w:customStyle="1" w:styleId="ChartA2X">
    <w:name w:val="Chart A2.X"/>
    <w:basedOn w:val="ChartA1X"/>
    <w:next w:val="Normal"/>
    <w:semiHidden/>
    <w:qFormat/>
    <w:locked/>
    <w:rsid w:val="00FA6338"/>
    <w:pPr>
      <w:numPr>
        <w:numId w:val="34"/>
      </w:numPr>
    </w:pPr>
  </w:style>
  <w:style w:type="paragraph" w:customStyle="1" w:styleId="A22Heading2">
    <w:name w:val="A2.2 Heading 2"/>
    <w:basedOn w:val="11Heading2"/>
    <w:next w:val="BodyText"/>
    <w:semiHidden/>
    <w:qFormat/>
    <w:locked/>
    <w:rsid w:val="00600F5D"/>
    <w:pPr>
      <w:numPr>
        <w:numId w:val="10"/>
      </w:numPr>
      <w:ind w:left="851" w:hanging="851"/>
    </w:pPr>
    <w:rPr>
      <w:color w:val="000000" w:themeColor="text1"/>
    </w:rPr>
  </w:style>
  <w:style w:type="paragraph" w:customStyle="1" w:styleId="TableA2X">
    <w:name w:val="Table A2.X"/>
    <w:basedOn w:val="TableA1X"/>
    <w:next w:val="Normal"/>
    <w:semiHidden/>
    <w:locked/>
    <w:rsid w:val="0086714A"/>
    <w:pPr>
      <w:keepNext/>
      <w:keepLines/>
      <w:widowControl w:val="0"/>
      <w:numPr>
        <w:numId w:val="80"/>
      </w:numPr>
      <w:autoSpaceDE w:val="0"/>
      <w:autoSpaceDN w:val="0"/>
    </w:pPr>
    <w:rPr>
      <w:rFonts w:cs="Arial"/>
      <w:lang w:eastAsia="en-AU"/>
    </w:rPr>
  </w:style>
  <w:style w:type="paragraph" w:customStyle="1" w:styleId="TableA3X">
    <w:name w:val="Table A3.X"/>
    <w:basedOn w:val="TableA1X"/>
    <w:next w:val="Normal"/>
    <w:semiHidden/>
    <w:qFormat/>
    <w:locked/>
    <w:rsid w:val="0086714A"/>
    <w:pPr>
      <w:widowControl w:val="0"/>
      <w:numPr>
        <w:numId w:val="81"/>
      </w:numPr>
      <w:ind w:left="1418" w:hanging="1418"/>
    </w:pPr>
    <w:rPr>
      <w:bCs w:val="0"/>
    </w:rPr>
  </w:style>
  <w:style w:type="paragraph" w:customStyle="1" w:styleId="A11Heading2">
    <w:name w:val="A1.1 Heading 2"/>
    <w:basedOn w:val="11Heading2"/>
    <w:next w:val="BodyText"/>
    <w:semiHidden/>
    <w:qFormat/>
    <w:locked/>
    <w:rsid w:val="00600F5D"/>
    <w:pPr>
      <w:numPr>
        <w:numId w:val="88"/>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3"/>
      </w:numPr>
      <w:ind w:left="851" w:hanging="851"/>
    </w:pPr>
    <w:rPr>
      <w:rFonts w:eastAsia="Tahoma" w:cs="Tahoma"/>
      <w:color w:val="000000" w:themeColor="text1"/>
    </w:rPr>
  </w:style>
  <w:style w:type="paragraph" w:customStyle="1" w:styleId="ChartA1X">
    <w:name w:val="Chart A1.X"/>
    <w:basedOn w:val="Chart1X"/>
    <w:next w:val="Normal"/>
    <w:semiHidden/>
    <w:qFormat/>
    <w:locked/>
    <w:rsid w:val="00FA6338"/>
    <w:pPr>
      <w:numPr>
        <w:numId w:val="33"/>
      </w:numPr>
      <w:ind w:left="1418" w:hanging="1418"/>
    </w:pPr>
    <w:rPr>
      <w:rFonts w:eastAsia="Tahoma" w:cs="Tahoma"/>
    </w:rPr>
  </w:style>
  <w:style w:type="paragraph" w:customStyle="1" w:styleId="ChartBX">
    <w:name w:val="Chart B.X"/>
    <w:basedOn w:val="ChartA1X"/>
    <w:next w:val="Normal"/>
    <w:semiHidden/>
    <w:qFormat/>
    <w:locked/>
    <w:rsid w:val="00FA6338"/>
    <w:pPr>
      <w:numPr>
        <w:numId w:val="38"/>
      </w:numPr>
      <w:ind w:left="1418" w:hanging="1418"/>
    </w:pPr>
  </w:style>
  <w:style w:type="paragraph" w:customStyle="1" w:styleId="ChartCX">
    <w:name w:val="Chart C.X"/>
    <w:basedOn w:val="ChartA1X"/>
    <w:next w:val="Normal"/>
    <w:semiHidden/>
    <w:qFormat/>
    <w:locked/>
    <w:rsid w:val="00FA6338"/>
    <w:pPr>
      <w:numPr>
        <w:numId w:val="39"/>
      </w:numPr>
      <w:ind w:left="1418" w:hanging="1418"/>
    </w:pPr>
  </w:style>
  <w:style w:type="paragraph" w:customStyle="1" w:styleId="ChartDX">
    <w:name w:val="Chart D.X"/>
    <w:basedOn w:val="ChartA1X"/>
    <w:next w:val="Normal"/>
    <w:semiHidden/>
    <w:qFormat/>
    <w:locked/>
    <w:rsid w:val="00FA6338"/>
    <w:pPr>
      <w:numPr>
        <w:numId w:val="40"/>
      </w:numPr>
      <w:ind w:left="1418" w:hanging="1418"/>
    </w:pPr>
  </w:style>
  <w:style w:type="paragraph" w:customStyle="1" w:styleId="TableA1X">
    <w:name w:val="Table A1.X"/>
    <w:basedOn w:val="Table1X"/>
    <w:next w:val="Normal"/>
    <w:semiHidden/>
    <w:qFormat/>
    <w:locked/>
    <w:rsid w:val="0086714A"/>
    <w:pPr>
      <w:numPr>
        <w:numId w:val="79"/>
      </w:numPr>
      <w:ind w:left="1418" w:hanging="1418"/>
    </w:pPr>
    <w:rPr>
      <w:rFonts w:eastAsia="Tahoma" w:cs="Tahoma"/>
    </w:rPr>
  </w:style>
  <w:style w:type="paragraph" w:customStyle="1" w:styleId="TableBX">
    <w:name w:val="Table B.X"/>
    <w:basedOn w:val="TableA1X"/>
    <w:next w:val="Normal"/>
    <w:semiHidden/>
    <w:qFormat/>
    <w:locked/>
    <w:rsid w:val="0086714A"/>
    <w:pPr>
      <w:numPr>
        <w:numId w:val="82"/>
      </w:numPr>
      <w:ind w:left="1418" w:hanging="1418"/>
    </w:pPr>
  </w:style>
  <w:style w:type="paragraph" w:customStyle="1" w:styleId="TableCX">
    <w:name w:val="Table C.X"/>
    <w:basedOn w:val="TableA1X"/>
    <w:next w:val="Normal"/>
    <w:semiHidden/>
    <w:qFormat/>
    <w:locked/>
    <w:rsid w:val="0086714A"/>
    <w:pPr>
      <w:numPr>
        <w:numId w:val="83"/>
      </w:numPr>
      <w:ind w:left="1418" w:hanging="1418"/>
    </w:pPr>
  </w:style>
  <w:style w:type="paragraph" w:customStyle="1" w:styleId="TableDX">
    <w:name w:val="Table D.X"/>
    <w:basedOn w:val="TableA1X"/>
    <w:next w:val="Normal"/>
    <w:semiHidden/>
    <w:qFormat/>
    <w:locked/>
    <w:rsid w:val="00B61FAF"/>
    <w:pPr>
      <w:numPr>
        <w:numId w:val="84"/>
      </w:numPr>
      <w:ind w:left="1418" w:hanging="1418"/>
    </w:pPr>
  </w:style>
  <w:style w:type="paragraph" w:customStyle="1" w:styleId="ChartA3X">
    <w:name w:val="Chart A3.X"/>
    <w:basedOn w:val="ChartA1X"/>
    <w:next w:val="Normal"/>
    <w:semiHidden/>
    <w:qFormat/>
    <w:locked/>
    <w:rsid w:val="00FA6338"/>
    <w:pPr>
      <w:numPr>
        <w:numId w:val="35"/>
      </w:numPr>
      <w:ind w:left="1418" w:hanging="1418"/>
    </w:pPr>
  </w:style>
  <w:style w:type="paragraph" w:customStyle="1" w:styleId="ChartFX">
    <w:name w:val="Chart F.X"/>
    <w:basedOn w:val="ChartA1X"/>
    <w:next w:val="Normal"/>
    <w:semiHidden/>
    <w:locked/>
    <w:rsid w:val="00FA6338"/>
    <w:pPr>
      <w:numPr>
        <w:numId w:val="42"/>
      </w:numPr>
      <w:ind w:left="1418" w:hanging="1418"/>
    </w:pPr>
  </w:style>
  <w:style w:type="paragraph" w:customStyle="1" w:styleId="61Heading2">
    <w:name w:val="6.1 Heading 2"/>
    <w:basedOn w:val="11Heading2"/>
    <w:next w:val="BodyText"/>
    <w:semiHidden/>
    <w:qFormat/>
    <w:locked/>
    <w:rsid w:val="00600F5D"/>
    <w:pPr>
      <w:numPr>
        <w:numId w:val="7"/>
      </w:numPr>
      <w:ind w:left="851" w:hanging="851"/>
    </w:pPr>
    <w:rPr>
      <w:color w:val="000000" w:themeColor="text1"/>
    </w:rPr>
  </w:style>
  <w:style w:type="paragraph" w:customStyle="1" w:styleId="A31Heading2">
    <w:name w:val="A3.1 Heading 2"/>
    <w:basedOn w:val="11Heading2"/>
    <w:semiHidden/>
    <w:qFormat/>
    <w:locked/>
    <w:rsid w:val="00600F5D"/>
    <w:pPr>
      <w:numPr>
        <w:numId w:val="11"/>
      </w:numPr>
      <w:ind w:left="851" w:hanging="851"/>
    </w:pPr>
    <w:rPr>
      <w:color w:val="000000" w:themeColor="text1"/>
    </w:rPr>
  </w:style>
  <w:style w:type="paragraph" w:customStyle="1" w:styleId="A41Heading2">
    <w:name w:val="A4.1 Heading 2"/>
    <w:basedOn w:val="11Heading2"/>
    <w:next w:val="BodyText"/>
    <w:semiHidden/>
    <w:qFormat/>
    <w:locked/>
    <w:rsid w:val="00600F5D"/>
    <w:pPr>
      <w:numPr>
        <w:numId w:val="12"/>
      </w:numPr>
      <w:ind w:left="851" w:hanging="851"/>
    </w:pPr>
    <w:rPr>
      <w:color w:val="000000" w:themeColor="text1"/>
    </w:rPr>
  </w:style>
  <w:style w:type="paragraph" w:customStyle="1" w:styleId="C1Heading2">
    <w:name w:val="C.1 Heading 2"/>
    <w:basedOn w:val="11Heading2"/>
    <w:next w:val="BodyText"/>
    <w:semiHidden/>
    <w:qFormat/>
    <w:locked/>
    <w:rsid w:val="00FA6338"/>
    <w:pPr>
      <w:numPr>
        <w:numId w:val="26"/>
      </w:numPr>
      <w:ind w:left="851" w:hanging="851"/>
    </w:pPr>
    <w:rPr>
      <w:color w:val="000000" w:themeColor="text1"/>
    </w:rPr>
  </w:style>
  <w:style w:type="paragraph" w:customStyle="1" w:styleId="D1Heading2">
    <w:name w:val="D.1 Heading 2"/>
    <w:basedOn w:val="11Heading2"/>
    <w:next w:val="BodyText"/>
    <w:semiHidden/>
    <w:qFormat/>
    <w:locked/>
    <w:rsid w:val="00B53B6D"/>
    <w:pPr>
      <w:numPr>
        <w:numId w:val="43"/>
      </w:numPr>
      <w:ind w:left="851" w:hanging="851"/>
    </w:pPr>
  </w:style>
  <w:style w:type="paragraph" w:customStyle="1" w:styleId="E1Heading2">
    <w:name w:val="E.1 Heading 2"/>
    <w:basedOn w:val="11Heading2"/>
    <w:next w:val="BodyText"/>
    <w:semiHidden/>
    <w:qFormat/>
    <w:locked/>
    <w:rsid w:val="00B53B6D"/>
    <w:pPr>
      <w:numPr>
        <w:numId w:val="44"/>
      </w:numPr>
      <w:ind w:left="851" w:hanging="851"/>
    </w:pPr>
  </w:style>
  <w:style w:type="paragraph" w:customStyle="1" w:styleId="F1Heading2">
    <w:name w:val="F.1 Heading 2"/>
    <w:basedOn w:val="11Heading2"/>
    <w:semiHidden/>
    <w:qFormat/>
    <w:locked/>
    <w:rsid w:val="00B53B6D"/>
    <w:pPr>
      <w:numPr>
        <w:numId w:val="45"/>
      </w:numPr>
      <w:ind w:left="851" w:hanging="851"/>
    </w:pPr>
  </w:style>
  <w:style w:type="paragraph" w:customStyle="1" w:styleId="Table8X">
    <w:name w:val="Table 8.X"/>
    <w:basedOn w:val="Table1X"/>
    <w:next w:val="Normal"/>
    <w:qFormat/>
    <w:locked/>
    <w:rsid w:val="0086714A"/>
    <w:pPr>
      <w:numPr>
        <w:numId w:val="78"/>
      </w:numPr>
      <w:ind w:left="1418" w:hanging="1418"/>
    </w:pPr>
  </w:style>
  <w:style w:type="paragraph" w:customStyle="1" w:styleId="ChartA4X">
    <w:name w:val="Chart A4.X"/>
    <w:basedOn w:val="ChartA1X"/>
    <w:next w:val="Normal"/>
    <w:semiHidden/>
    <w:qFormat/>
    <w:locked/>
    <w:rsid w:val="00FA6338"/>
    <w:pPr>
      <w:numPr>
        <w:numId w:val="36"/>
      </w:numPr>
      <w:ind w:left="1418" w:hanging="1418"/>
    </w:pPr>
  </w:style>
  <w:style w:type="paragraph" w:customStyle="1" w:styleId="ChartA5X">
    <w:name w:val="Chart A5.X"/>
    <w:basedOn w:val="ChartA1X"/>
    <w:next w:val="Normal"/>
    <w:semiHidden/>
    <w:qFormat/>
    <w:locked/>
    <w:rsid w:val="00FA6338"/>
    <w:pPr>
      <w:numPr>
        <w:numId w:val="37"/>
      </w:numPr>
      <w:ind w:left="1418" w:hanging="1418"/>
    </w:pPr>
  </w:style>
  <w:style w:type="paragraph" w:customStyle="1" w:styleId="Box8XBoxHeading">
    <w:name w:val="Box 8.X: Box Heading"/>
    <w:basedOn w:val="Box1XBoxHeading"/>
    <w:next w:val="Normal"/>
    <w:qFormat/>
    <w:locked/>
    <w:rsid w:val="00600F5D"/>
    <w:pPr>
      <w:numPr>
        <w:numId w:val="21"/>
      </w:numPr>
      <w:tabs>
        <w:tab w:val="num" w:pos="785"/>
      </w:tabs>
      <w:ind w:left="1134" w:hanging="1134"/>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25730F"/>
    <w:pPr>
      <w:widowControl w:val="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2"/>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semiHidden/>
    <w:qFormat/>
    <w:rsid w:val="00597E5A"/>
    <w:pPr>
      <w:numPr>
        <w:numId w:val="46"/>
      </w:numPr>
      <w:ind w:left="1418" w:hanging="1418"/>
    </w:pPr>
  </w:style>
  <w:style w:type="paragraph" w:customStyle="1" w:styleId="Figure2X">
    <w:name w:val="Figure 2.X"/>
    <w:basedOn w:val="Figure1X"/>
    <w:next w:val="Normal"/>
    <w:semiHidden/>
    <w:qFormat/>
    <w:rsid w:val="00597E5A"/>
    <w:pPr>
      <w:numPr>
        <w:numId w:val="47"/>
      </w:numPr>
      <w:ind w:left="1418" w:hanging="1418"/>
    </w:pPr>
  </w:style>
  <w:style w:type="paragraph" w:customStyle="1" w:styleId="Figure3X">
    <w:name w:val="Figure 3.X"/>
    <w:basedOn w:val="Figure1X"/>
    <w:next w:val="Normal"/>
    <w:semiHidden/>
    <w:qFormat/>
    <w:rsid w:val="00597E5A"/>
    <w:pPr>
      <w:numPr>
        <w:numId w:val="48"/>
      </w:numPr>
      <w:ind w:left="1418" w:hanging="1418"/>
    </w:pPr>
  </w:style>
  <w:style w:type="paragraph" w:customStyle="1" w:styleId="Figure4X">
    <w:name w:val="Figure 4.X"/>
    <w:basedOn w:val="Figure1X"/>
    <w:next w:val="Normal"/>
    <w:qFormat/>
    <w:rsid w:val="00597E5A"/>
    <w:pPr>
      <w:numPr>
        <w:numId w:val="49"/>
      </w:numPr>
      <w:ind w:left="1418" w:hanging="1418"/>
    </w:pPr>
  </w:style>
  <w:style w:type="paragraph" w:customStyle="1" w:styleId="Figure5X">
    <w:name w:val="Figure 5.X"/>
    <w:basedOn w:val="Figure1X"/>
    <w:next w:val="Normal"/>
    <w:semiHidden/>
    <w:qFormat/>
    <w:rsid w:val="00597E5A"/>
    <w:pPr>
      <w:numPr>
        <w:numId w:val="50"/>
      </w:numPr>
      <w:ind w:left="1418" w:hanging="1418"/>
    </w:pPr>
  </w:style>
  <w:style w:type="paragraph" w:customStyle="1" w:styleId="Figure6X">
    <w:name w:val="Figure 6.X"/>
    <w:basedOn w:val="Figure1X"/>
    <w:next w:val="Normal"/>
    <w:semiHidden/>
    <w:qFormat/>
    <w:rsid w:val="00597E5A"/>
    <w:pPr>
      <w:numPr>
        <w:numId w:val="51"/>
      </w:numPr>
      <w:ind w:left="1418" w:hanging="1418"/>
    </w:pPr>
  </w:style>
  <w:style w:type="paragraph" w:customStyle="1" w:styleId="Figure7X">
    <w:name w:val="Figure 7.X"/>
    <w:basedOn w:val="Figure1X"/>
    <w:next w:val="Normal"/>
    <w:semiHidden/>
    <w:qFormat/>
    <w:rsid w:val="00597E5A"/>
    <w:pPr>
      <w:numPr>
        <w:numId w:val="52"/>
      </w:numPr>
      <w:ind w:left="1418" w:hanging="1418"/>
    </w:pPr>
  </w:style>
  <w:style w:type="paragraph" w:customStyle="1" w:styleId="Figure8X">
    <w:name w:val="Figure 8.X"/>
    <w:basedOn w:val="Figure7X"/>
    <w:next w:val="Normal"/>
    <w:semiHidden/>
    <w:qFormat/>
    <w:rsid w:val="00597E5A"/>
    <w:pPr>
      <w:numPr>
        <w:numId w:val="53"/>
      </w:numPr>
      <w:ind w:left="1418" w:hanging="1418"/>
    </w:pPr>
  </w:style>
  <w:style w:type="paragraph" w:customStyle="1" w:styleId="FigureA1X">
    <w:name w:val="Figure A1.X"/>
    <w:basedOn w:val="Figure1X"/>
    <w:next w:val="Normal"/>
    <w:semiHidden/>
    <w:qFormat/>
    <w:rsid w:val="00597E5A"/>
    <w:pPr>
      <w:numPr>
        <w:numId w:val="54"/>
      </w:numPr>
      <w:ind w:left="1418" w:hanging="1418"/>
    </w:pPr>
  </w:style>
  <w:style w:type="paragraph" w:customStyle="1" w:styleId="FigureA2X">
    <w:name w:val="Figure A2.X"/>
    <w:basedOn w:val="Figure1X"/>
    <w:next w:val="Normal"/>
    <w:semiHidden/>
    <w:qFormat/>
    <w:rsid w:val="00597E5A"/>
    <w:pPr>
      <w:numPr>
        <w:numId w:val="55"/>
      </w:numPr>
      <w:ind w:left="1418" w:hanging="1418"/>
    </w:pPr>
  </w:style>
  <w:style w:type="paragraph" w:customStyle="1" w:styleId="FigureA3X">
    <w:name w:val="Figure A3.X"/>
    <w:basedOn w:val="Figure1X"/>
    <w:next w:val="Normal"/>
    <w:semiHidden/>
    <w:qFormat/>
    <w:rsid w:val="00597E5A"/>
    <w:pPr>
      <w:numPr>
        <w:numId w:val="56"/>
      </w:numPr>
      <w:ind w:left="1418" w:hanging="1418"/>
    </w:pPr>
  </w:style>
  <w:style w:type="paragraph" w:customStyle="1" w:styleId="FigureA4X">
    <w:name w:val="Figure A4.X"/>
    <w:basedOn w:val="Figure1X"/>
    <w:next w:val="Normal"/>
    <w:semiHidden/>
    <w:qFormat/>
    <w:rsid w:val="00597E5A"/>
    <w:pPr>
      <w:numPr>
        <w:numId w:val="57"/>
      </w:numPr>
      <w:ind w:left="1418" w:hanging="1418"/>
    </w:pPr>
  </w:style>
  <w:style w:type="paragraph" w:customStyle="1" w:styleId="FigureA5X">
    <w:name w:val="Figure A5.X"/>
    <w:basedOn w:val="Figure1X"/>
    <w:next w:val="Normal"/>
    <w:semiHidden/>
    <w:qFormat/>
    <w:rsid w:val="0086714A"/>
    <w:pPr>
      <w:numPr>
        <w:numId w:val="58"/>
      </w:numPr>
      <w:ind w:left="1418" w:hanging="1418"/>
    </w:pPr>
  </w:style>
  <w:style w:type="paragraph" w:customStyle="1" w:styleId="FigureBX">
    <w:name w:val="Figure B.X"/>
    <w:basedOn w:val="Figure1X"/>
    <w:semiHidden/>
    <w:qFormat/>
    <w:rsid w:val="0086714A"/>
    <w:pPr>
      <w:numPr>
        <w:numId w:val="59"/>
      </w:numPr>
      <w:ind w:left="1418" w:hanging="1418"/>
    </w:pPr>
  </w:style>
  <w:style w:type="paragraph" w:customStyle="1" w:styleId="FigureCX">
    <w:name w:val="Figure C.X"/>
    <w:basedOn w:val="Figure1X"/>
    <w:next w:val="Normal"/>
    <w:semiHidden/>
    <w:qFormat/>
    <w:rsid w:val="0086714A"/>
    <w:pPr>
      <w:numPr>
        <w:numId w:val="60"/>
      </w:numPr>
      <w:ind w:left="1418" w:hanging="1418"/>
    </w:pPr>
  </w:style>
  <w:style w:type="paragraph" w:customStyle="1" w:styleId="FigureDX">
    <w:name w:val="Figure D.X"/>
    <w:basedOn w:val="Figure1X"/>
    <w:next w:val="Normal"/>
    <w:semiHidden/>
    <w:qFormat/>
    <w:rsid w:val="0086714A"/>
    <w:pPr>
      <w:numPr>
        <w:numId w:val="61"/>
      </w:numPr>
      <w:ind w:left="1418" w:hanging="1418"/>
    </w:pPr>
  </w:style>
  <w:style w:type="paragraph" w:customStyle="1" w:styleId="FigureEX">
    <w:name w:val="Figure E.X"/>
    <w:basedOn w:val="Figure1X"/>
    <w:next w:val="Normal"/>
    <w:semiHidden/>
    <w:qFormat/>
    <w:rsid w:val="0086714A"/>
    <w:pPr>
      <w:numPr>
        <w:numId w:val="62"/>
      </w:numPr>
      <w:tabs>
        <w:tab w:val="num" w:pos="3657"/>
      </w:tabs>
      <w:ind w:left="1418" w:hanging="1418"/>
    </w:pPr>
  </w:style>
  <w:style w:type="paragraph" w:customStyle="1" w:styleId="FigureFX">
    <w:name w:val="Figure F.X"/>
    <w:basedOn w:val="Figure1X"/>
    <w:next w:val="Normal"/>
    <w:semiHidden/>
    <w:qFormat/>
    <w:rsid w:val="0086714A"/>
    <w:pPr>
      <w:numPr>
        <w:numId w:val="63"/>
      </w:numPr>
      <w:ind w:left="1418" w:hanging="1418"/>
    </w:pPr>
  </w:style>
  <w:style w:type="paragraph" w:customStyle="1" w:styleId="Bullet3">
    <w:name w:val="Bullet 3"/>
    <w:basedOn w:val="Bullet2"/>
    <w:next w:val="BodyText"/>
    <w:qFormat/>
    <w:rsid w:val="00FA6338"/>
    <w:pPr>
      <w:numPr>
        <w:numId w:val="24"/>
      </w:numPr>
      <w:tabs>
        <w:tab w:val="clear" w:pos="851"/>
        <w:tab w:val="clear" w:pos="8647"/>
      </w:tabs>
      <w:ind w:left="851" w:hanging="284"/>
    </w:pPr>
  </w:style>
  <w:style w:type="paragraph" w:customStyle="1" w:styleId="TableEX">
    <w:name w:val="Table E.X"/>
    <w:basedOn w:val="TableDX"/>
    <w:next w:val="BodyText"/>
    <w:semiHidden/>
    <w:qFormat/>
    <w:rsid w:val="00B61352"/>
    <w:pPr>
      <w:numPr>
        <w:numId w:val="85"/>
      </w:numPr>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EA0E06"/>
    <w:rPr>
      <w:rFonts w:ascii="Public Sans" w:hAnsi="Public Sans" w:cs="Arial"/>
      <w:iCs/>
      <w:color w:val="000000" w:themeColor="text1"/>
      <w:sz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5"/>
      </w:numPr>
      <w:tabs>
        <w:tab w:val="clear" w:pos="1701"/>
      </w:tabs>
      <w:ind w:left="360" w:hanging="360"/>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B3090B"/>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0B3F47"/>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65"/>
      </w:numPr>
      <w:pBdr>
        <w:top w:val="single" w:sz="4" w:space="8" w:color="002664" w:themeColor="accent1"/>
      </w:pBdr>
      <w:tabs>
        <w:tab w:val="num" w:pos="357"/>
      </w:tabs>
      <w:ind w:left="357" w:hanging="357"/>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66"/>
      </w:numPr>
      <w:tabs>
        <w:tab w:val="num" w:pos="714"/>
      </w:tabs>
      <w:suppressAutoHyphens/>
      <w:spacing w:before="120"/>
      <w:ind w:left="714" w:hanging="357"/>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67"/>
      </w:numPr>
      <w:tabs>
        <w:tab w:val="num" w:pos="1072"/>
      </w:tabs>
      <w:suppressAutoHyphens/>
      <w:spacing w:before="120"/>
      <w:ind w:left="1072" w:hanging="358"/>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68"/>
      </w:numPr>
      <w:suppressAutoHyphens/>
      <w:spacing w:before="120"/>
      <w:ind w:left="360" w:hanging="36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69"/>
      </w:numPr>
      <w:suppressAutoHyphens/>
      <w:spacing w:before="120"/>
      <w:ind w:left="360" w:hanging="36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0"/>
      </w:numPr>
      <w:suppressAutoHyphens/>
      <w:spacing w:before="120"/>
      <w:ind w:left="360" w:hanging="36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1"/>
      </w:numPr>
      <w:suppressAutoHyphens/>
      <w:spacing w:before="120"/>
      <w:ind w:left="360" w:hanging="360"/>
    </w:pPr>
    <w:rPr>
      <w:rFonts w:asciiTheme="minorHAnsi" w:eastAsia="Arial" w:hAnsiTheme="minorHAnsi"/>
      <w:color w:val="000000" w:themeColor="text1"/>
      <w:sz w:val="22"/>
      <w:szCs w:val="24"/>
      <w:lang w:eastAsia="en-US"/>
    </w:rPr>
  </w:style>
  <w:style w:type="paragraph" w:styleId="ListParagraph">
    <w:name w:val="List Paragraph"/>
    <w:basedOn w:val="Normal"/>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table" w:customStyle="1" w:styleId="TableGrid1">
    <w:name w:val="Table Grid1"/>
    <w:basedOn w:val="TableNormal"/>
    <w:next w:val="TableGrid"/>
    <w:uiPriority w:val="39"/>
    <w:rsid w:val="007E0B68"/>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3A44"/>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1B21"/>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500A"/>
    <w:pPr>
      <w:spacing w:before="0" w:after="0"/>
      <w:ind w:left="0" w:firstLine="0"/>
    </w:pPr>
    <w:rPr>
      <w:lang w:val="en-US" w:eastAsia="en-US"/>
    </w:rPr>
  </w:style>
  <w:style w:type="character" w:styleId="Mention">
    <w:name w:val="Mention"/>
    <w:basedOn w:val="DefaultParagraphFont"/>
    <w:uiPriority w:val="99"/>
    <w:semiHidden/>
    <w:rsid w:val="004C2F98"/>
    <w:rPr>
      <w:color w:val="2B579A"/>
      <w:shd w:val="clear" w:color="auto" w:fill="E1DFDD"/>
    </w:rPr>
  </w:style>
  <w:style w:type="table" w:customStyle="1" w:styleId="TableGrid4">
    <w:name w:val="Table Grid4"/>
    <w:basedOn w:val="TableNormal"/>
    <w:next w:val="TableGrid"/>
    <w:uiPriority w:val="39"/>
    <w:rsid w:val="003230DF"/>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8X">
    <w:name w:val="Chart 8.X"/>
    <w:basedOn w:val="Chart7X"/>
    <w:qFormat/>
    <w:rsid w:val="00A804C3"/>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149">
      <w:bodyDiv w:val="1"/>
      <w:marLeft w:val="0"/>
      <w:marRight w:val="0"/>
      <w:marTop w:val="0"/>
      <w:marBottom w:val="0"/>
      <w:divBdr>
        <w:top w:val="none" w:sz="0" w:space="0" w:color="auto"/>
        <w:left w:val="none" w:sz="0" w:space="0" w:color="auto"/>
        <w:bottom w:val="none" w:sz="0" w:space="0" w:color="auto"/>
        <w:right w:val="none" w:sz="0" w:space="0" w:color="auto"/>
      </w:divBdr>
    </w:div>
    <w:div w:id="319426635">
      <w:bodyDiv w:val="1"/>
      <w:marLeft w:val="0"/>
      <w:marRight w:val="0"/>
      <w:marTop w:val="0"/>
      <w:marBottom w:val="0"/>
      <w:divBdr>
        <w:top w:val="none" w:sz="0" w:space="0" w:color="auto"/>
        <w:left w:val="none" w:sz="0" w:space="0" w:color="auto"/>
        <w:bottom w:val="none" w:sz="0" w:space="0" w:color="auto"/>
        <w:right w:val="none" w:sz="0" w:space="0" w:color="auto"/>
      </w:divBdr>
    </w:div>
    <w:div w:id="453210672">
      <w:bodyDiv w:val="1"/>
      <w:marLeft w:val="0"/>
      <w:marRight w:val="0"/>
      <w:marTop w:val="0"/>
      <w:marBottom w:val="0"/>
      <w:divBdr>
        <w:top w:val="none" w:sz="0" w:space="0" w:color="auto"/>
        <w:left w:val="none" w:sz="0" w:space="0" w:color="auto"/>
        <w:bottom w:val="none" w:sz="0" w:space="0" w:color="auto"/>
        <w:right w:val="none" w:sz="0" w:space="0" w:color="auto"/>
      </w:divBdr>
      <w:divsChild>
        <w:div w:id="537086244">
          <w:marLeft w:val="0"/>
          <w:marRight w:val="0"/>
          <w:marTop w:val="0"/>
          <w:marBottom w:val="0"/>
          <w:divBdr>
            <w:top w:val="none" w:sz="0" w:space="0" w:color="auto"/>
            <w:left w:val="none" w:sz="0" w:space="0" w:color="auto"/>
            <w:bottom w:val="none" w:sz="0" w:space="0" w:color="auto"/>
            <w:right w:val="none" w:sz="0" w:space="0" w:color="auto"/>
          </w:divBdr>
        </w:div>
      </w:divsChild>
    </w:div>
    <w:div w:id="1086657801">
      <w:bodyDiv w:val="1"/>
      <w:marLeft w:val="0"/>
      <w:marRight w:val="0"/>
      <w:marTop w:val="0"/>
      <w:marBottom w:val="0"/>
      <w:divBdr>
        <w:top w:val="none" w:sz="0" w:space="0" w:color="auto"/>
        <w:left w:val="none" w:sz="0" w:space="0" w:color="auto"/>
        <w:bottom w:val="none" w:sz="0" w:space="0" w:color="auto"/>
        <w:right w:val="none" w:sz="0" w:space="0" w:color="auto"/>
      </w:divBdr>
    </w:div>
    <w:div w:id="1131092877">
      <w:bodyDiv w:val="1"/>
      <w:marLeft w:val="0"/>
      <w:marRight w:val="0"/>
      <w:marTop w:val="0"/>
      <w:marBottom w:val="0"/>
      <w:divBdr>
        <w:top w:val="none" w:sz="0" w:space="0" w:color="auto"/>
        <w:left w:val="none" w:sz="0" w:space="0" w:color="auto"/>
        <w:bottom w:val="none" w:sz="0" w:space="0" w:color="auto"/>
        <w:right w:val="none" w:sz="0" w:space="0" w:color="auto"/>
      </w:divBdr>
    </w:div>
    <w:div w:id="1494879863">
      <w:bodyDiv w:val="1"/>
      <w:marLeft w:val="0"/>
      <w:marRight w:val="0"/>
      <w:marTop w:val="0"/>
      <w:marBottom w:val="0"/>
      <w:divBdr>
        <w:top w:val="none" w:sz="0" w:space="0" w:color="auto"/>
        <w:left w:val="none" w:sz="0" w:space="0" w:color="auto"/>
        <w:bottom w:val="none" w:sz="0" w:space="0" w:color="auto"/>
        <w:right w:val="none" w:sz="0" w:space="0" w:color="auto"/>
      </w:divBdr>
    </w:div>
    <w:div w:id="1784306972">
      <w:bodyDiv w:val="1"/>
      <w:marLeft w:val="0"/>
      <w:marRight w:val="0"/>
      <w:marTop w:val="0"/>
      <w:marBottom w:val="0"/>
      <w:divBdr>
        <w:top w:val="none" w:sz="0" w:space="0" w:color="auto"/>
        <w:left w:val="none" w:sz="0" w:space="0" w:color="auto"/>
        <w:bottom w:val="none" w:sz="0" w:space="0" w:color="auto"/>
        <w:right w:val="none" w:sz="0" w:space="0" w:color="auto"/>
      </w:divBdr>
    </w:div>
    <w:div w:id="1814323610">
      <w:bodyDiv w:val="1"/>
      <w:marLeft w:val="0"/>
      <w:marRight w:val="0"/>
      <w:marTop w:val="0"/>
      <w:marBottom w:val="0"/>
      <w:divBdr>
        <w:top w:val="none" w:sz="0" w:space="0" w:color="auto"/>
        <w:left w:val="none" w:sz="0" w:space="0" w:color="auto"/>
        <w:bottom w:val="none" w:sz="0" w:space="0" w:color="auto"/>
        <w:right w:val="none" w:sz="0" w:space="0" w:color="auto"/>
      </w:divBdr>
    </w:div>
    <w:div w:id="1942295976">
      <w:bodyDiv w:val="1"/>
      <w:marLeft w:val="0"/>
      <w:marRight w:val="0"/>
      <w:marTop w:val="0"/>
      <w:marBottom w:val="0"/>
      <w:divBdr>
        <w:top w:val="none" w:sz="0" w:space="0" w:color="auto"/>
        <w:left w:val="none" w:sz="0" w:space="0" w:color="auto"/>
        <w:bottom w:val="none" w:sz="0" w:space="0" w:color="auto"/>
        <w:right w:val="none" w:sz="0" w:space="0" w:color="auto"/>
      </w:divBdr>
    </w:div>
    <w:div w:id="20988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nswgov.sharepoint.com/sites/BudgetStatement/Shared%20Documents/Budget%20Statement/04.%20Ch%204%20-%20Fiscal%20Strategy%20and%20Outlook/Budget%20paper_fiscal%20outlook%20char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nswgov.sharepoint.com/sites/BudgetStatement/Shared%20Documents/Budget%20Statement/04.%20Ch%204%20-%20Fiscal%20Strategy%20and%20Outlook/Budget%20paper_fiscal%20outlook%20charts_.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https://nswgov.sharepoint.com/sites/BP3InfrastructureStatement/Shared%20Documents/General/2025-26%20Budget/Ch1%20-%20Investment%20Program/Copy%20of%20Capital%20Expenditure%20tables%20and%20charts%202024-25%20Budget%20952%20am%2011_06%20version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nswgov.sharepoint.com/sites/BudgetStatement/Shared%20Documents/Budget%20Statement/04.%20Ch%204%20-%20Fiscal%20Strategy%20and%20Outlook/Budget%20paper_fiscal%20outlook%20charts.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nswgov.sharepoint.com/sites/BP3InfrastructureStatement/Shared%20Documents/General/2025-26%20Budget/Ch1%20-%20Investment%20Program/Copy%20of%20Capital%20Expenditure%20tables%20and%20charts%202024-25%20Budget%20952%20am%2011_06%20version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Fiscaloutlook_Overview_Charts!$A$110</c:f>
              <c:strCache>
                <c:ptCount val="1"/>
                <c:pt idx="0">
                  <c:v>NSW</c:v>
                </c:pt>
              </c:strCache>
            </c:strRef>
          </c:tx>
          <c:spPr>
            <a:ln w="28575" cap="rnd">
              <a:solidFill>
                <a:schemeClr val="accent1"/>
              </a:solidFill>
              <a:round/>
            </a:ln>
            <a:effectLst/>
          </c:spPr>
          <c:marker>
            <c:symbol val="none"/>
          </c:marker>
          <c:cat>
            <c:strRef>
              <c:f>Fiscaloutlook_Overview_Charts!$E$109:$I$109</c:f>
              <c:strCache>
                <c:ptCount val="5"/>
                <c:pt idx="0">
                  <c:v>2020-21</c:v>
                </c:pt>
                <c:pt idx="1">
                  <c:v>2021-22</c:v>
                </c:pt>
                <c:pt idx="2">
                  <c:v>2022-23</c:v>
                </c:pt>
                <c:pt idx="3">
                  <c:v>2023-24</c:v>
                </c:pt>
                <c:pt idx="4">
                  <c:v>2024-25</c:v>
                </c:pt>
              </c:strCache>
            </c:strRef>
          </c:cat>
          <c:val>
            <c:numRef>
              <c:f>Fiscaloutlook_Overview_Charts!$E$110:$I$110</c:f>
              <c:numCache>
                <c:formatCode>0.0</c:formatCode>
                <c:ptCount val="5"/>
                <c:pt idx="0">
                  <c:v>6.9143537965892357</c:v>
                </c:pt>
                <c:pt idx="1">
                  <c:v>25.018363418424254</c:v>
                </c:pt>
                <c:pt idx="2">
                  <c:v>-1.9763897982436975</c:v>
                </c:pt>
                <c:pt idx="3">
                  <c:v>3.8140111347979406</c:v>
                </c:pt>
                <c:pt idx="4">
                  <c:v>2.3956567886832216</c:v>
                </c:pt>
              </c:numCache>
            </c:numRef>
          </c:val>
          <c:smooth val="0"/>
          <c:extLst>
            <c:ext xmlns:c16="http://schemas.microsoft.com/office/drawing/2014/chart" uri="{C3380CC4-5D6E-409C-BE32-E72D297353CC}">
              <c16:uniqueId val="{00000000-1534-40F7-AE7A-0F5CDB9FF6CA}"/>
            </c:ext>
          </c:extLst>
        </c:ser>
        <c:ser>
          <c:idx val="1"/>
          <c:order val="1"/>
          <c:tx>
            <c:strRef>
              <c:f>Fiscaloutlook_Overview_Charts!$A$119</c:f>
              <c:strCache>
                <c:ptCount val="1"/>
                <c:pt idx="0">
                  <c:v>Average of all other states</c:v>
                </c:pt>
              </c:strCache>
            </c:strRef>
          </c:tx>
          <c:spPr>
            <a:ln w="28575" cap="rnd">
              <a:solidFill>
                <a:schemeClr val="accent2"/>
              </a:solidFill>
              <a:round/>
            </a:ln>
            <a:effectLst/>
          </c:spPr>
          <c:marker>
            <c:symbol val="none"/>
          </c:marker>
          <c:cat>
            <c:strRef>
              <c:f>Fiscaloutlook_Overview_Charts!$E$109:$I$109</c:f>
              <c:strCache>
                <c:ptCount val="5"/>
                <c:pt idx="0">
                  <c:v>2020-21</c:v>
                </c:pt>
                <c:pt idx="1">
                  <c:v>2021-22</c:v>
                </c:pt>
                <c:pt idx="2">
                  <c:v>2022-23</c:v>
                </c:pt>
                <c:pt idx="3">
                  <c:v>2023-24</c:v>
                </c:pt>
                <c:pt idx="4">
                  <c:v>2024-25</c:v>
                </c:pt>
              </c:strCache>
            </c:strRef>
          </c:cat>
          <c:val>
            <c:numRef>
              <c:f>Fiscaloutlook_Overview_Charts!$E$119:$I$119</c:f>
              <c:numCache>
                <c:formatCode>0.0</c:formatCode>
                <c:ptCount val="5"/>
                <c:pt idx="0">
                  <c:v>7.781471405031799</c:v>
                </c:pt>
                <c:pt idx="1">
                  <c:v>9.4304598507665709</c:v>
                </c:pt>
                <c:pt idx="2">
                  <c:v>5.0177980674904266</c:v>
                </c:pt>
                <c:pt idx="3">
                  <c:v>10.164423719455822</c:v>
                </c:pt>
                <c:pt idx="4">
                  <c:v>6.7212235698804532</c:v>
                </c:pt>
              </c:numCache>
            </c:numRef>
          </c:val>
          <c:smooth val="0"/>
          <c:extLst>
            <c:ext xmlns:c16="http://schemas.microsoft.com/office/drawing/2014/chart" uri="{C3380CC4-5D6E-409C-BE32-E72D297353CC}">
              <c16:uniqueId val="{00000001-1534-40F7-AE7A-0F5CDB9FF6CA}"/>
            </c:ext>
          </c:extLst>
        </c:ser>
        <c:dLbls>
          <c:showLegendKey val="0"/>
          <c:showVal val="0"/>
          <c:showCatName val="0"/>
          <c:showSerName val="0"/>
          <c:showPercent val="0"/>
          <c:showBubbleSize val="0"/>
        </c:dLbls>
        <c:smooth val="0"/>
        <c:axId val="2065500496"/>
        <c:axId val="2065498096"/>
      </c:lineChart>
      <c:catAx>
        <c:axId val="20655004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065498096"/>
        <c:crosses val="autoZero"/>
        <c:auto val="1"/>
        <c:lblAlgn val="ctr"/>
        <c:lblOffset val="100"/>
        <c:noMultiLvlLbl val="0"/>
      </c:catAx>
      <c:valAx>
        <c:axId val="206549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Annual expense growth (per cent)</a:t>
                </a:r>
                <a:endParaRPr lang="en-AU"/>
              </a:p>
            </c:rich>
          </c:tx>
          <c:layout>
            <c:manualLayout>
              <c:xMode val="edge"/>
              <c:yMode val="edge"/>
              <c:x val="6.9300069300069298E-3"/>
              <c:y val="0.14274680695321426"/>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AU"/>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065500496"/>
        <c:crosses val="autoZero"/>
        <c:crossBetween val="between"/>
      </c:valAx>
      <c:spPr>
        <a:solidFill>
          <a:srgbClr val="FFFFFF">
            <a:lumMod val="95000"/>
          </a:srgbClr>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FFFFF">
        <a:lumMod val="95000"/>
      </a:srgbClr>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467642525076528E-2"/>
          <c:y val="5.3956679798769322E-2"/>
          <c:w val="0.90908293326079337"/>
          <c:h val="0.7733210230799763"/>
        </c:manualLayout>
      </c:layout>
      <c:barChart>
        <c:barDir val="col"/>
        <c:grouping val="clustered"/>
        <c:varyColors val="0"/>
        <c:ser>
          <c:idx val="0"/>
          <c:order val="0"/>
          <c:spPr>
            <a:solidFill>
              <a:schemeClr val="accent1"/>
            </a:solidFill>
            <a:ln>
              <a:noFill/>
            </a:ln>
            <a:effectLst/>
          </c:spPr>
          <c:invertIfNegative val="0"/>
          <c:cat>
            <c:strRef>
              <c:f>Fiscaloutlook_Overview_Charts!$AE$157:$AN$157</c:f>
              <c:strCache>
                <c:ptCount val="10"/>
                <c:pt idx="0">
                  <c:v>2019-20</c:v>
                </c:pt>
                <c:pt idx="1">
                  <c:v>2020-21</c:v>
                </c:pt>
                <c:pt idx="2">
                  <c:v>2021-22</c:v>
                </c:pt>
                <c:pt idx="3">
                  <c:v>2022-23</c:v>
                </c:pt>
                <c:pt idx="4">
                  <c:v>2023-24</c:v>
                </c:pt>
                <c:pt idx="5">
                  <c:v>2024-25 Forecast</c:v>
                </c:pt>
                <c:pt idx="6">
                  <c:v>2025-26 Budget</c:v>
                </c:pt>
                <c:pt idx="7">
                  <c:v>2026-27                 Forward Estimate</c:v>
                </c:pt>
                <c:pt idx="8">
                  <c:v>2027-28           Forward Estimate</c:v>
                </c:pt>
                <c:pt idx="9">
                  <c:v>2028-29                 Forward Estimate</c:v>
                </c:pt>
              </c:strCache>
            </c:strRef>
          </c:cat>
          <c:val>
            <c:numRef>
              <c:f>Fiscaloutlook_Overview_Charts!$AE$159:$AN$159</c:f>
              <c:numCache>
                <c:formatCode>_-* #,##0_-;\-* #,##0_-;_-* "-"??_-;_-@_-</c:formatCode>
                <c:ptCount val="10"/>
                <c:pt idx="0">
                  <c:v>10534917000</c:v>
                </c:pt>
                <c:pt idx="1">
                  <c:v>11734534000</c:v>
                </c:pt>
                <c:pt idx="2">
                  <c:v>13527613000</c:v>
                </c:pt>
                <c:pt idx="3">
                  <c:v>15490593000</c:v>
                </c:pt>
                <c:pt idx="4">
                  <c:v>17828762000</c:v>
                </c:pt>
                <c:pt idx="5">
                  <c:v>20625611000</c:v>
                </c:pt>
                <c:pt idx="6">
                  <c:v>21857798000</c:v>
                </c:pt>
                <c:pt idx="7">
                  <c:v>23182929000</c:v>
                </c:pt>
                <c:pt idx="8">
                  <c:v>24558160000</c:v>
                </c:pt>
                <c:pt idx="9">
                  <c:v>26056264000</c:v>
                </c:pt>
              </c:numCache>
            </c:numRef>
          </c:val>
          <c:extLst>
            <c:ext xmlns:c16="http://schemas.microsoft.com/office/drawing/2014/chart" uri="{C3380CC4-5D6E-409C-BE32-E72D297353CC}">
              <c16:uniqueId val="{00000000-1800-4517-BB4E-DBECE1811B6F}"/>
            </c:ext>
          </c:extLst>
        </c:ser>
        <c:dLbls>
          <c:showLegendKey val="0"/>
          <c:showVal val="0"/>
          <c:showCatName val="0"/>
          <c:showSerName val="0"/>
          <c:showPercent val="0"/>
          <c:showBubbleSize val="0"/>
        </c:dLbls>
        <c:gapWidth val="219"/>
        <c:overlap val="-27"/>
        <c:axId val="1214106544"/>
        <c:axId val="1214107024"/>
      </c:barChart>
      <c:catAx>
        <c:axId val="121410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214107024"/>
        <c:crosses val="autoZero"/>
        <c:auto val="1"/>
        <c:lblAlgn val="ctr"/>
        <c:lblOffset val="100"/>
        <c:noMultiLvlLbl val="0"/>
      </c:catAx>
      <c:valAx>
        <c:axId val="121410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214106544"/>
        <c:crosses val="autoZero"/>
        <c:crossBetween val="between"/>
        <c:dispUnits>
          <c:builtInUnit val="b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Fiscaloutlook_Overview_Charts!$O$28</c:f>
              <c:strCache>
                <c:ptCount val="1"/>
                <c:pt idx="0">
                  <c:v>Depreciation expenses ($ billion) - Left axis</c:v>
                </c:pt>
              </c:strCache>
            </c:strRef>
          </c:tx>
          <c:spPr>
            <a:solidFill>
              <a:schemeClr val="accent1"/>
            </a:solidFill>
            <a:ln w="22225">
              <a:noFill/>
            </a:ln>
            <a:effectLst/>
          </c:spPr>
          <c:invertIfNegative val="0"/>
          <c:cat>
            <c:strRef>
              <c:f>Fiscaloutlook_Overview_Charts!$P$27:$AC$27</c:f>
              <c:strCache>
                <c:ptCount val="14"/>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pt idx="12">
                  <c:v>2027-28</c:v>
                </c:pt>
                <c:pt idx="13">
                  <c:v>2028-29</c:v>
                </c:pt>
              </c:strCache>
            </c:strRef>
          </c:cat>
          <c:val>
            <c:numRef>
              <c:f>Fiscaloutlook_Overview_Charts!$P$28:$AC$28</c:f>
              <c:numCache>
                <c:formatCode>#,##0.0</c:formatCode>
                <c:ptCount val="14"/>
                <c:pt idx="0">
                  <c:v>4.4048817549499999</c:v>
                </c:pt>
                <c:pt idx="1">
                  <c:v>4.6136030000000003</c:v>
                </c:pt>
                <c:pt idx="2">
                  <c:v>4.8725929390245799</c:v>
                </c:pt>
                <c:pt idx="3">
                  <c:v>5.1923970176800003</c:v>
                </c:pt>
                <c:pt idx="4">
                  <c:v>6.3849215763262803</c:v>
                </c:pt>
                <c:pt idx="5">
                  <c:v>6.9299576556683107</c:v>
                </c:pt>
                <c:pt idx="6">
                  <c:v>7.1009827123099294</c:v>
                </c:pt>
                <c:pt idx="7">
                  <c:v>7.8841118870933995</c:v>
                </c:pt>
                <c:pt idx="8">
                  <c:v>8.6012948124412194</c:v>
                </c:pt>
                <c:pt idx="9">
                  <c:v>9.6577189900201077</c:v>
                </c:pt>
                <c:pt idx="10">
                  <c:v>10.111919394629998</c:v>
                </c:pt>
                <c:pt idx="11">
                  <c:v>10.469998216450001</c:v>
                </c:pt>
                <c:pt idx="12">
                  <c:v>11.039373322779999</c:v>
                </c:pt>
                <c:pt idx="13">
                  <c:v>11.682387684909999</c:v>
                </c:pt>
              </c:numCache>
            </c:numRef>
          </c:val>
          <c:extLst>
            <c:ext xmlns:c16="http://schemas.microsoft.com/office/drawing/2014/chart" uri="{C3380CC4-5D6E-409C-BE32-E72D297353CC}">
              <c16:uniqueId val="{00000000-B969-4B1E-850C-459C11813076}"/>
            </c:ext>
          </c:extLst>
        </c:ser>
        <c:dLbls>
          <c:showLegendKey val="0"/>
          <c:showVal val="0"/>
          <c:showCatName val="0"/>
          <c:showSerName val="0"/>
          <c:showPercent val="0"/>
          <c:showBubbleSize val="0"/>
        </c:dLbls>
        <c:gapWidth val="150"/>
        <c:axId val="232151680"/>
        <c:axId val="232182144"/>
      </c:barChart>
      <c:catAx>
        <c:axId val="232151680"/>
        <c:scaling>
          <c:orientation val="minMax"/>
        </c:scaling>
        <c:delete val="0"/>
        <c:axPos val="b"/>
        <c:numFmt formatCode="General" sourceLinked="0"/>
        <c:majorTickMark val="out"/>
        <c:minorTickMark val="none"/>
        <c:tickLblPos val="nextTo"/>
        <c:spPr>
          <a:noFill/>
          <a:ln w="6350" cap="flat" cmpd="sng" algn="ctr">
            <a:noFill/>
            <a:prstDash val="solid"/>
            <a:round/>
          </a:ln>
          <a:effectLst/>
        </c:spPr>
        <c:txPr>
          <a:bodyPr rot="0" spcFirstLastPara="1" vertOverflow="ellipsis"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232182144"/>
        <c:crosses val="autoZero"/>
        <c:auto val="1"/>
        <c:lblAlgn val="ctr"/>
        <c:lblOffset val="100"/>
        <c:noMultiLvlLbl val="0"/>
      </c:catAx>
      <c:valAx>
        <c:axId val="232182144"/>
        <c:scaling>
          <c:orientation val="minMax"/>
        </c:scaling>
        <c:delete val="0"/>
        <c:axPos val="l"/>
        <c:majorGridlines>
          <c:spPr>
            <a:ln w="3175" cap="flat" cmpd="sng" algn="ctr">
              <a:solidFill>
                <a:srgbClr val="DFDCDA"/>
              </a:solidFill>
              <a:prstDash val="solid"/>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AU" b="0"/>
                  <a:t>$</a:t>
                </a:r>
                <a:r>
                  <a:rPr lang="en-AU" b="0" baseline="0"/>
                  <a:t> billions</a:t>
                </a:r>
                <a:endParaRPr lang="en-AU" b="0"/>
              </a:p>
            </c:rich>
          </c:tx>
          <c:layout>
            <c:manualLayout>
              <c:xMode val="edge"/>
              <c:yMode val="edge"/>
              <c:x val="1.3007069065740364E-2"/>
              <c:y val="0.3812699064211058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AU"/>
            </a:p>
          </c:txPr>
        </c:title>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232151680"/>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Fiscaloutlook_Overview_Charts!$A$7</c:f>
              <c:strCache>
                <c:ptCount val="1"/>
                <c:pt idx="0">
                  <c:v>Growth</c:v>
                </c:pt>
              </c:strCache>
            </c:strRef>
          </c:tx>
          <c:spPr>
            <a:solidFill>
              <a:srgbClr val="0B3F47"/>
            </a:solidFill>
            <a:ln>
              <a:solidFill>
                <a:schemeClr val="bg1"/>
              </a:solidFill>
            </a:ln>
            <a:effectLst/>
          </c:spPr>
          <c:invertIfNegative val="0"/>
          <c:cat>
            <c:strRef>
              <c:f>Fiscaloutlook_Overview_Charts!$D$4:$M$4</c:f>
              <c:strCache>
                <c:ptCount val="10"/>
                <c:pt idx="0">
                  <c:v>Jun-20</c:v>
                </c:pt>
                <c:pt idx="1">
                  <c:v>Jun-21</c:v>
                </c:pt>
                <c:pt idx="2">
                  <c:v>Jun-22</c:v>
                </c:pt>
                <c:pt idx="3">
                  <c:v>Jun-23</c:v>
                </c:pt>
                <c:pt idx="4">
                  <c:v>Jun-24</c:v>
                </c:pt>
                <c:pt idx="5">
                  <c:v>Jun-25</c:v>
                </c:pt>
                <c:pt idx="6">
                  <c:v>Jun-26</c:v>
                </c:pt>
                <c:pt idx="7">
                  <c:v>Jun-27</c:v>
                </c:pt>
                <c:pt idx="8">
                  <c:v>Jun-28</c:v>
                </c:pt>
                <c:pt idx="9">
                  <c:v>Jun-29</c:v>
                </c:pt>
              </c:strCache>
            </c:strRef>
          </c:cat>
          <c:val>
            <c:numRef>
              <c:f>Fiscaloutlook_Overview_Charts!$D$7:$M$7</c:f>
              <c:numCache>
                <c:formatCode>#,##0.0</c:formatCode>
                <c:ptCount val="10"/>
                <c:pt idx="0">
                  <c:v>87.635836058351387</c:v>
                </c:pt>
                <c:pt idx="1">
                  <c:v>25.715813853532183</c:v>
                </c:pt>
                <c:pt idx="2">
                  <c:v>18.738293630398832</c:v>
                </c:pt>
                <c:pt idx="3">
                  <c:v>22.669221583594066</c:v>
                </c:pt>
                <c:pt idx="4">
                  <c:v>16.071108464049331</c:v>
                </c:pt>
                <c:pt idx="5">
                  <c:v>7.6075434470928354</c:v>
                </c:pt>
                <c:pt idx="6">
                  <c:v>7.6761660893771015</c:v>
                </c:pt>
                <c:pt idx="7">
                  <c:v>5.3618083392435869</c:v>
                </c:pt>
                <c:pt idx="8">
                  <c:v>2.7978345281201196</c:v>
                </c:pt>
                <c:pt idx="9">
                  <c:v>3.1353943166570817</c:v>
                </c:pt>
              </c:numCache>
            </c:numRef>
          </c:val>
          <c:extLst>
            <c:ext xmlns:c16="http://schemas.microsoft.com/office/drawing/2014/chart" uri="{C3380CC4-5D6E-409C-BE32-E72D297353CC}">
              <c16:uniqueId val="{00000000-233C-4A4A-AAD3-A160DBA1B5C1}"/>
            </c:ext>
          </c:extLst>
        </c:ser>
        <c:dLbls>
          <c:showLegendKey val="0"/>
          <c:showVal val="0"/>
          <c:showCatName val="0"/>
          <c:showSerName val="0"/>
          <c:showPercent val="0"/>
          <c:showBubbleSize val="0"/>
        </c:dLbls>
        <c:gapWidth val="150"/>
        <c:overlap val="100"/>
        <c:axId val="232007936"/>
        <c:axId val="232009728"/>
      </c:barChart>
      <c:lineChart>
        <c:grouping val="standard"/>
        <c:varyColors val="0"/>
        <c:ser>
          <c:idx val="1"/>
          <c:order val="1"/>
          <c:tx>
            <c:strRef>
              <c:f>Fiscaloutlook_Overview_Charts!$A$8</c:f>
              <c:strCache>
                <c:ptCount val="1"/>
                <c:pt idx="0">
                  <c:v>Average</c:v>
                </c:pt>
              </c:strCache>
            </c:strRef>
          </c:tx>
          <c:spPr>
            <a:ln w="19050" cap="rnd">
              <a:solidFill>
                <a:srgbClr val="2E808E"/>
              </a:solidFill>
              <a:round/>
            </a:ln>
            <a:effectLst/>
          </c:spPr>
          <c:marker>
            <c:symbol val="none"/>
          </c:marker>
          <c:dPt>
            <c:idx val="5"/>
            <c:marker>
              <c:symbol val="none"/>
            </c:marker>
            <c:bubble3D val="0"/>
            <c:spPr>
              <a:ln w="19050" cap="rnd">
                <a:noFill/>
                <a:round/>
              </a:ln>
              <a:effectLst/>
            </c:spPr>
            <c:extLst>
              <c:ext xmlns:c16="http://schemas.microsoft.com/office/drawing/2014/chart" uri="{C3380CC4-5D6E-409C-BE32-E72D297353CC}">
                <c16:uniqueId val="{00000002-233C-4A4A-AAD3-A160DBA1B5C1}"/>
              </c:ext>
            </c:extLst>
          </c:dPt>
          <c:cat>
            <c:strRef>
              <c:f>Fiscaloutlook_Overview_Charts!$D$4:$M$4</c:f>
              <c:strCache>
                <c:ptCount val="10"/>
                <c:pt idx="0">
                  <c:v>Jun-20</c:v>
                </c:pt>
                <c:pt idx="1">
                  <c:v>Jun-21</c:v>
                </c:pt>
                <c:pt idx="2">
                  <c:v>Jun-22</c:v>
                </c:pt>
                <c:pt idx="3">
                  <c:v>Jun-23</c:v>
                </c:pt>
                <c:pt idx="4">
                  <c:v>Jun-24</c:v>
                </c:pt>
                <c:pt idx="5">
                  <c:v>Jun-25</c:v>
                </c:pt>
                <c:pt idx="6">
                  <c:v>Jun-26</c:v>
                </c:pt>
                <c:pt idx="7">
                  <c:v>Jun-27</c:v>
                </c:pt>
                <c:pt idx="8">
                  <c:v>Jun-28</c:v>
                </c:pt>
                <c:pt idx="9">
                  <c:v>Jun-29</c:v>
                </c:pt>
              </c:strCache>
            </c:strRef>
          </c:cat>
          <c:val>
            <c:numRef>
              <c:f>Fiscaloutlook_Overview_Charts!$D$8:$M$8</c:f>
              <c:numCache>
                <c:formatCode>0.0</c:formatCode>
                <c:ptCount val="10"/>
                <c:pt idx="0">
                  <c:v>34.166054717985162</c:v>
                </c:pt>
                <c:pt idx="1">
                  <c:v>34.166054717985162</c:v>
                </c:pt>
                <c:pt idx="2">
                  <c:v>34.166054717985162</c:v>
                </c:pt>
                <c:pt idx="3">
                  <c:v>34.166054717985162</c:v>
                </c:pt>
                <c:pt idx="4" formatCode="#,##0.0">
                  <c:v>34.166054717985162</c:v>
                </c:pt>
                <c:pt idx="5">
                  <c:v>5.3157493440981449</c:v>
                </c:pt>
                <c:pt idx="6">
                  <c:v>5.3157493440981449</c:v>
                </c:pt>
                <c:pt idx="7">
                  <c:v>5.3157493440981449</c:v>
                </c:pt>
                <c:pt idx="8">
                  <c:v>5.3157493440981449</c:v>
                </c:pt>
                <c:pt idx="9" formatCode="#,##0.0">
                  <c:v>5.3157493440981449</c:v>
                </c:pt>
              </c:numCache>
            </c:numRef>
          </c:val>
          <c:smooth val="0"/>
          <c:extLst>
            <c:ext xmlns:c16="http://schemas.microsoft.com/office/drawing/2014/chart" uri="{C3380CC4-5D6E-409C-BE32-E72D297353CC}">
              <c16:uniqueId val="{00000003-233C-4A4A-AAD3-A160DBA1B5C1}"/>
            </c:ext>
          </c:extLst>
        </c:ser>
        <c:dLbls>
          <c:showLegendKey val="0"/>
          <c:showVal val="0"/>
          <c:showCatName val="0"/>
          <c:showSerName val="0"/>
          <c:showPercent val="0"/>
          <c:showBubbleSize val="0"/>
        </c:dLbls>
        <c:marker val="1"/>
        <c:smooth val="0"/>
        <c:axId val="232007936"/>
        <c:axId val="232009728"/>
      </c:lineChart>
      <c:dateAx>
        <c:axId val="232007936"/>
        <c:scaling>
          <c:orientation val="minMax"/>
          <c:max val="10"/>
          <c:min val="1"/>
        </c:scaling>
        <c:delete val="0"/>
        <c:axPos val="b"/>
        <c:numFmt formatCode="d/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2009728"/>
        <c:crosses val="autoZero"/>
        <c:auto val="0"/>
        <c:lblOffset val="100"/>
        <c:baseTimeUnit val="years"/>
        <c:majorUnit val="1"/>
        <c:majorTimeUnit val="years"/>
      </c:dateAx>
      <c:valAx>
        <c:axId val="232009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Annual rate of growth (per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200793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639648228367135E-2"/>
          <c:y val="7.4114692537503371E-2"/>
          <c:w val="0.90499900365546815"/>
          <c:h val="0.73964322907221947"/>
        </c:manualLayout>
      </c:layout>
      <c:barChart>
        <c:barDir val="col"/>
        <c:grouping val="stacked"/>
        <c:varyColors val="0"/>
        <c:ser>
          <c:idx val="0"/>
          <c:order val="0"/>
          <c:tx>
            <c:strRef>
              <c:f>'Chart 1.3 20 Year Capex'!$B$39</c:f>
              <c:strCache>
                <c:ptCount val="1"/>
                <c:pt idx="0">
                  <c:v>General Government Sector</c:v>
                </c:pt>
              </c:strCache>
            </c:strRef>
          </c:tx>
          <c:spPr>
            <a:solidFill>
              <a:srgbClr val="0B3F47"/>
            </a:solidFill>
            <a:ln>
              <a:solidFill>
                <a:schemeClr val="bg1"/>
              </a:solidFill>
            </a:ln>
          </c:spPr>
          <c:invertIfNegative val="0"/>
          <c:dPt>
            <c:idx val="8"/>
            <c:invertIfNegative val="0"/>
            <c:bubble3D val="0"/>
            <c:extLst>
              <c:ext xmlns:c16="http://schemas.microsoft.com/office/drawing/2014/chart" uri="{C3380CC4-5D6E-409C-BE32-E72D297353CC}">
                <c16:uniqueId val="{00000000-D01F-4A45-94BE-2397E014EE6A}"/>
              </c:ext>
            </c:extLst>
          </c:dPt>
          <c:dPt>
            <c:idx val="9"/>
            <c:invertIfNegative val="0"/>
            <c:bubble3D val="0"/>
            <c:extLst>
              <c:ext xmlns:c16="http://schemas.microsoft.com/office/drawing/2014/chart" uri="{C3380CC4-5D6E-409C-BE32-E72D297353CC}">
                <c16:uniqueId val="{00000001-D01F-4A45-94BE-2397E014EE6A}"/>
              </c:ext>
            </c:extLst>
          </c:dPt>
          <c:dPt>
            <c:idx val="10"/>
            <c:invertIfNegative val="0"/>
            <c:bubble3D val="0"/>
            <c:extLst>
              <c:ext xmlns:c16="http://schemas.microsoft.com/office/drawing/2014/chart" uri="{C3380CC4-5D6E-409C-BE32-E72D297353CC}">
                <c16:uniqueId val="{00000002-D01F-4A45-94BE-2397E014EE6A}"/>
              </c:ext>
            </c:extLst>
          </c:dPt>
          <c:dPt>
            <c:idx val="11"/>
            <c:invertIfNegative val="0"/>
            <c:bubble3D val="0"/>
            <c:extLst>
              <c:ext xmlns:c16="http://schemas.microsoft.com/office/drawing/2014/chart" uri="{C3380CC4-5D6E-409C-BE32-E72D297353CC}">
                <c16:uniqueId val="{00000003-D01F-4A45-94BE-2397E014EE6A}"/>
              </c:ext>
            </c:extLst>
          </c:dPt>
          <c:cat>
            <c:multiLvlStrRef>
              <c:f>'Chart 1.3 20 Year Capex'!$P$37:$AE$38</c:f>
              <c:multiLvlStrCache>
                <c:ptCount val="16"/>
                <c:lvl>
                  <c:pt idx="0">
                    <c:v>Actual</c:v>
                  </c:pt>
                  <c:pt idx="1">
                    <c:v>Actual</c:v>
                  </c:pt>
                  <c:pt idx="2">
                    <c:v>Actual</c:v>
                  </c:pt>
                  <c:pt idx="3">
                    <c:v>Actual</c:v>
                  </c:pt>
                  <c:pt idx="4">
                    <c:v>Actual</c:v>
                  </c:pt>
                  <c:pt idx="5">
                    <c:v>Actual</c:v>
                  </c:pt>
                  <c:pt idx="6">
                    <c:v>Actual</c:v>
                  </c:pt>
                  <c:pt idx="7">
                    <c:v>Actual</c:v>
                  </c:pt>
                  <c:pt idx="8">
                    <c:v>Actual</c:v>
                  </c:pt>
                  <c:pt idx="9">
                    <c:v>Actual</c:v>
                  </c:pt>
                  <c:pt idx="10">
                    <c:v>Actual</c:v>
                  </c:pt>
                  <c:pt idx="11">
                    <c:v>Revised</c:v>
                  </c:pt>
                  <c:pt idx="12">
                    <c:v>Budget</c:v>
                  </c:pt>
                  <c:pt idx="13">
                    <c:v>Estimate</c:v>
                  </c:pt>
                  <c:pt idx="14">
                    <c:v>Estimate</c:v>
                  </c:pt>
                  <c:pt idx="15">
                    <c:v>Estimate</c:v>
                  </c:pt>
                </c:lvl>
                <c:lvl>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pt idx="12">
                    <c:v>2025-26</c:v>
                  </c:pt>
                  <c:pt idx="13">
                    <c:v>2026-27</c:v>
                  </c:pt>
                  <c:pt idx="14">
                    <c:v>2027-28</c:v>
                  </c:pt>
                  <c:pt idx="15">
                    <c:v>2028-29</c:v>
                  </c:pt>
                </c:lvl>
              </c:multiLvlStrCache>
              <c:extLst/>
            </c:multiLvlStrRef>
          </c:cat>
          <c:val>
            <c:numRef>
              <c:f>'Chart 1.3 20 Year Capex'!$P$39:$AE$39</c:f>
              <c:numCache>
                <c:formatCode>_-* #,##0.0_-;\-* #,##0.0_-;_-* "-"??_-;_-@_-</c:formatCode>
                <c:ptCount val="16"/>
                <c:pt idx="0">
                  <c:v>8545.9950000000008</c:v>
                </c:pt>
                <c:pt idx="1">
                  <c:v>9483.5220000000008</c:v>
                </c:pt>
                <c:pt idx="2">
                  <c:v>9351.3639987299994</c:v>
                </c:pt>
                <c:pt idx="3">
                  <c:v>10546.352999999999</c:v>
                </c:pt>
                <c:pt idx="4">
                  <c:v>12121.065581140007</c:v>
                </c:pt>
                <c:pt idx="5">
                  <c:v>16622.816443531603</c:v>
                </c:pt>
                <c:pt idx="6" formatCode="_(* #,##0.00_);_(* \(#,##0.00\);_(* &quot;-&quot;??_);_(@_)">
                  <c:v>20364.261976697926</c:v>
                </c:pt>
                <c:pt idx="7" formatCode="_(* #,##0.00_);_(* \(#,##0.00\);_(* &quot;-&quot;??_);_(@_)">
                  <c:v>18822.384821016294</c:v>
                </c:pt>
                <c:pt idx="8" formatCode="_(* #,##0.00_);_(* \(#,##0.00\);_(* &quot;-&quot;??_);_(@_)">
                  <c:v>20604.38786956773</c:v>
                </c:pt>
                <c:pt idx="9" formatCode="_(* #,##0.00_);_(* \(#,##0.00\);_(* &quot;-&quot;??_);_(@_)">
                  <c:v>22228.337432979992</c:v>
                </c:pt>
                <c:pt idx="10" formatCode="_(* #,##0.00_);_(* \(#,##0.00\);_(* &quot;-&quot;??_);_(@_)">
                  <c:v>22955.532298860009</c:v>
                </c:pt>
                <c:pt idx="11" formatCode="_(* #,##0.00_);_(* \(#,##0.00\);_(* &quot;-&quot;??_);_(@_)">
                  <c:v>22314.970772759771</c:v>
                </c:pt>
                <c:pt idx="12" formatCode="_(* #,##0.00_);_(* \(#,##0.00\);_(* &quot;-&quot;??_);_(@_)">
                  <c:v>22343.346421530001</c:v>
                </c:pt>
                <c:pt idx="13" formatCode="_(* #,##0.00_);_(* \(#,##0.00\);_(* &quot;-&quot;??_);_(@_)">
                  <c:v>22043.154229809988</c:v>
                </c:pt>
                <c:pt idx="14" formatCode="_(* #,##0.00_);_(* \(#,##0.00\);_(* &quot;-&quot;??_);_(@_)">
                  <c:v>21480.174552749995</c:v>
                </c:pt>
                <c:pt idx="15" formatCode="_(* #,##0.00_);_(* \(#,##0.00\);_(* &quot;-&quot;??_);_(@_)">
                  <c:v>20110.689176489999</c:v>
                </c:pt>
              </c:numCache>
              <c:extLst/>
            </c:numRef>
          </c:val>
          <c:extLst>
            <c:ext xmlns:c16="http://schemas.microsoft.com/office/drawing/2014/chart" uri="{C3380CC4-5D6E-409C-BE32-E72D297353CC}">
              <c16:uniqueId val="{00000004-D01F-4A45-94BE-2397E014EE6A}"/>
            </c:ext>
          </c:extLst>
        </c:ser>
        <c:ser>
          <c:idx val="7"/>
          <c:order val="5"/>
          <c:tx>
            <c:strRef>
              <c:f>'Chart 1.3 20 Year Capex'!$B$40</c:f>
              <c:strCache>
                <c:ptCount val="1"/>
                <c:pt idx="0">
                  <c:v>Public Non Financial Corporation Sector</c:v>
                </c:pt>
              </c:strCache>
            </c:strRef>
          </c:tx>
          <c:spPr>
            <a:solidFill>
              <a:srgbClr val="2E808E"/>
            </a:solidFill>
            <a:ln>
              <a:solidFill>
                <a:schemeClr val="bg1"/>
              </a:solidFill>
            </a:ln>
          </c:spPr>
          <c:invertIfNegative val="0"/>
          <c:cat>
            <c:multiLvlStrRef>
              <c:f>'Chart 1.3 20 Year Capex'!$P$37:$AE$38</c:f>
              <c:multiLvlStrCache>
                <c:ptCount val="16"/>
                <c:lvl>
                  <c:pt idx="0">
                    <c:v>Actual</c:v>
                  </c:pt>
                  <c:pt idx="1">
                    <c:v>Actual</c:v>
                  </c:pt>
                  <c:pt idx="2">
                    <c:v>Actual</c:v>
                  </c:pt>
                  <c:pt idx="3">
                    <c:v>Actual</c:v>
                  </c:pt>
                  <c:pt idx="4">
                    <c:v>Actual</c:v>
                  </c:pt>
                  <c:pt idx="5">
                    <c:v>Actual</c:v>
                  </c:pt>
                  <c:pt idx="6">
                    <c:v>Actual</c:v>
                  </c:pt>
                  <c:pt idx="7">
                    <c:v>Actual</c:v>
                  </c:pt>
                  <c:pt idx="8">
                    <c:v>Actual</c:v>
                  </c:pt>
                  <c:pt idx="9">
                    <c:v>Actual</c:v>
                  </c:pt>
                  <c:pt idx="10">
                    <c:v>Actual</c:v>
                  </c:pt>
                  <c:pt idx="11">
                    <c:v>Revised</c:v>
                  </c:pt>
                  <c:pt idx="12">
                    <c:v>Budget</c:v>
                  </c:pt>
                  <c:pt idx="13">
                    <c:v>Estimate</c:v>
                  </c:pt>
                  <c:pt idx="14">
                    <c:v>Estimate</c:v>
                  </c:pt>
                  <c:pt idx="15">
                    <c:v>Estimate</c:v>
                  </c:pt>
                </c:lvl>
                <c:lvl>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pt idx="12">
                    <c:v>2025-26</c:v>
                  </c:pt>
                  <c:pt idx="13">
                    <c:v>2026-27</c:v>
                  </c:pt>
                  <c:pt idx="14">
                    <c:v>2027-28</c:v>
                  </c:pt>
                  <c:pt idx="15">
                    <c:v>2028-29</c:v>
                  </c:pt>
                </c:lvl>
              </c:multiLvlStrCache>
              <c:extLst/>
            </c:multiLvlStrRef>
          </c:cat>
          <c:val>
            <c:numRef>
              <c:f>'Chart 1.3 20 Year Capex'!$P$40:$AE$40</c:f>
              <c:numCache>
                <c:formatCode>_-* #,##0.0_-;\-* #,##0.0_-;_-* "-"??_-;_-@_-</c:formatCode>
                <c:ptCount val="16"/>
                <c:pt idx="0">
                  <c:v>5331.5860000000002</c:v>
                </c:pt>
                <c:pt idx="1">
                  <c:v>3928.1379999999999</c:v>
                </c:pt>
                <c:pt idx="2">
                  <c:v>6823.3591207399995</c:v>
                </c:pt>
                <c:pt idx="3">
                  <c:v>7650.8899999999985</c:v>
                </c:pt>
                <c:pt idx="4">
                  <c:v>5762.5146773699998</c:v>
                </c:pt>
                <c:pt idx="5">
                  <c:v>5202.48123442</c:v>
                </c:pt>
                <c:pt idx="6">
                  <c:v>4460.9452177799994</c:v>
                </c:pt>
                <c:pt idx="7">
                  <c:v>5264.4239620499993</c:v>
                </c:pt>
                <c:pt idx="8">
                  <c:v>5215.2402458400002</c:v>
                </c:pt>
                <c:pt idx="9">
                  <c:v>5578.0056446700009</c:v>
                </c:pt>
                <c:pt idx="10">
                  <c:v>7959.1145705400013</c:v>
                </c:pt>
                <c:pt idx="11">
                  <c:v>6893.939868316791</c:v>
                </c:pt>
                <c:pt idx="12">
                  <c:v>8562.7448386700016</c:v>
                </c:pt>
                <c:pt idx="13">
                  <c:v>8280.8697787400015</c:v>
                </c:pt>
                <c:pt idx="14">
                  <c:v>7855.8885982500005</c:v>
                </c:pt>
                <c:pt idx="15">
                  <c:v>7895.930105970001</c:v>
                </c:pt>
              </c:numCache>
              <c:extLst/>
            </c:numRef>
          </c:val>
          <c:extLst>
            <c:ext xmlns:c16="http://schemas.microsoft.com/office/drawing/2014/chart" uri="{C3380CC4-5D6E-409C-BE32-E72D297353CC}">
              <c16:uniqueId val="{00000005-D01F-4A45-94BE-2397E014EE6A}"/>
            </c:ext>
          </c:extLst>
        </c:ser>
        <c:dLbls>
          <c:showLegendKey val="0"/>
          <c:showVal val="0"/>
          <c:showCatName val="0"/>
          <c:showSerName val="0"/>
          <c:showPercent val="0"/>
          <c:showBubbleSize val="0"/>
        </c:dLbls>
        <c:gapWidth val="150"/>
        <c:overlap val="100"/>
        <c:axId val="693073408"/>
        <c:axId val="693074944"/>
      </c:barChart>
      <c:lineChart>
        <c:grouping val="standard"/>
        <c:varyColors val="0"/>
        <c:ser>
          <c:idx val="2"/>
          <c:order val="1"/>
          <c:tx>
            <c:strRef>
              <c:f>'Chart 1.3 20 Year Capex'!$B$66</c:f>
              <c:strCache>
                <c:ptCount val="1"/>
                <c:pt idx="0">
                  <c:v>over 4 years to FY17</c:v>
                </c:pt>
              </c:strCache>
            </c:strRef>
          </c:tx>
          <c:spPr>
            <a:ln w="28575">
              <a:solidFill>
                <a:schemeClr val="tx1"/>
              </a:solidFill>
              <a:prstDash val="dash"/>
            </a:ln>
          </c:spPr>
          <c:marker>
            <c:symbol val="none"/>
          </c:marker>
          <c:cat>
            <c:strRef>
              <c:f>'Chart 1.3 20 Year Capex'!$G$37:$AE$37</c:f>
              <c:strCache>
                <c:ptCount val="2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pt idx="19">
                  <c:v>2023-24</c:v>
                </c:pt>
                <c:pt idx="20">
                  <c:v>2024-25</c:v>
                </c:pt>
                <c:pt idx="21">
                  <c:v>2025-26</c:v>
                </c:pt>
                <c:pt idx="22">
                  <c:v>2026-27</c:v>
                </c:pt>
                <c:pt idx="23">
                  <c:v>2027-28</c:v>
                </c:pt>
                <c:pt idx="24">
                  <c:v>2028-29</c:v>
                </c:pt>
              </c:strCache>
              <c:extLst/>
            </c:strRef>
          </c:cat>
          <c:val>
            <c:numRef>
              <c:f>'Chart 1.3 20 Year Capex'!$P$66:$AD$66</c:f>
              <c:numCache>
                <c:formatCode>#,##0.0</c:formatCode>
                <c:ptCount val="15"/>
                <c:pt idx="0">
                  <c:v>15415.301779867499</c:v>
                </c:pt>
                <c:pt idx="1">
                  <c:v>15415.301779867499</c:v>
                </c:pt>
                <c:pt idx="2">
                  <c:v>15415.301779867499</c:v>
                </c:pt>
                <c:pt idx="3">
                  <c:v>15415.301779867499</c:v>
                </c:pt>
              </c:numCache>
              <c:extLst/>
            </c:numRef>
          </c:val>
          <c:smooth val="0"/>
          <c:extLst>
            <c:ext xmlns:c16="http://schemas.microsoft.com/office/drawing/2014/chart" uri="{C3380CC4-5D6E-409C-BE32-E72D297353CC}">
              <c16:uniqueId val="{00000006-D01F-4A45-94BE-2397E014EE6A}"/>
            </c:ext>
          </c:extLst>
        </c:ser>
        <c:ser>
          <c:idx val="4"/>
          <c:order val="2"/>
          <c:tx>
            <c:strRef>
              <c:f>'Chart 1.3 20 Year Capex'!$B$67</c:f>
              <c:strCache>
                <c:ptCount val="1"/>
                <c:pt idx="0">
                  <c:v>over 4 years to FY21</c:v>
                </c:pt>
              </c:strCache>
            </c:strRef>
          </c:tx>
          <c:spPr>
            <a:ln w="28575">
              <a:solidFill>
                <a:schemeClr val="tx1"/>
              </a:solidFill>
              <a:prstDash val="dash"/>
            </a:ln>
          </c:spPr>
          <c:marker>
            <c:symbol val="none"/>
          </c:marker>
          <c:cat>
            <c:strRef>
              <c:f>'Chart 1.3 20 Year Capex'!$G$37:$AE$37</c:f>
              <c:strCache>
                <c:ptCount val="2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pt idx="19">
                  <c:v>2023-24</c:v>
                </c:pt>
                <c:pt idx="20">
                  <c:v>2024-25</c:v>
                </c:pt>
                <c:pt idx="21">
                  <c:v>2025-26</c:v>
                </c:pt>
                <c:pt idx="22">
                  <c:v>2026-27</c:v>
                </c:pt>
                <c:pt idx="23">
                  <c:v>2027-28</c:v>
                </c:pt>
                <c:pt idx="24">
                  <c:v>2028-29</c:v>
                </c:pt>
              </c:strCache>
              <c:extLst/>
            </c:strRef>
          </c:cat>
          <c:val>
            <c:numRef>
              <c:f>'Chart 1.3 20 Year Capex'!$P$67:$AD$67</c:f>
              <c:numCache>
                <c:formatCode>General</c:formatCode>
                <c:ptCount val="15"/>
                <c:pt idx="4" formatCode="#,##0.0">
                  <c:v>22155.223478501455</c:v>
                </c:pt>
                <c:pt idx="5" formatCode="#,##0.0">
                  <c:v>22155.223478501455</c:v>
                </c:pt>
                <c:pt idx="6" formatCode="#,##0.0">
                  <c:v>22155.223478501455</c:v>
                </c:pt>
                <c:pt idx="7" formatCode="#,##0.0">
                  <c:v>22155.223478501455</c:v>
                </c:pt>
              </c:numCache>
              <c:extLst/>
            </c:numRef>
          </c:val>
          <c:smooth val="0"/>
          <c:extLst>
            <c:ext xmlns:c16="http://schemas.microsoft.com/office/drawing/2014/chart" uri="{C3380CC4-5D6E-409C-BE32-E72D297353CC}">
              <c16:uniqueId val="{00000007-D01F-4A45-94BE-2397E014EE6A}"/>
            </c:ext>
          </c:extLst>
        </c:ser>
        <c:ser>
          <c:idx val="5"/>
          <c:order val="3"/>
          <c:tx>
            <c:strRef>
              <c:f>'Chart 1.3 20 Year Capex'!$B$68</c:f>
              <c:strCache>
                <c:ptCount val="1"/>
                <c:pt idx="0">
                  <c:v>over 4 years to FY25</c:v>
                </c:pt>
              </c:strCache>
            </c:strRef>
          </c:tx>
          <c:spPr>
            <a:ln w="28575">
              <a:solidFill>
                <a:schemeClr val="tx1"/>
              </a:solidFill>
              <a:prstDash val="dash"/>
            </a:ln>
          </c:spPr>
          <c:marker>
            <c:symbol val="none"/>
          </c:marker>
          <c:cat>
            <c:strRef>
              <c:f>'Chart 1.3 20 Year Capex'!$G$37:$AE$37</c:f>
              <c:strCache>
                <c:ptCount val="2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pt idx="19">
                  <c:v>2023-24</c:v>
                </c:pt>
                <c:pt idx="20">
                  <c:v>2024-25</c:v>
                </c:pt>
                <c:pt idx="21">
                  <c:v>2025-26</c:v>
                </c:pt>
                <c:pt idx="22">
                  <c:v>2026-27</c:v>
                </c:pt>
                <c:pt idx="23">
                  <c:v>2027-28</c:v>
                </c:pt>
                <c:pt idx="24">
                  <c:v>2028-29</c:v>
                </c:pt>
              </c:strCache>
              <c:extLst/>
            </c:strRef>
          </c:cat>
          <c:val>
            <c:numRef>
              <c:f>'Chart 1.3 20 Year Capex'!$P$68:$AD$68</c:f>
              <c:numCache>
                <c:formatCode>General</c:formatCode>
                <c:ptCount val="15"/>
                <c:pt idx="8" formatCode="#,##0.0">
                  <c:v>28437.382175883569</c:v>
                </c:pt>
                <c:pt idx="9" formatCode="#,##0.0">
                  <c:v>28437.382175883569</c:v>
                </c:pt>
                <c:pt idx="10" formatCode="#,##0.0">
                  <c:v>28437.382175883569</c:v>
                </c:pt>
                <c:pt idx="11" formatCode="#,##0.0">
                  <c:v>28437.382175883569</c:v>
                </c:pt>
              </c:numCache>
              <c:extLst/>
            </c:numRef>
          </c:val>
          <c:smooth val="0"/>
          <c:extLst>
            <c:ext xmlns:c16="http://schemas.microsoft.com/office/drawing/2014/chart" uri="{C3380CC4-5D6E-409C-BE32-E72D297353CC}">
              <c16:uniqueId val="{00000008-D01F-4A45-94BE-2397E014EE6A}"/>
            </c:ext>
          </c:extLst>
        </c:ser>
        <c:ser>
          <c:idx val="6"/>
          <c:order val="4"/>
          <c:tx>
            <c:strRef>
              <c:f>'Chart 1.3 20 Year Capex'!$B$69</c:f>
              <c:strCache>
                <c:ptCount val="1"/>
                <c:pt idx="0">
                  <c:v>over 4 years to FY29</c:v>
                </c:pt>
              </c:strCache>
            </c:strRef>
          </c:tx>
          <c:spPr>
            <a:ln w="28575">
              <a:solidFill>
                <a:schemeClr val="tx1"/>
              </a:solidFill>
              <a:prstDash val="dash"/>
            </a:ln>
          </c:spPr>
          <c:marker>
            <c:symbol val="none"/>
          </c:marker>
          <c:cat>
            <c:strRef>
              <c:f>'Chart 1.3 20 Year Capex'!$G$37:$AE$37</c:f>
              <c:strCache>
                <c:ptCount val="2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pt idx="19">
                  <c:v>2023-24</c:v>
                </c:pt>
                <c:pt idx="20">
                  <c:v>2024-25</c:v>
                </c:pt>
                <c:pt idx="21">
                  <c:v>2025-26</c:v>
                </c:pt>
                <c:pt idx="22">
                  <c:v>2026-27</c:v>
                </c:pt>
                <c:pt idx="23">
                  <c:v>2027-28</c:v>
                </c:pt>
                <c:pt idx="24">
                  <c:v>2028-29</c:v>
                </c:pt>
              </c:strCache>
              <c:extLst/>
            </c:strRef>
          </c:cat>
          <c:val>
            <c:numRef>
              <c:f>'Chart 1.3 20 Year Capex'!$P$69:$AE$69</c:f>
              <c:numCache>
                <c:formatCode>General</c:formatCode>
                <c:ptCount val="16"/>
                <c:pt idx="12" formatCode="#,##0.0">
                  <c:v>29643.199425552495</c:v>
                </c:pt>
                <c:pt idx="13" formatCode="#,##0.0">
                  <c:v>29643.199425552495</c:v>
                </c:pt>
                <c:pt idx="14" formatCode="#,##0.0">
                  <c:v>29643.199425552495</c:v>
                </c:pt>
                <c:pt idx="15" formatCode="#,##0.0">
                  <c:v>29643.199425552495</c:v>
                </c:pt>
              </c:numCache>
              <c:extLst/>
            </c:numRef>
          </c:val>
          <c:smooth val="0"/>
          <c:extLst>
            <c:ext xmlns:c16="http://schemas.microsoft.com/office/drawing/2014/chart" uri="{C3380CC4-5D6E-409C-BE32-E72D297353CC}">
              <c16:uniqueId val="{00000009-D01F-4A45-94BE-2397E014EE6A}"/>
            </c:ext>
          </c:extLst>
        </c:ser>
        <c:dLbls>
          <c:showLegendKey val="0"/>
          <c:showVal val="0"/>
          <c:showCatName val="0"/>
          <c:showSerName val="0"/>
          <c:showPercent val="0"/>
          <c:showBubbleSize val="0"/>
        </c:dLbls>
        <c:marker val="1"/>
        <c:smooth val="0"/>
        <c:axId val="693073408"/>
        <c:axId val="693074944"/>
      </c:lineChart>
      <c:catAx>
        <c:axId val="693073408"/>
        <c:scaling>
          <c:orientation val="minMax"/>
        </c:scaling>
        <c:delete val="0"/>
        <c:axPos val="b"/>
        <c:numFmt formatCode="General" sourceLinked="0"/>
        <c:majorTickMark val="out"/>
        <c:minorTickMark val="none"/>
        <c:tickLblPos val="nextTo"/>
        <c:spPr>
          <a:ln w="3175">
            <a:noFill/>
          </a:ln>
        </c:spPr>
        <c:txPr>
          <a:bodyPr rot="0" vert="horz"/>
          <a:lstStyle/>
          <a:p>
            <a:pPr>
              <a:defRPr/>
            </a:pPr>
            <a:endParaRPr lang="en-US"/>
          </a:p>
        </c:txPr>
        <c:crossAx val="693074944"/>
        <c:crosses val="autoZero"/>
        <c:auto val="1"/>
        <c:lblAlgn val="ctr"/>
        <c:lblOffset val="100"/>
        <c:noMultiLvlLbl val="1"/>
      </c:catAx>
      <c:valAx>
        <c:axId val="693074944"/>
        <c:scaling>
          <c:orientation val="minMax"/>
          <c:min val="0"/>
        </c:scaling>
        <c:delete val="0"/>
        <c:axPos val="l"/>
        <c:majorGridlines>
          <c:spPr>
            <a:ln w="9525">
              <a:solidFill>
                <a:srgbClr val="DCDFDA"/>
              </a:solidFill>
              <a:prstDash val="solid"/>
            </a:ln>
            <a:effectLst>
              <a:outerShdw blurRad="50800" dist="50800" dir="5400000" algn="ctr" rotWithShape="0">
                <a:schemeClr val="bg1">
                  <a:lumMod val="85000"/>
                  <a:alpha val="0"/>
                </a:schemeClr>
              </a:outerShdw>
            </a:effectLst>
          </c:spPr>
        </c:majorGridlines>
        <c:title>
          <c:tx>
            <c:rich>
              <a:bodyPr rot="-5400000" vert="horz"/>
              <a:lstStyle/>
              <a:p>
                <a:pPr>
                  <a:defRPr/>
                </a:pPr>
                <a:r>
                  <a:rPr lang="en-US" b="0"/>
                  <a:t>$ billions</a:t>
                </a:r>
              </a:p>
            </c:rich>
          </c:tx>
          <c:layout>
            <c:manualLayout>
              <c:xMode val="edge"/>
              <c:yMode val="edge"/>
              <c:x val="2.592796815430751E-2"/>
              <c:y val="0.3877342676481153"/>
            </c:manualLayout>
          </c:layout>
          <c:overlay val="0"/>
        </c:title>
        <c:numFmt formatCode="#,##0" sourceLinked="0"/>
        <c:majorTickMark val="out"/>
        <c:minorTickMark val="none"/>
        <c:tickLblPos val="nextTo"/>
        <c:spPr>
          <a:ln w="3175">
            <a:noFill/>
          </a:ln>
        </c:spPr>
        <c:crossAx val="693073408"/>
        <c:crossesAt val="1"/>
        <c:crossBetween val="between"/>
        <c:dispUnits>
          <c:builtInUnit val="thousands"/>
        </c:dispUnits>
      </c:valAx>
      <c:spPr>
        <a:noFill/>
        <a:ln w="25400">
          <a:noFill/>
        </a:ln>
      </c:spPr>
    </c:plotArea>
    <c:legend>
      <c:legendPos val="b"/>
      <c:legendEntry>
        <c:idx val="2"/>
        <c:delete val="1"/>
      </c:legendEntry>
      <c:legendEntry>
        <c:idx val="3"/>
        <c:delete val="1"/>
      </c:legendEntry>
      <c:legendEntry>
        <c:idx val="4"/>
        <c:delete val="1"/>
      </c:legendEntry>
      <c:legendEntry>
        <c:idx val="5"/>
        <c:delete val="1"/>
      </c:legendEntry>
      <c:layout>
        <c:manualLayout>
          <c:xMode val="edge"/>
          <c:yMode val="edge"/>
          <c:x val="0.23264451867820771"/>
          <c:y val="0.93252055045992699"/>
          <c:w val="0.53471084195136154"/>
          <c:h val="4.3137704213507135E-2"/>
        </c:manualLayout>
      </c:layout>
      <c:overlay val="0"/>
    </c:legend>
    <c:plotVisOnly val="1"/>
    <c:dispBlanksAs val="gap"/>
    <c:showDLblsOverMax val="0"/>
  </c:chart>
  <c:spPr>
    <a:noFill/>
    <a:ln>
      <a:noFill/>
    </a:ln>
    <a:effectLst>
      <a:outerShdw blurRad="50800" dist="50800" dir="5400000" algn="ctr" rotWithShape="0">
        <a:schemeClr val="bg1">
          <a:lumMod val="85000"/>
          <a:alpha val="0"/>
        </a:schemeClr>
      </a:outerShdw>
    </a:effectLst>
  </c:spPr>
  <c:txPr>
    <a:bodyPr/>
    <a:lstStyle/>
    <a:p>
      <a:pPr>
        <a:defRPr sz="600">
          <a:solidFill>
            <a:sysClr val="windowText" lastClr="000000"/>
          </a:solidFill>
          <a:latin typeface="Public Sans" pitchFamily="2" charset="0"/>
          <a:cs typeface="Arial" panose="020B0604020202020204" pitchFamily="34" charset="0"/>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179028068380414E-2"/>
          <c:y val="8.2669547944906469E-2"/>
          <c:w val="0.84231685717868976"/>
          <c:h val="0.62439831488878716"/>
        </c:manualLayout>
      </c:layout>
      <c:barChart>
        <c:barDir val="col"/>
        <c:grouping val="clustered"/>
        <c:varyColors val="0"/>
        <c:ser>
          <c:idx val="0"/>
          <c:order val="0"/>
          <c:tx>
            <c:strRef>
              <c:f>Fiscaloutlook_Overview_Charts!$N$5</c:f>
              <c:strCache>
                <c:ptCount val="1"/>
                <c:pt idx="0">
                  <c:v>Gross debt (left axis)</c:v>
                </c:pt>
              </c:strCache>
            </c:strRef>
          </c:tx>
          <c:spPr>
            <a:solidFill>
              <a:srgbClr val="0B3F47"/>
            </a:solidFill>
            <a:ln>
              <a:noFill/>
            </a:ln>
          </c:spPr>
          <c:invertIfNegative val="0"/>
          <c:cat>
            <c:strRef>
              <c:f>Fiscaloutlook_Overview_Charts!$O$4:$X$4</c:f>
              <c:strCache>
                <c:ptCount val="10"/>
                <c:pt idx="0">
                  <c:v>Jun-20</c:v>
                </c:pt>
                <c:pt idx="1">
                  <c:v>Jun-21</c:v>
                </c:pt>
                <c:pt idx="2">
                  <c:v>Jun-22</c:v>
                </c:pt>
                <c:pt idx="3">
                  <c:v>Jun-23</c:v>
                </c:pt>
                <c:pt idx="4">
                  <c:v>Jun-24</c:v>
                </c:pt>
                <c:pt idx="5">
                  <c:v>Jun-25</c:v>
                </c:pt>
                <c:pt idx="6">
                  <c:v>Jun-26</c:v>
                </c:pt>
                <c:pt idx="7">
                  <c:v>Jun-27</c:v>
                </c:pt>
                <c:pt idx="8">
                  <c:v>Jun-28</c:v>
                </c:pt>
                <c:pt idx="9">
                  <c:v>Jun-29</c:v>
                </c:pt>
              </c:strCache>
            </c:strRef>
          </c:cat>
          <c:val>
            <c:numRef>
              <c:f>Fiscaloutlook_Overview_Charts!$O$5:$X$5</c:f>
              <c:numCache>
                <c:formatCode>#,##0</c:formatCode>
                <c:ptCount val="10"/>
                <c:pt idx="0">
                  <c:v>72586.427901587202</c:v>
                </c:pt>
                <c:pt idx="1">
                  <c:v>91252.618583687712</c:v>
                </c:pt>
                <c:pt idx="2">
                  <c:v>108351.80219932701</c:v>
                </c:pt>
                <c:pt idx="3">
                  <c:v>132914.31232971</c:v>
                </c:pt>
                <c:pt idx="4">
                  <c:v>154275.11562846298</c:v>
                </c:pt>
                <c:pt idx="5">
                  <c:v>166011.66207795101</c:v>
                </c:pt>
                <c:pt idx="6">
                  <c:v>178754.99298678999</c:v>
                </c:pt>
                <c:pt idx="7">
                  <c:v>188339.49310756999</c:v>
                </c:pt>
                <c:pt idx="8">
                  <c:v>193608.92047581999</c:v>
                </c:pt>
                <c:pt idx="9">
                  <c:v>199679.32356495998</c:v>
                </c:pt>
              </c:numCache>
            </c:numRef>
          </c:val>
          <c:extLst>
            <c:ext xmlns:c16="http://schemas.microsoft.com/office/drawing/2014/chart" uri="{C3380CC4-5D6E-409C-BE32-E72D297353CC}">
              <c16:uniqueId val="{00000000-966E-4E49-B8D3-0B31B2AA6164}"/>
            </c:ext>
          </c:extLst>
        </c:ser>
        <c:dLbls>
          <c:showLegendKey val="0"/>
          <c:showVal val="0"/>
          <c:showCatName val="0"/>
          <c:showSerName val="0"/>
          <c:showPercent val="0"/>
          <c:showBubbleSize val="0"/>
        </c:dLbls>
        <c:gapWidth val="100"/>
        <c:overlap val="100"/>
        <c:axId val="230754944"/>
        <c:axId val="230760832"/>
      </c:barChart>
      <c:lineChart>
        <c:grouping val="standard"/>
        <c:varyColors val="0"/>
        <c:ser>
          <c:idx val="1"/>
          <c:order val="1"/>
          <c:tx>
            <c:strRef>
              <c:f>Fiscaloutlook_Overview_Charts!$N$6</c:f>
              <c:strCache>
                <c:ptCount val="1"/>
                <c:pt idx="0">
                  <c:v>Gross debt to GSP (right axis)</c:v>
                </c:pt>
              </c:strCache>
            </c:strRef>
          </c:tx>
          <c:marker>
            <c:symbol val="none"/>
          </c:marker>
          <c:cat>
            <c:strRef>
              <c:f>Fiscaloutlook_Overview_Charts!$O$4:$X$4</c:f>
              <c:strCache>
                <c:ptCount val="10"/>
                <c:pt idx="0">
                  <c:v>Jun-20</c:v>
                </c:pt>
                <c:pt idx="1">
                  <c:v>Jun-21</c:v>
                </c:pt>
                <c:pt idx="2">
                  <c:v>Jun-22</c:v>
                </c:pt>
                <c:pt idx="3">
                  <c:v>Jun-23</c:v>
                </c:pt>
                <c:pt idx="4">
                  <c:v>Jun-24</c:v>
                </c:pt>
                <c:pt idx="5">
                  <c:v>Jun-25</c:v>
                </c:pt>
                <c:pt idx="6">
                  <c:v>Jun-26</c:v>
                </c:pt>
                <c:pt idx="7">
                  <c:v>Jun-27</c:v>
                </c:pt>
                <c:pt idx="8">
                  <c:v>Jun-28</c:v>
                </c:pt>
                <c:pt idx="9">
                  <c:v>Jun-29</c:v>
                </c:pt>
              </c:strCache>
            </c:strRef>
          </c:cat>
          <c:val>
            <c:numRef>
              <c:f>Fiscaloutlook_Overview_Charts!$O$6:$X$6</c:f>
              <c:numCache>
                <c:formatCode>0.0</c:formatCode>
                <c:ptCount val="10"/>
                <c:pt idx="0">
                  <c:v>11.619405779027886</c:v>
                </c:pt>
                <c:pt idx="1">
                  <c:v>14.056164292003654</c:v>
                </c:pt>
                <c:pt idx="2">
                  <c:v>15.536536019404505</c:v>
                </c:pt>
                <c:pt idx="3">
                  <c:v>17.099486984395988</c:v>
                </c:pt>
                <c:pt idx="4">
                  <c:v>18.795701221791301</c:v>
                </c:pt>
                <c:pt idx="5">
                  <c:v>19.494089018077855</c:v>
                </c:pt>
                <c:pt idx="6">
                  <c:v>20.324615461829449</c:v>
                </c:pt>
                <c:pt idx="7">
                  <c:v>20.418418593622071</c:v>
                </c:pt>
                <c:pt idx="8">
                  <c:v>20.002987961134412</c:v>
                </c:pt>
                <c:pt idx="9">
                  <c:v>19.60716060142969</c:v>
                </c:pt>
              </c:numCache>
            </c:numRef>
          </c:val>
          <c:smooth val="0"/>
          <c:extLst>
            <c:ext xmlns:c16="http://schemas.microsoft.com/office/drawing/2014/chart" uri="{C3380CC4-5D6E-409C-BE32-E72D297353CC}">
              <c16:uniqueId val="{00000001-966E-4E49-B8D3-0B31B2AA6164}"/>
            </c:ext>
          </c:extLst>
        </c:ser>
        <c:dLbls>
          <c:showLegendKey val="0"/>
          <c:showVal val="0"/>
          <c:showCatName val="0"/>
          <c:showSerName val="0"/>
          <c:showPercent val="0"/>
          <c:showBubbleSize val="0"/>
        </c:dLbls>
        <c:marker val="1"/>
        <c:smooth val="0"/>
        <c:axId val="487470032"/>
        <c:axId val="487470992"/>
      </c:lineChart>
      <c:catAx>
        <c:axId val="230754944"/>
        <c:scaling>
          <c:orientation val="minMax"/>
        </c:scaling>
        <c:delete val="0"/>
        <c:axPos val="b"/>
        <c:numFmt formatCode="General" sourceLinked="0"/>
        <c:majorTickMark val="out"/>
        <c:minorTickMark val="none"/>
        <c:tickLblPos val="nextTo"/>
        <c:spPr>
          <a:ln w="6350">
            <a:noFill/>
          </a:ln>
        </c:spPr>
        <c:txPr>
          <a:bodyPr rot="0" vert="horz"/>
          <a:lstStyle/>
          <a:p>
            <a:pPr>
              <a:defRPr/>
            </a:pPr>
            <a:endParaRPr lang="en-US"/>
          </a:p>
        </c:txPr>
        <c:crossAx val="230760832"/>
        <c:crosses val="autoZero"/>
        <c:auto val="1"/>
        <c:lblAlgn val="ctr"/>
        <c:lblOffset val="100"/>
        <c:noMultiLvlLbl val="0"/>
      </c:catAx>
      <c:valAx>
        <c:axId val="230760832"/>
        <c:scaling>
          <c:orientation val="minMax"/>
          <c:max val="250000"/>
          <c:min val="0"/>
        </c:scaling>
        <c:delete val="0"/>
        <c:axPos val="l"/>
        <c:majorGridlines>
          <c:spPr>
            <a:ln w="3175">
              <a:solidFill>
                <a:srgbClr val="DFDCDA"/>
              </a:solidFill>
              <a:prstDash val="solid"/>
            </a:ln>
          </c:spPr>
        </c:majorGridlines>
        <c:title>
          <c:tx>
            <c:rich>
              <a:bodyPr rot="-5400000" vert="horz"/>
              <a:lstStyle/>
              <a:p>
                <a:pPr>
                  <a:defRPr/>
                </a:pPr>
                <a:r>
                  <a:rPr lang="en-AU"/>
                  <a:t>$ billions</a:t>
                </a:r>
              </a:p>
            </c:rich>
          </c:tx>
          <c:layout>
            <c:manualLayout>
              <c:xMode val="edge"/>
              <c:yMode val="edge"/>
              <c:x val="1.1540337965055101E-2"/>
              <c:y val="0.32350637036391183"/>
            </c:manualLayout>
          </c:layout>
          <c:overlay val="0"/>
        </c:title>
        <c:numFmt formatCode="#,##0" sourceLinked="1"/>
        <c:majorTickMark val="out"/>
        <c:minorTickMark val="none"/>
        <c:tickLblPos val="nextTo"/>
        <c:spPr>
          <a:ln w="6350">
            <a:noFill/>
          </a:ln>
        </c:spPr>
        <c:crossAx val="230754944"/>
        <c:crosses val="autoZero"/>
        <c:crossBetween val="between"/>
        <c:majorUnit val="50000"/>
        <c:dispUnits>
          <c:builtInUnit val="thousands"/>
        </c:dispUnits>
      </c:valAx>
      <c:valAx>
        <c:axId val="487470992"/>
        <c:scaling>
          <c:orientation val="minMax"/>
        </c:scaling>
        <c:delete val="0"/>
        <c:axPos val="r"/>
        <c:title>
          <c:tx>
            <c:rich>
              <a:bodyPr/>
              <a:lstStyle/>
              <a:p>
                <a:pPr>
                  <a:defRPr/>
                </a:pPr>
                <a:r>
                  <a:rPr lang="en-US"/>
                  <a:t>Per cent</a:t>
                </a:r>
              </a:p>
            </c:rich>
          </c:tx>
          <c:overlay val="0"/>
        </c:title>
        <c:numFmt formatCode="General" sourceLinked="0"/>
        <c:majorTickMark val="out"/>
        <c:minorTickMark val="none"/>
        <c:tickLblPos val="nextTo"/>
        <c:crossAx val="487470032"/>
        <c:crosses val="max"/>
        <c:crossBetween val="between"/>
      </c:valAx>
      <c:catAx>
        <c:axId val="487470032"/>
        <c:scaling>
          <c:orientation val="minMax"/>
        </c:scaling>
        <c:delete val="1"/>
        <c:axPos val="b"/>
        <c:numFmt formatCode="General" sourceLinked="1"/>
        <c:majorTickMark val="out"/>
        <c:minorTickMark val="none"/>
        <c:tickLblPos val="nextTo"/>
        <c:crossAx val="487470992"/>
        <c:crosses val="autoZero"/>
        <c:auto val="1"/>
        <c:lblAlgn val="ctr"/>
        <c:lblOffset val="100"/>
        <c:noMultiLvlLbl val="0"/>
      </c:catAx>
      <c:spPr>
        <a:noFill/>
      </c:spPr>
    </c:plotArea>
    <c:legend>
      <c:legendPos val="b"/>
      <c:layout>
        <c:manualLayout>
          <c:xMode val="edge"/>
          <c:yMode val="edge"/>
          <c:x val="0.2257409666333344"/>
          <c:y val="0.85627791238294804"/>
          <c:w val="0.61428526813119677"/>
          <c:h val="7.6829531202680115E-2"/>
        </c:manualLayout>
      </c:layout>
      <c:overlay val="0"/>
      <c:spPr>
        <a:ln>
          <a:noFill/>
        </a:ln>
      </c:spPr>
    </c:legend>
    <c:plotVisOnly val="1"/>
    <c:dispBlanksAs val="gap"/>
    <c:showDLblsOverMax val="0"/>
  </c:chart>
  <c:spPr>
    <a:noFill/>
    <a:ln>
      <a:noFill/>
    </a:ln>
  </c:spPr>
  <c:txPr>
    <a:bodyPr/>
    <a:lstStyle/>
    <a:p>
      <a:pPr>
        <a:defRPr sz="700" b="0">
          <a:solidFill>
            <a:sysClr val="windowText" lastClr="000000"/>
          </a:solidFill>
          <a:latin typeface="Public Sans" pitchFamily="2"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Fiscaloutlook_Overview_Charts!$A$81</c:f>
              <c:strCache>
                <c:ptCount val="1"/>
                <c:pt idx="0">
                  <c:v>Cash deficit 2024-25 Half-Yearly Review</c:v>
                </c:pt>
              </c:strCache>
            </c:strRef>
          </c:tx>
          <c:spPr>
            <a:solidFill>
              <a:schemeClr val="accent1"/>
            </a:solidFill>
            <a:ln>
              <a:noFill/>
            </a:ln>
            <a:effectLst/>
          </c:spPr>
          <c:invertIfNegative val="0"/>
          <c:cat>
            <c:strRef>
              <c:f>Fiscaloutlook_Overview_Charts!$B$80:$F$80</c:f>
              <c:strCache>
                <c:ptCount val="5"/>
                <c:pt idx="0">
                  <c:v>2024-25</c:v>
                </c:pt>
                <c:pt idx="1">
                  <c:v>2025-26</c:v>
                </c:pt>
                <c:pt idx="2">
                  <c:v>2026-27</c:v>
                </c:pt>
                <c:pt idx="3">
                  <c:v>2027-28</c:v>
                </c:pt>
                <c:pt idx="4">
                  <c:v>2028-29</c:v>
                </c:pt>
              </c:strCache>
            </c:strRef>
          </c:cat>
          <c:val>
            <c:numRef>
              <c:f>Fiscaloutlook_Overview_Charts!$B$81:$F$81</c:f>
              <c:numCache>
                <c:formatCode>0</c:formatCode>
                <c:ptCount val="5"/>
                <c:pt idx="0">
                  <c:v>-18337</c:v>
                </c:pt>
                <c:pt idx="1">
                  <c:v>-12838.617856840099</c:v>
                </c:pt>
                <c:pt idx="2">
                  <c:v>-9481.2652984901597</c:v>
                </c:pt>
                <c:pt idx="3">
                  <c:v>-10820.9230991399</c:v>
                </c:pt>
              </c:numCache>
            </c:numRef>
          </c:val>
          <c:extLst>
            <c:ext xmlns:c16="http://schemas.microsoft.com/office/drawing/2014/chart" uri="{C3380CC4-5D6E-409C-BE32-E72D297353CC}">
              <c16:uniqueId val="{00000000-AE2A-4724-9528-4EBBB5A09DF4}"/>
            </c:ext>
          </c:extLst>
        </c:ser>
        <c:ser>
          <c:idx val="1"/>
          <c:order val="1"/>
          <c:tx>
            <c:strRef>
              <c:f>Fiscaloutlook_Overview_Charts!$A$82</c:f>
              <c:strCache>
                <c:ptCount val="1"/>
                <c:pt idx="0">
                  <c:v>Cash deficit 2025-26 Budget</c:v>
                </c:pt>
              </c:strCache>
            </c:strRef>
          </c:tx>
          <c:spPr>
            <a:solidFill>
              <a:schemeClr val="accent2"/>
            </a:solidFill>
            <a:ln>
              <a:noFill/>
            </a:ln>
            <a:effectLst/>
          </c:spPr>
          <c:invertIfNegative val="0"/>
          <c:cat>
            <c:strRef>
              <c:f>Fiscaloutlook_Overview_Charts!$B$80:$F$80</c:f>
              <c:strCache>
                <c:ptCount val="5"/>
                <c:pt idx="0">
                  <c:v>2024-25</c:v>
                </c:pt>
                <c:pt idx="1">
                  <c:v>2025-26</c:v>
                </c:pt>
                <c:pt idx="2">
                  <c:v>2026-27</c:v>
                </c:pt>
                <c:pt idx="3">
                  <c:v>2027-28</c:v>
                </c:pt>
                <c:pt idx="4">
                  <c:v>2028-29</c:v>
                </c:pt>
              </c:strCache>
            </c:strRef>
          </c:cat>
          <c:val>
            <c:numRef>
              <c:f>Fiscaloutlook_Overview_Charts!$B$82:$F$82</c:f>
              <c:numCache>
                <c:formatCode>0</c:formatCode>
                <c:ptCount val="5"/>
                <c:pt idx="0">
                  <c:v>-17429.213770087397</c:v>
                </c:pt>
                <c:pt idx="1">
                  <c:v>-12888.810596060201</c:v>
                </c:pt>
                <c:pt idx="2">
                  <c:v>-9930.86857427018</c:v>
                </c:pt>
                <c:pt idx="3">
                  <c:v>-5516.1445712700897</c:v>
                </c:pt>
                <c:pt idx="4">
                  <c:v>-6012.8120364504603</c:v>
                </c:pt>
              </c:numCache>
            </c:numRef>
          </c:val>
          <c:extLst>
            <c:ext xmlns:c16="http://schemas.microsoft.com/office/drawing/2014/chart" uri="{C3380CC4-5D6E-409C-BE32-E72D297353CC}">
              <c16:uniqueId val="{00000001-AE2A-4724-9528-4EBBB5A09DF4}"/>
            </c:ext>
          </c:extLst>
        </c:ser>
        <c:dLbls>
          <c:showLegendKey val="0"/>
          <c:showVal val="0"/>
          <c:showCatName val="0"/>
          <c:showSerName val="0"/>
          <c:showPercent val="0"/>
          <c:showBubbleSize val="0"/>
        </c:dLbls>
        <c:gapWidth val="230"/>
        <c:axId val="154290815"/>
        <c:axId val="154291295"/>
      </c:barChart>
      <c:catAx>
        <c:axId val="15429081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54291295"/>
        <c:crosses val="autoZero"/>
        <c:auto val="1"/>
        <c:lblAlgn val="ctr"/>
        <c:lblOffset val="100"/>
        <c:noMultiLvlLbl val="0"/>
      </c:catAx>
      <c:valAx>
        <c:axId val="15429129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54290815"/>
        <c:crosses val="autoZero"/>
        <c:crossBetween val="between"/>
        <c:dispUnits>
          <c:builtInUnit val="thousands"/>
          <c:dispUnitsLbl>
            <c:layout>
              <c:manualLayout>
                <c:xMode val="edge"/>
                <c:yMode val="edge"/>
                <c:x val="1.8047880173444393E-2"/>
                <c:y val="0.41028977061660105"/>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billions</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76131006500021E-2"/>
          <c:y val="5.3075995174909532E-2"/>
          <c:w val="0.84162567914304842"/>
          <c:h val="0.67142273681411058"/>
        </c:manualLayout>
      </c:layout>
      <c:barChart>
        <c:barDir val="col"/>
        <c:grouping val="stacked"/>
        <c:varyColors val="0"/>
        <c:ser>
          <c:idx val="3"/>
          <c:order val="0"/>
          <c:tx>
            <c:strRef>
              <c:f>'Chart 8.5 Capex to GSP'!$A$5</c:f>
              <c:strCache>
                <c:ptCount val="1"/>
                <c:pt idx="0">
                  <c:v>GGS Capital Expenditure</c:v>
                </c:pt>
              </c:strCache>
            </c:strRef>
          </c:tx>
          <c:spPr>
            <a:solidFill>
              <a:srgbClr val="0B3F47"/>
            </a:solidFill>
            <a:ln w="12700">
              <a:solidFill>
                <a:schemeClr val="bg1"/>
              </a:solidFill>
            </a:ln>
            <a:effectLst/>
          </c:spPr>
          <c:invertIfNegative val="0"/>
          <c:cat>
            <c:strRef>
              <c:f>'Chart 8.5 Capex to GSP'!$C$1:$AF$1</c:f>
              <c:strCache>
                <c:ptCount val="30"/>
                <c:pt idx="0">
                  <c:v>1999-00</c:v>
                </c:pt>
                <c:pt idx="1">
                  <c:v>2000-01</c:v>
                </c:pt>
                <c:pt idx="2">
                  <c:v>2001-02</c:v>
                </c:pt>
                <c:pt idx="3">
                  <c:v>2002-03</c:v>
                </c:pt>
                <c:pt idx="4">
                  <c:v>2003-04</c:v>
                </c:pt>
                <c:pt idx="5">
                  <c:v>2004-05</c:v>
                </c:pt>
                <c:pt idx="6">
                  <c:v>2005-06</c:v>
                </c:pt>
                <c:pt idx="7">
                  <c:v>2006-07</c:v>
                </c:pt>
                <c:pt idx="8">
                  <c:v>2007-08</c:v>
                </c:pt>
                <c:pt idx="9">
                  <c:v>2008-09</c:v>
                </c:pt>
                <c:pt idx="10">
                  <c:v>2009-10</c:v>
                </c:pt>
                <c:pt idx="11">
                  <c:v>2010-11</c:v>
                </c:pt>
                <c:pt idx="12">
                  <c:v>2011-12</c:v>
                </c:pt>
                <c:pt idx="13">
                  <c:v>2012-13</c:v>
                </c:pt>
                <c:pt idx="14">
                  <c:v>2013-14</c:v>
                </c:pt>
                <c:pt idx="15">
                  <c:v>2014-15</c:v>
                </c:pt>
                <c:pt idx="16">
                  <c:v>2015-16</c:v>
                </c:pt>
                <c:pt idx="17">
                  <c:v>2016-17</c:v>
                </c:pt>
                <c:pt idx="18">
                  <c:v>2017-18</c:v>
                </c:pt>
                <c:pt idx="19">
                  <c:v>2018-19</c:v>
                </c:pt>
                <c:pt idx="20">
                  <c:v>2019-20</c:v>
                </c:pt>
                <c:pt idx="21">
                  <c:v>2020-21</c:v>
                </c:pt>
                <c:pt idx="22">
                  <c:v>2021-22</c:v>
                </c:pt>
                <c:pt idx="23">
                  <c:v>2022-23</c:v>
                </c:pt>
                <c:pt idx="24">
                  <c:v>2023-24</c:v>
                </c:pt>
                <c:pt idx="25">
                  <c:v>2024-25</c:v>
                </c:pt>
                <c:pt idx="26">
                  <c:v>2025-26</c:v>
                </c:pt>
                <c:pt idx="27">
                  <c:v>2026-27</c:v>
                </c:pt>
                <c:pt idx="28">
                  <c:v>2027-28</c:v>
                </c:pt>
                <c:pt idx="29">
                  <c:v>2028-29</c:v>
                </c:pt>
              </c:strCache>
            </c:strRef>
          </c:cat>
          <c:val>
            <c:numRef>
              <c:f>'Chart 8.5 Capex to GSP'!$C$5:$AF$5</c:f>
              <c:numCache>
                <c:formatCode>#,##0</c:formatCode>
                <c:ptCount val="30"/>
                <c:pt idx="0">
                  <c:v>2733</c:v>
                </c:pt>
                <c:pt idx="1">
                  <c:v>2859</c:v>
                </c:pt>
                <c:pt idx="2">
                  <c:v>3102</c:v>
                </c:pt>
                <c:pt idx="3">
                  <c:v>3349</c:v>
                </c:pt>
                <c:pt idx="4">
                  <c:v>3332</c:v>
                </c:pt>
                <c:pt idx="5">
                  <c:v>3343</c:v>
                </c:pt>
                <c:pt idx="6">
                  <c:v>3949</c:v>
                </c:pt>
                <c:pt idx="7">
                  <c:v>4296</c:v>
                </c:pt>
                <c:pt idx="8">
                  <c:v>4670</c:v>
                </c:pt>
                <c:pt idx="9">
                  <c:v>5264</c:v>
                </c:pt>
                <c:pt idx="10">
                  <c:v>7286</c:v>
                </c:pt>
                <c:pt idx="11">
                  <c:v>7047</c:v>
                </c:pt>
                <c:pt idx="12">
                  <c:v>5880</c:v>
                </c:pt>
                <c:pt idx="13">
                  <c:v>7873</c:v>
                </c:pt>
                <c:pt idx="14">
                  <c:v>8546</c:v>
                </c:pt>
                <c:pt idx="15">
                  <c:v>9483</c:v>
                </c:pt>
                <c:pt idx="16">
                  <c:v>9351.3639987299994</c:v>
                </c:pt>
                <c:pt idx="17">
                  <c:v>10546.352999999999</c:v>
                </c:pt>
                <c:pt idx="18">
                  <c:v>12121.065581139999</c:v>
                </c:pt>
                <c:pt idx="19">
                  <c:v>16622.816443531599</c:v>
                </c:pt>
                <c:pt idx="20">
                  <c:v>20358</c:v>
                </c:pt>
                <c:pt idx="21">
                  <c:v>18818</c:v>
                </c:pt>
                <c:pt idx="22">
                  <c:v>20600</c:v>
                </c:pt>
                <c:pt idx="23">
                  <c:v>22071</c:v>
                </c:pt>
                <c:pt idx="24">
                  <c:v>22918.91847905</c:v>
                </c:pt>
                <c:pt idx="25">
                  <c:v>22314.970772759702</c:v>
                </c:pt>
                <c:pt idx="26">
                  <c:v>22343.346421529997</c:v>
                </c:pt>
                <c:pt idx="27">
                  <c:v>22043.154229810003</c:v>
                </c:pt>
                <c:pt idx="28">
                  <c:v>21480.07455275</c:v>
                </c:pt>
                <c:pt idx="29">
                  <c:v>20110.689176490003</c:v>
                </c:pt>
              </c:numCache>
            </c:numRef>
          </c:val>
          <c:extLst>
            <c:ext xmlns:c16="http://schemas.microsoft.com/office/drawing/2014/chart" uri="{C3380CC4-5D6E-409C-BE32-E72D297353CC}">
              <c16:uniqueId val="{00000000-741A-4856-91AD-7C60946412AF}"/>
            </c:ext>
          </c:extLst>
        </c:ser>
        <c:ser>
          <c:idx val="5"/>
          <c:order val="2"/>
          <c:tx>
            <c:strRef>
              <c:f>'Chart 8.5 Capex to GSP'!$A$7</c:f>
              <c:strCache>
                <c:ptCount val="1"/>
                <c:pt idx="0">
                  <c:v>PNFC Capital Expenditure</c:v>
                </c:pt>
              </c:strCache>
            </c:strRef>
          </c:tx>
          <c:spPr>
            <a:solidFill>
              <a:srgbClr val="2E808E"/>
            </a:solidFill>
            <a:ln w="12700">
              <a:solidFill>
                <a:schemeClr val="bg1"/>
              </a:solidFill>
            </a:ln>
            <a:effectLst/>
          </c:spPr>
          <c:invertIfNegative val="0"/>
          <c:cat>
            <c:strRef>
              <c:f>'Chart 8.5 Capex to GSP'!$C$1:$AF$1</c:f>
              <c:strCache>
                <c:ptCount val="30"/>
                <c:pt idx="0">
                  <c:v>1999-00</c:v>
                </c:pt>
                <c:pt idx="1">
                  <c:v>2000-01</c:v>
                </c:pt>
                <c:pt idx="2">
                  <c:v>2001-02</c:v>
                </c:pt>
                <c:pt idx="3">
                  <c:v>2002-03</c:v>
                </c:pt>
                <c:pt idx="4">
                  <c:v>2003-04</c:v>
                </c:pt>
                <c:pt idx="5">
                  <c:v>2004-05</c:v>
                </c:pt>
                <c:pt idx="6">
                  <c:v>2005-06</c:v>
                </c:pt>
                <c:pt idx="7">
                  <c:v>2006-07</c:v>
                </c:pt>
                <c:pt idx="8">
                  <c:v>2007-08</c:v>
                </c:pt>
                <c:pt idx="9">
                  <c:v>2008-09</c:v>
                </c:pt>
                <c:pt idx="10">
                  <c:v>2009-10</c:v>
                </c:pt>
                <c:pt idx="11">
                  <c:v>2010-11</c:v>
                </c:pt>
                <c:pt idx="12">
                  <c:v>2011-12</c:v>
                </c:pt>
                <c:pt idx="13">
                  <c:v>2012-13</c:v>
                </c:pt>
                <c:pt idx="14">
                  <c:v>2013-14</c:v>
                </c:pt>
                <c:pt idx="15">
                  <c:v>2014-15</c:v>
                </c:pt>
                <c:pt idx="16">
                  <c:v>2015-16</c:v>
                </c:pt>
                <c:pt idx="17">
                  <c:v>2016-17</c:v>
                </c:pt>
                <c:pt idx="18">
                  <c:v>2017-18</c:v>
                </c:pt>
                <c:pt idx="19">
                  <c:v>2018-19</c:v>
                </c:pt>
                <c:pt idx="20">
                  <c:v>2019-20</c:v>
                </c:pt>
                <c:pt idx="21">
                  <c:v>2020-21</c:v>
                </c:pt>
                <c:pt idx="22">
                  <c:v>2021-22</c:v>
                </c:pt>
                <c:pt idx="23">
                  <c:v>2022-23</c:v>
                </c:pt>
                <c:pt idx="24">
                  <c:v>2023-24</c:v>
                </c:pt>
                <c:pt idx="25">
                  <c:v>2024-25</c:v>
                </c:pt>
                <c:pt idx="26">
                  <c:v>2025-26</c:v>
                </c:pt>
                <c:pt idx="27">
                  <c:v>2026-27</c:v>
                </c:pt>
                <c:pt idx="28">
                  <c:v>2027-28</c:v>
                </c:pt>
                <c:pt idx="29">
                  <c:v>2028-29</c:v>
                </c:pt>
              </c:strCache>
            </c:strRef>
          </c:cat>
          <c:val>
            <c:numRef>
              <c:f>'Chart 8.5 Capex to GSP'!$C$7:$AF$7</c:f>
              <c:numCache>
                <c:formatCode>#,##0</c:formatCode>
                <c:ptCount val="30"/>
                <c:pt idx="0">
                  <c:v>2727</c:v>
                </c:pt>
                <c:pt idx="1">
                  <c:v>2506</c:v>
                </c:pt>
                <c:pt idx="2">
                  <c:v>2978</c:v>
                </c:pt>
                <c:pt idx="3">
                  <c:v>3348</c:v>
                </c:pt>
                <c:pt idx="4">
                  <c:v>3374</c:v>
                </c:pt>
                <c:pt idx="5">
                  <c:v>3594</c:v>
                </c:pt>
                <c:pt idx="6">
                  <c:v>4369</c:v>
                </c:pt>
                <c:pt idx="7">
                  <c:v>5410</c:v>
                </c:pt>
                <c:pt idx="8">
                  <c:v>6468</c:v>
                </c:pt>
                <c:pt idx="9">
                  <c:v>8004</c:v>
                </c:pt>
                <c:pt idx="10">
                  <c:v>9054</c:v>
                </c:pt>
                <c:pt idx="11">
                  <c:v>7808</c:v>
                </c:pt>
                <c:pt idx="12">
                  <c:v>7187</c:v>
                </c:pt>
                <c:pt idx="13">
                  <c:v>6270</c:v>
                </c:pt>
                <c:pt idx="14">
                  <c:v>5323</c:v>
                </c:pt>
                <c:pt idx="15">
                  <c:v>3925</c:v>
                </c:pt>
                <c:pt idx="16">
                  <c:v>6823.6360012700006</c:v>
                </c:pt>
                <c:pt idx="17">
                  <c:v>7651.6470000000008</c:v>
                </c:pt>
                <c:pt idx="18">
                  <c:v>5762.5146773699998</c:v>
                </c:pt>
                <c:pt idx="19">
                  <c:v>5202.48123442</c:v>
                </c:pt>
                <c:pt idx="20">
                  <c:v>4459.4553986621395</c:v>
                </c:pt>
                <c:pt idx="21">
                  <c:v>5644.4300639378016</c:v>
                </c:pt>
                <c:pt idx="22">
                  <c:v>5220.0374191662195</c:v>
                </c:pt>
                <c:pt idx="23">
                  <c:v>5573.6959602999996</c:v>
                </c:pt>
                <c:pt idx="24">
                  <c:v>8140.2040510600018</c:v>
                </c:pt>
                <c:pt idx="25">
                  <c:v>6331.3913730593995</c:v>
                </c:pt>
                <c:pt idx="26">
                  <c:v>8472.2648386100009</c:v>
                </c:pt>
                <c:pt idx="27">
                  <c:v>8309.5317786799969</c:v>
                </c:pt>
                <c:pt idx="28">
                  <c:v>7855.8885981899984</c:v>
                </c:pt>
                <c:pt idx="29">
                  <c:v>7718.1801059099998</c:v>
                </c:pt>
              </c:numCache>
            </c:numRef>
          </c:val>
          <c:extLst>
            <c:ext xmlns:c16="http://schemas.microsoft.com/office/drawing/2014/chart" uri="{C3380CC4-5D6E-409C-BE32-E72D297353CC}">
              <c16:uniqueId val="{00000001-741A-4856-91AD-7C60946412AF}"/>
            </c:ext>
          </c:extLst>
        </c:ser>
        <c:dLbls>
          <c:showLegendKey val="0"/>
          <c:showVal val="0"/>
          <c:showCatName val="0"/>
          <c:showSerName val="0"/>
          <c:showPercent val="0"/>
          <c:showBubbleSize val="0"/>
        </c:dLbls>
        <c:gapWidth val="100"/>
        <c:overlap val="100"/>
        <c:axId val="835542624"/>
        <c:axId val="1958557184"/>
      </c:barChart>
      <c:lineChart>
        <c:grouping val="standard"/>
        <c:varyColors val="0"/>
        <c:ser>
          <c:idx val="4"/>
          <c:order val="1"/>
          <c:tx>
            <c:strRef>
              <c:f>'Chart 8.5 Capex to GSP'!$A$6</c:f>
              <c:strCache>
                <c:ptCount val="1"/>
                <c:pt idx="0">
                  <c:v>GGS Capital Expenditure as a % of GSP</c:v>
                </c:pt>
              </c:strCache>
            </c:strRef>
          </c:tx>
          <c:spPr>
            <a:ln w="28575" cap="rnd">
              <a:solidFill>
                <a:srgbClr val="F3631B"/>
              </a:solidFill>
              <a:prstDash val="dash"/>
              <a:round/>
            </a:ln>
            <a:effectLst/>
          </c:spPr>
          <c:marker>
            <c:symbol val="none"/>
          </c:marker>
          <c:cat>
            <c:strRef>
              <c:f>'Chart 8.5 Capex to GSP'!$C$1:$AF$1</c:f>
              <c:strCache>
                <c:ptCount val="30"/>
                <c:pt idx="0">
                  <c:v>1999-00</c:v>
                </c:pt>
                <c:pt idx="1">
                  <c:v>2000-01</c:v>
                </c:pt>
                <c:pt idx="2">
                  <c:v>2001-02</c:v>
                </c:pt>
                <c:pt idx="3">
                  <c:v>2002-03</c:v>
                </c:pt>
                <c:pt idx="4">
                  <c:v>2003-04</c:v>
                </c:pt>
                <c:pt idx="5">
                  <c:v>2004-05</c:v>
                </c:pt>
                <c:pt idx="6">
                  <c:v>2005-06</c:v>
                </c:pt>
                <c:pt idx="7">
                  <c:v>2006-07</c:v>
                </c:pt>
                <c:pt idx="8">
                  <c:v>2007-08</c:v>
                </c:pt>
                <c:pt idx="9">
                  <c:v>2008-09</c:v>
                </c:pt>
                <c:pt idx="10">
                  <c:v>2009-10</c:v>
                </c:pt>
                <c:pt idx="11">
                  <c:v>2010-11</c:v>
                </c:pt>
                <c:pt idx="12">
                  <c:v>2011-12</c:v>
                </c:pt>
                <c:pt idx="13">
                  <c:v>2012-13</c:v>
                </c:pt>
                <c:pt idx="14">
                  <c:v>2013-14</c:v>
                </c:pt>
                <c:pt idx="15">
                  <c:v>2014-15</c:v>
                </c:pt>
                <c:pt idx="16">
                  <c:v>2015-16</c:v>
                </c:pt>
                <c:pt idx="17">
                  <c:v>2016-17</c:v>
                </c:pt>
                <c:pt idx="18">
                  <c:v>2017-18</c:v>
                </c:pt>
                <c:pt idx="19">
                  <c:v>2018-19</c:v>
                </c:pt>
                <c:pt idx="20">
                  <c:v>2019-20</c:v>
                </c:pt>
                <c:pt idx="21">
                  <c:v>2020-21</c:v>
                </c:pt>
                <c:pt idx="22">
                  <c:v>2021-22</c:v>
                </c:pt>
                <c:pt idx="23">
                  <c:v>2022-23</c:v>
                </c:pt>
                <c:pt idx="24">
                  <c:v>2023-24</c:v>
                </c:pt>
                <c:pt idx="25">
                  <c:v>2024-25</c:v>
                </c:pt>
                <c:pt idx="26">
                  <c:v>2025-26</c:v>
                </c:pt>
                <c:pt idx="27">
                  <c:v>2026-27</c:v>
                </c:pt>
                <c:pt idx="28">
                  <c:v>2027-28</c:v>
                </c:pt>
                <c:pt idx="29">
                  <c:v>2028-29</c:v>
                </c:pt>
              </c:strCache>
            </c:strRef>
          </c:cat>
          <c:val>
            <c:numRef>
              <c:f>'Chart 8.5 Capex to GSP'!$C$6:$AF$6</c:f>
              <c:numCache>
                <c:formatCode>0.0%</c:formatCode>
                <c:ptCount val="30"/>
                <c:pt idx="0">
                  <c:v>1.1308388399488578E-2</c:v>
                </c:pt>
                <c:pt idx="1">
                  <c:v>1.1204470815077245E-2</c:v>
                </c:pt>
                <c:pt idx="2">
                  <c:v>1.1723710467436657E-2</c:v>
                </c:pt>
                <c:pt idx="3">
                  <c:v>1.1998466603849971E-2</c:v>
                </c:pt>
                <c:pt idx="4">
                  <c:v>1.1102891683494279E-2</c:v>
                </c:pt>
                <c:pt idx="5">
                  <c:v>1.0583099331710359E-2</c:v>
                </c:pt>
                <c:pt idx="6">
                  <c:v>1.1881194076552318E-2</c:v>
                </c:pt>
                <c:pt idx="7">
                  <c:v>1.2170144053031913E-2</c:v>
                </c:pt>
                <c:pt idx="8">
                  <c:v>1.2399437113347317E-2</c:v>
                </c:pt>
                <c:pt idx="9">
                  <c:v>1.3343033055944925E-2</c:v>
                </c:pt>
                <c:pt idx="10">
                  <c:v>1.7628713074911144E-2</c:v>
                </c:pt>
                <c:pt idx="11">
                  <c:v>1.5854588651381285E-2</c:v>
                </c:pt>
                <c:pt idx="12">
                  <c:v>1.2651364540032533E-2</c:v>
                </c:pt>
                <c:pt idx="13">
                  <c:v>1.6407073818286395E-2</c:v>
                </c:pt>
                <c:pt idx="14">
                  <c:v>1.7254084873299779E-2</c:v>
                </c:pt>
                <c:pt idx="15">
                  <c:v>1.8466337830969622E-2</c:v>
                </c:pt>
                <c:pt idx="16">
                  <c:v>1.7365159241708183E-2</c:v>
                </c:pt>
                <c:pt idx="17">
                  <c:v>1.8286908981196982E-2</c:v>
                </c:pt>
                <c:pt idx="18">
                  <c:v>2.0054708109099931E-2</c:v>
                </c:pt>
                <c:pt idx="19">
                  <c:v>2.6579495432573711E-2</c:v>
                </c:pt>
                <c:pt idx="20">
                  <c:v>3.2588442452377138E-2</c:v>
                </c:pt>
                <c:pt idx="21">
                  <c:v>2.8986444855206409E-2</c:v>
                </c:pt>
                <c:pt idx="22">
                  <c:v>2.953828505878979E-2</c:v>
                </c:pt>
                <c:pt idx="23">
                  <c:v>2.8394442300270165E-2</c:v>
                </c:pt>
                <c:pt idx="24">
                  <c:v>2.792265896570419E-2</c:v>
                </c:pt>
                <c:pt idx="25">
                  <c:v>2.6203582401079967E-2</c:v>
                </c:pt>
                <c:pt idx="26">
                  <c:v>2.5404600820386581E-2</c:v>
                </c:pt>
                <c:pt idx="27">
                  <c:v>2.3897608661979621E-2</c:v>
                </c:pt>
                <c:pt idx="28">
                  <c:v>2.2192452270637462E-2</c:v>
                </c:pt>
                <c:pt idx="29">
                  <c:v>1.9747338154448155E-2</c:v>
                </c:pt>
              </c:numCache>
            </c:numRef>
          </c:val>
          <c:smooth val="0"/>
          <c:extLst>
            <c:ext xmlns:c16="http://schemas.microsoft.com/office/drawing/2014/chart" uri="{C3380CC4-5D6E-409C-BE32-E72D297353CC}">
              <c16:uniqueId val="{00000002-741A-4856-91AD-7C60946412AF}"/>
            </c:ext>
          </c:extLst>
        </c:ser>
        <c:dLbls>
          <c:showLegendKey val="0"/>
          <c:showVal val="0"/>
          <c:showCatName val="0"/>
          <c:showSerName val="0"/>
          <c:showPercent val="0"/>
          <c:showBubbleSize val="0"/>
        </c:dLbls>
        <c:marker val="1"/>
        <c:smooth val="0"/>
        <c:axId val="1619168383"/>
        <c:axId val="15149007"/>
      </c:lineChart>
      <c:catAx>
        <c:axId val="835542624"/>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en-US" sz="700" b="0" i="0" u="none" strike="noStrike" kern="1200" baseline="0">
                <a:solidFill>
                  <a:schemeClr val="tx1"/>
                </a:solidFill>
                <a:latin typeface="Public Sans" pitchFamily="2" charset="0"/>
                <a:ea typeface="+mn-ea"/>
                <a:cs typeface="+mn-cs"/>
              </a:defRPr>
            </a:pPr>
            <a:endParaRPr lang="en-US"/>
          </a:p>
        </c:txPr>
        <c:crossAx val="1958557184"/>
        <c:crosses val="autoZero"/>
        <c:auto val="1"/>
        <c:lblAlgn val="ctr"/>
        <c:lblOffset val="100"/>
        <c:noMultiLvlLbl val="0"/>
      </c:catAx>
      <c:valAx>
        <c:axId val="1958557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0" i="0" u="none" strike="noStrike" kern="1200" baseline="0">
                    <a:solidFill>
                      <a:schemeClr val="tx1"/>
                    </a:solidFill>
                    <a:latin typeface="Public Sans" pitchFamily="2" charset="0"/>
                    <a:ea typeface="+mn-ea"/>
                    <a:cs typeface="+mn-cs"/>
                  </a:defRPr>
                </a:pPr>
                <a:r>
                  <a:rPr lang="en-US"/>
                  <a:t>$ billions</a:t>
                </a:r>
              </a:p>
            </c:rich>
          </c:tx>
          <c:overlay val="0"/>
          <c:spPr>
            <a:noFill/>
            <a:ln>
              <a:noFill/>
            </a:ln>
            <a:effectLst/>
          </c:spPr>
          <c:txPr>
            <a:bodyPr rot="-5400000" spcFirstLastPara="1" vertOverflow="ellipsis" vert="horz" wrap="square" anchor="ctr" anchorCtr="1"/>
            <a:lstStyle/>
            <a:p>
              <a:pPr>
                <a:defRPr lang="en-US" sz="700" b="0" i="0" u="none" strike="noStrike" kern="1200" baseline="0">
                  <a:solidFill>
                    <a:schemeClr val="tx1"/>
                  </a:solidFill>
                  <a:latin typeface="Public Sans" pitchFamily="2" charset="0"/>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chemeClr val="tx1"/>
                </a:solidFill>
                <a:latin typeface="Public Sans" pitchFamily="2" charset="0"/>
                <a:ea typeface="+mn-ea"/>
                <a:cs typeface="+mn-cs"/>
              </a:defRPr>
            </a:pPr>
            <a:endParaRPr lang="en-US"/>
          </a:p>
        </c:txPr>
        <c:crossAx val="835542624"/>
        <c:crosses val="autoZero"/>
        <c:crossBetween val="between"/>
        <c:dispUnits>
          <c:builtInUnit val="thousands"/>
        </c:dispUnits>
      </c:valAx>
      <c:valAx>
        <c:axId val="15149007"/>
        <c:scaling>
          <c:orientation val="minMax"/>
          <c:max val="0.1"/>
        </c:scaling>
        <c:delete val="0"/>
        <c:axPos val="r"/>
        <c:title>
          <c:tx>
            <c:rich>
              <a:bodyPr rot="-5400000" spcFirstLastPara="1" vertOverflow="ellipsis" vert="horz" wrap="square" anchor="ctr" anchorCtr="1"/>
              <a:lstStyle/>
              <a:p>
                <a:pPr>
                  <a:defRPr lang="en-US" sz="700" b="0" i="0" u="none" strike="noStrike" kern="1200" baseline="0">
                    <a:solidFill>
                      <a:schemeClr val="tx1"/>
                    </a:solidFill>
                    <a:latin typeface="Public Sans" pitchFamily="2" charset="0"/>
                    <a:ea typeface="+mn-ea"/>
                    <a:cs typeface="+mn-cs"/>
                  </a:defRPr>
                </a:pPr>
                <a:r>
                  <a:rPr lang="en-AU"/>
                  <a:t>Per cent of GSP</a:t>
                </a:r>
              </a:p>
            </c:rich>
          </c:tx>
          <c:overlay val="0"/>
          <c:spPr>
            <a:noFill/>
            <a:ln>
              <a:noFill/>
            </a:ln>
            <a:effectLst/>
          </c:spPr>
          <c:txPr>
            <a:bodyPr rot="-5400000" spcFirstLastPara="1" vertOverflow="ellipsis" vert="horz" wrap="square" anchor="ctr" anchorCtr="1"/>
            <a:lstStyle/>
            <a:p>
              <a:pPr>
                <a:defRPr lang="en-US" sz="700" b="0" i="0" u="none" strike="noStrike" kern="1200" baseline="0">
                  <a:solidFill>
                    <a:schemeClr val="tx1"/>
                  </a:solidFill>
                  <a:latin typeface="Public Sans" pitchFamily="2" charset="0"/>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chemeClr val="tx1"/>
                </a:solidFill>
                <a:latin typeface="Public Sans" pitchFamily="2" charset="0"/>
                <a:ea typeface="+mn-ea"/>
                <a:cs typeface="+mn-cs"/>
              </a:defRPr>
            </a:pPr>
            <a:endParaRPr lang="en-US"/>
          </a:p>
        </c:txPr>
        <c:crossAx val="1619168383"/>
        <c:crosses val="max"/>
        <c:crossBetween val="between"/>
      </c:valAx>
      <c:catAx>
        <c:axId val="1619168383"/>
        <c:scaling>
          <c:orientation val="minMax"/>
        </c:scaling>
        <c:delete val="1"/>
        <c:axPos val="b"/>
        <c:numFmt formatCode="General" sourceLinked="1"/>
        <c:majorTickMark val="out"/>
        <c:minorTickMark val="none"/>
        <c:tickLblPos val="nextTo"/>
        <c:crossAx val="1514900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700" b="0" i="0" u="none" strike="noStrike" kern="1200" baseline="0">
              <a:solidFill>
                <a:schemeClr val="tx1"/>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lang="en-US" sz="700" b="0" i="0" u="none" strike="noStrike" kern="1200" baseline="0">
          <a:solidFill>
            <a:schemeClr val="tx1"/>
          </a:solidFill>
          <a:latin typeface="Public Sans" pitchFamily="2" charset="0"/>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0.53169</cdr:x>
      <cdr:y>0.74687</cdr:y>
    </cdr:from>
    <cdr:to>
      <cdr:x>0.9965</cdr:x>
      <cdr:y>0.79589</cdr:y>
    </cdr:to>
    <cdr:sp macro="" textlink="">
      <cdr:nvSpPr>
        <cdr:cNvPr id="5" name="TextBox 6">
          <a:extLst xmlns:a="http://schemas.openxmlformats.org/drawingml/2006/main">
            <a:ext uri="{FF2B5EF4-FFF2-40B4-BE49-F238E27FC236}">
              <a16:creationId xmlns:a16="http://schemas.microsoft.com/office/drawing/2014/main" id="{4190909F-2277-68BD-806C-EF9B255827D3}"/>
            </a:ext>
          </a:extLst>
        </cdr:cNvPr>
        <cdr:cNvSpPr txBox="1"/>
      </cdr:nvSpPr>
      <cdr:spPr>
        <a:xfrm xmlns:a="http://schemas.openxmlformats.org/drawingml/2006/main">
          <a:off x="3237131" y="1728687"/>
          <a:ext cx="2829940" cy="11346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700">
              <a:latin typeface="Public Sans" pitchFamily="2" charset="0"/>
            </a:rPr>
            <a:t>Average</a:t>
          </a:r>
          <a:r>
            <a:rPr lang="en-AU" sz="700" baseline="0">
              <a:latin typeface="Public Sans" pitchFamily="2" charset="0"/>
            </a:rPr>
            <a:t> rate of growth from Jun-25 to Jun-29 (</a:t>
          </a:r>
          <a:r>
            <a:rPr lang="en-AU" sz="700" b="0" baseline="0">
              <a:latin typeface="Public Sans" pitchFamily="2" charset="0"/>
            </a:rPr>
            <a:t>5.3 per cent)</a:t>
          </a:r>
          <a:endParaRPr lang="en-AU" sz="700" b="0">
            <a:latin typeface="Public Sans" pitchFamily="2" charset="0"/>
          </a:endParaRPr>
        </a:p>
      </cdr:txBody>
    </cdr:sp>
  </cdr:relSizeAnchor>
  <cdr:relSizeAnchor xmlns:cdr="http://schemas.openxmlformats.org/drawingml/2006/chartDrawing">
    <cdr:from>
      <cdr:x>0.1491</cdr:x>
      <cdr:y>0.48116</cdr:y>
    </cdr:from>
    <cdr:to>
      <cdr:x>0.5274</cdr:x>
      <cdr:y>0.58114</cdr:y>
    </cdr:to>
    <cdr:sp macro="" textlink="">
      <cdr:nvSpPr>
        <cdr:cNvPr id="4" name="TextBox 6">
          <a:extLst xmlns:a="http://schemas.openxmlformats.org/drawingml/2006/main">
            <a:ext uri="{FF2B5EF4-FFF2-40B4-BE49-F238E27FC236}">
              <a16:creationId xmlns:a16="http://schemas.microsoft.com/office/drawing/2014/main" id="{75A1A1ED-E6CC-D8A4-A4BE-36C994CF6EE4}"/>
            </a:ext>
          </a:extLst>
        </cdr:cNvPr>
        <cdr:cNvSpPr txBox="1"/>
      </cdr:nvSpPr>
      <cdr:spPr>
        <a:xfrm xmlns:a="http://schemas.openxmlformats.org/drawingml/2006/main">
          <a:off x="907773" y="1113683"/>
          <a:ext cx="2303239" cy="231413"/>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700">
              <a:latin typeface="Public Sans" pitchFamily="2" charset="0"/>
            </a:rPr>
            <a:t>Average</a:t>
          </a:r>
          <a:r>
            <a:rPr lang="en-AU" sz="700" baseline="0">
              <a:latin typeface="Public Sans" pitchFamily="2" charset="0"/>
            </a:rPr>
            <a:t> rate of growth from Jun-20 to Jun-24 </a:t>
          </a:r>
        </a:p>
        <a:p xmlns:a="http://schemas.openxmlformats.org/drawingml/2006/main">
          <a:r>
            <a:rPr lang="en-AU" sz="700" baseline="0">
              <a:latin typeface="Public Sans" pitchFamily="2" charset="0"/>
            </a:rPr>
            <a:t>(</a:t>
          </a:r>
          <a:r>
            <a:rPr lang="en-AU" sz="700" b="0" baseline="0">
              <a:latin typeface="Public Sans" pitchFamily="2" charset="0"/>
            </a:rPr>
            <a:t>34.2 per cent)</a:t>
          </a:r>
          <a:endParaRPr lang="en-AU" sz="700" b="0">
            <a:latin typeface="Public Sans" pitchFamily="2"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0.10789</cdr:x>
      <cdr:y>0.64087</cdr:y>
    </cdr:from>
    <cdr:to>
      <cdr:x>0.23131</cdr:x>
      <cdr:y>0.68941</cdr:y>
    </cdr:to>
    <cdr:sp macro="" textlink="">
      <cdr:nvSpPr>
        <cdr:cNvPr id="2" name="TextBox 1">
          <a:extLst xmlns:a="http://schemas.openxmlformats.org/drawingml/2006/main">
            <a:ext uri="{FF2B5EF4-FFF2-40B4-BE49-F238E27FC236}">
              <a16:creationId xmlns:a16="http://schemas.microsoft.com/office/drawing/2014/main" id="{B6F831CA-0E18-4BCC-A226-A6FFB9A0A784}"/>
            </a:ext>
          </a:extLst>
        </cdr:cNvPr>
        <cdr:cNvSpPr txBox="1"/>
      </cdr:nvSpPr>
      <cdr:spPr>
        <a:xfrm xmlns:a="http://schemas.openxmlformats.org/drawingml/2006/main">
          <a:off x="1028700" y="2051050"/>
          <a:ext cx="1176721" cy="1553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700" b="1" i="0" u="none" strike="noStrike">
            <a:solidFill>
              <a:srgbClr val="57514D"/>
            </a:solidFill>
            <a:latin typeface="Arial" panose="020B0604020202020204" pitchFamily="34" charset="0"/>
            <a:cs typeface="Arial" panose="020B0604020202020204" pitchFamily="34" charset="0"/>
          </a:endParaRPr>
        </a:p>
        <a:p xmlns:a="http://schemas.openxmlformats.org/drawingml/2006/main">
          <a:r>
            <a:rPr lang="en-US" sz="700" b="1" i="0" u="none" strike="noStrike" baseline="0">
              <a:solidFill>
                <a:srgbClr val="57514D"/>
              </a:solidFill>
              <a:latin typeface="Arial" panose="020B0604020202020204" pitchFamily="34" charset="0"/>
              <a:cs typeface="Arial" panose="020B0604020202020204" pitchFamily="34" charset="0"/>
            </a:rPr>
            <a:t> </a:t>
          </a:r>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0.30422</cdr:x>
      <cdr:y>0.28331</cdr:y>
    </cdr:from>
    <cdr:to>
      <cdr:x>0.52345</cdr:x>
      <cdr:y>0.33878</cdr:y>
    </cdr:to>
    <cdr:sp macro="" textlink="">
      <cdr:nvSpPr>
        <cdr:cNvPr id="5" name="TextBox 1">
          <a:extLst xmlns:a="http://schemas.openxmlformats.org/drawingml/2006/main">
            <a:ext uri="{FF2B5EF4-FFF2-40B4-BE49-F238E27FC236}">
              <a16:creationId xmlns:a16="http://schemas.microsoft.com/office/drawing/2014/main" id="{C84D2490-4BEC-4AA2-9570-572125CF9435}"/>
            </a:ext>
          </a:extLst>
        </cdr:cNvPr>
        <cdr:cNvSpPr txBox="1"/>
      </cdr:nvSpPr>
      <cdr:spPr>
        <a:xfrm xmlns:a="http://schemas.openxmlformats.org/drawingml/2006/main">
          <a:off x="1769166" y="854728"/>
          <a:ext cx="1274877" cy="1673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C82E168B-F0E9-4D66-B19B-9E0055E608C3}" type="TxLink">
            <a:rPr lang="en-US" sz="700" b="1" i="0" u="none" strike="noStrike">
              <a:solidFill>
                <a:srgbClr val="000000"/>
              </a:solidFill>
              <a:latin typeface="Public Sans" pitchFamily="2" charset="0"/>
              <a:cs typeface="Arial" panose="020B0604020202020204" pitchFamily="34" charset="0"/>
            </a:rPr>
            <a:pPr algn="ctr"/>
            <a:t>Average: $22.2 billion</a:t>
          </a:fld>
          <a:endParaRPr lang="en-AU" sz="100" b="1">
            <a:solidFill>
              <a:schemeClr val="tx1">
                <a:lumMod val="75000"/>
                <a:lumOff val="25000"/>
              </a:schemeClr>
            </a:solidFill>
            <a:latin typeface="Public Sans" pitchFamily="2" charset="0"/>
            <a:cs typeface="Arial" panose="020B0604020202020204" pitchFamily="34" charset="0"/>
          </a:endParaRPr>
        </a:p>
      </cdr:txBody>
    </cdr:sp>
  </cdr:relSizeAnchor>
  <cdr:relSizeAnchor xmlns:cdr="http://schemas.openxmlformats.org/drawingml/2006/chartDrawing">
    <cdr:from>
      <cdr:x>0.07217</cdr:x>
      <cdr:y>0.4197</cdr:y>
    </cdr:from>
    <cdr:to>
      <cdr:x>0.3086</cdr:x>
      <cdr:y>0.50426</cdr:y>
    </cdr:to>
    <cdr:sp macro="" textlink="">
      <cdr:nvSpPr>
        <cdr:cNvPr id="6" name="TextBox 1">
          <a:extLst xmlns:a="http://schemas.openxmlformats.org/drawingml/2006/main">
            <a:ext uri="{FF2B5EF4-FFF2-40B4-BE49-F238E27FC236}">
              <a16:creationId xmlns:a16="http://schemas.microsoft.com/office/drawing/2014/main" id="{C84D2490-4BEC-4AA2-9570-572125CF9435}"/>
            </a:ext>
          </a:extLst>
        </cdr:cNvPr>
        <cdr:cNvSpPr txBox="1"/>
      </cdr:nvSpPr>
      <cdr:spPr>
        <a:xfrm xmlns:a="http://schemas.openxmlformats.org/drawingml/2006/main">
          <a:off x="419716" y="1266192"/>
          <a:ext cx="1374884" cy="2551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5A02ECCA-74D1-4DBD-A1AC-D6BD75BAA180}" type="TxLink">
            <a:rPr lang="en-US" sz="700" b="1" i="0" u="none" strike="noStrike">
              <a:solidFill>
                <a:srgbClr val="000000"/>
              </a:solidFill>
              <a:latin typeface="Public Sans" pitchFamily="2" charset="0"/>
              <a:cs typeface="Arial" panose="020B0604020202020204" pitchFamily="34" charset="0"/>
            </a:rPr>
            <a:pPr algn="ctr"/>
            <a:t>Average: $15.4 billion</a:t>
          </a:fld>
          <a:endParaRPr lang="en-AU" sz="700" b="1">
            <a:solidFill>
              <a:schemeClr val="tx1">
                <a:lumMod val="75000"/>
                <a:lumOff val="25000"/>
              </a:schemeClr>
            </a:solidFill>
            <a:latin typeface="Public Sans" pitchFamily="2" charset="0"/>
            <a:cs typeface="Arial" panose="020B0604020202020204" pitchFamily="34" charset="0"/>
          </a:endParaRPr>
        </a:p>
      </cdr:txBody>
    </cdr:sp>
  </cdr:relSizeAnchor>
  <cdr:relSizeAnchor xmlns:cdr="http://schemas.openxmlformats.org/drawingml/2006/chartDrawing">
    <cdr:from>
      <cdr:x>0.74248</cdr:x>
      <cdr:y>0.10676</cdr:y>
    </cdr:from>
    <cdr:to>
      <cdr:x>0.97032</cdr:x>
      <cdr:y>0.15757</cdr:y>
    </cdr:to>
    <cdr:sp macro="" textlink="">
      <cdr:nvSpPr>
        <cdr:cNvPr id="7" name="TextBox 1">
          <a:extLst xmlns:a="http://schemas.openxmlformats.org/drawingml/2006/main">
            <a:ext uri="{FF2B5EF4-FFF2-40B4-BE49-F238E27FC236}">
              <a16:creationId xmlns:a16="http://schemas.microsoft.com/office/drawing/2014/main" id="{94CF23C3-EB13-461C-9D20-EA72409A56A1}"/>
            </a:ext>
          </a:extLst>
        </cdr:cNvPr>
        <cdr:cNvSpPr txBox="1"/>
      </cdr:nvSpPr>
      <cdr:spPr>
        <a:xfrm xmlns:a="http://schemas.openxmlformats.org/drawingml/2006/main">
          <a:off x="4317745" y="322072"/>
          <a:ext cx="1324986" cy="1532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9D032845-583F-4F33-9B17-069AB0566899}" type="TxLink">
            <a:rPr lang="en-US" sz="700" b="1" i="0" u="none" strike="noStrike">
              <a:solidFill>
                <a:srgbClr val="000000"/>
              </a:solidFill>
              <a:latin typeface="Public Sans" pitchFamily="2" charset="0"/>
              <a:cs typeface="Arial" panose="020B0604020202020204" pitchFamily="34" charset="0"/>
            </a:rPr>
            <a:pPr algn="ctr"/>
            <a:t>Average: $29.6 billion</a:t>
          </a:fld>
          <a:endParaRPr lang="en-AU" sz="100" b="1">
            <a:solidFill>
              <a:schemeClr val="tx1">
                <a:lumMod val="75000"/>
                <a:lumOff val="25000"/>
              </a:schemeClr>
            </a:solidFill>
            <a:latin typeface="Public Sans" pitchFamily="2" charset="0"/>
            <a:cs typeface="Arial" panose="020B0604020202020204" pitchFamily="34" charset="0"/>
          </a:endParaRPr>
        </a:p>
      </cdr:txBody>
    </cdr:sp>
  </cdr:relSizeAnchor>
  <cdr:relSizeAnchor xmlns:cdr="http://schemas.openxmlformats.org/drawingml/2006/chartDrawing">
    <cdr:from>
      <cdr:x>0.44359</cdr:x>
      <cdr:y>0.15759</cdr:y>
    </cdr:from>
    <cdr:to>
      <cdr:x>0.72158</cdr:x>
      <cdr:y>0.20995</cdr:y>
    </cdr:to>
    <cdr:sp macro="" textlink="">
      <cdr:nvSpPr>
        <cdr:cNvPr id="8" name="TextBox 1">
          <a:extLst xmlns:a="http://schemas.openxmlformats.org/drawingml/2006/main">
            <a:ext uri="{FF2B5EF4-FFF2-40B4-BE49-F238E27FC236}">
              <a16:creationId xmlns:a16="http://schemas.microsoft.com/office/drawing/2014/main" id="{94CF23C3-EB13-461C-9D20-EA72409A56A1}"/>
            </a:ext>
          </a:extLst>
        </cdr:cNvPr>
        <cdr:cNvSpPr txBox="1"/>
      </cdr:nvSpPr>
      <cdr:spPr>
        <a:xfrm xmlns:a="http://schemas.openxmlformats.org/drawingml/2006/main">
          <a:off x="2579625" y="475431"/>
          <a:ext cx="1616601" cy="1579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904855AF-6FBD-4813-8FE3-C2E96F8830E2}" type="TxLink">
            <a:rPr lang="en-US" sz="700" b="1" i="0" u="none" strike="noStrike">
              <a:solidFill>
                <a:srgbClr val="000000"/>
              </a:solidFill>
              <a:latin typeface="Public Sans" pitchFamily="2" charset="0"/>
              <a:cs typeface="Arial" panose="020B0604020202020204" pitchFamily="34" charset="0"/>
            </a:rPr>
            <a:pPr algn="ctr"/>
            <a:t>Average: $28.4 billion</a:t>
          </a:fld>
          <a:endParaRPr lang="en-AU" sz="100" b="1">
            <a:solidFill>
              <a:schemeClr val="tx1">
                <a:lumMod val="75000"/>
                <a:lumOff val="25000"/>
              </a:schemeClr>
            </a:solidFill>
            <a:latin typeface="Public Sans" pitchFamily="2"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F4F26102-61BD-4258-BD54-408747758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E9FD7-6E6C-41F1-AB66-B4A654C66101}">
  <ds:schemaRef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801a5968-9419-4033-b9de-7ffe8168468e"/>
    <ds:schemaRef ds:uri="1c478e85-8130-4c67-8ee4-8bdf1c0e6049"/>
    <ds:schemaRef ds:uri="http://schemas.microsoft.com/office/2006/documentManagement/types"/>
    <ds:schemaRef ds:uri="http://purl.org/dc/elements/1.1/"/>
    <ds:schemaRef ds:uri="9f0ac7ce-5f57-4ea0-9af7-01d4f3f1ccae"/>
    <ds:schemaRef ds:uri="http://purl.org/dc/dcmitype/"/>
    <ds:schemaRef ds:uri="http://purl.org/dc/terms/"/>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2451</Words>
  <Characters>13977</Characters>
  <Application>Microsoft Office Word</Application>
  <DocSecurity>0</DocSecurity>
  <Lines>116</Lines>
  <Paragraphs>32</Paragraphs>
  <ScaleCrop>false</ScaleCrop>
  <Company>NSW Treasury</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Chapter 4: Fiscal Strategy and Outlook</dc:title>
  <dc:subject/>
  <dc:creator>F Lavorato</dc:creator>
  <cp:keywords/>
  <cp:lastModifiedBy>Amany Tahir</cp:lastModifiedBy>
  <cp:revision>2</cp:revision>
  <cp:lastPrinted>2025-06-21T05:51:00Z</cp:lastPrinted>
  <dcterms:created xsi:type="dcterms:W3CDTF">2025-06-22T07:19:00Z</dcterms:created>
  <dcterms:modified xsi:type="dcterms:W3CDTF">2025-06-22T07:19:00Z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8728000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