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5142F" w14:textId="19525461" w:rsidR="00A26C81" w:rsidRPr="00ED2B8E" w:rsidRDefault="00A26C81" w:rsidP="00A26C81">
      <w:pPr>
        <w:rPr>
          <w:rFonts w:eastAsia="Yu Mincho"/>
          <w:sz w:val="2"/>
          <w:szCs w:val="2"/>
          <w:lang w:val="en-AU" w:eastAsia="zh-CN"/>
        </w:rPr>
      </w:pPr>
      <w:bookmarkStart w:id="0" w:name="_Hlk143095870"/>
    </w:p>
    <w:p w14:paraId="17D73108" w14:textId="3A0C418A" w:rsidR="00C626D7" w:rsidRPr="00A903EA" w:rsidRDefault="0079524C" w:rsidP="00470C03">
      <w:pPr>
        <w:pStyle w:val="Heading1"/>
        <w:numPr>
          <w:ilvl w:val="0"/>
          <w:numId w:val="106"/>
        </w:numPr>
        <w:ind w:left="851" w:hanging="851"/>
      </w:pPr>
      <w:r>
        <w:t>balance sheet</w:t>
      </w:r>
    </w:p>
    <w:tbl>
      <w:tblPr>
        <w:tblW w:w="9639" w:type="dxa"/>
        <w:shd w:val="pct5" w:color="auto" w:fill="auto"/>
        <w:tblLayout w:type="fixed"/>
        <w:tblLook w:val="0000" w:firstRow="0" w:lastRow="0" w:firstColumn="0" w:lastColumn="0" w:noHBand="0" w:noVBand="0"/>
      </w:tblPr>
      <w:tblGrid>
        <w:gridCol w:w="9639"/>
      </w:tblGrid>
      <w:tr w:rsidR="00E36A31" w:rsidRPr="00A903EA" w14:paraId="3473041F" w14:textId="77777777" w:rsidTr="00F172C5">
        <w:trPr>
          <w:trHeight w:val="1157"/>
        </w:trPr>
        <w:tc>
          <w:tcPr>
            <w:tcW w:w="9639" w:type="dxa"/>
            <w:shd w:val="pct5" w:color="auto" w:fill="auto"/>
          </w:tcPr>
          <w:p w14:paraId="1F85749D" w14:textId="446FEE79" w:rsidR="00E36A31" w:rsidRPr="00626A2E" w:rsidRDefault="00E36A31" w:rsidP="00195694">
            <w:pPr>
              <w:pStyle w:val="Bullet1"/>
            </w:pPr>
            <w:r w:rsidRPr="34EAF8E1">
              <w:rPr>
                <w:lang w:val="en-US"/>
              </w:rPr>
              <w:t xml:space="preserve">The Government is </w:t>
            </w:r>
            <w:r w:rsidR="00923D9C" w:rsidRPr="34EAF8E1">
              <w:rPr>
                <w:lang w:val="en-US"/>
              </w:rPr>
              <w:t>committed</w:t>
            </w:r>
            <w:r w:rsidRPr="34EAF8E1">
              <w:rPr>
                <w:lang w:val="en-US"/>
              </w:rPr>
              <w:t xml:space="preserve"> to stabili</w:t>
            </w:r>
            <w:r w:rsidR="00923D9C" w:rsidRPr="34EAF8E1">
              <w:rPr>
                <w:lang w:val="en-US"/>
              </w:rPr>
              <w:t>sing</w:t>
            </w:r>
            <w:r w:rsidRPr="34EAF8E1">
              <w:rPr>
                <w:lang w:val="en-US"/>
              </w:rPr>
              <w:t xml:space="preserve"> the State’s gross debt trajectory, strengthen</w:t>
            </w:r>
            <w:r w:rsidR="00923D9C" w:rsidRPr="34EAF8E1">
              <w:rPr>
                <w:lang w:val="en-US"/>
              </w:rPr>
              <w:t>ing</w:t>
            </w:r>
            <w:r w:rsidRPr="34EAF8E1">
              <w:rPr>
                <w:lang w:val="en-US"/>
              </w:rPr>
              <w:t xml:space="preserve"> the balance sheet </w:t>
            </w:r>
            <w:r w:rsidR="007F4536" w:rsidRPr="34EAF8E1">
              <w:rPr>
                <w:lang w:val="en-US"/>
              </w:rPr>
              <w:t xml:space="preserve">to protect </w:t>
            </w:r>
            <w:r w:rsidRPr="34EAF8E1">
              <w:rPr>
                <w:lang w:val="en-US"/>
              </w:rPr>
              <w:t>against future economic shocks and keep</w:t>
            </w:r>
            <w:r w:rsidR="008E49FC" w:rsidRPr="34EAF8E1">
              <w:rPr>
                <w:lang w:val="en-US"/>
              </w:rPr>
              <w:t>ing</w:t>
            </w:r>
            <w:r w:rsidRPr="34EAF8E1">
              <w:rPr>
                <w:lang w:val="en-US"/>
              </w:rPr>
              <w:t xml:space="preserve"> the State’s interest expense</w:t>
            </w:r>
            <w:r w:rsidR="008E49FC" w:rsidRPr="34EAF8E1">
              <w:rPr>
                <w:lang w:val="en-US"/>
              </w:rPr>
              <w:t>s</w:t>
            </w:r>
            <w:r w:rsidR="007B7E9E" w:rsidRPr="34EAF8E1">
              <w:rPr>
                <w:lang w:val="en-US"/>
              </w:rPr>
              <w:t xml:space="preserve"> at a</w:t>
            </w:r>
            <w:r w:rsidRPr="34EAF8E1">
              <w:rPr>
                <w:lang w:val="en-US"/>
              </w:rPr>
              <w:t xml:space="preserve"> manageable</w:t>
            </w:r>
            <w:r w:rsidR="007B7E9E" w:rsidRPr="34EAF8E1">
              <w:rPr>
                <w:lang w:val="en-US"/>
              </w:rPr>
              <w:t xml:space="preserve"> level</w:t>
            </w:r>
            <w:r w:rsidRPr="34EAF8E1">
              <w:rPr>
                <w:lang w:val="en-US"/>
              </w:rPr>
              <w:t xml:space="preserve">. </w:t>
            </w:r>
          </w:p>
          <w:p w14:paraId="33C8A550" w14:textId="6C7BB31C" w:rsidR="00653BB8" w:rsidRPr="007E2565" w:rsidRDefault="00653BB8" w:rsidP="00195694">
            <w:pPr>
              <w:pStyle w:val="Bullet1"/>
            </w:pPr>
            <w:r>
              <w:rPr>
                <w:lang w:val="en-US"/>
              </w:rPr>
              <w:t xml:space="preserve">Net debt is projected to be </w:t>
            </w:r>
            <w:r w:rsidR="00BC66EC">
              <w:rPr>
                <w:lang w:val="en-US"/>
              </w:rPr>
              <w:t>$</w:t>
            </w:r>
            <w:r w:rsidR="00504D03">
              <w:rPr>
                <w:lang w:val="en-US"/>
              </w:rPr>
              <w:t>13</w:t>
            </w:r>
            <w:r w:rsidR="00DF7D58">
              <w:rPr>
                <w:lang w:val="en-US"/>
              </w:rPr>
              <w:t>0.7</w:t>
            </w:r>
            <w:r w:rsidR="00504D03">
              <w:rPr>
                <w:lang w:val="en-US"/>
              </w:rPr>
              <w:t xml:space="preserve"> billion </w:t>
            </w:r>
            <w:r w:rsidR="00993813">
              <w:rPr>
                <w:lang w:val="en-US"/>
              </w:rPr>
              <w:t>by June 202</w:t>
            </w:r>
            <w:r w:rsidR="00DF7D58">
              <w:rPr>
                <w:lang w:val="en-US"/>
              </w:rPr>
              <w:t>8</w:t>
            </w:r>
            <w:r w:rsidR="00993813">
              <w:rPr>
                <w:lang w:val="en-US"/>
              </w:rPr>
              <w:t xml:space="preserve"> which is </w:t>
            </w:r>
            <w:r w:rsidR="00A27B1C">
              <w:rPr>
                <w:lang w:val="en-US"/>
              </w:rPr>
              <w:t xml:space="preserve">$6.5 billion lower </w:t>
            </w:r>
            <w:r w:rsidR="00FC142A">
              <w:rPr>
                <w:lang w:val="en-US"/>
              </w:rPr>
              <w:t xml:space="preserve">compared to the </w:t>
            </w:r>
            <w:r w:rsidR="00EC18CC">
              <w:rPr>
                <w:lang w:val="en-US"/>
              </w:rPr>
              <w:t xml:space="preserve">2024-25 </w:t>
            </w:r>
            <w:r w:rsidR="00421EE6">
              <w:rPr>
                <w:lang w:val="en-US"/>
              </w:rPr>
              <w:t>Half-Year</w:t>
            </w:r>
            <w:r w:rsidR="00AC5B93">
              <w:rPr>
                <w:lang w:val="en-US"/>
              </w:rPr>
              <w:t>ly</w:t>
            </w:r>
            <w:r w:rsidR="00421EE6">
              <w:rPr>
                <w:lang w:val="en-US"/>
              </w:rPr>
              <w:t xml:space="preserve"> Review projection. This is mainly driven by </w:t>
            </w:r>
            <w:r w:rsidR="00AE6F92">
              <w:rPr>
                <w:lang w:val="en-US"/>
              </w:rPr>
              <w:t xml:space="preserve">a stronger </w:t>
            </w:r>
            <w:r w:rsidR="00656F91">
              <w:rPr>
                <w:lang w:val="en-US"/>
              </w:rPr>
              <w:t xml:space="preserve">cash </w:t>
            </w:r>
            <w:r w:rsidR="00AE6F92">
              <w:rPr>
                <w:lang w:val="en-US"/>
              </w:rPr>
              <w:t xml:space="preserve">operating position </w:t>
            </w:r>
            <w:r w:rsidR="00E72CF0">
              <w:rPr>
                <w:lang w:val="en-US"/>
              </w:rPr>
              <w:t>over the forward estimates.</w:t>
            </w:r>
          </w:p>
          <w:p w14:paraId="5DD7627B" w14:textId="0AD275AA" w:rsidR="00E36A31" w:rsidRPr="007E2565" w:rsidRDefault="003719B1" w:rsidP="00195694">
            <w:pPr>
              <w:pStyle w:val="Bullet1"/>
            </w:pPr>
            <w:r>
              <w:t>T</w:t>
            </w:r>
            <w:r w:rsidR="00E13D4D">
              <w:t>he</w:t>
            </w:r>
            <w:r w:rsidR="00E36A31" w:rsidRPr="1456753A">
              <w:t xml:space="preserve"> Government is undertaking </w:t>
            </w:r>
            <w:r w:rsidR="0087773E">
              <w:t>several</w:t>
            </w:r>
            <w:r w:rsidR="00E36A31" w:rsidRPr="1456753A">
              <w:t xml:space="preserve"> reforms,</w:t>
            </w:r>
            <w:r w:rsidR="00A66AB2">
              <w:t xml:space="preserve"> to</w:t>
            </w:r>
            <w:r w:rsidR="00E36A31" w:rsidRPr="1456753A">
              <w:t xml:space="preserve"> help strengthen the State’s balance sheet, including:</w:t>
            </w:r>
          </w:p>
          <w:p w14:paraId="2AE9F269" w14:textId="533315D5" w:rsidR="00E36A31" w:rsidRPr="007E2565" w:rsidRDefault="00E36A31" w:rsidP="00195694">
            <w:pPr>
              <w:pStyle w:val="Bullet2"/>
            </w:pPr>
            <w:r w:rsidRPr="34EAF8E1">
              <w:rPr>
                <w:lang w:val="en-US"/>
              </w:rPr>
              <w:t xml:space="preserve">continuing </w:t>
            </w:r>
            <w:r w:rsidR="00A66AB2" w:rsidRPr="34EAF8E1">
              <w:rPr>
                <w:lang w:val="en-US"/>
              </w:rPr>
              <w:t>the</w:t>
            </w:r>
            <w:r w:rsidRPr="34EAF8E1">
              <w:rPr>
                <w:lang w:val="en-US"/>
              </w:rPr>
              <w:t xml:space="preserve"> implement</w:t>
            </w:r>
            <w:r w:rsidR="00A66AB2" w:rsidRPr="34EAF8E1">
              <w:rPr>
                <w:lang w:val="en-US"/>
              </w:rPr>
              <w:t>ation</w:t>
            </w:r>
            <w:r w:rsidR="00DE2967" w:rsidRPr="34EAF8E1">
              <w:rPr>
                <w:lang w:val="en-US"/>
              </w:rPr>
              <w:t xml:space="preserve"> of</w:t>
            </w:r>
            <w:r w:rsidRPr="34EAF8E1">
              <w:rPr>
                <w:lang w:val="en-US"/>
              </w:rPr>
              <w:t xml:space="preserve"> OneFund, with $</w:t>
            </w:r>
            <w:r w:rsidR="00876A74">
              <w:rPr>
                <w:lang w:val="en-US"/>
              </w:rPr>
              <w:t>79.1</w:t>
            </w:r>
            <w:r w:rsidRPr="34EAF8E1">
              <w:rPr>
                <w:lang w:val="en-US"/>
              </w:rPr>
              <w:t xml:space="preserve"> billion now projected to be under management by June 2029 (see</w:t>
            </w:r>
            <w:r w:rsidR="009D7606" w:rsidRPr="34EAF8E1">
              <w:rPr>
                <w:lang w:val="en-US"/>
              </w:rPr>
              <w:t xml:space="preserve"> Box 8</w:t>
            </w:r>
            <w:r w:rsidR="00562A18" w:rsidRPr="34EAF8E1">
              <w:rPr>
                <w:lang w:val="en-US"/>
              </w:rPr>
              <w:t>.</w:t>
            </w:r>
            <w:r w:rsidRPr="34EAF8E1">
              <w:rPr>
                <w:lang w:val="en-US"/>
              </w:rPr>
              <w:t>2)</w:t>
            </w:r>
          </w:p>
          <w:p w14:paraId="65219B51" w14:textId="047AFB83" w:rsidR="001B3BDE" w:rsidRDefault="00141D85" w:rsidP="00195694">
            <w:pPr>
              <w:pStyle w:val="Bullet2"/>
            </w:pPr>
            <w:r w:rsidRPr="1456753A">
              <w:t>i</w:t>
            </w:r>
            <w:r w:rsidR="00064230" w:rsidRPr="1456753A">
              <w:t>mproving the management of the Crown debt por</w:t>
            </w:r>
            <w:r w:rsidR="00E6785B" w:rsidRPr="1456753A">
              <w:t>tfolio to better</w:t>
            </w:r>
            <w:r w:rsidR="00994798" w:rsidRPr="1456753A">
              <w:t xml:space="preserve"> manage</w:t>
            </w:r>
            <w:r w:rsidR="007A713A" w:rsidRPr="1456753A">
              <w:t xml:space="preserve"> </w:t>
            </w:r>
            <w:r w:rsidR="00E6785B" w:rsidRPr="1456753A">
              <w:t>interest rate and refinancing risk</w:t>
            </w:r>
          </w:p>
          <w:p w14:paraId="0AD4D086" w14:textId="1F5293F1" w:rsidR="004918F6" w:rsidRPr="007E2565" w:rsidRDefault="00950DB7" w:rsidP="00195694">
            <w:pPr>
              <w:pStyle w:val="Bullet2"/>
            </w:pPr>
            <w:r w:rsidRPr="34EAF8E1">
              <w:rPr>
                <w:lang w:val="en-US"/>
              </w:rPr>
              <w:t>further</w:t>
            </w:r>
            <w:r w:rsidR="0065479F" w:rsidRPr="34EAF8E1">
              <w:rPr>
                <w:lang w:val="en-US"/>
              </w:rPr>
              <w:t xml:space="preserve"> diversify</w:t>
            </w:r>
            <w:r w:rsidRPr="34EAF8E1">
              <w:rPr>
                <w:lang w:val="en-US"/>
              </w:rPr>
              <w:t>ing the State’s</w:t>
            </w:r>
            <w:r w:rsidR="0065479F" w:rsidRPr="34EAF8E1">
              <w:rPr>
                <w:lang w:val="en-US"/>
              </w:rPr>
              <w:t xml:space="preserve"> sources of debt funding </w:t>
            </w:r>
            <w:r w:rsidR="00980458" w:rsidRPr="34EAF8E1">
              <w:rPr>
                <w:lang w:val="en-US"/>
              </w:rPr>
              <w:t xml:space="preserve">with </w:t>
            </w:r>
            <w:r w:rsidR="0065479F" w:rsidRPr="34EAF8E1">
              <w:rPr>
                <w:lang w:val="en-US"/>
              </w:rPr>
              <w:t xml:space="preserve">green and sustainability bonds, </w:t>
            </w:r>
            <w:r w:rsidR="00671C77">
              <w:rPr>
                <w:lang w:val="en-US"/>
              </w:rPr>
              <w:t xml:space="preserve">with </w:t>
            </w:r>
            <w:r w:rsidR="0065479F" w:rsidRPr="34EAF8E1">
              <w:rPr>
                <w:lang w:val="en-US"/>
              </w:rPr>
              <w:t>$11.2 billion in</w:t>
            </w:r>
            <w:r w:rsidR="004373A2">
              <w:rPr>
                <w:lang w:val="en-US"/>
              </w:rPr>
              <w:t xml:space="preserve"> net proceeds raised across the</w:t>
            </w:r>
            <w:r w:rsidR="0065479F" w:rsidRPr="34EAF8E1">
              <w:rPr>
                <w:lang w:val="en-US"/>
              </w:rPr>
              <w:t xml:space="preserve"> bonds on issue</w:t>
            </w:r>
            <w:r w:rsidR="001B3BDE" w:rsidRPr="34EAF8E1">
              <w:rPr>
                <w:lang w:val="en-US"/>
              </w:rPr>
              <w:t xml:space="preserve"> </w:t>
            </w:r>
            <w:r w:rsidR="00BA764D" w:rsidRPr="34EAF8E1">
              <w:rPr>
                <w:lang w:val="en-US"/>
              </w:rPr>
              <w:t>and</w:t>
            </w:r>
            <w:r w:rsidR="001527AC" w:rsidRPr="34EAF8E1">
              <w:rPr>
                <w:lang w:val="en-US"/>
              </w:rPr>
              <w:t xml:space="preserve"> </w:t>
            </w:r>
            <w:r w:rsidR="001B3BDE" w:rsidRPr="34EAF8E1">
              <w:rPr>
                <w:lang w:val="en-US"/>
              </w:rPr>
              <w:t>a further $</w:t>
            </w:r>
            <w:r w:rsidR="00A2566B" w:rsidRPr="34EAF8E1">
              <w:rPr>
                <w:lang w:val="en-US"/>
              </w:rPr>
              <w:t>10.</w:t>
            </w:r>
            <w:r w:rsidR="00287CE2">
              <w:rPr>
                <w:lang w:val="en-US"/>
              </w:rPr>
              <w:t>5</w:t>
            </w:r>
            <w:r w:rsidR="00A2566B" w:rsidRPr="34EAF8E1">
              <w:rPr>
                <w:lang w:val="en-US"/>
              </w:rPr>
              <w:t xml:space="preserve"> billion currently </w:t>
            </w:r>
            <w:r w:rsidR="00805284" w:rsidRPr="34EAF8E1">
              <w:rPr>
                <w:lang w:val="en-US"/>
              </w:rPr>
              <w:t>available for ongoing issuance</w:t>
            </w:r>
          </w:p>
          <w:p w14:paraId="68AAABE5" w14:textId="718E9F98" w:rsidR="00E006C0" w:rsidRPr="007E2565" w:rsidRDefault="00B26373" w:rsidP="00195694">
            <w:pPr>
              <w:pStyle w:val="Bullet2"/>
            </w:pPr>
            <w:r w:rsidRPr="007E2565">
              <w:t>i</w:t>
            </w:r>
            <w:r w:rsidR="00A500EE" w:rsidRPr="007E2565">
              <w:t xml:space="preserve">mplementing </w:t>
            </w:r>
            <w:r w:rsidR="00671C77">
              <w:t xml:space="preserve">a </w:t>
            </w:r>
            <w:r w:rsidR="00A500EE" w:rsidRPr="007E2565">
              <w:t xml:space="preserve">Liquidity Framework that supports more effective </w:t>
            </w:r>
            <w:r w:rsidR="009402A4">
              <w:t>and effi</w:t>
            </w:r>
            <w:r w:rsidR="00432F5B">
              <w:t>cient allocation</w:t>
            </w:r>
            <w:r w:rsidR="00A500EE" w:rsidRPr="007E2565">
              <w:t xml:space="preserve"> of liquid assets across </w:t>
            </w:r>
            <w:r w:rsidR="00432F5B">
              <w:t>Government to manage risks</w:t>
            </w:r>
            <w:r w:rsidR="00BE7923">
              <w:t xml:space="preserve">, </w:t>
            </w:r>
            <w:r w:rsidR="00432F5B">
              <w:t>opportunities</w:t>
            </w:r>
            <w:r w:rsidR="009F2E93">
              <w:t xml:space="preserve">, </w:t>
            </w:r>
            <w:r w:rsidR="00FF62A5">
              <w:t>and ensure the State’s debtors are paid on time</w:t>
            </w:r>
            <w:r w:rsidR="00D52E01">
              <w:t xml:space="preserve"> </w:t>
            </w:r>
          </w:p>
          <w:p w14:paraId="57CB131C" w14:textId="3E166671" w:rsidR="00B26373" w:rsidRPr="007E2565" w:rsidRDefault="009A7D5B" w:rsidP="00195694">
            <w:pPr>
              <w:pStyle w:val="Bullet2"/>
            </w:pPr>
            <w:r w:rsidRPr="34EAF8E1">
              <w:rPr>
                <w:lang w:val="en-US"/>
              </w:rPr>
              <w:t xml:space="preserve">enhancing </w:t>
            </w:r>
            <w:r w:rsidR="00BF21B8" w:rsidRPr="34EAF8E1">
              <w:rPr>
                <w:lang w:val="en-US"/>
              </w:rPr>
              <w:t xml:space="preserve">guidance on </w:t>
            </w:r>
            <w:r w:rsidR="00F81308" w:rsidRPr="34EAF8E1">
              <w:rPr>
                <w:lang w:val="en-US"/>
              </w:rPr>
              <w:t>a</w:t>
            </w:r>
            <w:r w:rsidR="00A500EE" w:rsidRPr="34EAF8E1">
              <w:rPr>
                <w:lang w:val="en-US"/>
              </w:rPr>
              <w:t xml:space="preserve">sset </w:t>
            </w:r>
            <w:r w:rsidR="00F81308" w:rsidRPr="34EAF8E1">
              <w:rPr>
                <w:lang w:val="en-US"/>
              </w:rPr>
              <w:t>r</w:t>
            </w:r>
            <w:r w:rsidR="00A500EE" w:rsidRPr="34EAF8E1">
              <w:rPr>
                <w:lang w:val="en-US"/>
              </w:rPr>
              <w:t xml:space="preserve">evaluation and </w:t>
            </w:r>
            <w:r w:rsidR="00F81308" w:rsidRPr="34EAF8E1">
              <w:rPr>
                <w:lang w:val="en-US"/>
              </w:rPr>
              <w:t>d</w:t>
            </w:r>
            <w:r w:rsidR="00A500EE" w:rsidRPr="34EAF8E1">
              <w:rPr>
                <w:lang w:val="en-US"/>
              </w:rPr>
              <w:t xml:space="preserve">epreciation </w:t>
            </w:r>
            <w:r w:rsidR="00BF21B8" w:rsidRPr="34EAF8E1">
              <w:rPr>
                <w:lang w:val="en-US"/>
              </w:rPr>
              <w:t xml:space="preserve">for </w:t>
            </w:r>
            <w:r w:rsidR="00A3184F" w:rsidRPr="34EAF8E1">
              <w:rPr>
                <w:lang w:val="en-US"/>
              </w:rPr>
              <w:t>g</w:t>
            </w:r>
            <w:r w:rsidR="00BF21B8" w:rsidRPr="34EAF8E1">
              <w:rPr>
                <w:lang w:val="en-US"/>
              </w:rPr>
              <w:t>overnment agencies</w:t>
            </w:r>
            <w:r w:rsidR="00F81308" w:rsidRPr="34EAF8E1">
              <w:rPr>
                <w:lang w:val="en-US"/>
              </w:rPr>
              <w:t>,</w:t>
            </w:r>
            <w:r w:rsidR="00434446" w:rsidRPr="34EAF8E1">
              <w:rPr>
                <w:lang w:val="en-US"/>
              </w:rPr>
              <w:t xml:space="preserve"> simplifying current practices and providing more responsibility to </w:t>
            </w:r>
            <w:r w:rsidR="009C789C" w:rsidRPr="34EAF8E1">
              <w:rPr>
                <w:lang w:val="en-US"/>
              </w:rPr>
              <w:t>Value NSW to generate efficiencies and drive consistency in approaches across agencies</w:t>
            </w:r>
            <w:r w:rsidR="0027645F">
              <w:rPr>
                <w:lang w:val="en-US"/>
              </w:rPr>
              <w:t>.</w:t>
            </w:r>
          </w:p>
          <w:p w14:paraId="1D5BC348" w14:textId="132CD447" w:rsidR="00E36A31" w:rsidRPr="007E2565" w:rsidRDefault="0006571D" w:rsidP="00195694">
            <w:pPr>
              <w:pStyle w:val="Bullet1"/>
            </w:pPr>
            <w:r w:rsidRPr="007E2565">
              <w:t>Key</w:t>
            </w:r>
            <w:r w:rsidR="00E36A31" w:rsidRPr="007E2565">
              <w:t xml:space="preserve"> balance sheet</w:t>
            </w:r>
            <w:r w:rsidRPr="007E2565">
              <w:t xml:space="preserve"> movements are</w:t>
            </w:r>
            <w:r w:rsidR="00E36A31" w:rsidRPr="007E2565">
              <w:t>:</w:t>
            </w:r>
          </w:p>
          <w:p w14:paraId="645F6231" w14:textId="7779A736" w:rsidR="00E36A31" w:rsidRPr="00626A2E" w:rsidRDefault="00E006C0" w:rsidP="00195694">
            <w:pPr>
              <w:pStyle w:val="Bullet2"/>
            </w:pPr>
            <w:r w:rsidRPr="34EAF8E1">
              <w:rPr>
                <w:lang w:val="en-US"/>
              </w:rPr>
              <w:t>t</w:t>
            </w:r>
            <w:r w:rsidR="00E36A31" w:rsidRPr="34EAF8E1">
              <w:rPr>
                <w:lang w:val="en-US"/>
              </w:rPr>
              <w:t>otal assets are projected to be $</w:t>
            </w:r>
            <w:r w:rsidR="00324083" w:rsidRPr="34EAF8E1">
              <w:rPr>
                <w:lang w:val="en-US"/>
              </w:rPr>
              <w:t>65</w:t>
            </w:r>
            <w:r w:rsidR="006C1D0D" w:rsidRPr="34EAF8E1">
              <w:rPr>
                <w:lang w:val="en-US"/>
              </w:rPr>
              <w:t>1</w:t>
            </w:r>
            <w:r w:rsidR="006F15C8" w:rsidRPr="34EAF8E1">
              <w:rPr>
                <w:lang w:val="en-US"/>
              </w:rPr>
              <w:t>.0</w:t>
            </w:r>
            <w:r w:rsidR="00E36A31" w:rsidRPr="34EAF8E1">
              <w:rPr>
                <w:lang w:val="en-US"/>
              </w:rPr>
              <w:t xml:space="preserve"> billion at June 2025 and to grow to $</w:t>
            </w:r>
            <w:r w:rsidR="00324083" w:rsidRPr="34EAF8E1">
              <w:rPr>
                <w:lang w:val="en-US"/>
              </w:rPr>
              <w:t>7</w:t>
            </w:r>
            <w:r w:rsidR="00A43EA6" w:rsidRPr="34EAF8E1">
              <w:rPr>
                <w:lang w:val="en-US"/>
              </w:rPr>
              <w:t>0</w:t>
            </w:r>
            <w:r w:rsidR="00987449">
              <w:rPr>
                <w:lang w:val="en-US"/>
              </w:rPr>
              <w:t>8</w:t>
            </w:r>
            <w:r w:rsidR="00562A18" w:rsidRPr="34EAF8E1">
              <w:rPr>
                <w:lang w:val="en-US"/>
              </w:rPr>
              <w:t>.</w:t>
            </w:r>
            <w:r w:rsidR="00433939" w:rsidRPr="34EAF8E1">
              <w:rPr>
                <w:lang w:val="en-US"/>
              </w:rPr>
              <w:t>7</w:t>
            </w:r>
            <w:r w:rsidR="00815590" w:rsidRPr="34EAF8E1">
              <w:rPr>
                <w:lang w:val="en-US"/>
              </w:rPr>
              <w:t> </w:t>
            </w:r>
            <w:r w:rsidR="00E36A31" w:rsidRPr="34EAF8E1">
              <w:rPr>
                <w:lang w:val="en-US"/>
              </w:rPr>
              <w:t>billion by June 2029 as the State continues to invest in essential infrastructure</w:t>
            </w:r>
          </w:p>
          <w:p w14:paraId="1FC8834A" w14:textId="2FA416A1" w:rsidR="00CE2E04" w:rsidRPr="007E2565" w:rsidRDefault="00CE2E04" w:rsidP="00CE2E04">
            <w:pPr>
              <w:pStyle w:val="Bullet2"/>
            </w:pPr>
            <w:r>
              <w:rPr>
                <w:lang w:val="en-US"/>
              </w:rPr>
              <w:t>g</w:t>
            </w:r>
            <w:r w:rsidRPr="34EAF8E1">
              <w:rPr>
                <w:lang w:val="en-US"/>
              </w:rPr>
              <w:t>ross debt is projected to be $17</w:t>
            </w:r>
            <w:r>
              <w:rPr>
                <w:lang w:val="en-US"/>
              </w:rPr>
              <w:t>8</w:t>
            </w:r>
            <w:r w:rsidRPr="34EAF8E1">
              <w:rPr>
                <w:lang w:val="en-US"/>
              </w:rPr>
              <w:t>.8 billion by June 2026, which is $9.4 billion below the 2023 Pre-election Budget Update projection of $18</w:t>
            </w:r>
            <w:r>
              <w:rPr>
                <w:lang w:val="en-US"/>
              </w:rPr>
              <w:t>8</w:t>
            </w:r>
            <w:r w:rsidRPr="34EAF8E1">
              <w:rPr>
                <w:lang w:val="en-US"/>
              </w:rPr>
              <w:t>.2 billion (see Box 8.1)</w:t>
            </w:r>
          </w:p>
          <w:p w14:paraId="21906DAF" w14:textId="67CAD830" w:rsidR="00E274B3" w:rsidRPr="00BB1FB6" w:rsidRDefault="00E006C0" w:rsidP="00613203">
            <w:pPr>
              <w:pStyle w:val="Bullet2"/>
            </w:pPr>
            <w:r w:rsidRPr="34EAF8E1">
              <w:rPr>
                <w:lang w:val="en-US"/>
              </w:rPr>
              <w:t>g</w:t>
            </w:r>
            <w:r w:rsidR="00E36A31" w:rsidRPr="34EAF8E1">
              <w:rPr>
                <w:lang w:val="en-US"/>
              </w:rPr>
              <w:t xml:space="preserve">ross debt to </w:t>
            </w:r>
            <w:r w:rsidR="00525037" w:rsidRPr="34EAF8E1">
              <w:rPr>
                <w:lang w:val="en-US"/>
              </w:rPr>
              <w:t>gross state product</w:t>
            </w:r>
            <w:r w:rsidR="00E36A31" w:rsidRPr="34EAF8E1">
              <w:rPr>
                <w:lang w:val="en-US"/>
              </w:rPr>
              <w:t xml:space="preserve"> is projected to be </w:t>
            </w:r>
            <w:r w:rsidR="007541B5" w:rsidRPr="34EAF8E1">
              <w:rPr>
                <w:lang w:val="en-US"/>
              </w:rPr>
              <w:t>19.</w:t>
            </w:r>
            <w:r w:rsidR="00A20BA3" w:rsidRPr="34EAF8E1">
              <w:rPr>
                <w:lang w:val="en-US"/>
              </w:rPr>
              <w:t>5</w:t>
            </w:r>
            <w:r w:rsidR="00E36A31" w:rsidRPr="34EAF8E1">
              <w:rPr>
                <w:lang w:val="en-US"/>
              </w:rPr>
              <w:t xml:space="preserve"> per cent by June 2025</w:t>
            </w:r>
            <w:r w:rsidR="009A2CA7">
              <w:rPr>
                <w:lang w:val="en-US"/>
              </w:rPr>
              <w:t xml:space="preserve"> (0.</w:t>
            </w:r>
            <w:r w:rsidR="00C83546">
              <w:rPr>
                <w:lang w:val="en-US"/>
              </w:rPr>
              <w:t>3</w:t>
            </w:r>
            <w:r w:rsidR="0020716A">
              <w:rPr>
                <w:lang w:val="en-US"/>
              </w:rPr>
              <w:t> </w:t>
            </w:r>
            <w:r w:rsidR="009A2CA7">
              <w:rPr>
                <w:lang w:val="en-US"/>
              </w:rPr>
              <w:t>per cent lower than projected at Ha</w:t>
            </w:r>
            <w:r w:rsidR="003D2967">
              <w:rPr>
                <w:lang w:val="en-US"/>
              </w:rPr>
              <w:t>lf</w:t>
            </w:r>
            <w:r w:rsidR="009A2CA7">
              <w:rPr>
                <w:lang w:val="en-US"/>
              </w:rPr>
              <w:t>-Year</w:t>
            </w:r>
            <w:r w:rsidR="00DA119D">
              <w:rPr>
                <w:lang w:val="en-US"/>
              </w:rPr>
              <w:t>ly</w:t>
            </w:r>
            <w:r w:rsidR="009A2CA7">
              <w:rPr>
                <w:lang w:val="en-US"/>
              </w:rPr>
              <w:t xml:space="preserve"> Review)</w:t>
            </w:r>
            <w:r w:rsidR="00E36A31" w:rsidRPr="34EAF8E1">
              <w:rPr>
                <w:lang w:val="en-US"/>
              </w:rPr>
              <w:t xml:space="preserve"> and remain relatively stable </w:t>
            </w:r>
            <w:r w:rsidR="00072887">
              <w:rPr>
                <w:lang w:val="en-US"/>
              </w:rPr>
              <w:t xml:space="preserve">at around 20 per cent of gross state product </w:t>
            </w:r>
            <w:r w:rsidR="00E36A31" w:rsidRPr="34EAF8E1">
              <w:rPr>
                <w:lang w:val="en-US"/>
              </w:rPr>
              <w:t>over the four years to June 2029</w:t>
            </w:r>
            <w:r w:rsidR="00D87EC8">
              <w:rPr>
                <w:lang w:val="en-US"/>
              </w:rPr>
              <w:t xml:space="preserve"> </w:t>
            </w:r>
          </w:p>
          <w:p w14:paraId="5B53AF25" w14:textId="5E528971" w:rsidR="00C10AA6" w:rsidRPr="009E1DCF" w:rsidRDefault="0020716A" w:rsidP="00613203">
            <w:pPr>
              <w:pStyle w:val="Bullet2"/>
            </w:pPr>
            <w:r>
              <w:rPr>
                <w:lang w:val="en-US"/>
              </w:rPr>
              <w:t>n</w:t>
            </w:r>
            <w:r w:rsidR="00AF7F82" w:rsidRPr="34EAF8E1">
              <w:rPr>
                <w:lang w:val="en-US"/>
              </w:rPr>
              <w:t>et worth is projected to be $</w:t>
            </w:r>
            <w:r w:rsidR="00DD664C" w:rsidRPr="34EAF8E1">
              <w:rPr>
                <w:lang w:val="en-US"/>
              </w:rPr>
              <w:t>362.</w:t>
            </w:r>
            <w:r w:rsidR="0098358D" w:rsidRPr="34EAF8E1">
              <w:rPr>
                <w:lang w:val="en-US"/>
              </w:rPr>
              <w:t>7</w:t>
            </w:r>
            <w:r w:rsidR="00AF7F82" w:rsidRPr="34EAF8E1">
              <w:rPr>
                <w:lang w:val="en-US"/>
              </w:rPr>
              <w:t xml:space="preserve"> </w:t>
            </w:r>
            <w:r w:rsidR="00A431FA" w:rsidRPr="34EAF8E1">
              <w:rPr>
                <w:lang w:val="en-US"/>
              </w:rPr>
              <w:t>billion</w:t>
            </w:r>
            <w:r w:rsidR="00AF7F82" w:rsidRPr="34EAF8E1">
              <w:rPr>
                <w:lang w:val="en-US"/>
              </w:rPr>
              <w:t xml:space="preserve"> at June 2025 and </w:t>
            </w:r>
            <w:r w:rsidR="00616EAC" w:rsidRPr="34EAF8E1">
              <w:rPr>
                <w:lang w:val="en-US"/>
              </w:rPr>
              <w:t>increasing</w:t>
            </w:r>
            <w:r w:rsidR="00AF7F82" w:rsidRPr="34EAF8E1">
              <w:rPr>
                <w:lang w:val="en-US"/>
              </w:rPr>
              <w:t xml:space="preserve"> </w:t>
            </w:r>
            <w:r w:rsidR="00A431FA" w:rsidRPr="34EAF8E1">
              <w:rPr>
                <w:lang w:val="en-US"/>
              </w:rPr>
              <w:t>to</w:t>
            </w:r>
            <w:r w:rsidR="00AF7F82" w:rsidRPr="34EAF8E1">
              <w:rPr>
                <w:lang w:val="en-US"/>
              </w:rPr>
              <w:t xml:space="preserve"> </w:t>
            </w:r>
            <w:r w:rsidR="00616EAC" w:rsidRPr="34EAF8E1">
              <w:rPr>
                <w:lang w:val="en-US"/>
              </w:rPr>
              <w:t>$376.8</w:t>
            </w:r>
            <w:r w:rsidR="003C2BD3" w:rsidRPr="34EAF8E1">
              <w:rPr>
                <w:lang w:val="en-US"/>
              </w:rPr>
              <w:t> </w:t>
            </w:r>
            <w:r w:rsidR="00616EAC" w:rsidRPr="34EAF8E1">
              <w:rPr>
                <w:lang w:val="en-US"/>
              </w:rPr>
              <w:t xml:space="preserve">billion by </w:t>
            </w:r>
            <w:r w:rsidR="00AF7F82" w:rsidRPr="34EAF8E1">
              <w:rPr>
                <w:lang w:val="en-US"/>
              </w:rPr>
              <w:t>June</w:t>
            </w:r>
            <w:r w:rsidR="00616EAC" w:rsidRPr="34EAF8E1">
              <w:rPr>
                <w:lang w:val="en-US"/>
              </w:rPr>
              <w:t xml:space="preserve"> </w:t>
            </w:r>
            <w:r w:rsidR="00AF7F82" w:rsidRPr="34EAF8E1">
              <w:rPr>
                <w:lang w:val="en-US"/>
              </w:rPr>
              <w:t>2029</w:t>
            </w:r>
            <w:r w:rsidR="006279F8">
              <w:rPr>
                <w:lang w:val="en-US"/>
              </w:rPr>
              <w:t xml:space="preserve">, supported by </w:t>
            </w:r>
            <w:r w:rsidR="00F579CC">
              <w:rPr>
                <w:lang w:val="en-US"/>
              </w:rPr>
              <w:t xml:space="preserve">growth in financial assets and </w:t>
            </w:r>
            <w:r w:rsidR="00297326">
              <w:rPr>
                <w:lang w:val="en-US"/>
              </w:rPr>
              <w:t>asset revaluations</w:t>
            </w:r>
            <w:r>
              <w:rPr>
                <w:lang w:val="en-US"/>
              </w:rPr>
              <w:t>.</w:t>
            </w:r>
          </w:p>
        </w:tc>
      </w:tr>
    </w:tbl>
    <w:p w14:paraId="3E96FD37" w14:textId="77777777" w:rsidR="00850057" w:rsidRDefault="00850057" w:rsidP="00972D60">
      <w:pPr>
        <w:spacing w:before="360" w:after="120"/>
        <w:rPr>
          <w:rFonts w:ascii="Public Sans SemiBold" w:hAnsi="Public Sans SemiBold"/>
          <w:b/>
          <w:color w:val="000000" w:themeColor="text1"/>
          <w:sz w:val="28"/>
          <w:lang w:val="en-AU"/>
        </w:rPr>
      </w:pPr>
      <w:r>
        <w:br w:type="page"/>
      </w:r>
    </w:p>
    <w:p w14:paraId="3580C8D0" w14:textId="797CAA1C" w:rsidR="00C626D7" w:rsidRPr="002817A9" w:rsidRDefault="00EA6372" w:rsidP="00AA67ED">
      <w:pPr>
        <w:pStyle w:val="81Heading2"/>
      </w:pPr>
      <w:bookmarkStart w:id="1" w:name="_Hlk198897240"/>
      <w:r>
        <w:lastRenderedPageBreak/>
        <w:t>Stabilising the State’s</w:t>
      </w:r>
      <w:r w:rsidR="00CC0AB9">
        <w:t xml:space="preserve"> gross</w:t>
      </w:r>
      <w:r>
        <w:t xml:space="preserve"> debt trajectory</w:t>
      </w:r>
      <w:bookmarkEnd w:id="1"/>
    </w:p>
    <w:p w14:paraId="59517BF7" w14:textId="2006829B" w:rsidR="00E37E5D" w:rsidRDefault="00E37E5D" w:rsidP="00195694">
      <w:pPr>
        <w:pStyle w:val="BodyText"/>
        <w:rPr>
          <w:lang w:val="en-US"/>
        </w:rPr>
      </w:pPr>
      <w:r w:rsidRPr="34EAF8E1">
        <w:rPr>
          <w:lang w:val="en-US"/>
        </w:rPr>
        <w:t xml:space="preserve">One of the key fiscal principles adopted in the 2023-24 Budget was to stabilise the State’s debt position. </w:t>
      </w:r>
    </w:p>
    <w:p w14:paraId="70587965" w14:textId="659B09AE" w:rsidR="00C10AA6" w:rsidRDefault="00C10AA6" w:rsidP="00195694">
      <w:pPr>
        <w:pStyle w:val="BodyText"/>
        <w:rPr>
          <w:lang w:val="en-US"/>
        </w:rPr>
      </w:pPr>
      <w:r>
        <w:rPr>
          <w:lang w:val="en-US"/>
        </w:rPr>
        <w:t>This Budget continues to move the State’s finances to a more sustainable footing while investing in essential services.</w:t>
      </w:r>
    </w:p>
    <w:p w14:paraId="2F6DE187" w14:textId="0A7E1ADC" w:rsidR="00C10AA6" w:rsidRPr="007D4A88" w:rsidRDefault="00C10AA6" w:rsidP="00195694">
      <w:pPr>
        <w:pStyle w:val="BodyText"/>
      </w:pPr>
      <w:r>
        <w:rPr>
          <w:lang w:val="en-US"/>
        </w:rPr>
        <w:t xml:space="preserve">Gross debt is projected to be $9.4 billion lower by June 2026 than </w:t>
      </w:r>
      <w:r w:rsidR="009A7F8F">
        <w:rPr>
          <w:lang w:val="en-US"/>
        </w:rPr>
        <w:t>projected in the 2023</w:t>
      </w:r>
      <w:r w:rsidR="003D4634">
        <w:rPr>
          <w:lang w:val="en-US"/>
        </w:rPr>
        <w:t xml:space="preserve"> Pre</w:t>
      </w:r>
      <w:r w:rsidR="0084454D">
        <w:rPr>
          <w:lang w:val="en-US"/>
        </w:rPr>
        <w:noBreakHyphen/>
      </w:r>
      <w:r w:rsidR="008C5B98">
        <w:rPr>
          <w:lang w:val="en-US"/>
        </w:rPr>
        <w:t>e</w:t>
      </w:r>
      <w:r w:rsidR="003D4634">
        <w:rPr>
          <w:lang w:val="en-US"/>
        </w:rPr>
        <w:t>lection Budget Update (equivalent to around $1,000 per person in New South Wales or around 1 per cent of gross state product</w:t>
      </w:r>
      <w:r w:rsidR="000156BA">
        <w:rPr>
          <w:lang w:val="en-US"/>
        </w:rPr>
        <w:t xml:space="preserve"> (GSP)</w:t>
      </w:r>
      <w:r w:rsidR="00503B6A">
        <w:rPr>
          <w:lang w:val="en-US"/>
        </w:rPr>
        <w:t>).</w:t>
      </w:r>
    </w:p>
    <w:p w14:paraId="7223FFB5" w14:textId="66595138" w:rsidR="00E37E5D" w:rsidRDefault="00E37E5D" w:rsidP="00195694">
      <w:pPr>
        <w:pStyle w:val="BodyText"/>
      </w:pPr>
      <w:r w:rsidRPr="34EAF8E1">
        <w:rPr>
          <w:lang w:val="en-US"/>
        </w:rPr>
        <w:t xml:space="preserve">In </w:t>
      </w:r>
      <w:r w:rsidR="00C614D7" w:rsidRPr="34EAF8E1">
        <w:rPr>
          <w:lang w:val="en-US"/>
        </w:rPr>
        <w:t>this</w:t>
      </w:r>
      <w:r w:rsidRPr="34EAF8E1">
        <w:rPr>
          <w:lang w:val="en-US"/>
        </w:rPr>
        <w:t xml:space="preserve"> Budget, the State’s gross debt levels are projected to be $</w:t>
      </w:r>
      <w:r w:rsidR="00CB0F46" w:rsidRPr="34EAF8E1">
        <w:rPr>
          <w:lang w:val="en-US"/>
        </w:rPr>
        <w:t>16</w:t>
      </w:r>
      <w:r w:rsidR="00CA6203" w:rsidRPr="34EAF8E1">
        <w:rPr>
          <w:lang w:val="en-US"/>
        </w:rPr>
        <w:t>6</w:t>
      </w:r>
      <w:r w:rsidR="00E17048" w:rsidRPr="34EAF8E1">
        <w:rPr>
          <w:lang w:val="en-US"/>
        </w:rPr>
        <w:t>.</w:t>
      </w:r>
      <w:r w:rsidR="00CA6203" w:rsidRPr="34EAF8E1">
        <w:rPr>
          <w:lang w:val="en-US"/>
        </w:rPr>
        <w:t>0</w:t>
      </w:r>
      <w:r w:rsidRPr="34EAF8E1">
        <w:rPr>
          <w:lang w:val="en-US"/>
        </w:rPr>
        <w:t xml:space="preserve"> billion by June 202</w:t>
      </w:r>
      <w:r w:rsidR="00C614D7" w:rsidRPr="34EAF8E1">
        <w:rPr>
          <w:lang w:val="en-US"/>
        </w:rPr>
        <w:t>5</w:t>
      </w:r>
      <w:r w:rsidRPr="34EAF8E1">
        <w:rPr>
          <w:lang w:val="en-US"/>
        </w:rPr>
        <w:t>, which is $</w:t>
      </w:r>
      <w:r w:rsidR="0031678D" w:rsidRPr="34EAF8E1">
        <w:rPr>
          <w:lang w:val="en-US"/>
        </w:rPr>
        <w:t>1.5</w:t>
      </w:r>
      <w:r w:rsidR="006D5854" w:rsidRPr="34EAF8E1">
        <w:rPr>
          <w:lang w:val="en-US"/>
        </w:rPr>
        <w:t> </w:t>
      </w:r>
      <w:r w:rsidRPr="34EAF8E1">
        <w:rPr>
          <w:lang w:val="en-US"/>
        </w:rPr>
        <w:t>billion lower than the 2024-25 Half-Yearly Review projection</w:t>
      </w:r>
      <w:r w:rsidR="00503B6A">
        <w:rPr>
          <w:lang w:val="en-US"/>
        </w:rPr>
        <w:t>.</w:t>
      </w:r>
    </w:p>
    <w:p w14:paraId="070C5DE8" w14:textId="20878484" w:rsidR="008A29BA" w:rsidRDefault="00E13FE9" w:rsidP="00195694">
      <w:pPr>
        <w:pStyle w:val="BodyText"/>
      </w:pPr>
      <w:r w:rsidRPr="34EAF8E1">
        <w:rPr>
          <w:lang w:val="en-US"/>
        </w:rPr>
        <w:t>Over the four years to June 2029, gross debt as a percent</w:t>
      </w:r>
      <w:r w:rsidR="00A15409" w:rsidRPr="34EAF8E1">
        <w:rPr>
          <w:lang w:val="en-US"/>
        </w:rPr>
        <w:t>age</w:t>
      </w:r>
      <w:r w:rsidRPr="34EAF8E1">
        <w:rPr>
          <w:lang w:val="en-US"/>
        </w:rPr>
        <w:t xml:space="preserve"> of GSP is projected to </w:t>
      </w:r>
      <w:r w:rsidR="00B160AE" w:rsidRPr="34EAF8E1">
        <w:rPr>
          <w:lang w:val="en-US"/>
        </w:rPr>
        <w:t>remain relativel</w:t>
      </w:r>
      <w:r w:rsidR="00385D3D" w:rsidRPr="34EAF8E1">
        <w:rPr>
          <w:lang w:val="en-US"/>
        </w:rPr>
        <w:t xml:space="preserve">y stable. </w:t>
      </w:r>
      <w:r w:rsidR="00C91AFF" w:rsidRPr="34EAF8E1">
        <w:rPr>
          <w:lang w:val="en-US"/>
        </w:rPr>
        <w:t xml:space="preserve">This is the first time since the </w:t>
      </w:r>
      <w:r w:rsidR="00A410AF" w:rsidRPr="34EAF8E1">
        <w:rPr>
          <w:lang w:val="en-US"/>
        </w:rPr>
        <w:t>2015-16 Budget</w:t>
      </w:r>
      <w:r w:rsidR="00801296" w:rsidRPr="34EAF8E1">
        <w:rPr>
          <w:lang w:val="en-US"/>
        </w:rPr>
        <w:t xml:space="preserve"> that the State’s gross debt as a percent</w:t>
      </w:r>
      <w:r w:rsidR="00BE5944" w:rsidRPr="34EAF8E1">
        <w:rPr>
          <w:lang w:val="en-US"/>
        </w:rPr>
        <w:t>age</w:t>
      </w:r>
      <w:r w:rsidR="00801296" w:rsidRPr="34EAF8E1">
        <w:rPr>
          <w:lang w:val="en-US"/>
        </w:rPr>
        <w:t xml:space="preserve"> of GSP </w:t>
      </w:r>
      <w:r w:rsidR="000A6E5D" w:rsidRPr="34EAF8E1">
        <w:rPr>
          <w:lang w:val="en-US"/>
        </w:rPr>
        <w:t xml:space="preserve">has been projected to remain stable across the forward estimates. </w:t>
      </w:r>
    </w:p>
    <w:p w14:paraId="1AC974DB" w14:textId="0EC31080" w:rsidR="0055125D" w:rsidRDefault="0055125D" w:rsidP="00195694">
      <w:pPr>
        <w:pStyle w:val="BodyText"/>
      </w:pPr>
      <w:r w:rsidRPr="34EAF8E1">
        <w:rPr>
          <w:lang w:val="en-US"/>
        </w:rPr>
        <w:t>The main driver of the</w:t>
      </w:r>
      <w:r w:rsidR="00E571D4" w:rsidRPr="34EAF8E1">
        <w:rPr>
          <w:lang w:val="en-US"/>
        </w:rPr>
        <w:t xml:space="preserve"> State’s </w:t>
      </w:r>
      <w:r w:rsidR="00E05DAA" w:rsidRPr="34EAF8E1">
        <w:rPr>
          <w:lang w:val="en-US"/>
        </w:rPr>
        <w:t xml:space="preserve">gross debt levels </w:t>
      </w:r>
      <w:r w:rsidRPr="34EAF8E1">
        <w:rPr>
          <w:lang w:val="en-US"/>
        </w:rPr>
        <w:t xml:space="preserve">is </w:t>
      </w:r>
      <w:r w:rsidR="00015983" w:rsidRPr="34EAF8E1">
        <w:rPr>
          <w:lang w:val="en-US"/>
        </w:rPr>
        <w:t xml:space="preserve">the </w:t>
      </w:r>
      <w:r w:rsidRPr="34EAF8E1">
        <w:rPr>
          <w:lang w:val="en-US"/>
        </w:rPr>
        <w:t>State’s infrastructure program</w:t>
      </w:r>
      <w:r w:rsidR="00DC33CB" w:rsidRPr="34EAF8E1">
        <w:rPr>
          <w:lang w:val="en-US"/>
        </w:rPr>
        <w:t>, which is investing in essential public transport, schools and health projects</w:t>
      </w:r>
      <w:r w:rsidRPr="34EAF8E1">
        <w:rPr>
          <w:lang w:val="en-US"/>
        </w:rPr>
        <w:t xml:space="preserve"> (see </w:t>
      </w:r>
      <w:r w:rsidR="00CC3224" w:rsidRPr="34EAF8E1">
        <w:rPr>
          <w:lang w:val="en-US"/>
        </w:rPr>
        <w:t xml:space="preserve">Budget Paper No.3 </w:t>
      </w:r>
      <w:r w:rsidR="00CC3224" w:rsidRPr="34EAF8E1">
        <w:rPr>
          <w:i/>
          <w:lang w:val="en-US"/>
        </w:rPr>
        <w:t>Infrastructure Statement</w:t>
      </w:r>
      <w:r w:rsidRPr="34EAF8E1">
        <w:rPr>
          <w:lang w:val="en-US"/>
        </w:rPr>
        <w:t xml:space="preserve"> for further information). </w:t>
      </w:r>
      <w:r w:rsidR="00F62C72" w:rsidRPr="34EAF8E1">
        <w:rPr>
          <w:lang w:val="en-US"/>
        </w:rPr>
        <w:t xml:space="preserve"> </w:t>
      </w:r>
    </w:p>
    <w:p w14:paraId="5E481956" w14:textId="5F96A041" w:rsidR="00D179F2" w:rsidRPr="009D3B39" w:rsidRDefault="00D179F2" w:rsidP="00F6707C">
      <w:pPr>
        <w:pStyle w:val="Chart8X"/>
      </w:pPr>
      <w:r>
        <w:t xml:space="preserve">Annual change in </w:t>
      </w:r>
      <w:r w:rsidR="00A568A1">
        <w:t>the State</w:t>
      </w:r>
      <w:r>
        <w:t>’s gross debt</w:t>
      </w:r>
    </w:p>
    <w:p w14:paraId="0CA69249" w14:textId="10001237" w:rsidR="00230791" w:rsidRDefault="00FD2A06" w:rsidP="00473998">
      <w:r w:rsidRPr="00FD2A06">
        <w:rPr>
          <w:noProof/>
        </w:rPr>
        <w:t xml:space="preserve"> </w:t>
      </w:r>
      <w:r w:rsidR="00D179F2">
        <w:rPr>
          <w:noProof/>
        </w:rPr>
        <w:drawing>
          <wp:inline distT="0" distB="0" distL="0" distR="0" wp14:anchorId="36378341" wp14:editId="477AB304">
            <wp:extent cx="6088846" cy="2314780"/>
            <wp:effectExtent l="0" t="0" r="0" b="0"/>
            <wp:docPr id="632173734" name="Chart 1" descr="Chart 8.1: Annual change in the State’s gross debt">
              <a:extLst xmlns:a="http://schemas.openxmlformats.org/drawingml/2006/main">
                <a:ext uri="{FF2B5EF4-FFF2-40B4-BE49-F238E27FC236}">
                  <a16:creationId xmlns:a16="http://schemas.microsoft.com/office/drawing/2014/main" id="{5E1FF30B-4110-44E4-8A39-8B999C92E0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D10CD7" w:rsidDel="00EB2667">
        <w:rPr>
          <w:noProof/>
        </w:rPr>
        <w:t xml:space="preserve"> </w:t>
      </w:r>
    </w:p>
    <w:p w14:paraId="335738F7" w14:textId="3F4E7BF3" w:rsidR="0049142F" w:rsidRDefault="00912706">
      <w:pPr>
        <w:spacing w:before="360" w:after="120"/>
        <w:ind w:left="851" w:hanging="851"/>
      </w:pPr>
      <w:r>
        <w:br w:type="page"/>
      </w:r>
    </w:p>
    <w:p w14:paraId="40F5DDFD" w14:textId="77777777" w:rsidR="0049142F" w:rsidRDefault="0049142F" w:rsidP="00473998"/>
    <w:tbl>
      <w:tblPr>
        <w:tblW w:w="9639" w:type="dxa"/>
        <w:shd w:val="pct5" w:color="auto" w:fill="auto"/>
        <w:tblLayout w:type="fixed"/>
        <w:tblLook w:val="0000" w:firstRow="0" w:lastRow="0" w:firstColumn="0" w:lastColumn="0" w:noHBand="0" w:noVBand="0"/>
      </w:tblPr>
      <w:tblGrid>
        <w:gridCol w:w="9639"/>
      </w:tblGrid>
      <w:tr w:rsidR="00C135E8" w:rsidRPr="00A903EA" w14:paraId="3E3A1F3E" w14:textId="77777777" w:rsidTr="00DA2EE4">
        <w:trPr>
          <w:trHeight w:val="1157"/>
        </w:trPr>
        <w:tc>
          <w:tcPr>
            <w:tcW w:w="9639" w:type="dxa"/>
            <w:shd w:val="pct5" w:color="auto" w:fill="auto"/>
          </w:tcPr>
          <w:p w14:paraId="210D8A37" w14:textId="6A0BC53F" w:rsidR="00C135E8" w:rsidRPr="008D524C" w:rsidRDefault="006059B7" w:rsidP="00195694">
            <w:pPr>
              <w:pStyle w:val="Box8XBoxHeading"/>
            </w:pPr>
            <w:r>
              <w:t xml:space="preserve">Managing the State’s debt portfolio to </w:t>
            </w:r>
            <w:r w:rsidR="00042C54">
              <w:t>manage</w:t>
            </w:r>
            <w:r>
              <w:t xml:space="preserve"> i</w:t>
            </w:r>
            <w:r w:rsidR="00C135E8">
              <w:t xml:space="preserve">nterest </w:t>
            </w:r>
            <w:r w:rsidR="003162D1">
              <w:t>expenses</w:t>
            </w:r>
            <w:r w:rsidR="00C135E8">
              <w:t xml:space="preserve"> and refinancing risk</w:t>
            </w:r>
          </w:p>
          <w:p w14:paraId="1A29C8B6" w14:textId="32635F50" w:rsidR="000E77BB" w:rsidRPr="007D4A88" w:rsidRDefault="00C135E8" w:rsidP="00195694">
            <w:pPr>
              <w:pStyle w:val="BodyText"/>
            </w:pPr>
            <w:r w:rsidRPr="2BCF6029">
              <w:t>The Government place</w:t>
            </w:r>
            <w:r w:rsidR="009C2945">
              <w:t>s</w:t>
            </w:r>
            <w:r w:rsidRPr="2BCF6029">
              <w:t xml:space="preserve"> a strong emphasis on managing the affordability of the State’s interest expenses and its refinancing risk. </w:t>
            </w:r>
            <w:r w:rsidR="00C73F9E">
              <w:rPr>
                <w:lang w:val="en-US"/>
              </w:rPr>
              <w:t>Between</w:t>
            </w:r>
            <w:r w:rsidR="000E77BB" w:rsidRPr="0AB27469">
              <w:rPr>
                <w:lang w:val="en-US"/>
              </w:rPr>
              <w:t xml:space="preserve"> 2022-23</w:t>
            </w:r>
            <w:r w:rsidR="000F4C35">
              <w:rPr>
                <w:lang w:val="en-US"/>
              </w:rPr>
              <w:t xml:space="preserve"> and 2024-25</w:t>
            </w:r>
            <w:r w:rsidR="000E77BB" w:rsidRPr="0AB27469">
              <w:rPr>
                <w:lang w:val="en-US"/>
              </w:rPr>
              <w:t xml:space="preserve"> interest expenses </w:t>
            </w:r>
            <w:r w:rsidR="000F4C35">
              <w:rPr>
                <w:lang w:val="en-US"/>
              </w:rPr>
              <w:t>grew from</w:t>
            </w:r>
            <w:r w:rsidR="000E77BB" w:rsidRPr="0AB27469">
              <w:rPr>
                <w:lang w:val="en-US"/>
              </w:rPr>
              <w:t xml:space="preserve"> </w:t>
            </w:r>
            <w:r w:rsidR="004A0ADB">
              <w:rPr>
                <w:lang w:val="en-US"/>
              </w:rPr>
              <w:t>$4.2 billion</w:t>
            </w:r>
            <w:r w:rsidR="000E77BB" w:rsidRPr="0AB27469">
              <w:rPr>
                <w:lang w:val="en-US"/>
              </w:rPr>
              <w:t xml:space="preserve"> </w:t>
            </w:r>
            <w:r w:rsidR="00093EC2">
              <w:rPr>
                <w:lang w:val="en-US"/>
              </w:rPr>
              <w:t xml:space="preserve">to </w:t>
            </w:r>
            <w:r w:rsidR="00BD59B1">
              <w:rPr>
                <w:lang w:val="en-US"/>
              </w:rPr>
              <w:t>$7.1 billion and</w:t>
            </w:r>
            <w:r w:rsidR="000F4C35">
              <w:rPr>
                <w:lang w:val="en-US"/>
              </w:rPr>
              <w:t xml:space="preserve"> are projected to grow further to </w:t>
            </w:r>
            <w:r w:rsidR="00093EC2">
              <w:rPr>
                <w:lang w:val="en-US"/>
              </w:rPr>
              <w:t>$9.5 billion</w:t>
            </w:r>
            <w:r w:rsidR="00CA72D3">
              <w:rPr>
                <w:lang w:val="en-US"/>
              </w:rPr>
              <w:t xml:space="preserve"> by June 2029</w:t>
            </w:r>
            <w:r w:rsidR="00093EC2">
              <w:rPr>
                <w:lang w:val="en-US"/>
              </w:rPr>
              <w:t>.</w:t>
            </w:r>
          </w:p>
          <w:p w14:paraId="6DFD2DA9" w14:textId="2C08289D" w:rsidR="00C135E8" w:rsidRPr="007D4A88" w:rsidRDefault="00C135E8" w:rsidP="00195694">
            <w:pPr>
              <w:pStyle w:val="BodyText"/>
            </w:pPr>
            <w:r w:rsidRPr="34EAF8E1">
              <w:rPr>
                <w:lang w:val="en-US"/>
              </w:rPr>
              <w:t xml:space="preserve">Since January 2020, TCorp 10-year bond yields have ranged from a low of around 1.0 per cent (in November 2020) to approximately </w:t>
            </w:r>
            <w:r w:rsidR="00DA0BD9" w:rsidRPr="34EAF8E1">
              <w:rPr>
                <w:lang w:val="en-US"/>
              </w:rPr>
              <w:t>4.9</w:t>
            </w:r>
            <w:r w:rsidRPr="34EAF8E1">
              <w:rPr>
                <w:lang w:val="en-US"/>
              </w:rPr>
              <w:t xml:space="preserve"> per cent on 31 May 2025</w:t>
            </w:r>
            <w:r w:rsidR="007D2683" w:rsidRPr="34EAF8E1">
              <w:rPr>
                <w:lang w:val="en-US"/>
              </w:rPr>
              <w:t>,</w:t>
            </w:r>
            <w:r w:rsidRPr="34EAF8E1">
              <w:rPr>
                <w:lang w:val="en-US"/>
              </w:rPr>
              <w:t xml:space="preserve"> primarily </w:t>
            </w:r>
            <w:r w:rsidR="007D2683" w:rsidRPr="34EAF8E1">
              <w:rPr>
                <w:lang w:val="en-US"/>
              </w:rPr>
              <w:t>driven by</w:t>
            </w:r>
            <w:r w:rsidRPr="34EAF8E1">
              <w:rPr>
                <w:lang w:val="en-US"/>
              </w:rPr>
              <w:t xml:space="preserve"> the Reserve Bank of Australia </w:t>
            </w:r>
            <w:r w:rsidR="00F64D1E" w:rsidRPr="34EAF8E1">
              <w:rPr>
                <w:lang w:val="en-US"/>
              </w:rPr>
              <w:t>adjusting</w:t>
            </w:r>
            <w:r w:rsidR="001D791C" w:rsidRPr="34EAF8E1">
              <w:rPr>
                <w:lang w:val="en-US"/>
              </w:rPr>
              <w:t xml:space="preserve"> the </w:t>
            </w:r>
            <w:r w:rsidRPr="34EAF8E1">
              <w:rPr>
                <w:lang w:val="en-US"/>
              </w:rPr>
              <w:t xml:space="preserve">cash rate </w:t>
            </w:r>
            <w:r w:rsidR="001D791C" w:rsidRPr="34EAF8E1">
              <w:rPr>
                <w:lang w:val="en-US"/>
              </w:rPr>
              <w:t xml:space="preserve">to respond to </w:t>
            </w:r>
            <w:r w:rsidR="00681434" w:rsidRPr="34EAF8E1">
              <w:rPr>
                <w:lang w:val="en-US"/>
              </w:rPr>
              <w:t xml:space="preserve">prevailing and expected </w:t>
            </w:r>
            <w:r w:rsidR="001D791C" w:rsidRPr="34EAF8E1">
              <w:rPr>
                <w:lang w:val="en-US"/>
              </w:rPr>
              <w:t xml:space="preserve">economic conditions. </w:t>
            </w:r>
            <w:r w:rsidRPr="34EAF8E1">
              <w:rPr>
                <w:lang w:val="en-US"/>
              </w:rPr>
              <w:t xml:space="preserve">The average interest rate payable on new Crown borrowings was around </w:t>
            </w:r>
            <w:r w:rsidR="00E52A70" w:rsidRPr="34EAF8E1">
              <w:rPr>
                <w:lang w:val="en-US"/>
              </w:rPr>
              <w:t>5.2</w:t>
            </w:r>
            <w:r w:rsidR="00BF684A" w:rsidRPr="34EAF8E1">
              <w:rPr>
                <w:lang w:val="en-US"/>
              </w:rPr>
              <w:t> </w:t>
            </w:r>
            <w:r w:rsidRPr="34EAF8E1">
              <w:rPr>
                <w:lang w:val="en-US"/>
              </w:rPr>
              <w:t>per</w:t>
            </w:r>
            <w:r w:rsidR="00BF684A" w:rsidRPr="34EAF8E1">
              <w:rPr>
                <w:lang w:val="en-US"/>
              </w:rPr>
              <w:t> </w:t>
            </w:r>
            <w:r w:rsidRPr="34EAF8E1">
              <w:rPr>
                <w:lang w:val="en-US"/>
              </w:rPr>
              <w:t>cent during 2024-25 and is forecast to decline over the forward estimates</w:t>
            </w:r>
            <w:r w:rsidR="000E124C" w:rsidRPr="34EAF8E1">
              <w:rPr>
                <w:lang w:val="en-US"/>
              </w:rPr>
              <w:t xml:space="preserve"> as</w:t>
            </w:r>
            <w:r w:rsidR="003271F3" w:rsidRPr="34EAF8E1">
              <w:rPr>
                <w:lang w:val="en-US"/>
              </w:rPr>
              <w:t xml:space="preserve"> </w:t>
            </w:r>
            <w:r w:rsidR="00AB34AC" w:rsidRPr="34EAF8E1">
              <w:rPr>
                <w:lang w:val="en-US"/>
              </w:rPr>
              <w:t>economic conditions are forecast</w:t>
            </w:r>
            <w:r w:rsidR="00D22DCD" w:rsidRPr="34EAF8E1">
              <w:rPr>
                <w:lang w:val="en-US"/>
              </w:rPr>
              <w:t xml:space="preserve"> to </w:t>
            </w:r>
            <w:r w:rsidR="00B10609" w:rsidRPr="34EAF8E1">
              <w:rPr>
                <w:lang w:val="en-US"/>
              </w:rPr>
              <w:t>stabilise.</w:t>
            </w:r>
          </w:p>
          <w:p w14:paraId="56A6097B" w14:textId="2C63A95A" w:rsidR="00631740" w:rsidRDefault="00C135E8" w:rsidP="00195694">
            <w:pPr>
              <w:pStyle w:val="BodyText"/>
              <w:rPr>
                <w:lang w:val="en-US"/>
              </w:rPr>
            </w:pPr>
            <w:r w:rsidRPr="34EAF8E1">
              <w:rPr>
                <w:lang w:val="en-US"/>
              </w:rPr>
              <w:t xml:space="preserve">Increased debt is driving greater interest rate and refinancing risk. As debt grows, the State’s fiscal position is more vulnerable to small movements in bond yields and higher interest rates. </w:t>
            </w:r>
            <w:r w:rsidR="00F80ABD" w:rsidRPr="00F80ABD">
              <w:rPr>
                <w:lang w:val="en-US"/>
              </w:rPr>
              <w:t>Reducing gross debt by $9.4 billion</w:t>
            </w:r>
            <w:r w:rsidR="00F80ABD">
              <w:rPr>
                <w:lang w:val="en-US"/>
              </w:rPr>
              <w:t xml:space="preserve"> below the 202</w:t>
            </w:r>
            <w:r w:rsidR="00631740">
              <w:rPr>
                <w:lang w:val="en-US"/>
              </w:rPr>
              <w:t>3 Pre-</w:t>
            </w:r>
            <w:r w:rsidR="00CC0E31">
              <w:rPr>
                <w:lang w:val="en-US"/>
              </w:rPr>
              <w:t>e</w:t>
            </w:r>
            <w:r w:rsidR="00631740">
              <w:rPr>
                <w:lang w:val="en-US"/>
              </w:rPr>
              <w:t>lection Budget Update projection</w:t>
            </w:r>
            <w:r w:rsidR="00F80ABD" w:rsidRPr="00F80ABD">
              <w:rPr>
                <w:lang w:val="en-US"/>
              </w:rPr>
              <w:t xml:space="preserve"> is expected to avoid </w:t>
            </w:r>
            <w:r w:rsidR="005507A2">
              <w:rPr>
                <w:lang w:val="en-US"/>
              </w:rPr>
              <w:t>approximately</w:t>
            </w:r>
            <w:r w:rsidR="00F80ABD" w:rsidRPr="00F80ABD">
              <w:rPr>
                <w:lang w:val="en-US"/>
              </w:rPr>
              <w:t xml:space="preserve"> $</w:t>
            </w:r>
            <w:r w:rsidR="005507A2">
              <w:rPr>
                <w:lang w:val="en-US"/>
              </w:rPr>
              <w:t>0.4</w:t>
            </w:r>
            <w:r w:rsidR="009D3A51">
              <w:rPr>
                <w:lang w:val="en-US"/>
              </w:rPr>
              <w:t xml:space="preserve"> billion in</w:t>
            </w:r>
            <w:r w:rsidR="00F80ABD" w:rsidRPr="00F80ABD">
              <w:rPr>
                <w:lang w:val="en-US"/>
              </w:rPr>
              <w:t xml:space="preserve"> </w:t>
            </w:r>
            <w:r w:rsidR="008F6EC2">
              <w:rPr>
                <w:lang w:val="en-US"/>
              </w:rPr>
              <w:t>interest expense in 2026-27</w:t>
            </w:r>
            <w:r w:rsidR="00F80ABD" w:rsidRPr="00F80ABD">
              <w:rPr>
                <w:lang w:val="en-US"/>
              </w:rPr>
              <w:t>.</w:t>
            </w:r>
            <w:r w:rsidR="00F80ABD">
              <w:rPr>
                <w:lang w:val="en-US"/>
              </w:rPr>
              <w:t xml:space="preserve"> </w:t>
            </w:r>
          </w:p>
          <w:p w14:paraId="4BA08A78" w14:textId="0B4CB87E" w:rsidR="00C135E8" w:rsidRPr="007D4A88" w:rsidRDefault="00C135E8" w:rsidP="00195694">
            <w:pPr>
              <w:pStyle w:val="BodyText"/>
              <w:rPr>
                <w:lang w:val="en-US"/>
              </w:rPr>
            </w:pPr>
            <w:r w:rsidRPr="34EAF8E1">
              <w:rPr>
                <w:lang w:val="en-US"/>
              </w:rPr>
              <w:t xml:space="preserve">The Government’s interest expense as a percentage of revenue is estimated to be </w:t>
            </w:r>
            <w:r w:rsidR="00BC70F4" w:rsidRPr="34EAF8E1">
              <w:rPr>
                <w:lang w:val="en-US"/>
              </w:rPr>
              <w:t>6.8</w:t>
            </w:r>
            <w:r w:rsidRPr="34EAF8E1">
              <w:rPr>
                <w:lang w:val="en-US"/>
              </w:rPr>
              <w:t> per cent in 2027-28</w:t>
            </w:r>
            <w:r w:rsidR="00230182" w:rsidRPr="34EAF8E1">
              <w:rPr>
                <w:lang w:val="en-US"/>
              </w:rPr>
              <w:t xml:space="preserve">, </w:t>
            </w:r>
            <w:r w:rsidR="00592A45" w:rsidRPr="34EAF8E1">
              <w:rPr>
                <w:lang w:val="en-US"/>
              </w:rPr>
              <w:t>broadly in line with</w:t>
            </w:r>
            <w:r w:rsidRPr="34EAF8E1">
              <w:rPr>
                <w:lang w:val="en-US"/>
              </w:rPr>
              <w:t xml:space="preserve"> the 2024</w:t>
            </w:r>
            <w:r w:rsidR="011EA66E" w:rsidRPr="34EAF8E1">
              <w:rPr>
                <w:lang w:val="en-US"/>
              </w:rPr>
              <w:t>-</w:t>
            </w:r>
            <w:r w:rsidRPr="34EAF8E1">
              <w:rPr>
                <w:lang w:val="en-US"/>
              </w:rPr>
              <w:t>25 Half</w:t>
            </w:r>
            <w:r w:rsidR="007D5FED">
              <w:t>-</w:t>
            </w:r>
            <w:r w:rsidRPr="34EAF8E1">
              <w:rPr>
                <w:lang w:val="en-US"/>
              </w:rPr>
              <w:t>Yearly Review (see </w:t>
            </w:r>
            <w:r w:rsidR="009D7606" w:rsidRPr="34EAF8E1">
              <w:rPr>
                <w:lang w:val="en-US"/>
              </w:rPr>
              <w:t>Chart 8</w:t>
            </w:r>
            <w:r w:rsidRPr="34EAF8E1">
              <w:rPr>
                <w:lang w:val="en-US"/>
              </w:rPr>
              <w:t>.</w:t>
            </w:r>
            <w:r w:rsidR="008C711C" w:rsidRPr="34EAF8E1">
              <w:rPr>
                <w:lang w:val="en-US"/>
              </w:rPr>
              <w:t>2</w:t>
            </w:r>
            <w:r w:rsidRPr="34EAF8E1">
              <w:rPr>
                <w:lang w:val="en-US"/>
              </w:rPr>
              <w:t xml:space="preserve">). </w:t>
            </w:r>
            <w:r w:rsidR="00305555" w:rsidRPr="34EAF8E1">
              <w:rPr>
                <w:lang w:val="en-US"/>
              </w:rPr>
              <w:t xml:space="preserve">See Appendix E Fiscal </w:t>
            </w:r>
            <w:r w:rsidR="00C479E6" w:rsidRPr="34EAF8E1">
              <w:rPr>
                <w:lang w:val="en-US"/>
              </w:rPr>
              <w:t>r</w:t>
            </w:r>
            <w:r w:rsidR="00305555" w:rsidRPr="34EAF8E1">
              <w:rPr>
                <w:lang w:val="en-US"/>
              </w:rPr>
              <w:t xml:space="preserve">eporting </w:t>
            </w:r>
            <w:r w:rsidR="008175F2">
              <w:rPr>
                <w:lang w:val="en-US"/>
              </w:rPr>
              <w:t>and sensitivities</w:t>
            </w:r>
            <w:r w:rsidR="00305555" w:rsidRPr="34EAF8E1">
              <w:rPr>
                <w:lang w:val="en-US"/>
              </w:rPr>
              <w:t xml:space="preserve"> for more information on interest rate risk.</w:t>
            </w:r>
            <w:r w:rsidR="00244C3F">
              <w:rPr>
                <w:lang w:val="en-US"/>
              </w:rPr>
              <w:t xml:space="preserve"> </w:t>
            </w:r>
            <w:r w:rsidR="00F33A1B" w:rsidRPr="34EAF8E1">
              <w:rPr>
                <w:lang w:val="en-US"/>
              </w:rPr>
              <w:t xml:space="preserve">The Government </w:t>
            </w:r>
            <w:r w:rsidR="001E2CBB" w:rsidRPr="34EAF8E1">
              <w:rPr>
                <w:lang w:val="en-US"/>
              </w:rPr>
              <w:t>has been actively managing the debt por</w:t>
            </w:r>
            <w:r w:rsidR="00CF4F59" w:rsidRPr="34EAF8E1">
              <w:rPr>
                <w:lang w:val="en-US"/>
              </w:rPr>
              <w:t xml:space="preserve">tfolio maturity profile to mitigate future </w:t>
            </w:r>
            <w:r w:rsidR="00635925" w:rsidRPr="34EAF8E1">
              <w:rPr>
                <w:lang w:val="en-US"/>
              </w:rPr>
              <w:t>funding and refinancing risk through extending the tenor of new debt and strategically refinancing upcoming matur</w:t>
            </w:r>
            <w:r w:rsidR="00551397" w:rsidRPr="34EAF8E1">
              <w:rPr>
                <w:lang w:val="en-US"/>
              </w:rPr>
              <w:t xml:space="preserve">ities. </w:t>
            </w:r>
            <w:r w:rsidR="00F33A1B" w:rsidRPr="34EAF8E1">
              <w:rPr>
                <w:lang w:val="en-US"/>
              </w:rPr>
              <w:t xml:space="preserve"> </w:t>
            </w:r>
          </w:p>
          <w:p w14:paraId="4622B7E4" w14:textId="77777777" w:rsidR="00C135E8" w:rsidRPr="009D3B39" w:rsidRDefault="00C135E8" w:rsidP="00F6707C">
            <w:pPr>
              <w:pStyle w:val="Chart8X"/>
            </w:pPr>
            <w:r w:rsidRPr="009D3B39">
              <w:t>Interest expense to revenue</w:t>
            </w:r>
          </w:p>
          <w:p w14:paraId="51750E33" w14:textId="7B18638F" w:rsidR="0049142F" w:rsidRPr="009D3B39" w:rsidRDefault="00DA2EE4" w:rsidP="0049142F">
            <w:r>
              <w:rPr>
                <w:noProof/>
              </w:rPr>
              <w:drawing>
                <wp:inline distT="0" distB="0" distL="0" distR="0" wp14:anchorId="71B05F14" wp14:editId="12D75CDE">
                  <wp:extent cx="5983605" cy="2327910"/>
                  <wp:effectExtent l="0" t="0" r="0" b="0"/>
                  <wp:docPr id="88308141" name="Chart 1" descr="Chart 8.2: Interest expense to revenue">
                    <a:extLst xmlns:a="http://schemas.openxmlformats.org/drawingml/2006/main">
                      <a:ext uri="{FF2B5EF4-FFF2-40B4-BE49-F238E27FC236}">
                        <a16:creationId xmlns:a16="http://schemas.microsoft.com/office/drawing/2014/main" id="{EC46E5E5-10ED-4CA5-B46C-1DB5ED234E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61DBF22" w14:textId="133EF48C" w:rsidR="00C135E8" w:rsidRPr="00FB3016" w:rsidRDefault="00C135E8" w:rsidP="002F2160"/>
        </w:tc>
      </w:tr>
    </w:tbl>
    <w:p w14:paraId="59A0D1D3" w14:textId="2992025D" w:rsidR="002F2160" w:rsidRDefault="002F2160" w:rsidP="00473998"/>
    <w:p w14:paraId="23C41922" w14:textId="77777777" w:rsidR="00912706" w:rsidRDefault="00912706">
      <w:pPr>
        <w:spacing w:before="360" w:after="120"/>
        <w:ind w:left="851" w:hanging="851"/>
        <w:rPr>
          <w:rFonts w:ascii="Public Sans SemiBold" w:hAnsi="Public Sans SemiBold"/>
          <w:b/>
          <w:color w:val="000000" w:themeColor="text1"/>
          <w:sz w:val="28"/>
          <w:lang w:val="en-AU"/>
        </w:rPr>
      </w:pPr>
      <w:r>
        <w:br w:type="page"/>
      </w:r>
    </w:p>
    <w:p w14:paraId="7B53496A" w14:textId="54DFAB86" w:rsidR="00E46A00" w:rsidRPr="002817A9" w:rsidRDefault="00D16F1C" w:rsidP="00AA67ED">
      <w:pPr>
        <w:pStyle w:val="81Heading2"/>
      </w:pPr>
      <w:r>
        <w:lastRenderedPageBreak/>
        <w:t xml:space="preserve">The State’s net worth </w:t>
      </w:r>
      <w:r w:rsidR="005A6D6D">
        <w:t>remains strong</w:t>
      </w:r>
    </w:p>
    <w:p w14:paraId="08CF236A" w14:textId="1D7190B1" w:rsidR="00C628FB" w:rsidRDefault="009905F6" w:rsidP="00C83546">
      <w:pPr>
        <w:pStyle w:val="BodyText"/>
        <w:rPr>
          <w:lang w:val="en-US"/>
        </w:rPr>
      </w:pPr>
      <w:r w:rsidRPr="34EAF8E1">
        <w:rPr>
          <w:lang w:val="en-US"/>
        </w:rPr>
        <w:t xml:space="preserve">General government sector net worth is projected to </w:t>
      </w:r>
      <w:r w:rsidR="00F20294" w:rsidRPr="34EAF8E1">
        <w:rPr>
          <w:lang w:val="en-US"/>
        </w:rPr>
        <w:t>be</w:t>
      </w:r>
      <w:r w:rsidRPr="34EAF8E1">
        <w:rPr>
          <w:lang w:val="en-US"/>
        </w:rPr>
        <w:t xml:space="preserve"> $</w:t>
      </w:r>
      <w:r w:rsidR="00E42FB6" w:rsidRPr="34EAF8E1">
        <w:rPr>
          <w:lang w:val="en-US"/>
        </w:rPr>
        <w:t>362.</w:t>
      </w:r>
      <w:r w:rsidR="005477FE" w:rsidRPr="34EAF8E1">
        <w:rPr>
          <w:lang w:val="en-US"/>
        </w:rPr>
        <w:t>7</w:t>
      </w:r>
      <w:r w:rsidRPr="34EAF8E1">
        <w:rPr>
          <w:lang w:val="en-US"/>
        </w:rPr>
        <w:t xml:space="preserve"> billion at June 2025, $</w:t>
      </w:r>
      <w:r w:rsidR="003E1749" w:rsidRPr="34EAF8E1">
        <w:rPr>
          <w:lang w:val="en-US"/>
        </w:rPr>
        <w:t>6.9</w:t>
      </w:r>
      <w:r w:rsidR="0063241D" w:rsidRPr="34EAF8E1">
        <w:rPr>
          <w:lang w:val="en-US"/>
        </w:rPr>
        <w:t> </w:t>
      </w:r>
      <w:r w:rsidRPr="34EAF8E1">
        <w:rPr>
          <w:lang w:val="en-US"/>
        </w:rPr>
        <w:t xml:space="preserve">billion </w:t>
      </w:r>
      <w:r w:rsidR="003E1749" w:rsidRPr="34EAF8E1">
        <w:rPr>
          <w:lang w:val="en-US"/>
        </w:rPr>
        <w:t>lower</w:t>
      </w:r>
      <w:r w:rsidRPr="34EAF8E1">
        <w:rPr>
          <w:lang w:val="en-US"/>
        </w:rPr>
        <w:t xml:space="preserve"> than the projection in the 2024-25 Half</w:t>
      </w:r>
      <w:r w:rsidR="0063241D" w:rsidRPr="34EAF8E1">
        <w:rPr>
          <w:lang w:val="en-US"/>
        </w:rPr>
        <w:t>-</w:t>
      </w:r>
      <w:r w:rsidRPr="34EAF8E1">
        <w:rPr>
          <w:lang w:val="en-US"/>
        </w:rPr>
        <w:t>Yearly Review</w:t>
      </w:r>
      <w:r w:rsidR="00C20B66" w:rsidRPr="34EAF8E1">
        <w:rPr>
          <w:lang w:val="en-US"/>
        </w:rPr>
        <w:t>.</w:t>
      </w:r>
      <w:r w:rsidR="00BD7A20" w:rsidRPr="34EAF8E1">
        <w:rPr>
          <w:lang w:val="en-US"/>
        </w:rPr>
        <w:t xml:space="preserve"> This is primarily driven by the decrease in the State’s equity investments in other public sector entities</w:t>
      </w:r>
      <w:r w:rsidR="00305555" w:rsidRPr="34EAF8E1">
        <w:rPr>
          <w:lang w:val="en-US"/>
        </w:rPr>
        <w:t xml:space="preserve"> including </w:t>
      </w:r>
      <w:r w:rsidR="00F20294" w:rsidRPr="34EAF8E1">
        <w:rPr>
          <w:lang w:val="en-US"/>
        </w:rPr>
        <w:t>revaluations of</w:t>
      </w:r>
      <w:r w:rsidR="00305555" w:rsidRPr="34EAF8E1">
        <w:rPr>
          <w:lang w:val="en-US"/>
        </w:rPr>
        <w:t xml:space="preserve"> Transport Asset </w:t>
      </w:r>
      <w:r w:rsidR="00F20294" w:rsidRPr="34EAF8E1">
        <w:rPr>
          <w:lang w:val="en-US"/>
        </w:rPr>
        <w:t>Manager’s property, plant and equipment</w:t>
      </w:r>
      <w:r w:rsidR="00B74FDA">
        <w:rPr>
          <w:lang w:val="en-US"/>
        </w:rPr>
        <w:t xml:space="preserve"> and</w:t>
      </w:r>
      <w:r w:rsidR="002B14B0">
        <w:rPr>
          <w:lang w:val="en-US"/>
        </w:rPr>
        <w:t xml:space="preserve"> a decrease in </w:t>
      </w:r>
      <w:r w:rsidR="00EB7F9A">
        <w:rPr>
          <w:lang w:val="en-US"/>
        </w:rPr>
        <w:t xml:space="preserve">net assets </w:t>
      </w:r>
      <w:r w:rsidR="00D15388">
        <w:rPr>
          <w:lang w:val="en-US"/>
        </w:rPr>
        <w:t xml:space="preserve">within </w:t>
      </w:r>
      <w:r w:rsidR="00EB7F9A">
        <w:rPr>
          <w:lang w:val="en-US"/>
        </w:rPr>
        <w:t xml:space="preserve">the Public Financial Corporation (PFC) </w:t>
      </w:r>
      <w:r w:rsidR="002B1E25">
        <w:rPr>
          <w:lang w:val="en-US"/>
        </w:rPr>
        <w:t xml:space="preserve">sector </w:t>
      </w:r>
      <w:r w:rsidR="009A395F">
        <w:rPr>
          <w:lang w:val="en-US"/>
        </w:rPr>
        <w:t xml:space="preserve">as lower forecast interest rates </w:t>
      </w:r>
      <w:r w:rsidR="004F2DBC">
        <w:rPr>
          <w:lang w:val="en-US"/>
        </w:rPr>
        <w:t>since the 20</w:t>
      </w:r>
      <w:r w:rsidR="00F5216D">
        <w:rPr>
          <w:lang w:val="en-US"/>
        </w:rPr>
        <w:t xml:space="preserve">24-25 Half-Yearly Review </w:t>
      </w:r>
      <w:r w:rsidR="00E0662E">
        <w:rPr>
          <w:lang w:val="en-US"/>
        </w:rPr>
        <w:t xml:space="preserve">impact </w:t>
      </w:r>
      <w:r w:rsidR="00666B41">
        <w:rPr>
          <w:lang w:val="en-US"/>
        </w:rPr>
        <w:t xml:space="preserve">the market value </w:t>
      </w:r>
      <w:r w:rsidR="0071102B">
        <w:rPr>
          <w:lang w:val="en-US"/>
        </w:rPr>
        <w:t xml:space="preserve">of </w:t>
      </w:r>
      <w:r w:rsidR="00624AE7">
        <w:rPr>
          <w:lang w:val="en-US"/>
        </w:rPr>
        <w:t>government bonds</w:t>
      </w:r>
      <w:r w:rsidR="006A14E7">
        <w:rPr>
          <w:lang w:val="en-US"/>
        </w:rPr>
        <w:t xml:space="preserve"> on issue</w:t>
      </w:r>
      <w:r w:rsidR="00F20294" w:rsidRPr="34EAF8E1">
        <w:rPr>
          <w:lang w:val="en-US"/>
        </w:rPr>
        <w:t>.</w:t>
      </w:r>
      <w:r w:rsidR="00305555" w:rsidRPr="34EAF8E1">
        <w:rPr>
          <w:lang w:val="en-US"/>
        </w:rPr>
        <w:t xml:space="preserve"> </w:t>
      </w:r>
    </w:p>
    <w:p w14:paraId="61C3B1A6" w14:textId="301A4828" w:rsidR="00561583" w:rsidRDefault="00A95653" w:rsidP="00C83546">
      <w:pPr>
        <w:pStyle w:val="BodyText"/>
        <w:rPr>
          <w:noProof/>
        </w:rPr>
      </w:pPr>
      <w:r>
        <w:rPr>
          <w:lang w:val="en-US"/>
        </w:rPr>
        <w:t>Over the four years to June 202</w:t>
      </w:r>
      <w:r w:rsidR="001D53CE">
        <w:rPr>
          <w:lang w:val="en-US"/>
        </w:rPr>
        <w:t>9</w:t>
      </w:r>
      <w:r>
        <w:rPr>
          <w:lang w:val="en-US"/>
        </w:rPr>
        <w:t xml:space="preserve">, </w:t>
      </w:r>
      <w:r w:rsidR="00E90BBF">
        <w:rPr>
          <w:lang w:val="en-US"/>
        </w:rPr>
        <w:t>ne</w:t>
      </w:r>
      <w:r w:rsidR="004220D3">
        <w:rPr>
          <w:lang w:val="en-US"/>
        </w:rPr>
        <w:t>t</w:t>
      </w:r>
      <w:r w:rsidR="00E90BBF">
        <w:rPr>
          <w:lang w:val="en-US"/>
        </w:rPr>
        <w:t xml:space="preserve"> worth is projected to grow from </w:t>
      </w:r>
      <w:r w:rsidR="001D53CE">
        <w:rPr>
          <w:lang w:val="en-US"/>
        </w:rPr>
        <w:t>$362.7 billion at June</w:t>
      </w:r>
      <w:r w:rsidR="00F80197">
        <w:rPr>
          <w:lang w:val="en-US"/>
        </w:rPr>
        <w:t> </w:t>
      </w:r>
      <w:r w:rsidR="001D53CE">
        <w:rPr>
          <w:lang w:val="en-US"/>
        </w:rPr>
        <w:t xml:space="preserve">2025 to $376.8 billion by June 2029 supported by </w:t>
      </w:r>
      <w:r w:rsidR="008F1C26">
        <w:rPr>
          <w:lang w:val="en-US"/>
        </w:rPr>
        <w:t>growth in financial assets and asset revaluations.</w:t>
      </w:r>
    </w:p>
    <w:p w14:paraId="1F9F712B" w14:textId="77777777" w:rsidR="006F5998" w:rsidRDefault="006F5998" w:rsidP="006F5998">
      <w:pPr>
        <w:pStyle w:val="BodyText"/>
      </w:pPr>
      <w:r w:rsidRPr="1456753A">
        <w:t xml:space="preserve">All key balance sheet metrics, including gross debt and net debt, are shown in </w:t>
      </w:r>
      <w:r w:rsidRPr="00A15E60">
        <w:t>Table </w:t>
      </w:r>
      <w:r>
        <w:t>8</w:t>
      </w:r>
      <w:r w:rsidRPr="00A15E60">
        <w:t>.1</w:t>
      </w:r>
      <w:r w:rsidRPr="1456753A">
        <w:t>.</w:t>
      </w:r>
    </w:p>
    <w:p w14:paraId="42C54E45" w14:textId="77777777" w:rsidR="006F5998" w:rsidRDefault="006F5998" w:rsidP="006F5998">
      <w:pPr>
        <w:pStyle w:val="Table8X"/>
      </w:pPr>
      <w:r>
        <w:t>Key balance sheet aggregates of the general government sector</w:t>
      </w:r>
    </w:p>
    <w:tbl>
      <w:tblPr>
        <w:tblW w:w="9666" w:type="dxa"/>
        <w:tblLayout w:type="fixed"/>
        <w:tblLook w:val="04A0" w:firstRow="1" w:lastRow="0" w:firstColumn="1" w:lastColumn="0" w:noHBand="0" w:noVBand="1"/>
        <w:tblCaption w:val="Table 8.1: Key balance sheet aggregates of the general government sector"/>
      </w:tblPr>
      <w:tblGrid>
        <w:gridCol w:w="2835"/>
        <w:gridCol w:w="1138"/>
        <w:gridCol w:w="1139"/>
        <w:gridCol w:w="1138"/>
        <w:gridCol w:w="1139"/>
        <w:gridCol w:w="1138"/>
        <w:gridCol w:w="1139"/>
      </w:tblGrid>
      <w:tr w:rsidR="006F5998" w:rsidRPr="003A505D" w14:paraId="46E7DE90" w14:textId="77777777">
        <w:trPr>
          <w:trHeight w:val="283"/>
        </w:trPr>
        <w:tc>
          <w:tcPr>
            <w:tcW w:w="2835" w:type="dxa"/>
            <w:tcBorders>
              <w:top w:val="nil"/>
              <w:left w:val="nil"/>
              <w:bottom w:val="nil"/>
              <w:right w:val="nil"/>
            </w:tcBorders>
            <w:shd w:val="clear" w:color="auto" w:fill="EBEBEB"/>
            <w:noWrap/>
            <w:hideMark/>
          </w:tcPr>
          <w:p w14:paraId="26588A21" w14:textId="77777777" w:rsidR="006F5998" w:rsidRPr="003A505D" w:rsidRDefault="006F5998">
            <w:pPr>
              <w:jc w:val="center"/>
              <w:rPr>
                <w:rFonts w:ascii="Public Sans" w:hAnsi="Public Sans" w:cs="Arial"/>
                <w:sz w:val="17"/>
                <w:szCs w:val="17"/>
                <w:lang w:eastAsia="en-AU"/>
              </w:rPr>
            </w:pPr>
            <w:r w:rsidRPr="003A505D">
              <w:rPr>
                <w:rFonts w:ascii="Public Sans" w:hAnsi="Public Sans" w:cs="Arial"/>
                <w:sz w:val="17"/>
                <w:szCs w:val="17"/>
                <w:lang w:eastAsia="en-AU"/>
              </w:rPr>
              <w:t> </w:t>
            </w:r>
          </w:p>
        </w:tc>
        <w:tc>
          <w:tcPr>
            <w:tcW w:w="1138" w:type="dxa"/>
            <w:tcBorders>
              <w:top w:val="nil"/>
              <w:left w:val="nil"/>
              <w:bottom w:val="nil"/>
              <w:right w:val="nil"/>
            </w:tcBorders>
            <w:shd w:val="clear" w:color="auto" w:fill="EBEBEB"/>
            <w:noWrap/>
            <w:vAlign w:val="bottom"/>
            <w:hideMark/>
          </w:tcPr>
          <w:p w14:paraId="2DB7DE65" w14:textId="77777777" w:rsidR="006F5998" w:rsidRPr="00A15E60" w:rsidRDefault="006F5998">
            <w:pPr>
              <w:jc w:val="center"/>
              <w:rPr>
                <w:rFonts w:ascii="Public Sans" w:hAnsi="Public Sans" w:cs="Arial"/>
                <w:sz w:val="17"/>
                <w:szCs w:val="17"/>
                <w:lang w:eastAsia="en-AU"/>
              </w:rPr>
            </w:pPr>
            <w:r w:rsidRPr="00A15E60">
              <w:rPr>
                <w:rFonts w:ascii="Public Sans" w:hAnsi="Public Sans" w:cs="Arial"/>
                <w:sz w:val="17"/>
                <w:szCs w:val="17"/>
                <w:lang w:eastAsia="en-AU"/>
              </w:rPr>
              <w:t>June 2024</w:t>
            </w:r>
          </w:p>
        </w:tc>
        <w:tc>
          <w:tcPr>
            <w:tcW w:w="1139" w:type="dxa"/>
            <w:tcBorders>
              <w:top w:val="nil"/>
              <w:left w:val="nil"/>
              <w:bottom w:val="nil"/>
              <w:right w:val="nil"/>
            </w:tcBorders>
            <w:shd w:val="clear" w:color="auto" w:fill="EBEBEB"/>
            <w:noWrap/>
            <w:vAlign w:val="bottom"/>
            <w:hideMark/>
          </w:tcPr>
          <w:p w14:paraId="01DB8A55" w14:textId="77777777" w:rsidR="006F5998" w:rsidRPr="00A15E60" w:rsidRDefault="006F5998">
            <w:pPr>
              <w:jc w:val="center"/>
              <w:rPr>
                <w:rFonts w:ascii="Public Sans" w:hAnsi="Public Sans" w:cs="Arial"/>
                <w:sz w:val="17"/>
                <w:szCs w:val="17"/>
                <w:lang w:eastAsia="en-AU"/>
              </w:rPr>
            </w:pPr>
            <w:r w:rsidRPr="00A15E60">
              <w:rPr>
                <w:rFonts w:ascii="Public Sans" w:hAnsi="Public Sans" w:cs="Arial"/>
                <w:sz w:val="17"/>
                <w:szCs w:val="17"/>
                <w:lang w:eastAsia="en-AU"/>
              </w:rPr>
              <w:t>June 2025</w:t>
            </w:r>
          </w:p>
        </w:tc>
        <w:tc>
          <w:tcPr>
            <w:tcW w:w="1138" w:type="dxa"/>
            <w:tcBorders>
              <w:top w:val="nil"/>
              <w:left w:val="nil"/>
              <w:bottom w:val="nil"/>
              <w:right w:val="nil"/>
            </w:tcBorders>
            <w:shd w:val="clear" w:color="auto" w:fill="EBEBEB"/>
            <w:noWrap/>
            <w:vAlign w:val="bottom"/>
            <w:hideMark/>
          </w:tcPr>
          <w:p w14:paraId="5E5696D9" w14:textId="77777777" w:rsidR="006F5998" w:rsidRPr="00A15E60" w:rsidRDefault="006F5998">
            <w:pPr>
              <w:jc w:val="center"/>
              <w:rPr>
                <w:rFonts w:ascii="Public Sans" w:hAnsi="Public Sans" w:cs="Arial"/>
                <w:sz w:val="17"/>
                <w:szCs w:val="17"/>
                <w:lang w:eastAsia="en-AU"/>
              </w:rPr>
            </w:pPr>
            <w:r w:rsidRPr="00A15E60">
              <w:rPr>
                <w:rFonts w:ascii="Public Sans" w:hAnsi="Public Sans" w:cs="Arial"/>
                <w:sz w:val="17"/>
                <w:szCs w:val="17"/>
                <w:lang w:eastAsia="en-AU"/>
              </w:rPr>
              <w:t>June 2026</w:t>
            </w:r>
          </w:p>
        </w:tc>
        <w:tc>
          <w:tcPr>
            <w:tcW w:w="1139" w:type="dxa"/>
            <w:tcBorders>
              <w:top w:val="nil"/>
              <w:left w:val="nil"/>
              <w:bottom w:val="nil"/>
              <w:right w:val="nil"/>
            </w:tcBorders>
            <w:shd w:val="clear" w:color="auto" w:fill="EBEBEB"/>
            <w:noWrap/>
            <w:vAlign w:val="bottom"/>
            <w:hideMark/>
          </w:tcPr>
          <w:p w14:paraId="3AE5F6F9" w14:textId="77777777" w:rsidR="006F5998" w:rsidRPr="00A15E60" w:rsidRDefault="006F5998">
            <w:pPr>
              <w:jc w:val="center"/>
              <w:rPr>
                <w:rFonts w:ascii="Public Sans" w:hAnsi="Public Sans" w:cs="Arial"/>
                <w:sz w:val="17"/>
                <w:szCs w:val="17"/>
                <w:lang w:eastAsia="en-AU"/>
              </w:rPr>
            </w:pPr>
            <w:r w:rsidRPr="00A15E60">
              <w:rPr>
                <w:rFonts w:ascii="Public Sans" w:hAnsi="Public Sans" w:cs="Arial"/>
                <w:sz w:val="17"/>
                <w:szCs w:val="17"/>
                <w:lang w:eastAsia="en-AU"/>
              </w:rPr>
              <w:t>June 2027</w:t>
            </w:r>
          </w:p>
        </w:tc>
        <w:tc>
          <w:tcPr>
            <w:tcW w:w="1138" w:type="dxa"/>
            <w:tcBorders>
              <w:top w:val="nil"/>
              <w:left w:val="nil"/>
              <w:bottom w:val="nil"/>
              <w:right w:val="nil"/>
            </w:tcBorders>
            <w:shd w:val="clear" w:color="auto" w:fill="EBEBEB"/>
            <w:noWrap/>
            <w:vAlign w:val="bottom"/>
            <w:hideMark/>
          </w:tcPr>
          <w:p w14:paraId="23408DC5" w14:textId="77777777" w:rsidR="006F5998" w:rsidRPr="00A15E60" w:rsidRDefault="006F5998">
            <w:pPr>
              <w:jc w:val="center"/>
              <w:rPr>
                <w:rFonts w:ascii="Public Sans" w:hAnsi="Public Sans" w:cs="Arial"/>
                <w:sz w:val="17"/>
                <w:szCs w:val="17"/>
                <w:lang w:eastAsia="en-AU"/>
              </w:rPr>
            </w:pPr>
            <w:r w:rsidRPr="00A15E60">
              <w:rPr>
                <w:rFonts w:ascii="Public Sans" w:hAnsi="Public Sans" w:cs="Arial"/>
                <w:sz w:val="17"/>
                <w:szCs w:val="17"/>
                <w:lang w:eastAsia="en-AU"/>
              </w:rPr>
              <w:t>June 2028</w:t>
            </w:r>
          </w:p>
        </w:tc>
        <w:tc>
          <w:tcPr>
            <w:tcW w:w="1139" w:type="dxa"/>
            <w:tcBorders>
              <w:top w:val="nil"/>
              <w:left w:val="nil"/>
              <w:bottom w:val="nil"/>
              <w:right w:val="nil"/>
            </w:tcBorders>
            <w:shd w:val="clear" w:color="auto" w:fill="EBEBEB"/>
            <w:noWrap/>
            <w:vAlign w:val="bottom"/>
            <w:hideMark/>
          </w:tcPr>
          <w:p w14:paraId="7E8B73D6" w14:textId="77777777" w:rsidR="006F5998" w:rsidRPr="00A15E60" w:rsidRDefault="006F5998">
            <w:pPr>
              <w:jc w:val="center"/>
              <w:rPr>
                <w:rFonts w:ascii="Public Sans" w:hAnsi="Public Sans" w:cs="Arial"/>
                <w:sz w:val="17"/>
                <w:szCs w:val="17"/>
                <w:lang w:eastAsia="en-AU"/>
              </w:rPr>
            </w:pPr>
            <w:r w:rsidRPr="00A15E60">
              <w:rPr>
                <w:rFonts w:ascii="Public Sans" w:hAnsi="Public Sans" w:cs="Arial"/>
                <w:sz w:val="17"/>
                <w:szCs w:val="17"/>
                <w:lang w:eastAsia="en-AU"/>
              </w:rPr>
              <w:t>June 2029</w:t>
            </w:r>
          </w:p>
        </w:tc>
      </w:tr>
      <w:tr w:rsidR="006F5998" w:rsidRPr="003A505D" w14:paraId="2656A947" w14:textId="77777777">
        <w:trPr>
          <w:trHeight w:val="283"/>
        </w:trPr>
        <w:tc>
          <w:tcPr>
            <w:tcW w:w="2835" w:type="dxa"/>
            <w:tcBorders>
              <w:top w:val="nil"/>
              <w:left w:val="nil"/>
              <w:bottom w:val="nil"/>
              <w:right w:val="nil"/>
            </w:tcBorders>
            <w:shd w:val="clear" w:color="auto" w:fill="EBEBEB"/>
            <w:noWrap/>
          </w:tcPr>
          <w:p w14:paraId="48522409" w14:textId="77777777" w:rsidR="006F5998" w:rsidRPr="003A505D" w:rsidRDefault="006F5998">
            <w:pPr>
              <w:jc w:val="center"/>
              <w:rPr>
                <w:rFonts w:ascii="Public Sans" w:hAnsi="Public Sans" w:cs="Arial"/>
                <w:sz w:val="17"/>
                <w:szCs w:val="17"/>
                <w:lang w:eastAsia="en-AU"/>
              </w:rPr>
            </w:pPr>
          </w:p>
        </w:tc>
        <w:tc>
          <w:tcPr>
            <w:tcW w:w="1138" w:type="dxa"/>
            <w:tcBorders>
              <w:top w:val="nil"/>
              <w:left w:val="nil"/>
              <w:bottom w:val="nil"/>
              <w:right w:val="nil"/>
            </w:tcBorders>
            <w:shd w:val="clear" w:color="auto" w:fill="EBEBEB"/>
            <w:noWrap/>
          </w:tcPr>
          <w:p w14:paraId="123D526D" w14:textId="77777777" w:rsidR="006F5998" w:rsidRPr="00A15E60" w:rsidRDefault="006F5998">
            <w:pPr>
              <w:jc w:val="center"/>
              <w:rPr>
                <w:rFonts w:ascii="Public Sans" w:hAnsi="Public Sans" w:cs="Arial"/>
                <w:sz w:val="17"/>
                <w:szCs w:val="17"/>
                <w:lang w:eastAsia="en-AU"/>
              </w:rPr>
            </w:pPr>
            <w:r w:rsidRPr="00A15E60">
              <w:rPr>
                <w:rFonts w:ascii="Public Sans" w:hAnsi="Public Sans" w:cs="Arial"/>
                <w:sz w:val="17"/>
                <w:szCs w:val="17"/>
                <w:lang w:eastAsia="en-AU"/>
              </w:rPr>
              <w:t>Actual</w:t>
            </w:r>
          </w:p>
        </w:tc>
        <w:tc>
          <w:tcPr>
            <w:tcW w:w="1139" w:type="dxa"/>
            <w:tcBorders>
              <w:top w:val="nil"/>
              <w:left w:val="nil"/>
              <w:bottom w:val="nil"/>
              <w:right w:val="nil"/>
            </w:tcBorders>
            <w:shd w:val="clear" w:color="auto" w:fill="EBEBEB"/>
            <w:noWrap/>
          </w:tcPr>
          <w:p w14:paraId="558FDB51" w14:textId="560CE7B4" w:rsidR="006F5998" w:rsidRPr="00A15E60" w:rsidRDefault="006F5998">
            <w:pPr>
              <w:jc w:val="center"/>
              <w:rPr>
                <w:rFonts w:ascii="Public Sans" w:hAnsi="Public Sans" w:cs="Arial"/>
                <w:sz w:val="17"/>
                <w:szCs w:val="17"/>
                <w:lang w:eastAsia="en-AU"/>
              </w:rPr>
            </w:pPr>
            <w:r>
              <w:rPr>
                <w:rFonts w:ascii="Public Sans" w:hAnsi="Public Sans" w:cs="Arial"/>
                <w:sz w:val="17"/>
                <w:szCs w:val="17"/>
                <w:lang w:eastAsia="en-AU"/>
              </w:rPr>
              <w:t>Revised</w:t>
            </w:r>
          </w:p>
        </w:tc>
        <w:tc>
          <w:tcPr>
            <w:tcW w:w="1138" w:type="dxa"/>
            <w:tcBorders>
              <w:top w:val="nil"/>
              <w:left w:val="nil"/>
              <w:right w:val="nil"/>
            </w:tcBorders>
            <w:shd w:val="clear" w:color="auto" w:fill="EBEBEB"/>
            <w:noWrap/>
          </w:tcPr>
          <w:p w14:paraId="0ADD835A" w14:textId="77777777" w:rsidR="006F5998" w:rsidRPr="00A15E60" w:rsidRDefault="006F5998">
            <w:pPr>
              <w:jc w:val="center"/>
              <w:rPr>
                <w:rFonts w:ascii="Public Sans" w:hAnsi="Public Sans" w:cs="Arial"/>
                <w:sz w:val="17"/>
                <w:szCs w:val="17"/>
                <w:lang w:eastAsia="en-AU"/>
              </w:rPr>
            </w:pPr>
            <w:r w:rsidRPr="00A15E60">
              <w:rPr>
                <w:rFonts w:ascii="Public Sans" w:hAnsi="Public Sans" w:cs="Arial"/>
                <w:sz w:val="17"/>
                <w:szCs w:val="17"/>
                <w:lang w:eastAsia="en-AU"/>
              </w:rPr>
              <w:t>Budget</w:t>
            </w:r>
          </w:p>
        </w:tc>
        <w:tc>
          <w:tcPr>
            <w:tcW w:w="3416" w:type="dxa"/>
            <w:gridSpan w:val="3"/>
            <w:tcBorders>
              <w:top w:val="nil"/>
              <w:left w:val="nil"/>
              <w:right w:val="nil"/>
            </w:tcBorders>
            <w:shd w:val="clear" w:color="auto" w:fill="EBEBEB"/>
            <w:noWrap/>
          </w:tcPr>
          <w:p w14:paraId="6F04CDC3" w14:textId="77777777" w:rsidR="006F5998" w:rsidRPr="00A15E60" w:rsidRDefault="006F5998">
            <w:pPr>
              <w:jc w:val="center"/>
              <w:rPr>
                <w:rFonts w:ascii="Public Sans" w:hAnsi="Public Sans" w:cs="Arial"/>
                <w:sz w:val="17"/>
                <w:szCs w:val="17"/>
                <w:lang w:eastAsia="en-AU"/>
              </w:rPr>
            </w:pPr>
            <w:r w:rsidRPr="00A15E60">
              <w:rPr>
                <w:rFonts w:ascii="Public Sans" w:hAnsi="Public Sans" w:cs="Arial"/>
                <w:sz w:val="17"/>
                <w:szCs w:val="17"/>
                <w:lang w:eastAsia="en-AU"/>
              </w:rPr>
              <w:t>Forward Estimates</w:t>
            </w:r>
          </w:p>
        </w:tc>
      </w:tr>
      <w:tr w:rsidR="006F5998" w:rsidRPr="003A505D" w14:paraId="5F4758EA" w14:textId="77777777">
        <w:trPr>
          <w:trHeight w:val="227"/>
        </w:trPr>
        <w:tc>
          <w:tcPr>
            <w:tcW w:w="2835" w:type="dxa"/>
            <w:tcBorders>
              <w:top w:val="nil"/>
              <w:left w:val="nil"/>
              <w:bottom w:val="nil"/>
              <w:right w:val="nil"/>
            </w:tcBorders>
            <w:shd w:val="clear" w:color="auto" w:fill="FFFFFF" w:themeFill="background1"/>
            <w:noWrap/>
            <w:vAlign w:val="center"/>
            <w:hideMark/>
          </w:tcPr>
          <w:p w14:paraId="65A8D0F2" w14:textId="77777777" w:rsidR="006F5998" w:rsidRPr="0024204C" w:rsidRDefault="006F5998" w:rsidP="00F80197">
            <w:pPr>
              <w:spacing w:before="40" w:after="40"/>
              <w:rPr>
                <w:rFonts w:ascii="Public Sans" w:hAnsi="Public Sans" w:cs="Arial"/>
                <w:color w:val="000000"/>
                <w:sz w:val="17"/>
                <w:szCs w:val="17"/>
                <w:lang w:eastAsia="en-AU"/>
              </w:rPr>
            </w:pPr>
            <w:r w:rsidRPr="0024204C">
              <w:rPr>
                <w:rFonts w:ascii="Public Sans" w:hAnsi="Public Sans" w:cs="Arial"/>
                <w:color w:val="000000"/>
                <w:sz w:val="17"/>
                <w:szCs w:val="17"/>
                <w:lang w:eastAsia="en-AU"/>
              </w:rPr>
              <w:t>Total Assets ($m)</w:t>
            </w:r>
          </w:p>
        </w:tc>
        <w:tc>
          <w:tcPr>
            <w:tcW w:w="1138" w:type="dxa"/>
            <w:tcBorders>
              <w:top w:val="nil"/>
              <w:left w:val="nil"/>
              <w:bottom w:val="nil"/>
              <w:right w:val="nil"/>
            </w:tcBorders>
            <w:shd w:val="clear" w:color="auto" w:fill="FFFFFF" w:themeFill="background1"/>
            <w:noWrap/>
            <w:hideMark/>
          </w:tcPr>
          <w:p w14:paraId="1864D10C" w14:textId="77777777" w:rsidR="006F5998" w:rsidRPr="00157FF2" w:rsidRDefault="006F5998" w:rsidP="00F80197">
            <w:pPr>
              <w:spacing w:before="40" w:after="40"/>
              <w:jc w:val="center"/>
              <w:rPr>
                <w:rFonts w:ascii="Public Sans" w:hAnsi="Public Sans" w:cs="Arial"/>
                <w:color w:val="000000"/>
                <w:sz w:val="17"/>
                <w:szCs w:val="17"/>
                <w:highlight w:val="yellow"/>
              </w:rPr>
            </w:pPr>
            <w:r w:rsidRPr="00157FF2">
              <w:rPr>
                <w:rFonts w:ascii="Public Sans" w:hAnsi="Public Sans"/>
                <w:sz w:val="17"/>
                <w:szCs w:val="17"/>
              </w:rPr>
              <w:t>639,128</w:t>
            </w:r>
          </w:p>
        </w:tc>
        <w:tc>
          <w:tcPr>
            <w:tcW w:w="1139" w:type="dxa"/>
            <w:tcBorders>
              <w:top w:val="nil"/>
              <w:left w:val="nil"/>
              <w:bottom w:val="nil"/>
              <w:right w:val="nil"/>
            </w:tcBorders>
            <w:shd w:val="clear" w:color="auto" w:fill="FFFFFF" w:themeFill="background1"/>
            <w:noWrap/>
            <w:hideMark/>
          </w:tcPr>
          <w:p w14:paraId="6EB479DF"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651,028</w:t>
            </w:r>
          </w:p>
        </w:tc>
        <w:tc>
          <w:tcPr>
            <w:tcW w:w="1138" w:type="dxa"/>
            <w:tcBorders>
              <w:top w:val="nil"/>
              <w:left w:val="nil"/>
              <w:bottom w:val="nil"/>
              <w:right w:val="nil"/>
            </w:tcBorders>
            <w:noWrap/>
            <w:hideMark/>
          </w:tcPr>
          <w:p w14:paraId="1CB448EA"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665,195</w:t>
            </w:r>
          </w:p>
        </w:tc>
        <w:tc>
          <w:tcPr>
            <w:tcW w:w="1139" w:type="dxa"/>
            <w:tcBorders>
              <w:top w:val="nil"/>
              <w:left w:val="nil"/>
              <w:bottom w:val="nil"/>
              <w:right w:val="nil"/>
            </w:tcBorders>
            <w:noWrap/>
            <w:hideMark/>
          </w:tcPr>
          <w:p w14:paraId="4B5DF7DF"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679,488</w:t>
            </w:r>
          </w:p>
        </w:tc>
        <w:tc>
          <w:tcPr>
            <w:tcW w:w="1138" w:type="dxa"/>
            <w:tcBorders>
              <w:top w:val="nil"/>
              <w:left w:val="nil"/>
              <w:bottom w:val="nil"/>
              <w:right w:val="nil"/>
            </w:tcBorders>
            <w:noWrap/>
            <w:hideMark/>
          </w:tcPr>
          <w:p w14:paraId="6EFB0F0F"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693,985</w:t>
            </w:r>
          </w:p>
        </w:tc>
        <w:tc>
          <w:tcPr>
            <w:tcW w:w="1139" w:type="dxa"/>
            <w:tcBorders>
              <w:top w:val="nil"/>
              <w:left w:val="nil"/>
              <w:bottom w:val="nil"/>
              <w:right w:val="nil"/>
            </w:tcBorders>
            <w:noWrap/>
            <w:hideMark/>
          </w:tcPr>
          <w:p w14:paraId="307DA59E"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708,690</w:t>
            </w:r>
          </w:p>
        </w:tc>
      </w:tr>
      <w:tr w:rsidR="006F5998" w:rsidRPr="003A505D" w14:paraId="0FF6A34C" w14:textId="77777777">
        <w:trPr>
          <w:trHeight w:val="227"/>
        </w:trPr>
        <w:tc>
          <w:tcPr>
            <w:tcW w:w="2835" w:type="dxa"/>
            <w:tcBorders>
              <w:top w:val="nil"/>
              <w:left w:val="nil"/>
              <w:bottom w:val="nil"/>
              <w:right w:val="nil"/>
            </w:tcBorders>
            <w:shd w:val="clear" w:color="auto" w:fill="FFFFFF" w:themeFill="background1"/>
            <w:noWrap/>
            <w:vAlign w:val="center"/>
            <w:hideMark/>
          </w:tcPr>
          <w:p w14:paraId="4F2B03E4" w14:textId="77777777" w:rsidR="006F5998" w:rsidRPr="0024204C" w:rsidRDefault="006F5998" w:rsidP="00F80197">
            <w:pPr>
              <w:spacing w:before="40" w:after="40"/>
              <w:ind w:firstLineChars="100" w:firstLine="170"/>
              <w:rPr>
                <w:rFonts w:ascii="Public Sans" w:hAnsi="Public Sans" w:cs="Arial"/>
                <w:color w:val="000000"/>
                <w:sz w:val="17"/>
                <w:szCs w:val="17"/>
                <w:lang w:eastAsia="en-AU"/>
              </w:rPr>
            </w:pPr>
            <w:r w:rsidRPr="0024204C">
              <w:rPr>
                <w:rFonts w:ascii="Public Sans" w:hAnsi="Public Sans" w:cs="Arial"/>
                <w:color w:val="000000"/>
                <w:sz w:val="17"/>
                <w:szCs w:val="17"/>
                <w:lang w:eastAsia="en-AU"/>
              </w:rPr>
              <w:t>Financial Assets ($m)</w:t>
            </w:r>
          </w:p>
        </w:tc>
        <w:tc>
          <w:tcPr>
            <w:tcW w:w="1138" w:type="dxa"/>
            <w:tcBorders>
              <w:top w:val="nil"/>
              <w:left w:val="nil"/>
              <w:bottom w:val="nil"/>
              <w:right w:val="nil"/>
            </w:tcBorders>
            <w:shd w:val="clear" w:color="auto" w:fill="FFFFFF" w:themeFill="background1"/>
            <w:noWrap/>
            <w:hideMark/>
          </w:tcPr>
          <w:p w14:paraId="40411779" w14:textId="77777777" w:rsidR="006F5998" w:rsidRPr="00157FF2" w:rsidRDefault="006F5998" w:rsidP="00F80197">
            <w:pPr>
              <w:spacing w:before="40" w:after="40"/>
              <w:jc w:val="center"/>
              <w:rPr>
                <w:rFonts w:ascii="Public Sans" w:hAnsi="Public Sans" w:cs="Arial"/>
                <w:color w:val="000000"/>
                <w:sz w:val="17"/>
                <w:szCs w:val="17"/>
                <w:highlight w:val="yellow"/>
              </w:rPr>
            </w:pPr>
            <w:r w:rsidRPr="00157FF2">
              <w:rPr>
                <w:rFonts w:ascii="Public Sans" w:hAnsi="Public Sans"/>
                <w:sz w:val="17"/>
                <w:szCs w:val="17"/>
              </w:rPr>
              <w:t>245,034</w:t>
            </w:r>
          </w:p>
        </w:tc>
        <w:tc>
          <w:tcPr>
            <w:tcW w:w="1139" w:type="dxa"/>
            <w:tcBorders>
              <w:top w:val="nil"/>
              <w:left w:val="nil"/>
              <w:bottom w:val="nil"/>
              <w:right w:val="nil"/>
            </w:tcBorders>
            <w:shd w:val="clear" w:color="auto" w:fill="FFFFFF" w:themeFill="background1"/>
            <w:noWrap/>
            <w:hideMark/>
          </w:tcPr>
          <w:p w14:paraId="1C2E480A"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236,129</w:t>
            </w:r>
          </w:p>
        </w:tc>
        <w:tc>
          <w:tcPr>
            <w:tcW w:w="1138" w:type="dxa"/>
            <w:tcBorders>
              <w:top w:val="nil"/>
              <w:left w:val="nil"/>
              <w:bottom w:val="nil"/>
              <w:right w:val="nil"/>
            </w:tcBorders>
            <w:noWrap/>
            <w:hideMark/>
          </w:tcPr>
          <w:p w14:paraId="368E5B42"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236,297</w:t>
            </w:r>
          </w:p>
        </w:tc>
        <w:tc>
          <w:tcPr>
            <w:tcW w:w="1139" w:type="dxa"/>
            <w:tcBorders>
              <w:top w:val="nil"/>
              <w:left w:val="nil"/>
              <w:bottom w:val="nil"/>
              <w:right w:val="nil"/>
            </w:tcBorders>
            <w:noWrap/>
            <w:hideMark/>
          </w:tcPr>
          <w:p w14:paraId="0E4FD297"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239,004</w:t>
            </w:r>
          </w:p>
        </w:tc>
        <w:tc>
          <w:tcPr>
            <w:tcW w:w="1138" w:type="dxa"/>
            <w:tcBorders>
              <w:top w:val="nil"/>
              <w:left w:val="nil"/>
              <w:bottom w:val="nil"/>
              <w:right w:val="nil"/>
            </w:tcBorders>
            <w:noWrap/>
            <w:hideMark/>
          </w:tcPr>
          <w:p w14:paraId="274E95A4"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243,666</w:t>
            </w:r>
          </w:p>
        </w:tc>
        <w:tc>
          <w:tcPr>
            <w:tcW w:w="1139" w:type="dxa"/>
            <w:tcBorders>
              <w:top w:val="nil"/>
              <w:left w:val="nil"/>
              <w:bottom w:val="nil"/>
              <w:right w:val="nil"/>
            </w:tcBorders>
            <w:noWrap/>
            <w:hideMark/>
          </w:tcPr>
          <w:p w14:paraId="0CCF838E"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249,605</w:t>
            </w:r>
          </w:p>
        </w:tc>
      </w:tr>
      <w:tr w:rsidR="006F5998" w:rsidRPr="003A505D" w14:paraId="1E6095FD" w14:textId="77777777">
        <w:trPr>
          <w:trHeight w:val="227"/>
        </w:trPr>
        <w:tc>
          <w:tcPr>
            <w:tcW w:w="2835" w:type="dxa"/>
            <w:tcBorders>
              <w:top w:val="nil"/>
              <w:left w:val="nil"/>
              <w:bottom w:val="nil"/>
              <w:right w:val="nil"/>
            </w:tcBorders>
            <w:shd w:val="clear" w:color="auto" w:fill="FFFFFF" w:themeFill="background1"/>
            <w:noWrap/>
            <w:vAlign w:val="center"/>
            <w:hideMark/>
          </w:tcPr>
          <w:p w14:paraId="03E363BE" w14:textId="77777777" w:rsidR="006F5998" w:rsidRPr="0024204C" w:rsidRDefault="006F5998" w:rsidP="00F80197">
            <w:pPr>
              <w:spacing w:before="40" w:after="40"/>
              <w:ind w:firstLineChars="100" w:firstLine="170"/>
              <w:rPr>
                <w:rFonts w:ascii="Public Sans" w:hAnsi="Public Sans" w:cs="Arial"/>
                <w:color w:val="000000"/>
                <w:sz w:val="17"/>
                <w:szCs w:val="17"/>
                <w:lang w:eastAsia="en-AU"/>
              </w:rPr>
            </w:pPr>
            <w:r w:rsidRPr="0024204C">
              <w:rPr>
                <w:rFonts w:ascii="Public Sans" w:hAnsi="Public Sans" w:cs="Arial"/>
                <w:color w:val="000000"/>
                <w:sz w:val="17"/>
                <w:szCs w:val="17"/>
                <w:lang w:eastAsia="en-AU"/>
              </w:rPr>
              <w:t>Non-Financial Assets ($m)</w:t>
            </w:r>
          </w:p>
        </w:tc>
        <w:tc>
          <w:tcPr>
            <w:tcW w:w="1138" w:type="dxa"/>
            <w:tcBorders>
              <w:top w:val="nil"/>
              <w:left w:val="nil"/>
              <w:bottom w:val="nil"/>
              <w:right w:val="nil"/>
            </w:tcBorders>
            <w:shd w:val="clear" w:color="auto" w:fill="FFFFFF" w:themeFill="background1"/>
            <w:noWrap/>
            <w:hideMark/>
          </w:tcPr>
          <w:p w14:paraId="45762E4A" w14:textId="77777777" w:rsidR="006F5998" w:rsidRPr="00157FF2" w:rsidRDefault="006F5998" w:rsidP="00F80197">
            <w:pPr>
              <w:spacing w:before="40" w:after="40"/>
              <w:jc w:val="center"/>
              <w:rPr>
                <w:rFonts w:ascii="Public Sans" w:hAnsi="Public Sans" w:cs="Arial"/>
                <w:color w:val="000000"/>
                <w:sz w:val="17"/>
                <w:szCs w:val="17"/>
                <w:highlight w:val="yellow"/>
              </w:rPr>
            </w:pPr>
            <w:r w:rsidRPr="00157FF2">
              <w:rPr>
                <w:rFonts w:ascii="Public Sans" w:hAnsi="Public Sans"/>
                <w:sz w:val="17"/>
                <w:szCs w:val="17"/>
              </w:rPr>
              <w:t>394,094</w:t>
            </w:r>
          </w:p>
        </w:tc>
        <w:tc>
          <w:tcPr>
            <w:tcW w:w="1139" w:type="dxa"/>
            <w:tcBorders>
              <w:top w:val="nil"/>
              <w:left w:val="nil"/>
              <w:bottom w:val="nil"/>
              <w:right w:val="nil"/>
            </w:tcBorders>
            <w:shd w:val="clear" w:color="auto" w:fill="FFFFFF" w:themeFill="background1"/>
            <w:noWrap/>
            <w:hideMark/>
          </w:tcPr>
          <w:p w14:paraId="61DAA48C"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414,899</w:t>
            </w:r>
          </w:p>
        </w:tc>
        <w:tc>
          <w:tcPr>
            <w:tcW w:w="1138" w:type="dxa"/>
            <w:tcBorders>
              <w:top w:val="nil"/>
              <w:left w:val="nil"/>
              <w:bottom w:val="nil"/>
              <w:right w:val="nil"/>
            </w:tcBorders>
            <w:noWrap/>
            <w:hideMark/>
          </w:tcPr>
          <w:p w14:paraId="1BE77CA2"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428,898</w:t>
            </w:r>
          </w:p>
        </w:tc>
        <w:tc>
          <w:tcPr>
            <w:tcW w:w="1139" w:type="dxa"/>
            <w:tcBorders>
              <w:top w:val="nil"/>
              <w:left w:val="nil"/>
              <w:bottom w:val="nil"/>
              <w:right w:val="nil"/>
            </w:tcBorders>
            <w:noWrap/>
            <w:hideMark/>
          </w:tcPr>
          <w:p w14:paraId="1AA50A4D"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440,484</w:t>
            </w:r>
          </w:p>
        </w:tc>
        <w:tc>
          <w:tcPr>
            <w:tcW w:w="1138" w:type="dxa"/>
            <w:tcBorders>
              <w:top w:val="nil"/>
              <w:left w:val="nil"/>
              <w:bottom w:val="nil"/>
              <w:right w:val="nil"/>
            </w:tcBorders>
            <w:noWrap/>
            <w:hideMark/>
          </w:tcPr>
          <w:p w14:paraId="4888EF55"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450,318</w:t>
            </w:r>
          </w:p>
        </w:tc>
        <w:tc>
          <w:tcPr>
            <w:tcW w:w="1139" w:type="dxa"/>
            <w:tcBorders>
              <w:top w:val="nil"/>
              <w:left w:val="nil"/>
              <w:bottom w:val="nil"/>
              <w:right w:val="nil"/>
            </w:tcBorders>
            <w:noWrap/>
            <w:hideMark/>
          </w:tcPr>
          <w:p w14:paraId="48527508"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459,085</w:t>
            </w:r>
          </w:p>
        </w:tc>
      </w:tr>
      <w:tr w:rsidR="006F5998" w:rsidRPr="003A505D" w14:paraId="29151237" w14:textId="77777777">
        <w:trPr>
          <w:trHeight w:val="113"/>
        </w:trPr>
        <w:tc>
          <w:tcPr>
            <w:tcW w:w="2835" w:type="dxa"/>
            <w:tcBorders>
              <w:top w:val="nil"/>
              <w:left w:val="nil"/>
              <w:bottom w:val="nil"/>
              <w:right w:val="nil"/>
            </w:tcBorders>
            <w:shd w:val="clear" w:color="auto" w:fill="FFFFFF" w:themeFill="background1"/>
            <w:noWrap/>
            <w:vAlign w:val="center"/>
            <w:hideMark/>
          </w:tcPr>
          <w:p w14:paraId="7A66DBD4" w14:textId="77777777" w:rsidR="006F5998" w:rsidRPr="0024204C" w:rsidRDefault="006F5998" w:rsidP="00F80197">
            <w:pPr>
              <w:spacing w:before="40" w:after="40"/>
              <w:ind w:firstLineChars="100" w:firstLine="170"/>
              <w:rPr>
                <w:rFonts w:ascii="Public Sans" w:hAnsi="Public Sans" w:cs="Arial"/>
                <w:color w:val="000000"/>
                <w:sz w:val="17"/>
                <w:szCs w:val="17"/>
                <w:lang w:eastAsia="en-AU"/>
              </w:rPr>
            </w:pPr>
          </w:p>
        </w:tc>
        <w:tc>
          <w:tcPr>
            <w:tcW w:w="1138" w:type="dxa"/>
            <w:tcBorders>
              <w:top w:val="nil"/>
              <w:left w:val="nil"/>
              <w:bottom w:val="nil"/>
              <w:right w:val="nil"/>
            </w:tcBorders>
            <w:shd w:val="clear" w:color="auto" w:fill="FFFFFF" w:themeFill="background1"/>
            <w:noWrap/>
            <w:vAlign w:val="center"/>
            <w:hideMark/>
          </w:tcPr>
          <w:p w14:paraId="570C5ACF" w14:textId="77777777" w:rsidR="006F5998" w:rsidRPr="00157FF2" w:rsidRDefault="006F5998" w:rsidP="00F80197">
            <w:pPr>
              <w:spacing w:before="40" w:after="40"/>
              <w:jc w:val="center"/>
              <w:rPr>
                <w:rFonts w:ascii="Public Sans" w:hAnsi="Public Sans" w:cs="Arial"/>
                <w:color w:val="000000"/>
                <w:sz w:val="17"/>
                <w:szCs w:val="17"/>
                <w:highlight w:val="yellow"/>
                <w:lang w:eastAsia="en-AU"/>
              </w:rPr>
            </w:pPr>
          </w:p>
        </w:tc>
        <w:tc>
          <w:tcPr>
            <w:tcW w:w="1139" w:type="dxa"/>
            <w:tcBorders>
              <w:top w:val="nil"/>
              <w:left w:val="nil"/>
              <w:bottom w:val="nil"/>
              <w:right w:val="nil"/>
            </w:tcBorders>
            <w:shd w:val="clear" w:color="auto" w:fill="FFFFFF" w:themeFill="background1"/>
            <w:noWrap/>
            <w:vAlign w:val="center"/>
            <w:hideMark/>
          </w:tcPr>
          <w:p w14:paraId="1004AEB7" w14:textId="77777777" w:rsidR="006F5998" w:rsidRPr="00157FF2" w:rsidRDefault="006F5998" w:rsidP="00F80197">
            <w:pPr>
              <w:spacing w:before="40" w:after="40"/>
              <w:jc w:val="center"/>
              <w:rPr>
                <w:rFonts w:ascii="Public Sans" w:hAnsi="Public Sans" w:cs="Arial"/>
                <w:color w:val="000000" w:themeColor="text1"/>
                <w:sz w:val="17"/>
                <w:szCs w:val="17"/>
                <w:highlight w:val="yellow"/>
                <w:lang w:eastAsia="en-AU"/>
              </w:rPr>
            </w:pPr>
          </w:p>
        </w:tc>
        <w:tc>
          <w:tcPr>
            <w:tcW w:w="1138" w:type="dxa"/>
            <w:tcBorders>
              <w:top w:val="nil"/>
              <w:left w:val="nil"/>
              <w:bottom w:val="nil"/>
              <w:right w:val="nil"/>
            </w:tcBorders>
            <w:noWrap/>
            <w:vAlign w:val="center"/>
            <w:hideMark/>
          </w:tcPr>
          <w:p w14:paraId="1EAF4B18" w14:textId="77777777" w:rsidR="006F5998" w:rsidRPr="00157FF2" w:rsidRDefault="006F5998" w:rsidP="00F80197">
            <w:pPr>
              <w:spacing w:before="40" w:after="40"/>
              <w:jc w:val="center"/>
              <w:rPr>
                <w:rFonts w:ascii="Public Sans" w:hAnsi="Public Sans" w:cs="Arial"/>
                <w:color w:val="000000" w:themeColor="text1"/>
                <w:sz w:val="17"/>
                <w:szCs w:val="17"/>
                <w:highlight w:val="yellow"/>
                <w:lang w:eastAsia="en-AU"/>
              </w:rPr>
            </w:pPr>
          </w:p>
        </w:tc>
        <w:tc>
          <w:tcPr>
            <w:tcW w:w="1139" w:type="dxa"/>
            <w:tcBorders>
              <w:top w:val="nil"/>
              <w:left w:val="nil"/>
              <w:bottom w:val="nil"/>
              <w:right w:val="nil"/>
            </w:tcBorders>
            <w:noWrap/>
            <w:vAlign w:val="center"/>
            <w:hideMark/>
          </w:tcPr>
          <w:p w14:paraId="45E09C6E" w14:textId="77777777" w:rsidR="006F5998" w:rsidRPr="00157FF2" w:rsidRDefault="006F5998" w:rsidP="00F80197">
            <w:pPr>
              <w:spacing w:before="40" w:after="40"/>
              <w:jc w:val="center"/>
              <w:rPr>
                <w:rFonts w:ascii="Public Sans" w:hAnsi="Public Sans" w:cs="Arial"/>
                <w:color w:val="000000" w:themeColor="text1"/>
                <w:sz w:val="17"/>
                <w:szCs w:val="17"/>
                <w:highlight w:val="yellow"/>
                <w:lang w:eastAsia="en-AU"/>
              </w:rPr>
            </w:pPr>
          </w:p>
        </w:tc>
        <w:tc>
          <w:tcPr>
            <w:tcW w:w="1138" w:type="dxa"/>
            <w:tcBorders>
              <w:top w:val="nil"/>
              <w:left w:val="nil"/>
              <w:bottom w:val="nil"/>
              <w:right w:val="nil"/>
            </w:tcBorders>
            <w:noWrap/>
            <w:vAlign w:val="center"/>
            <w:hideMark/>
          </w:tcPr>
          <w:p w14:paraId="54DDF117" w14:textId="77777777" w:rsidR="006F5998" w:rsidRPr="00157FF2" w:rsidRDefault="006F5998" w:rsidP="00F80197">
            <w:pPr>
              <w:spacing w:before="40" w:after="40"/>
              <w:jc w:val="center"/>
              <w:rPr>
                <w:rFonts w:ascii="Public Sans" w:hAnsi="Public Sans" w:cs="Arial"/>
                <w:color w:val="000000" w:themeColor="text1"/>
                <w:sz w:val="17"/>
                <w:szCs w:val="17"/>
                <w:highlight w:val="yellow"/>
                <w:lang w:eastAsia="en-AU"/>
              </w:rPr>
            </w:pPr>
          </w:p>
        </w:tc>
        <w:tc>
          <w:tcPr>
            <w:tcW w:w="1139" w:type="dxa"/>
            <w:tcBorders>
              <w:top w:val="nil"/>
              <w:left w:val="nil"/>
              <w:bottom w:val="nil"/>
              <w:right w:val="nil"/>
            </w:tcBorders>
            <w:noWrap/>
            <w:vAlign w:val="center"/>
            <w:hideMark/>
          </w:tcPr>
          <w:p w14:paraId="6176E3FC" w14:textId="77777777" w:rsidR="006F5998" w:rsidRPr="00157FF2" w:rsidRDefault="006F5998" w:rsidP="00F80197">
            <w:pPr>
              <w:spacing w:before="40" w:after="40"/>
              <w:jc w:val="center"/>
              <w:rPr>
                <w:rFonts w:ascii="Public Sans" w:hAnsi="Public Sans" w:cs="Arial"/>
                <w:color w:val="000000" w:themeColor="text1"/>
                <w:sz w:val="17"/>
                <w:szCs w:val="17"/>
                <w:highlight w:val="yellow"/>
                <w:lang w:eastAsia="en-AU"/>
              </w:rPr>
            </w:pPr>
          </w:p>
        </w:tc>
      </w:tr>
      <w:tr w:rsidR="006F5998" w:rsidRPr="003A505D" w14:paraId="4CAB8070" w14:textId="77777777">
        <w:trPr>
          <w:trHeight w:val="227"/>
        </w:trPr>
        <w:tc>
          <w:tcPr>
            <w:tcW w:w="2835" w:type="dxa"/>
            <w:tcBorders>
              <w:top w:val="nil"/>
              <w:left w:val="nil"/>
              <w:bottom w:val="nil"/>
              <w:right w:val="nil"/>
            </w:tcBorders>
            <w:shd w:val="clear" w:color="auto" w:fill="FFFFFF" w:themeFill="background1"/>
            <w:noWrap/>
            <w:vAlign w:val="center"/>
            <w:hideMark/>
          </w:tcPr>
          <w:p w14:paraId="28688F64" w14:textId="77777777" w:rsidR="006F5998" w:rsidRPr="0024204C" w:rsidRDefault="006F5998" w:rsidP="00F80197">
            <w:pPr>
              <w:spacing w:before="40" w:after="40"/>
              <w:rPr>
                <w:rFonts w:ascii="Public Sans" w:hAnsi="Public Sans" w:cs="Arial"/>
                <w:color w:val="000000"/>
                <w:sz w:val="17"/>
                <w:szCs w:val="17"/>
                <w:lang w:eastAsia="en-AU"/>
              </w:rPr>
            </w:pPr>
            <w:r w:rsidRPr="0024204C">
              <w:rPr>
                <w:rFonts w:ascii="Public Sans" w:hAnsi="Public Sans" w:cs="Arial"/>
                <w:color w:val="000000"/>
                <w:sz w:val="17"/>
                <w:szCs w:val="17"/>
                <w:lang w:eastAsia="en-AU"/>
              </w:rPr>
              <w:t>Total Liabilities ($m)</w:t>
            </w:r>
          </w:p>
        </w:tc>
        <w:tc>
          <w:tcPr>
            <w:tcW w:w="1138" w:type="dxa"/>
            <w:tcBorders>
              <w:top w:val="nil"/>
              <w:left w:val="nil"/>
              <w:bottom w:val="nil"/>
              <w:right w:val="nil"/>
            </w:tcBorders>
            <w:shd w:val="clear" w:color="auto" w:fill="FFFFFF" w:themeFill="background1"/>
            <w:noWrap/>
            <w:hideMark/>
          </w:tcPr>
          <w:p w14:paraId="4E51A6C6" w14:textId="77777777" w:rsidR="006F5998" w:rsidRPr="00157FF2" w:rsidRDefault="006F5998" w:rsidP="00F80197">
            <w:pPr>
              <w:spacing w:before="40" w:after="40"/>
              <w:jc w:val="center"/>
              <w:rPr>
                <w:rFonts w:ascii="Public Sans" w:hAnsi="Public Sans" w:cs="Arial"/>
                <w:color w:val="000000"/>
                <w:sz w:val="17"/>
                <w:szCs w:val="17"/>
                <w:highlight w:val="yellow"/>
              </w:rPr>
            </w:pPr>
            <w:r w:rsidRPr="00157FF2">
              <w:rPr>
                <w:rFonts w:ascii="Public Sans" w:hAnsi="Public Sans"/>
                <w:sz w:val="17"/>
                <w:szCs w:val="17"/>
              </w:rPr>
              <w:t>271,973</w:t>
            </w:r>
          </w:p>
        </w:tc>
        <w:tc>
          <w:tcPr>
            <w:tcW w:w="1139" w:type="dxa"/>
            <w:tcBorders>
              <w:top w:val="nil"/>
              <w:left w:val="nil"/>
              <w:bottom w:val="nil"/>
              <w:right w:val="nil"/>
            </w:tcBorders>
            <w:shd w:val="clear" w:color="auto" w:fill="FFFFFF" w:themeFill="background1"/>
            <w:noWrap/>
            <w:hideMark/>
          </w:tcPr>
          <w:p w14:paraId="2D77E3A8"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288,372</w:t>
            </w:r>
          </w:p>
        </w:tc>
        <w:tc>
          <w:tcPr>
            <w:tcW w:w="1138" w:type="dxa"/>
            <w:tcBorders>
              <w:top w:val="nil"/>
              <w:left w:val="nil"/>
              <w:bottom w:val="nil"/>
              <w:right w:val="nil"/>
            </w:tcBorders>
            <w:noWrap/>
            <w:hideMark/>
          </w:tcPr>
          <w:p w14:paraId="6B6562D2"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307,712</w:t>
            </w:r>
          </w:p>
        </w:tc>
        <w:tc>
          <w:tcPr>
            <w:tcW w:w="1139" w:type="dxa"/>
            <w:tcBorders>
              <w:top w:val="nil"/>
              <w:left w:val="nil"/>
              <w:bottom w:val="nil"/>
              <w:right w:val="nil"/>
            </w:tcBorders>
            <w:noWrap/>
            <w:hideMark/>
          </w:tcPr>
          <w:p w14:paraId="2B8CF45F"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319,288</w:t>
            </w:r>
          </w:p>
        </w:tc>
        <w:tc>
          <w:tcPr>
            <w:tcW w:w="1138" w:type="dxa"/>
            <w:tcBorders>
              <w:top w:val="nil"/>
              <w:left w:val="nil"/>
              <w:bottom w:val="nil"/>
              <w:right w:val="nil"/>
            </w:tcBorders>
            <w:noWrap/>
            <w:hideMark/>
          </w:tcPr>
          <w:p w14:paraId="5987B182"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325,679</w:t>
            </w:r>
          </w:p>
        </w:tc>
        <w:tc>
          <w:tcPr>
            <w:tcW w:w="1139" w:type="dxa"/>
            <w:tcBorders>
              <w:top w:val="nil"/>
              <w:left w:val="nil"/>
              <w:bottom w:val="nil"/>
              <w:right w:val="nil"/>
            </w:tcBorders>
            <w:noWrap/>
            <w:hideMark/>
          </w:tcPr>
          <w:p w14:paraId="45B1AFA1"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331,874</w:t>
            </w:r>
          </w:p>
        </w:tc>
      </w:tr>
      <w:tr w:rsidR="006F5998" w:rsidRPr="003A505D" w14:paraId="3183F4CF" w14:textId="77777777">
        <w:trPr>
          <w:trHeight w:val="113"/>
        </w:trPr>
        <w:tc>
          <w:tcPr>
            <w:tcW w:w="2835" w:type="dxa"/>
            <w:tcBorders>
              <w:top w:val="nil"/>
              <w:left w:val="nil"/>
              <w:bottom w:val="nil"/>
              <w:right w:val="nil"/>
            </w:tcBorders>
            <w:shd w:val="clear" w:color="auto" w:fill="FFFFFF" w:themeFill="background1"/>
            <w:noWrap/>
            <w:vAlign w:val="center"/>
            <w:hideMark/>
          </w:tcPr>
          <w:p w14:paraId="6A6B376E" w14:textId="77777777" w:rsidR="006F5998" w:rsidRPr="0024204C" w:rsidRDefault="006F5998" w:rsidP="00F80197">
            <w:pPr>
              <w:spacing w:before="40" w:after="40"/>
              <w:rPr>
                <w:rFonts w:ascii="Public Sans" w:hAnsi="Public Sans" w:cs="Arial"/>
                <w:color w:val="000000"/>
                <w:sz w:val="17"/>
                <w:szCs w:val="17"/>
                <w:lang w:eastAsia="en-AU"/>
              </w:rPr>
            </w:pPr>
          </w:p>
        </w:tc>
        <w:tc>
          <w:tcPr>
            <w:tcW w:w="1138" w:type="dxa"/>
            <w:tcBorders>
              <w:top w:val="nil"/>
              <w:left w:val="nil"/>
              <w:bottom w:val="nil"/>
              <w:right w:val="nil"/>
            </w:tcBorders>
            <w:shd w:val="clear" w:color="auto" w:fill="FFFFFF" w:themeFill="background1"/>
            <w:noWrap/>
            <w:vAlign w:val="center"/>
            <w:hideMark/>
          </w:tcPr>
          <w:p w14:paraId="2E3A62A2" w14:textId="77777777" w:rsidR="006F5998" w:rsidRPr="00157FF2" w:rsidRDefault="006F5998" w:rsidP="00F80197">
            <w:pPr>
              <w:spacing w:before="40" w:after="40"/>
              <w:jc w:val="center"/>
              <w:rPr>
                <w:rFonts w:ascii="Public Sans" w:hAnsi="Public Sans" w:cs="Arial"/>
                <w:color w:val="000000"/>
                <w:sz w:val="17"/>
                <w:szCs w:val="17"/>
                <w:highlight w:val="yellow"/>
              </w:rPr>
            </w:pPr>
          </w:p>
        </w:tc>
        <w:tc>
          <w:tcPr>
            <w:tcW w:w="1139" w:type="dxa"/>
            <w:tcBorders>
              <w:top w:val="nil"/>
              <w:left w:val="nil"/>
              <w:bottom w:val="nil"/>
              <w:right w:val="nil"/>
            </w:tcBorders>
            <w:shd w:val="clear" w:color="auto" w:fill="FFFFFF" w:themeFill="background1"/>
            <w:noWrap/>
            <w:vAlign w:val="center"/>
            <w:hideMark/>
          </w:tcPr>
          <w:p w14:paraId="10E6BB5E"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p>
        </w:tc>
        <w:tc>
          <w:tcPr>
            <w:tcW w:w="1138" w:type="dxa"/>
            <w:tcBorders>
              <w:top w:val="nil"/>
              <w:left w:val="nil"/>
              <w:bottom w:val="nil"/>
              <w:right w:val="nil"/>
            </w:tcBorders>
            <w:noWrap/>
            <w:vAlign w:val="center"/>
            <w:hideMark/>
          </w:tcPr>
          <w:p w14:paraId="7EAEC8CE"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p>
        </w:tc>
        <w:tc>
          <w:tcPr>
            <w:tcW w:w="1139" w:type="dxa"/>
            <w:tcBorders>
              <w:top w:val="nil"/>
              <w:left w:val="nil"/>
              <w:bottom w:val="nil"/>
              <w:right w:val="nil"/>
            </w:tcBorders>
            <w:noWrap/>
            <w:vAlign w:val="center"/>
            <w:hideMark/>
          </w:tcPr>
          <w:p w14:paraId="125A87DE"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p>
        </w:tc>
        <w:tc>
          <w:tcPr>
            <w:tcW w:w="1138" w:type="dxa"/>
            <w:tcBorders>
              <w:top w:val="nil"/>
              <w:left w:val="nil"/>
              <w:bottom w:val="nil"/>
              <w:right w:val="nil"/>
            </w:tcBorders>
            <w:noWrap/>
            <w:vAlign w:val="center"/>
            <w:hideMark/>
          </w:tcPr>
          <w:p w14:paraId="361AFB08"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p>
        </w:tc>
        <w:tc>
          <w:tcPr>
            <w:tcW w:w="1139" w:type="dxa"/>
            <w:tcBorders>
              <w:top w:val="nil"/>
              <w:left w:val="nil"/>
              <w:bottom w:val="nil"/>
              <w:right w:val="nil"/>
            </w:tcBorders>
            <w:noWrap/>
            <w:vAlign w:val="center"/>
            <w:hideMark/>
          </w:tcPr>
          <w:p w14:paraId="441D4244"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p>
        </w:tc>
      </w:tr>
      <w:tr w:rsidR="006F5998" w:rsidRPr="003A505D" w14:paraId="6651B693" w14:textId="77777777">
        <w:trPr>
          <w:trHeight w:val="227"/>
        </w:trPr>
        <w:tc>
          <w:tcPr>
            <w:tcW w:w="2835" w:type="dxa"/>
            <w:tcBorders>
              <w:top w:val="nil"/>
              <w:left w:val="nil"/>
              <w:bottom w:val="nil"/>
              <w:right w:val="nil"/>
            </w:tcBorders>
            <w:shd w:val="clear" w:color="auto" w:fill="FFFFFF" w:themeFill="background1"/>
            <w:noWrap/>
            <w:vAlign w:val="center"/>
            <w:hideMark/>
          </w:tcPr>
          <w:p w14:paraId="2E537554" w14:textId="77777777" w:rsidR="006F5998" w:rsidRPr="0024204C" w:rsidRDefault="006F5998" w:rsidP="00F80197">
            <w:pPr>
              <w:spacing w:before="40" w:after="40"/>
              <w:rPr>
                <w:rFonts w:ascii="Public Sans" w:hAnsi="Public Sans" w:cs="Arial"/>
                <w:color w:val="000000"/>
                <w:sz w:val="17"/>
                <w:szCs w:val="17"/>
                <w:lang w:eastAsia="en-AU"/>
              </w:rPr>
            </w:pPr>
            <w:r w:rsidRPr="0024204C">
              <w:rPr>
                <w:rFonts w:ascii="Public Sans" w:hAnsi="Public Sans" w:cs="Arial"/>
                <w:color w:val="000000"/>
                <w:sz w:val="17"/>
                <w:szCs w:val="17"/>
                <w:lang w:eastAsia="en-AU"/>
              </w:rPr>
              <w:t>Net Worth ($m)</w:t>
            </w:r>
          </w:p>
        </w:tc>
        <w:tc>
          <w:tcPr>
            <w:tcW w:w="1138" w:type="dxa"/>
            <w:tcBorders>
              <w:top w:val="nil"/>
              <w:left w:val="nil"/>
              <w:bottom w:val="nil"/>
              <w:right w:val="nil"/>
            </w:tcBorders>
            <w:shd w:val="clear" w:color="auto" w:fill="FFFFFF" w:themeFill="background1"/>
            <w:noWrap/>
            <w:hideMark/>
          </w:tcPr>
          <w:p w14:paraId="52C8DFF8" w14:textId="77777777" w:rsidR="006F5998" w:rsidRPr="00157FF2" w:rsidRDefault="006F5998" w:rsidP="00F80197">
            <w:pPr>
              <w:spacing w:before="40" w:after="40"/>
              <w:jc w:val="center"/>
              <w:rPr>
                <w:rFonts w:ascii="Public Sans" w:hAnsi="Public Sans" w:cs="Arial"/>
                <w:color w:val="000000"/>
                <w:sz w:val="17"/>
                <w:szCs w:val="17"/>
                <w:highlight w:val="yellow"/>
              </w:rPr>
            </w:pPr>
            <w:r w:rsidRPr="00157FF2">
              <w:rPr>
                <w:rFonts w:ascii="Public Sans" w:hAnsi="Public Sans"/>
                <w:sz w:val="17"/>
                <w:szCs w:val="17"/>
              </w:rPr>
              <w:t>367,156</w:t>
            </w:r>
          </w:p>
        </w:tc>
        <w:tc>
          <w:tcPr>
            <w:tcW w:w="1139" w:type="dxa"/>
            <w:tcBorders>
              <w:top w:val="nil"/>
              <w:left w:val="nil"/>
              <w:bottom w:val="nil"/>
              <w:right w:val="nil"/>
            </w:tcBorders>
            <w:shd w:val="clear" w:color="auto" w:fill="FFFFFF" w:themeFill="background1"/>
            <w:noWrap/>
            <w:hideMark/>
          </w:tcPr>
          <w:p w14:paraId="7F451FBB"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362,657</w:t>
            </w:r>
          </w:p>
        </w:tc>
        <w:tc>
          <w:tcPr>
            <w:tcW w:w="1138" w:type="dxa"/>
            <w:tcBorders>
              <w:top w:val="nil"/>
              <w:left w:val="nil"/>
              <w:bottom w:val="nil"/>
              <w:right w:val="nil"/>
            </w:tcBorders>
            <w:noWrap/>
            <w:hideMark/>
          </w:tcPr>
          <w:p w14:paraId="19DF45B1"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357,482</w:t>
            </w:r>
          </w:p>
        </w:tc>
        <w:tc>
          <w:tcPr>
            <w:tcW w:w="1139" w:type="dxa"/>
            <w:tcBorders>
              <w:top w:val="nil"/>
              <w:left w:val="nil"/>
              <w:bottom w:val="nil"/>
              <w:right w:val="nil"/>
            </w:tcBorders>
            <w:noWrap/>
            <w:hideMark/>
          </w:tcPr>
          <w:p w14:paraId="25815B6A"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360,200</w:t>
            </w:r>
          </w:p>
        </w:tc>
        <w:tc>
          <w:tcPr>
            <w:tcW w:w="1138" w:type="dxa"/>
            <w:tcBorders>
              <w:top w:val="nil"/>
              <w:left w:val="nil"/>
              <w:bottom w:val="nil"/>
              <w:right w:val="nil"/>
            </w:tcBorders>
            <w:noWrap/>
            <w:hideMark/>
          </w:tcPr>
          <w:p w14:paraId="6E9CA940"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368,306</w:t>
            </w:r>
          </w:p>
        </w:tc>
        <w:tc>
          <w:tcPr>
            <w:tcW w:w="1139" w:type="dxa"/>
            <w:tcBorders>
              <w:top w:val="nil"/>
              <w:left w:val="nil"/>
              <w:bottom w:val="nil"/>
              <w:right w:val="nil"/>
            </w:tcBorders>
            <w:noWrap/>
            <w:hideMark/>
          </w:tcPr>
          <w:p w14:paraId="0B1601DA"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376,816</w:t>
            </w:r>
          </w:p>
        </w:tc>
      </w:tr>
      <w:tr w:rsidR="006F5998" w:rsidRPr="003A505D" w14:paraId="57E9E158" w14:textId="77777777">
        <w:trPr>
          <w:trHeight w:val="227"/>
        </w:trPr>
        <w:tc>
          <w:tcPr>
            <w:tcW w:w="2835" w:type="dxa"/>
            <w:tcBorders>
              <w:top w:val="nil"/>
              <w:left w:val="nil"/>
              <w:bottom w:val="nil"/>
              <w:right w:val="nil"/>
            </w:tcBorders>
            <w:shd w:val="clear" w:color="auto" w:fill="FFFFFF" w:themeFill="background1"/>
            <w:noWrap/>
            <w:vAlign w:val="center"/>
            <w:hideMark/>
          </w:tcPr>
          <w:p w14:paraId="67D60FF3" w14:textId="77777777" w:rsidR="006F5998" w:rsidRPr="0024204C" w:rsidRDefault="006F5998" w:rsidP="00F80197">
            <w:pPr>
              <w:spacing w:before="40" w:after="40"/>
              <w:ind w:right="-84"/>
              <w:rPr>
                <w:rFonts w:ascii="Public Sans" w:hAnsi="Public Sans" w:cs="Arial"/>
                <w:color w:val="000000"/>
                <w:sz w:val="17"/>
                <w:szCs w:val="17"/>
                <w:lang w:eastAsia="en-AU"/>
              </w:rPr>
            </w:pPr>
            <w:r w:rsidRPr="0024204C">
              <w:rPr>
                <w:rFonts w:ascii="Public Sans" w:hAnsi="Public Sans" w:cs="Arial"/>
                <w:color w:val="000000"/>
                <w:sz w:val="17"/>
                <w:szCs w:val="17"/>
                <w:lang w:eastAsia="en-AU"/>
              </w:rPr>
              <w:t>Net Worth as a per cent of GSP</w:t>
            </w:r>
            <w:r w:rsidRPr="0024204C">
              <w:rPr>
                <w:rFonts w:ascii="Public Sans" w:hAnsi="Public Sans" w:cs="Arial"/>
                <w:color w:val="000000"/>
                <w:sz w:val="17"/>
                <w:szCs w:val="17"/>
                <w:vertAlign w:val="superscript"/>
                <w:lang w:eastAsia="en-AU"/>
              </w:rPr>
              <w:t>(a)</w:t>
            </w:r>
          </w:p>
        </w:tc>
        <w:tc>
          <w:tcPr>
            <w:tcW w:w="1138" w:type="dxa"/>
            <w:tcBorders>
              <w:top w:val="nil"/>
              <w:left w:val="nil"/>
              <w:bottom w:val="nil"/>
              <w:right w:val="nil"/>
            </w:tcBorders>
            <w:noWrap/>
            <w:hideMark/>
          </w:tcPr>
          <w:p w14:paraId="1A2EC25C" w14:textId="77777777" w:rsidR="006F5998" w:rsidRPr="00157FF2" w:rsidRDefault="006F5998" w:rsidP="00F80197">
            <w:pPr>
              <w:spacing w:before="40" w:after="40"/>
              <w:jc w:val="center"/>
              <w:rPr>
                <w:rFonts w:ascii="Public Sans" w:hAnsi="Public Sans" w:cs="Arial"/>
                <w:color w:val="000000"/>
                <w:sz w:val="17"/>
                <w:szCs w:val="17"/>
                <w:highlight w:val="yellow"/>
              </w:rPr>
            </w:pPr>
            <w:r w:rsidRPr="00157FF2">
              <w:rPr>
                <w:rFonts w:ascii="Public Sans" w:hAnsi="Public Sans"/>
                <w:sz w:val="17"/>
                <w:szCs w:val="17"/>
              </w:rPr>
              <w:t>44.7</w:t>
            </w:r>
          </w:p>
        </w:tc>
        <w:tc>
          <w:tcPr>
            <w:tcW w:w="1139" w:type="dxa"/>
            <w:tcBorders>
              <w:top w:val="nil"/>
              <w:left w:val="nil"/>
              <w:bottom w:val="nil"/>
              <w:right w:val="nil"/>
            </w:tcBorders>
            <w:noWrap/>
            <w:hideMark/>
          </w:tcPr>
          <w:p w14:paraId="0EE2F82D"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42.6</w:t>
            </w:r>
          </w:p>
        </w:tc>
        <w:tc>
          <w:tcPr>
            <w:tcW w:w="1138" w:type="dxa"/>
            <w:tcBorders>
              <w:top w:val="nil"/>
              <w:left w:val="nil"/>
              <w:bottom w:val="nil"/>
              <w:right w:val="nil"/>
            </w:tcBorders>
            <w:noWrap/>
            <w:hideMark/>
          </w:tcPr>
          <w:p w14:paraId="34578507"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40.6</w:t>
            </w:r>
          </w:p>
        </w:tc>
        <w:tc>
          <w:tcPr>
            <w:tcW w:w="1139" w:type="dxa"/>
            <w:tcBorders>
              <w:top w:val="nil"/>
              <w:left w:val="nil"/>
              <w:bottom w:val="nil"/>
              <w:right w:val="nil"/>
            </w:tcBorders>
            <w:noWrap/>
            <w:hideMark/>
          </w:tcPr>
          <w:p w14:paraId="1C973D9B"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39.1</w:t>
            </w:r>
          </w:p>
        </w:tc>
        <w:tc>
          <w:tcPr>
            <w:tcW w:w="1138" w:type="dxa"/>
            <w:tcBorders>
              <w:top w:val="nil"/>
              <w:left w:val="nil"/>
              <w:bottom w:val="nil"/>
              <w:right w:val="nil"/>
            </w:tcBorders>
            <w:noWrap/>
            <w:hideMark/>
          </w:tcPr>
          <w:p w14:paraId="71231189" w14:textId="2C11E522"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3</w:t>
            </w:r>
            <w:r w:rsidR="00770127">
              <w:rPr>
                <w:rFonts w:ascii="Public Sans" w:hAnsi="Public Sans"/>
                <w:sz w:val="17"/>
                <w:szCs w:val="17"/>
              </w:rPr>
              <w:t>8</w:t>
            </w:r>
            <w:r>
              <w:rPr>
                <w:rFonts w:ascii="Public Sans" w:hAnsi="Public Sans"/>
                <w:sz w:val="17"/>
                <w:szCs w:val="17"/>
              </w:rPr>
              <w:t>.</w:t>
            </w:r>
            <w:r w:rsidRPr="00157FF2">
              <w:rPr>
                <w:rFonts w:ascii="Public Sans" w:hAnsi="Public Sans"/>
                <w:sz w:val="17"/>
                <w:szCs w:val="17"/>
              </w:rPr>
              <w:t>1</w:t>
            </w:r>
          </w:p>
        </w:tc>
        <w:tc>
          <w:tcPr>
            <w:tcW w:w="1139" w:type="dxa"/>
            <w:tcBorders>
              <w:top w:val="nil"/>
              <w:left w:val="nil"/>
              <w:bottom w:val="nil"/>
              <w:right w:val="nil"/>
            </w:tcBorders>
            <w:noWrap/>
            <w:hideMark/>
          </w:tcPr>
          <w:p w14:paraId="6964B7BE"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37.0</w:t>
            </w:r>
          </w:p>
        </w:tc>
      </w:tr>
      <w:tr w:rsidR="006F5998" w:rsidRPr="003A505D" w14:paraId="10F617DA" w14:textId="77777777">
        <w:trPr>
          <w:trHeight w:val="113"/>
        </w:trPr>
        <w:tc>
          <w:tcPr>
            <w:tcW w:w="2835" w:type="dxa"/>
            <w:tcBorders>
              <w:top w:val="nil"/>
              <w:left w:val="nil"/>
              <w:bottom w:val="nil"/>
              <w:right w:val="nil"/>
            </w:tcBorders>
            <w:shd w:val="clear" w:color="auto" w:fill="FFFFFF" w:themeFill="background1"/>
            <w:noWrap/>
            <w:vAlign w:val="center"/>
            <w:hideMark/>
          </w:tcPr>
          <w:p w14:paraId="4276C755" w14:textId="77777777" w:rsidR="006F5998" w:rsidRPr="0024204C" w:rsidRDefault="006F5998" w:rsidP="00F80197">
            <w:pPr>
              <w:spacing w:before="40" w:after="40"/>
              <w:rPr>
                <w:rFonts w:ascii="Public Sans" w:hAnsi="Public Sans" w:cs="Arial"/>
                <w:color w:val="000000"/>
                <w:sz w:val="17"/>
                <w:szCs w:val="17"/>
                <w:lang w:eastAsia="en-AU"/>
              </w:rPr>
            </w:pPr>
          </w:p>
        </w:tc>
        <w:tc>
          <w:tcPr>
            <w:tcW w:w="1138" w:type="dxa"/>
            <w:tcBorders>
              <w:top w:val="nil"/>
              <w:left w:val="nil"/>
              <w:bottom w:val="nil"/>
              <w:right w:val="nil"/>
            </w:tcBorders>
            <w:noWrap/>
            <w:vAlign w:val="center"/>
            <w:hideMark/>
          </w:tcPr>
          <w:p w14:paraId="61C9E3F7" w14:textId="77777777" w:rsidR="006F5998" w:rsidRPr="00157FF2" w:rsidRDefault="006F5998" w:rsidP="00F80197">
            <w:pPr>
              <w:spacing w:before="40" w:after="40"/>
              <w:jc w:val="center"/>
              <w:rPr>
                <w:rFonts w:ascii="Public Sans" w:hAnsi="Public Sans" w:cs="Arial"/>
                <w:color w:val="000000"/>
                <w:sz w:val="17"/>
                <w:szCs w:val="17"/>
                <w:highlight w:val="yellow"/>
              </w:rPr>
            </w:pPr>
          </w:p>
        </w:tc>
        <w:tc>
          <w:tcPr>
            <w:tcW w:w="1139" w:type="dxa"/>
            <w:tcBorders>
              <w:top w:val="nil"/>
              <w:left w:val="nil"/>
              <w:bottom w:val="nil"/>
              <w:right w:val="nil"/>
            </w:tcBorders>
            <w:noWrap/>
            <w:vAlign w:val="center"/>
            <w:hideMark/>
          </w:tcPr>
          <w:p w14:paraId="193B5DA3"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p>
        </w:tc>
        <w:tc>
          <w:tcPr>
            <w:tcW w:w="1138" w:type="dxa"/>
            <w:tcBorders>
              <w:top w:val="nil"/>
              <w:left w:val="nil"/>
              <w:bottom w:val="nil"/>
              <w:right w:val="nil"/>
            </w:tcBorders>
            <w:noWrap/>
            <w:vAlign w:val="center"/>
            <w:hideMark/>
          </w:tcPr>
          <w:p w14:paraId="15840711"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p>
        </w:tc>
        <w:tc>
          <w:tcPr>
            <w:tcW w:w="1139" w:type="dxa"/>
            <w:tcBorders>
              <w:top w:val="nil"/>
              <w:left w:val="nil"/>
              <w:bottom w:val="nil"/>
              <w:right w:val="nil"/>
            </w:tcBorders>
            <w:noWrap/>
            <w:vAlign w:val="center"/>
            <w:hideMark/>
          </w:tcPr>
          <w:p w14:paraId="050FCA48"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p>
        </w:tc>
        <w:tc>
          <w:tcPr>
            <w:tcW w:w="1138" w:type="dxa"/>
            <w:tcBorders>
              <w:top w:val="nil"/>
              <w:left w:val="nil"/>
              <w:bottom w:val="nil"/>
              <w:right w:val="nil"/>
            </w:tcBorders>
            <w:noWrap/>
            <w:vAlign w:val="center"/>
            <w:hideMark/>
          </w:tcPr>
          <w:p w14:paraId="49CFDAFC"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p>
        </w:tc>
        <w:tc>
          <w:tcPr>
            <w:tcW w:w="1139" w:type="dxa"/>
            <w:tcBorders>
              <w:top w:val="nil"/>
              <w:left w:val="nil"/>
              <w:bottom w:val="nil"/>
              <w:right w:val="nil"/>
            </w:tcBorders>
            <w:noWrap/>
            <w:vAlign w:val="center"/>
            <w:hideMark/>
          </w:tcPr>
          <w:p w14:paraId="4610E38B"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p>
        </w:tc>
      </w:tr>
      <w:tr w:rsidR="006F5998" w:rsidRPr="003A505D" w14:paraId="0F398C1B" w14:textId="77777777">
        <w:trPr>
          <w:trHeight w:val="227"/>
        </w:trPr>
        <w:tc>
          <w:tcPr>
            <w:tcW w:w="2835" w:type="dxa"/>
            <w:tcBorders>
              <w:top w:val="nil"/>
              <w:left w:val="nil"/>
              <w:bottom w:val="nil"/>
              <w:right w:val="nil"/>
            </w:tcBorders>
            <w:shd w:val="clear" w:color="auto" w:fill="FFFFFF" w:themeFill="background1"/>
            <w:noWrap/>
            <w:vAlign w:val="center"/>
            <w:hideMark/>
          </w:tcPr>
          <w:p w14:paraId="4BFDBD31" w14:textId="77777777" w:rsidR="006F5998" w:rsidRPr="0024204C" w:rsidRDefault="006F5998" w:rsidP="00F80197">
            <w:pPr>
              <w:spacing w:before="40" w:after="40"/>
              <w:rPr>
                <w:rFonts w:ascii="Public Sans" w:hAnsi="Public Sans" w:cs="Arial"/>
                <w:color w:val="000000"/>
                <w:sz w:val="17"/>
                <w:szCs w:val="17"/>
                <w:lang w:eastAsia="en-AU"/>
              </w:rPr>
            </w:pPr>
            <w:r w:rsidRPr="0024204C">
              <w:rPr>
                <w:rFonts w:ascii="Public Sans" w:hAnsi="Public Sans" w:cs="Arial"/>
                <w:color w:val="000000"/>
                <w:sz w:val="17"/>
                <w:szCs w:val="17"/>
                <w:lang w:eastAsia="en-AU"/>
              </w:rPr>
              <w:t>Net Debt ($m)</w:t>
            </w:r>
          </w:p>
        </w:tc>
        <w:tc>
          <w:tcPr>
            <w:tcW w:w="1138" w:type="dxa"/>
            <w:tcBorders>
              <w:top w:val="nil"/>
              <w:left w:val="nil"/>
              <w:bottom w:val="nil"/>
              <w:right w:val="nil"/>
            </w:tcBorders>
            <w:noWrap/>
            <w:hideMark/>
          </w:tcPr>
          <w:p w14:paraId="604FE714" w14:textId="77777777" w:rsidR="006F5998" w:rsidRPr="00157FF2" w:rsidRDefault="006F5998" w:rsidP="00F80197">
            <w:pPr>
              <w:spacing w:before="40" w:after="40"/>
              <w:jc w:val="center"/>
              <w:rPr>
                <w:rFonts w:ascii="Public Sans" w:hAnsi="Public Sans" w:cs="Arial"/>
                <w:color w:val="000000"/>
                <w:sz w:val="17"/>
                <w:szCs w:val="17"/>
                <w:highlight w:val="yellow"/>
              </w:rPr>
            </w:pPr>
            <w:r w:rsidRPr="00157FF2">
              <w:rPr>
                <w:rFonts w:ascii="Public Sans" w:hAnsi="Public Sans"/>
                <w:sz w:val="17"/>
                <w:szCs w:val="17"/>
              </w:rPr>
              <w:t>93,365</w:t>
            </w:r>
          </w:p>
        </w:tc>
        <w:tc>
          <w:tcPr>
            <w:tcW w:w="1139" w:type="dxa"/>
            <w:tcBorders>
              <w:top w:val="nil"/>
              <w:left w:val="nil"/>
              <w:bottom w:val="nil"/>
              <w:right w:val="nil"/>
            </w:tcBorders>
            <w:noWrap/>
            <w:hideMark/>
          </w:tcPr>
          <w:p w14:paraId="7460C1C7"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109,238</w:t>
            </w:r>
          </w:p>
        </w:tc>
        <w:tc>
          <w:tcPr>
            <w:tcW w:w="1138" w:type="dxa"/>
            <w:tcBorders>
              <w:top w:val="nil"/>
              <w:left w:val="nil"/>
              <w:bottom w:val="nil"/>
              <w:right w:val="nil"/>
            </w:tcBorders>
            <w:noWrap/>
            <w:hideMark/>
          </w:tcPr>
          <w:p w14:paraId="3EF6F57D"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120,275</w:t>
            </w:r>
          </w:p>
        </w:tc>
        <w:tc>
          <w:tcPr>
            <w:tcW w:w="1139" w:type="dxa"/>
            <w:tcBorders>
              <w:top w:val="nil"/>
              <w:left w:val="nil"/>
              <w:bottom w:val="nil"/>
              <w:right w:val="nil"/>
            </w:tcBorders>
            <w:noWrap/>
            <w:hideMark/>
          </w:tcPr>
          <w:p w14:paraId="2334A28A"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127,766</w:t>
            </w:r>
          </w:p>
        </w:tc>
        <w:tc>
          <w:tcPr>
            <w:tcW w:w="1138" w:type="dxa"/>
            <w:tcBorders>
              <w:top w:val="nil"/>
              <w:left w:val="nil"/>
              <w:bottom w:val="nil"/>
              <w:right w:val="nil"/>
            </w:tcBorders>
            <w:noWrap/>
            <w:hideMark/>
          </w:tcPr>
          <w:p w14:paraId="354C51B7"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130,700</w:t>
            </w:r>
          </w:p>
        </w:tc>
        <w:tc>
          <w:tcPr>
            <w:tcW w:w="1139" w:type="dxa"/>
            <w:tcBorders>
              <w:top w:val="nil"/>
              <w:left w:val="nil"/>
              <w:bottom w:val="nil"/>
              <w:right w:val="nil"/>
            </w:tcBorders>
            <w:noWrap/>
            <w:hideMark/>
          </w:tcPr>
          <w:p w14:paraId="4BE79B31"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133,816</w:t>
            </w:r>
          </w:p>
        </w:tc>
      </w:tr>
      <w:tr w:rsidR="006F5998" w:rsidRPr="003A505D" w14:paraId="188ECCAD" w14:textId="77777777">
        <w:trPr>
          <w:trHeight w:val="227"/>
        </w:trPr>
        <w:tc>
          <w:tcPr>
            <w:tcW w:w="2835" w:type="dxa"/>
            <w:tcBorders>
              <w:top w:val="nil"/>
              <w:left w:val="nil"/>
              <w:bottom w:val="nil"/>
              <w:right w:val="nil"/>
            </w:tcBorders>
            <w:shd w:val="clear" w:color="auto" w:fill="FFFFFF" w:themeFill="background1"/>
            <w:noWrap/>
            <w:vAlign w:val="center"/>
            <w:hideMark/>
          </w:tcPr>
          <w:p w14:paraId="2DC0B177" w14:textId="77777777" w:rsidR="006F5998" w:rsidRPr="0024204C" w:rsidRDefault="006F5998" w:rsidP="00F80197">
            <w:pPr>
              <w:spacing w:before="40" w:after="40"/>
              <w:rPr>
                <w:rFonts w:ascii="Public Sans" w:hAnsi="Public Sans" w:cs="Arial"/>
                <w:color w:val="000000"/>
                <w:sz w:val="17"/>
                <w:szCs w:val="17"/>
                <w:lang w:eastAsia="en-AU"/>
              </w:rPr>
            </w:pPr>
            <w:r w:rsidRPr="0024204C">
              <w:rPr>
                <w:rFonts w:ascii="Public Sans" w:hAnsi="Public Sans" w:cs="Arial"/>
                <w:color w:val="000000"/>
                <w:sz w:val="17"/>
                <w:szCs w:val="17"/>
                <w:lang w:eastAsia="en-AU"/>
              </w:rPr>
              <w:t>Net Debt as a per cent of GSP</w:t>
            </w:r>
          </w:p>
        </w:tc>
        <w:tc>
          <w:tcPr>
            <w:tcW w:w="1138" w:type="dxa"/>
            <w:tcBorders>
              <w:top w:val="nil"/>
              <w:left w:val="nil"/>
              <w:bottom w:val="nil"/>
              <w:right w:val="nil"/>
            </w:tcBorders>
            <w:noWrap/>
            <w:hideMark/>
          </w:tcPr>
          <w:p w14:paraId="5464EAE9" w14:textId="77777777" w:rsidR="006F5998" w:rsidRPr="00157FF2" w:rsidRDefault="006F5998" w:rsidP="00F80197">
            <w:pPr>
              <w:spacing w:before="40" w:after="40"/>
              <w:jc w:val="center"/>
              <w:rPr>
                <w:rFonts w:ascii="Public Sans" w:hAnsi="Public Sans" w:cs="Arial"/>
                <w:color w:val="000000"/>
                <w:sz w:val="17"/>
                <w:szCs w:val="17"/>
                <w:highlight w:val="yellow"/>
              </w:rPr>
            </w:pPr>
            <w:r w:rsidRPr="00157FF2">
              <w:rPr>
                <w:rFonts w:ascii="Public Sans" w:hAnsi="Public Sans"/>
                <w:sz w:val="17"/>
                <w:szCs w:val="17"/>
              </w:rPr>
              <w:t>11.4</w:t>
            </w:r>
          </w:p>
        </w:tc>
        <w:tc>
          <w:tcPr>
            <w:tcW w:w="1139" w:type="dxa"/>
            <w:tcBorders>
              <w:top w:val="nil"/>
              <w:left w:val="nil"/>
              <w:bottom w:val="nil"/>
              <w:right w:val="nil"/>
            </w:tcBorders>
            <w:noWrap/>
            <w:hideMark/>
          </w:tcPr>
          <w:p w14:paraId="3E94CDD4"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12.8</w:t>
            </w:r>
          </w:p>
        </w:tc>
        <w:tc>
          <w:tcPr>
            <w:tcW w:w="1138" w:type="dxa"/>
            <w:tcBorders>
              <w:top w:val="nil"/>
              <w:left w:val="nil"/>
              <w:bottom w:val="nil"/>
              <w:right w:val="nil"/>
            </w:tcBorders>
            <w:noWrap/>
            <w:hideMark/>
          </w:tcPr>
          <w:p w14:paraId="6DA9080B"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13.7</w:t>
            </w:r>
          </w:p>
        </w:tc>
        <w:tc>
          <w:tcPr>
            <w:tcW w:w="1139" w:type="dxa"/>
            <w:tcBorders>
              <w:top w:val="nil"/>
              <w:left w:val="nil"/>
              <w:bottom w:val="nil"/>
              <w:right w:val="nil"/>
            </w:tcBorders>
            <w:noWrap/>
            <w:hideMark/>
          </w:tcPr>
          <w:p w14:paraId="08A67986"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13.9</w:t>
            </w:r>
          </w:p>
        </w:tc>
        <w:tc>
          <w:tcPr>
            <w:tcW w:w="1138" w:type="dxa"/>
            <w:tcBorders>
              <w:top w:val="nil"/>
              <w:left w:val="nil"/>
              <w:bottom w:val="nil"/>
              <w:right w:val="nil"/>
            </w:tcBorders>
            <w:noWrap/>
            <w:hideMark/>
          </w:tcPr>
          <w:p w14:paraId="7590AFF7"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13.5</w:t>
            </w:r>
          </w:p>
        </w:tc>
        <w:tc>
          <w:tcPr>
            <w:tcW w:w="1139" w:type="dxa"/>
            <w:tcBorders>
              <w:top w:val="nil"/>
              <w:left w:val="nil"/>
              <w:bottom w:val="nil"/>
              <w:right w:val="nil"/>
            </w:tcBorders>
            <w:noWrap/>
            <w:hideMark/>
          </w:tcPr>
          <w:p w14:paraId="4ABB8FF7"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13.1</w:t>
            </w:r>
          </w:p>
        </w:tc>
      </w:tr>
      <w:tr w:rsidR="006F5998" w:rsidRPr="003A505D" w14:paraId="2106C2F6" w14:textId="77777777">
        <w:trPr>
          <w:trHeight w:val="113"/>
        </w:trPr>
        <w:tc>
          <w:tcPr>
            <w:tcW w:w="2835" w:type="dxa"/>
            <w:tcBorders>
              <w:top w:val="nil"/>
              <w:left w:val="nil"/>
              <w:bottom w:val="nil"/>
              <w:right w:val="nil"/>
            </w:tcBorders>
            <w:shd w:val="clear" w:color="auto" w:fill="FFFFFF" w:themeFill="background1"/>
            <w:noWrap/>
            <w:vAlign w:val="center"/>
          </w:tcPr>
          <w:p w14:paraId="394EC970" w14:textId="77777777" w:rsidR="006F5998" w:rsidRPr="0024204C" w:rsidRDefault="006F5998" w:rsidP="00F80197">
            <w:pPr>
              <w:spacing w:before="40" w:after="40"/>
              <w:rPr>
                <w:rFonts w:ascii="Public Sans" w:hAnsi="Public Sans" w:cs="Arial"/>
                <w:color w:val="000000"/>
                <w:sz w:val="17"/>
                <w:szCs w:val="17"/>
                <w:lang w:eastAsia="en-AU"/>
              </w:rPr>
            </w:pPr>
          </w:p>
        </w:tc>
        <w:tc>
          <w:tcPr>
            <w:tcW w:w="1138" w:type="dxa"/>
            <w:tcBorders>
              <w:top w:val="nil"/>
              <w:left w:val="nil"/>
              <w:bottom w:val="nil"/>
              <w:right w:val="nil"/>
            </w:tcBorders>
            <w:noWrap/>
            <w:vAlign w:val="center"/>
          </w:tcPr>
          <w:p w14:paraId="1E929732" w14:textId="77777777" w:rsidR="006F5998" w:rsidRPr="00157FF2" w:rsidRDefault="006F5998" w:rsidP="00F80197">
            <w:pPr>
              <w:spacing w:before="40" w:after="40"/>
              <w:jc w:val="center"/>
              <w:rPr>
                <w:rFonts w:ascii="Public Sans" w:hAnsi="Public Sans" w:cs="Arial"/>
                <w:color w:val="000000"/>
                <w:sz w:val="17"/>
                <w:szCs w:val="17"/>
                <w:highlight w:val="yellow"/>
              </w:rPr>
            </w:pPr>
          </w:p>
        </w:tc>
        <w:tc>
          <w:tcPr>
            <w:tcW w:w="1139" w:type="dxa"/>
            <w:tcBorders>
              <w:top w:val="nil"/>
              <w:left w:val="nil"/>
              <w:bottom w:val="nil"/>
              <w:right w:val="nil"/>
            </w:tcBorders>
            <w:noWrap/>
            <w:vAlign w:val="center"/>
          </w:tcPr>
          <w:p w14:paraId="78BF13E8"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p>
        </w:tc>
        <w:tc>
          <w:tcPr>
            <w:tcW w:w="1138" w:type="dxa"/>
            <w:tcBorders>
              <w:top w:val="nil"/>
              <w:left w:val="nil"/>
              <w:bottom w:val="nil"/>
              <w:right w:val="nil"/>
            </w:tcBorders>
            <w:noWrap/>
            <w:vAlign w:val="center"/>
          </w:tcPr>
          <w:p w14:paraId="556B94B4"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p>
        </w:tc>
        <w:tc>
          <w:tcPr>
            <w:tcW w:w="1139" w:type="dxa"/>
            <w:tcBorders>
              <w:top w:val="nil"/>
              <w:left w:val="nil"/>
              <w:bottom w:val="nil"/>
              <w:right w:val="nil"/>
            </w:tcBorders>
            <w:noWrap/>
            <w:vAlign w:val="center"/>
          </w:tcPr>
          <w:p w14:paraId="1B34AD1C"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p>
        </w:tc>
        <w:tc>
          <w:tcPr>
            <w:tcW w:w="1138" w:type="dxa"/>
            <w:tcBorders>
              <w:top w:val="nil"/>
              <w:left w:val="nil"/>
              <w:bottom w:val="nil"/>
              <w:right w:val="nil"/>
            </w:tcBorders>
            <w:noWrap/>
            <w:vAlign w:val="center"/>
          </w:tcPr>
          <w:p w14:paraId="4EE1DE57"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p>
        </w:tc>
        <w:tc>
          <w:tcPr>
            <w:tcW w:w="1139" w:type="dxa"/>
            <w:tcBorders>
              <w:top w:val="nil"/>
              <w:left w:val="nil"/>
              <w:bottom w:val="nil"/>
              <w:right w:val="nil"/>
            </w:tcBorders>
            <w:noWrap/>
            <w:vAlign w:val="center"/>
          </w:tcPr>
          <w:p w14:paraId="4A1BA145"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p>
        </w:tc>
      </w:tr>
      <w:tr w:rsidR="006F5998" w:rsidRPr="003A505D" w14:paraId="0FE36A49" w14:textId="77777777">
        <w:trPr>
          <w:trHeight w:val="227"/>
        </w:trPr>
        <w:tc>
          <w:tcPr>
            <w:tcW w:w="2835" w:type="dxa"/>
            <w:tcBorders>
              <w:top w:val="nil"/>
              <w:left w:val="nil"/>
              <w:bottom w:val="nil"/>
              <w:right w:val="nil"/>
            </w:tcBorders>
            <w:shd w:val="clear" w:color="auto" w:fill="FFFFFF" w:themeFill="background1"/>
            <w:noWrap/>
            <w:vAlign w:val="center"/>
          </w:tcPr>
          <w:p w14:paraId="1B722A9D" w14:textId="77777777" w:rsidR="006F5998" w:rsidRPr="0024204C" w:rsidRDefault="006F5998" w:rsidP="00F80197">
            <w:pPr>
              <w:spacing w:before="40" w:after="40"/>
              <w:rPr>
                <w:rFonts w:ascii="Public Sans" w:hAnsi="Public Sans" w:cs="Arial"/>
                <w:color w:val="000000"/>
                <w:sz w:val="17"/>
                <w:szCs w:val="17"/>
                <w:lang w:eastAsia="en-AU"/>
              </w:rPr>
            </w:pPr>
            <w:r w:rsidRPr="0024204C">
              <w:rPr>
                <w:rFonts w:ascii="Public Sans" w:hAnsi="Public Sans" w:cs="Arial"/>
                <w:color w:val="000000"/>
                <w:sz w:val="17"/>
                <w:szCs w:val="17"/>
                <w:lang w:eastAsia="en-AU"/>
              </w:rPr>
              <w:t>Gross Debt ($m)</w:t>
            </w:r>
          </w:p>
        </w:tc>
        <w:tc>
          <w:tcPr>
            <w:tcW w:w="1138" w:type="dxa"/>
            <w:tcBorders>
              <w:top w:val="nil"/>
              <w:left w:val="nil"/>
              <w:bottom w:val="nil"/>
              <w:right w:val="nil"/>
            </w:tcBorders>
            <w:noWrap/>
          </w:tcPr>
          <w:p w14:paraId="05D99B4F" w14:textId="6394816D" w:rsidR="006F5998" w:rsidRPr="00157FF2" w:rsidRDefault="006F5998" w:rsidP="00F80197">
            <w:pPr>
              <w:spacing w:before="40" w:after="40"/>
              <w:jc w:val="center"/>
              <w:rPr>
                <w:rFonts w:ascii="Public Sans" w:hAnsi="Public Sans" w:cs="Arial"/>
                <w:color w:val="000000"/>
                <w:sz w:val="17"/>
                <w:szCs w:val="17"/>
                <w:highlight w:val="yellow"/>
              </w:rPr>
            </w:pPr>
            <w:r w:rsidRPr="00157FF2">
              <w:rPr>
                <w:rFonts w:ascii="Public Sans" w:hAnsi="Public Sans"/>
                <w:sz w:val="17"/>
                <w:szCs w:val="17"/>
              </w:rPr>
              <w:t>154,27</w:t>
            </w:r>
            <w:r w:rsidR="00377E05">
              <w:rPr>
                <w:rFonts w:ascii="Public Sans" w:hAnsi="Public Sans"/>
                <w:sz w:val="17"/>
                <w:szCs w:val="17"/>
              </w:rPr>
              <w:t>6</w:t>
            </w:r>
            <w:r w:rsidRPr="00157FF2">
              <w:rPr>
                <w:rFonts w:ascii="Public Sans" w:hAnsi="Public Sans"/>
                <w:sz w:val="17"/>
                <w:szCs w:val="17"/>
              </w:rPr>
              <w:t xml:space="preserve"> </w:t>
            </w:r>
          </w:p>
        </w:tc>
        <w:tc>
          <w:tcPr>
            <w:tcW w:w="1139" w:type="dxa"/>
            <w:tcBorders>
              <w:top w:val="nil"/>
              <w:left w:val="nil"/>
              <w:bottom w:val="nil"/>
              <w:right w:val="nil"/>
            </w:tcBorders>
            <w:noWrap/>
          </w:tcPr>
          <w:p w14:paraId="0827EA1D"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 xml:space="preserve">166,012 </w:t>
            </w:r>
          </w:p>
        </w:tc>
        <w:tc>
          <w:tcPr>
            <w:tcW w:w="1138" w:type="dxa"/>
            <w:tcBorders>
              <w:top w:val="nil"/>
              <w:left w:val="nil"/>
              <w:bottom w:val="nil"/>
              <w:right w:val="nil"/>
            </w:tcBorders>
            <w:noWrap/>
          </w:tcPr>
          <w:p w14:paraId="7E4D07CA"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 xml:space="preserve">178,755 </w:t>
            </w:r>
          </w:p>
        </w:tc>
        <w:tc>
          <w:tcPr>
            <w:tcW w:w="1139" w:type="dxa"/>
            <w:tcBorders>
              <w:top w:val="nil"/>
              <w:left w:val="nil"/>
              <w:bottom w:val="nil"/>
              <w:right w:val="nil"/>
            </w:tcBorders>
            <w:noWrap/>
          </w:tcPr>
          <w:p w14:paraId="6C30C57E" w14:textId="4821CAD1"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188,3</w:t>
            </w:r>
            <w:r>
              <w:rPr>
                <w:rFonts w:ascii="Public Sans" w:hAnsi="Public Sans"/>
                <w:sz w:val="17"/>
                <w:szCs w:val="17"/>
              </w:rPr>
              <w:t>40</w:t>
            </w:r>
            <w:r w:rsidRPr="00157FF2">
              <w:rPr>
                <w:rFonts w:ascii="Public Sans" w:hAnsi="Public Sans"/>
                <w:sz w:val="17"/>
                <w:szCs w:val="17"/>
              </w:rPr>
              <w:t xml:space="preserve"> </w:t>
            </w:r>
          </w:p>
        </w:tc>
        <w:tc>
          <w:tcPr>
            <w:tcW w:w="1138" w:type="dxa"/>
            <w:tcBorders>
              <w:top w:val="nil"/>
              <w:left w:val="nil"/>
              <w:bottom w:val="nil"/>
              <w:right w:val="nil"/>
            </w:tcBorders>
            <w:noWrap/>
          </w:tcPr>
          <w:p w14:paraId="26156F62"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 xml:space="preserve">193,609 </w:t>
            </w:r>
          </w:p>
        </w:tc>
        <w:tc>
          <w:tcPr>
            <w:tcW w:w="1139" w:type="dxa"/>
            <w:tcBorders>
              <w:top w:val="nil"/>
              <w:left w:val="nil"/>
              <w:bottom w:val="nil"/>
              <w:right w:val="nil"/>
            </w:tcBorders>
            <w:noWrap/>
          </w:tcPr>
          <w:p w14:paraId="1F5EB8C7" w14:textId="536E9961"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199,6</w:t>
            </w:r>
            <w:r>
              <w:rPr>
                <w:rFonts w:ascii="Public Sans" w:hAnsi="Public Sans"/>
                <w:sz w:val="17"/>
                <w:szCs w:val="17"/>
              </w:rPr>
              <w:t>80</w:t>
            </w:r>
            <w:r w:rsidRPr="00157FF2">
              <w:rPr>
                <w:rFonts w:ascii="Public Sans" w:hAnsi="Public Sans"/>
                <w:sz w:val="17"/>
                <w:szCs w:val="17"/>
              </w:rPr>
              <w:t xml:space="preserve"> </w:t>
            </w:r>
          </w:p>
        </w:tc>
      </w:tr>
      <w:tr w:rsidR="006F5998" w:rsidRPr="003A505D" w14:paraId="111CE801" w14:textId="77777777">
        <w:trPr>
          <w:trHeight w:val="227"/>
        </w:trPr>
        <w:tc>
          <w:tcPr>
            <w:tcW w:w="2835" w:type="dxa"/>
            <w:tcBorders>
              <w:top w:val="nil"/>
              <w:left w:val="nil"/>
              <w:bottom w:val="single" w:sz="4" w:space="0" w:color="auto"/>
              <w:right w:val="nil"/>
            </w:tcBorders>
            <w:shd w:val="clear" w:color="auto" w:fill="FFFFFF" w:themeFill="background1"/>
            <w:noWrap/>
            <w:vAlign w:val="center"/>
          </w:tcPr>
          <w:p w14:paraId="22712AA5" w14:textId="77777777" w:rsidR="006F5998" w:rsidRPr="0024204C" w:rsidRDefault="006F5998" w:rsidP="00F80197">
            <w:pPr>
              <w:spacing w:before="40" w:after="40"/>
              <w:rPr>
                <w:rFonts w:ascii="Public Sans" w:hAnsi="Public Sans" w:cs="Arial"/>
                <w:color w:val="000000"/>
                <w:sz w:val="17"/>
                <w:szCs w:val="17"/>
                <w:lang w:eastAsia="en-AU"/>
              </w:rPr>
            </w:pPr>
            <w:r w:rsidRPr="0024204C">
              <w:rPr>
                <w:rFonts w:ascii="Public Sans" w:hAnsi="Public Sans" w:cs="Arial"/>
                <w:color w:val="000000"/>
                <w:sz w:val="17"/>
                <w:szCs w:val="17"/>
                <w:lang w:eastAsia="en-AU"/>
              </w:rPr>
              <w:t>Gross Debt as a per cent of GSP</w:t>
            </w:r>
          </w:p>
        </w:tc>
        <w:tc>
          <w:tcPr>
            <w:tcW w:w="1138" w:type="dxa"/>
            <w:tcBorders>
              <w:top w:val="nil"/>
              <w:left w:val="nil"/>
              <w:bottom w:val="single" w:sz="4" w:space="0" w:color="auto"/>
              <w:right w:val="nil"/>
            </w:tcBorders>
            <w:noWrap/>
          </w:tcPr>
          <w:p w14:paraId="6A7DB14A" w14:textId="32910415" w:rsidR="006F5998" w:rsidRPr="00157FF2" w:rsidRDefault="006F5998" w:rsidP="00F80197">
            <w:pPr>
              <w:spacing w:before="40" w:after="40"/>
              <w:jc w:val="center"/>
              <w:rPr>
                <w:rFonts w:ascii="Public Sans" w:hAnsi="Public Sans" w:cs="Arial"/>
                <w:color w:val="000000"/>
                <w:sz w:val="17"/>
                <w:szCs w:val="17"/>
                <w:highlight w:val="yellow"/>
              </w:rPr>
            </w:pPr>
            <w:r w:rsidRPr="00157FF2">
              <w:rPr>
                <w:rFonts w:ascii="Public Sans" w:hAnsi="Public Sans"/>
                <w:sz w:val="17"/>
                <w:szCs w:val="17"/>
              </w:rPr>
              <w:t>1</w:t>
            </w:r>
            <w:r w:rsidR="00D224BA">
              <w:rPr>
                <w:rFonts w:ascii="Public Sans" w:hAnsi="Public Sans"/>
                <w:sz w:val="17"/>
                <w:szCs w:val="17"/>
              </w:rPr>
              <w:t>8</w:t>
            </w:r>
            <w:r>
              <w:rPr>
                <w:rFonts w:ascii="Public Sans" w:hAnsi="Public Sans"/>
                <w:sz w:val="17"/>
                <w:szCs w:val="17"/>
              </w:rPr>
              <w:t>.</w:t>
            </w:r>
            <w:r w:rsidRPr="00157FF2">
              <w:rPr>
                <w:rFonts w:ascii="Public Sans" w:hAnsi="Public Sans"/>
                <w:sz w:val="17"/>
                <w:szCs w:val="17"/>
              </w:rPr>
              <w:t>8</w:t>
            </w:r>
          </w:p>
        </w:tc>
        <w:tc>
          <w:tcPr>
            <w:tcW w:w="1139" w:type="dxa"/>
            <w:tcBorders>
              <w:top w:val="nil"/>
              <w:left w:val="nil"/>
              <w:bottom w:val="single" w:sz="4" w:space="0" w:color="auto"/>
              <w:right w:val="nil"/>
            </w:tcBorders>
            <w:noWrap/>
          </w:tcPr>
          <w:p w14:paraId="73074A4F"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19.5</w:t>
            </w:r>
          </w:p>
        </w:tc>
        <w:tc>
          <w:tcPr>
            <w:tcW w:w="1138" w:type="dxa"/>
            <w:tcBorders>
              <w:top w:val="nil"/>
              <w:left w:val="nil"/>
              <w:bottom w:val="single" w:sz="4" w:space="0" w:color="auto"/>
              <w:right w:val="nil"/>
            </w:tcBorders>
            <w:noWrap/>
          </w:tcPr>
          <w:p w14:paraId="79BA9E26"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20.3</w:t>
            </w:r>
          </w:p>
        </w:tc>
        <w:tc>
          <w:tcPr>
            <w:tcW w:w="1139" w:type="dxa"/>
            <w:tcBorders>
              <w:top w:val="nil"/>
              <w:left w:val="nil"/>
              <w:bottom w:val="single" w:sz="4" w:space="0" w:color="auto"/>
              <w:right w:val="nil"/>
            </w:tcBorders>
            <w:noWrap/>
          </w:tcPr>
          <w:p w14:paraId="075215EA" w14:textId="77777777" w:rsidR="006F5998" w:rsidRPr="00157FF2" w:rsidRDefault="006F5998" w:rsidP="00F80197">
            <w:pPr>
              <w:spacing w:before="40" w:after="40"/>
              <w:jc w:val="center"/>
              <w:rPr>
                <w:rFonts w:ascii="Public Sans" w:hAnsi="Public Sans" w:cs="Arial"/>
                <w:color w:val="000000"/>
                <w:sz w:val="17"/>
                <w:szCs w:val="17"/>
                <w:highlight w:val="yellow"/>
              </w:rPr>
            </w:pPr>
            <w:r w:rsidRPr="00157FF2">
              <w:rPr>
                <w:rFonts w:ascii="Public Sans" w:hAnsi="Public Sans"/>
                <w:sz w:val="17"/>
                <w:szCs w:val="17"/>
              </w:rPr>
              <w:t>20.4</w:t>
            </w:r>
          </w:p>
        </w:tc>
        <w:tc>
          <w:tcPr>
            <w:tcW w:w="1138" w:type="dxa"/>
            <w:tcBorders>
              <w:top w:val="nil"/>
              <w:left w:val="nil"/>
              <w:bottom w:val="single" w:sz="4" w:space="0" w:color="auto"/>
              <w:right w:val="nil"/>
            </w:tcBorders>
            <w:noWrap/>
          </w:tcPr>
          <w:p w14:paraId="731F5A17"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20.0</w:t>
            </w:r>
          </w:p>
        </w:tc>
        <w:tc>
          <w:tcPr>
            <w:tcW w:w="1139" w:type="dxa"/>
            <w:tcBorders>
              <w:top w:val="nil"/>
              <w:left w:val="nil"/>
              <w:bottom w:val="single" w:sz="4" w:space="0" w:color="auto"/>
              <w:right w:val="nil"/>
            </w:tcBorders>
            <w:noWrap/>
          </w:tcPr>
          <w:p w14:paraId="14D02B61" w14:textId="77777777" w:rsidR="006F5998" w:rsidRPr="00157FF2" w:rsidRDefault="006F5998" w:rsidP="00F80197">
            <w:pPr>
              <w:spacing w:before="40" w:after="40"/>
              <w:jc w:val="center"/>
              <w:rPr>
                <w:rFonts w:ascii="Public Sans" w:hAnsi="Public Sans" w:cs="Arial"/>
                <w:color w:val="000000" w:themeColor="text1"/>
                <w:sz w:val="17"/>
                <w:szCs w:val="17"/>
                <w:highlight w:val="yellow"/>
              </w:rPr>
            </w:pPr>
            <w:r w:rsidRPr="00157FF2">
              <w:rPr>
                <w:rFonts w:ascii="Public Sans" w:hAnsi="Public Sans"/>
                <w:sz w:val="17"/>
                <w:szCs w:val="17"/>
              </w:rPr>
              <w:t>19.6</w:t>
            </w:r>
          </w:p>
        </w:tc>
      </w:tr>
    </w:tbl>
    <w:p w14:paraId="45DBB8AE" w14:textId="77777777" w:rsidR="00F80197" w:rsidRPr="00095ED8" w:rsidRDefault="00F80197" w:rsidP="00095ED8">
      <w:pPr>
        <w:rPr>
          <w:rFonts w:ascii="Public Sans" w:hAnsi="Public Sans" w:cs="Arial"/>
          <w:sz w:val="6"/>
          <w:szCs w:val="6"/>
        </w:rPr>
      </w:pPr>
    </w:p>
    <w:p w14:paraId="2B00CF7C" w14:textId="6F211F29" w:rsidR="00130480" w:rsidRPr="00F80197" w:rsidRDefault="006F5998" w:rsidP="00095ED8">
      <w:pPr>
        <w:numPr>
          <w:ilvl w:val="0"/>
          <w:numId w:val="94"/>
        </w:numPr>
        <w:ind w:left="357" w:hanging="357"/>
        <w:rPr>
          <w:rFonts w:ascii="Public Sans" w:hAnsi="Public Sans" w:cs="Arial"/>
          <w:sz w:val="16"/>
          <w:szCs w:val="16"/>
        </w:rPr>
      </w:pPr>
      <w:r w:rsidRPr="00F80197">
        <w:rPr>
          <w:rFonts w:ascii="Public Sans" w:hAnsi="Public Sans" w:cs="Arial"/>
          <w:sz w:val="16"/>
          <w:szCs w:val="16"/>
        </w:rPr>
        <w:t>Nominal GSP for New South Wales for 2024-25 to 2028-29 is forecast by NSW Treasury.</w:t>
      </w:r>
    </w:p>
    <w:p w14:paraId="4F7A8F2E" w14:textId="77777777" w:rsidR="006C27BA" w:rsidRDefault="006C27BA" w:rsidP="0065301A"/>
    <w:p w14:paraId="09440BB1" w14:textId="063F41F8" w:rsidR="00E91B0B" w:rsidRDefault="00BC6413" w:rsidP="003B395C">
      <w:pPr>
        <w:pStyle w:val="BodyText"/>
        <w:rPr>
          <w:lang w:val="en-US"/>
        </w:rPr>
      </w:pPr>
      <w:r w:rsidRPr="00C83546">
        <w:rPr>
          <w:lang w:val="en-US"/>
        </w:rPr>
        <w:t>As seen in Table 8.1, t</w:t>
      </w:r>
      <w:r w:rsidR="00686520" w:rsidRPr="00C83546">
        <w:rPr>
          <w:lang w:val="en-US"/>
        </w:rPr>
        <w:t xml:space="preserve">he </w:t>
      </w:r>
      <w:r w:rsidRPr="00C83546">
        <w:rPr>
          <w:lang w:val="en-US"/>
        </w:rPr>
        <w:t>State</w:t>
      </w:r>
      <w:r w:rsidR="00F823C0">
        <w:rPr>
          <w:lang w:val="en-US"/>
        </w:rPr>
        <w:t>’s</w:t>
      </w:r>
      <w:r w:rsidRPr="00C83546">
        <w:rPr>
          <w:lang w:val="en-US"/>
        </w:rPr>
        <w:t xml:space="preserve"> total assets are projected to </w:t>
      </w:r>
      <w:r w:rsidR="009478A1" w:rsidRPr="00C83546">
        <w:rPr>
          <w:lang w:val="en-US"/>
        </w:rPr>
        <w:t xml:space="preserve">grow </w:t>
      </w:r>
      <w:r w:rsidR="002626EA" w:rsidRPr="00C83546">
        <w:rPr>
          <w:lang w:val="en-US"/>
        </w:rPr>
        <w:t>by $</w:t>
      </w:r>
      <w:r w:rsidR="00613E66" w:rsidRPr="00C83546">
        <w:rPr>
          <w:lang w:val="en-US"/>
        </w:rPr>
        <w:t>43</w:t>
      </w:r>
      <w:r w:rsidR="002E3FCB" w:rsidRPr="00C83546">
        <w:rPr>
          <w:lang w:val="en-US"/>
        </w:rPr>
        <w:t>.5</w:t>
      </w:r>
      <w:r w:rsidR="002626EA" w:rsidRPr="00C83546">
        <w:rPr>
          <w:lang w:val="en-US"/>
        </w:rPr>
        <w:t xml:space="preserve"> billion </w:t>
      </w:r>
      <w:r w:rsidR="00060F12" w:rsidRPr="00C83546">
        <w:rPr>
          <w:lang w:val="en-US"/>
        </w:rPr>
        <w:t xml:space="preserve">to </w:t>
      </w:r>
      <w:r w:rsidR="004512D2" w:rsidRPr="00C83546">
        <w:rPr>
          <w:lang w:val="en-US"/>
        </w:rPr>
        <w:t>$</w:t>
      </w:r>
      <w:r w:rsidR="002E3FCB" w:rsidRPr="00C83546">
        <w:rPr>
          <w:lang w:val="en-US"/>
        </w:rPr>
        <w:t>708</w:t>
      </w:r>
      <w:r w:rsidR="00EC2945" w:rsidRPr="00C83546">
        <w:rPr>
          <w:lang w:val="en-US"/>
        </w:rPr>
        <w:t>.7</w:t>
      </w:r>
      <w:r w:rsidR="00D14B8D">
        <w:rPr>
          <w:lang w:val="en-US"/>
        </w:rPr>
        <w:t> </w:t>
      </w:r>
      <w:r w:rsidR="00EC2945" w:rsidRPr="00C83546">
        <w:rPr>
          <w:lang w:val="en-US"/>
        </w:rPr>
        <w:t>billion</w:t>
      </w:r>
      <w:r w:rsidR="00D14B8D">
        <w:rPr>
          <w:lang w:val="en-US"/>
        </w:rPr>
        <w:t xml:space="preserve"> between June 2026 and June 2029</w:t>
      </w:r>
      <w:r w:rsidR="0088663E" w:rsidRPr="00C83546">
        <w:rPr>
          <w:lang w:val="en-US"/>
        </w:rPr>
        <w:t xml:space="preserve">, driven by </w:t>
      </w:r>
      <w:r w:rsidR="00C70BEE" w:rsidRPr="00C83546">
        <w:rPr>
          <w:lang w:val="en-US"/>
        </w:rPr>
        <w:t>a $</w:t>
      </w:r>
      <w:r w:rsidR="008E6CF8">
        <w:rPr>
          <w:lang w:val="en-US"/>
        </w:rPr>
        <w:t>13.3</w:t>
      </w:r>
      <w:r w:rsidR="00C70BEE" w:rsidRPr="00C83546">
        <w:rPr>
          <w:lang w:val="en-US"/>
        </w:rPr>
        <w:t xml:space="preserve"> billion increase in financial assets </w:t>
      </w:r>
      <w:r w:rsidR="00B71C0D" w:rsidRPr="00C83546">
        <w:rPr>
          <w:lang w:val="en-US"/>
        </w:rPr>
        <w:t>(supported by OneFund – see Box 8.2)</w:t>
      </w:r>
      <w:r w:rsidR="002675E7" w:rsidRPr="00C83546">
        <w:rPr>
          <w:lang w:val="en-US"/>
        </w:rPr>
        <w:t xml:space="preserve"> and a $</w:t>
      </w:r>
      <w:r w:rsidR="00FF45D0">
        <w:rPr>
          <w:lang w:val="en-US"/>
        </w:rPr>
        <w:t>30.2</w:t>
      </w:r>
      <w:r w:rsidR="002675E7" w:rsidRPr="00C83546">
        <w:rPr>
          <w:lang w:val="en-US"/>
        </w:rPr>
        <w:t xml:space="preserve"> billion increase in non-financial assets </w:t>
      </w:r>
      <w:r w:rsidR="0094040F" w:rsidRPr="00C83546">
        <w:rPr>
          <w:lang w:val="en-US"/>
        </w:rPr>
        <w:t>(</w:t>
      </w:r>
      <w:r w:rsidR="00914B2D" w:rsidRPr="00C83546">
        <w:rPr>
          <w:lang w:val="en-US"/>
        </w:rPr>
        <w:t xml:space="preserve">supported by the Government’s infrastructure program – see Budget Paper No.3 </w:t>
      </w:r>
      <w:r w:rsidR="007434BE" w:rsidRPr="00C17D01">
        <w:rPr>
          <w:i/>
          <w:lang w:val="en-US"/>
        </w:rPr>
        <w:t>Infrastructure Statement</w:t>
      </w:r>
      <w:r w:rsidR="007434BE" w:rsidRPr="00C83546">
        <w:rPr>
          <w:lang w:val="en-US"/>
        </w:rPr>
        <w:t xml:space="preserve">). </w:t>
      </w:r>
    </w:p>
    <w:p w14:paraId="07A03109" w14:textId="2D88DCCC" w:rsidR="00563A23" w:rsidRDefault="00563A23">
      <w:pPr>
        <w:spacing w:before="360" w:after="120"/>
        <w:ind w:left="851" w:hanging="851"/>
      </w:pPr>
      <w:r>
        <w:br w:type="page"/>
      </w:r>
    </w:p>
    <w:p w14:paraId="768B57A5" w14:textId="77777777" w:rsidR="006C27BA" w:rsidRDefault="006C27BA" w:rsidP="0065301A"/>
    <w:tbl>
      <w:tblPr>
        <w:tblW w:w="9639" w:type="dxa"/>
        <w:shd w:val="pct5" w:color="auto" w:fill="auto"/>
        <w:tblLayout w:type="fixed"/>
        <w:tblLook w:val="0000" w:firstRow="0" w:lastRow="0" w:firstColumn="0" w:lastColumn="0" w:noHBand="0" w:noVBand="0"/>
      </w:tblPr>
      <w:tblGrid>
        <w:gridCol w:w="9639"/>
      </w:tblGrid>
      <w:tr w:rsidR="00E91B0B" w:rsidRPr="00A903EA" w14:paraId="19C1AF6E" w14:textId="77777777" w:rsidTr="00516D6C">
        <w:trPr>
          <w:trHeight w:val="568"/>
        </w:trPr>
        <w:tc>
          <w:tcPr>
            <w:tcW w:w="9639" w:type="dxa"/>
            <w:shd w:val="pct5" w:color="auto" w:fill="auto"/>
          </w:tcPr>
          <w:p w14:paraId="424948FB" w14:textId="5772E6DD" w:rsidR="00E91B0B" w:rsidRPr="008D524C" w:rsidRDefault="00E91B0B">
            <w:pPr>
              <w:pStyle w:val="Box8XBoxHeading"/>
            </w:pPr>
            <w:r>
              <w:t xml:space="preserve">Managing the balance sheet better - OneFund and other reforms </w:t>
            </w:r>
          </w:p>
          <w:p w14:paraId="1081A7F1" w14:textId="270C6661" w:rsidR="00E91B0B" w:rsidRDefault="00E91B0B">
            <w:pPr>
              <w:pStyle w:val="BodyText"/>
            </w:pPr>
            <w:r w:rsidRPr="34EAF8E1">
              <w:rPr>
                <w:lang w:val="en-US"/>
              </w:rPr>
              <w:t xml:space="preserve">In the 2024-25 Budget, the Government announced the OneFund initiative, whereby the State’s investment funds would be pooled together through a ‘master fund’ structure, with all funds sharing a common risk appetite statement and investment strategy. OneFund aims for more efficient investment arrangements and enables greater investment opportunities by removing liquidity constraints of individual portfolios. The Government has now implemented Phase </w:t>
            </w:r>
            <w:r w:rsidR="0048389C">
              <w:rPr>
                <w:lang w:val="en-US"/>
              </w:rPr>
              <w:t>T</w:t>
            </w:r>
            <w:r w:rsidR="0046381B">
              <w:rPr>
                <w:lang w:val="en-US"/>
              </w:rPr>
              <w:t>wo</w:t>
            </w:r>
            <w:r w:rsidRPr="34EAF8E1">
              <w:rPr>
                <w:lang w:val="en-US"/>
              </w:rPr>
              <w:t xml:space="preserve"> of OneFund, which includes pooling the Lifetime Care and Support Authority Fund, </w:t>
            </w:r>
            <w:r w:rsidR="00982727" w:rsidRPr="00982727">
              <w:rPr>
                <w:lang w:val="en-US"/>
              </w:rPr>
              <w:t>Workers’ Compensation (Dust Diseases) Fund</w:t>
            </w:r>
            <w:r w:rsidR="00BB1211">
              <w:rPr>
                <w:lang w:val="en-US"/>
              </w:rPr>
              <w:t xml:space="preserve"> </w:t>
            </w:r>
            <w:r w:rsidRPr="34EAF8E1">
              <w:rPr>
                <w:lang w:val="en-US"/>
              </w:rPr>
              <w:t xml:space="preserve">and </w:t>
            </w:r>
            <w:r w:rsidR="00491F1E" w:rsidRPr="00491F1E">
              <w:rPr>
                <w:lang w:val="en-US"/>
              </w:rPr>
              <w:t>Motor Accident Injuries Treatment and Care Benefits</w:t>
            </w:r>
            <w:r w:rsidRPr="34EAF8E1">
              <w:rPr>
                <w:lang w:val="en-US"/>
              </w:rPr>
              <w:t xml:space="preserve"> into the master fund structure.  </w:t>
            </w:r>
          </w:p>
          <w:p w14:paraId="59148B76" w14:textId="54FEF5D4" w:rsidR="00E91B0B" w:rsidRDefault="00E91B0B">
            <w:pPr>
              <w:pStyle w:val="BodyText"/>
            </w:pPr>
            <w:r w:rsidRPr="34EAF8E1">
              <w:rPr>
                <w:lang w:val="en-US"/>
              </w:rPr>
              <w:t xml:space="preserve">Despite recent volatility in global financial markets, OneFund has demonstrated resilience generating a net return of 4.0 per cent per annum in the </w:t>
            </w:r>
            <w:r>
              <w:rPr>
                <w:lang w:val="en-US"/>
              </w:rPr>
              <w:t>eight</w:t>
            </w:r>
            <w:r w:rsidRPr="34EAF8E1">
              <w:rPr>
                <w:lang w:val="en-US"/>
              </w:rPr>
              <w:t xml:space="preserve"> months since its inception (31 August 2024) and outperforming several global equity markets. OneFund is diversified across various markets asset classes and defensive levers to help ensure it is designed to withstand stressed market conditions. </w:t>
            </w:r>
          </w:p>
          <w:p w14:paraId="04370F94" w14:textId="77777777" w:rsidR="00E91B0B" w:rsidRPr="009D3B39" w:rsidRDefault="00E91B0B">
            <w:pPr>
              <w:pStyle w:val="Chart8X"/>
            </w:pPr>
            <w:r w:rsidRPr="34EAF8E1">
              <w:rPr>
                <w:lang w:val="en-US"/>
              </w:rPr>
              <w:t>Total annual OneFund investment returns</w:t>
            </w:r>
          </w:p>
          <w:p w14:paraId="4F5D4ED9" w14:textId="77777777" w:rsidR="00E91B0B" w:rsidRPr="00AE009D" w:rsidRDefault="00E91B0B">
            <w:pPr>
              <w:rPr>
                <w:highlight w:val="yellow"/>
              </w:rPr>
            </w:pPr>
            <w:r>
              <w:rPr>
                <w:noProof/>
              </w:rPr>
              <w:drawing>
                <wp:inline distT="0" distB="0" distL="0" distR="0" wp14:anchorId="3673C236" wp14:editId="5AB9C16C">
                  <wp:extent cx="5983605" cy="2432050"/>
                  <wp:effectExtent l="0" t="0" r="0" b="0"/>
                  <wp:docPr id="1419315392" name="Chart 1" descr="Chart 8.3: Total annual OneFund investment returns">
                    <a:extLst xmlns:a="http://schemas.openxmlformats.org/drawingml/2006/main">
                      <a:ext uri="{FF2B5EF4-FFF2-40B4-BE49-F238E27FC236}">
                        <a16:creationId xmlns:a16="http://schemas.microsoft.com/office/drawing/2014/main" id="{F3548987-3B55-4621-A39B-46D1B97EF6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9A6A982" w14:textId="77777777" w:rsidR="00E91B0B" w:rsidRPr="007E2565" w:rsidRDefault="00E91B0B">
            <w:pPr>
              <w:pStyle w:val="BodyText"/>
            </w:pPr>
            <w:r>
              <w:t>T</w:t>
            </w:r>
            <w:r w:rsidRPr="00955CED">
              <w:t xml:space="preserve">he Government </w:t>
            </w:r>
            <w:r>
              <w:t>will continue reforms to</w:t>
            </w:r>
            <w:r w:rsidRPr="00955CED">
              <w:t xml:space="preserve"> improve the overall efficiency and </w:t>
            </w:r>
            <w:r>
              <w:t xml:space="preserve">resilience </w:t>
            </w:r>
            <w:r w:rsidRPr="00955CED">
              <w:t>of the balance sheet</w:t>
            </w:r>
            <w:r>
              <w:t>.</w:t>
            </w:r>
          </w:p>
        </w:tc>
      </w:tr>
    </w:tbl>
    <w:p w14:paraId="5486432C" w14:textId="77777777" w:rsidR="00D04467" w:rsidRDefault="00D04467" w:rsidP="0065301A"/>
    <w:p w14:paraId="05A45546" w14:textId="21C05D99" w:rsidR="00E91B0B" w:rsidRPr="00C83546" w:rsidRDefault="00E91B0B" w:rsidP="00E91B0B">
      <w:pPr>
        <w:pStyle w:val="BodyText"/>
      </w:pPr>
      <w:r w:rsidRPr="00C83546">
        <w:rPr>
          <w:lang w:val="en-US"/>
        </w:rPr>
        <w:t xml:space="preserve">Total liabilities are projected to </w:t>
      </w:r>
      <w:r w:rsidR="008801C0" w:rsidRPr="00C83546">
        <w:rPr>
          <w:lang w:val="en-US"/>
        </w:rPr>
        <w:t xml:space="preserve">increase by </w:t>
      </w:r>
      <w:r w:rsidR="006F7F47" w:rsidRPr="00C83546">
        <w:rPr>
          <w:lang w:val="en-US"/>
        </w:rPr>
        <w:t>$24</w:t>
      </w:r>
      <w:r w:rsidR="00BF4B90" w:rsidRPr="00C83546">
        <w:rPr>
          <w:lang w:val="en-US"/>
        </w:rPr>
        <w:t>.2</w:t>
      </w:r>
      <w:r w:rsidRPr="00C83546">
        <w:rPr>
          <w:lang w:val="en-US"/>
        </w:rPr>
        <w:t xml:space="preserve"> billion </w:t>
      </w:r>
      <w:r w:rsidR="00BF4B90" w:rsidRPr="00C83546">
        <w:rPr>
          <w:lang w:val="en-US"/>
        </w:rPr>
        <w:t>between</w:t>
      </w:r>
      <w:r w:rsidRPr="00C83546">
        <w:rPr>
          <w:lang w:val="en-US"/>
        </w:rPr>
        <w:t xml:space="preserve"> June </w:t>
      </w:r>
      <w:r w:rsidR="00BF4B90" w:rsidRPr="00C83546">
        <w:rPr>
          <w:lang w:val="en-US"/>
        </w:rPr>
        <w:t>2026 and</w:t>
      </w:r>
      <w:r w:rsidRPr="00C83546">
        <w:rPr>
          <w:lang w:val="en-US"/>
        </w:rPr>
        <w:t xml:space="preserve"> June</w:t>
      </w:r>
      <w:r w:rsidR="00BF4B90" w:rsidRPr="00C83546">
        <w:rPr>
          <w:lang w:val="en-US"/>
        </w:rPr>
        <w:t xml:space="preserve"> </w:t>
      </w:r>
      <w:r w:rsidRPr="00C83546">
        <w:rPr>
          <w:lang w:val="en-US"/>
        </w:rPr>
        <w:t>2029</w:t>
      </w:r>
      <w:r w:rsidR="00BF4B90" w:rsidRPr="00C83546">
        <w:rPr>
          <w:lang w:val="en-US"/>
        </w:rPr>
        <w:t xml:space="preserve">. </w:t>
      </w:r>
      <w:r w:rsidRPr="00C83546">
        <w:t>Borrowings are the largest liability category on the general government sector balance sheet</w:t>
      </w:r>
      <w:r w:rsidR="00BE5C18" w:rsidRPr="00C83546">
        <w:t xml:space="preserve"> and </w:t>
      </w:r>
      <w:r w:rsidR="00380BF9" w:rsidRPr="00C83546">
        <w:t>are projected to increase from</w:t>
      </w:r>
      <w:r w:rsidR="00BE5C18" w:rsidRPr="00C83546">
        <w:rPr>
          <w:lang w:val="en-US"/>
        </w:rPr>
        <w:t xml:space="preserve"> $</w:t>
      </w:r>
      <w:r w:rsidR="00993C11">
        <w:rPr>
          <w:lang w:val="en-US"/>
        </w:rPr>
        <w:t>178.2</w:t>
      </w:r>
      <w:r w:rsidR="00BE5C18" w:rsidRPr="00C83546">
        <w:rPr>
          <w:lang w:val="en-US"/>
        </w:rPr>
        <w:t xml:space="preserve"> billion at June 20</w:t>
      </w:r>
      <w:r w:rsidR="00380BF9" w:rsidRPr="00C83546">
        <w:rPr>
          <w:lang w:val="en-US"/>
        </w:rPr>
        <w:t>26</w:t>
      </w:r>
      <w:r w:rsidR="00BE5C18" w:rsidRPr="00C83546">
        <w:rPr>
          <w:lang w:val="en-US"/>
        </w:rPr>
        <w:t xml:space="preserve"> to $</w:t>
      </w:r>
      <w:r w:rsidR="007C627C">
        <w:rPr>
          <w:lang w:val="en-US"/>
        </w:rPr>
        <w:t>199.3</w:t>
      </w:r>
      <w:r w:rsidR="00BE5C18" w:rsidRPr="00C83546">
        <w:rPr>
          <w:lang w:val="en-US"/>
        </w:rPr>
        <w:t xml:space="preserve"> billion by June 2029 </w:t>
      </w:r>
      <w:r w:rsidR="00AB568E" w:rsidRPr="00C83546">
        <w:rPr>
          <w:lang w:val="en-US"/>
        </w:rPr>
        <w:t>as the State uses its balance sheet to help</w:t>
      </w:r>
      <w:r w:rsidR="00BE5C18" w:rsidRPr="00C83546">
        <w:rPr>
          <w:lang w:val="en-US"/>
        </w:rPr>
        <w:t xml:space="preserve"> fund </w:t>
      </w:r>
      <w:r w:rsidR="00AB568E" w:rsidRPr="00C83546">
        <w:rPr>
          <w:lang w:val="en-US"/>
        </w:rPr>
        <w:t>its essential</w:t>
      </w:r>
      <w:r w:rsidR="00BE5C18" w:rsidRPr="00C83546">
        <w:rPr>
          <w:lang w:val="en-US"/>
        </w:rPr>
        <w:t xml:space="preserve"> infrastructure program. </w:t>
      </w:r>
    </w:p>
    <w:p w14:paraId="0C682517" w14:textId="6E0F8719" w:rsidR="00E91B0B" w:rsidRPr="00C83546" w:rsidRDefault="00E91B0B" w:rsidP="00E91B0B">
      <w:pPr>
        <w:pStyle w:val="BodyText"/>
      </w:pPr>
      <w:r w:rsidRPr="00C83546">
        <w:rPr>
          <w:lang w:val="en-US"/>
        </w:rPr>
        <w:t>TCorp is the State’s central borrowing authority and seeks to mitigate financing risk through diversification of funding sources and funding types. This includes the issuance of green and sustainability bonds through the NSW Sustainability Bond Programme (see Box 8.3), lengthening the maturity profile and issuing different types of debt instruments to appeal to a broader set of investors.</w:t>
      </w:r>
    </w:p>
    <w:p w14:paraId="53BCE606" w14:textId="77777777" w:rsidR="00D04467" w:rsidRDefault="00D04467">
      <w:pPr>
        <w:spacing w:before="360" w:after="120"/>
        <w:ind w:left="851" w:hanging="851"/>
        <w:rPr>
          <w:rFonts w:ascii="Public Sans" w:hAnsi="Public Sans" w:cs="Arial"/>
          <w:iCs/>
          <w:color w:val="000000" w:themeColor="text1"/>
          <w:sz w:val="22"/>
        </w:rPr>
      </w:pPr>
      <w:r>
        <w:br w:type="page"/>
      </w:r>
    </w:p>
    <w:p w14:paraId="1263A1D9" w14:textId="736FC7B4" w:rsidR="00E91B0B" w:rsidRPr="00C83546" w:rsidRDefault="00E91B0B" w:rsidP="00C83546">
      <w:pPr>
        <w:pStyle w:val="BodyText"/>
        <w:rPr>
          <w:lang w:val="en-US"/>
        </w:rPr>
      </w:pPr>
      <w:r w:rsidRPr="00C83546">
        <w:rPr>
          <w:lang w:val="en-US"/>
        </w:rPr>
        <w:lastRenderedPageBreak/>
        <w:t>The second largest liability for the Government is its defined benefit superannuation liability</w:t>
      </w:r>
      <w:r w:rsidRPr="00C83546">
        <w:rPr>
          <w:vertAlign w:val="superscript"/>
        </w:rPr>
        <w:footnoteReference w:id="2"/>
      </w:r>
      <w:r w:rsidRPr="00C83546">
        <w:rPr>
          <w:vertAlign w:val="superscript"/>
          <w:lang w:val="en-US"/>
        </w:rPr>
        <w:t>.</w:t>
      </w:r>
      <w:r w:rsidRPr="00C83546">
        <w:rPr>
          <w:lang w:val="en-US"/>
        </w:rPr>
        <w:t xml:space="preserve"> The liability is projected to be $</w:t>
      </w:r>
      <w:r w:rsidR="00A436EC">
        <w:rPr>
          <w:lang w:val="en-US"/>
        </w:rPr>
        <w:t>39.6</w:t>
      </w:r>
      <w:r w:rsidRPr="00C83546">
        <w:rPr>
          <w:lang w:val="en-US"/>
        </w:rPr>
        <w:t xml:space="preserve"> billion at June 202</w:t>
      </w:r>
      <w:r w:rsidR="00AB568E" w:rsidRPr="00C83546">
        <w:rPr>
          <w:lang w:val="en-US"/>
        </w:rPr>
        <w:t>6</w:t>
      </w:r>
      <w:r w:rsidRPr="00C83546">
        <w:rPr>
          <w:lang w:val="en-US"/>
        </w:rPr>
        <w:t xml:space="preserve"> and is expected to decline over the forward estimates to $36.3 </w:t>
      </w:r>
      <w:r w:rsidRPr="00216BB6">
        <w:rPr>
          <w:lang w:val="en-US"/>
        </w:rPr>
        <w:t>billion</w:t>
      </w:r>
      <w:r w:rsidR="00A436EC" w:rsidRPr="00216BB6">
        <w:rPr>
          <w:lang w:val="en-US"/>
        </w:rPr>
        <w:t xml:space="preserve"> </w:t>
      </w:r>
      <w:r w:rsidR="00A436EC" w:rsidRPr="00A56CC4">
        <w:rPr>
          <w:lang w:val="en-US"/>
        </w:rPr>
        <w:t>as the Government</w:t>
      </w:r>
      <w:r w:rsidR="0098245B">
        <w:rPr>
          <w:lang w:val="en-US"/>
        </w:rPr>
        <w:t xml:space="preserve"> continues </w:t>
      </w:r>
      <w:r w:rsidR="00216BB6">
        <w:rPr>
          <w:lang w:val="en-US"/>
        </w:rPr>
        <w:t>progressing towards fully funding this liability by 2040</w:t>
      </w:r>
      <w:r w:rsidR="00D04467">
        <w:rPr>
          <w:lang w:val="en-US"/>
        </w:rPr>
        <w:t>.</w:t>
      </w:r>
    </w:p>
    <w:p w14:paraId="67DBBA44" w14:textId="77777777" w:rsidR="00D04467" w:rsidRPr="00C83546" w:rsidRDefault="00D04467" w:rsidP="005878AB"/>
    <w:tbl>
      <w:tblPr>
        <w:tblW w:w="9639" w:type="dxa"/>
        <w:shd w:val="pct5" w:color="auto" w:fill="auto"/>
        <w:tblLayout w:type="fixed"/>
        <w:tblLook w:val="0000" w:firstRow="0" w:lastRow="0" w:firstColumn="0" w:lastColumn="0" w:noHBand="0" w:noVBand="0"/>
      </w:tblPr>
      <w:tblGrid>
        <w:gridCol w:w="9639"/>
      </w:tblGrid>
      <w:tr w:rsidR="00F639B5" w:rsidRPr="00A903EA" w14:paraId="6BC34CD7" w14:textId="77777777" w:rsidTr="00516D6C">
        <w:trPr>
          <w:trHeight w:val="709"/>
        </w:trPr>
        <w:tc>
          <w:tcPr>
            <w:tcW w:w="9639" w:type="dxa"/>
            <w:shd w:val="pct5" w:color="auto" w:fill="auto"/>
          </w:tcPr>
          <w:p w14:paraId="77DFAC0F" w14:textId="5429ACD1" w:rsidR="00F639B5" w:rsidRPr="008D524C" w:rsidRDefault="00F639B5" w:rsidP="00F639B5">
            <w:pPr>
              <w:pStyle w:val="Box8XBoxHeading"/>
            </w:pPr>
            <w:r>
              <w:t>NSW Sustainability Bond Programme</w:t>
            </w:r>
          </w:p>
          <w:p w14:paraId="5AD8B009" w14:textId="77777777" w:rsidR="00F639B5" w:rsidRDefault="00F639B5" w:rsidP="00F639B5">
            <w:pPr>
              <w:pStyle w:val="BodyText"/>
            </w:pPr>
            <w:r w:rsidRPr="34EAF8E1">
              <w:rPr>
                <w:lang w:val="en-US"/>
              </w:rPr>
              <w:t xml:space="preserve">The NSW Sustainability Bond Programme enables the NSW Government to diversify the State’s investor base and facilitate capital flows towards its environmental and social commitments that are aligned with the United Nations Sustainable Development Goals. </w:t>
            </w:r>
          </w:p>
          <w:p w14:paraId="45E63B63" w14:textId="77777777" w:rsidR="00F639B5" w:rsidRDefault="00F639B5" w:rsidP="00F639B5">
            <w:pPr>
              <w:pStyle w:val="BodyText"/>
            </w:pPr>
            <w:r w:rsidRPr="34EAF8E1">
              <w:rPr>
                <w:lang w:val="en-US"/>
              </w:rPr>
              <w:t>To date</w:t>
            </w:r>
            <w:r w:rsidRPr="4C1CE865">
              <w:rPr>
                <w:lang w:val="en-US"/>
              </w:rPr>
              <w:t>,</w:t>
            </w:r>
            <w:r w:rsidRPr="34EAF8E1">
              <w:rPr>
                <w:lang w:val="en-US"/>
              </w:rPr>
              <w:t xml:space="preserve"> $11.2 billion in total net proceeds has been raised across the green and sustainability bonds on issue with a further $10.</w:t>
            </w:r>
            <w:r>
              <w:rPr>
                <w:lang w:val="en-US"/>
              </w:rPr>
              <w:t>5</w:t>
            </w:r>
            <w:r w:rsidRPr="34EAF8E1">
              <w:rPr>
                <w:lang w:val="en-US"/>
              </w:rPr>
              <w:t xml:space="preserve"> billion currently available for ongoing issuance. Proceeds are earmarked to finance or refinance eligible projects with positive environmental and / or social outcomes, including</w:t>
            </w:r>
            <w:r>
              <w:rPr>
                <w:lang w:val="en-US"/>
              </w:rPr>
              <w:t xml:space="preserve"> </w:t>
            </w:r>
            <w:r w:rsidRPr="00FC5AA3">
              <w:t>low carbon transport</w:t>
            </w:r>
            <w:r>
              <w:t xml:space="preserve">, sustainable water and wastewater management, access to essential services, affordable basic infrastructure and affordable housing. </w:t>
            </w:r>
          </w:p>
          <w:p w14:paraId="2C8110F2" w14:textId="6351D24D" w:rsidR="00F639B5" w:rsidRPr="00A15E60" w:rsidRDefault="00F639B5" w:rsidP="00F639B5">
            <w:pPr>
              <w:pStyle w:val="Chart8X"/>
            </w:pPr>
            <w:r w:rsidRPr="34EAF8E1">
              <w:rPr>
                <w:lang w:val="en-US"/>
              </w:rPr>
              <w:t>The State’s net proceeds allocated by project</w:t>
            </w:r>
          </w:p>
          <w:p w14:paraId="6E73CE6E" w14:textId="27B1809F" w:rsidR="00F639B5" w:rsidRPr="007E2565" w:rsidRDefault="00F639B5" w:rsidP="00C83546">
            <w:pPr>
              <w:pStyle w:val="Bullet1"/>
              <w:numPr>
                <w:ilvl w:val="0"/>
                <w:numId w:val="0"/>
              </w:numPr>
            </w:pPr>
            <w:r>
              <w:rPr>
                <w:noProof/>
              </w:rPr>
              <w:drawing>
                <wp:inline distT="0" distB="0" distL="0" distR="0" wp14:anchorId="3E67D01D" wp14:editId="21959F99">
                  <wp:extent cx="5983605" cy="3718056"/>
                  <wp:effectExtent l="0" t="0" r="0" b="0"/>
                  <wp:docPr id="1079321885" name="Chart 1" descr="Chart 8.4: The State’s net proceeds allocated by project">
                    <a:extLst xmlns:a="http://schemas.openxmlformats.org/drawingml/2006/main">
                      <a:ext uri="{FF2B5EF4-FFF2-40B4-BE49-F238E27FC236}">
                        <a16:creationId xmlns:a16="http://schemas.microsoft.com/office/drawing/2014/main" id="{AE5E5886-4E3A-4F23-9211-85A724196B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bookmarkEnd w:id="0"/>
    </w:tbl>
    <w:p w14:paraId="42678C8E" w14:textId="77777777" w:rsidR="006D2157" w:rsidRDefault="006D2157" w:rsidP="00F52565">
      <w:pPr>
        <w:spacing w:before="240" w:after="100" w:line="240" w:lineRule="atLeast"/>
        <w:outlineLvl w:val="2"/>
      </w:pPr>
    </w:p>
    <w:sectPr w:rsidR="006D2157" w:rsidSect="00020DE7">
      <w:headerReference w:type="even" r:id="rId15"/>
      <w:headerReference w:type="default" r:id="rId16"/>
      <w:footerReference w:type="even" r:id="rId17"/>
      <w:footerReference w:type="default" r:id="rId18"/>
      <w:headerReference w:type="first" r:id="rId19"/>
      <w:footerReference w:type="first" r:id="rId20"/>
      <w:pgSz w:w="11907" w:h="16840" w:code="9"/>
      <w:pgMar w:top="1134" w:right="1134" w:bottom="851" w:left="1134" w:header="454"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86884" w14:textId="77777777" w:rsidR="00D13C0C" w:rsidRDefault="00D13C0C">
      <w:r>
        <w:separator/>
      </w:r>
    </w:p>
  </w:endnote>
  <w:endnote w:type="continuationSeparator" w:id="0">
    <w:p w14:paraId="717BB137" w14:textId="77777777" w:rsidR="00D13C0C" w:rsidRDefault="00D13C0C">
      <w:r>
        <w:continuationSeparator/>
      </w:r>
    </w:p>
  </w:endnote>
  <w:endnote w:type="continuationNotice" w:id="1">
    <w:p w14:paraId="12128FB0" w14:textId="77777777" w:rsidR="00D13C0C" w:rsidRDefault="00D13C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old">
    <w:panose1 w:val="020B07040202020202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Public Sans">
    <w:panose1 w:val="00000000000000000000"/>
    <w:charset w:val="00"/>
    <w:family w:val="auto"/>
    <w:pitch w:val="variable"/>
    <w:sig w:usb0="A00000FF" w:usb1="4000205B" w:usb2="00000000" w:usb3="00000000" w:csb0="00000193" w:csb1="00000000"/>
  </w:font>
  <w:font w:name="Public Sans SemiBold">
    <w:panose1 w:val="00000000000000000000"/>
    <w:charset w:val="00"/>
    <w:family w:val="auto"/>
    <w:pitch w:val="variable"/>
    <w:sig w:usb0="A00000FF" w:usb1="4000205B" w:usb2="00000000" w:usb3="00000000" w:csb0="00000193"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Klee One"/>
    <w:panose1 w:val="00000000000000000000"/>
    <w:charset w:val="4D"/>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A6095" w14:textId="0255A121" w:rsidR="009E5213" w:rsidRPr="006243DB" w:rsidRDefault="00562A18" w:rsidP="00733C7C">
    <w:pPr>
      <w:pBdr>
        <w:top w:val="single" w:sz="4" w:space="4" w:color="auto"/>
      </w:pBdr>
      <w:tabs>
        <w:tab w:val="right" w:pos="9639"/>
      </w:tabs>
      <w:rPr>
        <w:rFonts w:ascii="Public Sans" w:hAnsi="Public Sans" w:cs="Arial"/>
        <w:noProof/>
        <w:sz w:val="18"/>
        <w:szCs w:val="18"/>
      </w:rPr>
    </w:pPr>
    <w:r>
      <w:rPr>
        <w:rFonts w:ascii="Public Sans" w:hAnsi="Public Sans" w:cs="Arial"/>
        <w:sz w:val="18"/>
        <w:szCs w:val="18"/>
      </w:rPr>
      <w:t>8</w:t>
    </w:r>
    <w:r w:rsidR="009E5213" w:rsidRPr="006243DB">
      <w:rPr>
        <w:rFonts w:ascii="Public Sans" w:hAnsi="Public Sans" w:cs="Arial"/>
        <w:sz w:val="18"/>
        <w:szCs w:val="18"/>
      </w:rPr>
      <w:t xml:space="preserve"> - </w:t>
    </w:r>
    <w:r w:rsidR="009E5213" w:rsidRPr="006243DB">
      <w:rPr>
        <w:rFonts w:ascii="Public Sans" w:hAnsi="Public Sans" w:cs="Arial"/>
        <w:sz w:val="18"/>
        <w:szCs w:val="18"/>
      </w:rPr>
      <w:fldChar w:fldCharType="begin"/>
    </w:r>
    <w:r w:rsidR="009E5213" w:rsidRPr="006243DB">
      <w:rPr>
        <w:rFonts w:ascii="Public Sans" w:hAnsi="Public Sans" w:cs="Arial"/>
        <w:sz w:val="18"/>
        <w:szCs w:val="18"/>
      </w:rPr>
      <w:instrText xml:space="preserve"> PAGE   \* MERGEFORMAT </w:instrText>
    </w:r>
    <w:r w:rsidR="009E5213" w:rsidRPr="006243DB">
      <w:rPr>
        <w:rFonts w:ascii="Public Sans" w:hAnsi="Public Sans" w:cs="Arial"/>
        <w:sz w:val="18"/>
        <w:szCs w:val="18"/>
      </w:rPr>
      <w:fldChar w:fldCharType="separate"/>
    </w:r>
    <w:r w:rsidR="009E5213" w:rsidRPr="006243DB">
      <w:rPr>
        <w:rFonts w:ascii="Public Sans" w:hAnsi="Public Sans" w:cs="Arial"/>
        <w:sz w:val="18"/>
        <w:szCs w:val="18"/>
      </w:rPr>
      <w:t>2</w:t>
    </w:r>
    <w:r w:rsidR="009E5213" w:rsidRPr="006243DB">
      <w:rPr>
        <w:rFonts w:ascii="Public Sans" w:hAnsi="Public Sans" w:cs="Arial"/>
        <w:noProof/>
        <w:sz w:val="18"/>
        <w:szCs w:val="18"/>
      </w:rPr>
      <w:fldChar w:fldCharType="end"/>
    </w:r>
    <w:r w:rsidR="009E5213" w:rsidRPr="006243DB">
      <w:rPr>
        <w:rFonts w:ascii="Public Sans" w:hAnsi="Public Sans" w:cs="Arial"/>
        <w:noProof/>
        <w:sz w:val="18"/>
        <w:szCs w:val="18"/>
      </w:rPr>
      <w:tab/>
    </w:r>
    <w:r w:rsidR="00A252FC" w:rsidRPr="006243DB">
      <w:rPr>
        <w:rFonts w:ascii="Public Sans" w:hAnsi="Public Sans" w:cs="Arial"/>
        <w:sz w:val="18"/>
        <w:szCs w:val="18"/>
      </w:rPr>
      <w:t>202</w:t>
    </w:r>
    <w:r w:rsidR="00A252FC">
      <w:rPr>
        <w:rFonts w:ascii="Public Sans" w:hAnsi="Public Sans" w:cs="Arial"/>
        <w:sz w:val="18"/>
        <w:szCs w:val="18"/>
      </w:rPr>
      <w:t>5</w:t>
    </w:r>
    <w:r w:rsidR="00A252FC" w:rsidRPr="006243DB">
      <w:rPr>
        <w:rFonts w:ascii="Public Sans" w:hAnsi="Public Sans" w:cs="Arial"/>
        <w:sz w:val="18"/>
        <w:szCs w:val="18"/>
      </w:rPr>
      <w:t>-2</w:t>
    </w:r>
    <w:r w:rsidR="00A252FC">
      <w:rPr>
        <w:rFonts w:ascii="Public Sans" w:hAnsi="Public Sans" w:cs="Arial"/>
        <w:sz w:val="18"/>
        <w:szCs w:val="18"/>
      </w:rPr>
      <w:t xml:space="preserve">6 </w:t>
    </w:r>
    <w:r w:rsidR="00146230">
      <w:rPr>
        <w:rFonts w:ascii="Public Sans" w:hAnsi="Public Sans" w:cs="Arial"/>
        <w:sz w:val="18"/>
        <w:szCs w:val="18"/>
      </w:rPr>
      <w:t>Budget Statement</w:t>
    </w:r>
    <w:r w:rsidR="009E5213" w:rsidRPr="006243DB">
      <w:rPr>
        <w:rFonts w:ascii="Public Sans" w:hAnsi="Public Sans" w:cs="Arial"/>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D1EE8" w14:textId="26F0A9F5" w:rsidR="009E5213" w:rsidRPr="006D2157" w:rsidRDefault="00A252FC" w:rsidP="00733C7C">
    <w:pPr>
      <w:pBdr>
        <w:top w:val="single" w:sz="4" w:space="4" w:color="auto"/>
      </w:pBdr>
      <w:tabs>
        <w:tab w:val="right" w:pos="9639"/>
      </w:tabs>
      <w:rPr>
        <w:rFonts w:ascii="Public Sans" w:hAnsi="Public Sans" w:cs="Arial"/>
        <w:noProof/>
        <w:sz w:val="18"/>
        <w:szCs w:val="18"/>
      </w:rPr>
    </w:pPr>
    <w:r w:rsidRPr="006D2157">
      <w:rPr>
        <w:rFonts w:ascii="Public Sans" w:hAnsi="Public Sans" w:cs="Arial"/>
        <w:sz w:val="18"/>
        <w:szCs w:val="18"/>
      </w:rPr>
      <w:t>202</w:t>
    </w:r>
    <w:r>
      <w:rPr>
        <w:rFonts w:ascii="Public Sans" w:hAnsi="Public Sans" w:cs="Arial"/>
        <w:sz w:val="18"/>
        <w:szCs w:val="18"/>
      </w:rPr>
      <w:t>5</w:t>
    </w:r>
    <w:r w:rsidRPr="006D2157">
      <w:rPr>
        <w:rFonts w:ascii="Public Sans" w:hAnsi="Public Sans" w:cs="Arial"/>
        <w:sz w:val="18"/>
        <w:szCs w:val="18"/>
      </w:rPr>
      <w:t>-2</w:t>
    </w:r>
    <w:r>
      <w:rPr>
        <w:rFonts w:ascii="Public Sans" w:hAnsi="Public Sans" w:cs="Arial"/>
        <w:sz w:val="18"/>
        <w:szCs w:val="18"/>
      </w:rPr>
      <w:t xml:space="preserve">6 </w:t>
    </w:r>
    <w:r w:rsidR="009E5213" w:rsidRPr="006D2157">
      <w:rPr>
        <w:rFonts w:ascii="Public Sans" w:hAnsi="Public Sans" w:cs="Arial"/>
        <w:sz w:val="18"/>
        <w:szCs w:val="18"/>
      </w:rPr>
      <w:t>Budget Statement</w:t>
    </w:r>
    <w:r w:rsidR="009E5213" w:rsidRPr="006D2157">
      <w:rPr>
        <w:rFonts w:ascii="Public Sans" w:hAnsi="Public Sans" w:cs="Arial"/>
        <w:sz w:val="18"/>
        <w:szCs w:val="18"/>
      </w:rPr>
      <w:tab/>
    </w:r>
    <w:r w:rsidR="00562A18">
      <w:rPr>
        <w:rFonts w:ascii="Public Sans" w:hAnsi="Public Sans" w:cs="Arial"/>
        <w:sz w:val="18"/>
        <w:szCs w:val="18"/>
      </w:rPr>
      <w:t xml:space="preserve">8 - </w:t>
    </w:r>
    <w:r w:rsidR="009E5213" w:rsidRPr="006D2157">
      <w:rPr>
        <w:rFonts w:ascii="Public Sans" w:hAnsi="Public Sans" w:cs="Arial"/>
        <w:sz w:val="18"/>
        <w:szCs w:val="18"/>
      </w:rPr>
      <w:fldChar w:fldCharType="begin"/>
    </w:r>
    <w:r w:rsidR="009E5213" w:rsidRPr="006D2157">
      <w:rPr>
        <w:rFonts w:ascii="Public Sans" w:hAnsi="Public Sans" w:cs="Arial"/>
        <w:sz w:val="18"/>
        <w:szCs w:val="18"/>
      </w:rPr>
      <w:instrText xml:space="preserve"> PAGE   \* MERGEFORMAT </w:instrText>
    </w:r>
    <w:r w:rsidR="009E5213" w:rsidRPr="006D2157">
      <w:rPr>
        <w:rFonts w:ascii="Public Sans" w:hAnsi="Public Sans" w:cs="Arial"/>
        <w:sz w:val="18"/>
        <w:szCs w:val="18"/>
      </w:rPr>
      <w:fldChar w:fldCharType="separate"/>
    </w:r>
    <w:r w:rsidR="009E5213" w:rsidRPr="006D2157">
      <w:rPr>
        <w:rFonts w:ascii="Public Sans" w:hAnsi="Public Sans" w:cs="Arial"/>
        <w:sz w:val="18"/>
        <w:szCs w:val="18"/>
      </w:rPr>
      <w:t>1</w:t>
    </w:r>
    <w:r w:rsidR="009E5213" w:rsidRPr="006D2157">
      <w:rPr>
        <w:rFonts w:ascii="Public Sans" w:hAnsi="Public Sans" w:cs="Arial"/>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1BDC9" w14:textId="3DEEDA4D" w:rsidR="00AB2DCE" w:rsidRPr="008164D2" w:rsidRDefault="00A252FC" w:rsidP="00BB1FB6">
    <w:pPr>
      <w:pBdr>
        <w:top w:val="single" w:sz="4" w:space="4" w:color="auto"/>
      </w:pBdr>
      <w:tabs>
        <w:tab w:val="right" w:pos="9639"/>
      </w:tabs>
      <w:rPr>
        <w:rFonts w:ascii="Public Sans" w:hAnsi="Public Sans" w:cs="Arial"/>
        <w:sz w:val="18"/>
        <w:szCs w:val="18"/>
      </w:rPr>
    </w:pPr>
    <w:r w:rsidRPr="008164D2">
      <w:rPr>
        <w:rFonts w:ascii="Public Sans" w:hAnsi="Public Sans" w:cs="Arial"/>
        <w:sz w:val="18"/>
        <w:szCs w:val="18"/>
      </w:rPr>
      <w:t xml:space="preserve">2025-26 </w:t>
    </w:r>
    <w:r w:rsidR="00146230" w:rsidRPr="008164D2">
      <w:rPr>
        <w:rFonts w:ascii="Public Sans" w:hAnsi="Public Sans" w:cs="Arial"/>
        <w:sz w:val="18"/>
        <w:szCs w:val="18"/>
      </w:rPr>
      <w:t>Budget Statement</w:t>
    </w:r>
    <w:r w:rsidR="009E5213" w:rsidRPr="008164D2">
      <w:rPr>
        <w:rFonts w:ascii="Public Sans" w:hAnsi="Public Sans" w:cs="Arial"/>
        <w:sz w:val="18"/>
        <w:szCs w:val="18"/>
      </w:rPr>
      <w:tab/>
    </w:r>
    <w:r w:rsidR="008D0B20" w:rsidRPr="008164D2">
      <w:rPr>
        <w:rFonts w:ascii="Public Sans" w:hAnsi="Public Sans" w:cs="Arial"/>
        <w:sz w:val="18"/>
        <w:szCs w:val="18"/>
      </w:rPr>
      <w:t>8</w:t>
    </w:r>
    <w:r w:rsidR="009E5213" w:rsidRPr="008164D2">
      <w:rPr>
        <w:rFonts w:ascii="Public Sans" w:hAnsi="Public Sans" w:cs="Arial"/>
        <w:sz w:val="18"/>
        <w:szCs w:val="18"/>
      </w:rPr>
      <w:t xml:space="preserve"> - </w:t>
    </w:r>
    <w:r w:rsidR="009E5213" w:rsidRPr="008164D2">
      <w:rPr>
        <w:rFonts w:ascii="Public Sans" w:hAnsi="Public Sans" w:cs="Arial"/>
        <w:sz w:val="18"/>
        <w:szCs w:val="18"/>
      </w:rPr>
      <w:fldChar w:fldCharType="begin"/>
    </w:r>
    <w:r w:rsidR="009E5213" w:rsidRPr="008164D2">
      <w:rPr>
        <w:rFonts w:ascii="Public Sans" w:hAnsi="Public Sans" w:cs="Arial"/>
        <w:sz w:val="18"/>
        <w:szCs w:val="18"/>
      </w:rPr>
      <w:instrText xml:space="preserve"> PAGE   \* MERGEFORMAT </w:instrText>
    </w:r>
    <w:r w:rsidR="009E5213" w:rsidRPr="008164D2">
      <w:rPr>
        <w:rFonts w:ascii="Public Sans" w:hAnsi="Public Sans" w:cs="Arial"/>
        <w:sz w:val="18"/>
        <w:szCs w:val="18"/>
      </w:rPr>
      <w:fldChar w:fldCharType="separate"/>
    </w:r>
    <w:r w:rsidR="009E5213" w:rsidRPr="008164D2">
      <w:rPr>
        <w:rFonts w:ascii="Public Sans" w:hAnsi="Public Sans" w:cs="Arial"/>
        <w:sz w:val="18"/>
        <w:szCs w:val="18"/>
      </w:rPr>
      <w:t>5</w:t>
    </w:r>
    <w:r w:rsidR="009E5213" w:rsidRPr="008164D2">
      <w:rPr>
        <w:rFonts w:ascii="Public Sans" w:hAnsi="Public Sans"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E45F6" w14:textId="77777777" w:rsidR="00D13C0C" w:rsidRDefault="00D13C0C">
      <w:pPr>
        <w:spacing w:before="120"/>
      </w:pPr>
      <w:r>
        <w:separator/>
      </w:r>
    </w:p>
  </w:footnote>
  <w:footnote w:type="continuationSeparator" w:id="0">
    <w:p w14:paraId="0DE8216F" w14:textId="77777777" w:rsidR="00D13C0C" w:rsidRDefault="00D13C0C">
      <w:pPr>
        <w:spacing w:before="120"/>
      </w:pPr>
      <w:r>
        <w:continuationSeparator/>
      </w:r>
    </w:p>
  </w:footnote>
  <w:footnote w:type="continuationNotice" w:id="1">
    <w:p w14:paraId="3B552588" w14:textId="77777777" w:rsidR="00D13C0C" w:rsidRDefault="00D13C0C">
      <w:pPr>
        <w:rPr>
          <w:sz w:val="16"/>
        </w:rPr>
      </w:pPr>
    </w:p>
  </w:footnote>
  <w:footnote w:id="2">
    <w:p w14:paraId="3E554CAA" w14:textId="03BF7CCC" w:rsidR="00E91B0B" w:rsidRPr="00D96CA5" w:rsidRDefault="00E91B0B" w:rsidP="00D65284">
      <w:pPr>
        <w:pStyle w:val="Footnotestyle"/>
        <w:spacing w:before="20" w:after="20"/>
      </w:pPr>
      <w:r w:rsidRPr="00FE20F5">
        <w:rPr>
          <w:rStyle w:val="FootnoteReference"/>
          <w:szCs w:val="16"/>
        </w:rPr>
        <w:footnoteRef/>
      </w:r>
      <w:r w:rsidRPr="00D64395">
        <w:t xml:space="preserve"> </w:t>
      </w:r>
      <w:r>
        <w:rPr>
          <w:sz w:val="18"/>
          <w:szCs w:val="22"/>
        </w:rPr>
        <w:tab/>
      </w:r>
      <w:r w:rsidRPr="00A15E60">
        <w:t>The superannuation liability can be measured using two Australian Accounting Standards Board (AASB)</w:t>
      </w:r>
      <w:r w:rsidR="00194D76">
        <w:t xml:space="preserve"> standards</w:t>
      </w:r>
      <w:r w:rsidRPr="00A15E60">
        <w:t xml:space="preserve">: </w:t>
      </w:r>
      <w:r w:rsidRPr="00A15E60">
        <w:rPr>
          <w:i/>
        </w:rPr>
        <w:t>AASB119 Employee Benefits</w:t>
      </w:r>
      <w:r w:rsidRPr="00A15E60">
        <w:t xml:space="preserve"> and </w:t>
      </w:r>
      <w:r w:rsidRPr="00A15E60">
        <w:rPr>
          <w:i/>
        </w:rPr>
        <w:t>AASB1056 Superannuation Entities</w:t>
      </w:r>
      <w:r w:rsidRPr="00A15E60">
        <w:t xml:space="preserve">. The superannuation liability reported on the State’s balance </w:t>
      </w:r>
      <w:r w:rsidR="00A56CC4" w:rsidRPr="00A15E60">
        <w:t xml:space="preserve">sheet is the unfunded component and is </w:t>
      </w:r>
      <w:r w:rsidR="009C018A">
        <w:t>reported according to</w:t>
      </w:r>
      <w:r w:rsidRPr="00A15E60">
        <w:t xml:space="preserve"> AASB119.</w:t>
      </w:r>
      <w:r w:rsidR="00A56CC4" w:rsidRPr="00A15E60">
        <w:t xml:space="preserve"> It should be noted that this Accounting Standard creates a larger and more volatile liability than under AASB1056 due to the use of a </w:t>
      </w:r>
      <w:r w:rsidR="00A56CC4">
        <w:t>more</w:t>
      </w:r>
      <w:r w:rsidR="00A56CC4" w:rsidRPr="00A15E60">
        <w:t xml:space="preserve"> conservative </w:t>
      </w:r>
      <w:r w:rsidR="00A56CC4">
        <w:t xml:space="preserve">and variable </w:t>
      </w:r>
      <w:r w:rsidR="00A56CC4" w:rsidRPr="00A15E60">
        <w:t xml:space="preserve">valuation discount rate. AASB1056 is the </w:t>
      </w:r>
      <w:r w:rsidR="00015904">
        <w:t>standard</w:t>
      </w:r>
      <w:r w:rsidR="00A56CC4" w:rsidRPr="00A15E60">
        <w:t xml:space="preserve"> used when assessing the Government’s funding position. </w:t>
      </w:r>
      <w:r w:rsidRPr="00A15E60">
        <w:t xml:space="preserve">The </w:t>
      </w:r>
      <w:r w:rsidR="0091087C">
        <w:t>expected</w:t>
      </w:r>
      <w:r w:rsidR="00A56CC4" w:rsidRPr="00A15E60">
        <w:t xml:space="preserve"> defined benefit superannuation liability</w:t>
      </w:r>
      <w:r w:rsidRPr="00A15E60">
        <w:t xml:space="preserve"> </w:t>
      </w:r>
      <w:r w:rsidR="00C53C2D">
        <w:t xml:space="preserve">for </w:t>
      </w:r>
      <w:r w:rsidR="0091087C">
        <w:t>30 June 2025</w:t>
      </w:r>
      <w:r w:rsidR="00A56CC4" w:rsidRPr="00A15E60">
        <w:t xml:space="preserve"> </w:t>
      </w:r>
      <w:r w:rsidR="007C4E24">
        <w:t xml:space="preserve">is </w:t>
      </w:r>
      <w:r w:rsidR="00A56CC4" w:rsidRPr="00A15E60">
        <w:t xml:space="preserve">unchanged since last year at a projected </w:t>
      </w:r>
      <w:r w:rsidR="00F97E1F" w:rsidRPr="00A15E60">
        <w:t xml:space="preserve">net </w:t>
      </w:r>
      <w:r w:rsidR="00A56CC4" w:rsidRPr="00A15E60">
        <w:t>$37.8 billion</w:t>
      </w:r>
      <w:r w:rsidR="00E85B1C">
        <w:t>.</w:t>
      </w:r>
      <w:r w:rsidR="00A56CC4" w:rsidRPr="00A15E60">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FF757" w14:textId="3F8C6F01" w:rsidR="009E5213" w:rsidRDefault="009026F8" w:rsidP="009026F8">
    <w:pPr>
      <w:pBdr>
        <w:bottom w:val="single" w:sz="4" w:space="4" w:color="auto"/>
      </w:pBdr>
      <w:tabs>
        <w:tab w:val="center" w:pos="4153"/>
        <w:tab w:val="right" w:pos="8306"/>
      </w:tabs>
      <w:spacing w:line="192" w:lineRule="auto"/>
      <w:contextualSpacing/>
    </w:pPr>
    <w:r>
      <w:rPr>
        <w:rFonts w:ascii="Public Sans" w:eastAsia="Calibri" w:hAnsi="Public Sans" w:cs="Arial"/>
        <w:sz w:val="18"/>
        <w:szCs w:val="18"/>
      </w:rPr>
      <w:t xml:space="preserve">Balance </w:t>
    </w:r>
    <w:r w:rsidR="00AE0BA1">
      <w:rPr>
        <w:rFonts w:ascii="Public Sans" w:eastAsia="Calibri" w:hAnsi="Public Sans" w:cs="Arial"/>
        <w:sz w:val="18"/>
        <w:szCs w:val="18"/>
      </w:rPr>
      <w:t>s</w:t>
    </w:r>
    <w:r>
      <w:rPr>
        <w:rFonts w:ascii="Public Sans" w:eastAsia="Calibri" w:hAnsi="Public Sans" w:cs="Arial"/>
        <w:sz w:val="18"/>
        <w:szCs w:val="18"/>
      </w:rPr>
      <w:t>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D4F28" w14:textId="4076E9E6" w:rsidR="009E5213" w:rsidRPr="009E5213" w:rsidRDefault="009026F8" w:rsidP="006D2157">
    <w:pPr>
      <w:pBdr>
        <w:bottom w:val="single" w:sz="4" w:space="4" w:color="auto"/>
      </w:pBdr>
      <w:tabs>
        <w:tab w:val="center" w:pos="4153"/>
        <w:tab w:val="right" w:pos="8306"/>
      </w:tabs>
      <w:spacing w:line="192" w:lineRule="auto"/>
      <w:contextualSpacing/>
      <w:jc w:val="right"/>
      <w:rPr>
        <w:rFonts w:ascii="Arial" w:eastAsia="Calibri" w:hAnsi="Arial" w:cs="Arial"/>
        <w:sz w:val="18"/>
        <w:szCs w:val="18"/>
      </w:rPr>
    </w:pPr>
    <w:r>
      <w:rPr>
        <w:rFonts w:ascii="Public Sans" w:eastAsia="Calibri" w:hAnsi="Public Sans" w:cs="Arial"/>
        <w:sz w:val="18"/>
        <w:szCs w:val="18"/>
      </w:rPr>
      <w:t xml:space="preserve">Balance </w:t>
    </w:r>
    <w:r w:rsidR="00AE0BA1">
      <w:rPr>
        <w:rFonts w:ascii="Public Sans" w:eastAsia="Calibri" w:hAnsi="Public Sans" w:cs="Arial"/>
        <w:sz w:val="18"/>
        <w:szCs w:val="18"/>
      </w:rPr>
      <w:t>s</w:t>
    </w:r>
    <w:r>
      <w:rPr>
        <w:rFonts w:ascii="Public Sans" w:eastAsia="Calibri" w:hAnsi="Public Sans" w:cs="Arial"/>
        <w:sz w:val="18"/>
        <w:szCs w:val="18"/>
      </w:rPr>
      <w:t>heet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F04A0" w14:textId="7062B9D3" w:rsidR="00AB2DCE" w:rsidRDefault="00AB2DC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E2770"/>
    <w:multiLevelType w:val="hybridMultilevel"/>
    <w:tmpl w:val="B1EA0446"/>
    <w:lvl w:ilvl="0" w:tplc="6CB4AA2A">
      <w:start w:val="1"/>
      <w:numFmt w:val="decimal"/>
      <w:pStyle w:val="Box71BoxHeading"/>
      <w:lvlText w:val="Box 7.%1:"/>
      <w:lvlJc w:val="left"/>
      <w:pPr>
        <w:ind w:left="720" w:hanging="360"/>
      </w:pPr>
      <w:rPr>
        <w:rFonts w:ascii="Arial Bold" w:hAnsi="Arial Bold" w:hint="default"/>
        <w:b/>
        <w:i w:val="0"/>
        <w:sz w:val="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B13CE9"/>
    <w:multiLevelType w:val="hybridMultilevel"/>
    <w:tmpl w:val="AC248C1C"/>
    <w:lvl w:ilvl="0" w:tplc="8B92066A">
      <w:start w:val="1"/>
      <w:numFmt w:val="decimal"/>
      <w:pStyle w:val="ChartA1X"/>
      <w:lvlText w:val="Chart A1.%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69716A"/>
    <w:multiLevelType w:val="hybridMultilevel"/>
    <w:tmpl w:val="A306A876"/>
    <w:lvl w:ilvl="0" w:tplc="48183CB4">
      <w:start w:val="1"/>
      <w:numFmt w:val="decimal"/>
      <w:pStyle w:val="A22Heading2"/>
      <w:lvlText w:val="A2.%1"/>
      <w:lvlJc w:val="left"/>
      <w:pPr>
        <w:ind w:left="360" w:hanging="360"/>
      </w:pPr>
      <w:rPr>
        <w:rFonts w:ascii="Public Sans SemiBold" w:hAnsi="Public Sans SemiBold" w:hint="default"/>
        <w:b/>
        <w:bCs/>
        <w:i w:val="0"/>
        <w:color w:val="22272B"/>
        <w:sz w:val="28"/>
        <w:szCs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860651"/>
    <w:multiLevelType w:val="hybridMultilevel"/>
    <w:tmpl w:val="44D895D0"/>
    <w:lvl w:ilvl="0" w:tplc="5672D0E8">
      <w:start w:val="1"/>
      <w:numFmt w:val="decimal"/>
      <w:pStyle w:val="TableA3X"/>
      <w:lvlText w:val="Table A3.%1:"/>
      <w:lvlJc w:val="left"/>
      <w:pPr>
        <w:ind w:left="360" w:hanging="360"/>
      </w:pPr>
      <w:rPr>
        <w:rFonts w:ascii="Public Sans" w:hAnsi="Public Sans" w:hint="default"/>
        <w:b w:val="0"/>
        <w:i/>
        <w:caps w:val="0"/>
        <w:color w:val="000000" w:themeColor="text1"/>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9E3DB3"/>
    <w:multiLevelType w:val="hybridMultilevel"/>
    <w:tmpl w:val="F40654F4"/>
    <w:lvl w:ilvl="0" w:tplc="F902671E">
      <w:start w:val="1"/>
      <w:numFmt w:val="decimal"/>
      <w:pStyle w:val="FigureBX"/>
      <w:lvlText w:val="Figure B.%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DE5882"/>
    <w:multiLevelType w:val="singleLevel"/>
    <w:tmpl w:val="9E9AEE9C"/>
    <w:lvl w:ilvl="0">
      <w:start w:val="1"/>
      <w:numFmt w:val="bullet"/>
      <w:pStyle w:val="ListBullet"/>
      <w:lvlText w:val=""/>
      <w:lvlJc w:val="left"/>
      <w:pPr>
        <w:ind w:left="1211" w:hanging="360"/>
      </w:pPr>
      <w:rPr>
        <w:rFonts w:ascii="Symbol" w:hAnsi="Symbol" w:hint="default"/>
        <w:sz w:val="22"/>
      </w:rPr>
    </w:lvl>
  </w:abstractNum>
  <w:abstractNum w:abstractNumId="6" w15:restartNumberingAfterBreak="0">
    <w:nsid w:val="069D5632"/>
    <w:multiLevelType w:val="multilevel"/>
    <w:tmpl w:val="598EFBEE"/>
    <w:lvl w:ilvl="0">
      <w:start w:val="1"/>
      <w:numFmt w:val="upperLetter"/>
      <w:pStyle w:val="Heading1Appendix"/>
      <w:lvlText w:val="Appendix %1:"/>
      <w:lvlJc w:val="left"/>
      <w:pPr>
        <w:tabs>
          <w:tab w:val="num" w:pos="3657"/>
        </w:tabs>
        <w:ind w:left="1843" w:firstLine="0"/>
      </w:pPr>
      <w:rPr>
        <w:rFonts w:hint="default"/>
        <w:color w:val="002664" w:themeColor="accent1"/>
      </w:rPr>
    </w:lvl>
    <w:lvl w:ilvl="1">
      <w:start w:val="1"/>
      <w:numFmt w:val="none"/>
      <w:lvlText w:val=""/>
      <w:lvlJc w:val="left"/>
      <w:pPr>
        <w:ind w:left="-32767" w:firstLine="0"/>
      </w:pPr>
      <w:rPr>
        <w:rFonts w:hint="default"/>
      </w:rPr>
    </w:lvl>
    <w:lvl w:ilvl="2">
      <w:start w:val="1"/>
      <w:numFmt w:val="none"/>
      <w:lvlText w:val=""/>
      <w:lvlJc w:val="left"/>
      <w:pPr>
        <w:ind w:left="-32767" w:firstLine="0"/>
      </w:pPr>
      <w:rPr>
        <w:rFonts w:hint="default"/>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0" w:firstLine="0"/>
      </w:pPr>
      <w:rPr>
        <w:rFonts w:hint="default"/>
      </w:rPr>
    </w:lvl>
  </w:abstractNum>
  <w:abstractNum w:abstractNumId="7" w15:restartNumberingAfterBreak="0">
    <w:nsid w:val="06BD3C47"/>
    <w:multiLevelType w:val="hybridMultilevel"/>
    <w:tmpl w:val="B2ACFD04"/>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6EF3ACE"/>
    <w:multiLevelType w:val="hybridMultilevel"/>
    <w:tmpl w:val="7A12A570"/>
    <w:lvl w:ilvl="0" w:tplc="C6C88904">
      <w:start w:val="1"/>
      <w:numFmt w:val="decimal"/>
      <w:pStyle w:val="Table7X"/>
      <w:lvlText w:val="Table 7.%1:"/>
      <w:lvlJc w:val="left"/>
      <w:pPr>
        <w:ind w:left="360" w:hanging="360"/>
      </w:pPr>
      <w:rPr>
        <w:rFonts w:ascii="Public Sans" w:hAnsi="Public Sans" w:hint="default"/>
        <w:b w:val="0"/>
        <w:i/>
        <w:caps w:val="0"/>
        <w:color w:val="000000" w:themeColor="text1"/>
        <w:sz w:val="22"/>
        <w:u w:val="none" w:color="4F4F4F"/>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9" w15:restartNumberingAfterBreak="0">
    <w:nsid w:val="0A161376"/>
    <w:multiLevelType w:val="hybridMultilevel"/>
    <w:tmpl w:val="5E347214"/>
    <w:lvl w:ilvl="0" w:tplc="ADFE8268">
      <w:start w:val="1"/>
      <w:numFmt w:val="decimal"/>
      <w:pStyle w:val="TableBX"/>
      <w:lvlText w:val="Table B.%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FD475E7"/>
    <w:multiLevelType w:val="hybridMultilevel"/>
    <w:tmpl w:val="5B207074"/>
    <w:lvl w:ilvl="0" w:tplc="5698A164">
      <w:start w:val="1"/>
      <w:numFmt w:val="decimal"/>
      <w:pStyle w:val="ChartBX"/>
      <w:lvlText w:val="Chart B.%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937B0C"/>
    <w:multiLevelType w:val="hybridMultilevel"/>
    <w:tmpl w:val="9D0A33D4"/>
    <w:lvl w:ilvl="0" w:tplc="F9C001CE">
      <w:start w:val="1"/>
      <w:numFmt w:val="lowerLetter"/>
      <w:lvlText w:val="(%1)"/>
      <w:lvlJc w:val="left"/>
      <w:pPr>
        <w:ind w:left="786" w:hanging="360"/>
      </w:pPr>
      <w:rPr>
        <w:rFonts w:eastAsia="Times New Roman"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2" w15:restartNumberingAfterBreak="0">
    <w:nsid w:val="1268548E"/>
    <w:multiLevelType w:val="hybridMultilevel"/>
    <w:tmpl w:val="E3BA12AC"/>
    <w:lvl w:ilvl="0" w:tplc="C3DA39A0">
      <w:start w:val="1"/>
      <w:numFmt w:val="decimal"/>
      <w:pStyle w:val="Figure7X"/>
      <w:lvlText w:val="Figure 7.%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27833DA"/>
    <w:multiLevelType w:val="hybridMultilevel"/>
    <w:tmpl w:val="F738A88A"/>
    <w:lvl w:ilvl="0" w:tplc="42DA273E">
      <w:start w:val="1"/>
      <w:numFmt w:val="decimal"/>
      <w:pStyle w:val="Table5X"/>
      <w:lvlText w:val="Table 5.%1:"/>
      <w:lvlJc w:val="left"/>
      <w:pPr>
        <w:ind w:left="360" w:hanging="360"/>
      </w:pPr>
      <w:rPr>
        <w:rFonts w:ascii="Public Sans" w:hAnsi="Public Sans" w:hint="default"/>
        <w:b w:val="0"/>
        <w:i/>
        <w:color w:val="000000" w:themeColor="text1"/>
        <w:sz w:val="22"/>
        <w:u w:val="none"/>
      </w:rPr>
    </w:lvl>
    <w:lvl w:ilvl="1" w:tplc="0C090019" w:tentative="1">
      <w:start w:val="1"/>
      <w:numFmt w:val="lowerLetter"/>
      <w:lvlText w:val="%2."/>
      <w:lvlJc w:val="left"/>
      <w:pPr>
        <w:ind w:left="-520" w:hanging="360"/>
      </w:pPr>
    </w:lvl>
    <w:lvl w:ilvl="2" w:tplc="0C09001B" w:tentative="1">
      <w:start w:val="1"/>
      <w:numFmt w:val="lowerRoman"/>
      <w:lvlText w:val="%3."/>
      <w:lvlJc w:val="right"/>
      <w:pPr>
        <w:ind w:left="200" w:hanging="180"/>
      </w:pPr>
    </w:lvl>
    <w:lvl w:ilvl="3" w:tplc="0C09000F" w:tentative="1">
      <w:start w:val="1"/>
      <w:numFmt w:val="decimal"/>
      <w:lvlText w:val="%4."/>
      <w:lvlJc w:val="left"/>
      <w:pPr>
        <w:ind w:left="920" w:hanging="360"/>
      </w:pPr>
    </w:lvl>
    <w:lvl w:ilvl="4" w:tplc="0C090019" w:tentative="1">
      <w:start w:val="1"/>
      <w:numFmt w:val="lowerLetter"/>
      <w:lvlText w:val="%5."/>
      <w:lvlJc w:val="left"/>
      <w:pPr>
        <w:ind w:left="1640" w:hanging="360"/>
      </w:pPr>
    </w:lvl>
    <w:lvl w:ilvl="5" w:tplc="0C09001B" w:tentative="1">
      <w:start w:val="1"/>
      <w:numFmt w:val="lowerRoman"/>
      <w:lvlText w:val="%6."/>
      <w:lvlJc w:val="right"/>
      <w:pPr>
        <w:ind w:left="2360" w:hanging="180"/>
      </w:pPr>
    </w:lvl>
    <w:lvl w:ilvl="6" w:tplc="0C09000F" w:tentative="1">
      <w:start w:val="1"/>
      <w:numFmt w:val="decimal"/>
      <w:lvlText w:val="%7."/>
      <w:lvlJc w:val="left"/>
      <w:pPr>
        <w:ind w:left="3080" w:hanging="360"/>
      </w:pPr>
    </w:lvl>
    <w:lvl w:ilvl="7" w:tplc="0C090019" w:tentative="1">
      <w:start w:val="1"/>
      <w:numFmt w:val="lowerLetter"/>
      <w:lvlText w:val="%8."/>
      <w:lvlJc w:val="left"/>
      <w:pPr>
        <w:ind w:left="3800" w:hanging="360"/>
      </w:pPr>
    </w:lvl>
    <w:lvl w:ilvl="8" w:tplc="0C09001B" w:tentative="1">
      <w:start w:val="1"/>
      <w:numFmt w:val="lowerRoman"/>
      <w:lvlText w:val="%9."/>
      <w:lvlJc w:val="right"/>
      <w:pPr>
        <w:ind w:left="4520" w:hanging="180"/>
      </w:pPr>
    </w:lvl>
  </w:abstractNum>
  <w:abstractNum w:abstractNumId="14"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5" w15:restartNumberingAfterBreak="0">
    <w:nsid w:val="13EC7247"/>
    <w:multiLevelType w:val="hybridMultilevel"/>
    <w:tmpl w:val="85F47778"/>
    <w:lvl w:ilvl="0" w:tplc="D3B09734">
      <w:start w:val="1"/>
      <w:numFmt w:val="lowerLetter"/>
      <w:lvlText w:val="(%1)"/>
      <w:lvlJc w:val="left"/>
      <w:pPr>
        <w:ind w:left="360" w:hanging="360"/>
      </w:pPr>
      <w:rPr>
        <w:rFonts w:ascii="Public Sans" w:hAnsi="Public Sans" w:hint="default"/>
        <w:sz w:val="17"/>
        <w:szCs w:val="17"/>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466487C"/>
    <w:multiLevelType w:val="hybridMultilevel"/>
    <w:tmpl w:val="2954E83C"/>
    <w:lvl w:ilvl="0" w:tplc="0CBE3862">
      <w:start w:val="1"/>
      <w:numFmt w:val="decimal"/>
      <w:pStyle w:val="Figure3X"/>
      <w:lvlText w:val="Figure 3.%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5307FD1"/>
    <w:multiLevelType w:val="hybridMultilevel"/>
    <w:tmpl w:val="D2327D8E"/>
    <w:lvl w:ilvl="0" w:tplc="19DEBB76">
      <w:start w:val="1"/>
      <w:numFmt w:val="decimal"/>
      <w:pStyle w:val="E1Heading2"/>
      <w:lvlText w:val="E.%1"/>
      <w:lvlJc w:val="left"/>
      <w:pPr>
        <w:ind w:left="360" w:hanging="360"/>
      </w:pPr>
      <w:rPr>
        <w:rFonts w:ascii="Public Sans SemiBold" w:hAnsi="Public Sans SemiBold" w:hint="default"/>
        <w:b/>
        <w:bCs/>
        <w:i w:val="0"/>
        <w:color w:val="22272B"/>
        <w:sz w:val="28"/>
        <w:szCs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8942059"/>
    <w:multiLevelType w:val="hybridMultilevel"/>
    <w:tmpl w:val="CD20DBA0"/>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9191467"/>
    <w:multiLevelType w:val="hybridMultilevel"/>
    <w:tmpl w:val="7F6AA046"/>
    <w:lvl w:ilvl="0" w:tplc="052482FA">
      <w:start w:val="1"/>
      <w:numFmt w:val="decimal"/>
      <w:pStyle w:val="Chart8X"/>
      <w:lvlText w:val="Chart 8.%1:"/>
      <w:lvlJc w:val="left"/>
      <w:pPr>
        <w:ind w:left="720" w:hanging="360"/>
      </w:pPr>
      <w:rPr>
        <w:rFonts w:ascii="Public Sans" w:hAnsi="Public Sans" w:hint="default"/>
        <w:b w:val="0"/>
        <w:bCs/>
        <w:i/>
        <w:iCs w:val="0"/>
        <w:caps w:val="0"/>
        <w:strike w:val="0"/>
        <w:dstrike w:val="0"/>
        <w:vanish w:val="0"/>
        <w:color w:val="000000" w:themeColor="text1"/>
        <w:spacing w:val="0"/>
        <w:kern w:val="0"/>
        <w:position w:val="0"/>
        <w:sz w:val="22"/>
        <w:u w:val="none" w:color="00ABE6"/>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96A331C"/>
    <w:multiLevelType w:val="hybridMultilevel"/>
    <w:tmpl w:val="F2846800"/>
    <w:lvl w:ilvl="0" w:tplc="3B2C88EE">
      <w:start w:val="1"/>
      <w:numFmt w:val="decimal"/>
      <w:pStyle w:val="TableDX"/>
      <w:lvlText w:val="Table D.%1:"/>
      <w:lvlJc w:val="left"/>
      <w:pPr>
        <w:ind w:left="720" w:hanging="360"/>
      </w:pPr>
      <w:rPr>
        <w:rFonts w:ascii="Arial" w:hAnsi="Arial"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AA42C39"/>
    <w:multiLevelType w:val="hybridMultilevel"/>
    <w:tmpl w:val="CE261AB4"/>
    <w:lvl w:ilvl="0" w:tplc="E56E4134">
      <w:start w:val="1"/>
      <w:numFmt w:val="decimal"/>
      <w:pStyle w:val="91Heading2"/>
      <w:lvlText w:val="9.%1"/>
      <w:lvlJc w:val="left"/>
      <w:pPr>
        <w:ind w:left="360" w:hanging="360"/>
      </w:pPr>
      <w:rPr>
        <w:rFonts w:ascii="Public Sans SemiBold" w:hAnsi="Public Sans SemiBold" w:hint="default"/>
        <w:b/>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23" w15:restartNumberingAfterBreak="0">
    <w:nsid w:val="21881AE8"/>
    <w:multiLevelType w:val="hybridMultilevel"/>
    <w:tmpl w:val="F1F85722"/>
    <w:lvl w:ilvl="0" w:tplc="9FF297C0">
      <w:start w:val="1"/>
      <w:numFmt w:val="decimal"/>
      <w:pStyle w:val="Figure9X"/>
      <w:lvlText w:val="Figure 9.%1:"/>
      <w:lvlJc w:val="left"/>
      <w:pPr>
        <w:ind w:left="72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2597091"/>
    <w:multiLevelType w:val="hybridMultilevel"/>
    <w:tmpl w:val="CA280490"/>
    <w:lvl w:ilvl="0" w:tplc="64687C18">
      <w:start w:val="1"/>
      <w:numFmt w:val="decimal"/>
      <w:pStyle w:val="ChartA5X"/>
      <w:lvlText w:val="Chart A5.%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4BA3451"/>
    <w:multiLevelType w:val="hybridMultilevel"/>
    <w:tmpl w:val="2DFEB6D0"/>
    <w:lvl w:ilvl="0" w:tplc="0824AB2A">
      <w:start w:val="1"/>
      <w:numFmt w:val="decimal"/>
      <w:pStyle w:val="FigureA4X"/>
      <w:lvlText w:val="Figure A4.%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5DE7142"/>
    <w:multiLevelType w:val="hybridMultilevel"/>
    <w:tmpl w:val="EC3A2B78"/>
    <w:lvl w:ilvl="0" w:tplc="D766E920">
      <w:start w:val="1"/>
      <w:numFmt w:val="decimal"/>
      <w:pStyle w:val="TableA1X"/>
      <w:lvlText w:val="Table A1.%1:"/>
      <w:lvlJc w:val="left"/>
      <w:pPr>
        <w:ind w:left="360" w:hanging="360"/>
      </w:pPr>
      <w:rPr>
        <w:rFonts w:ascii="Public Sans" w:hAnsi="Public Sans" w:hint="default"/>
        <w:b w:val="0"/>
        <w:i/>
        <w:caps w:val="0"/>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7856019"/>
    <w:multiLevelType w:val="hybridMultilevel"/>
    <w:tmpl w:val="EE90CE46"/>
    <w:lvl w:ilvl="0" w:tplc="3A8EDC52">
      <w:start w:val="1"/>
      <w:numFmt w:val="bullet"/>
      <w:pStyle w:val="Bullet1inabox"/>
      <w:lvlText w:val=""/>
      <w:lvlJc w:val="left"/>
      <w:pPr>
        <w:ind w:left="360" w:hanging="360"/>
      </w:pPr>
      <w:rPr>
        <w:rFonts w:ascii="Wingdings" w:hAnsi="Wingdings" w:hint="default"/>
        <w:color w:val="790013"/>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9846FD5"/>
    <w:multiLevelType w:val="hybridMultilevel"/>
    <w:tmpl w:val="E3BAF90A"/>
    <w:lvl w:ilvl="0" w:tplc="50D43638">
      <w:start w:val="1"/>
      <w:numFmt w:val="decimal"/>
      <w:pStyle w:val="B1Heading2"/>
      <w:lvlText w:val="B.%1"/>
      <w:lvlJc w:val="left"/>
      <w:pPr>
        <w:ind w:left="360" w:hanging="360"/>
      </w:pPr>
      <w:rPr>
        <w:rFonts w:ascii="Public Sans SemiBold" w:hAnsi="Public Sans SemiBold" w:hint="default"/>
        <w:b/>
        <w:bCs w:val="0"/>
        <w:i w:val="0"/>
        <w:iCs w:val="0"/>
        <w:caps w:val="0"/>
        <w:strike w:val="0"/>
        <w:dstrike w:val="0"/>
        <w:vanish w:val="0"/>
        <w:color w:val="22272B"/>
        <w:spacing w:val="0"/>
        <w:kern w:val="0"/>
        <w:position w:val="0"/>
        <w:sz w:val="28"/>
        <w:szCs w:val="22"/>
        <w:u w:val="none" w:color="00ABE6"/>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C16028F"/>
    <w:multiLevelType w:val="hybridMultilevel"/>
    <w:tmpl w:val="FAECE970"/>
    <w:lvl w:ilvl="0" w:tplc="B1767D20">
      <w:start w:val="1"/>
      <w:numFmt w:val="decimal"/>
      <w:pStyle w:val="ChartA4X"/>
      <w:lvlText w:val="Chart A4.%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DA67470"/>
    <w:multiLevelType w:val="hybridMultilevel"/>
    <w:tmpl w:val="E1064F3E"/>
    <w:lvl w:ilvl="0" w:tplc="33A22FD4">
      <w:start w:val="1"/>
      <w:numFmt w:val="decimal"/>
      <w:pStyle w:val="FigureA3X"/>
      <w:lvlText w:val="Figure A3.%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EB35209"/>
    <w:multiLevelType w:val="hybridMultilevel"/>
    <w:tmpl w:val="071640E4"/>
    <w:lvl w:ilvl="0" w:tplc="ABA0A902">
      <w:start w:val="1"/>
      <w:numFmt w:val="decimal"/>
      <w:pStyle w:val="Table6X"/>
      <w:lvlText w:val="Table 6.%1:"/>
      <w:lvlJc w:val="left"/>
      <w:pPr>
        <w:ind w:left="360" w:hanging="360"/>
      </w:pPr>
      <w:rPr>
        <w:rFonts w:ascii="Public Sans" w:hAnsi="Public Sans" w:hint="default"/>
        <w:b w:val="0"/>
        <w:i/>
        <w:caps w:val="0"/>
        <w:color w:val="000000" w:themeColor="text1"/>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EC46124"/>
    <w:multiLevelType w:val="hybridMultilevel"/>
    <w:tmpl w:val="3558CCF0"/>
    <w:lvl w:ilvl="0" w:tplc="6C80D15A">
      <w:start w:val="1"/>
      <w:numFmt w:val="decimal"/>
      <w:pStyle w:val="Figure4X"/>
      <w:lvlText w:val="Figure 4.%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0E73AFC"/>
    <w:multiLevelType w:val="hybridMultilevel"/>
    <w:tmpl w:val="CD04C2E8"/>
    <w:lvl w:ilvl="0" w:tplc="B448A04A">
      <w:start w:val="1"/>
      <w:numFmt w:val="decimal"/>
      <w:pStyle w:val="41Heading2"/>
      <w:lvlText w:val="4.%1"/>
      <w:lvlJc w:val="left"/>
      <w:pPr>
        <w:ind w:left="360" w:hanging="360"/>
      </w:pPr>
      <w:rPr>
        <w:rFonts w:ascii="Public Sans SemiBold" w:hAnsi="Public Sans SemiBold" w:cs="Arial" w:hint="default"/>
        <w:b/>
        <w:bCs/>
        <w:i w:val="0"/>
        <w:iCs w:val="0"/>
        <w:caps w:val="0"/>
        <w:strike w:val="0"/>
        <w:dstrike w:val="0"/>
        <w:vanish w:val="0"/>
        <w:color w:val="22272B"/>
        <w:spacing w:val="0"/>
        <w:kern w:val="0"/>
        <w:position w:val="0"/>
        <w:sz w:val="28"/>
        <w:szCs w:val="22"/>
        <w:u w:val="none" w:color="008EBA"/>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1D329E6"/>
    <w:multiLevelType w:val="hybridMultilevel"/>
    <w:tmpl w:val="1936A206"/>
    <w:lvl w:ilvl="0" w:tplc="5F189EF8">
      <w:start w:val="1"/>
      <w:numFmt w:val="bullet"/>
      <w:pStyle w:val="Bullet2inabox"/>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20F238E"/>
    <w:multiLevelType w:val="hybridMultilevel"/>
    <w:tmpl w:val="9D1011A0"/>
    <w:lvl w:ilvl="0" w:tplc="E8FA7E68">
      <w:start w:val="1"/>
      <w:numFmt w:val="decimal"/>
      <w:pStyle w:val="FigureA2X"/>
      <w:lvlText w:val="Figure A2.%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2B327C4"/>
    <w:multiLevelType w:val="hybridMultilevel"/>
    <w:tmpl w:val="E162115A"/>
    <w:lvl w:ilvl="0" w:tplc="06205E1A">
      <w:start w:val="1"/>
      <w:numFmt w:val="decimal"/>
      <w:pStyle w:val="81Heading2"/>
      <w:lvlText w:val="8.%1"/>
      <w:lvlJc w:val="left"/>
      <w:pPr>
        <w:ind w:left="360" w:hanging="360"/>
      </w:pPr>
      <w:rPr>
        <w:rFonts w:ascii="Public Sans SemiBold" w:hAnsi="Public Sans SemiBold" w:hint="default"/>
        <w:b/>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2D55888"/>
    <w:multiLevelType w:val="hybridMultilevel"/>
    <w:tmpl w:val="DBBC6C70"/>
    <w:lvl w:ilvl="0" w:tplc="92B01484">
      <w:start w:val="1"/>
      <w:numFmt w:val="decimal"/>
      <w:pStyle w:val="Table4X"/>
      <w:lvlText w:val="Table 4.%1:"/>
      <w:lvlJc w:val="left"/>
      <w:pPr>
        <w:ind w:left="360" w:hanging="360"/>
      </w:pPr>
      <w:rPr>
        <w:rFonts w:ascii="Public Sans" w:hAnsi="Public Sans" w:hint="default"/>
        <w:b w:val="0"/>
        <w:i/>
        <w:caps w:val="0"/>
        <w:color w:val="000000" w:themeColor="text1"/>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39" w15:restartNumberingAfterBreak="0">
    <w:nsid w:val="37A618EB"/>
    <w:multiLevelType w:val="hybridMultilevel"/>
    <w:tmpl w:val="D8EEE396"/>
    <w:lvl w:ilvl="0" w:tplc="F39895B2">
      <w:start w:val="1"/>
      <w:numFmt w:val="decimal"/>
      <w:pStyle w:val="Chart2X"/>
      <w:lvlText w:val="Chart 2.%1:"/>
      <w:lvlJc w:val="left"/>
      <w:pPr>
        <w:ind w:left="360" w:hanging="360"/>
      </w:pPr>
      <w:rPr>
        <w:rFonts w:ascii="Public Sans" w:hAnsi="Public Sans" w:cs="Arial" w:hint="default"/>
        <w:b w:val="0"/>
        <w:i/>
        <w:caps w:val="0"/>
        <w:color w:val="000000" w:themeColor="text1"/>
        <w:sz w:val="22"/>
        <w:szCs w:val="22"/>
        <w:u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7B425B1"/>
    <w:multiLevelType w:val="hybridMultilevel"/>
    <w:tmpl w:val="8C8AF5BC"/>
    <w:lvl w:ilvl="0" w:tplc="96CA6E4C">
      <w:start w:val="1"/>
      <w:numFmt w:val="decimal"/>
      <w:pStyle w:val="TableA2X"/>
      <w:lvlText w:val="Table A2.%1:"/>
      <w:lvlJc w:val="left"/>
      <w:pPr>
        <w:ind w:left="360" w:hanging="360"/>
      </w:pPr>
      <w:rPr>
        <w:rFonts w:ascii="Public Sans" w:hAnsi="Public Sans" w:hint="default"/>
        <w:b w:val="0"/>
        <w:i/>
        <w:caps w:val="0"/>
        <w:color w:val="000000" w:themeColor="text1"/>
        <w:sz w:val="22"/>
        <w:u w:val="none"/>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1" w15:restartNumberingAfterBreak="0">
    <w:nsid w:val="3AC54CD5"/>
    <w:multiLevelType w:val="hybridMultilevel"/>
    <w:tmpl w:val="8C5C4842"/>
    <w:lvl w:ilvl="0" w:tplc="50E00E4C">
      <w:start w:val="1"/>
      <w:numFmt w:val="decimal"/>
      <w:pStyle w:val="ChartA2X"/>
      <w:lvlText w:val="Chart A2.%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DF944FB"/>
    <w:multiLevelType w:val="singleLevel"/>
    <w:tmpl w:val="96863882"/>
    <w:lvl w:ilvl="0">
      <w:start w:val="1"/>
      <w:numFmt w:val="bullet"/>
      <w:pStyle w:val="Bullet4"/>
      <w:lvlText w:val=""/>
      <w:lvlJc w:val="left"/>
      <w:pPr>
        <w:tabs>
          <w:tab w:val="num" w:pos="1701"/>
        </w:tabs>
        <w:ind w:left="1701" w:hanging="425"/>
      </w:pPr>
      <w:rPr>
        <w:rFonts w:ascii="Symbol" w:hAnsi="Symbol" w:hint="default"/>
        <w:sz w:val="22"/>
      </w:rPr>
    </w:lvl>
  </w:abstractNum>
  <w:abstractNum w:abstractNumId="43" w15:restartNumberingAfterBreak="0">
    <w:nsid w:val="3F765FA8"/>
    <w:multiLevelType w:val="hybridMultilevel"/>
    <w:tmpl w:val="DC5C70FA"/>
    <w:lvl w:ilvl="0" w:tplc="B3A08AA6">
      <w:start w:val="1"/>
      <w:numFmt w:val="decimal"/>
      <w:pStyle w:val="Box8XBoxHeading"/>
      <w:lvlText w:val="Box 8.%1:"/>
      <w:lvlJc w:val="left"/>
      <w:pPr>
        <w:ind w:left="360" w:hanging="360"/>
      </w:pPr>
      <w:rPr>
        <w:rFonts w:ascii="Public Sans SemiBold" w:hAnsi="Public Sans SemiBold" w:hint="default"/>
        <w:b/>
        <w:bCs/>
        <w:i w:val="0"/>
        <w:iCs w:val="0"/>
        <w:caps w:val="0"/>
        <w:strike w:val="0"/>
        <w:dstrike w:val="0"/>
        <w:vanish w:val="0"/>
        <w:color w:val="000000" w:themeColor="text1"/>
        <w:spacing w:val="0"/>
        <w:kern w:val="0"/>
        <w:position w:val="0"/>
        <w:sz w:val="22"/>
        <w:u w:val="none" w:color="00ABE6"/>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402373E"/>
    <w:multiLevelType w:val="hybridMultilevel"/>
    <w:tmpl w:val="CC544C06"/>
    <w:lvl w:ilvl="0" w:tplc="371822F0">
      <w:start w:val="1"/>
      <w:numFmt w:val="decimal"/>
      <w:pStyle w:val="C1Heading2"/>
      <w:lvlText w:val="C.%1"/>
      <w:lvlJc w:val="left"/>
      <w:pPr>
        <w:ind w:left="360" w:hanging="360"/>
      </w:pPr>
      <w:rPr>
        <w:rFonts w:ascii="Public Sans SemiBold" w:hAnsi="Public Sans SemiBold" w:hint="default"/>
        <w:b/>
        <w:bCs/>
        <w:i w:val="0"/>
        <w:color w:val="000000" w:themeColor="text1"/>
        <w:sz w:val="28"/>
        <w:szCs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4455AFC"/>
    <w:multiLevelType w:val="hybridMultilevel"/>
    <w:tmpl w:val="593CAE2E"/>
    <w:lvl w:ilvl="0" w:tplc="ACA6E694">
      <w:start w:val="1"/>
      <w:numFmt w:val="decimal"/>
      <w:pStyle w:val="A11Heading2"/>
      <w:lvlText w:val="A1.%1"/>
      <w:lvlJc w:val="left"/>
      <w:pPr>
        <w:ind w:left="720" w:hanging="360"/>
      </w:pPr>
      <w:rPr>
        <w:rFonts w:ascii="Public Sans" w:hAnsi="Public Sans" w:hint="default"/>
        <w:b/>
        <w:bCs/>
        <w:i w:val="0"/>
        <w:color w:val="22272B"/>
        <w:sz w:val="28"/>
        <w:szCs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55F00C6"/>
    <w:multiLevelType w:val="hybridMultilevel"/>
    <w:tmpl w:val="C150B9FC"/>
    <w:lvl w:ilvl="0" w:tplc="503EBDEA">
      <w:start w:val="1"/>
      <w:numFmt w:val="decimal"/>
      <w:pStyle w:val="61Heading2"/>
      <w:lvlText w:val="6.%1"/>
      <w:lvlJc w:val="left"/>
      <w:pPr>
        <w:ind w:left="360" w:hanging="360"/>
      </w:pPr>
      <w:rPr>
        <w:rFonts w:ascii="Public Sans SemiBold" w:hAnsi="Public Sans SemiBold" w:cs="Arial" w:hint="default"/>
        <w:b/>
        <w:bCs w:val="0"/>
        <w:i w:val="0"/>
        <w:iCs w:val="0"/>
        <w:caps w:val="0"/>
        <w:strike w:val="0"/>
        <w:dstrike w:val="0"/>
        <w:vanish w:val="0"/>
        <w:color w:val="22272B"/>
        <w:spacing w:val="0"/>
        <w:kern w:val="0"/>
        <w:position w:val="0"/>
        <w:sz w:val="28"/>
        <w:szCs w:val="22"/>
        <w:u w:val="none" w:color="008EBA"/>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57303A6"/>
    <w:multiLevelType w:val="hybridMultilevel"/>
    <w:tmpl w:val="F044E862"/>
    <w:lvl w:ilvl="0" w:tplc="66E848B2">
      <w:start w:val="1"/>
      <w:numFmt w:val="decimal"/>
      <w:pStyle w:val="51Heading2"/>
      <w:lvlText w:val="5.%1"/>
      <w:lvlJc w:val="left"/>
      <w:pPr>
        <w:ind w:left="360" w:hanging="360"/>
      </w:pPr>
      <w:rPr>
        <w:rFonts w:ascii="Public Sans SemiBold" w:hAnsi="Public Sans SemiBold" w:cs="Arial" w:hint="default"/>
        <w:b/>
        <w:bCs w:val="0"/>
        <w:i w:val="0"/>
        <w:iCs w:val="0"/>
        <w:caps w:val="0"/>
        <w:strike w:val="0"/>
        <w:dstrike w:val="0"/>
        <w:vanish w:val="0"/>
        <w:color w:val="22272B"/>
        <w:spacing w:val="0"/>
        <w:kern w:val="0"/>
        <w:position w:val="0"/>
        <w:sz w:val="28"/>
        <w:szCs w:val="22"/>
        <w:u w:val="none" w:color="008EBA"/>
        <w:effect w:val="none"/>
        <w:vertAlign w:val="baseline"/>
        <w:em w:val="none"/>
      </w:rPr>
    </w:lvl>
    <w:lvl w:ilvl="1" w:tplc="0C090019" w:tentative="1">
      <w:start w:val="1"/>
      <w:numFmt w:val="lowerLetter"/>
      <w:lvlText w:val="%2."/>
      <w:lvlJc w:val="left"/>
      <w:pPr>
        <w:ind w:left="-1821" w:hanging="360"/>
      </w:pPr>
    </w:lvl>
    <w:lvl w:ilvl="2" w:tplc="0C09001B" w:tentative="1">
      <w:start w:val="1"/>
      <w:numFmt w:val="lowerRoman"/>
      <w:lvlText w:val="%3."/>
      <w:lvlJc w:val="right"/>
      <w:pPr>
        <w:ind w:left="-1101" w:hanging="180"/>
      </w:pPr>
    </w:lvl>
    <w:lvl w:ilvl="3" w:tplc="0C09000F" w:tentative="1">
      <w:start w:val="1"/>
      <w:numFmt w:val="decimal"/>
      <w:lvlText w:val="%4."/>
      <w:lvlJc w:val="left"/>
      <w:pPr>
        <w:ind w:left="-381" w:hanging="360"/>
      </w:pPr>
    </w:lvl>
    <w:lvl w:ilvl="4" w:tplc="0C090019" w:tentative="1">
      <w:start w:val="1"/>
      <w:numFmt w:val="lowerLetter"/>
      <w:lvlText w:val="%5."/>
      <w:lvlJc w:val="left"/>
      <w:pPr>
        <w:ind w:left="339" w:hanging="360"/>
      </w:pPr>
    </w:lvl>
    <w:lvl w:ilvl="5" w:tplc="0C09001B" w:tentative="1">
      <w:start w:val="1"/>
      <w:numFmt w:val="lowerRoman"/>
      <w:lvlText w:val="%6."/>
      <w:lvlJc w:val="right"/>
      <w:pPr>
        <w:ind w:left="1059" w:hanging="180"/>
      </w:pPr>
    </w:lvl>
    <w:lvl w:ilvl="6" w:tplc="0C09000F" w:tentative="1">
      <w:start w:val="1"/>
      <w:numFmt w:val="decimal"/>
      <w:lvlText w:val="%7."/>
      <w:lvlJc w:val="left"/>
      <w:pPr>
        <w:ind w:left="1779" w:hanging="360"/>
      </w:pPr>
    </w:lvl>
    <w:lvl w:ilvl="7" w:tplc="0C090019" w:tentative="1">
      <w:start w:val="1"/>
      <w:numFmt w:val="lowerLetter"/>
      <w:lvlText w:val="%8."/>
      <w:lvlJc w:val="left"/>
      <w:pPr>
        <w:ind w:left="2499" w:hanging="360"/>
      </w:pPr>
    </w:lvl>
    <w:lvl w:ilvl="8" w:tplc="0C09001B" w:tentative="1">
      <w:start w:val="1"/>
      <w:numFmt w:val="lowerRoman"/>
      <w:lvlText w:val="%9."/>
      <w:lvlJc w:val="right"/>
      <w:pPr>
        <w:ind w:left="3219" w:hanging="180"/>
      </w:pPr>
    </w:lvl>
  </w:abstractNum>
  <w:abstractNum w:abstractNumId="48" w15:restartNumberingAfterBreak="0">
    <w:nsid w:val="45CD10BF"/>
    <w:multiLevelType w:val="hybridMultilevel"/>
    <w:tmpl w:val="A43C443C"/>
    <w:lvl w:ilvl="0" w:tplc="D9C019D8">
      <w:start w:val="1"/>
      <w:numFmt w:val="decimal"/>
      <w:pStyle w:val="Figure5X"/>
      <w:lvlText w:val="Figure 5.%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6432C24"/>
    <w:multiLevelType w:val="hybridMultilevel"/>
    <w:tmpl w:val="3648BD6A"/>
    <w:lvl w:ilvl="0" w:tplc="82C4F804">
      <w:start w:val="1"/>
      <w:numFmt w:val="decimal"/>
      <w:pStyle w:val="FigureEX"/>
      <w:lvlText w:val="Figure E.%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71C3199"/>
    <w:multiLevelType w:val="hybridMultilevel"/>
    <w:tmpl w:val="78A8415A"/>
    <w:lvl w:ilvl="0" w:tplc="838C110E">
      <w:start w:val="1"/>
      <w:numFmt w:val="decimal"/>
      <w:pStyle w:val="A31Heading2"/>
      <w:lvlText w:val="A3.%1"/>
      <w:lvlJc w:val="left"/>
      <w:pPr>
        <w:ind w:left="360" w:hanging="360"/>
      </w:pPr>
      <w:rPr>
        <w:rFonts w:ascii="Public Sans SemiBold" w:hAnsi="Public Sans SemiBold" w:hint="default"/>
        <w:b/>
        <w:bCs/>
        <w:i w:val="0"/>
        <w:color w:val="22272B"/>
        <w:sz w:val="28"/>
        <w:szCs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90D3232"/>
    <w:multiLevelType w:val="hybridMultilevel"/>
    <w:tmpl w:val="98AC798A"/>
    <w:lvl w:ilvl="0" w:tplc="DD3CD220">
      <w:start w:val="1"/>
      <w:numFmt w:val="decimal"/>
      <w:pStyle w:val="Chart4X"/>
      <w:lvlText w:val="Chart 4.%1:"/>
      <w:lvlJc w:val="left"/>
      <w:pPr>
        <w:ind w:left="360" w:hanging="360"/>
      </w:pPr>
      <w:rPr>
        <w:rFonts w:ascii="Public Sans" w:hAnsi="Public Sans" w:cs="Arial" w:hint="default"/>
        <w:b w:val="0"/>
        <w:i/>
        <w:caps w:val="0"/>
        <w:color w:val="000000" w:themeColor="text1"/>
        <w:sz w:val="22"/>
        <w:szCs w:val="22"/>
        <w:u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9352F38"/>
    <w:multiLevelType w:val="hybridMultilevel"/>
    <w:tmpl w:val="B4EAE738"/>
    <w:lvl w:ilvl="0" w:tplc="FD5EA6F2">
      <w:start w:val="1"/>
      <w:numFmt w:val="decimal"/>
      <w:pStyle w:val="31Heading2"/>
      <w:lvlText w:val="3.%1"/>
      <w:lvlJc w:val="left"/>
      <w:pPr>
        <w:ind w:left="360" w:hanging="360"/>
      </w:pPr>
      <w:rPr>
        <w:rFonts w:ascii="Public Sans SemiBold" w:hAnsi="Public Sans SemiBold" w:cs="Arial" w:hint="default"/>
        <w:b/>
        <w:bCs/>
        <w:i w:val="0"/>
        <w:iCs w:val="0"/>
        <w:caps w:val="0"/>
        <w:strike w:val="0"/>
        <w:dstrike w:val="0"/>
        <w:vanish w:val="0"/>
        <w:color w:val="22272B"/>
        <w:spacing w:val="0"/>
        <w:kern w:val="0"/>
        <w:position w:val="0"/>
        <w:sz w:val="28"/>
        <w:szCs w:val="22"/>
        <w:u w:val="none" w:color="008EBA"/>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9795CAD"/>
    <w:multiLevelType w:val="hybridMultilevel"/>
    <w:tmpl w:val="A808D704"/>
    <w:lvl w:ilvl="0" w:tplc="28E42E52">
      <w:start w:val="1"/>
      <w:numFmt w:val="decimal"/>
      <w:pStyle w:val="Box7XBoxHeading"/>
      <w:lvlText w:val="Box 7.%1:"/>
      <w:lvlJc w:val="left"/>
      <w:pPr>
        <w:ind w:left="360" w:hanging="360"/>
      </w:pPr>
      <w:rPr>
        <w:rFonts w:ascii="Public Sans SemiBold" w:hAnsi="Public Sans SemiBold" w:hint="default"/>
        <w:b/>
        <w:bCs/>
        <w:i w:val="0"/>
        <w:iCs w:val="0"/>
        <w:caps w:val="0"/>
        <w:smallCaps w:val="0"/>
        <w:strike w:val="0"/>
        <w:dstrike w:val="0"/>
        <w:noProof w:val="0"/>
        <w:vanish w:val="0"/>
        <w:color w:val="000000" w:themeColor="text1"/>
        <w:spacing w:val="0"/>
        <w:kern w:val="0"/>
        <w:position w:val="0"/>
        <w:sz w:val="22"/>
        <w:u w:val="none" w:color="00ABE6"/>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A362CA4"/>
    <w:multiLevelType w:val="hybridMultilevel"/>
    <w:tmpl w:val="AB72C9B2"/>
    <w:lvl w:ilvl="0" w:tplc="CD9C53F4">
      <w:start w:val="1"/>
      <w:numFmt w:val="decimal"/>
      <w:pStyle w:val="Table1X"/>
      <w:lvlText w:val="Table 1.%1:"/>
      <w:lvlJc w:val="left"/>
      <w:pPr>
        <w:ind w:left="720" w:hanging="360"/>
      </w:pPr>
      <w:rPr>
        <w:rFonts w:ascii="Arial" w:hAnsi="Arial"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AB83096"/>
    <w:multiLevelType w:val="hybridMultilevel"/>
    <w:tmpl w:val="47A26D28"/>
    <w:lvl w:ilvl="0" w:tplc="CFDCDEE8">
      <w:start w:val="1"/>
      <w:numFmt w:val="decimal"/>
      <w:pStyle w:val="ChartA3X"/>
      <w:lvlText w:val="Chart A3.%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BFB1DA3"/>
    <w:multiLevelType w:val="hybridMultilevel"/>
    <w:tmpl w:val="D5BC4898"/>
    <w:lvl w:ilvl="0" w:tplc="FDE2826A">
      <w:start w:val="1"/>
      <w:numFmt w:val="decimal"/>
      <w:pStyle w:val="Box3XBoxHeading"/>
      <w:lvlText w:val="Box 3.%1:"/>
      <w:lvlJc w:val="left"/>
      <w:pPr>
        <w:ind w:left="360" w:hanging="360"/>
      </w:pPr>
      <w:rPr>
        <w:rFonts w:ascii="Public Sans SemiBold" w:hAnsi="Public Sans SemiBold" w:hint="default"/>
        <w:b/>
        <w:bCs/>
        <w:i w:val="0"/>
        <w:iCs w:val="0"/>
        <w:caps w:val="0"/>
        <w:strike w:val="0"/>
        <w:dstrike w:val="0"/>
        <w:vanish w:val="0"/>
        <w:color w:val="000000" w:themeColor="text1"/>
        <w:spacing w:val="0"/>
        <w:kern w:val="0"/>
        <w:position w:val="0"/>
        <w:sz w:val="22"/>
        <w:u w:val="none" w:color="00ABE6"/>
        <w:effect w:val="none"/>
        <w:vertAlign w:val="baseline"/>
        <w:em w:val="none"/>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57" w15:restartNumberingAfterBreak="0">
    <w:nsid w:val="4DCA7ED8"/>
    <w:multiLevelType w:val="hybridMultilevel"/>
    <w:tmpl w:val="1D743A2E"/>
    <w:lvl w:ilvl="0" w:tplc="C68C75B4">
      <w:start w:val="1"/>
      <w:numFmt w:val="decimal"/>
      <w:pStyle w:val="Table2X"/>
      <w:lvlText w:val="Table 2.%1:"/>
      <w:lvlJc w:val="left"/>
      <w:pPr>
        <w:ind w:left="360" w:hanging="360"/>
      </w:pPr>
      <w:rPr>
        <w:rFonts w:ascii="Public Sans" w:hAnsi="Public Sans" w:hint="default"/>
        <w:b w:val="0"/>
        <w:i/>
        <w:sz w:val="22"/>
        <w:u w:color="4F4F4F"/>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8" w15:restartNumberingAfterBreak="0">
    <w:nsid w:val="50D536D6"/>
    <w:multiLevelType w:val="hybridMultilevel"/>
    <w:tmpl w:val="A3DA7216"/>
    <w:lvl w:ilvl="0" w:tplc="62A83A3E">
      <w:start w:val="1"/>
      <w:numFmt w:val="decimal"/>
      <w:pStyle w:val="Box5XBoxHeading"/>
      <w:lvlText w:val="Box 5.%1:"/>
      <w:lvlJc w:val="left"/>
      <w:pPr>
        <w:ind w:left="360" w:hanging="360"/>
      </w:pPr>
      <w:rPr>
        <w:rFonts w:ascii="Public Sans SemiBold" w:hAnsi="Public Sans SemiBold" w:cs="Times New Roman" w:hint="default"/>
        <w:b/>
        <w:bCs/>
        <w:i w:val="0"/>
        <w:caps w:val="0"/>
        <w:color w:val="000000" w:themeColor="text1"/>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2BD70C2"/>
    <w:multiLevelType w:val="hybridMultilevel"/>
    <w:tmpl w:val="EA2E8C36"/>
    <w:lvl w:ilvl="0" w:tplc="98C650BE">
      <w:start w:val="1"/>
      <w:numFmt w:val="bullet"/>
      <w:pStyle w:val="Bullet2"/>
      <w:lvlText w:val="–"/>
      <w:lvlJc w:val="left"/>
      <w:pPr>
        <w:tabs>
          <w:tab w:val="num" w:pos="785"/>
        </w:tabs>
        <w:ind w:left="785" w:hanging="360"/>
      </w:pPr>
      <w:rPr>
        <w:rFonts w:ascii="Arial" w:hAnsi="Arial" w:cs="Aria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1" w15:restartNumberingAfterBreak="0">
    <w:nsid w:val="54F164B4"/>
    <w:multiLevelType w:val="hybridMultilevel"/>
    <w:tmpl w:val="0DA4C508"/>
    <w:lvl w:ilvl="0" w:tplc="B7604FCE">
      <w:start w:val="1"/>
      <w:numFmt w:val="decimal"/>
      <w:pStyle w:val="ChartCX"/>
      <w:lvlText w:val="Chart C.%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5D6282E"/>
    <w:multiLevelType w:val="hybridMultilevel"/>
    <w:tmpl w:val="49D27520"/>
    <w:lvl w:ilvl="0" w:tplc="E5C8C814">
      <w:start w:val="1"/>
      <w:numFmt w:val="decimal"/>
      <w:pStyle w:val="Chart7X"/>
      <w:lvlText w:val="Chart 7.%1:"/>
      <w:lvlJc w:val="left"/>
      <w:pPr>
        <w:ind w:left="360" w:hanging="360"/>
      </w:pPr>
      <w:rPr>
        <w:rFonts w:ascii="Public Sans" w:hAnsi="Public Sans" w:hint="default"/>
        <w:b w:val="0"/>
        <w:i/>
        <w:caps w:val="0"/>
        <w:color w:val="000000" w:themeColor="text1"/>
        <w:sz w:val="22"/>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3" w15:restartNumberingAfterBreak="0">
    <w:nsid w:val="56041D7B"/>
    <w:multiLevelType w:val="hybridMultilevel"/>
    <w:tmpl w:val="97169544"/>
    <w:lvl w:ilvl="0" w:tplc="CE32E790">
      <w:start w:val="1"/>
      <w:numFmt w:val="decimal"/>
      <w:pStyle w:val="ChartFX"/>
      <w:lvlText w:val="Chart F.%1:"/>
      <w:lvlJc w:val="left"/>
      <w:pPr>
        <w:ind w:left="360" w:hanging="360"/>
      </w:pPr>
      <w:rPr>
        <w:rFonts w:ascii="Public Sans" w:hAnsi="Public Sans" w:hint="default"/>
        <w:b w:val="0"/>
        <w:i/>
        <w:caps w:val="0"/>
        <w:color w:val="000000" w:themeColor="text1"/>
        <w:sz w:val="22"/>
        <w:u w:val="none"/>
      </w:rPr>
    </w:lvl>
    <w:lvl w:ilvl="1" w:tplc="16F03A40">
      <w:numFmt w:val="decimal"/>
      <w:lvlText w:val=""/>
      <w:lvlJc w:val="left"/>
    </w:lvl>
    <w:lvl w:ilvl="2" w:tplc="233C1574">
      <w:numFmt w:val="decimal"/>
      <w:lvlText w:val=""/>
      <w:lvlJc w:val="left"/>
    </w:lvl>
    <w:lvl w:ilvl="3" w:tplc="7B003C54">
      <w:numFmt w:val="decimal"/>
      <w:lvlText w:val=""/>
      <w:lvlJc w:val="left"/>
    </w:lvl>
    <w:lvl w:ilvl="4" w:tplc="EAEE4440">
      <w:numFmt w:val="decimal"/>
      <w:lvlText w:val=""/>
      <w:lvlJc w:val="left"/>
    </w:lvl>
    <w:lvl w:ilvl="5" w:tplc="DDAE1404">
      <w:numFmt w:val="decimal"/>
      <w:lvlText w:val=""/>
      <w:lvlJc w:val="left"/>
    </w:lvl>
    <w:lvl w:ilvl="6" w:tplc="30E425A4">
      <w:numFmt w:val="decimal"/>
      <w:lvlText w:val=""/>
      <w:lvlJc w:val="left"/>
    </w:lvl>
    <w:lvl w:ilvl="7" w:tplc="684E0DE4">
      <w:numFmt w:val="decimal"/>
      <w:lvlText w:val=""/>
      <w:lvlJc w:val="left"/>
    </w:lvl>
    <w:lvl w:ilvl="8" w:tplc="38D6F2D4">
      <w:numFmt w:val="decimal"/>
      <w:lvlText w:val=""/>
      <w:lvlJc w:val="left"/>
    </w:lvl>
  </w:abstractNum>
  <w:abstractNum w:abstractNumId="64" w15:restartNumberingAfterBreak="0">
    <w:nsid w:val="599E5E30"/>
    <w:multiLevelType w:val="hybridMultilevel"/>
    <w:tmpl w:val="02EC5A8A"/>
    <w:lvl w:ilvl="0" w:tplc="9A58CC78">
      <w:start w:val="1"/>
      <w:numFmt w:val="decimal"/>
      <w:pStyle w:val="71Heading2"/>
      <w:lvlText w:val="7.%1"/>
      <w:lvlJc w:val="left"/>
      <w:pPr>
        <w:ind w:left="360" w:hanging="360"/>
      </w:pPr>
      <w:rPr>
        <w:rFonts w:ascii="Public Sans SemiBold" w:hAnsi="Public Sans SemiBold" w:cs="Arial" w:hint="default"/>
        <w:b/>
        <w:bCs w:val="0"/>
        <w:i w:val="0"/>
        <w:iCs w:val="0"/>
        <w:caps w:val="0"/>
        <w:strike w:val="0"/>
        <w:dstrike w:val="0"/>
        <w:vanish w:val="0"/>
        <w:color w:val="22272B"/>
        <w:spacing w:val="0"/>
        <w:kern w:val="0"/>
        <w:position w:val="0"/>
        <w:sz w:val="28"/>
        <w:szCs w:val="22"/>
        <w:u w:val="none" w:color="008EBA"/>
        <w:effect w:val="none"/>
        <w:vertAlign w:val="baseline"/>
        <w:em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59D174D9"/>
    <w:multiLevelType w:val="hybridMultilevel"/>
    <w:tmpl w:val="F9CA454E"/>
    <w:lvl w:ilvl="0" w:tplc="5EC624FA">
      <w:start w:val="1"/>
      <w:numFmt w:val="decimal"/>
      <w:pStyle w:val="Heading1"/>
      <w:lvlText w:val="%1."/>
      <w:lvlJc w:val="left"/>
      <w:pPr>
        <w:ind w:left="360" w:hanging="360"/>
      </w:pPr>
      <w:rPr>
        <w:rFonts w:ascii="Public Sans SemiBold" w:hAnsi="Public Sans SemiBold" w:hint="default"/>
        <w:b w:val="0"/>
        <w:bCs w:val="0"/>
        <w:i w:val="0"/>
        <w:caps w:val="0"/>
        <w:strike w:val="0"/>
        <w:dstrike w:val="0"/>
        <w:vanish w:val="0"/>
        <w:color w:val="0B3F47"/>
        <w:sz w:val="4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A414304"/>
    <w:multiLevelType w:val="hybridMultilevel"/>
    <w:tmpl w:val="80A02342"/>
    <w:lvl w:ilvl="0" w:tplc="E3CCC65A">
      <w:start w:val="1"/>
      <w:numFmt w:val="decimal"/>
      <w:pStyle w:val="D1Heading2"/>
      <w:lvlText w:val="D.%1"/>
      <w:lvlJc w:val="left"/>
      <w:pPr>
        <w:ind w:left="360" w:hanging="360"/>
      </w:pPr>
      <w:rPr>
        <w:rFonts w:ascii="Public Sans SemiBold" w:hAnsi="Public Sans SemiBold" w:hint="default"/>
        <w:b/>
        <w:bCs/>
        <w:i w:val="0"/>
        <w:color w:val="22272B"/>
        <w:sz w:val="28"/>
        <w:szCs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DBD6814"/>
    <w:multiLevelType w:val="hybridMultilevel"/>
    <w:tmpl w:val="F17A91DC"/>
    <w:lvl w:ilvl="0" w:tplc="2DF2F98A">
      <w:start w:val="1"/>
      <w:numFmt w:val="decimal"/>
      <w:pStyle w:val="Chart6X"/>
      <w:lvlText w:val="Chart 6.%1:"/>
      <w:lvlJc w:val="left"/>
      <w:pPr>
        <w:ind w:left="360" w:hanging="360"/>
      </w:pPr>
      <w:rPr>
        <w:rFonts w:ascii="Public Sans" w:hAnsi="Public Sans" w:cs="Arial" w:hint="default"/>
        <w:b w:val="0"/>
        <w:i/>
        <w:caps w:val="0"/>
        <w:strike w:val="0"/>
        <w:color w:val="000000" w:themeColor="text1"/>
        <w:sz w:val="22"/>
        <w:szCs w:val="22"/>
        <w:u w:val="none" w:color="4F4F4F"/>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E326DD4"/>
    <w:multiLevelType w:val="hybridMultilevel"/>
    <w:tmpl w:val="3F76108E"/>
    <w:lvl w:ilvl="0" w:tplc="F0D6FBA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F4225C0"/>
    <w:multiLevelType w:val="hybridMultilevel"/>
    <w:tmpl w:val="3DFECD28"/>
    <w:lvl w:ilvl="0" w:tplc="30BE37CE">
      <w:start w:val="1"/>
      <w:numFmt w:val="decimal"/>
      <w:pStyle w:val="Figure2X"/>
      <w:lvlText w:val="Figure 2.%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FDA03CA"/>
    <w:multiLevelType w:val="hybridMultilevel"/>
    <w:tmpl w:val="2530ED92"/>
    <w:lvl w:ilvl="0" w:tplc="A5EA98E6">
      <w:start w:val="1"/>
      <w:numFmt w:val="decimal"/>
      <w:pStyle w:val="FigureFX"/>
      <w:lvlText w:val="Figure F.%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FE76939"/>
    <w:multiLevelType w:val="hybridMultilevel"/>
    <w:tmpl w:val="2AD6C742"/>
    <w:lvl w:ilvl="0" w:tplc="30FEE2EC">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60B26314"/>
    <w:multiLevelType w:val="hybridMultilevel"/>
    <w:tmpl w:val="711CB540"/>
    <w:lvl w:ilvl="0" w:tplc="AFAE4F0C">
      <w:start w:val="1"/>
      <w:numFmt w:val="decimal"/>
      <w:pStyle w:val="TableFX"/>
      <w:lvlText w:val="Table F.%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10376EF"/>
    <w:multiLevelType w:val="hybridMultilevel"/>
    <w:tmpl w:val="A300D1F4"/>
    <w:lvl w:ilvl="0" w:tplc="0C09000F">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61541C4A"/>
    <w:multiLevelType w:val="hybridMultilevel"/>
    <w:tmpl w:val="D41CD0C0"/>
    <w:lvl w:ilvl="0" w:tplc="6A98ACAC">
      <w:start w:val="1"/>
      <w:numFmt w:val="decimal"/>
      <w:pStyle w:val="Figure6X"/>
      <w:lvlText w:val="Figure 6.%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387740A"/>
    <w:multiLevelType w:val="hybridMultilevel"/>
    <w:tmpl w:val="8D7433F4"/>
    <w:lvl w:ilvl="0" w:tplc="9AD0A540">
      <w:start w:val="1"/>
      <w:numFmt w:val="decimal"/>
      <w:pStyle w:val="Chart3X"/>
      <w:lvlText w:val="Chart 3.%1:"/>
      <w:lvlJc w:val="left"/>
      <w:pPr>
        <w:ind w:left="720" w:hanging="360"/>
      </w:pPr>
      <w:rPr>
        <w:rFonts w:ascii="Public Sans" w:hAnsi="Public Sans" w:cs="Arial" w:hint="default"/>
        <w:b w:val="0"/>
        <w:i/>
        <w:caps w:val="0"/>
        <w:color w:val="000000" w:themeColor="text1"/>
        <w:sz w:val="22"/>
        <w:szCs w:val="22"/>
        <w:u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63E9205E"/>
    <w:multiLevelType w:val="hybridMultilevel"/>
    <w:tmpl w:val="D4EC0614"/>
    <w:lvl w:ilvl="0" w:tplc="57582770">
      <w:start w:val="1"/>
      <w:numFmt w:val="decimal"/>
      <w:pStyle w:val="Box9XBoxHeading"/>
      <w:lvlText w:val="Box 9.%1:"/>
      <w:lvlJc w:val="left"/>
      <w:pPr>
        <w:ind w:left="720" w:hanging="360"/>
      </w:pPr>
      <w:rPr>
        <w:rFonts w:ascii="Public Sans SemiBold" w:hAnsi="Public Sans SemiBold" w:hint="default"/>
        <w:b/>
        <w:bCs/>
        <w:i w:val="0"/>
        <w:iCs w:val="0"/>
        <w:caps w:val="0"/>
        <w:strike w:val="0"/>
        <w:dstrike w:val="0"/>
        <w:vanish w:val="0"/>
        <w:color w:val="000000" w:themeColor="text1"/>
        <w:spacing w:val="0"/>
        <w:kern w:val="0"/>
        <w:position w:val="0"/>
        <w:sz w:val="22"/>
        <w:u w:val="none" w:color="00ABE6"/>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6403159E"/>
    <w:multiLevelType w:val="hybridMultilevel"/>
    <w:tmpl w:val="7F3CA2DC"/>
    <w:lvl w:ilvl="0" w:tplc="C60AE570">
      <w:start w:val="1"/>
      <w:numFmt w:val="bullet"/>
      <w:pStyle w:val="Bullet3"/>
      <w:lvlText w:val="o"/>
      <w:lvlJc w:val="left"/>
      <w:pPr>
        <w:ind w:left="1211" w:hanging="360"/>
      </w:pPr>
      <w:rPr>
        <w:rFonts w:ascii="Courier New" w:hAnsi="Courier New" w:hint="default"/>
        <w:b w:val="0"/>
        <w:i w:val="0"/>
        <w:color w:val="auto"/>
        <w:sz w:val="18"/>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4E75030"/>
    <w:multiLevelType w:val="hybridMultilevel"/>
    <w:tmpl w:val="77D24EDE"/>
    <w:lvl w:ilvl="0" w:tplc="AC301ED0">
      <w:start w:val="1"/>
      <w:numFmt w:val="decimal"/>
      <w:lvlText w:val="F.%1"/>
      <w:lvlJc w:val="left"/>
      <w:pPr>
        <w:ind w:left="360" w:hanging="360"/>
      </w:pPr>
      <w:rPr>
        <w:rFonts w:ascii="Arial Bold" w:hAnsi="Arial Bold" w:hint="default"/>
        <w:b/>
        <w:i w:val="0"/>
        <w:color w:val="008EBA"/>
        <w:sz w:val="3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65D44CAF"/>
    <w:multiLevelType w:val="hybridMultilevel"/>
    <w:tmpl w:val="1FD8EE8C"/>
    <w:lvl w:ilvl="0" w:tplc="EFEA7F54">
      <w:start w:val="1"/>
      <w:numFmt w:val="decimal"/>
      <w:pStyle w:val="Figure8X"/>
      <w:lvlText w:val="Figure 8.%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6608000C"/>
    <w:multiLevelType w:val="hybridMultilevel"/>
    <w:tmpl w:val="4606AE82"/>
    <w:lvl w:ilvl="0" w:tplc="406E1BBC">
      <w:start w:val="1"/>
      <w:numFmt w:val="bullet"/>
      <w:pStyle w:val="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68095C94"/>
    <w:multiLevelType w:val="hybridMultilevel"/>
    <w:tmpl w:val="C0249E82"/>
    <w:lvl w:ilvl="0" w:tplc="8A7EA626">
      <w:start w:val="1"/>
      <w:numFmt w:val="decimal"/>
      <w:pStyle w:val="21Heading2"/>
      <w:lvlText w:val="2.%1"/>
      <w:lvlJc w:val="left"/>
      <w:pPr>
        <w:ind w:left="360" w:hanging="360"/>
      </w:pPr>
      <w:rPr>
        <w:rFonts w:ascii="Public Sans SemiBold" w:hAnsi="Public Sans SemiBold" w:cs="Arial" w:hint="default"/>
        <w:b/>
        <w:bCs w:val="0"/>
        <w:i w:val="0"/>
        <w:iCs w:val="0"/>
        <w:caps w:val="0"/>
        <w:strike w:val="0"/>
        <w:dstrike w:val="0"/>
        <w:vanish w:val="0"/>
        <w:color w:val="22272B"/>
        <w:spacing w:val="0"/>
        <w:kern w:val="0"/>
        <w:position w:val="0"/>
        <w:sz w:val="28"/>
        <w:szCs w:val="22"/>
        <w:u w:val="none" w:color="008EBA"/>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686F44BC"/>
    <w:multiLevelType w:val="hybridMultilevel"/>
    <w:tmpl w:val="B34AB096"/>
    <w:lvl w:ilvl="0" w:tplc="1F008912">
      <w:start w:val="1"/>
      <w:numFmt w:val="decimal"/>
      <w:pStyle w:val="FigureDX"/>
      <w:lvlText w:val="Figure D.%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6BAD0A08"/>
    <w:multiLevelType w:val="hybridMultilevel"/>
    <w:tmpl w:val="F94C79F0"/>
    <w:lvl w:ilvl="0" w:tplc="669E2E22">
      <w:start w:val="1"/>
      <w:numFmt w:val="decimal"/>
      <w:pStyle w:val="A41Heading2"/>
      <w:lvlText w:val="A4.%1"/>
      <w:lvlJc w:val="left"/>
      <w:pPr>
        <w:ind w:left="360" w:hanging="360"/>
      </w:pPr>
      <w:rPr>
        <w:rFonts w:ascii="Public Sans SemiBold" w:hAnsi="Public Sans SemiBold" w:hint="default"/>
        <w:b/>
        <w:bCs/>
        <w:i w:val="0"/>
        <w:color w:val="22272B"/>
        <w:sz w:val="28"/>
        <w:szCs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6D633B70"/>
    <w:multiLevelType w:val="hybridMultilevel"/>
    <w:tmpl w:val="49C0C5EE"/>
    <w:lvl w:ilvl="0" w:tplc="51409BBA">
      <w:start w:val="1"/>
      <w:numFmt w:val="decimal"/>
      <w:pStyle w:val="Box1XBoxHeading"/>
      <w:lvlText w:val="Box 1.%1:"/>
      <w:lvlJc w:val="left"/>
      <w:pPr>
        <w:ind w:left="360" w:hanging="360"/>
      </w:pPr>
      <w:rPr>
        <w:rFonts w:ascii="Public Sans SemiBold" w:hAnsi="Public Sans SemiBold" w:hint="default"/>
        <w:b/>
        <w:bCs w:val="0"/>
        <w:i w:val="0"/>
        <w:iCs w:val="0"/>
        <w:caps w:val="0"/>
        <w:strike w:val="0"/>
        <w:dstrike w:val="0"/>
        <w:vanish w:val="0"/>
        <w:color w:val="000000" w:themeColor="text1"/>
        <w:spacing w:val="0"/>
        <w:kern w:val="0"/>
        <w:position w:val="0"/>
        <w:sz w:val="22"/>
        <w:u w:val="none" w:color="00ABE6"/>
        <w:effect w:val="none"/>
        <w:vertAlign w:val="baseline"/>
        <w:em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5" w15:restartNumberingAfterBreak="0">
    <w:nsid w:val="6D6B71F0"/>
    <w:multiLevelType w:val="hybridMultilevel"/>
    <w:tmpl w:val="D5DCE340"/>
    <w:lvl w:ilvl="0" w:tplc="C3BCAF2A">
      <w:start w:val="1"/>
      <w:numFmt w:val="decimal"/>
      <w:pStyle w:val="11Heading2"/>
      <w:lvlText w:val="1.%1"/>
      <w:lvlJc w:val="left"/>
      <w:pPr>
        <w:ind w:left="360" w:hanging="360"/>
      </w:pPr>
      <w:rPr>
        <w:rFonts w:ascii="Public Sans SemiBold" w:hAnsi="Public Sans SemiBold" w:hint="default"/>
        <w:b/>
        <w:i w:val="0"/>
        <w:color w:val="22272B"/>
        <w:sz w:val="28"/>
        <w:szCs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6DFA6ECC"/>
    <w:multiLevelType w:val="hybridMultilevel"/>
    <w:tmpl w:val="D4D2232A"/>
    <w:lvl w:ilvl="0" w:tplc="A0905534">
      <w:start w:val="1"/>
      <w:numFmt w:val="decimal"/>
      <w:pStyle w:val="Box6XBoxHeading"/>
      <w:lvlText w:val="Box 6.%1:"/>
      <w:lvlJc w:val="left"/>
      <w:pPr>
        <w:ind w:left="360" w:hanging="360"/>
      </w:pPr>
      <w:rPr>
        <w:rFonts w:ascii="Public Sans SemiBold" w:hAnsi="Public Sans SemiBold" w:cs="Arial" w:hint="default"/>
        <w:b/>
        <w:bCs w:val="0"/>
        <w:i w:val="0"/>
        <w:color w:val="000000" w:themeColor="text1"/>
        <w:sz w:val="22"/>
        <w:szCs w:val="22"/>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6E7D70B9"/>
    <w:multiLevelType w:val="hybridMultilevel"/>
    <w:tmpl w:val="92E4C4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70B8201D"/>
    <w:multiLevelType w:val="hybridMultilevel"/>
    <w:tmpl w:val="573C320E"/>
    <w:lvl w:ilvl="0" w:tplc="C5806944">
      <w:start w:val="1"/>
      <w:numFmt w:val="decimal"/>
      <w:pStyle w:val="TableEX"/>
      <w:lvlText w:val="Table E.%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73112603"/>
    <w:multiLevelType w:val="hybridMultilevel"/>
    <w:tmpl w:val="6FB01BAC"/>
    <w:lvl w:ilvl="0" w:tplc="45380CC6">
      <w:start w:val="1"/>
      <w:numFmt w:val="decimal"/>
      <w:pStyle w:val="Chart1X"/>
      <w:lvlText w:val="Chart 1.%1:"/>
      <w:lvlJc w:val="left"/>
      <w:pPr>
        <w:ind w:left="360" w:hanging="360"/>
      </w:pPr>
      <w:rPr>
        <w:rFonts w:ascii="Public Sans" w:hAnsi="Public Sans" w:cs="Arial" w:hint="default"/>
        <w:b w:val="0"/>
        <w:i/>
        <w:caps w:val="0"/>
        <w:color w:val="000000" w:themeColor="text1"/>
        <w:sz w:val="22"/>
        <w:szCs w:val="22"/>
        <w:u w:val="none"/>
        <w:vertAlign w:val="baseline"/>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0" w15:restartNumberingAfterBreak="0">
    <w:nsid w:val="73BB309D"/>
    <w:multiLevelType w:val="hybridMultilevel"/>
    <w:tmpl w:val="C87256F6"/>
    <w:lvl w:ilvl="0" w:tplc="2FFEA4A0">
      <w:start w:val="1"/>
      <w:numFmt w:val="decimal"/>
      <w:pStyle w:val="FigureA5X"/>
      <w:lvlText w:val="Figure A5.%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74AC412F"/>
    <w:multiLevelType w:val="hybridMultilevel"/>
    <w:tmpl w:val="45C884D0"/>
    <w:lvl w:ilvl="0" w:tplc="A6FEE97C">
      <w:start w:val="1"/>
      <w:numFmt w:val="decimal"/>
      <w:pStyle w:val="Table8X"/>
      <w:lvlText w:val="Table 8.%1:"/>
      <w:lvlJc w:val="left"/>
      <w:pPr>
        <w:ind w:left="360" w:hanging="360"/>
      </w:pPr>
      <w:rPr>
        <w:rFonts w:ascii="Public Sans" w:hAnsi="Public Sans" w:hint="default"/>
        <w:b w:val="0"/>
        <w:i/>
        <w:caps w:val="0"/>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76543C04"/>
    <w:multiLevelType w:val="hybridMultilevel"/>
    <w:tmpl w:val="C31A5D0A"/>
    <w:lvl w:ilvl="0" w:tplc="8B467A4C">
      <w:start w:val="1"/>
      <w:numFmt w:val="decimal"/>
      <w:pStyle w:val="ChartDX"/>
      <w:lvlText w:val="Chart D.%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76B3043F"/>
    <w:multiLevelType w:val="hybridMultilevel"/>
    <w:tmpl w:val="3BF0D1A2"/>
    <w:lvl w:ilvl="0" w:tplc="D9786926">
      <w:start w:val="1"/>
      <w:numFmt w:val="decimal"/>
      <w:pStyle w:val="Table3X"/>
      <w:lvlText w:val="Table 3.%1:"/>
      <w:lvlJc w:val="left"/>
      <w:pPr>
        <w:ind w:left="360" w:hanging="360"/>
      </w:pPr>
      <w:rPr>
        <w:rFonts w:ascii="Public Sans" w:hAnsi="Public Sans" w:hint="default"/>
        <w:b w:val="0"/>
        <w:i/>
        <w:caps w:val="0"/>
        <w:color w:val="000000" w:themeColor="text1"/>
        <w:sz w:val="22"/>
        <w:u w:val="none" w:color="4F4F4F"/>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77612233"/>
    <w:multiLevelType w:val="hybridMultilevel"/>
    <w:tmpl w:val="106687C0"/>
    <w:lvl w:ilvl="0" w:tplc="AE9E8B00">
      <w:start w:val="1"/>
      <w:numFmt w:val="decimal"/>
      <w:pStyle w:val="Box2XBoxHeading"/>
      <w:lvlText w:val="Box 2.%1:"/>
      <w:lvlJc w:val="left"/>
      <w:pPr>
        <w:ind w:left="360" w:hanging="360"/>
      </w:pPr>
      <w:rPr>
        <w:rFonts w:ascii="Public Sans SemiBold" w:hAnsi="Public Sans SemiBold" w:hint="default"/>
        <w:b/>
        <w:bCs w:val="0"/>
        <w:i w:val="0"/>
        <w:iCs w:val="0"/>
        <w:caps w:val="0"/>
        <w:strike w:val="0"/>
        <w:dstrike w:val="0"/>
        <w:vanish w:val="0"/>
        <w:color w:val="000000" w:themeColor="text1"/>
        <w:spacing w:val="0"/>
        <w:kern w:val="0"/>
        <w:position w:val="0"/>
        <w:sz w:val="22"/>
        <w:szCs w:val="22"/>
        <w:u w:val="none" w:color="00ABE6"/>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77C931B2"/>
    <w:multiLevelType w:val="hybridMultilevel"/>
    <w:tmpl w:val="53566E34"/>
    <w:lvl w:ilvl="0" w:tplc="2C225DC4">
      <w:start w:val="1"/>
      <w:numFmt w:val="decimal"/>
      <w:pStyle w:val="Table9X"/>
      <w:lvlText w:val="Table 9.%1:"/>
      <w:lvlJc w:val="left"/>
      <w:pPr>
        <w:ind w:left="720" w:hanging="360"/>
      </w:pPr>
      <w:rPr>
        <w:rFonts w:ascii="Public Sans" w:hAnsi="Public Sans" w:hint="default"/>
        <w:b w:val="0"/>
        <w:i/>
        <w:caps w:val="0"/>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782868C0"/>
    <w:multiLevelType w:val="hybridMultilevel"/>
    <w:tmpl w:val="85547F0C"/>
    <w:lvl w:ilvl="0" w:tplc="42F05746">
      <w:start w:val="1"/>
      <w:numFmt w:val="decimal"/>
      <w:pStyle w:val="Figure1X"/>
      <w:lvlText w:val="Figure X.%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79A3436D"/>
    <w:multiLevelType w:val="hybridMultilevel"/>
    <w:tmpl w:val="31E43D8C"/>
    <w:lvl w:ilvl="0" w:tplc="9CCCC82E">
      <w:start w:val="1"/>
      <w:numFmt w:val="decimal"/>
      <w:pStyle w:val="Chart9X"/>
      <w:lvlText w:val="Chart 9.%1:"/>
      <w:lvlJc w:val="left"/>
      <w:pPr>
        <w:ind w:left="786" w:hanging="360"/>
      </w:pPr>
      <w:rPr>
        <w:rFonts w:ascii="Public Sans" w:hAnsi="Public Sans" w:hint="default"/>
        <w:b w:val="0"/>
        <w:bCs/>
        <w:i/>
        <w:iCs w:val="0"/>
        <w:caps w:val="0"/>
        <w:strike w:val="0"/>
        <w:dstrike w:val="0"/>
        <w:vanish w:val="0"/>
        <w:color w:val="000000" w:themeColor="text1"/>
        <w:spacing w:val="0"/>
        <w:kern w:val="0"/>
        <w:position w:val="0"/>
        <w:sz w:val="22"/>
        <w:u w:val="none" w:color="00ABE6"/>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79C00E47"/>
    <w:multiLevelType w:val="hybridMultilevel"/>
    <w:tmpl w:val="9794A7BE"/>
    <w:lvl w:ilvl="0" w:tplc="E3084202">
      <w:start w:val="1"/>
      <w:numFmt w:val="decimal"/>
      <w:pStyle w:val="FigureA1X"/>
      <w:lvlText w:val="Figure A1.%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7A1A1949"/>
    <w:multiLevelType w:val="hybridMultilevel"/>
    <w:tmpl w:val="58F28F18"/>
    <w:lvl w:ilvl="0" w:tplc="24788874">
      <w:start w:val="1"/>
      <w:numFmt w:val="decimal"/>
      <w:pStyle w:val="Chart5X"/>
      <w:lvlText w:val="Chart 5.%1:"/>
      <w:lvlJc w:val="left"/>
      <w:pPr>
        <w:ind w:left="360" w:hanging="360"/>
      </w:pPr>
      <w:rPr>
        <w:rFonts w:ascii="Public Sans" w:hAnsi="Public Sans" w:cs="Arial" w:hint="default"/>
        <w:b w:val="0"/>
        <w:i/>
        <w:caps w:val="0"/>
        <w:color w:val="000000" w:themeColor="text1"/>
        <w:sz w:val="22"/>
        <w:szCs w:val="22"/>
        <w:u w:val="none" w:color="4F4F4F"/>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7A876093"/>
    <w:multiLevelType w:val="hybridMultilevel"/>
    <w:tmpl w:val="A75E4390"/>
    <w:lvl w:ilvl="0" w:tplc="5574A30A">
      <w:start w:val="1"/>
      <w:numFmt w:val="decimal"/>
      <w:pStyle w:val="Box4XBoxHeading"/>
      <w:lvlText w:val="Box 4.%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7C6919CF"/>
    <w:multiLevelType w:val="hybridMultilevel"/>
    <w:tmpl w:val="AEBE65F8"/>
    <w:lvl w:ilvl="0" w:tplc="76E47F04">
      <w:start w:val="1"/>
      <w:numFmt w:val="decimal"/>
      <w:pStyle w:val="F1Heading2"/>
      <w:lvlText w:val="F.%1"/>
      <w:lvlJc w:val="left"/>
      <w:pPr>
        <w:ind w:left="360" w:hanging="360"/>
      </w:pPr>
      <w:rPr>
        <w:rFonts w:ascii="Public Sans SemiBold" w:hAnsi="Public Sans SemiBold" w:hint="default"/>
        <w:b/>
        <w:bCs/>
        <w:i w:val="0"/>
        <w:color w:val="22272B"/>
        <w:sz w:val="28"/>
        <w:szCs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7E2945C9"/>
    <w:multiLevelType w:val="hybridMultilevel"/>
    <w:tmpl w:val="56D0D23C"/>
    <w:lvl w:ilvl="0" w:tplc="2232638C">
      <w:start w:val="1"/>
      <w:numFmt w:val="decimal"/>
      <w:pStyle w:val="FigureCX"/>
      <w:lvlText w:val="Figure C.%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7E58502F"/>
    <w:multiLevelType w:val="hybridMultilevel"/>
    <w:tmpl w:val="D9A2CFD4"/>
    <w:lvl w:ilvl="0" w:tplc="9C04C554">
      <w:start w:val="1"/>
      <w:numFmt w:val="decimal"/>
      <w:pStyle w:val="TableCX"/>
      <w:lvlText w:val="Table C.%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7E7E6F1F"/>
    <w:multiLevelType w:val="hybridMultilevel"/>
    <w:tmpl w:val="CB145792"/>
    <w:lvl w:ilvl="0" w:tplc="9DD21544">
      <w:start w:val="1"/>
      <w:numFmt w:val="decimal"/>
      <w:pStyle w:val="ChartEX"/>
      <w:lvlText w:val="Chart E.%1:"/>
      <w:lvlJc w:val="left"/>
      <w:pPr>
        <w:ind w:left="360" w:hanging="360"/>
      </w:pPr>
      <w:rPr>
        <w:rFonts w:ascii="Public Sans" w:hAnsi="Public Sans" w:hint="default"/>
        <w:b w:val="0"/>
        <w:i/>
        <w:color w:val="000000" w:themeColor="text1"/>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13668973">
    <w:abstractNumId w:val="27"/>
  </w:num>
  <w:num w:numId="2" w16cid:durableId="1996883379">
    <w:abstractNumId w:val="15"/>
  </w:num>
  <w:num w:numId="3" w16cid:durableId="255671717">
    <w:abstractNumId w:val="34"/>
  </w:num>
  <w:num w:numId="4" w16cid:durableId="944921910">
    <w:abstractNumId w:val="85"/>
  </w:num>
  <w:num w:numId="5" w16cid:durableId="398749236">
    <w:abstractNumId w:val="81"/>
  </w:num>
  <w:num w:numId="6" w16cid:durableId="138966501">
    <w:abstractNumId w:val="52"/>
  </w:num>
  <w:num w:numId="7" w16cid:durableId="656809923">
    <w:abstractNumId w:val="33"/>
  </w:num>
  <w:num w:numId="8" w16cid:durableId="569657645">
    <w:abstractNumId w:val="47"/>
  </w:num>
  <w:num w:numId="9" w16cid:durableId="245574238">
    <w:abstractNumId w:val="46"/>
  </w:num>
  <w:num w:numId="10" w16cid:durableId="188878145">
    <w:abstractNumId w:val="64"/>
  </w:num>
  <w:num w:numId="11" w16cid:durableId="391320423">
    <w:abstractNumId w:val="36"/>
  </w:num>
  <w:num w:numId="12" w16cid:durableId="742064803">
    <w:abstractNumId w:val="2"/>
  </w:num>
  <w:num w:numId="13" w16cid:durableId="1393775218">
    <w:abstractNumId w:val="50"/>
  </w:num>
  <w:num w:numId="14" w16cid:durableId="411241496">
    <w:abstractNumId w:val="83"/>
  </w:num>
  <w:num w:numId="15" w16cid:durableId="394359246">
    <w:abstractNumId w:val="28"/>
  </w:num>
  <w:num w:numId="16" w16cid:durableId="850683154">
    <w:abstractNumId w:val="84"/>
  </w:num>
  <w:num w:numId="17" w16cid:durableId="1868331908">
    <w:abstractNumId w:val="56"/>
  </w:num>
  <w:num w:numId="18" w16cid:durableId="1290091537">
    <w:abstractNumId w:val="100"/>
  </w:num>
  <w:num w:numId="19" w16cid:durableId="542593098">
    <w:abstractNumId w:val="58"/>
  </w:num>
  <w:num w:numId="20" w16cid:durableId="1553082212">
    <w:abstractNumId w:val="86"/>
  </w:num>
  <w:num w:numId="21" w16cid:durableId="1807233844">
    <w:abstractNumId w:val="0"/>
  </w:num>
  <w:num w:numId="22" w16cid:durableId="520625010">
    <w:abstractNumId w:val="53"/>
  </w:num>
  <w:num w:numId="23" w16cid:durableId="604308429">
    <w:abstractNumId w:val="43"/>
  </w:num>
  <w:num w:numId="24" w16cid:durableId="158927636">
    <w:abstractNumId w:val="80"/>
  </w:num>
  <w:num w:numId="25" w16cid:durableId="999962685">
    <w:abstractNumId w:val="59"/>
  </w:num>
  <w:num w:numId="26" w16cid:durableId="950090191">
    <w:abstractNumId w:val="77"/>
  </w:num>
  <w:num w:numId="27" w16cid:durableId="87895317">
    <w:abstractNumId w:val="42"/>
  </w:num>
  <w:num w:numId="28" w16cid:durableId="727800497">
    <w:abstractNumId w:val="44"/>
  </w:num>
  <w:num w:numId="29" w16cid:durableId="613026023">
    <w:abstractNumId w:val="89"/>
  </w:num>
  <w:num w:numId="30" w16cid:durableId="1229460431">
    <w:abstractNumId w:val="39"/>
  </w:num>
  <w:num w:numId="31" w16cid:durableId="1433208727">
    <w:abstractNumId w:val="51"/>
  </w:num>
  <w:num w:numId="32" w16cid:durableId="1765496755">
    <w:abstractNumId w:val="99"/>
  </w:num>
  <w:num w:numId="33" w16cid:durableId="1055085254">
    <w:abstractNumId w:val="67"/>
  </w:num>
  <w:num w:numId="34" w16cid:durableId="761806013">
    <w:abstractNumId w:val="62"/>
  </w:num>
  <w:num w:numId="35" w16cid:durableId="1453789243">
    <w:abstractNumId w:val="1"/>
  </w:num>
  <w:num w:numId="36" w16cid:durableId="1617979971">
    <w:abstractNumId w:val="41"/>
  </w:num>
  <w:num w:numId="37" w16cid:durableId="1270621810">
    <w:abstractNumId w:val="55"/>
  </w:num>
  <w:num w:numId="38" w16cid:durableId="783966971">
    <w:abstractNumId w:val="29"/>
  </w:num>
  <w:num w:numId="39" w16cid:durableId="2135782715">
    <w:abstractNumId w:val="24"/>
  </w:num>
  <w:num w:numId="40" w16cid:durableId="447046910">
    <w:abstractNumId w:val="10"/>
  </w:num>
  <w:num w:numId="41" w16cid:durableId="735393617">
    <w:abstractNumId w:val="61"/>
  </w:num>
  <w:num w:numId="42" w16cid:durableId="1570767065">
    <w:abstractNumId w:val="92"/>
  </w:num>
  <w:num w:numId="43" w16cid:durableId="899943030">
    <w:abstractNumId w:val="104"/>
  </w:num>
  <w:num w:numId="44" w16cid:durableId="1962877264">
    <w:abstractNumId w:val="63"/>
  </w:num>
  <w:num w:numId="45" w16cid:durableId="796332572">
    <w:abstractNumId w:val="66"/>
  </w:num>
  <w:num w:numId="46" w16cid:durableId="1708682187">
    <w:abstractNumId w:val="17"/>
  </w:num>
  <w:num w:numId="47" w16cid:durableId="220410582">
    <w:abstractNumId w:val="101"/>
  </w:num>
  <w:num w:numId="48" w16cid:durableId="62527521">
    <w:abstractNumId w:val="96"/>
  </w:num>
  <w:num w:numId="49" w16cid:durableId="1686518500">
    <w:abstractNumId w:val="69"/>
  </w:num>
  <w:num w:numId="50" w16cid:durableId="2107460047">
    <w:abstractNumId w:val="16"/>
  </w:num>
  <w:num w:numId="51" w16cid:durableId="1140463078">
    <w:abstractNumId w:val="32"/>
  </w:num>
  <w:num w:numId="52" w16cid:durableId="1289124565">
    <w:abstractNumId w:val="48"/>
  </w:num>
  <w:num w:numId="53" w16cid:durableId="402918949">
    <w:abstractNumId w:val="74"/>
  </w:num>
  <w:num w:numId="54" w16cid:durableId="1399593453">
    <w:abstractNumId w:val="12"/>
  </w:num>
  <w:num w:numId="55" w16cid:durableId="1239706779">
    <w:abstractNumId w:val="79"/>
  </w:num>
  <w:num w:numId="56" w16cid:durableId="1147436578">
    <w:abstractNumId w:val="98"/>
  </w:num>
  <w:num w:numId="57" w16cid:durableId="1048645305">
    <w:abstractNumId w:val="35"/>
  </w:num>
  <w:num w:numId="58" w16cid:durableId="1953248666">
    <w:abstractNumId w:val="30"/>
  </w:num>
  <w:num w:numId="59" w16cid:durableId="46493347">
    <w:abstractNumId w:val="25"/>
  </w:num>
  <w:num w:numId="60" w16cid:durableId="825900618">
    <w:abstractNumId w:val="90"/>
  </w:num>
  <w:num w:numId="61" w16cid:durableId="1707755831">
    <w:abstractNumId w:val="4"/>
  </w:num>
  <w:num w:numId="62" w16cid:durableId="85998868">
    <w:abstractNumId w:val="102"/>
  </w:num>
  <w:num w:numId="63" w16cid:durableId="1601452920">
    <w:abstractNumId w:val="82"/>
  </w:num>
  <w:num w:numId="64" w16cid:durableId="401414469">
    <w:abstractNumId w:val="49"/>
  </w:num>
  <w:num w:numId="65" w16cid:durableId="878476084">
    <w:abstractNumId w:val="70"/>
  </w:num>
  <w:num w:numId="66" w16cid:durableId="1251505890">
    <w:abstractNumId w:val="78"/>
  </w:num>
  <w:num w:numId="67" w16cid:durableId="103232878">
    <w:abstractNumId w:val="65"/>
  </w:num>
  <w:num w:numId="68" w16cid:durableId="2057580741">
    <w:abstractNumId w:val="6"/>
  </w:num>
  <w:num w:numId="69" w16cid:durableId="1207178984">
    <w:abstractNumId w:val="5"/>
  </w:num>
  <w:num w:numId="70" w16cid:durableId="1444154533">
    <w:abstractNumId w:val="60"/>
  </w:num>
  <w:num w:numId="71" w16cid:durableId="517892986">
    <w:abstractNumId w:val="38"/>
  </w:num>
  <w:num w:numId="72" w16cid:durableId="836968643">
    <w:abstractNumId w:val="18"/>
  </w:num>
  <w:num w:numId="73" w16cid:durableId="695280043">
    <w:abstractNumId w:val="14"/>
  </w:num>
  <w:num w:numId="74" w16cid:durableId="599413421">
    <w:abstractNumId w:val="22"/>
  </w:num>
  <w:num w:numId="75" w16cid:durableId="183373765">
    <w:abstractNumId w:val="57"/>
  </w:num>
  <w:num w:numId="76" w16cid:durableId="824593350">
    <w:abstractNumId w:val="93"/>
  </w:num>
  <w:num w:numId="77" w16cid:durableId="803278928">
    <w:abstractNumId w:val="37"/>
  </w:num>
  <w:num w:numId="78" w16cid:durableId="32929676">
    <w:abstractNumId w:val="13"/>
  </w:num>
  <w:num w:numId="79" w16cid:durableId="443156701">
    <w:abstractNumId w:val="31"/>
  </w:num>
  <w:num w:numId="80" w16cid:durableId="1209486655">
    <w:abstractNumId w:val="8"/>
  </w:num>
  <w:num w:numId="81" w16cid:durableId="929509220">
    <w:abstractNumId w:val="91"/>
  </w:num>
  <w:num w:numId="82" w16cid:durableId="1173184454">
    <w:abstractNumId w:val="26"/>
  </w:num>
  <w:num w:numId="83" w16cid:durableId="140195891">
    <w:abstractNumId w:val="40"/>
  </w:num>
  <w:num w:numId="84" w16cid:durableId="865796964">
    <w:abstractNumId w:val="3"/>
  </w:num>
  <w:num w:numId="85" w16cid:durableId="916743036">
    <w:abstractNumId w:val="9"/>
  </w:num>
  <w:num w:numId="86" w16cid:durableId="1447115474">
    <w:abstractNumId w:val="103"/>
  </w:num>
  <w:num w:numId="87" w16cid:durableId="1041975083">
    <w:abstractNumId w:val="20"/>
  </w:num>
  <w:num w:numId="88" w16cid:durableId="123891229">
    <w:abstractNumId w:val="88"/>
  </w:num>
  <w:num w:numId="89" w16cid:durableId="641009776">
    <w:abstractNumId w:val="72"/>
  </w:num>
  <w:num w:numId="90" w16cid:durableId="1940676276">
    <w:abstractNumId w:val="94"/>
  </w:num>
  <w:num w:numId="91" w16cid:durableId="2109690733">
    <w:abstractNumId w:val="45"/>
  </w:num>
  <w:num w:numId="92" w16cid:durableId="92363650">
    <w:abstractNumId w:val="54"/>
  </w:num>
  <w:num w:numId="93" w16cid:durableId="844783594">
    <w:abstractNumId w:val="75"/>
  </w:num>
  <w:num w:numId="94" w16cid:durableId="1532259941">
    <w:abstractNumId w:val="11"/>
  </w:num>
  <w:num w:numId="95" w16cid:durableId="2033071881">
    <w:abstractNumId w:val="21"/>
  </w:num>
  <w:num w:numId="96" w16cid:durableId="1026517371">
    <w:abstractNumId w:val="76"/>
  </w:num>
  <w:num w:numId="97" w16cid:durableId="1050149311">
    <w:abstractNumId w:val="19"/>
  </w:num>
  <w:num w:numId="98" w16cid:durableId="2072576025">
    <w:abstractNumId w:val="97"/>
  </w:num>
  <w:num w:numId="99" w16cid:durableId="271019622">
    <w:abstractNumId w:val="23"/>
  </w:num>
  <w:num w:numId="100" w16cid:durableId="1107429205">
    <w:abstractNumId w:val="95"/>
  </w:num>
  <w:num w:numId="101" w16cid:durableId="342244613">
    <w:abstractNumId w:val="71"/>
  </w:num>
  <w:num w:numId="102" w16cid:durableId="662241421">
    <w:abstractNumId w:val="7"/>
  </w:num>
  <w:num w:numId="103" w16cid:durableId="1767656258">
    <w:abstractNumId w:val="87"/>
  </w:num>
  <w:num w:numId="104" w16cid:durableId="485509373">
    <w:abstractNumId w:val="80"/>
  </w:num>
  <w:num w:numId="105" w16cid:durableId="1986742298">
    <w:abstractNumId w:val="68"/>
  </w:num>
  <w:num w:numId="106" w16cid:durableId="923418536">
    <w:abstractNumId w:val="73"/>
  </w:num>
  <w:num w:numId="107" w16cid:durableId="934822924">
    <w:abstractNumId w:val="80"/>
  </w:num>
  <w:num w:numId="108" w16cid:durableId="593706980">
    <w:abstractNumId w:val="36"/>
  </w:num>
  <w:num w:numId="109" w16cid:durableId="1136412066">
    <w:abstractNumId w:val="43"/>
  </w:num>
  <w:num w:numId="110" w16cid:durableId="1742291856">
    <w:abstractNumId w:val="91"/>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E1C"/>
    <w:rsid w:val="000005B8"/>
    <w:rsid w:val="00000777"/>
    <w:rsid w:val="00001A2B"/>
    <w:rsid w:val="000022AF"/>
    <w:rsid w:val="00003099"/>
    <w:rsid w:val="00004FF3"/>
    <w:rsid w:val="00005973"/>
    <w:rsid w:val="00005EB1"/>
    <w:rsid w:val="00006EFB"/>
    <w:rsid w:val="00007014"/>
    <w:rsid w:val="0000739C"/>
    <w:rsid w:val="00007BB9"/>
    <w:rsid w:val="00011C5E"/>
    <w:rsid w:val="00011D3C"/>
    <w:rsid w:val="000120FA"/>
    <w:rsid w:val="00012D35"/>
    <w:rsid w:val="000134FE"/>
    <w:rsid w:val="00013BFF"/>
    <w:rsid w:val="00014E63"/>
    <w:rsid w:val="00014ED1"/>
    <w:rsid w:val="000156BA"/>
    <w:rsid w:val="000156CF"/>
    <w:rsid w:val="000158F0"/>
    <w:rsid w:val="00015904"/>
    <w:rsid w:val="00015983"/>
    <w:rsid w:val="00015A76"/>
    <w:rsid w:val="00015F9B"/>
    <w:rsid w:val="00016118"/>
    <w:rsid w:val="00016175"/>
    <w:rsid w:val="00016759"/>
    <w:rsid w:val="00016B54"/>
    <w:rsid w:val="00017536"/>
    <w:rsid w:val="000179D8"/>
    <w:rsid w:val="00017ADA"/>
    <w:rsid w:val="00020DE7"/>
    <w:rsid w:val="0002160F"/>
    <w:rsid w:val="00021619"/>
    <w:rsid w:val="000217CC"/>
    <w:rsid w:val="00023011"/>
    <w:rsid w:val="000239DC"/>
    <w:rsid w:val="00024521"/>
    <w:rsid w:val="000255C6"/>
    <w:rsid w:val="00025B2E"/>
    <w:rsid w:val="000262AA"/>
    <w:rsid w:val="00026DD3"/>
    <w:rsid w:val="00026E9C"/>
    <w:rsid w:val="00026F56"/>
    <w:rsid w:val="000277A9"/>
    <w:rsid w:val="00027A70"/>
    <w:rsid w:val="00027F54"/>
    <w:rsid w:val="00030BA7"/>
    <w:rsid w:val="000311BC"/>
    <w:rsid w:val="000320F6"/>
    <w:rsid w:val="0003227A"/>
    <w:rsid w:val="00032807"/>
    <w:rsid w:val="00032DF2"/>
    <w:rsid w:val="00032E00"/>
    <w:rsid w:val="000349D8"/>
    <w:rsid w:val="000372DF"/>
    <w:rsid w:val="00037CE4"/>
    <w:rsid w:val="00037F47"/>
    <w:rsid w:val="00041410"/>
    <w:rsid w:val="0004154C"/>
    <w:rsid w:val="000416F3"/>
    <w:rsid w:val="000420F9"/>
    <w:rsid w:val="00042A62"/>
    <w:rsid w:val="00042BF4"/>
    <w:rsid w:val="00042C54"/>
    <w:rsid w:val="0004484B"/>
    <w:rsid w:val="00044971"/>
    <w:rsid w:val="00045255"/>
    <w:rsid w:val="0004557D"/>
    <w:rsid w:val="0004573E"/>
    <w:rsid w:val="0004713A"/>
    <w:rsid w:val="000471CD"/>
    <w:rsid w:val="0004741B"/>
    <w:rsid w:val="00050688"/>
    <w:rsid w:val="000517DA"/>
    <w:rsid w:val="0005185E"/>
    <w:rsid w:val="000522BB"/>
    <w:rsid w:val="000523D2"/>
    <w:rsid w:val="0005292D"/>
    <w:rsid w:val="000530C4"/>
    <w:rsid w:val="00053A08"/>
    <w:rsid w:val="00053C3F"/>
    <w:rsid w:val="00053EAB"/>
    <w:rsid w:val="00054590"/>
    <w:rsid w:val="00055144"/>
    <w:rsid w:val="000551E1"/>
    <w:rsid w:val="000556BA"/>
    <w:rsid w:val="00056566"/>
    <w:rsid w:val="000566C7"/>
    <w:rsid w:val="00056D88"/>
    <w:rsid w:val="00057D43"/>
    <w:rsid w:val="0006020D"/>
    <w:rsid w:val="000603F2"/>
    <w:rsid w:val="00060845"/>
    <w:rsid w:val="00060F12"/>
    <w:rsid w:val="000610AA"/>
    <w:rsid w:val="00061665"/>
    <w:rsid w:val="00062D6C"/>
    <w:rsid w:val="00062E2C"/>
    <w:rsid w:val="0006303C"/>
    <w:rsid w:val="00064230"/>
    <w:rsid w:val="00065356"/>
    <w:rsid w:val="000656E1"/>
    <w:rsid w:val="0006571D"/>
    <w:rsid w:val="00065B5E"/>
    <w:rsid w:val="000663AF"/>
    <w:rsid w:val="000676CF"/>
    <w:rsid w:val="000679D4"/>
    <w:rsid w:val="00070139"/>
    <w:rsid w:val="000707EA"/>
    <w:rsid w:val="0007137E"/>
    <w:rsid w:val="00072887"/>
    <w:rsid w:val="00072C35"/>
    <w:rsid w:val="00072C56"/>
    <w:rsid w:val="00072EC7"/>
    <w:rsid w:val="00073204"/>
    <w:rsid w:val="00073206"/>
    <w:rsid w:val="000746AA"/>
    <w:rsid w:val="000749EA"/>
    <w:rsid w:val="00074E79"/>
    <w:rsid w:val="00075FD6"/>
    <w:rsid w:val="00076E45"/>
    <w:rsid w:val="000773EB"/>
    <w:rsid w:val="00077A23"/>
    <w:rsid w:val="00080649"/>
    <w:rsid w:val="00080D8B"/>
    <w:rsid w:val="000815D7"/>
    <w:rsid w:val="00082490"/>
    <w:rsid w:val="00083729"/>
    <w:rsid w:val="0008636D"/>
    <w:rsid w:val="00086A7A"/>
    <w:rsid w:val="00086E02"/>
    <w:rsid w:val="0008709D"/>
    <w:rsid w:val="0009030B"/>
    <w:rsid w:val="000903DF"/>
    <w:rsid w:val="00090433"/>
    <w:rsid w:val="00090810"/>
    <w:rsid w:val="0009292D"/>
    <w:rsid w:val="00092BB4"/>
    <w:rsid w:val="00093720"/>
    <w:rsid w:val="00093EC2"/>
    <w:rsid w:val="00094247"/>
    <w:rsid w:val="00095ED8"/>
    <w:rsid w:val="00096579"/>
    <w:rsid w:val="00096812"/>
    <w:rsid w:val="00096E05"/>
    <w:rsid w:val="000971C9"/>
    <w:rsid w:val="000A04D7"/>
    <w:rsid w:val="000A08BB"/>
    <w:rsid w:val="000A0C41"/>
    <w:rsid w:val="000A190C"/>
    <w:rsid w:val="000A1953"/>
    <w:rsid w:val="000A1A28"/>
    <w:rsid w:val="000A243A"/>
    <w:rsid w:val="000A2934"/>
    <w:rsid w:val="000A30B4"/>
    <w:rsid w:val="000A5B75"/>
    <w:rsid w:val="000A6770"/>
    <w:rsid w:val="000A6E5D"/>
    <w:rsid w:val="000A762A"/>
    <w:rsid w:val="000A7AD0"/>
    <w:rsid w:val="000A7AE1"/>
    <w:rsid w:val="000A7FA7"/>
    <w:rsid w:val="000B09D1"/>
    <w:rsid w:val="000B0E6D"/>
    <w:rsid w:val="000B1B64"/>
    <w:rsid w:val="000B1E13"/>
    <w:rsid w:val="000B2024"/>
    <w:rsid w:val="000B20AA"/>
    <w:rsid w:val="000B2BB6"/>
    <w:rsid w:val="000B2F3F"/>
    <w:rsid w:val="000B30D4"/>
    <w:rsid w:val="000B31F4"/>
    <w:rsid w:val="000B3228"/>
    <w:rsid w:val="000B3E9C"/>
    <w:rsid w:val="000B3EB5"/>
    <w:rsid w:val="000B3F23"/>
    <w:rsid w:val="000B420F"/>
    <w:rsid w:val="000B4551"/>
    <w:rsid w:val="000B709A"/>
    <w:rsid w:val="000B73BE"/>
    <w:rsid w:val="000B7896"/>
    <w:rsid w:val="000C0DF4"/>
    <w:rsid w:val="000C0E8C"/>
    <w:rsid w:val="000C2169"/>
    <w:rsid w:val="000C2E0E"/>
    <w:rsid w:val="000C2E6A"/>
    <w:rsid w:val="000C3C34"/>
    <w:rsid w:val="000C4A4D"/>
    <w:rsid w:val="000C4EB3"/>
    <w:rsid w:val="000C5591"/>
    <w:rsid w:val="000C5945"/>
    <w:rsid w:val="000C6243"/>
    <w:rsid w:val="000C6D25"/>
    <w:rsid w:val="000C75A0"/>
    <w:rsid w:val="000D1D2E"/>
    <w:rsid w:val="000D1F44"/>
    <w:rsid w:val="000D4A09"/>
    <w:rsid w:val="000D54AE"/>
    <w:rsid w:val="000D55C4"/>
    <w:rsid w:val="000D7900"/>
    <w:rsid w:val="000E02C3"/>
    <w:rsid w:val="000E0BEF"/>
    <w:rsid w:val="000E124C"/>
    <w:rsid w:val="000E1855"/>
    <w:rsid w:val="000E2B09"/>
    <w:rsid w:val="000E3275"/>
    <w:rsid w:val="000E3608"/>
    <w:rsid w:val="000E36A8"/>
    <w:rsid w:val="000E3D5A"/>
    <w:rsid w:val="000E3D64"/>
    <w:rsid w:val="000E4972"/>
    <w:rsid w:val="000E4C2B"/>
    <w:rsid w:val="000E4D8F"/>
    <w:rsid w:val="000E59A8"/>
    <w:rsid w:val="000E5EB7"/>
    <w:rsid w:val="000E5F16"/>
    <w:rsid w:val="000E72FD"/>
    <w:rsid w:val="000E77BB"/>
    <w:rsid w:val="000E7A77"/>
    <w:rsid w:val="000F004D"/>
    <w:rsid w:val="000F0D89"/>
    <w:rsid w:val="000F157B"/>
    <w:rsid w:val="000F1CC5"/>
    <w:rsid w:val="000F1E4C"/>
    <w:rsid w:val="000F2A17"/>
    <w:rsid w:val="000F2F12"/>
    <w:rsid w:val="000F324F"/>
    <w:rsid w:val="000F388E"/>
    <w:rsid w:val="000F40DE"/>
    <w:rsid w:val="000F4C35"/>
    <w:rsid w:val="000F5392"/>
    <w:rsid w:val="000F5EF9"/>
    <w:rsid w:val="000F7E49"/>
    <w:rsid w:val="001001A5"/>
    <w:rsid w:val="0010056A"/>
    <w:rsid w:val="001033DA"/>
    <w:rsid w:val="00104040"/>
    <w:rsid w:val="00104277"/>
    <w:rsid w:val="00104339"/>
    <w:rsid w:val="00104CBF"/>
    <w:rsid w:val="001052AC"/>
    <w:rsid w:val="001106C9"/>
    <w:rsid w:val="00110F0E"/>
    <w:rsid w:val="0011188F"/>
    <w:rsid w:val="00112F66"/>
    <w:rsid w:val="00112F74"/>
    <w:rsid w:val="0011349A"/>
    <w:rsid w:val="001134DF"/>
    <w:rsid w:val="00113D64"/>
    <w:rsid w:val="001142CB"/>
    <w:rsid w:val="00114988"/>
    <w:rsid w:val="00115471"/>
    <w:rsid w:val="001166CB"/>
    <w:rsid w:val="001179FB"/>
    <w:rsid w:val="00117FE9"/>
    <w:rsid w:val="0012043C"/>
    <w:rsid w:val="0012286D"/>
    <w:rsid w:val="00122A7D"/>
    <w:rsid w:val="0012314D"/>
    <w:rsid w:val="00123884"/>
    <w:rsid w:val="00127BBB"/>
    <w:rsid w:val="00130480"/>
    <w:rsid w:val="00130863"/>
    <w:rsid w:val="00131357"/>
    <w:rsid w:val="0013180F"/>
    <w:rsid w:val="00132288"/>
    <w:rsid w:val="0013296E"/>
    <w:rsid w:val="001340C3"/>
    <w:rsid w:val="0013451B"/>
    <w:rsid w:val="00134B04"/>
    <w:rsid w:val="00135812"/>
    <w:rsid w:val="00135984"/>
    <w:rsid w:val="00135A9A"/>
    <w:rsid w:val="00135D86"/>
    <w:rsid w:val="0013747E"/>
    <w:rsid w:val="001375BE"/>
    <w:rsid w:val="00137813"/>
    <w:rsid w:val="00137F42"/>
    <w:rsid w:val="001406D7"/>
    <w:rsid w:val="00140B60"/>
    <w:rsid w:val="00141D85"/>
    <w:rsid w:val="0014237F"/>
    <w:rsid w:val="001426DD"/>
    <w:rsid w:val="001439F7"/>
    <w:rsid w:val="001443D9"/>
    <w:rsid w:val="001444E6"/>
    <w:rsid w:val="00144728"/>
    <w:rsid w:val="00144F4F"/>
    <w:rsid w:val="00145420"/>
    <w:rsid w:val="00146230"/>
    <w:rsid w:val="00146B9F"/>
    <w:rsid w:val="00146CCC"/>
    <w:rsid w:val="00146EA5"/>
    <w:rsid w:val="00147D48"/>
    <w:rsid w:val="00147E93"/>
    <w:rsid w:val="0015013F"/>
    <w:rsid w:val="00150ACF"/>
    <w:rsid w:val="00150EF8"/>
    <w:rsid w:val="001512E9"/>
    <w:rsid w:val="0015149A"/>
    <w:rsid w:val="00151DC7"/>
    <w:rsid w:val="00151DE7"/>
    <w:rsid w:val="00152133"/>
    <w:rsid w:val="0015242E"/>
    <w:rsid w:val="001525D2"/>
    <w:rsid w:val="001527AC"/>
    <w:rsid w:val="001529B2"/>
    <w:rsid w:val="00152E77"/>
    <w:rsid w:val="00154A09"/>
    <w:rsid w:val="00155121"/>
    <w:rsid w:val="0015577E"/>
    <w:rsid w:val="0015691E"/>
    <w:rsid w:val="00156CB5"/>
    <w:rsid w:val="00157FF2"/>
    <w:rsid w:val="00157FF9"/>
    <w:rsid w:val="00161029"/>
    <w:rsid w:val="00162AF3"/>
    <w:rsid w:val="001638A8"/>
    <w:rsid w:val="00163BDE"/>
    <w:rsid w:val="00163C89"/>
    <w:rsid w:val="00163EF2"/>
    <w:rsid w:val="00163FC9"/>
    <w:rsid w:val="00165E4A"/>
    <w:rsid w:val="00166C76"/>
    <w:rsid w:val="00170ABF"/>
    <w:rsid w:val="0017114C"/>
    <w:rsid w:val="00171F11"/>
    <w:rsid w:val="00172462"/>
    <w:rsid w:val="00172813"/>
    <w:rsid w:val="00173234"/>
    <w:rsid w:val="00173351"/>
    <w:rsid w:val="00173ED3"/>
    <w:rsid w:val="00174757"/>
    <w:rsid w:val="00175A93"/>
    <w:rsid w:val="00175A98"/>
    <w:rsid w:val="00175ED1"/>
    <w:rsid w:val="0017618F"/>
    <w:rsid w:val="0017647B"/>
    <w:rsid w:val="00176539"/>
    <w:rsid w:val="001767B2"/>
    <w:rsid w:val="00180D8D"/>
    <w:rsid w:val="00181587"/>
    <w:rsid w:val="00181BCC"/>
    <w:rsid w:val="001824C0"/>
    <w:rsid w:val="001825CA"/>
    <w:rsid w:val="0018297C"/>
    <w:rsid w:val="00183C34"/>
    <w:rsid w:val="00186704"/>
    <w:rsid w:val="00186855"/>
    <w:rsid w:val="00186E0A"/>
    <w:rsid w:val="001872B0"/>
    <w:rsid w:val="001877A1"/>
    <w:rsid w:val="00190FF1"/>
    <w:rsid w:val="00191A68"/>
    <w:rsid w:val="00191E27"/>
    <w:rsid w:val="001931D6"/>
    <w:rsid w:val="001935F6"/>
    <w:rsid w:val="00193B4E"/>
    <w:rsid w:val="00193CF8"/>
    <w:rsid w:val="00194024"/>
    <w:rsid w:val="00194D76"/>
    <w:rsid w:val="00195694"/>
    <w:rsid w:val="00196555"/>
    <w:rsid w:val="001967D3"/>
    <w:rsid w:val="00196B5E"/>
    <w:rsid w:val="00197BDE"/>
    <w:rsid w:val="00197F7A"/>
    <w:rsid w:val="001A1255"/>
    <w:rsid w:val="001A147A"/>
    <w:rsid w:val="001A14CE"/>
    <w:rsid w:val="001A1B01"/>
    <w:rsid w:val="001A210A"/>
    <w:rsid w:val="001A21CE"/>
    <w:rsid w:val="001A2234"/>
    <w:rsid w:val="001A25E8"/>
    <w:rsid w:val="001A2AF9"/>
    <w:rsid w:val="001A3909"/>
    <w:rsid w:val="001A3CA3"/>
    <w:rsid w:val="001A5129"/>
    <w:rsid w:val="001A5EA0"/>
    <w:rsid w:val="001A6AEB"/>
    <w:rsid w:val="001A6D08"/>
    <w:rsid w:val="001A7358"/>
    <w:rsid w:val="001A7F6D"/>
    <w:rsid w:val="001B007B"/>
    <w:rsid w:val="001B01A2"/>
    <w:rsid w:val="001B02CD"/>
    <w:rsid w:val="001B0EE7"/>
    <w:rsid w:val="001B16EC"/>
    <w:rsid w:val="001B2171"/>
    <w:rsid w:val="001B2AE5"/>
    <w:rsid w:val="001B3BDE"/>
    <w:rsid w:val="001B60B0"/>
    <w:rsid w:val="001B63C4"/>
    <w:rsid w:val="001B6F65"/>
    <w:rsid w:val="001B7244"/>
    <w:rsid w:val="001C0AC4"/>
    <w:rsid w:val="001C0BFC"/>
    <w:rsid w:val="001C22FB"/>
    <w:rsid w:val="001C2D53"/>
    <w:rsid w:val="001C340C"/>
    <w:rsid w:val="001C3E5E"/>
    <w:rsid w:val="001C47C6"/>
    <w:rsid w:val="001C4A11"/>
    <w:rsid w:val="001C4DD8"/>
    <w:rsid w:val="001C4E4F"/>
    <w:rsid w:val="001C5828"/>
    <w:rsid w:val="001C6181"/>
    <w:rsid w:val="001C6472"/>
    <w:rsid w:val="001C7DAB"/>
    <w:rsid w:val="001D164E"/>
    <w:rsid w:val="001D2571"/>
    <w:rsid w:val="001D4326"/>
    <w:rsid w:val="001D4605"/>
    <w:rsid w:val="001D49F7"/>
    <w:rsid w:val="001D4A06"/>
    <w:rsid w:val="001D4BDE"/>
    <w:rsid w:val="001D519B"/>
    <w:rsid w:val="001D53CE"/>
    <w:rsid w:val="001D577E"/>
    <w:rsid w:val="001D6B95"/>
    <w:rsid w:val="001D7213"/>
    <w:rsid w:val="001D7305"/>
    <w:rsid w:val="001D791C"/>
    <w:rsid w:val="001D7BB9"/>
    <w:rsid w:val="001E0A16"/>
    <w:rsid w:val="001E0CFC"/>
    <w:rsid w:val="001E10B9"/>
    <w:rsid w:val="001E1666"/>
    <w:rsid w:val="001E18CD"/>
    <w:rsid w:val="001E1BA1"/>
    <w:rsid w:val="001E2CBB"/>
    <w:rsid w:val="001E2DEC"/>
    <w:rsid w:val="001E30C4"/>
    <w:rsid w:val="001E35BA"/>
    <w:rsid w:val="001E4329"/>
    <w:rsid w:val="001E4381"/>
    <w:rsid w:val="001E4B40"/>
    <w:rsid w:val="001E676E"/>
    <w:rsid w:val="001E67C6"/>
    <w:rsid w:val="001E7C1C"/>
    <w:rsid w:val="001E7E26"/>
    <w:rsid w:val="001F078F"/>
    <w:rsid w:val="001F08A5"/>
    <w:rsid w:val="001F12B8"/>
    <w:rsid w:val="001F1384"/>
    <w:rsid w:val="001F1488"/>
    <w:rsid w:val="001F183F"/>
    <w:rsid w:val="001F20BF"/>
    <w:rsid w:val="001F2677"/>
    <w:rsid w:val="001F3837"/>
    <w:rsid w:val="001F3D4E"/>
    <w:rsid w:val="001F431E"/>
    <w:rsid w:val="001F452B"/>
    <w:rsid w:val="001F46B4"/>
    <w:rsid w:val="001F512D"/>
    <w:rsid w:val="001F5582"/>
    <w:rsid w:val="001F5FB7"/>
    <w:rsid w:val="001F6381"/>
    <w:rsid w:val="001F6E83"/>
    <w:rsid w:val="001F77C2"/>
    <w:rsid w:val="001F7E52"/>
    <w:rsid w:val="00200087"/>
    <w:rsid w:val="002001C0"/>
    <w:rsid w:val="00202798"/>
    <w:rsid w:val="0020293C"/>
    <w:rsid w:val="00203667"/>
    <w:rsid w:val="00203697"/>
    <w:rsid w:val="00203B62"/>
    <w:rsid w:val="0020431F"/>
    <w:rsid w:val="0020495A"/>
    <w:rsid w:val="002067DF"/>
    <w:rsid w:val="00206B8E"/>
    <w:rsid w:val="0020716A"/>
    <w:rsid w:val="0020784C"/>
    <w:rsid w:val="00210142"/>
    <w:rsid w:val="0021064A"/>
    <w:rsid w:val="00210ED6"/>
    <w:rsid w:val="002128AA"/>
    <w:rsid w:val="00212961"/>
    <w:rsid w:val="0021300F"/>
    <w:rsid w:val="002138F5"/>
    <w:rsid w:val="00214535"/>
    <w:rsid w:val="0021477E"/>
    <w:rsid w:val="00214B53"/>
    <w:rsid w:val="00214B78"/>
    <w:rsid w:val="00214E0B"/>
    <w:rsid w:val="00214F78"/>
    <w:rsid w:val="00215C89"/>
    <w:rsid w:val="00216BB6"/>
    <w:rsid w:val="0021721D"/>
    <w:rsid w:val="00217312"/>
    <w:rsid w:val="002174DB"/>
    <w:rsid w:val="0022126F"/>
    <w:rsid w:val="00222A4D"/>
    <w:rsid w:val="00222FC1"/>
    <w:rsid w:val="0022308F"/>
    <w:rsid w:val="00223519"/>
    <w:rsid w:val="0022380E"/>
    <w:rsid w:val="00223CEA"/>
    <w:rsid w:val="00223D1A"/>
    <w:rsid w:val="0022492E"/>
    <w:rsid w:val="00224B14"/>
    <w:rsid w:val="00224E7D"/>
    <w:rsid w:val="002250DB"/>
    <w:rsid w:val="002253B7"/>
    <w:rsid w:val="0022557B"/>
    <w:rsid w:val="00225ED5"/>
    <w:rsid w:val="00225FAF"/>
    <w:rsid w:val="00226C07"/>
    <w:rsid w:val="00226D7C"/>
    <w:rsid w:val="00226FA4"/>
    <w:rsid w:val="00227345"/>
    <w:rsid w:val="002274FA"/>
    <w:rsid w:val="00227702"/>
    <w:rsid w:val="00227930"/>
    <w:rsid w:val="00230182"/>
    <w:rsid w:val="00230791"/>
    <w:rsid w:val="00232DB2"/>
    <w:rsid w:val="002334A0"/>
    <w:rsid w:val="00233D5C"/>
    <w:rsid w:val="002342FC"/>
    <w:rsid w:val="00234363"/>
    <w:rsid w:val="002346CB"/>
    <w:rsid w:val="00234F52"/>
    <w:rsid w:val="002364D7"/>
    <w:rsid w:val="0023687F"/>
    <w:rsid w:val="0023719E"/>
    <w:rsid w:val="002374AE"/>
    <w:rsid w:val="00237935"/>
    <w:rsid w:val="00237B6C"/>
    <w:rsid w:val="002402B5"/>
    <w:rsid w:val="00240A68"/>
    <w:rsid w:val="002419CA"/>
    <w:rsid w:val="0024204C"/>
    <w:rsid w:val="00242EAA"/>
    <w:rsid w:val="002430EB"/>
    <w:rsid w:val="00244408"/>
    <w:rsid w:val="00244C3F"/>
    <w:rsid w:val="002453F1"/>
    <w:rsid w:val="00245F1A"/>
    <w:rsid w:val="002464EE"/>
    <w:rsid w:val="0024662D"/>
    <w:rsid w:val="00246DF6"/>
    <w:rsid w:val="00247000"/>
    <w:rsid w:val="0025076D"/>
    <w:rsid w:val="00250AC7"/>
    <w:rsid w:val="002519D5"/>
    <w:rsid w:val="00252A03"/>
    <w:rsid w:val="00252C58"/>
    <w:rsid w:val="00253A93"/>
    <w:rsid w:val="0025405F"/>
    <w:rsid w:val="00254D0D"/>
    <w:rsid w:val="00256139"/>
    <w:rsid w:val="00256C07"/>
    <w:rsid w:val="00257236"/>
    <w:rsid w:val="0025730F"/>
    <w:rsid w:val="00257F3A"/>
    <w:rsid w:val="002602E8"/>
    <w:rsid w:val="00261314"/>
    <w:rsid w:val="002626EA"/>
    <w:rsid w:val="00262768"/>
    <w:rsid w:val="00263B99"/>
    <w:rsid w:val="00263E8D"/>
    <w:rsid w:val="00264903"/>
    <w:rsid w:val="00264E10"/>
    <w:rsid w:val="00265186"/>
    <w:rsid w:val="002654E2"/>
    <w:rsid w:val="00265DE9"/>
    <w:rsid w:val="00266911"/>
    <w:rsid w:val="002675E7"/>
    <w:rsid w:val="002706CA"/>
    <w:rsid w:val="00271440"/>
    <w:rsid w:val="0027161E"/>
    <w:rsid w:val="00271F56"/>
    <w:rsid w:val="0027353C"/>
    <w:rsid w:val="002739E7"/>
    <w:rsid w:val="002739F0"/>
    <w:rsid w:val="00274897"/>
    <w:rsid w:val="00274D08"/>
    <w:rsid w:val="0027596A"/>
    <w:rsid w:val="002759EF"/>
    <w:rsid w:val="002760B3"/>
    <w:rsid w:val="002762FB"/>
    <w:rsid w:val="0027645F"/>
    <w:rsid w:val="00276599"/>
    <w:rsid w:val="002770FF"/>
    <w:rsid w:val="00277F40"/>
    <w:rsid w:val="00280D64"/>
    <w:rsid w:val="002817A9"/>
    <w:rsid w:val="00281A56"/>
    <w:rsid w:val="00282978"/>
    <w:rsid w:val="00282BD9"/>
    <w:rsid w:val="002837CE"/>
    <w:rsid w:val="00283D50"/>
    <w:rsid w:val="00284210"/>
    <w:rsid w:val="0028441D"/>
    <w:rsid w:val="00284D74"/>
    <w:rsid w:val="00284FC9"/>
    <w:rsid w:val="00285022"/>
    <w:rsid w:val="0028546F"/>
    <w:rsid w:val="00286108"/>
    <w:rsid w:val="002875EC"/>
    <w:rsid w:val="00287AFC"/>
    <w:rsid w:val="00287CE2"/>
    <w:rsid w:val="00287DC5"/>
    <w:rsid w:val="002900BE"/>
    <w:rsid w:val="00290939"/>
    <w:rsid w:val="00290E0F"/>
    <w:rsid w:val="0029154A"/>
    <w:rsid w:val="00291959"/>
    <w:rsid w:val="00291CD3"/>
    <w:rsid w:val="00291FAE"/>
    <w:rsid w:val="00292C96"/>
    <w:rsid w:val="00292D07"/>
    <w:rsid w:val="00293381"/>
    <w:rsid w:val="0029420A"/>
    <w:rsid w:val="002946BE"/>
    <w:rsid w:val="00295EF8"/>
    <w:rsid w:val="002972A4"/>
    <w:rsid w:val="00297326"/>
    <w:rsid w:val="002A16CA"/>
    <w:rsid w:val="002A227F"/>
    <w:rsid w:val="002A23B2"/>
    <w:rsid w:val="002A2DC8"/>
    <w:rsid w:val="002A3173"/>
    <w:rsid w:val="002A387F"/>
    <w:rsid w:val="002A5072"/>
    <w:rsid w:val="002A5810"/>
    <w:rsid w:val="002A60CF"/>
    <w:rsid w:val="002A699D"/>
    <w:rsid w:val="002A6F8C"/>
    <w:rsid w:val="002A7137"/>
    <w:rsid w:val="002B0179"/>
    <w:rsid w:val="002B0B16"/>
    <w:rsid w:val="002B0DE9"/>
    <w:rsid w:val="002B14B0"/>
    <w:rsid w:val="002B15F5"/>
    <w:rsid w:val="002B1E25"/>
    <w:rsid w:val="002B1FAC"/>
    <w:rsid w:val="002B288B"/>
    <w:rsid w:val="002B3C6E"/>
    <w:rsid w:val="002B470B"/>
    <w:rsid w:val="002B5859"/>
    <w:rsid w:val="002B5E7F"/>
    <w:rsid w:val="002B6AEF"/>
    <w:rsid w:val="002B6E9E"/>
    <w:rsid w:val="002B70C4"/>
    <w:rsid w:val="002B7108"/>
    <w:rsid w:val="002B7361"/>
    <w:rsid w:val="002B7574"/>
    <w:rsid w:val="002B76C8"/>
    <w:rsid w:val="002B7998"/>
    <w:rsid w:val="002B7A30"/>
    <w:rsid w:val="002C0E29"/>
    <w:rsid w:val="002C1201"/>
    <w:rsid w:val="002C1944"/>
    <w:rsid w:val="002C1CDC"/>
    <w:rsid w:val="002C2C84"/>
    <w:rsid w:val="002C2F5D"/>
    <w:rsid w:val="002C376E"/>
    <w:rsid w:val="002C4A27"/>
    <w:rsid w:val="002C4C96"/>
    <w:rsid w:val="002C4D07"/>
    <w:rsid w:val="002C5631"/>
    <w:rsid w:val="002C5D87"/>
    <w:rsid w:val="002C5DAF"/>
    <w:rsid w:val="002C65B8"/>
    <w:rsid w:val="002C6DE4"/>
    <w:rsid w:val="002C7837"/>
    <w:rsid w:val="002D025C"/>
    <w:rsid w:val="002D03BE"/>
    <w:rsid w:val="002D0552"/>
    <w:rsid w:val="002D11B1"/>
    <w:rsid w:val="002D1449"/>
    <w:rsid w:val="002D2921"/>
    <w:rsid w:val="002D2F1E"/>
    <w:rsid w:val="002D447E"/>
    <w:rsid w:val="002D4779"/>
    <w:rsid w:val="002D5A2D"/>
    <w:rsid w:val="002D5D6A"/>
    <w:rsid w:val="002D5ED3"/>
    <w:rsid w:val="002D60D0"/>
    <w:rsid w:val="002D6294"/>
    <w:rsid w:val="002D6C4D"/>
    <w:rsid w:val="002D7590"/>
    <w:rsid w:val="002D7BC0"/>
    <w:rsid w:val="002E0991"/>
    <w:rsid w:val="002E353C"/>
    <w:rsid w:val="002E35AD"/>
    <w:rsid w:val="002E3C91"/>
    <w:rsid w:val="002E3FCB"/>
    <w:rsid w:val="002E4FE8"/>
    <w:rsid w:val="002E53B5"/>
    <w:rsid w:val="002E5A1C"/>
    <w:rsid w:val="002E5D3E"/>
    <w:rsid w:val="002E61C8"/>
    <w:rsid w:val="002E6766"/>
    <w:rsid w:val="002E74F7"/>
    <w:rsid w:val="002F07E2"/>
    <w:rsid w:val="002F124E"/>
    <w:rsid w:val="002F16AF"/>
    <w:rsid w:val="002F1A74"/>
    <w:rsid w:val="002F2160"/>
    <w:rsid w:val="002F2C70"/>
    <w:rsid w:val="002F305A"/>
    <w:rsid w:val="002F3220"/>
    <w:rsid w:val="002F39CA"/>
    <w:rsid w:val="002F44F6"/>
    <w:rsid w:val="002F4605"/>
    <w:rsid w:val="002F4EC0"/>
    <w:rsid w:val="002F5724"/>
    <w:rsid w:val="002F5B2E"/>
    <w:rsid w:val="002F69AA"/>
    <w:rsid w:val="002F6ECF"/>
    <w:rsid w:val="002F73A2"/>
    <w:rsid w:val="002F74BF"/>
    <w:rsid w:val="002F7F14"/>
    <w:rsid w:val="003005C8"/>
    <w:rsid w:val="00301090"/>
    <w:rsid w:val="0030153F"/>
    <w:rsid w:val="00301615"/>
    <w:rsid w:val="00302D68"/>
    <w:rsid w:val="003037DA"/>
    <w:rsid w:val="00303CC5"/>
    <w:rsid w:val="0030480F"/>
    <w:rsid w:val="00305555"/>
    <w:rsid w:val="00305CBF"/>
    <w:rsid w:val="00305EF2"/>
    <w:rsid w:val="0031072D"/>
    <w:rsid w:val="0031152B"/>
    <w:rsid w:val="00311700"/>
    <w:rsid w:val="003117A4"/>
    <w:rsid w:val="0031202F"/>
    <w:rsid w:val="003122C4"/>
    <w:rsid w:val="00312975"/>
    <w:rsid w:val="0031305D"/>
    <w:rsid w:val="00314EB0"/>
    <w:rsid w:val="00315531"/>
    <w:rsid w:val="00315A18"/>
    <w:rsid w:val="00315F07"/>
    <w:rsid w:val="003162D1"/>
    <w:rsid w:val="0031678D"/>
    <w:rsid w:val="003171DF"/>
    <w:rsid w:val="00317615"/>
    <w:rsid w:val="0032000D"/>
    <w:rsid w:val="00320671"/>
    <w:rsid w:val="00320936"/>
    <w:rsid w:val="00320A95"/>
    <w:rsid w:val="00321DA1"/>
    <w:rsid w:val="00321FDE"/>
    <w:rsid w:val="00322CC4"/>
    <w:rsid w:val="00323004"/>
    <w:rsid w:val="0032402B"/>
    <w:rsid w:val="00324083"/>
    <w:rsid w:val="003248CC"/>
    <w:rsid w:val="00324C64"/>
    <w:rsid w:val="00326602"/>
    <w:rsid w:val="003271F3"/>
    <w:rsid w:val="0032796B"/>
    <w:rsid w:val="00330C10"/>
    <w:rsid w:val="003319F6"/>
    <w:rsid w:val="00331E95"/>
    <w:rsid w:val="00332ACD"/>
    <w:rsid w:val="00332DEC"/>
    <w:rsid w:val="003341B3"/>
    <w:rsid w:val="00334590"/>
    <w:rsid w:val="00334EE5"/>
    <w:rsid w:val="00335EA1"/>
    <w:rsid w:val="0033632A"/>
    <w:rsid w:val="00336F29"/>
    <w:rsid w:val="00336F6E"/>
    <w:rsid w:val="003401A4"/>
    <w:rsid w:val="0034071C"/>
    <w:rsid w:val="0034104C"/>
    <w:rsid w:val="003427B6"/>
    <w:rsid w:val="00342B79"/>
    <w:rsid w:val="00342EA8"/>
    <w:rsid w:val="00342FA0"/>
    <w:rsid w:val="00342FCF"/>
    <w:rsid w:val="00343499"/>
    <w:rsid w:val="003448E8"/>
    <w:rsid w:val="00344C08"/>
    <w:rsid w:val="00344FF3"/>
    <w:rsid w:val="00345078"/>
    <w:rsid w:val="00345F85"/>
    <w:rsid w:val="00347500"/>
    <w:rsid w:val="003476E8"/>
    <w:rsid w:val="003504E6"/>
    <w:rsid w:val="00350EEC"/>
    <w:rsid w:val="00351436"/>
    <w:rsid w:val="003517FF"/>
    <w:rsid w:val="00351C5C"/>
    <w:rsid w:val="003528A3"/>
    <w:rsid w:val="00352C74"/>
    <w:rsid w:val="00352FD7"/>
    <w:rsid w:val="003535B6"/>
    <w:rsid w:val="003536C9"/>
    <w:rsid w:val="00355022"/>
    <w:rsid w:val="00355590"/>
    <w:rsid w:val="00355F5D"/>
    <w:rsid w:val="00356182"/>
    <w:rsid w:val="003561B5"/>
    <w:rsid w:val="00356C00"/>
    <w:rsid w:val="0035723D"/>
    <w:rsid w:val="00360DF2"/>
    <w:rsid w:val="003613BA"/>
    <w:rsid w:val="00362D68"/>
    <w:rsid w:val="00363A2D"/>
    <w:rsid w:val="00363B8E"/>
    <w:rsid w:val="00363BF4"/>
    <w:rsid w:val="003656B6"/>
    <w:rsid w:val="00365F49"/>
    <w:rsid w:val="003663A6"/>
    <w:rsid w:val="003671F4"/>
    <w:rsid w:val="003719B1"/>
    <w:rsid w:val="00373737"/>
    <w:rsid w:val="003742D8"/>
    <w:rsid w:val="0037536E"/>
    <w:rsid w:val="003759B2"/>
    <w:rsid w:val="00376BDA"/>
    <w:rsid w:val="00376C0D"/>
    <w:rsid w:val="00376D7A"/>
    <w:rsid w:val="00377E05"/>
    <w:rsid w:val="003804D5"/>
    <w:rsid w:val="00380BF9"/>
    <w:rsid w:val="0038286C"/>
    <w:rsid w:val="00383C5E"/>
    <w:rsid w:val="003841A1"/>
    <w:rsid w:val="00384440"/>
    <w:rsid w:val="00384756"/>
    <w:rsid w:val="0038512A"/>
    <w:rsid w:val="00385630"/>
    <w:rsid w:val="00385D3D"/>
    <w:rsid w:val="003864BB"/>
    <w:rsid w:val="0038709A"/>
    <w:rsid w:val="00387A2C"/>
    <w:rsid w:val="0039042E"/>
    <w:rsid w:val="00390534"/>
    <w:rsid w:val="003908F8"/>
    <w:rsid w:val="00391940"/>
    <w:rsid w:val="00391F2A"/>
    <w:rsid w:val="00392DD9"/>
    <w:rsid w:val="00393191"/>
    <w:rsid w:val="003937DE"/>
    <w:rsid w:val="00393F1B"/>
    <w:rsid w:val="00395607"/>
    <w:rsid w:val="003959D0"/>
    <w:rsid w:val="003967D5"/>
    <w:rsid w:val="00396A25"/>
    <w:rsid w:val="00396AB3"/>
    <w:rsid w:val="00396E80"/>
    <w:rsid w:val="003A033F"/>
    <w:rsid w:val="003A04AB"/>
    <w:rsid w:val="003A1489"/>
    <w:rsid w:val="003A1E02"/>
    <w:rsid w:val="003A3488"/>
    <w:rsid w:val="003A378C"/>
    <w:rsid w:val="003A3E27"/>
    <w:rsid w:val="003A43D7"/>
    <w:rsid w:val="003A48AE"/>
    <w:rsid w:val="003A505D"/>
    <w:rsid w:val="003A7103"/>
    <w:rsid w:val="003A71C7"/>
    <w:rsid w:val="003A7C96"/>
    <w:rsid w:val="003B144A"/>
    <w:rsid w:val="003B2575"/>
    <w:rsid w:val="003B395C"/>
    <w:rsid w:val="003B3C59"/>
    <w:rsid w:val="003B48D1"/>
    <w:rsid w:val="003B4C77"/>
    <w:rsid w:val="003B52A2"/>
    <w:rsid w:val="003B55EB"/>
    <w:rsid w:val="003B5B36"/>
    <w:rsid w:val="003B6854"/>
    <w:rsid w:val="003B7D40"/>
    <w:rsid w:val="003C0BED"/>
    <w:rsid w:val="003C1FB5"/>
    <w:rsid w:val="003C2BD3"/>
    <w:rsid w:val="003C3608"/>
    <w:rsid w:val="003C3699"/>
    <w:rsid w:val="003C3948"/>
    <w:rsid w:val="003C4672"/>
    <w:rsid w:val="003C60C3"/>
    <w:rsid w:val="003C6745"/>
    <w:rsid w:val="003C6B38"/>
    <w:rsid w:val="003C75AB"/>
    <w:rsid w:val="003C75F9"/>
    <w:rsid w:val="003D060D"/>
    <w:rsid w:val="003D09D3"/>
    <w:rsid w:val="003D142B"/>
    <w:rsid w:val="003D15BC"/>
    <w:rsid w:val="003D1764"/>
    <w:rsid w:val="003D2967"/>
    <w:rsid w:val="003D3CE6"/>
    <w:rsid w:val="003D4634"/>
    <w:rsid w:val="003D53C6"/>
    <w:rsid w:val="003D5A67"/>
    <w:rsid w:val="003D5C7B"/>
    <w:rsid w:val="003D6B0D"/>
    <w:rsid w:val="003D6E32"/>
    <w:rsid w:val="003D6E77"/>
    <w:rsid w:val="003D7835"/>
    <w:rsid w:val="003D7A18"/>
    <w:rsid w:val="003E0D80"/>
    <w:rsid w:val="003E1749"/>
    <w:rsid w:val="003E1A7F"/>
    <w:rsid w:val="003E1CDF"/>
    <w:rsid w:val="003E2B18"/>
    <w:rsid w:val="003E356E"/>
    <w:rsid w:val="003E4135"/>
    <w:rsid w:val="003E41E2"/>
    <w:rsid w:val="003E44A0"/>
    <w:rsid w:val="003E4519"/>
    <w:rsid w:val="003E5488"/>
    <w:rsid w:val="003E5F86"/>
    <w:rsid w:val="003E6B4D"/>
    <w:rsid w:val="003E73C8"/>
    <w:rsid w:val="003F11D0"/>
    <w:rsid w:val="003F14EA"/>
    <w:rsid w:val="003F2045"/>
    <w:rsid w:val="003F245D"/>
    <w:rsid w:val="003F4732"/>
    <w:rsid w:val="003F4B21"/>
    <w:rsid w:val="003F533E"/>
    <w:rsid w:val="003F5F37"/>
    <w:rsid w:val="003F65D3"/>
    <w:rsid w:val="003F7C21"/>
    <w:rsid w:val="0040073A"/>
    <w:rsid w:val="00401135"/>
    <w:rsid w:val="00401454"/>
    <w:rsid w:val="004015BA"/>
    <w:rsid w:val="0040188F"/>
    <w:rsid w:val="0040288A"/>
    <w:rsid w:val="00402A2E"/>
    <w:rsid w:val="00403B79"/>
    <w:rsid w:val="00403D05"/>
    <w:rsid w:val="004074CD"/>
    <w:rsid w:val="004075AE"/>
    <w:rsid w:val="00407A29"/>
    <w:rsid w:val="00407CB4"/>
    <w:rsid w:val="00410715"/>
    <w:rsid w:val="00410EE4"/>
    <w:rsid w:val="00410F90"/>
    <w:rsid w:val="00412428"/>
    <w:rsid w:val="0041263E"/>
    <w:rsid w:val="00413D08"/>
    <w:rsid w:val="00413E6D"/>
    <w:rsid w:val="00414454"/>
    <w:rsid w:val="00414716"/>
    <w:rsid w:val="00414FE3"/>
    <w:rsid w:val="00415252"/>
    <w:rsid w:val="0041645C"/>
    <w:rsid w:val="00417549"/>
    <w:rsid w:val="00420921"/>
    <w:rsid w:val="00421E2D"/>
    <w:rsid w:val="00421EE6"/>
    <w:rsid w:val="004220D3"/>
    <w:rsid w:val="00425657"/>
    <w:rsid w:val="00425CF5"/>
    <w:rsid w:val="00426A99"/>
    <w:rsid w:val="00426C3C"/>
    <w:rsid w:val="00426E0D"/>
    <w:rsid w:val="0042768F"/>
    <w:rsid w:val="00427E8F"/>
    <w:rsid w:val="00427EB3"/>
    <w:rsid w:val="0043070E"/>
    <w:rsid w:val="004312A0"/>
    <w:rsid w:val="00431823"/>
    <w:rsid w:val="00432219"/>
    <w:rsid w:val="0043272E"/>
    <w:rsid w:val="004328E8"/>
    <w:rsid w:val="00432F22"/>
    <w:rsid w:val="00432F5B"/>
    <w:rsid w:val="00433939"/>
    <w:rsid w:val="00433EA2"/>
    <w:rsid w:val="00434446"/>
    <w:rsid w:val="004353FF"/>
    <w:rsid w:val="00435411"/>
    <w:rsid w:val="00436199"/>
    <w:rsid w:val="00436975"/>
    <w:rsid w:val="00436A0C"/>
    <w:rsid w:val="004371FF"/>
    <w:rsid w:val="004373A2"/>
    <w:rsid w:val="00437628"/>
    <w:rsid w:val="00437F2E"/>
    <w:rsid w:val="00440A8A"/>
    <w:rsid w:val="0044116A"/>
    <w:rsid w:val="0044262C"/>
    <w:rsid w:val="00442D41"/>
    <w:rsid w:val="00442D69"/>
    <w:rsid w:val="00442DE1"/>
    <w:rsid w:val="004444F8"/>
    <w:rsid w:val="00444A31"/>
    <w:rsid w:val="00444A71"/>
    <w:rsid w:val="00444D1E"/>
    <w:rsid w:val="004470B2"/>
    <w:rsid w:val="0044798B"/>
    <w:rsid w:val="00447C26"/>
    <w:rsid w:val="00447CA6"/>
    <w:rsid w:val="00447EFD"/>
    <w:rsid w:val="00447F03"/>
    <w:rsid w:val="00450D54"/>
    <w:rsid w:val="004512D2"/>
    <w:rsid w:val="00451696"/>
    <w:rsid w:val="00451DB8"/>
    <w:rsid w:val="0045225A"/>
    <w:rsid w:val="00452859"/>
    <w:rsid w:val="00452CD1"/>
    <w:rsid w:val="004530E4"/>
    <w:rsid w:val="00453893"/>
    <w:rsid w:val="00453C86"/>
    <w:rsid w:val="00453DE7"/>
    <w:rsid w:val="0045436E"/>
    <w:rsid w:val="00456176"/>
    <w:rsid w:val="004561DF"/>
    <w:rsid w:val="00457011"/>
    <w:rsid w:val="0045713C"/>
    <w:rsid w:val="00457341"/>
    <w:rsid w:val="00457460"/>
    <w:rsid w:val="00457B47"/>
    <w:rsid w:val="00457C79"/>
    <w:rsid w:val="00457E9D"/>
    <w:rsid w:val="00460D86"/>
    <w:rsid w:val="00461E21"/>
    <w:rsid w:val="0046316C"/>
    <w:rsid w:val="00463767"/>
    <w:rsid w:val="0046381B"/>
    <w:rsid w:val="00464125"/>
    <w:rsid w:val="00464327"/>
    <w:rsid w:val="00464A3E"/>
    <w:rsid w:val="00464B51"/>
    <w:rsid w:val="00465365"/>
    <w:rsid w:val="004654CC"/>
    <w:rsid w:val="00465EF2"/>
    <w:rsid w:val="00466C1A"/>
    <w:rsid w:val="00467F98"/>
    <w:rsid w:val="00470C03"/>
    <w:rsid w:val="00471182"/>
    <w:rsid w:val="004716EC"/>
    <w:rsid w:val="00471AE5"/>
    <w:rsid w:val="0047229F"/>
    <w:rsid w:val="00472518"/>
    <w:rsid w:val="00472B22"/>
    <w:rsid w:val="00473141"/>
    <w:rsid w:val="00473568"/>
    <w:rsid w:val="00473998"/>
    <w:rsid w:val="00473E01"/>
    <w:rsid w:val="00474DC0"/>
    <w:rsid w:val="00475000"/>
    <w:rsid w:val="0047596A"/>
    <w:rsid w:val="00475BD2"/>
    <w:rsid w:val="00475CDC"/>
    <w:rsid w:val="00476EE1"/>
    <w:rsid w:val="00480849"/>
    <w:rsid w:val="00480A31"/>
    <w:rsid w:val="00480A4D"/>
    <w:rsid w:val="00480BC4"/>
    <w:rsid w:val="00480D77"/>
    <w:rsid w:val="004811C4"/>
    <w:rsid w:val="00481845"/>
    <w:rsid w:val="004820A0"/>
    <w:rsid w:val="00482321"/>
    <w:rsid w:val="004826E7"/>
    <w:rsid w:val="00482B11"/>
    <w:rsid w:val="0048389C"/>
    <w:rsid w:val="00484C9F"/>
    <w:rsid w:val="0048518B"/>
    <w:rsid w:val="00485EEB"/>
    <w:rsid w:val="00487847"/>
    <w:rsid w:val="00487A1E"/>
    <w:rsid w:val="00487BEA"/>
    <w:rsid w:val="00487CE1"/>
    <w:rsid w:val="00487E26"/>
    <w:rsid w:val="00487E49"/>
    <w:rsid w:val="0049142F"/>
    <w:rsid w:val="004918F6"/>
    <w:rsid w:val="00491ECE"/>
    <w:rsid w:val="00491F1E"/>
    <w:rsid w:val="004920B1"/>
    <w:rsid w:val="004920BB"/>
    <w:rsid w:val="00493803"/>
    <w:rsid w:val="00494212"/>
    <w:rsid w:val="004952A8"/>
    <w:rsid w:val="004959D6"/>
    <w:rsid w:val="00495C7E"/>
    <w:rsid w:val="00496707"/>
    <w:rsid w:val="00497133"/>
    <w:rsid w:val="004971F5"/>
    <w:rsid w:val="00497382"/>
    <w:rsid w:val="00497C57"/>
    <w:rsid w:val="004A0564"/>
    <w:rsid w:val="004A057C"/>
    <w:rsid w:val="004A0ADB"/>
    <w:rsid w:val="004A1A49"/>
    <w:rsid w:val="004A1A4B"/>
    <w:rsid w:val="004A1BBC"/>
    <w:rsid w:val="004A2634"/>
    <w:rsid w:val="004A2C26"/>
    <w:rsid w:val="004A3C6F"/>
    <w:rsid w:val="004A3CC7"/>
    <w:rsid w:val="004A45F2"/>
    <w:rsid w:val="004A46EA"/>
    <w:rsid w:val="004A4B54"/>
    <w:rsid w:val="004A4BDC"/>
    <w:rsid w:val="004A50CA"/>
    <w:rsid w:val="004A6534"/>
    <w:rsid w:val="004A6BFF"/>
    <w:rsid w:val="004B00D8"/>
    <w:rsid w:val="004B0CA1"/>
    <w:rsid w:val="004B1611"/>
    <w:rsid w:val="004B1C04"/>
    <w:rsid w:val="004B5548"/>
    <w:rsid w:val="004B5D9D"/>
    <w:rsid w:val="004B5EB2"/>
    <w:rsid w:val="004B6136"/>
    <w:rsid w:val="004B6A2E"/>
    <w:rsid w:val="004B70B8"/>
    <w:rsid w:val="004C11B1"/>
    <w:rsid w:val="004C30FD"/>
    <w:rsid w:val="004C33E2"/>
    <w:rsid w:val="004C3FD7"/>
    <w:rsid w:val="004C426B"/>
    <w:rsid w:val="004C5544"/>
    <w:rsid w:val="004C5A84"/>
    <w:rsid w:val="004C5DE4"/>
    <w:rsid w:val="004C60B5"/>
    <w:rsid w:val="004C6985"/>
    <w:rsid w:val="004C6F2C"/>
    <w:rsid w:val="004D0D16"/>
    <w:rsid w:val="004D0FB4"/>
    <w:rsid w:val="004D111D"/>
    <w:rsid w:val="004D13EC"/>
    <w:rsid w:val="004D381D"/>
    <w:rsid w:val="004D5F10"/>
    <w:rsid w:val="004D6D99"/>
    <w:rsid w:val="004D6EB9"/>
    <w:rsid w:val="004D71C6"/>
    <w:rsid w:val="004D7309"/>
    <w:rsid w:val="004D75EC"/>
    <w:rsid w:val="004D781B"/>
    <w:rsid w:val="004E0AC8"/>
    <w:rsid w:val="004E0D3E"/>
    <w:rsid w:val="004E0E13"/>
    <w:rsid w:val="004E1B7F"/>
    <w:rsid w:val="004E2469"/>
    <w:rsid w:val="004E314F"/>
    <w:rsid w:val="004E3AD6"/>
    <w:rsid w:val="004E4401"/>
    <w:rsid w:val="004E4FA0"/>
    <w:rsid w:val="004E4FFD"/>
    <w:rsid w:val="004E58CB"/>
    <w:rsid w:val="004E58EF"/>
    <w:rsid w:val="004E6664"/>
    <w:rsid w:val="004E6C77"/>
    <w:rsid w:val="004E6D4F"/>
    <w:rsid w:val="004E786D"/>
    <w:rsid w:val="004E7E40"/>
    <w:rsid w:val="004F0A38"/>
    <w:rsid w:val="004F1648"/>
    <w:rsid w:val="004F1970"/>
    <w:rsid w:val="004F25E8"/>
    <w:rsid w:val="004F2BB6"/>
    <w:rsid w:val="004F2DBC"/>
    <w:rsid w:val="004F2DF7"/>
    <w:rsid w:val="004F34EE"/>
    <w:rsid w:val="004F3555"/>
    <w:rsid w:val="004F3F14"/>
    <w:rsid w:val="004F42F4"/>
    <w:rsid w:val="004F57DE"/>
    <w:rsid w:val="004F6822"/>
    <w:rsid w:val="004F68D4"/>
    <w:rsid w:val="004F7D4A"/>
    <w:rsid w:val="0050030E"/>
    <w:rsid w:val="005011BF"/>
    <w:rsid w:val="00501487"/>
    <w:rsid w:val="005014A8"/>
    <w:rsid w:val="00501888"/>
    <w:rsid w:val="0050291D"/>
    <w:rsid w:val="00503AFD"/>
    <w:rsid w:val="00503B6A"/>
    <w:rsid w:val="00504228"/>
    <w:rsid w:val="00504A26"/>
    <w:rsid w:val="00504D03"/>
    <w:rsid w:val="005055AE"/>
    <w:rsid w:val="005066A5"/>
    <w:rsid w:val="00506DF9"/>
    <w:rsid w:val="0050758D"/>
    <w:rsid w:val="00510C61"/>
    <w:rsid w:val="00511EBB"/>
    <w:rsid w:val="0051259A"/>
    <w:rsid w:val="00513305"/>
    <w:rsid w:val="005135BB"/>
    <w:rsid w:val="00513C50"/>
    <w:rsid w:val="00515065"/>
    <w:rsid w:val="00515A35"/>
    <w:rsid w:val="00516D6C"/>
    <w:rsid w:val="00517850"/>
    <w:rsid w:val="00520868"/>
    <w:rsid w:val="00520C0D"/>
    <w:rsid w:val="00521314"/>
    <w:rsid w:val="00521DF7"/>
    <w:rsid w:val="0052297A"/>
    <w:rsid w:val="00523557"/>
    <w:rsid w:val="00524122"/>
    <w:rsid w:val="00524A1F"/>
    <w:rsid w:val="00525037"/>
    <w:rsid w:val="00525509"/>
    <w:rsid w:val="00526563"/>
    <w:rsid w:val="00526E89"/>
    <w:rsid w:val="0052783C"/>
    <w:rsid w:val="00527AF6"/>
    <w:rsid w:val="005318B3"/>
    <w:rsid w:val="005322B6"/>
    <w:rsid w:val="0053280A"/>
    <w:rsid w:val="00533AEF"/>
    <w:rsid w:val="00533D46"/>
    <w:rsid w:val="00533F0D"/>
    <w:rsid w:val="00534DD1"/>
    <w:rsid w:val="005351AB"/>
    <w:rsid w:val="0053590E"/>
    <w:rsid w:val="00537279"/>
    <w:rsid w:val="0054009B"/>
    <w:rsid w:val="005403B1"/>
    <w:rsid w:val="00540741"/>
    <w:rsid w:val="005407D5"/>
    <w:rsid w:val="0054092F"/>
    <w:rsid w:val="00542242"/>
    <w:rsid w:val="005429A2"/>
    <w:rsid w:val="00542EE6"/>
    <w:rsid w:val="00543884"/>
    <w:rsid w:val="005449D6"/>
    <w:rsid w:val="0054549E"/>
    <w:rsid w:val="00546071"/>
    <w:rsid w:val="0054679C"/>
    <w:rsid w:val="00546D8B"/>
    <w:rsid w:val="005477FE"/>
    <w:rsid w:val="00547B57"/>
    <w:rsid w:val="005507A2"/>
    <w:rsid w:val="00551201"/>
    <w:rsid w:val="0055125D"/>
    <w:rsid w:val="00551397"/>
    <w:rsid w:val="005518E5"/>
    <w:rsid w:val="00551D83"/>
    <w:rsid w:val="005524F2"/>
    <w:rsid w:val="00553AFA"/>
    <w:rsid w:val="00553BB1"/>
    <w:rsid w:val="00553C6E"/>
    <w:rsid w:val="00553CA2"/>
    <w:rsid w:val="005541CC"/>
    <w:rsid w:val="00555559"/>
    <w:rsid w:val="00555AAA"/>
    <w:rsid w:val="00555B5C"/>
    <w:rsid w:val="00556342"/>
    <w:rsid w:val="00556E11"/>
    <w:rsid w:val="00557C9D"/>
    <w:rsid w:val="00561583"/>
    <w:rsid w:val="005625C1"/>
    <w:rsid w:val="00562A18"/>
    <w:rsid w:val="00562E90"/>
    <w:rsid w:val="005630B4"/>
    <w:rsid w:val="0056311F"/>
    <w:rsid w:val="00563332"/>
    <w:rsid w:val="00563810"/>
    <w:rsid w:val="00563A23"/>
    <w:rsid w:val="00564025"/>
    <w:rsid w:val="00564383"/>
    <w:rsid w:val="0056478E"/>
    <w:rsid w:val="00565554"/>
    <w:rsid w:val="00565658"/>
    <w:rsid w:val="0056618C"/>
    <w:rsid w:val="00566308"/>
    <w:rsid w:val="00567594"/>
    <w:rsid w:val="00567643"/>
    <w:rsid w:val="005678EA"/>
    <w:rsid w:val="00567E0A"/>
    <w:rsid w:val="00570366"/>
    <w:rsid w:val="0057169D"/>
    <w:rsid w:val="00572C3B"/>
    <w:rsid w:val="00573382"/>
    <w:rsid w:val="00573881"/>
    <w:rsid w:val="00573C46"/>
    <w:rsid w:val="00574DA5"/>
    <w:rsid w:val="00575C94"/>
    <w:rsid w:val="00575FB4"/>
    <w:rsid w:val="005765D4"/>
    <w:rsid w:val="0057686C"/>
    <w:rsid w:val="00576EE2"/>
    <w:rsid w:val="005778B0"/>
    <w:rsid w:val="00580BF9"/>
    <w:rsid w:val="00580D46"/>
    <w:rsid w:val="00580D98"/>
    <w:rsid w:val="00580DF3"/>
    <w:rsid w:val="005818AA"/>
    <w:rsid w:val="00582CB3"/>
    <w:rsid w:val="00583DB9"/>
    <w:rsid w:val="005841B1"/>
    <w:rsid w:val="005849B6"/>
    <w:rsid w:val="00585668"/>
    <w:rsid w:val="0058611D"/>
    <w:rsid w:val="0058757D"/>
    <w:rsid w:val="005878AB"/>
    <w:rsid w:val="00587C7C"/>
    <w:rsid w:val="00590129"/>
    <w:rsid w:val="00590507"/>
    <w:rsid w:val="00591693"/>
    <w:rsid w:val="0059182D"/>
    <w:rsid w:val="00591D8C"/>
    <w:rsid w:val="00591E18"/>
    <w:rsid w:val="00591FF6"/>
    <w:rsid w:val="00592A45"/>
    <w:rsid w:val="00596076"/>
    <w:rsid w:val="00596785"/>
    <w:rsid w:val="00596EE9"/>
    <w:rsid w:val="005972ED"/>
    <w:rsid w:val="00597D00"/>
    <w:rsid w:val="00597E5A"/>
    <w:rsid w:val="005A0197"/>
    <w:rsid w:val="005A04D5"/>
    <w:rsid w:val="005A0F1F"/>
    <w:rsid w:val="005A1C5B"/>
    <w:rsid w:val="005A25F3"/>
    <w:rsid w:val="005A281F"/>
    <w:rsid w:val="005A2910"/>
    <w:rsid w:val="005A2B60"/>
    <w:rsid w:val="005A2E0C"/>
    <w:rsid w:val="005A448C"/>
    <w:rsid w:val="005A5578"/>
    <w:rsid w:val="005A6736"/>
    <w:rsid w:val="005A6917"/>
    <w:rsid w:val="005A6967"/>
    <w:rsid w:val="005A6D6D"/>
    <w:rsid w:val="005A6D9E"/>
    <w:rsid w:val="005A7A79"/>
    <w:rsid w:val="005A7E02"/>
    <w:rsid w:val="005B114D"/>
    <w:rsid w:val="005B2B78"/>
    <w:rsid w:val="005B3FE1"/>
    <w:rsid w:val="005B5044"/>
    <w:rsid w:val="005B531F"/>
    <w:rsid w:val="005B6161"/>
    <w:rsid w:val="005B6F27"/>
    <w:rsid w:val="005B7A71"/>
    <w:rsid w:val="005C025D"/>
    <w:rsid w:val="005C16B0"/>
    <w:rsid w:val="005C2DA4"/>
    <w:rsid w:val="005C2E4B"/>
    <w:rsid w:val="005C2E9C"/>
    <w:rsid w:val="005C33EF"/>
    <w:rsid w:val="005C33F3"/>
    <w:rsid w:val="005C4AB9"/>
    <w:rsid w:val="005C4C0E"/>
    <w:rsid w:val="005C4EB2"/>
    <w:rsid w:val="005C6A63"/>
    <w:rsid w:val="005C6DB8"/>
    <w:rsid w:val="005C6E05"/>
    <w:rsid w:val="005C6E47"/>
    <w:rsid w:val="005C721D"/>
    <w:rsid w:val="005C7DA0"/>
    <w:rsid w:val="005C7EF7"/>
    <w:rsid w:val="005D00B4"/>
    <w:rsid w:val="005D023D"/>
    <w:rsid w:val="005D110C"/>
    <w:rsid w:val="005D2859"/>
    <w:rsid w:val="005D33D3"/>
    <w:rsid w:val="005D43BE"/>
    <w:rsid w:val="005D5488"/>
    <w:rsid w:val="005D6CB6"/>
    <w:rsid w:val="005D7B77"/>
    <w:rsid w:val="005E013C"/>
    <w:rsid w:val="005E116B"/>
    <w:rsid w:val="005E23F7"/>
    <w:rsid w:val="005E29D5"/>
    <w:rsid w:val="005E44E3"/>
    <w:rsid w:val="005E5A75"/>
    <w:rsid w:val="005E63F8"/>
    <w:rsid w:val="005F00A8"/>
    <w:rsid w:val="005F083B"/>
    <w:rsid w:val="005F0ABA"/>
    <w:rsid w:val="005F1039"/>
    <w:rsid w:val="005F205A"/>
    <w:rsid w:val="005F20C2"/>
    <w:rsid w:val="005F2DBB"/>
    <w:rsid w:val="005F32D3"/>
    <w:rsid w:val="005F32E2"/>
    <w:rsid w:val="005F3D0C"/>
    <w:rsid w:val="005F4951"/>
    <w:rsid w:val="005F4CD4"/>
    <w:rsid w:val="005F5BEE"/>
    <w:rsid w:val="005F5DC1"/>
    <w:rsid w:val="005F6718"/>
    <w:rsid w:val="005F694C"/>
    <w:rsid w:val="005F78B7"/>
    <w:rsid w:val="005F7A07"/>
    <w:rsid w:val="00600C91"/>
    <w:rsid w:val="00600F5D"/>
    <w:rsid w:val="00600FAE"/>
    <w:rsid w:val="00601FC3"/>
    <w:rsid w:val="00602247"/>
    <w:rsid w:val="006027A1"/>
    <w:rsid w:val="006027B3"/>
    <w:rsid w:val="00602A7C"/>
    <w:rsid w:val="00603578"/>
    <w:rsid w:val="00603B6A"/>
    <w:rsid w:val="00604DCA"/>
    <w:rsid w:val="0060545F"/>
    <w:rsid w:val="006059B7"/>
    <w:rsid w:val="00606725"/>
    <w:rsid w:val="006073FC"/>
    <w:rsid w:val="0061052F"/>
    <w:rsid w:val="006109F2"/>
    <w:rsid w:val="006110C1"/>
    <w:rsid w:val="00611738"/>
    <w:rsid w:val="00612789"/>
    <w:rsid w:val="00612982"/>
    <w:rsid w:val="00612A60"/>
    <w:rsid w:val="00612D5B"/>
    <w:rsid w:val="00613203"/>
    <w:rsid w:val="00613E66"/>
    <w:rsid w:val="00614340"/>
    <w:rsid w:val="00615454"/>
    <w:rsid w:val="0061699B"/>
    <w:rsid w:val="00616EAC"/>
    <w:rsid w:val="0062058F"/>
    <w:rsid w:val="00620751"/>
    <w:rsid w:val="00620BA3"/>
    <w:rsid w:val="00620F69"/>
    <w:rsid w:val="0062184A"/>
    <w:rsid w:val="0062208D"/>
    <w:rsid w:val="006233B1"/>
    <w:rsid w:val="00623D2D"/>
    <w:rsid w:val="006243DB"/>
    <w:rsid w:val="00624AE7"/>
    <w:rsid w:val="00625500"/>
    <w:rsid w:val="006258A4"/>
    <w:rsid w:val="00625D60"/>
    <w:rsid w:val="0062604A"/>
    <w:rsid w:val="0062639B"/>
    <w:rsid w:val="0062676D"/>
    <w:rsid w:val="0062689A"/>
    <w:rsid w:val="00626A2E"/>
    <w:rsid w:val="006276CC"/>
    <w:rsid w:val="006279F8"/>
    <w:rsid w:val="00627C18"/>
    <w:rsid w:val="00627EC8"/>
    <w:rsid w:val="00627FB9"/>
    <w:rsid w:val="006307D5"/>
    <w:rsid w:val="0063169A"/>
    <w:rsid w:val="00631740"/>
    <w:rsid w:val="006319D9"/>
    <w:rsid w:val="006319ED"/>
    <w:rsid w:val="006323A1"/>
    <w:rsid w:val="00632416"/>
    <w:rsid w:val="0063241D"/>
    <w:rsid w:val="006324C2"/>
    <w:rsid w:val="00632D62"/>
    <w:rsid w:val="00634348"/>
    <w:rsid w:val="00634875"/>
    <w:rsid w:val="00634BDD"/>
    <w:rsid w:val="00634E7B"/>
    <w:rsid w:val="0063561C"/>
    <w:rsid w:val="00635925"/>
    <w:rsid w:val="00635F65"/>
    <w:rsid w:val="006363EE"/>
    <w:rsid w:val="00637872"/>
    <w:rsid w:val="0064029F"/>
    <w:rsid w:val="00640463"/>
    <w:rsid w:val="00641B4E"/>
    <w:rsid w:val="00641EF9"/>
    <w:rsid w:val="0064204D"/>
    <w:rsid w:val="00642D5C"/>
    <w:rsid w:val="00644A85"/>
    <w:rsid w:val="00644A8D"/>
    <w:rsid w:val="0064511C"/>
    <w:rsid w:val="0064726F"/>
    <w:rsid w:val="00647D46"/>
    <w:rsid w:val="00647F82"/>
    <w:rsid w:val="00650A33"/>
    <w:rsid w:val="0065175D"/>
    <w:rsid w:val="00652962"/>
    <w:rsid w:val="0065301A"/>
    <w:rsid w:val="006530B0"/>
    <w:rsid w:val="00653BB8"/>
    <w:rsid w:val="0065408F"/>
    <w:rsid w:val="0065479F"/>
    <w:rsid w:val="00654CE4"/>
    <w:rsid w:val="00655B66"/>
    <w:rsid w:val="00655C95"/>
    <w:rsid w:val="00655EA0"/>
    <w:rsid w:val="00656708"/>
    <w:rsid w:val="00656F91"/>
    <w:rsid w:val="0066024D"/>
    <w:rsid w:val="0066037F"/>
    <w:rsid w:val="006603F0"/>
    <w:rsid w:val="00660DEF"/>
    <w:rsid w:val="00661423"/>
    <w:rsid w:val="0066172B"/>
    <w:rsid w:val="00661B79"/>
    <w:rsid w:val="006620E8"/>
    <w:rsid w:val="00662251"/>
    <w:rsid w:val="00662696"/>
    <w:rsid w:val="0066400D"/>
    <w:rsid w:val="00664475"/>
    <w:rsid w:val="006649EC"/>
    <w:rsid w:val="00664C92"/>
    <w:rsid w:val="00665AA8"/>
    <w:rsid w:val="00665B34"/>
    <w:rsid w:val="006660D4"/>
    <w:rsid w:val="006664C1"/>
    <w:rsid w:val="00666B41"/>
    <w:rsid w:val="00667036"/>
    <w:rsid w:val="006713B8"/>
    <w:rsid w:val="00671C77"/>
    <w:rsid w:val="0067216B"/>
    <w:rsid w:val="0067234C"/>
    <w:rsid w:val="006729F6"/>
    <w:rsid w:val="006730AC"/>
    <w:rsid w:val="0067339C"/>
    <w:rsid w:val="00673969"/>
    <w:rsid w:val="00673D23"/>
    <w:rsid w:val="00675EE8"/>
    <w:rsid w:val="00676656"/>
    <w:rsid w:val="00676F9E"/>
    <w:rsid w:val="006775FB"/>
    <w:rsid w:val="00680062"/>
    <w:rsid w:val="006811DA"/>
    <w:rsid w:val="00681349"/>
    <w:rsid w:val="00681434"/>
    <w:rsid w:val="00681BA2"/>
    <w:rsid w:val="00682234"/>
    <w:rsid w:val="00682855"/>
    <w:rsid w:val="0068561A"/>
    <w:rsid w:val="006864B2"/>
    <w:rsid w:val="00686520"/>
    <w:rsid w:val="00686DA5"/>
    <w:rsid w:val="006901D1"/>
    <w:rsid w:val="00690263"/>
    <w:rsid w:val="006905D9"/>
    <w:rsid w:val="00690926"/>
    <w:rsid w:val="006910EE"/>
    <w:rsid w:val="006911E0"/>
    <w:rsid w:val="006929C8"/>
    <w:rsid w:val="0069343C"/>
    <w:rsid w:val="00693A84"/>
    <w:rsid w:val="00694D13"/>
    <w:rsid w:val="00695520"/>
    <w:rsid w:val="0069631A"/>
    <w:rsid w:val="0069691A"/>
    <w:rsid w:val="00697B15"/>
    <w:rsid w:val="006A0BD8"/>
    <w:rsid w:val="006A14E7"/>
    <w:rsid w:val="006A1516"/>
    <w:rsid w:val="006A218B"/>
    <w:rsid w:val="006A2C6F"/>
    <w:rsid w:val="006A2F2C"/>
    <w:rsid w:val="006A33FD"/>
    <w:rsid w:val="006A4C9C"/>
    <w:rsid w:val="006A599B"/>
    <w:rsid w:val="006A5D54"/>
    <w:rsid w:val="006A5FDF"/>
    <w:rsid w:val="006A6ED7"/>
    <w:rsid w:val="006A6F2C"/>
    <w:rsid w:val="006A71C6"/>
    <w:rsid w:val="006B0476"/>
    <w:rsid w:val="006B10F4"/>
    <w:rsid w:val="006B3BA9"/>
    <w:rsid w:val="006B44D4"/>
    <w:rsid w:val="006B621B"/>
    <w:rsid w:val="006B7134"/>
    <w:rsid w:val="006B7187"/>
    <w:rsid w:val="006C00A4"/>
    <w:rsid w:val="006C0978"/>
    <w:rsid w:val="006C133E"/>
    <w:rsid w:val="006C1729"/>
    <w:rsid w:val="006C1D0D"/>
    <w:rsid w:val="006C21A2"/>
    <w:rsid w:val="006C222C"/>
    <w:rsid w:val="006C27BA"/>
    <w:rsid w:val="006C2F20"/>
    <w:rsid w:val="006C3A94"/>
    <w:rsid w:val="006C52AA"/>
    <w:rsid w:val="006C64DC"/>
    <w:rsid w:val="006C774B"/>
    <w:rsid w:val="006D06F2"/>
    <w:rsid w:val="006D0D1D"/>
    <w:rsid w:val="006D144F"/>
    <w:rsid w:val="006D1D2D"/>
    <w:rsid w:val="006D2157"/>
    <w:rsid w:val="006D2C89"/>
    <w:rsid w:val="006D2CFB"/>
    <w:rsid w:val="006D3061"/>
    <w:rsid w:val="006D3263"/>
    <w:rsid w:val="006D3E37"/>
    <w:rsid w:val="006D4471"/>
    <w:rsid w:val="006D4C62"/>
    <w:rsid w:val="006D5854"/>
    <w:rsid w:val="006D6593"/>
    <w:rsid w:val="006D691E"/>
    <w:rsid w:val="006D6F51"/>
    <w:rsid w:val="006D721C"/>
    <w:rsid w:val="006D76B7"/>
    <w:rsid w:val="006E12A6"/>
    <w:rsid w:val="006E1433"/>
    <w:rsid w:val="006E190A"/>
    <w:rsid w:val="006E249C"/>
    <w:rsid w:val="006E26B4"/>
    <w:rsid w:val="006E2C6E"/>
    <w:rsid w:val="006E3804"/>
    <w:rsid w:val="006E47BD"/>
    <w:rsid w:val="006E4F2E"/>
    <w:rsid w:val="006E4FF0"/>
    <w:rsid w:val="006E6562"/>
    <w:rsid w:val="006E742A"/>
    <w:rsid w:val="006E7C98"/>
    <w:rsid w:val="006F0C94"/>
    <w:rsid w:val="006F0D40"/>
    <w:rsid w:val="006F15C8"/>
    <w:rsid w:val="006F36B5"/>
    <w:rsid w:val="006F395C"/>
    <w:rsid w:val="006F41AF"/>
    <w:rsid w:val="006F4B62"/>
    <w:rsid w:val="006F53F1"/>
    <w:rsid w:val="006F5408"/>
    <w:rsid w:val="006F5998"/>
    <w:rsid w:val="006F62CD"/>
    <w:rsid w:val="006F655C"/>
    <w:rsid w:val="006F7295"/>
    <w:rsid w:val="006F747C"/>
    <w:rsid w:val="006F7F47"/>
    <w:rsid w:val="007003EB"/>
    <w:rsid w:val="00700A51"/>
    <w:rsid w:val="00701856"/>
    <w:rsid w:val="007026B8"/>
    <w:rsid w:val="007027B1"/>
    <w:rsid w:val="00702AD5"/>
    <w:rsid w:val="007039DC"/>
    <w:rsid w:val="00703D97"/>
    <w:rsid w:val="0070445B"/>
    <w:rsid w:val="00704659"/>
    <w:rsid w:val="0070540C"/>
    <w:rsid w:val="00705A2C"/>
    <w:rsid w:val="007078E5"/>
    <w:rsid w:val="00707A9C"/>
    <w:rsid w:val="00710841"/>
    <w:rsid w:val="0071102B"/>
    <w:rsid w:val="0071159D"/>
    <w:rsid w:val="007118F4"/>
    <w:rsid w:val="00711985"/>
    <w:rsid w:val="00711E43"/>
    <w:rsid w:val="007137DA"/>
    <w:rsid w:val="007139B2"/>
    <w:rsid w:val="00713E55"/>
    <w:rsid w:val="00714C9E"/>
    <w:rsid w:val="007151FC"/>
    <w:rsid w:val="007161CF"/>
    <w:rsid w:val="00716B6A"/>
    <w:rsid w:val="00716FBD"/>
    <w:rsid w:val="00720628"/>
    <w:rsid w:val="0072347F"/>
    <w:rsid w:val="00723E09"/>
    <w:rsid w:val="0072490E"/>
    <w:rsid w:val="007254FA"/>
    <w:rsid w:val="00727C97"/>
    <w:rsid w:val="007314A2"/>
    <w:rsid w:val="00732780"/>
    <w:rsid w:val="00733C7C"/>
    <w:rsid w:val="007353D0"/>
    <w:rsid w:val="00736081"/>
    <w:rsid w:val="007360B6"/>
    <w:rsid w:val="00736844"/>
    <w:rsid w:val="00736955"/>
    <w:rsid w:val="00736B51"/>
    <w:rsid w:val="00737042"/>
    <w:rsid w:val="0073771C"/>
    <w:rsid w:val="00737F41"/>
    <w:rsid w:val="00741F99"/>
    <w:rsid w:val="007432F4"/>
    <w:rsid w:val="007434BE"/>
    <w:rsid w:val="00743749"/>
    <w:rsid w:val="00743B89"/>
    <w:rsid w:val="0074448C"/>
    <w:rsid w:val="00745693"/>
    <w:rsid w:val="007457C4"/>
    <w:rsid w:val="00745B20"/>
    <w:rsid w:val="00746ABB"/>
    <w:rsid w:val="00747337"/>
    <w:rsid w:val="007477F0"/>
    <w:rsid w:val="0074798C"/>
    <w:rsid w:val="007506D7"/>
    <w:rsid w:val="00751A77"/>
    <w:rsid w:val="00752F62"/>
    <w:rsid w:val="00753DB1"/>
    <w:rsid w:val="007541B5"/>
    <w:rsid w:val="007549D1"/>
    <w:rsid w:val="00760FC0"/>
    <w:rsid w:val="007610C9"/>
    <w:rsid w:val="0076151B"/>
    <w:rsid w:val="007623FA"/>
    <w:rsid w:val="00762E78"/>
    <w:rsid w:val="00763313"/>
    <w:rsid w:val="00763F11"/>
    <w:rsid w:val="0076427B"/>
    <w:rsid w:val="007657CD"/>
    <w:rsid w:val="00765C9B"/>
    <w:rsid w:val="00766822"/>
    <w:rsid w:val="00767680"/>
    <w:rsid w:val="00767EC1"/>
    <w:rsid w:val="00770127"/>
    <w:rsid w:val="00771BCB"/>
    <w:rsid w:val="00771FCC"/>
    <w:rsid w:val="007729E9"/>
    <w:rsid w:val="00772A44"/>
    <w:rsid w:val="00777178"/>
    <w:rsid w:val="00777340"/>
    <w:rsid w:val="0077760A"/>
    <w:rsid w:val="0078163E"/>
    <w:rsid w:val="00781D37"/>
    <w:rsid w:val="00782559"/>
    <w:rsid w:val="00783723"/>
    <w:rsid w:val="00783999"/>
    <w:rsid w:val="00783DF8"/>
    <w:rsid w:val="00784273"/>
    <w:rsid w:val="00784FF6"/>
    <w:rsid w:val="00785065"/>
    <w:rsid w:val="00785E0F"/>
    <w:rsid w:val="0078619D"/>
    <w:rsid w:val="0078637D"/>
    <w:rsid w:val="00787649"/>
    <w:rsid w:val="007904E4"/>
    <w:rsid w:val="00790B60"/>
    <w:rsid w:val="00791462"/>
    <w:rsid w:val="007923A9"/>
    <w:rsid w:val="00792E98"/>
    <w:rsid w:val="0079348D"/>
    <w:rsid w:val="007936C6"/>
    <w:rsid w:val="00793774"/>
    <w:rsid w:val="00793FBC"/>
    <w:rsid w:val="00794098"/>
    <w:rsid w:val="00794A67"/>
    <w:rsid w:val="00794BA5"/>
    <w:rsid w:val="0079524C"/>
    <w:rsid w:val="007959B9"/>
    <w:rsid w:val="00795FF5"/>
    <w:rsid w:val="00796B99"/>
    <w:rsid w:val="00797004"/>
    <w:rsid w:val="007A1047"/>
    <w:rsid w:val="007A57EA"/>
    <w:rsid w:val="007A5B3C"/>
    <w:rsid w:val="007A64B0"/>
    <w:rsid w:val="007A66BD"/>
    <w:rsid w:val="007A6BFB"/>
    <w:rsid w:val="007A713A"/>
    <w:rsid w:val="007A7411"/>
    <w:rsid w:val="007A7541"/>
    <w:rsid w:val="007A7A22"/>
    <w:rsid w:val="007A7C2F"/>
    <w:rsid w:val="007B0A4E"/>
    <w:rsid w:val="007B1E7E"/>
    <w:rsid w:val="007B2E3D"/>
    <w:rsid w:val="007B30A5"/>
    <w:rsid w:val="007B3461"/>
    <w:rsid w:val="007B38E3"/>
    <w:rsid w:val="007B3F9D"/>
    <w:rsid w:val="007B47CF"/>
    <w:rsid w:val="007B577F"/>
    <w:rsid w:val="007B5B6F"/>
    <w:rsid w:val="007B602F"/>
    <w:rsid w:val="007B7AF4"/>
    <w:rsid w:val="007B7DA2"/>
    <w:rsid w:val="007B7E9E"/>
    <w:rsid w:val="007C01E5"/>
    <w:rsid w:val="007C0257"/>
    <w:rsid w:val="007C1122"/>
    <w:rsid w:val="007C1129"/>
    <w:rsid w:val="007C336B"/>
    <w:rsid w:val="007C3563"/>
    <w:rsid w:val="007C3BEB"/>
    <w:rsid w:val="007C3E0D"/>
    <w:rsid w:val="007C401C"/>
    <w:rsid w:val="007C4E24"/>
    <w:rsid w:val="007C60AE"/>
    <w:rsid w:val="007C627C"/>
    <w:rsid w:val="007C684E"/>
    <w:rsid w:val="007C68FA"/>
    <w:rsid w:val="007C78C0"/>
    <w:rsid w:val="007C7ADA"/>
    <w:rsid w:val="007C7FF5"/>
    <w:rsid w:val="007D1574"/>
    <w:rsid w:val="007D17C6"/>
    <w:rsid w:val="007D18D7"/>
    <w:rsid w:val="007D1C68"/>
    <w:rsid w:val="007D2683"/>
    <w:rsid w:val="007D2AE2"/>
    <w:rsid w:val="007D3659"/>
    <w:rsid w:val="007D3C97"/>
    <w:rsid w:val="007D44CA"/>
    <w:rsid w:val="007D5538"/>
    <w:rsid w:val="007D5896"/>
    <w:rsid w:val="007D5FED"/>
    <w:rsid w:val="007D6A8F"/>
    <w:rsid w:val="007D76DE"/>
    <w:rsid w:val="007E01B9"/>
    <w:rsid w:val="007E2164"/>
    <w:rsid w:val="007E2565"/>
    <w:rsid w:val="007E287B"/>
    <w:rsid w:val="007E3DA4"/>
    <w:rsid w:val="007E4589"/>
    <w:rsid w:val="007E5F70"/>
    <w:rsid w:val="007E6643"/>
    <w:rsid w:val="007E6880"/>
    <w:rsid w:val="007E68F6"/>
    <w:rsid w:val="007E7537"/>
    <w:rsid w:val="007E7ADA"/>
    <w:rsid w:val="007F076D"/>
    <w:rsid w:val="007F0D83"/>
    <w:rsid w:val="007F0F36"/>
    <w:rsid w:val="007F1626"/>
    <w:rsid w:val="007F280F"/>
    <w:rsid w:val="007F3F25"/>
    <w:rsid w:val="007F4536"/>
    <w:rsid w:val="007F52AF"/>
    <w:rsid w:val="007F67DC"/>
    <w:rsid w:val="007F6D67"/>
    <w:rsid w:val="007F6F11"/>
    <w:rsid w:val="007F75BC"/>
    <w:rsid w:val="007F7627"/>
    <w:rsid w:val="007F79FF"/>
    <w:rsid w:val="00801296"/>
    <w:rsid w:val="00803598"/>
    <w:rsid w:val="00805284"/>
    <w:rsid w:val="008055B1"/>
    <w:rsid w:val="00806554"/>
    <w:rsid w:val="00806C49"/>
    <w:rsid w:val="008074CE"/>
    <w:rsid w:val="00810097"/>
    <w:rsid w:val="00810280"/>
    <w:rsid w:val="0081122C"/>
    <w:rsid w:val="00811634"/>
    <w:rsid w:val="00811CAB"/>
    <w:rsid w:val="00813766"/>
    <w:rsid w:val="00813833"/>
    <w:rsid w:val="00813A09"/>
    <w:rsid w:val="00813BE3"/>
    <w:rsid w:val="00813C1E"/>
    <w:rsid w:val="00814744"/>
    <w:rsid w:val="00814A61"/>
    <w:rsid w:val="00815590"/>
    <w:rsid w:val="0081561A"/>
    <w:rsid w:val="008164D2"/>
    <w:rsid w:val="00816CFE"/>
    <w:rsid w:val="008175F2"/>
    <w:rsid w:val="00820A7F"/>
    <w:rsid w:val="00821E05"/>
    <w:rsid w:val="008226C2"/>
    <w:rsid w:val="00822CCB"/>
    <w:rsid w:val="00822E03"/>
    <w:rsid w:val="00823B77"/>
    <w:rsid w:val="00823DCD"/>
    <w:rsid w:val="0082507E"/>
    <w:rsid w:val="00825469"/>
    <w:rsid w:val="00825576"/>
    <w:rsid w:val="008260E6"/>
    <w:rsid w:val="00827A1C"/>
    <w:rsid w:val="00827B71"/>
    <w:rsid w:val="008312A5"/>
    <w:rsid w:val="00831487"/>
    <w:rsid w:val="00831A40"/>
    <w:rsid w:val="00831FA8"/>
    <w:rsid w:val="00832251"/>
    <w:rsid w:val="00832644"/>
    <w:rsid w:val="0083299F"/>
    <w:rsid w:val="00832C7C"/>
    <w:rsid w:val="00833192"/>
    <w:rsid w:val="00833402"/>
    <w:rsid w:val="00834DB8"/>
    <w:rsid w:val="00835069"/>
    <w:rsid w:val="0083535D"/>
    <w:rsid w:val="00837095"/>
    <w:rsid w:val="008403C1"/>
    <w:rsid w:val="0084077A"/>
    <w:rsid w:val="0084096B"/>
    <w:rsid w:val="008419FA"/>
    <w:rsid w:val="00842F0E"/>
    <w:rsid w:val="00842F58"/>
    <w:rsid w:val="00843181"/>
    <w:rsid w:val="008436F9"/>
    <w:rsid w:val="008444BE"/>
    <w:rsid w:val="0084454D"/>
    <w:rsid w:val="00844A43"/>
    <w:rsid w:val="00844D7F"/>
    <w:rsid w:val="008457B8"/>
    <w:rsid w:val="00845D64"/>
    <w:rsid w:val="008460BD"/>
    <w:rsid w:val="00846835"/>
    <w:rsid w:val="00846A00"/>
    <w:rsid w:val="00846C68"/>
    <w:rsid w:val="008474CC"/>
    <w:rsid w:val="00850057"/>
    <w:rsid w:val="008508DA"/>
    <w:rsid w:val="00851A28"/>
    <w:rsid w:val="00851A53"/>
    <w:rsid w:val="00851A54"/>
    <w:rsid w:val="008525B5"/>
    <w:rsid w:val="00854C03"/>
    <w:rsid w:val="00856CE5"/>
    <w:rsid w:val="00856F9E"/>
    <w:rsid w:val="0085700C"/>
    <w:rsid w:val="008571E8"/>
    <w:rsid w:val="00860565"/>
    <w:rsid w:val="00860E2A"/>
    <w:rsid w:val="00860E74"/>
    <w:rsid w:val="0086148E"/>
    <w:rsid w:val="00861A4E"/>
    <w:rsid w:val="00861C08"/>
    <w:rsid w:val="0086253A"/>
    <w:rsid w:val="0086285D"/>
    <w:rsid w:val="00862B2B"/>
    <w:rsid w:val="0086370B"/>
    <w:rsid w:val="00865020"/>
    <w:rsid w:val="008651FA"/>
    <w:rsid w:val="0086540B"/>
    <w:rsid w:val="008666BB"/>
    <w:rsid w:val="00866E2C"/>
    <w:rsid w:val="0086714A"/>
    <w:rsid w:val="00870077"/>
    <w:rsid w:val="00870636"/>
    <w:rsid w:val="00872761"/>
    <w:rsid w:val="00873043"/>
    <w:rsid w:val="0087330C"/>
    <w:rsid w:val="0087333A"/>
    <w:rsid w:val="00873946"/>
    <w:rsid w:val="00873EB6"/>
    <w:rsid w:val="00875284"/>
    <w:rsid w:val="008753FC"/>
    <w:rsid w:val="00876529"/>
    <w:rsid w:val="00876A74"/>
    <w:rsid w:val="00877381"/>
    <w:rsid w:val="0087773E"/>
    <w:rsid w:val="008801C0"/>
    <w:rsid w:val="00881440"/>
    <w:rsid w:val="00883567"/>
    <w:rsid w:val="00883DF5"/>
    <w:rsid w:val="008840D6"/>
    <w:rsid w:val="00885290"/>
    <w:rsid w:val="00885C50"/>
    <w:rsid w:val="0088663E"/>
    <w:rsid w:val="008871CA"/>
    <w:rsid w:val="008900AA"/>
    <w:rsid w:val="0089256B"/>
    <w:rsid w:val="00892F60"/>
    <w:rsid w:val="0089308C"/>
    <w:rsid w:val="00893CAE"/>
    <w:rsid w:val="00894CDB"/>
    <w:rsid w:val="00894E13"/>
    <w:rsid w:val="00895748"/>
    <w:rsid w:val="00896314"/>
    <w:rsid w:val="008A08B3"/>
    <w:rsid w:val="008A11A9"/>
    <w:rsid w:val="008A1CB0"/>
    <w:rsid w:val="008A1D54"/>
    <w:rsid w:val="008A244A"/>
    <w:rsid w:val="008A24F0"/>
    <w:rsid w:val="008A29BA"/>
    <w:rsid w:val="008A2CF4"/>
    <w:rsid w:val="008A32BC"/>
    <w:rsid w:val="008A396E"/>
    <w:rsid w:val="008A3A00"/>
    <w:rsid w:val="008A3C94"/>
    <w:rsid w:val="008A4BF1"/>
    <w:rsid w:val="008A4C66"/>
    <w:rsid w:val="008A4F27"/>
    <w:rsid w:val="008A5556"/>
    <w:rsid w:val="008A602D"/>
    <w:rsid w:val="008A7E04"/>
    <w:rsid w:val="008B06B2"/>
    <w:rsid w:val="008B0830"/>
    <w:rsid w:val="008B0C94"/>
    <w:rsid w:val="008B15E9"/>
    <w:rsid w:val="008B1765"/>
    <w:rsid w:val="008B1923"/>
    <w:rsid w:val="008B1DD7"/>
    <w:rsid w:val="008B1E15"/>
    <w:rsid w:val="008B3211"/>
    <w:rsid w:val="008B354B"/>
    <w:rsid w:val="008B3622"/>
    <w:rsid w:val="008B3CA0"/>
    <w:rsid w:val="008B416F"/>
    <w:rsid w:val="008B43BE"/>
    <w:rsid w:val="008B5AAA"/>
    <w:rsid w:val="008B5D6D"/>
    <w:rsid w:val="008B6CF2"/>
    <w:rsid w:val="008B6F3F"/>
    <w:rsid w:val="008C0C23"/>
    <w:rsid w:val="008C0EF3"/>
    <w:rsid w:val="008C1D60"/>
    <w:rsid w:val="008C5264"/>
    <w:rsid w:val="008C5B98"/>
    <w:rsid w:val="008C711C"/>
    <w:rsid w:val="008C7343"/>
    <w:rsid w:val="008D0890"/>
    <w:rsid w:val="008D09A6"/>
    <w:rsid w:val="008D0B20"/>
    <w:rsid w:val="008D0E8C"/>
    <w:rsid w:val="008D1314"/>
    <w:rsid w:val="008D2AC7"/>
    <w:rsid w:val="008D2B44"/>
    <w:rsid w:val="008D2F52"/>
    <w:rsid w:val="008D310E"/>
    <w:rsid w:val="008D3E4F"/>
    <w:rsid w:val="008D40AB"/>
    <w:rsid w:val="008D4288"/>
    <w:rsid w:val="008D42B7"/>
    <w:rsid w:val="008D524C"/>
    <w:rsid w:val="008D5B25"/>
    <w:rsid w:val="008D5BDB"/>
    <w:rsid w:val="008D7AD2"/>
    <w:rsid w:val="008D7D57"/>
    <w:rsid w:val="008D7D58"/>
    <w:rsid w:val="008E024A"/>
    <w:rsid w:val="008E0486"/>
    <w:rsid w:val="008E158F"/>
    <w:rsid w:val="008E1F3F"/>
    <w:rsid w:val="008E236C"/>
    <w:rsid w:val="008E2475"/>
    <w:rsid w:val="008E34CD"/>
    <w:rsid w:val="008E3676"/>
    <w:rsid w:val="008E3CDD"/>
    <w:rsid w:val="008E3D0F"/>
    <w:rsid w:val="008E3FA8"/>
    <w:rsid w:val="008E440B"/>
    <w:rsid w:val="008E49FC"/>
    <w:rsid w:val="008E4AE7"/>
    <w:rsid w:val="008E59A2"/>
    <w:rsid w:val="008E614D"/>
    <w:rsid w:val="008E6CF8"/>
    <w:rsid w:val="008F0723"/>
    <w:rsid w:val="008F0BC7"/>
    <w:rsid w:val="008F1C26"/>
    <w:rsid w:val="008F47D5"/>
    <w:rsid w:val="008F5413"/>
    <w:rsid w:val="008F6210"/>
    <w:rsid w:val="008F6EC2"/>
    <w:rsid w:val="008F7A23"/>
    <w:rsid w:val="008F7C72"/>
    <w:rsid w:val="008F7CFE"/>
    <w:rsid w:val="00900455"/>
    <w:rsid w:val="009004E4"/>
    <w:rsid w:val="00900FD6"/>
    <w:rsid w:val="00901719"/>
    <w:rsid w:val="009026F8"/>
    <w:rsid w:val="00903192"/>
    <w:rsid w:val="0090335E"/>
    <w:rsid w:val="009051A9"/>
    <w:rsid w:val="00905AD8"/>
    <w:rsid w:val="00906414"/>
    <w:rsid w:val="00906817"/>
    <w:rsid w:val="009068B7"/>
    <w:rsid w:val="0090759F"/>
    <w:rsid w:val="00910290"/>
    <w:rsid w:val="0091087C"/>
    <w:rsid w:val="00910C38"/>
    <w:rsid w:val="00910F78"/>
    <w:rsid w:val="0091115C"/>
    <w:rsid w:val="00911338"/>
    <w:rsid w:val="00911A76"/>
    <w:rsid w:val="00912706"/>
    <w:rsid w:val="00912AEF"/>
    <w:rsid w:val="00913FA1"/>
    <w:rsid w:val="00914B2D"/>
    <w:rsid w:val="00916B7C"/>
    <w:rsid w:val="00916C9E"/>
    <w:rsid w:val="00917BEC"/>
    <w:rsid w:val="00920680"/>
    <w:rsid w:val="00920A6C"/>
    <w:rsid w:val="0092262D"/>
    <w:rsid w:val="00923D9C"/>
    <w:rsid w:val="00925596"/>
    <w:rsid w:val="00925FA7"/>
    <w:rsid w:val="00926107"/>
    <w:rsid w:val="00926341"/>
    <w:rsid w:val="00926AFB"/>
    <w:rsid w:val="0092704E"/>
    <w:rsid w:val="00927A1B"/>
    <w:rsid w:val="00930589"/>
    <w:rsid w:val="00931D1D"/>
    <w:rsid w:val="009324B0"/>
    <w:rsid w:val="00932595"/>
    <w:rsid w:val="00933E96"/>
    <w:rsid w:val="0093405E"/>
    <w:rsid w:val="00934092"/>
    <w:rsid w:val="0093429B"/>
    <w:rsid w:val="00934987"/>
    <w:rsid w:val="00934ACD"/>
    <w:rsid w:val="009355BB"/>
    <w:rsid w:val="00935BF3"/>
    <w:rsid w:val="0093691F"/>
    <w:rsid w:val="009402A4"/>
    <w:rsid w:val="0094040F"/>
    <w:rsid w:val="009406AA"/>
    <w:rsid w:val="00941DB4"/>
    <w:rsid w:val="00942274"/>
    <w:rsid w:val="009424AA"/>
    <w:rsid w:val="00942C95"/>
    <w:rsid w:val="009434D0"/>
    <w:rsid w:val="00943765"/>
    <w:rsid w:val="009437DA"/>
    <w:rsid w:val="00945215"/>
    <w:rsid w:val="0094781F"/>
    <w:rsid w:val="009478A1"/>
    <w:rsid w:val="00947E0D"/>
    <w:rsid w:val="00950DB7"/>
    <w:rsid w:val="0095292C"/>
    <w:rsid w:val="00952A04"/>
    <w:rsid w:val="00952D4F"/>
    <w:rsid w:val="00953048"/>
    <w:rsid w:val="009543D7"/>
    <w:rsid w:val="009548AC"/>
    <w:rsid w:val="009548CB"/>
    <w:rsid w:val="009555F4"/>
    <w:rsid w:val="00955CED"/>
    <w:rsid w:val="00955D6E"/>
    <w:rsid w:val="00956729"/>
    <w:rsid w:val="0095753F"/>
    <w:rsid w:val="00957C72"/>
    <w:rsid w:val="0096054A"/>
    <w:rsid w:val="00961382"/>
    <w:rsid w:val="0096205B"/>
    <w:rsid w:val="00962161"/>
    <w:rsid w:val="00962427"/>
    <w:rsid w:val="0096464E"/>
    <w:rsid w:val="00964B67"/>
    <w:rsid w:val="00965F1A"/>
    <w:rsid w:val="00966334"/>
    <w:rsid w:val="00966C16"/>
    <w:rsid w:val="009670E0"/>
    <w:rsid w:val="00967A21"/>
    <w:rsid w:val="00967F40"/>
    <w:rsid w:val="00970999"/>
    <w:rsid w:val="00970DDF"/>
    <w:rsid w:val="0097291F"/>
    <w:rsid w:val="00972BD8"/>
    <w:rsid w:val="00972D60"/>
    <w:rsid w:val="00973591"/>
    <w:rsid w:val="009737F5"/>
    <w:rsid w:val="009739B6"/>
    <w:rsid w:val="009740D1"/>
    <w:rsid w:val="0097421C"/>
    <w:rsid w:val="00974288"/>
    <w:rsid w:val="00975394"/>
    <w:rsid w:val="00975C3B"/>
    <w:rsid w:val="0097603C"/>
    <w:rsid w:val="009778B0"/>
    <w:rsid w:val="00980458"/>
    <w:rsid w:val="009806E0"/>
    <w:rsid w:val="00980921"/>
    <w:rsid w:val="00981502"/>
    <w:rsid w:val="00981EC4"/>
    <w:rsid w:val="0098245B"/>
    <w:rsid w:val="00982727"/>
    <w:rsid w:val="009833D5"/>
    <w:rsid w:val="0098358D"/>
    <w:rsid w:val="00984E8A"/>
    <w:rsid w:val="009856E8"/>
    <w:rsid w:val="00985763"/>
    <w:rsid w:val="009864F3"/>
    <w:rsid w:val="00986A33"/>
    <w:rsid w:val="00987260"/>
    <w:rsid w:val="00987449"/>
    <w:rsid w:val="00987940"/>
    <w:rsid w:val="009905F6"/>
    <w:rsid w:val="00991EF1"/>
    <w:rsid w:val="00992BB0"/>
    <w:rsid w:val="00993111"/>
    <w:rsid w:val="00993620"/>
    <w:rsid w:val="00993813"/>
    <w:rsid w:val="00993C11"/>
    <w:rsid w:val="00993ED3"/>
    <w:rsid w:val="00994089"/>
    <w:rsid w:val="00994798"/>
    <w:rsid w:val="00994B3F"/>
    <w:rsid w:val="009954E5"/>
    <w:rsid w:val="00996565"/>
    <w:rsid w:val="00996652"/>
    <w:rsid w:val="0099692E"/>
    <w:rsid w:val="009970B2"/>
    <w:rsid w:val="00997E5B"/>
    <w:rsid w:val="00997E82"/>
    <w:rsid w:val="009A0994"/>
    <w:rsid w:val="009A1B0D"/>
    <w:rsid w:val="009A1E7B"/>
    <w:rsid w:val="009A2CA7"/>
    <w:rsid w:val="009A2F0B"/>
    <w:rsid w:val="009A395F"/>
    <w:rsid w:val="009A4729"/>
    <w:rsid w:val="009A4AFC"/>
    <w:rsid w:val="009A4D87"/>
    <w:rsid w:val="009A4EB4"/>
    <w:rsid w:val="009A545D"/>
    <w:rsid w:val="009A6AAD"/>
    <w:rsid w:val="009A6BF4"/>
    <w:rsid w:val="009A70AD"/>
    <w:rsid w:val="009A716E"/>
    <w:rsid w:val="009A7D5B"/>
    <w:rsid w:val="009A7F8F"/>
    <w:rsid w:val="009B0179"/>
    <w:rsid w:val="009B0941"/>
    <w:rsid w:val="009B0E41"/>
    <w:rsid w:val="009B14B6"/>
    <w:rsid w:val="009B1A16"/>
    <w:rsid w:val="009B25D1"/>
    <w:rsid w:val="009B32A6"/>
    <w:rsid w:val="009B450F"/>
    <w:rsid w:val="009B4C27"/>
    <w:rsid w:val="009B4CBF"/>
    <w:rsid w:val="009B57B6"/>
    <w:rsid w:val="009B5C21"/>
    <w:rsid w:val="009B7BF2"/>
    <w:rsid w:val="009B7C38"/>
    <w:rsid w:val="009C018A"/>
    <w:rsid w:val="009C059E"/>
    <w:rsid w:val="009C0EBA"/>
    <w:rsid w:val="009C18B2"/>
    <w:rsid w:val="009C1DBA"/>
    <w:rsid w:val="009C2945"/>
    <w:rsid w:val="009C2BCE"/>
    <w:rsid w:val="009C45BC"/>
    <w:rsid w:val="009C49CC"/>
    <w:rsid w:val="009C4B14"/>
    <w:rsid w:val="009C5CDF"/>
    <w:rsid w:val="009C6732"/>
    <w:rsid w:val="009C6B02"/>
    <w:rsid w:val="009C7807"/>
    <w:rsid w:val="009C789C"/>
    <w:rsid w:val="009C78EF"/>
    <w:rsid w:val="009D0C38"/>
    <w:rsid w:val="009D0F46"/>
    <w:rsid w:val="009D1186"/>
    <w:rsid w:val="009D16F1"/>
    <w:rsid w:val="009D198C"/>
    <w:rsid w:val="009D259D"/>
    <w:rsid w:val="009D29A8"/>
    <w:rsid w:val="009D39EF"/>
    <w:rsid w:val="009D3A51"/>
    <w:rsid w:val="009D3B39"/>
    <w:rsid w:val="009D3E65"/>
    <w:rsid w:val="009D507E"/>
    <w:rsid w:val="009D5431"/>
    <w:rsid w:val="009D6639"/>
    <w:rsid w:val="009D7606"/>
    <w:rsid w:val="009D777A"/>
    <w:rsid w:val="009D7793"/>
    <w:rsid w:val="009D7876"/>
    <w:rsid w:val="009E0610"/>
    <w:rsid w:val="009E07CE"/>
    <w:rsid w:val="009E1226"/>
    <w:rsid w:val="009E188D"/>
    <w:rsid w:val="009E1DCF"/>
    <w:rsid w:val="009E1EF5"/>
    <w:rsid w:val="009E21C3"/>
    <w:rsid w:val="009E381B"/>
    <w:rsid w:val="009E39AD"/>
    <w:rsid w:val="009E39CC"/>
    <w:rsid w:val="009E3A69"/>
    <w:rsid w:val="009E45B0"/>
    <w:rsid w:val="009E4BC3"/>
    <w:rsid w:val="009E5034"/>
    <w:rsid w:val="009E5213"/>
    <w:rsid w:val="009E53CB"/>
    <w:rsid w:val="009E5A5A"/>
    <w:rsid w:val="009E5A7C"/>
    <w:rsid w:val="009E64F5"/>
    <w:rsid w:val="009E6A4B"/>
    <w:rsid w:val="009E6F7A"/>
    <w:rsid w:val="009E7A45"/>
    <w:rsid w:val="009E7E8F"/>
    <w:rsid w:val="009E7FA0"/>
    <w:rsid w:val="009F02FE"/>
    <w:rsid w:val="009F0F4B"/>
    <w:rsid w:val="009F2C3C"/>
    <w:rsid w:val="009F2E93"/>
    <w:rsid w:val="009F3008"/>
    <w:rsid w:val="009F33D4"/>
    <w:rsid w:val="009F435F"/>
    <w:rsid w:val="009F44B7"/>
    <w:rsid w:val="009F45E3"/>
    <w:rsid w:val="009F508E"/>
    <w:rsid w:val="009F62A4"/>
    <w:rsid w:val="009F6BC3"/>
    <w:rsid w:val="009F6D4B"/>
    <w:rsid w:val="009F6E5E"/>
    <w:rsid w:val="009F79E7"/>
    <w:rsid w:val="00A01C5C"/>
    <w:rsid w:val="00A01EA7"/>
    <w:rsid w:val="00A02C38"/>
    <w:rsid w:val="00A03474"/>
    <w:rsid w:val="00A048AA"/>
    <w:rsid w:val="00A04981"/>
    <w:rsid w:val="00A058B6"/>
    <w:rsid w:val="00A05B7C"/>
    <w:rsid w:val="00A05D0E"/>
    <w:rsid w:val="00A061E3"/>
    <w:rsid w:val="00A06377"/>
    <w:rsid w:val="00A0663A"/>
    <w:rsid w:val="00A0663F"/>
    <w:rsid w:val="00A07977"/>
    <w:rsid w:val="00A07CBB"/>
    <w:rsid w:val="00A104DD"/>
    <w:rsid w:val="00A10839"/>
    <w:rsid w:val="00A10AE8"/>
    <w:rsid w:val="00A11F53"/>
    <w:rsid w:val="00A1273C"/>
    <w:rsid w:val="00A12B63"/>
    <w:rsid w:val="00A13285"/>
    <w:rsid w:val="00A139C2"/>
    <w:rsid w:val="00A144E0"/>
    <w:rsid w:val="00A153E9"/>
    <w:rsid w:val="00A15409"/>
    <w:rsid w:val="00A15E60"/>
    <w:rsid w:val="00A17615"/>
    <w:rsid w:val="00A209F4"/>
    <w:rsid w:val="00A20A44"/>
    <w:rsid w:val="00A20BA3"/>
    <w:rsid w:val="00A21D57"/>
    <w:rsid w:val="00A21EC1"/>
    <w:rsid w:val="00A221A8"/>
    <w:rsid w:val="00A22E50"/>
    <w:rsid w:val="00A231A5"/>
    <w:rsid w:val="00A234CA"/>
    <w:rsid w:val="00A23813"/>
    <w:rsid w:val="00A23B71"/>
    <w:rsid w:val="00A240C8"/>
    <w:rsid w:val="00A252FC"/>
    <w:rsid w:val="00A2566B"/>
    <w:rsid w:val="00A258E1"/>
    <w:rsid w:val="00A267ED"/>
    <w:rsid w:val="00A267F1"/>
    <w:rsid w:val="00A26C81"/>
    <w:rsid w:val="00A26F91"/>
    <w:rsid w:val="00A2732A"/>
    <w:rsid w:val="00A27B1C"/>
    <w:rsid w:val="00A27BEE"/>
    <w:rsid w:val="00A27FE2"/>
    <w:rsid w:val="00A30378"/>
    <w:rsid w:val="00A30470"/>
    <w:rsid w:val="00A31394"/>
    <w:rsid w:val="00A3184F"/>
    <w:rsid w:val="00A31878"/>
    <w:rsid w:val="00A31B0F"/>
    <w:rsid w:val="00A31CCC"/>
    <w:rsid w:val="00A32C76"/>
    <w:rsid w:val="00A33548"/>
    <w:rsid w:val="00A358EF"/>
    <w:rsid w:val="00A35D60"/>
    <w:rsid w:val="00A36038"/>
    <w:rsid w:val="00A3612E"/>
    <w:rsid w:val="00A36679"/>
    <w:rsid w:val="00A3739D"/>
    <w:rsid w:val="00A374C0"/>
    <w:rsid w:val="00A37515"/>
    <w:rsid w:val="00A41014"/>
    <w:rsid w:val="00A41049"/>
    <w:rsid w:val="00A410AF"/>
    <w:rsid w:val="00A41C20"/>
    <w:rsid w:val="00A42691"/>
    <w:rsid w:val="00A42795"/>
    <w:rsid w:val="00A42E3B"/>
    <w:rsid w:val="00A431FA"/>
    <w:rsid w:val="00A436EC"/>
    <w:rsid w:val="00A43ABA"/>
    <w:rsid w:val="00A43EA6"/>
    <w:rsid w:val="00A446FE"/>
    <w:rsid w:val="00A447ED"/>
    <w:rsid w:val="00A450B0"/>
    <w:rsid w:val="00A47168"/>
    <w:rsid w:val="00A474C8"/>
    <w:rsid w:val="00A47E5F"/>
    <w:rsid w:val="00A50097"/>
    <w:rsid w:val="00A500EE"/>
    <w:rsid w:val="00A502BA"/>
    <w:rsid w:val="00A50338"/>
    <w:rsid w:val="00A507F6"/>
    <w:rsid w:val="00A51771"/>
    <w:rsid w:val="00A51A01"/>
    <w:rsid w:val="00A5247F"/>
    <w:rsid w:val="00A52879"/>
    <w:rsid w:val="00A52A57"/>
    <w:rsid w:val="00A55437"/>
    <w:rsid w:val="00A56729"/>
    <w:rsid w:val="00A568A1"/>
    <w:rsid w:val="00A56CC4"/>
    <w:rsid w:val="00A56E90"/>
    <w:rsid w:val="00A56F53"/>
    <w:rsid w:val="00A57510"/>
    <w:rsid w:val="00A57ACA"/>
    <w:rsid w:val="00A57EF4"/>
    <w:rsid w:val="00A60882"/>
    <w:rsid w:val="00A60A22"/>
    <w:rsid w:val="00A60B28"/>
    <w:rsid w:val="00A612F6"/>
    <w:rsid w:val="00A61C6A"/>
    <w:rsid w:val="00A62999"/>
    <w:rsid w:val="00A6356E"/>
    <w:rsid w:val="00A63FE3"/>
    <w:rsid w:val="00A640FE"/>
    <w:rsid w:val="00A64286"/>
    <w:rsid w:val="00A64486"/>
    <w:rsid w:val="00A6463D"/>
    <w:rsid w:val="00A65922"/>
    <w:rsid w:val="00A66AB2"/>
    <w:rsid w:val="00A71ED7"/>
    <w:rsid w:val="00A72C86"/>
    <w:rsid w:val="00A73543"/>
    <w:rsid w:val="00A748B3"/>
    <w:rsid w:val="00A748E3"/>
    <w:rsid w:val="00A75793"/>
    <w:rsid w:val="00A76E57"/>
    <w:rsid w:val="00A77B25"/>
    <w:rsid w:val="00A80230"/>
    <w:rsid w:val="00A80352"/>
    <w:rsid w:val="00A82512"/>
    <w:rsid w:val="00A8259D"/>
    <w:rsid w:val="00A82DAA"/>
    <w:rsid w:val="00A83094"/>
    <w:rsid w:val="00A8312C"/>
    <w:rsid w:val="00A841F6"/>
    <w:rsid w:val="00A84C9C"/>
    <w:rsid w:val="00A85F72"/>
    <w:rsid w:val="00A86CA1"/>
    <w:rsid w:val="00A903EA"/>
    <w:rsid w:val="00A92129"/>
    <w:rsid w:val="00A9302E"/>
    <w:rsid w:val="00A935DD"/>
    <w:rsid w:val="00A94509"/>
    <w:rsid w:val="00A94DA1"/>
    <w:rsid w:val="00A95653"/>
    <w:rsid w:val="00A95C67"/>
    <w:rsid w:val="00A96187"/>
    <w:rsid w:val="00A96190"/>
    <w:rsid w:val="00A9622B"/>
    <w:rsid w:val="00A96355"/>
    <w:rsid w:val="00A964AE"/>
    <w:rsid w:val="00A96A8E"/>
    <w:rsid w:val="00A96CB1"/>
    <w:rsid w:val="00A97885"/>
    <w:rsid w:val="00A97915"/>
    <w:rsid w:val="00A97F67"/>
    <w:rsid w:val="00AA0B58"/>
    <w:rsid w:val="00AA0D9C"/>
    <w:rsid w:val="00AA0EAA"/>
    <w:rsid w:val="00AA1527"/>
    <w:rsid w:val="00AA23A7"/>
    <w:rsid w:val="00AA24D2"/>
    <w:rsid w:val="00AA37C3"/>
    <w:rsid w:val="00AA3D52"/>
    <w:rsid w:val="00AA3E17"/>
    <w:rsid w:val="00AA48FB"/>
    <w:rsid w:val="00AA4EB3"/>
    <w:rsid w:val="00AA4FA3"/>
    <w:rsid w:val="00AA55CD"/>
    <w:rsid w:val="00AA5606"/>
    <w:rsid w:val="00AA5F51"/>
    <w:rsid w:val="00AA67ED"/>
    <w:rsid w:val="00AB11D2"/>
    <w:rsid w:val="00AB15E6"/>
    <w:rsid w:val="00AB20F9"/>
    <w:rsid w:val="00AB2DCE"/>
    <w:rsid w:val="00AB2E63"/>
    <w:rsid w:val="00AB34AC"/>
    <w:rsid w:val="00AB420D"/>
    <w:rsid w:val="00AB4320"/>
    <w:rsid w:val="00AB43CD"/>
    <w:rsid w:val="00AB5000"/>
    <w:rsid w:val="00AB568E"/>
    <w:rsid w:val="00AB5AF3"/>
    <w:rsid w:val="00AB5B52"/>
    <w:rsid w:val="00AB745C"/>
    <w:rsid w:val="00AC0B7A"/>
    <w:rsid w:val="00AC2491"/>
    <w:rsid w:val="00AC47A7"/>
    <w:rsid w:val="00AC5B93"/>
    <w:rsid w:val="00AC6D32"/>
    <w:rsid w:val="00AC6D72"/>
    <w:rsid w:val="00AD0024"/>
    <w:rsid w:val="00AD057A"/>
    <w:rsid w:val="00AD0B7E"/>
    <w:rsid w:val="00AD276B"/>
    <w:rsid w:val="00AD3DA5"/>
    <w:rsid w:val="00AD44AB"/>
    <w:rsid w:val="00AD5293"/>
    <w:rsid w:val="00AD54C9"/>
    <w:rsid w:val="00AD589F"/>
    <w:rsid w:val="00AD5E6E"/>
    <w:rsid w:val="00AD5FB8"/>
    <w:rsid w:val="00AD6827"/>
    <w:rsid w:val="00AD694F"/>
    <w:rsid w:val="00AD730C"/>
    <w:rsid w:val="00AD755A"/>
    <w:rsid w:val="00AD79CD"/>
    <w:rsid w:val="00AE009D"/>
    <w:rsid w:val="00AE0B4C"/>
    <w:rsid w:val="00AE0BA1"/>
    <w:rsid w:val="00AE0F10"/>
    <w:rsid w:val="00AE10D7"/>
    <w:rsid w:val="00AE148C"/>
    <w:rsid w:val="00AE2345"/>
    <w:rsid w:val="00AE2A7B"/>
    <w:rsid w:val="00AE2E47"/>
    <w:rsid w:val="00AE31D8"/>
    <w:rsid w:val="00AE3C04"/>
    <w:rsid w:val="00AE43EE"/>
    <w:rsid w:val="00AE45BA"/>
    <w:rsid w:val="00AE5ED2"/>
    <w:rsid w:val="00AE5FF8"/>
    <w:rsid w:val="00AE696D"/>
    <w:rsid w:val="00AE6F92"/>
    <w:rsid w:val="00AE7B50"/>
    <w:rsid w:val="00AF09FE"/>
    <w:rsid w:val="00AF14D0"/>
    <w:rsid w:val="00AF2F03"/>
    <w:rsid w:val="00AF3138"/>
    <w:rsid w:val="00AF333E"/>
    <w:rsid w:val="00AF3741"/>
    <w:rsid w:val="00AF5094"/>
    <w:rsid w:val="00AF5D5F"/>
    <w:rsid w:val="00AF6609"/>
    <w:rsid w:val="00AF676E"/>
    <w:rsid w:val="00AF6A78"/>
    <w:rsid w:val="00AF7F82"/>
    <w:rsid w:val="00B009D9"/>
    <w:rsid w:val="00B016B8"/>
    <w:rsid w:val="00B01903"/>
    <w:rsid w:val="00B01FBA"/>
    <w:rsid w:val="00B02BD1"/>
    <w:rsid w:val="00B02EA7"/>
    <w:rsid w:val="00B052BB"/>
    <w:rsid w:val="00B05499"/>
    <w:rsid w:val="00B0583F"/>
    <w:rsid w:val="00B064C5"/>
    <w:rsid w:val="00B064E6"/>
    <w:rsid w:val="00B06577"/>
    <w:rsid w:val="00B06A66"/>
    <w:rsid w:val="00B10609"/>
    <w:rsid w:val="00B1079E"/>
    <w:rsid w:val="00B1197A"/>
    <w:rsid w:val="00B11F3C"/>
    <w:rsid w:val="00B11FBB"/>
    <w:rsid w:val="00B12203"/>
    <w:rsid w:val="00B12BFA"/>
    <w:rsid w:val="00B1333C"/>
    <w:rsid w:val="00B1411D"/>
    <w:rsid w:val="00B1431C"/>
    <w:rsid w:val="00B1433D"/>
    <w:rsid w:val="00B14784"/>
    <w:rsid w:val="00B15B30"/>
    <w:rsid w:val="00B15CC3"/>
    <w:rsid w:val="00B16062"/>
    <w:rsid w:val="00B160AE"/>
    <w:rsid w:val="00B1638A"/>
    <w:rsid w:val="00B16A6F"/>
    <w:rsid w:val="00B16CA0"/>
    <w:rsid w:val="00B16DE8"/>
    <w:rsid w:val="00B1750F"/>
    <w:rsid w:val="00B20E1C"/>
    <w:rsid w:val="00B212EB"/>
    <w:rsid w:val="00B215AC"/>
    <w:rsid w:val="00B22420"/>
    <w:rsid w:val="00B22596"/>
    <w:rsid w:val="00B22C0D"/>
    <w:rsid w:val="00B2324F"/>
    <w:rsid w:val="00B24481"/>
    <w:rsid w:val="00B247FC"/>
    <w:rsid w:val="00B25288"/>
    <w:rsid w:val="00B25904"/>
    <w:rsid w:val="00B26323"/>
    <w:rsid w:val="00B26373"/>
    <w:rsid w:val="00B26686"/>
    <w:rsid w:val="00B307CA"/>
    <w:rsid w:val="00B30A73"/>
    <w:rsid w:val="00B310F9"/>
    <w:rsid w:val="00B311C7"/>
    <w:rsid w:val="00B31203"/>
    <w:rsid w:val="00B31DC1"/>
    <w:rsid w:val="00B3612F"/>
    <w:rsid w:val="00B36355"/>
    <w:rsid w:val="00B367E1"/>
    <w:rsid w:val="00B36CE1"/>
    <w:rsid w:val="00B36F4E"/>
    <w:rsid w:val="00B37666"/>
    <w:rsid w:val="00B3779E"/>
    <w:rsid w:val="00B400FD"/>
    <w:rsid w:val="00B4075F"/>
    <w:rsid w:val="00B40A8F"/>
    <w:rsid w:val="00B41865"/>
    <w:rsid w:val="00B4272E"/>
    <w:rsid w:val="00B42790"/>
    <w:rsid w:val="00B42A60"/>
    <w:rsid w:val="00B42C03"/>
    <w:rsid w:val="00B43CCC"/>
    <w:rsid w:val="00B43EA4"/>
    <w:rsid w:val="00B43FEC"/>
    <w:rsid w:val="00B4601A"/>
    <w:rsid w:val="00B46205"/>
    <w:rsid w:val="00B464AD"/>
    <w:rsid w:val="00B471C2"/>
    <w:rsid w:val="00B473D2"/>
    <w:rsid w:val="00B4745E"/>
    <w:rsid w:val="00B47D33"/>
    <w:rsid w:val="00B50448"/>
    <w:rsid w:val="00B5106D"/>
    <w:rsid w:val="00B52A6E"/>
    <w:rsid w:val="00B53A70"/>
    <w:rsid w:val="00B53B6D"/>
    <w:rsid w:val="00B54266"/>
    <w:rsid w:val="00B54E26"/>
    <w:rsid w:val="00B567CA"/>
    <w:rsid w:val="00B611C9"/>
    <w:rsid w:val="00B61351"/>
    <w:rsid w:val="00B61352"/>
    <w:rsid w:val="00B61FAF"/>
    <w:rsid w:val="00B6205A"/>
    <w:rsid w:val="00B624A6"/>
    <w:rsid w:val="00B62668"/>
    <w:rsid w:val="00B62AD6"/>
    <w:rsid w:val="00B62C4E"/>
    <w:rsid w:val="00B63075"/>
    <w:rsid w:val="00B635A5"/>
    <w:rsid w:val="00B636E6"/>
    <w:rsid w:val="00B643B8"/>
    <w:rsid w:val="00B64A08"/>
    <w:rsid w:val="00B65EA8"/>
    <w:rsid w:val="00B66733"/>
    <w:rsid w:val="00B7061C"/>
    <w:rsid w:val="00B717D7"/>
    <w:rsid w:val="00B71C0D"/>
    <w:rsid w:val="00B72EE5"/>
    <w:rsid w:val="00B72F76"/>
    <w:rsid w:val="00B73179"/>
    <w:rsid w:val="00B74633"/>
    <w:rsid w:val="00B74AEF"/>
    <w:rsid w:val="00B74FDA"/>
    <w:rsid w:val="00B75300"/>
    <w:rsid w:val="00B764DA"/>
    <w:rsid w:val="00B771EA"/>
    <w:rsid w:val="00B80405"/>
    <w:rsid w:val="00B81A83"/>
    <w:rsid w:val="00B81CC8"/>
    <w:rsid w:val="00B823FB"/>
    <w:rsid w:val="00B824ED"/>
    <w:rsid w:val="00B8275D"/>
    <w:rsid w:val="00B8322D"/>
    <w:rsid w:val="00B83850"/>
    <w:rsid w:val="00B84658"/>
    <w:rsid w:val="00B84EFD"/>
    <w:rsid w:val="00B8525A"/>
    <w:rsid w:val="00B85845"/>
    <w:rsid w:val="00B8587B"/>
    <w:rsid w:val="00B86711"/>
    <w:rsid w:val="00B87B8B"/>
    <w:rsid w:val="00B87ED4"/>
    <w:rsid w:val="00B90400"/>
    <w:rsid w:val="00B9086F"/>
    <w:rsid w:val="00B91C8C"/>
    <w:rsid w:val="00B937AF"/>
    <w:rsid w:val="00B94740"/>
    <w:rsid w:val="00B94DA1"/>
    <w:rsid w:val="00B96508"/>
    <w:rsid w:val="00BA023A"/>
    <w:rsid w:val="00BA0EEF"/>
    <w:rsid w:val="00BA1E03"/>
    <w:rsid w:val="00BA20E0"/>
    <w:rsid w:val="00BA650F"/>
    <w:rsid w:val="00BA6C24"/>
    <w:rsid w:val="00BA763E"/>
    <w:rsid w:val="00BA764D"/>
    <w:rsid w:val="00BB0437"/>
    <w:rsid w:val="00BB0640"/>
    <w:rsid w:val="00BB070C"/>
    <w:rsid w:val="00BB1211"/>
    <w:rsid w:val="00BB1217"/>
    <w:rsid w:val="00BB12ED"/>
    <w:rsid w:val="00BB173C"/>
    <w:rsid w:val="00BB1E9E"/>
    <w:rsid w:val="00BB1FB6"/>
    <w:rsid w:val="00BB1FE5"/>
    <w:rsid w:val="00BB331C"/>
    <w:rsid w:val="00BB612F"/>
    <w:rsid w:val="00BB63C4"/>
    <w:rsid w:val="00BB6EAA"/>
    <w:rsid w:val="00BB7A56"/>
    <w:rsid w:val="00BC12FC"/>
    <w:rsid w:val="00BC189E"/>
    <w:rsid w:val="00BC1DFA"/>
    <w:rsid w:val="00BC2207"/>
    <w:rsid w:val="00BC2729"/>
    <w:rsid w:val="00BC3B95"/>
    <w:rsid w:val="00BC3F3B"/>
    <w:rsid w:val="00BC5156"/>
    <w:rsid w:val="00BC53E8"/>
    <w:rsid w:val="00BC6413"/>
    <w:rsid w:val="00BC64C7"/>
    <w:rsid w:val="00BC66EC"/>
    <w:rsid w:val="00BC70F4"/>
    <w:rsid w:val="00BC71BF"/>
    <w:rsid w:val="00BC7314"/>
    <w:rsid w:val="00BC7FC6"/>
    <w:rsid w:val="00BD039A"/>
    <w:rsid w:val="00BD0F18"/>
    <w:rsid w:val="00BD1F66"/>
    <w:rsid w:val="00BD24EF"/>
    <w:rsid w:val="00BD35BF"/>
    <w:rsid w:val="00BD3A11"/>
    <w:rsid w:val="00BD3B25"/>
    <w:rsid w:val="00BD3E2A"/>
    <w:rsid w:val="00BD44B7"/>
    <w:rsid w:val="00BD4690"/>
    <w:rsid w:val="00BD59AD"/>
    <w:rsid w:val="00BD59B1"/>
    <w:rsid w:val="00BD7801"/>
    <w:rsid w:val="00BD793E"/>
    <w:rsid w:val="00BD796C"/>
    <w:rsid w:val="00BD7A20"/>
    <w:rsid w:val="00BD7F51"/>
    <w:rsid w:val="00BE0E19"/>
    <w:rsid w:val="00BE1309"/>
    <w:rsid w:val="00BE1BAA"/>
    <w:rsid w:val="00BE2535"/>
    <w:rsid w:val="00BE287D"/>
    <w:rsid w:val="00BE33AA"/>
    <w:rsid w:val="00BE4C15"/>
    <w:rsid w:val="00BE5944"/>
    <w:rsid w:val="00BE5979"/>
    <w:rsid w:val="00BE5B38"/>
    <w:rsid w:val="00BE5C18"/>
    <w:rsid w:val="00BE6E81"/>
    <w:rsid w:val="00BE774C"/>
    <w:rsid w:val="00BE7923"/>
    <w:rsid w:val="00BF036D"/>
    <w:rsid w:val="00BF058D"/>
    <w:rsid w:val="00BF0646"/>
    <w:rsid w:val="00BF0D93"/>
    <w:rsid w:val="00BF103D"/>
    <w:rsid w:val="00BF1516"/>
    <w:rsid w:val="00BF1D04"/>
    <w:rsid w:val="00BF214C"/>
    <w:rsid w:val="00BF21B8"/>
    <w:rsid w:val="00BF2504"/>
    <w:rsid w:val="00BF326F"/>
    <w:rsid w:val="00BF3318"/>
    <w:rsid w:val="00BF3DB7"/>
    <w:rsid w:val="00BF46B5"/>
    <w:rsid w:val="00BF4B22"/>
    <w:rsid w:val="00BF4B90"/>
    <w:rsid w:val="00BF50EE"/>
    <w:rsid w:val="00BF568A"/>
    <w:rsid w:val="00BF5D9C"/>
    <w:rsid w:val="00BF6174"/>
    <w:rsid w:val="00BF684A"/>
    <w:rsid w:val="00BF76DC"/>
    <w:rsid w:val="00BF7B94"/>
    <w:rsid w:val="00C0011C"/>
    <w:rsid w:val="00C00C09"/>
    <w:rsid w:val="00C00CC7"/>
    <w:rsid w:val="00C01137"/>
    <w:rsid w:val="00C012DE"/>
    <w:rsid w:val="00C02351"/>
    <w:rsid w:val="00C0266B"/>
    <w:rsid w:val="00C02C69"/>
    <w:rsid w:val="00C0308E"/>
    <w:rsid w:val="00C03305"/>
    <w:rsid w:val="00C03365"/>
    <w:rsid w:val="00C03FE2"/>
    <w:rsid w:val="00C045F5"/>
    <w:rsid w:val="00C04728"/>
    <w:rsid w:val="00C055AA"/>
    <w:rsid w:val="00C056AA"/>
    <w:rsid w:val="00C06DF8"/>
    <w:rsid w:val="00C07E61"/>
    <w:rsid w:val="00C10AA6"/>
    <w:rsid w:val="00C1164B"/>
    <w:rsid w:val="00C120D3"/>
    <w:rsid w:val="00C1234E"/>
    <w:rsid w:val="00C1246C"/>
    <w:rsid w:val="00C125F8"/>
    <w:rsid w:val="00C13010"/>
    <w:rsid w:val="00C1342B"/>
    <w:rsid w:val="00C135E8"/>
    <w:rsid w:val="00C147FB"/>
    <w:rsid w:val="00C15DC4"/>
    <w:rsid w:val="00C16983"/>
    <w:rsid w:val="00C17D01"/>
    <w:rsid w:val="00C20025"/>
    <w:rsid w:val="00C20B66"/>
    <w:rsid w:val="00C24A22"/>
    <w:rsid w:val="00C24E8B"/>
    <w:rsid w:val="00C25260"/>
    <w:rsid w:val="00C30521"/>
    <w:rsid w:val="00C30AC9"/>
    <w:rsid w:val="00C3118E"/>
    <w:rsid w:val="00C31223"/>
    <w:rsid w:val="00C31601"/>
    <w:rsid w:val="00C32396"/>
    <w:rsid w:val="00C32A8E"/>
    <w:rsid w:val="00C33340"/>
    <w:rsid w:val="00C3345E"/>
    <w:rsid w:val="00C339A8"/>
    <w:rsid w:val="00C35422"/>
    <w:rsid w:val="00C36012"/>
    <w:rsid w:val="00C36024"/>
    <w:rsid w:val="00C37FBE"/>
    <w:rsid w:val="00C401A9"/>
    <w:rsid w:val="00C40A37"/>
    <w:rsid w:val="00C40A49"/>
    <w:rsid w:val="00C40C05"/>
    <w:rsid w:val="00C41711"/>
    <w:rsid w:val="00C41C2B"/>
    <w:rsid w:val="00C42874"/>
    <w:rsid w:val="00C429DB"/>
    <w:rsid w:val="00C4331C"/>
    <w:rsid w:val="00C43A39"/>
    <w:rsid w:val="00C43EB0"/>
    <w:rsid w:val="00C442D7"/>
    <w:rsid w:val="00C44506"/>
    <w:rsid w:val="00C445A0"/>
    <w:rsid w:val="00C44913"/>
    <w:rsid w:val="00C46916"/>
    <w:rsid w:val="00C4786E"/>
    <w:rsid w:val="00C47912"/>
    <w:rsid w:val="00C4791C"/>
    <w:rsid w:val="00C479E6"/>
    <w:rsid w:val="00C500D9"/>
    <w:rsid w:val="00C5081F"/>
    <w:rsid w:val="00C510B3"/>
    <w:rsid w:val="00C51AA6"/>
    <w:rsid w:val="00C52D25"/>
    <w:rsid w:val="00C53C2D"/>
    <w:rsid w:val="00C53E61"/>
    <w:rsid w:val="00C545D4"/>
    <w:rsid w:val="00C5460F"/>
    <w:rsid w:val="00C548F8"/>
    <w:rsid w:val="00C54D1C"/>
    <w:rsid w:val="00C557A6"/>
    <w:rsid w:val="00C55EBE"/>
    <w:rsid w:val="00C5654A"/>
    <w:rsid w:val="00C57772"/>
    <w:rsid w:val="00C57CEE"/>
    <w:rsid w:val="00C60DDD"/>
    <w:rsid w:val="00C60DF8"/>
    <w:rsid w:val="00C614D7"/>
    <w:rsid w:val="00C61DC4"/>
    <w:rsid w:val="00C620E1"/>
    <w:rsid w:val="00C62184"/>
    <w:rsid w:val="00C62367"/>
    <w:rsid w:val="00C6246C"/>
    <w:rsid w:val="00C626D7"/>
    <w:rsid w:val="00C62778"/>
    <w:rsid w:val="00C628FB"/>
    <w:rsid w:val="00C629E7"/>
    <w:rsid w:val="00C62B27"/>
    <w:rsid w:val="00C63195"/>
    <w:rsid w:val="00C63A6E"/>
    <w:rsid w:val="00C641A4"/>
    <w:rsid w:val="00C64427"/>
    <w:rsid w:val="00C65D82"/>
    <w:rsid w:val="00C6625C"/>
    <w:rsid w:val="00C666C4"/>
    <w:rsid w:val="00C66DCA"/>
    <w:rsid w:val="00C66EFF"/>
    <w:rsid w:val="00C67595"/>
    <w:rsid w:val="00C679F1"/>
    <w:rsid w:val="00C67B0F"/>
    <w:rsid w:val="00C70BEE"/>
    <w:rsid w:val="00C70D11"/>
    <w:rsid w:val="00C7175A"/>
    <w:rsid w:val="00C71AA1"/>
    <w:rsid w:val="00C7292E"/>
    <w:rsid w:val="00C72E27"/>
    <w:rsid w:val="00C733CC"/>
    <w:rsid w:val="00C73F9E"/>
    <w:rsid w:val="00C75A88"/>
    <w:rsid w:val="00C772C4"/>
    <w:rsid w:val="00C776E9"/>
    <w:rsid w:val="00C77A12"/>
    <w:rsid w:val="00C81410"/>
    <w:rsid w:val="00C82175"/>
    <w:rsid w:val="00C834EB"/>
    <w:rsid w:val="00C83546"/>
    <w:rsid w:val="00C83AC8"/>
    <w:rsid w:val="00C84786"/>
    <w:rsid w:val="00C84C33"/>
    <w:rsid w:val="00C84FE7"/>
    <w:rsid w:val="00C85DD9"/>
    <w:rsid w:val="00C85E78"/>
    <w:rsid w:val="00C86048"/>
    <w:rsid w:val="00C868B5"/>
    <w:rsid w:val="00C86A6D"/>
    <w:rsid w:val="00C86E1A"/>
    <w:rsid w:val="00C87287"/>
    <w:rsid w:val="00C8728B"/>
    <w:rsid w:val="00C872C3"/>
    <w:rsid w:val="00C8750A"/>
    <w:rsid w:val="00C90F00"/>
    <w:rsid w:val="00C90F6F"/>
    <w:rsid w:val="00C91A5C"/>
    <w:rsid w:val="00C91AFF"/>
    <w:rsid w:val="00C91F89"/>
    <w:rsid w:val="00C92145"/>
    <w:rsid w:val="00C928A8"/>
    <w:rsid w:val="00C930CF"/>
    <w:rsid w:val="00C9336D"/>
    <w:rsid w:val="00C93E09"/>
    <w:rsid w:val="00C93F53"/>
    <w:rsid w:val="00C93FF7"/>
    <w:rsid w:val="00C942D8"/>
    <w:rsid w:val="00C94598"/>
    <w:rsid w:val="00C9546B"/>
    <w:rsid w:val="00C957DB"/>
    <w:rsid w:val="00C96F59"/>
    <w:rsid w:val="00C97476"/>
    <w:rsid w:val="00C97A9A"/>
    <w:rsid w:val="00C97CED"/>
    <w:rsid w:val="00CA2E33"/>
    <w:rsid w:val="00CA37B3"/>
    <w:rsid w:val="00CA3E1D"/>
    <w:rsid w:val="00CA401D"/>
    <w:rsid w:val="00CA494A"/>
    <w:rsid w:val="00CA6203"/>
    <w:rsid w:val="00CA6C7E"/>
    <w:rsid w:val="00CA72D3"/>
    <w:rsid w:val="00CA7342"/>
    <w:rsid w:val="00CA7632"/>
    <w:rsid w:val="00CA78F3"/>
    <w:rsid w:val="00CB0224"/>
    <w:rsid w:val="00CB0C60"/>
    <w:rsid w:val="00CB0F46"/>
    <w:rsid w:val="00CB2CB7"/>
    <w:rsid w:val="00CB3FCD"/>
    <w:rsid w:val="00CB4927"/>
    <w:rsid w:val="00CB4EF4"/>
    <w:rsid w:val="00CB50D6"/>
    <w:rsid w:val="00CB516F"/>
    <w:rsid w:val="00CB549C"/>
    <w:rsid w:val="00CB5E79"/>
    <w:rsid w:val="00CB60BD"/>
    <w:rsid w:val="00CB65DE"/>
    <w:rsid w:val="00CB6AE7"/>
    <w:rsid w:val="00CB7712"/>
    <w:rsid w:val="00CB7DA5"/>
    <w:rsid w:val="00CC01A0"/>
    <w:rsid w:val="00CC0373"/>
    <w:rsid w:val="00CC0A6A"/>
    <w:rsid w:val="00CC0AB9"/>
    <w:rsid w:val="00CC0E31"/>
    <w:rsid w:val="00CC1623"/>
    <w:rsid w:val="00CC1B0A"/>
    <w:rsid w:val="00CC1E36"/>
    <w:rsid w:val="00CC23E4"/>
    <w:rsid w:val="00CC3224"/>
    <w:rsid w:val="00CC3310"/>
    <w:rsid w:val="00CC3E2F"/>
    <w:rsid w:val="00CC47FF"/>
    <w:rsid w:val="00CC581E"/>
    <w:rsid w:val="00CC5F3D"/>
    <w:rsid w:val="00CC607B"/>
    <w:rsid w:val="00CC6238"/>
    <w:rsid w:val="00CD0AB4"/>
    <w:rsid w:val="00CD128B"/>
    <w:rsid w:val="00CD13D0"/>
    <w:rsid w:val="00CD1786"/>
    <w:rsid w:val="00CD2477"/>
    <w:rsid w:val="00CD29F9"/>
    <w:rsid w:val="00CD2C46"/>
    <w:rsid w:val="00CD4D14"/>
    <w:rsid w:val="00CD4EF3"/>
    <w:rsid w:val="00CD56CF"/>
    <w:rsid w:val="00CD5F11"/>
    <w:rsid w:val="00CD6928"/>
    <w:rsid w:val="00CD7E48"/>
    <w:rsid w:val="00CE0336"/>
    <w:rsid w:val="00CE08EA"/>
    <w:rsid w:val="00CE0C91"/>
    <w:rsid w:val="00CE2732"/>
    <w:rsid w:val="00CE2ADC"/>
    <w:rsid w:val="00CE2BF1"/>
    <w:rsid w:val="00CE2E04"/>
    <w:rsid w:val="00CE35C6"/>
    <w:rsid w:val="00CE37A1"/>
    <w:rsid w:val="00CE5374"/>
    <w:rsid w:val="00CE5BBE"/>
    <w:rsid w:val="00CE66C7"/>
    <w:rsid w:val="00CE7197"/>
    <w:rsid w:val="00CE7B52"/>
    <w:rsid w:val="00CF00CD"/>
    <w:rsid w:val="00CF01EF"/>
    <w:rsid w:val="00CF0234"/>
    <w:rsid w:val="00CF163F"/>
    <w:rsid w:val="00CF1D50"/>
    <w:rsid w:val="00CF43C2"/>
    <w:rsid w:val="00CF4752"/>
    <w:rsid w:val="00CF4C8B"/>
    <w:rsid w:val="00CF4ED2"/>
    <w:rsid w:val="00CF4F59"/>
    <w:rsid w:val="00CF50E7"/>
    <w:rsid w:val="00CF59D1"/>
    <w:rsid w:val="00CF5D5F"/>
    <w:rsid w:val="00CF7E51"/>
    <w:rsid w:val="00D01071"/>
    <w:rsid w:val="00D017CB"/>
    <w:rsid w:val="00D017DA"/>
    <w:rsid w:val="00D01AD5"/>
    <w:rsid w:val="00D01D7B"/>
    <w:rsid w:val="00D02110"/>
    <w:rsid w:val="00D026E0"/>
    <w:rsid w:val="00D02B39"/>
    <w:rsid w:val="00D02D8B"/>
    <w:rsid w:val="00D033BB"/>
    <w:rsid w:val="00D04324"/>
    <w:rsid w:val="00D04467"/>
    <w:rsid w:val="00D046D5"/>
    <w:rsid w:val="00D04C50"/>
    <w:rsid w:val="00D056E5"/>
    <w:rsid w:val="00D06498"/>
    <w:rsid w:val="00D06640"/>
    <w:rsid w:val="00D06D42"/>
    <w:rsid w:val="00D07098"/>
    <w:rsid w:val="00D074E0"/>
    <w:rsid w:val="00D078D5"/>
    <w:rsid w:val="00D10CD7"/>
    <w:rsid w:val="00D111B4"/>
    <w:rsid w:val="00D1155E"/>
    <w:rsid w:val="00D12117"/>
    <w:rsid w:val="00D1357D"/>
    <w:rsid w:val="00D13B4D"/>
    <w:rsid w:val="00D13C0C"/>
    <w:rsid w:val="00D14557"/>
    <w:rsid w:val="00D14A12"/>
    <w:rsid w:val="00D14B4B"/>
    <w:rsid w:val="00D14B8D"/>
    <w:rsid w:val="00D14C1B"/>
    <w:rsid w:val="00D14EF8"/>
    <w:rsid w:val="00D15295"/>
    <w:rsid w:val="00D15388"/>
    <w:rsid w:val="00D168A6"/>
    <w:rsid w:val="00D16F1C"/>
    <w:rsid w:val="00D179F2"/>
    <w:rsid w:val="00D17E13"/>
    <w:rsid w:val="00D2024F"/>
    <w:rsid w:val="00D218F4"/>
    <w:rsid w:val="00D224BA"/>
    <w:rsid w:val="00D22DCD"/>
    <w:rsid w:val="00D251F0"/>
    <w:rsid w:val="00D270E9"/>
    <w:rsid w:val="00D2727F"/>
    <w:rsid w:val="00D308F8"/>
    <w:rsid w:val="00D311E3"/>
    <w:rsid w:val="00D316E8"/>
    <w:rsid w:val="00D31A00"/>
    <w:rsid w:val="00D31B1B"/>
    <w:rsid w:val="00D32714"/>
    <w:rsid w:val="00D343F6"/>
    <w:rsid w:val="00D368A9"/>
    <w:rsid w:val="00D371D6"/>
    <w:rsid w:val="00D37848"/>
    <w:rsid w:val="00D37898"/>
    <w:rsid w:val="00D40E06"/>
    <w:rsid w:val="00D41D11"/>
    <w:rsid w:val="00D42CE5"/>
    <w:rsid w:val="00D430BC"/>
    <w:rsid w:val="00D4313E"/>
    <w:rsid w:val="00D43E3A"/>
    <w:rsid w:val="00D44243"/>
    <w:rsid w:val="00D44D0B"/>
    <w:rsid w:val="00D45A99"/>
    <w:rsid w:val="00D463C7"/>
    <w:rsid w:val="00D47307"/>
    <w:rsid w:val="00D505AA"/>
    <w:rsid w:val="00D50C39"/>
    <w:rsid w:val="00D51179"/>
    <w:rsid w:val="00D51C92"/>
    <w:rsid w:val="00D51DDB"/>
    <w:rsid w:val="00D51ED3"/>
    <w:rsid w:val="00D51F34"/>
    <w:rsid w:val="00D51FF7"/>
    <w:rsid w:val="00D5289B"/>
    <w:rsid w:val="00D529F5"/>
    <w:rsid w:val="00D52E01"/>
    <w:rsid w:val="00D53714"/>
    <w:rsid w:val="00D54981"/>
    <w:rsid w:val="00D54F6A"/>
    <w:rsid w:val="00D54F84"/>
    <w:rsid w:val="00D56977"/>
    <w:rsid w:val="00D56B11"/>
    <w:rsid w:val="00D5732C"/>
    <w:rsid w:val="00D5771B"/>
    <w:rsid w:val="00D60062"/>
    <w:rsid w:val="00D602CE"/>
    <w:rsid w:val="00D63682"/>
    <w:rsid w:val="00D64F57"/>
    <w:rsid w:val="00D65284"/>
    <w:rsid w:val="00D65AA6"/>
    <w:rsid w:val="00D66297"/>
    <w:rsid w:val="00D66772"/>
    <w:rsid w:val="00D66848"/>
    <w:rsid w:val="00D67215"/>
    <w:rsid w:val="00D703B2"/>
    <w:rsid w:val="00D707E2"/>
    <w:rsid w:val="00D707F5"/>
    <w:rsid w:val="00D710A2"/>
    <w:rsid w:val="00D71F47"/>
    <w:rsid w:val="00D733DD"/>
    <w:rsid w:val="00D747B4"/>
    <w:rsid w:val="00D74A5D"/>
    <w:rsid w:val="00D752AA"/>
    <w:rsid w:val="00D75620"/>
    <w:rsid w:val="00D757FF"/>
    <w:rsid w:val="00D763EC"/>
    <w:rsid w:val="00D76CA7"/>
    <w:rsid w:val="00D773F9"/>
    <w:rsid w:val="00D778C0"/>
    <w:rsid w:val="00D80F1D"/>
    <w:rsid w:val="00D817B1"/>
    <w:rsid w:val="00D81A46"/>
    <w:rsid w:val="00D82515"/>
    <w:rsid w:val="00D831F5"/>
    <w:rsid w:val="00D837D3"/>
    <w:rsid w:val="00D83AF2"/>
    <w:rsid w:val="00D84D1F"/>
    <w:rsid w:val="00D84DF2"/>
    <w:rsid w:val="00D866FF"/>
    <w:rsid w:val="00D87570"/>
    <w:rsid w:val="00D87C74"/>
    <w:rsid w:val="00D87EC8"/>
    <w:rsid w:val="00D901A8"/>
    <w:rsid w:val="00D9020A"/>
    <w:rsid w:val="00D902FA"/>
    <w:rsid w:val="00D92D79"/>
    <w:rsid w:val="00D93FDA"/>
    <w:rsid w:val="00D9562F"/>
    <w:rsid w:val="00D96C72"/>
    <w:rsid w:val="00D9755A"/>
    <w:rsid w:val="00D977B1"/>
    <w:rsid w:val="00DA0BD9"/>
    <w:rsid w:val="00DA0C5E"/>
    <w:rsid w:val="00DA0C87"/>
    <w:rsid w:val="00DA0FF8"/>
    <w:rsid w:val="00DA119D"/>
    <w:rsid w:val="00DA2EE4"/>
    <w:rsid w:val="00DA3029"/>
    <w:rsid w:val="00DA34CA"/>
    <w:rsid w:val="00DA432C"/>
    <w:rsid w:val="00DA4B75"/>
    <w:rsid w:val="00DA4E57"/>
    <w:rsid w:val="00DA50EA"/>
    <w:rsid w:val="00DA52E0"/>
    <w:rsid w:val="00DA5480"/>
    <w:rsid w:val="00DA60F1"/>
    <w:rsid w:val="00DA6740"/>
    <w:rsid w:val="00DA6CD3"/>
    <w:rsid w:val="00DA6FBF"/>
    <w:rsid w:val="00DA7012"/>
    <w:rsid w:val="00DB01F3"/>
    <w:rsid w:val="00DB0BEB"/>
    <w:rsid w:val="00DB0E2B"/>
    <w:rsid w:val="00DB1069"/>
    <w:rsid w:val="00DB21BB"/>
    <w:rsid w:val="00DB28FE"/>
    <w:rsid w:val="00DB3614"/>
    <w:rsid w:val="00DB4234"/>
    <w:rsid w:val="00DB4338"/>
    <w:rsid w:val="00DB441B"/>
    <w:rsid w:val="00DB4552"/>
    <w:rsid w:val="00DB4A37"/>
    <w:rsid w:val="00DB4F41"/>
    <w:rsid w:val="00DB6722"/>
    <w:rsid w:val="00DC062C"/>
    <w:rsid w:val="00DC0FBC"/>
    <w:rsid w:val="00DC188A"/>
    <w:rsid w:val="00DC243D"/>
    <w:rsid w:val="00DC2A58"/>
    <w:rsid w:val="00DC2B54"/>
    <w:rsid w:val="00DC3358"/>
    <w:rsid w:val="00DC33CB"/>
    <w:rsid w:val="00DC3508"/>
    <w:rsid w:val="00DC3657"/>
    <w:rsid w:val="00DC3E7A"/>
    <w:rsid w:val="00DC4886"/>
    <w:rsid w:val="00DC4991"/>
    <w:rsid w:val="00DC67E4"/>
    <w:rsid w:val="00DC6813"/>
    <w:rsid w:val="00DC6C51"/>
    <w:rsid w:val="00DC6FD8"/>
    <w:rsid w:val="00DC7076"/>
    <w:rsid w:val="00DC75C4"/>
    <w:rsid w:val="00DD0039"/>
    <w:rsid w:val="00DD14AB"/>
    <w:rsid w:val="00DD1C57"/>
    <w:rsid w:val="00DD2EFB"/>
    <w:rsid w:val="00DD3088"/>
    <w:rsid w:val="00DD3C79"/>
    <w:rsid w:val="00DD4198"/>
    <w:rsid w:val="00DD5B09"/>
    <w:rsid w:val="00DD609D"/>
    <w:rsid w:val="00DD664C"/>
    <w:rsid w:val="00DD74F9"/>
    <w:rsid w:val="00DD75D4"/>
    <w:rsid w:val="00DD7A11"/>
    <w:rsid w:val="00DE1BF0"/>
    <w:rsid w:val="00DE2967"/>
    <w:rsid w:val="00DE2F52"/>
    <w:rsid w:val="00DE338F"/>
    <w:rsid w:val="00DE37AA"/>
    <w:rsid w:val="00DE4C05"/>
    <w:rsid w:val="00DE6E16"/>
    <w:rsid w:val="00DF20C3"/>
    <w:rsid w:val="00DF2CC8"/>
    <w:rsid w:val="00DF340D"/>
    <w:rsid w:val="00DF44AD"/>
    <w:rsid w:val="00DF4969"/>
    <w:rsid w:val="00DF4A90"/>
    <w:rsid w:val="00DF4AA4"/>
    <w:rsid w:val="00DF5DBF"/>
    <w:rsid w:val="00DF6BB9"/>
    <w:rsid w:val="00DF6D61"/>
    <w:rsid w:val="00DF6E03"/>
    <w:rsid w:val="00DF77A5"/>
    <w:rsid w:val="00DF7B5E"/>
    <w:rsid w:val="00DF7D58"/>
    <w:rsid w:val="00E006C0"/>
    <w:rsid w:val="00E009B0"/>
    <w:rsid w:val="00E016FB"/>
    <w:rsid w:val="00E018DB"/>
    <w:rsid w:val="00E01AC9"/>
    <w:rsid w:val="00E02030"/>
    <w:rsid w:val="00E0306C"/>
    <w:rsid w:val="00E03741"/>
    <w:rsid w:val="00E038FF"/>
    <w:rsid w:val="00E03934"/>
    <w:rsid w:val="00E04BB5"/>
    <w:rsid w:val="00E0545A"/>
    <w:rsid w:val="00E05553"/>
    <w:rsid w:val="00E056DA"/>
    <w:rsid w:val="00E05AA8"/>
    <w:rsid w:val="00E05D75"/>
    <w:rsid w:val="00E05DAA"/>
    <w:rsid w:val="00E05EC3"/>
    <w:rsid w:val="00E0662E"/>
    <w:rsid w:val="00E06972"/>
    <w:rsid w:val="00E07F67"/>
    <w:rsid w:val="00E10534"/>
    <w:rsid w:val="00E11587"/>
    <w:rsid w:val="00E1165E"/>
    <w:rsid w:val="00E1236B"/>
    <w:rsid w:val="00E12E0F"/>
    <w:rsid w:val="00E12E27"/>
    <w:rsid w:val="00E135E4"/>
    <w:rsid w:val="00E13A39"/>
    <w:rsid w:val="00E13B05"/>
    <w:rsid w:val="00E13D4D"/>
    <w:rsid w:val="00E13FE9"/>
    <w:rsid w:val="00E14CA1"/>
    <w:rsid w:val="00E151BF"/>
    <w:rsid w:val="00E153A0"/>
    <w:rsid w:val="00E1587F"/>
    <w:rsid w:val="00E15945"/>
    <w:rsid w:val="00E15FD6"/>
    <w:rsid w:val="00E1605B"/>
    <w:rsid w:val="00E16395"/>
    <w:rsid w:val="00E17048"/>
    <w:rsid w:val="00E1799F"/>
    <w:rsid w:val="00E20BA2"/>
    <w:rsid w:val="00E218B5"/>
    <w:rsid w:val="00E21AF9"/>
    <w:rsid w:val="00E21D79"/>
    <w:rsid w:val="00E227E2"/>
    <w:rsid w:val="00E24552"/>
    <w:rsid w:val="00E24F07"/>
    <w:rsid w:val="00E25DC2"/>
    <w:rsid w:val="00E26777"/>
    <w:rsid w:val="00E26C51"/>
    <w:rsid w:val="00E274B3"/>
    <w:rsid w:val="00E2F6B3"/>
    <w:rsid w:val="00E3009B"/>
    <w:rsid w:val="00E301F9"/>
    <w:rsid w:val="00E30483"/>
    <w:rsid w:val="00E310BB"/>
    <w:rsid w:val="00E31AC6"/>
    <w:rsid w:val="00E32714"/>
    <w:rsid w:val="00E32813"/>
    <w:rsid w:val="00E33F35"/>
    <w:rsid w:val="00E353F6"/>
    <w:rsid w:val="00E3624D"/>
    <w:rsid w:val="00E36A1C"/>
    <w:rsid w:val="00E36A31"/>
    <w:rsid w:val="00E374BC"/>
    <w:rsid w:val="00E375F0"/>
    <w:rsid w:val="00E37E5D"/>
    <w:rsid w:val="00E417FE"/>
    <w:rsid w:val="00E41D8D"/>
    <w:rsid w:val="00E42FB6"/>
    <w:rsid w:val="00E43948"/>
    <w:rsid w:val="00E43997"/>
    <w:rsid w:val="00E4416C"/>
    <w:rsid w:val="00E445DD"/>
    <w:rsid w:val="00E446AB"/>
    <w:rsid w:val="00E45E59"/>
    <w:rsid w:val="00E46A00"/>
    <w:rsid w:val="00E46D74"/>
    <w:rsid w:val="00E473AC"/>
    <w:rsid w:val="00E47530"/>
    <w:rsid w:val="00E47DE9"/>
    <w:rsid w:val="00E50038"/>
    <w:rsid w:val="00E5048D"/>
    <w:rsid w:val="00E50E3A"/>
    <w:rsid w:val="00E51A9D"/>
    <w:rsid w:val="00E52050"/>
    <w:rsid w:val="00E52574"/>
    <w:rsid w:val="00E52A70"/>
    <w:rsid w:val="00E544DA"/>
    <w:rsid w:val="00E54B03"/>
    <w:rsid w:val="00E54C86"/>
    <w:rsid w:val="00E54E2F"/>
    <w:rsid w:val="00E55475"/>
    <w:rsid w:val="00E56424"/>
    <w:rsid w:val="00E568F9"/>
    <w:rsid w:val="00E57121"/>
    <w:rsid w:val="00E571C2"/>
    <w:rsid w:val="00E571D4"/>
    <w:rsid w:val="00E610F2"/>
    <w:rsid w:val="00E617A0"/>
    <w:rsid w:val="00E617F7"/>
    <w:rsid w:val="00E618D3"/>
    <w:rsid w:val="00E6231B"/>
    <w:rsid w:val="00E62CC3"/>
    <w:rsid w:val="00E62CDC"/>
    <w:rsid w:val="00E6312E"/>
    <w:rsid w:val="00E63264"/>
    <w:rsid w:val="00E6363B"/>
    <w:rsid w:val="00E64015"/>
    <w:rsid w:val="00E6458C"/>
    <w:rsid w:val="00E65B95"/>
    <w:rsid w:val="00E6785B"/>
    <w:rsid w:val="00E678C0"/>
    <w:rsid w:val="00E7012D"/>
    <w:rsid w:val="00E701F0"/>
    <w:rsid w:val="00E7079D"/>
    <w:rsid w:val="00E70965"/>
    <w:rsid w:val="00E709FC"/>
    <w:rsid w:val="00E7179C"/>
    <w:rsid w:val="00E71F1D"/>
    <w:rsid w:val="00E720C8"/>
    <w:rsid w:val="00E72CF0"/>
    <w:rsid w:val="00E7594E"/>
    <w:rsid w:val="00E7643B"/>
    <w:rsid w:val="00E7672C"/>
    <w:rsid w:val="00E77913"/>
    <w:rsid w:val="00E77BAE"/>
    <w:rsid w:val="00E77CDE"/>
    <w:rsid w:val="00E80711"/>
    <w:rsid w:val="00E80A00"/>
    <w:rsid w:val="00E82530"/>
    <w:rsid w:val="00E834D0"/>
    <w:rsid w:val="00E844AC"/>
    <w:rsid w:val="00E84670"/>
    <w:rsid w:val="00E84FEE"/>
    <w:rsid w:val="00E85B1C"/>
    <w:rsid w:val="00E866DA"/>
    <w:rsid w:val="00E86CBB"/>
    <w:rsid w:val="00E86CFE"/>
    <w:rsid w:val="00E90BBF"/>
    <w:rsid w:val="00E91B0B"/>
    <w:rsid w:val="00E9255F"/>
    <w:rsid w:val="00E925A6"/>
    <w:rsid w:val="00E92D75"/>
    <w:rsid w:val="00E93263"/>
    <w:rsid w:val="00E937D4"/>
    <w:rsid w:val="00E93AB0"/>
    <w:rsid w:val="00E93DF1"/>
    <w:rsid w:val="00E949D7"/>
    <w:rsid w:val="00E958AA"/>
    <w:rsid w:val="00E961AA"/>
    <w:rsid w:val="00E9655A"/>
    <w:rsid w:val="00E96B98"/>
    <w:rsid w:val="00E96C1B"/>
    <w:rsid w:val="00E97141"/>
    <w:rsid w:val="00E971A9"/>
    <w:rsid w:val="00E97804"/>
    <w:rsid w:val="00EA019C"/>
    <w:rsid w:val="00EA0F5E"/>
    <w:rsid w:val="00EA11BD"/>
    <w:rsid w:val="00EA1423"/>
    <w:rsid w:val="00EA2350"/>
    <w:rsid w:val="00EA3421"/>
    <w:rsid w:val="00EA37C2"/>
    <w:rsid w:val="00EA395E"/>
    <w:rsid w:val="00EA3CE2"/>
    <w:rsid w:val="00EA48CD"/>
    <w:rsid w:val="00EA6180"/>
    <w:rsid w:val="00EA6372"/>
    <w:rsid w:val="00EA6908"/>
    <w:rsid w:val="00EA6AD5"/>
    <w:rsid w:val="00EA6D74"/>
    <w:rsid w:val="00EB1D1C"/>
    <w:rsid w:val="00EB1E17"/>
    <w:rsid w:val="00EB239F"/>
    <w:rsid w:val="00EB2667"/>
    <w:rsid w:val="00EB2EF8"/>
    <w:rsid w:val="00EB32E6"/>
    <w:rsid w:val="00EB33FF"/>
    <w:rsid w:val="00EB3627"/>
    <w:rsid w:val="00EB36DE"/>
    <w:rsid w:val="00EB3AD0"/>
    <w:rsid w:val="00EB4785"/>
    <w:rsid w:val="00EB4A81"/>
    <w:rsid w:val="00EB5BD1"/>
    <w:rsid w:val="00EB5F2D"/>
    <w:rsid w:val="00EB66DA"/>
    <w:rsid w:val="00EB7F9A"/>
    <w:rsid w:val="00EC16BD"/>
    <w:rsid w:val="00EC18CC"/>
    <w:rsid w:val="00EC1AD5"/>
    <w:rsid w:val="00EC26E6"/>
    <w:rsid w:val="00EC2945"/>
    <w:rsid w:val="00EC2B25"/>
    <w:rsid w:val="00EC2EA3"/>
    <w:rsid w:val="00EC45CF"/>
    <w:rsid w:val="00EC47D9"/>
    <w:rsid w:val="00EC4A26"/>
    <w:rsid w:val="00EC5E4C"/>
    <w:rsid w:val="00EC6E2B"/>
    <w:rsid w:val="00EC79A9"/>
    <w:rsid w:val="00ED0FBE"/>
    <w:rsid w:val="00ED1683"/>
    <w:rsid w:val="00ED193B"/>
    <w:rsid w:val="00ED25A1"/>
    <w:rsid w:val="00ED2707"/>
    <w:rsid w:val="00ED2987"/>
    <w:rsid w:val="00ED32B1"/>
    <w:rsid w:val="00ED364A"/>
    <w:rsid w:val="00ED3951"/>
    <w:rsid w:val="00ED4799"/>
    <w:rsid w:val="00ED4AAD"/>
    <w:rsid w:val="00ED4E33"/>
    <w:rsid w:val="00ED5F9D"/>
    <w:rsid w:val="00ED6BE3"/>
    <w:rsid w:val="00ED7080"/>
    <w:rsid w:val="00ED788F"/>
    <w:rsid w:val="00ED7AF2"/>
    <w:rsid w:val="00EE0041"/>
    <w:rsid w:val="00EE0191"/>
    <w:rsid w:val="00EE0340"/>
    <w:rsid w:val="00EE16FE"/>
    <w:rsid w:val="00EE26CB"/>
    <w:rsid w:val="00EE2F4C"/>
    <w:rsid w:val="00EE3474"/>
    <w:rsid w:val="00EE3B15"/>
    <w:rsid w:val="00EE497B"/>
    <w:rsid w:val="00EE4C18"/>
    <w:rsid w:val="00EE51BD"/>
    <w:rsid w:val="00EE60A2"/>
    <w:rsid w:val="00EE6775"/>
    <w:rsid w:val="00EE6EC2"/>
    <w:rsid w:val="00EE76A4"/>
    <w:rsid w:val="00EE775D"/>
    <w:rsid w:val="00EF0022"/>
    <w:rsid w:val="00EF0983"/>
    <w:rsid w:val="00EF289E"/>
    <w:rsid w:val="00EF2B2A"/>
    <w:rsid w:val="00EF354A"/>
    <w:rsid w:val="00EF3CEE"/>
    <w:rsid w:val="00EF407E"/>
    <w:rsid w:val="00EF58D4"/>
    <w:rsid w:val="00EF5A10"/>
    <w:rsid w:val="00EF76A7"/>
    <w:rsid w:val="00EF7AC8"/>
    <w:rsid w:val="00EF7C0B"/>
    <w:rsid w:val="00F000CC"/>
    <w:rsid w:val="00F011B4"/>
    <w:rsid w:val="00F029BF"/>
    <w:rsid w:val="00F02E9C"/>
    <w:rsid w:val="00F031B1"/>
    <w:rsid w:val="00F04DF8"/>
    <w:rsid w:val="00F05810"/>
    <w:rsid w:val="00F064F4"/>
    <w:rsid w:val="00F06520"/>
    <w:rsid w:val="00F066DA"/>
    <w:rsid w:val="00F0684A"/>
    <w:rsid w:val="00F06AA1"/>
    <w:rsid w:val="00F06E57"/>
    <w:rsid w:val="00F110D1"/>
    <w:rsid w:val="00F11312"/>
    <w:rsid w:val="00F11D1A"/>
    <w:rsid w:val="00F14EB4"/>
    <w:rsid w:val="00F15830"/>
    <w:rsid w:val="00F172C5"/>
    <w:rsid w:val="00F175AC"/>
    <w:rsid w:val="00F200EA"/>
    <w:rsid w:val="00F20294"/>
    <w:rsid w:val="00F202FA"/>
    <w:rsid w:val="00F2123C"/>
    <w:rsid w:val="00F217FA"/>
    <w:rsid w:val="00F2196F"/>
    <w:rsid w:val="00F21AA8"/>
    <w:rsid w:val="00F21F4D"/>
    <w:rsid w:val="00F23346"/>
    <w:rsid w:val="00F23E8B"/>
    <w:rsid w:val="00F24037"/>
    <w:rsid w:val="00F24063"/>
    <w:rsid w:val="00F245C1"/>
    <w:rsid w:val="00F24ED8"/>
    <w:rsid w:val="00F250D8"/>
    <w:rsid w:val="00F26C2A"/>
    <w:rsid w:val="00F30EA7"/>
    <w:rsid w:val="00F32012"/>
    <w:rsid w:val="00F3262C"/>
    <w:rsid w:val="00F329CE"/>
    <w:rsid w:val="00F3322D"/>
    <w:rsid w:val="00F33A1B"/>
    <w:rsid w:val="00F33C94"/>
    <w:rsid w:val="00F33ED3"/>
    <w:rsid w:val="00F348F6"/>
    <w:rsid w:val="00F35B7B"/>
    <w:rsid w:val="00F3745A"/>
    <w:rsid w:val="00F4277F"/>
    <w:rsid w:val="00F4365C"/>
    <w:rsid w:val="00F43870"/>
    <w:rsid w:val="00F43FF3"/>
    <w:rsid w:val="00F443A9"/>
    <w:rsid w:val="00F44531"/>
    <w:rsid w:val="00F44ADA"/>
    <w:rsid w:val="00F44B87"/>
    <w:rsid w:val="00F457CC"/>
    <w:rsid w:val="00F45EC1"/>
    <w:rsid w:val="00F46728"/>
    <w:rsid w:val="00F46836"/>
    <w:rsid w:val="00F47C24"/>
    <w:rsid w:val="00F47EE5"/>
    <w:rsid w:val="00F5037A"/>
    <w:rsid w:val="00F51056"/>
    <w:rsid w:val="00F51ABE"/>
    <w:rsid w:val="00F51B04"/>
    <w:rsid w:val="00F5216D"/>
    <w:rsid w:val="00F52565"/>
    <w:rsid w:val="00F52DBC"/>
    <w:rsid w:val="00F534EB"/>
    <w:rsid w:val="00F54354"/>
    <w:rsid w:val="00F550A3"/>
    <w:rsid w:val="00F55ECD"/>
    <w:rsid w:val="00F5611F"/>
    <w:rsid w:val="00F56431"/>
    <w:rsid w:val="00F56685"/>
    <w:rsid w:val="00F57052"/>
    <w:rsid w:val="00F579CC"/>
    <w:rsid w:val="00F6019B"/>
    <w:rsid w:val="00F6059C"/>
    <w:rsid w:val="00F618D4"/>
    <w:rsid w:val="00F62592"/>
    <w:rsid w:val="00F62C72"/>
    <w:rsid w:val="00F62F34"/>
    <w:rsid w:val="00F63597"/>
    <w:rsid w:val="00F636B1"/>
    <w:rsid w:val="00F637F2"/>
    <w:rsid w:val="00F639B5"/>
    <w:rsid w:val="00F63BDB"/>
    <w:rsid w:val="00F6434F"/>
    <w:rsid w:val="00F64D1E"/>
    <w:rsid w:val="00F650B4"/>
    <w:rsid w:val="00F6543B"/>
    <w:rsid w:val="00F65781"/>
    <w:rsid w:val="00F65804"/>
    <w:rsid w:val="00F658E4"/>
    <w:rsid w:val="00F65A8C"/>
    <w:rsid w:val="00F6615B"/>
    <w:rsid w:val="00F6707C"/>
    <w:rsid w:val="00F670F1"/>
    <w:rsid w:val="00F6743A"/>
    <w:rsid w:val="00F67810"/>
    <w:rsid w:val="00F679F6"/>
    <w:rsid w:val="00F67E95"/>
    <w:rsid w:val="00F719A7"/>
    <w:rsid w:val="00F72562"/>
    <w:rsid w:val="00F72D5C"/>
    <w:rsid w:val="00F7318C"/>
    <w:rsid w:val="00F7334A"/>
    <w:rsid w:val="00F736D9"/>
    <w:rsid w:val="00F736EC"/>
    <w:rsid w:val="00F74EA9"/>
    <w:rsid w:val="00F77965"/>
    <w:rsid w:val="00F77DC5"/>
    <w:rsid w:val="00F80197"/>
    <w:rsid w:val="00F809DD"/>
    <w:rsid w:val="00F80ABD"/>
    <w:rsid w:val="00F80E00"/>
    <w:rsid w:val="00F81308"/>
    <w:rsid w:val="00F81A6E"/>
    <w:rsid w:val="00F823C0"/>
    <w:rsid w:val="00F82FC3"/>
    <w:rsid w:val="00F83530"/>
    <w:rsid w:val="00F83B45"/>
    <w:rsid w:val="00F83B47"/>
    <w:rsid w:val="00F840D5"/>
    <w:rsid w:val="00F8456A"/>
    <w:rsid w:val="00F84881"/>
    <w:rsid w:val="00F84D90"/>
    <w:rsid w:val="00F855E0"/>
    <w:rsid w:val="00F9321C"/>
    <w:rsid w:val="00F939BD"/>
    <w:rsid w:val="00F95578"/>
    <w:rsid w:val="00F955D6"/>
    <w:rsid w:val="00F95F9E"/>
    <w:rsid w:val="00F97830"/>
    <w:rsid w:val="00F97E1F"/>
    <w:rsid w:val="00FA0A65"/>
    <w:rsid w:val="00FA0CCF"/>
    <w:rsid w:val="00FA127B"/>
    <w:rsid w:val="00FA1620"/>
    <w:rsid w:val="00FA27A1"/>
    <w:rsid w:val="00FA464A"/>
    <w:rsid w:val="00FA4AD0"/>
    <w:rsid w:val="00FA4E16"/>
    <w:rsid w:val="00FA4FC6"/>
    <w:rsid w:val="00FA52F1"/>
    <w:rsid w:val="00FA5DDA"/>
    <w:rsid w:val="00FA6338"/>
    <w:rsid w:val="00FA64CA"/>
    <w:rsid w:val="00FA671C"/>
    <w:rsid w:val="00FA67F2"/>
    <w:rsid w:val="00FA71D9"/>
    <w:rsid w:val="00FA7DDB"/>
    <w:rsid w:val="00FB07C9"/>
    <w:rsid w:val="00FB1AA3"/>
    <w:rsid w:val="00FB21BA"/>
    <w:rsid w:val="00FB3016"/>
    <w:rsid w:val="00FB359F"/>
    <w:rsid w:val="00FB5028"/>
    <w:rsid w:val="00FB5489"/>
    <w:rsid w:val="00FB55DC"/>
    <w:rsid w:val="00FB6128"/>
    <w:rsid w:val="00FB62A9"/>
    <w:rsid w:val="00FB6921"/>
    <w:rsid w:val="00FB6A38"/>
    <w:rsid w:val="00FB7A26"/>
    <w:rsid w:val="00FB7AA1"/>
    <w:rsid w:val="00FB7D79"/>
    <w:rsid w:val="00FC142A"/>
    <w:rsid w:val="00FC14BB"/>
    <w:rsid w:val="00FC199D"/>
    <w:rsid w:val="00FC1FB6"/>
    <w:rsid w:val="00FC2422"/>
    <w:rsid w:val="00FC44C6"/>
    <w:rsid w:val="00FC461F"/>
    <w:rsid w:val="00FC57DF"/>
    <w:rsid w:val="00FC635D"/>
    <w:rsid w:val="00FC688D"/>
    <w:rsid w:val="00FC6959"/>
    <w:rsid w:val="00FC6CC2"/>
    <w:rsid w:val="00FC771F"/>
    <w:rsid w:val="00FC784D"/>
    <w:rsid w:val="00FC7BBF"/>
    <w:rsid w:val="00FC7CA0"/>
    <w:rsid w:val="00FC7F00"/>
    <w:rsid w:val="00FD058C"/>
    <w:rsid w:val="00FD066E"/>
    <w:rsid w:val="00FD0B0A"/>
    <w:rsid w:val="00FD0D42"/>
    <w:rsid w:val="00FD1266"/>
    <w:rsid w:val="00FD2A06"/>
    <w:rsid w:val="00FD33FD"/>
    <w:rsid w:val="00FD3B55"/>
    <w:rsid w:val="00FD4549"/>
    <w:rsid w:val="00FD4E8D"/>
    <w:rsid w:val="00FD54F1"/>
    <w:rsid w:val="00FD68FD"/>
    <w:rsid w:val="00FD707B"/>
    <w:rsid w:val="00FE00FD"/>
    <w:rsid w:val="00FE064A"/>
    <w:rsid w:val="00FE088E"/>
    <w:rsid w:val="00FE1374"/>
    <w:rsid w:val="00FE1EB8"/>
    <w:rsid w:val="00FE24B0"/>
    <w:rsid w:val="00FE3B8A"/>
    <w:rsid w:val="00FE568E"/>
    <w:rsid w:val="00FE6BFA"/>
    <w:rsid w:val="00FE724C"/>
    <w:rsid w:val="00FE72CE"/>
    <w:rsid w:val="00FF07A2"/>
    <w:rsid w:val="00FF12BF"/>
    <w:rsid w:val="00FF146D"/>
    <w:rsid w:val="00FF155A"/>
    <w:rsid w:val="00FF1A0B"/>
    <w:rsid w:val="00FF1E1C"/>
    <w:rsid w:val="00FF1E60"/>
    <w:rsid w:val="00FF24A1"/>
    <w:rsid w:val="00FF38A8"/>
    <w:rsid w:val="00FF3F5E"/>
    <w:rsid w:val="00FF4284"/>
    <w:rsid w:val="00FF45D0"/>
    <w:rsid w:val="00FF4FAF"/>
    <w:rsid w:val="00FF5642"/>
    <w:rsid w:val="00FF5908"/>
    <w:rsid w:val="00FF62A5"/>
    <w:rsid w:val="00FF6FA9"/>
    <w:rsid w:val="00FF7664"/>
    <w:rsid w:val="00FF7B58"/>
    <w:rsid w:val="00FF7F5C"/>
    <w:rsid w:val="011EA66E"/>
    <w:rsid w:val="013D6E21"/>
    <w:rsid w:val="01569AA5"/>
    <w:rsid w:val="03CCCD1D"/>
    <w:rsid w:val="09C34D07"/>
    <w:rsid w:val="0A8266D2"/>
    <w:rsid w:val="0AB27469"/>
    <w:rsid w:val="0EA2570A"/>
    <w:rsid w:val="0F1716BF"/>
    <w:rsid w:val="0FB4E18F"/>
    <w:rsid w:val="104451BB"/>
    <w:rsid w:val="13913C67"/>
    <w:rsid w:val="1456753A"/>
    <w:rsid w:val="1949634F"/>
    <w:rsid w:val="1B12BC8C"/>
    <w:rsid w:val="23B880CD"/>
    <w:rsid w:val="24A2A897"/>
    <w:rsid w:val="28CC13FA"/>
    <w:rsid w:val="28D74E9F"/>
    <w:rsid w:val="297466A8"/>
    <w:rsid w:val="2AFFBE9C"/>
    <w:rsid w:val="2BCF6029"/>
    <w:rsid w:val="2E09799A"/>
    <w:rsid w:val="2E3D54BB"/>
    <w:rsid w:val="2F6C3B2B"/>
    <w:rsid w:val="300C37B2"/>
    <w:rsid w:val="313F4090"/>
    <w:rsid w:val="3379AE19"/>
    <w:rsid w:val="34EAF8E1"/>
    <w:rsid w:val="35AE7E12"/>
    <w:rsid w:val="36ABF2CA"/>
    <w:rsid w:val="37C10ECA"/>
    <w:rsid w:val="3C431C9A"/>
    <w:rsid w:val="3C94912F"/>
    <w:rsid w:val="3DAB3D12"/>
    <w:rsid w:val="3F63E8BD"/>
    <w:rsid w:val="40805517"/>
    <w:rsid w:val="435B0D44"/>
    <w:rsid w:val="45370241"/>
    <w:rsid w:val="469DC95E"/>
    <w:rsid w:val="47C3A517"/>
    <w:rsid w:val="49A1601E"/>
    <w:rsid w:val="4A542172"/>
    <w:rsid w:val="4C1CE865"/>
    <w:rsid w:val="534045BB"/>
    <w:rsid w:val="5591C620"/>
    <w:rsid w:val="55D50E67"/>
    <w:rsid w:val="562E98CA"/>
    <w:rsid w:val="5F71893F"/>
    <w:rsid w:val="60B594ED"/>
    <w:rsid w:val="6121661E"/>
    <w:rsid w:val="6286572F"/>
    <w:rsid w:val="67082B7F"/>
    <w:rsid w:val="6986AEE5"/>
    <w:rsid w:val="6B27EB54"/>
    <w:rsid w:val="6C7F8A5A"/>
    <w:rsid w:val="6CF84852"/>
    <w:rsid w:val="6EDE360C"/>
    <w:rsid w:val="6F58D502"/>
    <w:rsid w:val="73A84A7A"/>
    <w:rsid w:val="742A04F6"/>
    <w:rsid w:val="765CB056"/>
    <w:rsid w:val="7682E74F"/>
    <w:rsid w:val="7723A0AC"/>
    <w:rsid w:val="77BA1D66"/>
    <w:rsid w:val="7865E9C4"/>
    <w:rsid w:val="7A59FDB3"/>
    <w:rsid w:val="7E1ED3A5"/>
    <w:rsid w:val="7EB6E1C2"/>
    <w:rsid w:val="7F13E2A8"/>
    <w:rsid w:val="7F4214A2"/>
    <w:rsid w:val="7F63BD33"/>
    <w:rsid w:val="7FA045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08DB9D"/>
  <w15:docId w15:val="{A30F980E-57D2-4DA6-B4FC-53E26ACA0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pPr>
        <w:spacing w:before="360" w:after="120"/>
        <w:ind w:left="851" w:hanging="851"/>
      </w:pPr>
    </w:pPrDefault>
  </w:docDefaults>
  <w:latentStyles w:defLockedState="0" w:defUIPriority="0" w:defSemiHidden="0" w:defUnhideWhenUsed="0" w:defQFormat="0" w:count="376">
    <w:lsdException w:name="Normal" w:qFormat="1"/>
    <w:lsdException w:name="heading 1" w:locked="1" w:qFormat="1"/>
    <w:lsdException w:name="heading 2" w:uiPriority="9" w:qFormat="1"/>
    <w:lsdException w:name="heading 3" w:locked="1" w:semiHidden="1" w:unhideWhenUsed="1" w:qFormat="1"/>
    <w:lsdException w:name="heading 4" w:locked="1" w:semiHidden="1" w:unhideWhenUsed="1" w:qFormat="1"/>
    <w:lsdException w:name="heading 5" w:locked="1"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10" w:qFormat="1"/>
    <w:lsdException w:name="List Number" w:semiHidden="1"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qFormat="1"/>
    <w:lsdException w:name="List Bullet 4" w:semiHidden="1" w:unhideWhenUsed="1"/>
    <w:lsdException w:name="List Bullet 5" w:semiHidden="1" w:unhideWhenUsed="1"/>
    <w:lsdException w:name="List Number 2" w:semiHidden="1" w:uiPriority="10" w:unhideWhenUsed="1" w:qFormat="1"/>
    <w:lsdException w:name="List Number 3" w:semiHidden="1" w:uiPriority="10" w:unhideWhenUsed="1" w:qFormat="1"/>
    <w:lsdException w:name="List Number 4" w:semiHidden="1" w:unhideWhenUsed="1"/>
    <w:lsdException w:name="List Number 5" w:semiHidden="1" w:unhideWhenUsed="1"/>
    <w:lsdException w:name="Title" w:semiHidden="1" w:uiPriority="1" w:qFormat="1"/>
    <w:lsdException w:name="Closing" w:semiHidden="1"/>
    <w:lsdException w:name="Signature" w:semiHidden="1" w:unhideWhenUsed="1"/>
    <w:lsdException w:name="Default Paragraph Font"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semiHidden="1" w:uiPriority="2" w:qFormat="1"/>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qFormat="1"/>
    <w:lsdException w:name="Emphasis" w:semiHidden="1" w:uiPriority="19"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lsdException w:name="Smart Hyperlink" w:semiHidden="1" w:uiPriority="99"/>
    <w:lsdException w:name="Hashtag" w:semiHidden="1" w:uiPriority="99"/>
    <w:lsdException w:name="Unresolved Mention" w:semiHidden="1" w:uiPriority="99" w:unhideWhenUsed="1"/>
    <w:lsdException w:name="Smart Link" w:semiHidden="1" w:uiPriority="99"/>
  </w:latentStyles>
  <w:style w:type="paragraph" w:default="1" w:styleId="Normal">
    <w:name w:val="Normal"/>
    <w:qFormat/>
    <w:rsid w:val="00AA67ED"/>
    <w:pPr>
      <w:spacing w:before="0" w:after="0"/>
      <w:ind w:left="0" w:firstLine="0"/>
    </w:pPr>
    <w:rPr>
      <w:lang w:val="en-US" w:eastAsia="en-US"/>
    </w:rPr>
  </w:style>
  <w:style w:type="paragraph" w:styleId="Heading1">
    <w:name w:val="heading 1"/>
    <w:basedOn w:val="Normal"/>
    <w:next w:val="BodyText"/>
    <w:link w:val="Heading1Char"/>
    <w:qFormat/>
    <w:locked/>
    <w:rsid w:val="003B48D1"/>
    <w:pPr>
      <w:keepNext/>
      <w:numPr>
        <w:numId w:val="67"/>
      </w:numPr>
      <w:spacing w:before="400" w:after="600"/>
      <w:outlineLvl w:val="0"/>
    </w:pPr>
    <w:rPr>
      <w:rFonts w:ascii="Public Sans SemiBold" w:hAnsi="Public Sans SemiBold"/>
      <w:caps/>
      <w:color w:val="0B3F47"/>
      <w:kern w:val="28"/>
      <w:sz w:val="40"/>
      <w:szCs w:val="36"/>
      <w:lang w:val="en-AU"/>
    </w:rPr>
  </w:style>
  <w:style w:type="paragraph" w:styleId="Heading2">
    <w:name w:val="heading 2"/>
    <w:aliases w:val="Heading2 Numbered"/>
    <w:basedOn w:val="Normal"/>
    <w:next w:val="BodyText"/>
    <w:link w:val="Heading2Char"/>
    <w:uiPriority w:val="9"/>
    <w:qFormat/>
    <w:rsid w:val="00173234"/>
    <w:pPr>
      <w:keepNext/>
      <w:widowControl w:val="0"/>
      <w:pBdr>
        <w:bottom w:val="single" w:sz="4" w:space="2" w:color="008EBA"/>
      </w:pBdr>
      <w:spacing w:before="240" w:after="100" w:line="240" w:lineRule="atLeast"/>
      <w:ind w:left="360" w:hanging="360"/>
      <w:outlineLvl w:val="1"/>
    </w:pPr>
    <w:rPr>
      <w:rFonts w:ascii="Arial Bold" w:hAnsi="Arial Bold"/>
      <w:b/>
      <w:color w:val="008EBA"/>
      <w:kern w:val="28"/>
      <w:sz w:val="24"/>
      <w:szCs w:val="36"/>
      <w:lang w:val="en-AU"/>
    </w:rPr>
  </w:style>
  <w:style w:type="paragraph" w:styleId="Heading3">
    <w:name w:val="heading 3"/>
    <w:next w:val="BodyText"/>
    <w:link w:val="Heading3Char"/>
    <w:autoRedefine/>
    <w:qFormat/>
    <w:locked/>
    <w:rsid w:val="004C5544"/>
    <w:pPr>
      <w:spacing w:before="240" w:after="100" w:line="240" w:lineRule="atLeast"/>
      <w:ind w:left="0" w:firstLine="0"/>
      <w:outlineLvl w:val="2"/>
    </w:pPr>
    <w:rPr>
      <w:rFonts w:ascii="Public Sans SemiBold" w:hAnsi="Public Sans SemiBold"/>
      <w:b/>
      <w:bCs/>
      <w:color w:val="000000" w:themeColor="text1"/>
      <w:kern w:val="28"/>
      <w:sz w:val="26"/>
      <w:szCs w:val="28"/>
      <w:lang w:eastAsia="en-US"/>
    </w:rPr>
  </w:style>
  <w:style w:type="paragraph" w:styleId="Heading4">
    <w:name w:val="heading 4"/>
    <w:basedOn w:val="Heading3"/>
    <w:next w:val="BodyText"/>
    <w:link w:val="Heading4Char"/>
    <w:qFormat/>
    <w:locked/>
    <w:rsid w:val="000E0BEF"/>
    <w:pPr>
      <w:outlineLvl w:val="3"/>
    </w:pPr>
    <w:rPr>
      <w:sz w:val="24"/>
    </w:rPr>
  </w:style>
  <w:style w:type="paragraph" w:styleId="Heading5">
    <w:name w:val="heading 5"/>
    <w:basedOn w:val="Heading4"/>
    <w:next w:val="BodyText"/>
    <w:link w:val="Heading5Char"/>
    <w:qFormat/>
    <w:locked/>
    <w:rsid w:val="00173234"/>
    <w:pPr>
      <w:spacing w:after="60"/>
      <w:outlineLvl w:val="4"/>
    </w:pPr>
    <w:rPr>
      <w:i/>
    </w:rPr>
  </w:style>
  <w:style w:type="paragraph" w:styleId="Heading6">
    <w:name w:val="heading 6"/>
    <w:basedOn w:val="Heading1"/>
    <w:next w:val="Normal"/>
    <w:link w:val="Heading6Char"/>
    <w:semiHidden/>
    <w:qFormat/>
    <w:rsid w:val="00173234"/>
    <w:pPr>
      <w:spacing w:before="120"/>
      <w:ind w:left="1134" w:hanging="1134"/>
      <w:outlineLvl w:val="5"/>
    </w:pPr>
    <w:rPr>
      <w:rFonts w:ascii="Times New Roman" w:hAnsi="Times New Roman"/>
      <w:b/>
      <w:i/>
      <w:caps w:val="0"/>
      <w:kern w:val="0"/>
      <w:sz w:val="24"/>
    </w:rPr>
  </w:style>
  <w:style w:type="paragraph" w:styleId="Heading7">
    <w:name w:val="heading 7"/>
    <w:basedOn w:val="Heading5"/>
    <w:next w:val="Normal"/>
    <w:link w:val="Heading7Char"/>
    <w:semiHidden/>
    <w:qFormat/>
    <w:rsid w:val="00173234"/>
    <w:pPr>
      <w:spacing w:before="120"/>
      <w:ind w:left="425"/>
      <w:jc w:val="both"/>
      <w:outlineLvl w:val="6"/>
    </w:pPr>
    <w:rPr>
      <w:i w:val="0"/>
    </w:rPr>
  </w:style>
  <w:style w:type="paragraph" w:styleId="Heading8">
    <w:name w:val="heading 8"/>
    <w:basedOn w:val="Heading7"/>
    <w:next w:val="Normal"/>
    <w:link w:val="Heading8Char"/>
    <w:semiHidden/>
    <w:qFormat/>
    <w:rsid w:val="00173234"/>
    <w:pPr>
      <w:outlineLvl w:val="7"/>
    </w:pPr>
    <w:rPr>
      <w:i/>
    </w:rPr>
  </w:style>
  <w:style w:type="paragraph" w:styleId="Heading9">
    <w:name w:val="heading 9"/>
    <w:basedOn w:val="Heading8"/>
    <w:next w:val="Normal"/>
    <w:link w:val="Heading9Char"/>
    <w:semiHidden/>
    <w:qFormat/>
    <w:rsid w:val="00173234"/>
    <w:pPr>
      <w:ind w:left="851"/>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autoRedefine/>
    <w:locked/>
    <w:rsid w:val="00195694"/>
    <w:pPr>
      <w:spacing w:before="120"/>
      <w:ind w:left="0" w:firstLine="0"/>
    </w:pPr>
    <w:rPr>
      <w:rFonts w:ascii="Public Sans" w:hAnsi="Public Sans" w:cs="Arial"/>
      <w:iCs/>
      <w:color w:val="000000" w:themeColor="text1"/>
      <w:sz w:val="22"/>
      <w:lang w:eastAsia="en-US"/>
    </w:rPr>
  </w:style>
  <w:style w:type="paragraph" w:customStyle="1" w:styleId="Bullet1">
    <w:name w:val="Bullet 1"/>
    <w:basedOn w:val="BodyText"/>
    <w:link w:val="Bullet1Char"/>
    <w:autoRedefine/>
    <w:qFormat/>
    <w:locked/>
    <w:rsid w:val="005B531F"/>
    <w:pPr>
      <w:numPr>
        <w:numId w:val="107"/>
      </w:numPr>
      <w:tabs>
        <w:tab w:val="left" w:pos="8647"/>
      </w:tabs>
      <w:ind w:left="284" w:hanging="284"/>
    </w:pPr>
    <w:rPr>
      <w:rFonts w:eastAsiaTheme="minorEastAsia"/>
      <w:szCs w:val="23"/>
      <w:lang w:eastAsia="en-AU"/>
    </w:rPr>
  </w:style>
  <w:style w:type="paragraph" w:customStyle="1" w:styleId="Bullet1inabox">
    <w:name w:val="Bullet 1 in a box"/>
    <w:basedOn w:val="Bullet1"/>
    <w:autoRedefine/>
    <w:semiHidden/>
    <w:locked/>
    <w:rsid w:val="00FB3016"/>
    <w:pPr>
      <w:numPr>
        <w:numId w:val="1"/>
      </w:numPr>
      <w:spacing w:before="100" w:after="60"/>
    </w:pPr>
    <w:rPr>
      <w:rFonts w:cs="Times New Roman"/>
    </w:rPr>
  </w:style>
  <w:style w:type="paragraph" w:styleId="NoSpacing">
    <w:name w:val="No Spacing"/>
    <w:basedOn w:val="Normal"/>
    <w:link w:val="NoSpacingChar"/>
    <w:semiHidden/>
    <w:qFormat/>
    <w:rsid w:val="00173234"/>
  </w:style>
  <w:style w:type="paragraph" w:customStyle="1" w:styleId="Bullet2">
    <w:name w:val="Bullet 2"/>
    <w:basedOn w:val="Bullet1"/>
    <w:locked/>
    <w:rsid w:val="00C57772"/>
    <w:pPr>
      <w:numPr>
        <w:numId w:val="25"/>
      </w:numPr>
      <w:tabs>
        <w:tab w:val="left" w:pos="851"/>
      </w:tabs>
      <w:ind w:left="568" w:hanging="284"/>
    </w:pPr>
  </w:style>
  <w:style w:type="character" w:customStyle="1" w:styleId="NoSpacingChar">
    <w:name w:val="No Spacing Char"/>
    <w:link w:val="NoSpacing"/>
    <w:semiHidden/>
    <w:rsid w:val="005E013C"/>
    <w:rPr>
      <w:lang w:val="en-US" w:eastAsia="en-US"/>
    </w:rPr>
  </w:style>
  <w:style w:type="paragraph" w:customStyle="1" w:styleId="Table1X">
    <w:name w:val="Table 1.X"/>
    <w:next w:val="Normal"/>
    <w:semiHidden/>
    <w:qFormat/>
    <w:locked/>
    <w:rsid w:val="0025730F"/>
    <w:pPr>
      <w:numPr>
        <w:numId w:val="92"/>
      </w:numPr>
      <w:spacing w:before="240"/>
      <w:ind w:left="1418" w:hanging="1418"/>
    </w:pPr>
    <w:rPr>
      <w:rFonts w:ascii="Public Sans" w:hAnsi="Public Sans"/>
      <w:bCs/>
      <w:i/>
      <w:color w:val="000000" w:themeColor="text1"/>
      <w:kern w:val="28"/>
      <w:sz w:val="22"/>
      <w:szCs w:val="22"/>
      <w:lang w:eastAsia="en-US"/>
    </w:rPr>
  </w:style>
  <w:style w:type="character" w:styleId="FootnoteReference">
    <w:name w:val="footnote reference"/>
    <w:semiHidden/>
    <w:rsid w:val="00173234"/>
    <w:rPr>
      <w:vertAlign w:val="superscript"/>
    </w:rPr>
  </w:style>
  <w:style w:type="paragraph" w:styleId="FootnoteText">
    <w:name w:val="footnote text"/>
    <w:basedOn w:val="Normal"/>
    <w:link w:val="FootnoteTextChar"/>
    <w:semiHidden/>
    <w:rsid w:val="00173234"/>
    <w:pPr>
      <w:spacing w:before="80" w:after="80"/>
      <w:ind w:left="709" w:hanging="142"/>
    </w:pPr>
    <w:rPr>
      <w:i/>
      <w:sz w:val="16"/>
    </w:rPr>
  </w:style>
  <w:style w:type="character" w:styleId="EndnoteReference">
    <w:name w:val="endnote reference"/>
    <w:semiHidden/>
    <w:rsid w:val="00173234"/>
    <w:rPr>
      <w:i/>
      <w:sz w:val="16"/>
      <w:vertAlign w:val="superscript"/>
    </w:rPr>
  </w:style>
  <w:style w:type="paragraph" w:customStyle="1" w:styleId="21Heading2">
    <w:name w:val="2.1 Heading 2"/>
    <w:basedOn w:val="11Heading2"/>
    <w:next w:val="BodyText"/>
    <w:semiHidden/>
    <w:qFormat/>
    <w:locked/>
    <w:rsid w:val="00B611C9"/>
    <w:pPr>
      <w:numPr>
        <w:numId w:val="5"/>
      </w:numPr>
      <w:ind w:left="851" w:hanging="851"/>
    </w:pPr>
  </w:style>
  <w:style w:type="paragraph" w:customStyle="1" w:styleId="11Heading2">
    <w:name w:val="1.1 Heading 2"/>
    <w:basedOn w:val="Normal"/>
    <w:semiHidden/>
    <w:qFormat/>
    <w:locked/>
    <w:rsid w:val="00B611C9"/>
    <w:pPr>
      <w:numPr>
        <w:numId w:val="4"/>
      </w:numPr>
      <w:pBdr>
        <w:bottom w:val="single" w:sz="4" w:space="4" w:color="22272B"/>
      </w:pBdr>
      <w:spacing w:before="360" w:after="120"/>
      <w:ind w:left="851" w:hanging="851"/>
    </w:pPr>
    <w:rPr>
      <w:rFonts w:ascii="Public Sans SemiBold" w:hAnsi="Public Sans SemiBold"/>
      <w:b/>
      <w:color w:val="22272B"/>
      <w:sz w:val="28"/>
      <w:lang w:val="en-AU"/>
    </w:rPr>
  </w:style>
  <w:style w:type="paragraph" w:customStyle="1" w:styleId="Chart1X">
    <w:name w:val="Chart 1.X"/>
    <w:basedOn w:val="Table1X"/>
    <w:next w:val="Normal"/>
    <w:semiHidden/>
    <w:locked/>
    <w:rsid w:val="00FA6338"/>
    <w:pPr>
      <w:keepLines/>
      <w:numPr>
        <w:numId w:val="29"/>
      </w:numPr>
      <w:ind w:left="1418" w:hanging="1418"/>
    </w:pPr>
  </w:style>
  <w:style w:type="character" w:customStyle="1" w:styleId="Heading2Char">
    <w:name w:val="Heading 2 Char"/>
    <w:aliases w:val="Heading2 Numbered Char"/>
    <w:link w:val="Heading2"/>
    <w:uiPriority w:val="9"/>
    <w:rsid w:val="000A30B4"/>
    <w:rPr>
      <w:rFonts w:ascii="Arial Bold" w:hAnsi="Arial Bold"/>
      <w:b/>
      <w:color w:val="008EBA"/>
      <w:kern w:val="28"/>
      <w:sz w:val="24"/>
      <w:szCs w:val="36"/>
      <w:lang w:eastAsia="en-US"/>
    </w:rPr>
  </w:style>
  <w:style w:type="table" w:styleId="TableGrid">
    <w:name w:val="Table Grid"/>
    <w:basedOn w:val="TableNormal"/>
    <w:uiPriority w:val="39"/>
    <w:rsid w:val="001732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4C5544"/>
    <w:rPr>
      <w:rFonts w:ascii="Public Sans SemiBold" w:hAnsi="Public Sans SemiBold"/>
      <w:b/>
      <w:bCs/>
      <w:color w:val="000000" w:themeColor="text1"/>
      <w:kern w:val="28"/>
      <w:sz w:val="26"/>
      <w:szCs w:val="28"/>
      <w:lang w:eastAsia="en-US"/>
    </w:rPr>
  </w:style>
  <w:style w:type="character" w:customStyle="1" w:styleId="Bullet1Char">
    <w:name w:val="Bullet 1 Char"/>
    <w:link w:val="Bullet1"/>
    <w:rsid w:val="005B531F"/>
    <w:rPr>
      <w:rFonts w:ascii="Public Sans" w:eastAsiaTheme="minorEastAsia" w:hAnsi="Public Sans" w:cs="Arial"/>
      <w:iCs/>
      <w:color w:val="000000" w:themeColor="text1"/>
      <w:sz w:val="22"/>
      <w:szCs w:val="23"/>
    </w:rPr>
  </w:style>
  <w:style w:type="paragraph" w:customStyle="1" w:styleId="Box1XBoxHeading">
    <w:name w:val="Box 1.X: Box Heading"/>
    <w:basedOn w:val="Normal"/>
    <w:next w:val="Normal"/>
    <w:semiHidden/>
    <w:qFormat/>
    <w:locked/>
    <w:rsid w:val="00600F5D"/>
    <w:pPr>
      <w:numPr>
        <w:numId w:val="16"/>
      </w:numPr>
      <w:spacing w:before="80" w:after="60" w:line="240" w:lineRule="atLeast"/>
      <w:ind w:left="1134" w:hanging="1134"/>
    </w:pPr>
    <w:rPr>
      <w:rFonts w:ascii="Public Sans SemiBold" w:hAnsi="Public Sans SemiBold"/>
      <w:b/>
      <w:color w:val="000000" w:themeColor="text1"/>
      <w:sz w:val="22"/>
      <w:lang w:val="en-AU"/>
    </w:rPr>
  </w:style>
  <w:style w:type="paragraph" w:customStyle="1" w:styleId="Box3XBoxHeading">
    <w:name w:val="Box 3.X: Box Heading"/>
    <w:basedOn w:val="Box1XBoxHeading"/>
    <w:next w:val="Normal"/>
    <w:semiHidden/>
    <w:qFormat/>
    <w:locked/>
    <w:rsid w:val="00600F5D"/>
    <w:pPr>
      <w:numPr>
        <w:numId w:val="17"/>
      </w:numPr>
      <w:ind w:left="1134" w:hanging="1134"/>
    </w:pPr>
  </w:style>
  <w:style w:type="paragraph" w:customStyle="1" w:styleId="Box6XBoxHeading">
    <w:name w:val="Box 6.X: Box Heading"/>
    <w:basedOn w:val="Box1XBoxHeading"/>
    <w:autoRedefine/>
    <w:semiHidden/>
    <w:qFormat/>
    <w:locked/>
    <w:rsid w:val="00600F5D"/>
    <w:pPr>
      <w:keepLines/>
      <w:widowControl w:val="0"/>
      <w:numPr>
        <w:numId w:val="20"/>
      </w:numPr>
      <w:ind w:left="1134" w:hanging="1134"/>
    </w:pPr>
    <w:rPr>
      <w:rFonts w:eastAsia="Arial Unicode MS" w:cs="Arial"/>
      <w:bCs/>
      <w:szCs w:val="17"/>
      <w:lang w:eastAsia="en-AU"/>
    </w:rPr>
  </w:style>
  <w:style w:type="paragraph" w:customStyle="1" w:styleId="Box2XBoxHeading">
    <w:name w:val="Box 2.X: Box Heading"/>
    <w:basedOn w:val="Box1XBoxHeading"/>
    <w:semiHidden/>
    <w:qFormat/>
    <w:locked/>
    <w:rsid w:val="00600F5D"/>
    <w:pPr>
      <w:numPr>
        <w:numId w:val="90"/>
      </w:numPr>
      <w:ind w:left="1134" w:hanging="1134"/>
    </w:pPr>
  </w:style>
  <w:style w:type="paragraph" w:customStyle="1" w:styleId="Chart2X">
    <w:name w:val="Chart 2.X"/>
    <w:basedOn w:val="Chart1X"/>
    <w:next w:val="Normal"/>
    <w:semiHidden/>
    <w:locked/>
    <w:rsid w:val="00FA6338"/>
    <w:pPr>
      <w:numPr>
        <w:numId w:val="30"/>
      </w:numPr>
      <w:ind w:left="1418" w:hanging="1418"/>
    </w:pPr>
  </w:style>
  <w:style w:type="paragraph" w:customStyle="1" w:styleId="Table2X">
    <w:name w:val="Table 2.X"/>
    <w:basedOn w:val="Table1X"/>
    <w:next w:val="Normal"/>
    <w:semiHidden/>
    <w:qFormat/>
    <w:locked/>
    <w:rsid w:val="00B61FAF"/>
    <w:pPr>
      <w:numPr>
        <w:numId w:val="75"/>
      </w:numPr>
      <w:ind w:left="1418" w:hanging="1418"/>
    </w:pPr>
    <w:rPr>
      <w:lang w:val="fr-FR"/>
    </w:rPr>
  </w:style>
  <w:style w:type="paragraph" w:customStyle="1" w:styleId="Table3X">
    <w:name w:val="Table 3.X"/>
    <w:basedOn w:val="Table1X"/>
    <w:next w:val="Normal"/>
    <w:semiHidden/>
    <w:locked/>
    <w:rsid w:val="0086714A"/>
    <w:pPr>
      <w:widowControl w:val="0"/>
      <w:numPr>
        <w:numId w:val="76"/>
      </w:numPr>
      <w:ind w:left="1418" w:hanging="1418"/>
    </w:pPr>
    <w:rPr>
      <w:bCs w:val="0"/>
    </w:rPr>
  </w:style>
  <w:style w:type="paragraph" w:customStyle="1" w:styleId="TableFX">
    <w:name w:val="Table F.X"/>
    <w:basedOn w:val="TableA1X"/>
    <w:next w:val="Normal"/>
    <w:semiHidden/>
    <w:locked/>
    <w:rsid w:val="00913FA1"/>
    <w:pPr>
      <w:widowControl w:val="0"/>
      <w:numPr>
        <w:numId w:val="89"/>
      </w:numPr>
      <w:ind w:left="1418" w:hanging="1418"/>
    </w:pPr>
    <w:rPr>
      <w:bCs w:val="0"/>
    </w:rPr>
  </w:style>
  <w:style w:type="paragraph" w:customStyle="1" w:styleId="31Heading2">
    <w:name w:val="3.1 Heading 2"/>
    <w:basedOn w:val="11Heading2"/>
    <w:next w:val="BodyText"/>
    <w:semiHidden/>
    <w:qFormat/>
    <w:locked/>
    <w:rsid w:val="00B611C9"/>
    <w:pPr>
      <w:numPr>
        <w:numId w:val="6"/>
      </w:numPr>
      <w:ind w:left="851" w:hanging="851"/>
    </w:pPr>
  </w:style>
  <w:style w:type="paragraph" w:customStyle="1" w:styleId="Box71BoxHeading">
    <w:name w:val="Box 7.1 Box Heading"/>
    <w:basedOn w:val="Normal"/>
    <w:autoRedefine/>
    <w:semiHidden/>
    <w:rsid w:val="00173234"/>
    <w:pPr>
      <w:keepLines/>
      <w:widowControl w:val="0"/>
      <w:numPr>
        <w:numId w:val="21"/>
      </w:numPr>
      <w:tabs>
        <w:tab w:val="left" w:pos="1134"/>
      </w:tabs>
      <w:spacing w:before="80" w:after="60" w:line="240" w:lineRule="atLeast"/>
      <w:outlineLvl w:val="2"/>
    </w:pPr>
    <w:rPr>
      <w:rFonts w:ascii="Arial Bold" w:hAnsi="Arial Bold" w:cs="Arial"/>
      <w:b/>
      <w:sz w:val="23"/>
    </w:rPr>
  </w:style>
  <w:style w:type="paragraph" w:customStyle="1" w:styleId="Chart3X">
    <w:name w:val="Chart 3.X"/>
    <w:basedOn w:val="Chart1X"/>
    <w:next w:val="Normal"/>
    <w:semiHidden/>
    <w:qFormat/>
    <w:locked/>
    <w:rsid w:val="00FA6338"/>
    <w:pPr>
      <w:numPr>
        <w:numId w:val="93"/>
      </w:numPr>
      <w:ind w:left="1418" w:hanging="1418"/>
    </w:pPr>
  </w:style>
  <w:style w:type="paragraph" w:customStyle="1" w:styleId="41Heading2">
    <w:name w:val="4.1 Heading 2"/>
    <w:basedOn w:val="11Heading2"/>
    <w:next w:val="BodyText"/>
    <w:semiHidden/>
    <w:qFormat/>
    <w:locked/>
    <w:rsid w:val="00B611C9"/>
    <w:pPr>
      <w:numPr>
        <w:numId w:val="7"/>
      </w:numPr>
      <w:ind w:left="851" w:hanging="851"/>
    </w:pPr>
    <w:rPr>
      <w:color w:val="000000" w:themeColor="text1"/>
    </w:rPr>
  </w:style>
  <w:style w:type="paragraph" w:customStyle="1" w:styleId="Box4XBoxHeading">
    <w:name w:val="Box 4.X Box Heading"/>
    <w:basedOn w:val="Box1XBoxHeading"/>
    <w:next w:val="Normal"/>
    <w:autoRedefine/>
    <w:semiHidden/>
    <w:locked/>
    <w:rsid w:val="00013BFF"/>
    <w:pPr>
      <w:numPr>
        <w:numId w:val="18"/>
      </w:numPr>
      <w:ind w:left="1134" w:hanging="1134"/>
    </w:pPr>
    <w:rPr>
      <w:rFonts w:cs="Arial"/>
      <w:lang w:eastAsia="en-AU"/>
    </w:rPr>
  </w:style>
  <w:style w:type="paragraph" w:customStyle="1" w:styleId="Chart4X">
    <w:name w:val="Chart 4.X"/>
    <w:basedOn w:val="Chart1X"/>
    <w:next w:val="Normal"/>
    <w:semiHidden/>
    <w:locked/>
    <w:rsid w:val="00FA6338"/>
    <w:pPr>
      <w:numPr>
        <w:numId w:val="31"/>
      </w:numPr>
      <w:ind w:left="1418" w:hanging="1418"/>
    </w:pPr>
  </w:style>
  <w:style w:type="paragraph" w:customStyle="1" w:styleId="Table4X">
    <w:name w:val="Table 4.X"/>
    <w:basedOn w:val="Table1X"/>
    <w:next w:val="Normal"/>
    <w:semiHidden/>
    <w:locked/>
    <w:rsid w:val="0086714A"/>
    <w:pPr>
      <w:widowControl w:val="0"/>
      <w:numPr>
        <w:numId w:val="77"/>
      </w:numPr>
      <w:ind w:left="1418" w:hanging="1418"/>
    </w:pPr>
    <w:rPr>
      <w:bCs w:val="0"/>
    </w:rPr>
  </w:style>
  <w:style w:type="paragraph" w:customStyle="1" w:styleId="51Heading2">
    <w:name w:val="5.1 Heading 2"/>
    <w:basedOn w:val="11Heading2"/>
    <w:next w:val="BodyText"/>
    <w:semiHidden/>
    <w:qFormat/>
    <w:locked/>
    <w:rsid w:val="00B611C9"/>
    <w:pPr>
      <w:numPr>
        <w:numId w:val="8"/>
      </w:numPr>
      <w:ind w:left="851" w:hanging="851"/>
    </w:pPr>
    <w:rPr>
      <w:color w:val="000000" w:themeColor="text1"/>
    </w:rPr>
  </w:style>
  <w:style w:type="paragraph" w:customStyle="1" w:styleId="Box5XBoxHeading">
    <w:name w:val="Box 5.X: Box Heading"/>
    <w:basedOn w:val="Box1XBoxHeading"/>
    <w:next w:val="Normal"/>
    <w:semiHidden/>
    <w:qFormat/>
    <w:locked/>
    <w:rsid w:val="00600F5D"/>
    <w:pPr>
      <w:numPr>
        <w:numId w:val="19"/>
      </w:numPr>
      <w:ind w:left="1134" w:hanging="1134"/>
    </w:pPr>
  </w:style>
  <w:style w:type="paragraph" w:customStyle="1" w:styleId="Chart5X">
    <w:name w:val="Chart 5.X"/>
    <w:basedOn w:val="Chart1X"/>
    <w:next w:val="Normal"/>
    <w:semiHidden/>
    <w:locked/>
    <w:rsid w:val="00FA6338"/>
    <w:pPr>
      <w:numPr>
        <w:numId w:val="32"/>
      </w:numPr>
      <w:ind w:left="1418" w:hanging="1418"/>
    </w:pPr>
  </w:style>
  <w:style w:type="paragraph" w:customStyle="1" w:styleId="Table5X">
    <w:name w:val="Table 5.X"/>
    <w:basedOn w:val="Table1X"/>
    <w:next w:val="Normal"/>
    <w:semiHidden/>
    <w:locked/>
    <w:rsid w:val="0086714A"/>
    <w:pPr>
      <w:widowControl w:val="0"/>
      <w:numPr>
        <w:numId w:val="78"/>
      </w:numPr>
      <w:ind w:left="1418" w:hanging="1418"/>
    </w:pPr>
    <w:rPr>
      <w:bCs w:val="0"/>
    </w:rPr>
  </w:style>
  <w:style w:type="paragraph" w:customStyle="1" w:styleId="Chart6X">
    <w:name w:val="Chart 6.X"/>
    <w:basedOn w:val="Chart1X"/>
    <w:next w:val="Normal"/>
    <w:semiHidden/>
    <w:qFormat/>
    <w:locked/>
    <w:rsid w:val="00FA6338"/>
    <w:pPr>
      <w:numPr>
        <w:numId w:val="33"/>
      </w:numPr>
      <w:ind w:left="1418" w:hanging="1418"/>
    </w:pPr>
  </w:style>
  <w:style w:type="paragraph" w:customStyle="1" w:styleId="Table6X">
    <w:name w:val="Table 6.X"/>
    <w:basedOn w:val="Table1X"/>
    <w:next w:val="Normal"/>
    <w:semiHidden/>
    <w:qFormat/>
    <w:locked/>
    <w:rsid w:val="0086714A"/>
    <w:pPr>
      <w:widowControl w:val="0"/>
      <w:numPr>
        <w:numId w:val="79"/>
      </w:numPr>
      <w:ind w:left="1418" w:hanging="1418"/>
    </w:pPr>
    <w:rPr>
      <w:bCs w:val="0"/>
    </w:rPr>
  </w:style>
  <w:style w:type="paragraph" w:customStyle="1" w:styleId="71Heading2">
    <w:name w:val="7.1 Heading 2"/>
    <w:basedOn w:val="11Heading2"/>
    <w:next w:val="BodyText"/>
    <w:semiHidden/>
    <w:qFormat/>
    <w:locked/>
    <w:rsid w:val="00B611C9"/>
    <w:pPr>
      <w:numPr>
        <w:numId w:val="10"/>
      </w:numPr>
      <w:ind w:left="851" w:hanging="851"/>
    </w:pPr>
    <w:rPr>
      <w:color w:val="000000" w:themeColor="text1"/>
    </w:rPr>
  </w:style>
  <w:style w:type="paragraph" w:customStyle="1" w:styleId="81Heading2">
    <w:name w:val="8.1 Heading 2"/>
    <w:basedOn w:val="11Heading2"/>
    <w:next w:val="BodyText"/>
    <w:qFormat/>
    <w:locked/>
    <w:rsid w:val="00AA67ED"/>
    <w:pPr>
      <w:numPr>
        <w:numId w:val="108"/>
      </w:numPr>
      <w:spacing w:before="320" w:line="320" w:lineRule="exact"/>
    </w:pPr>
    <w:rPr>
      <w:color w:val="000000" w:themeColor="text1"/>
    </w:rPr>
  </w:style>
  <w:style w:type="paragraph" w:customStyle="1" w:styleId="Chart7X">
    <w:name w:val="Chart 7.X"/>
    <w:basedOn w:val="Chart1X"/>
    <w:next w:val="Normal"/>
    <w:semiHidden/>
    <w:qFormat/>
    <w:locked/>
    <w:rsid w:val="00FA6338"/>
    <w:pPr>
      <w:numPr>
        <w:numId w:val="34"/>
      </w:numPr>
      <w:ind w:left="1418" w:hanging="1418"/>
    </w:pPr>
  </w:style>
  <w:style w:type="paragraph" w:customStyle="1" w:styleId="Box7XBoxHeading">
    <w:name w:val="Box 7.X: Box Heading"/>
    <w:basedOn w:val="Box1XBoxHeading"/>
    <w:next w:val="Normal"/>
    <w:semiHidden/>
    <w:qFormat/>
    <w:locked/>
    <w:rsid w:val="00600F5D"/>
    <w:pPr>
      <w:numPr>
        <w:numId w:val="22"/>
      </w:numPr>
      <w:ind w:left="1134" w:hanging="1134"/>
    </w:pPr>
  </w:style>
  <w:style w:type="paragraph" w:customStyle="1" w:styleId="Table7X">
    <w:name w:val="Table 7.X"/>
    <w:basedOn w:val="Table1X"/>
    <w:next w:val="Normal"/>
    <w:semiHidden/>
    <w:qFormat/>
    <w:locked/>
    <w:rsid w:val="0086714A"/>
    <w:pPr>
      <w:numPr>
        <w:numId w:val="80"/>
      </w:numPr>
      <w:ind w:left="1418" w:hanging="1418"/>
    </w:pPr>
  </w:style>
  <w:style w:type="paragraph" w:customStyle="1" w:styleId="ChartEX">
    <w:name w:val="Chart E.X"/>
    <w:basedOn w:val="ChartA1X"/>
    <w:next w:val="Normal"/>
    <w:semiHidden/>
    <w:qFormat/>
    <w:locked/>
    <w:rsid w:val="00FA6338"/>
    <w:pPr>
      <w:numPr>
        <w:numId w:val="43"/>
      </w:numPr>
      <w:ind w:left="1418" w:hanging="1418"/>
    </w:pPr>
  </w:style>
  <w:style w:type="paragraph" w:customStyle="1" w:styleId="ChartA2X">
    <w:name w:val="Chart A2.X"/>
    <w:basedOn w:val="ChartA1X"/>
    <w:next w:val="Normal"/>
    <w:semiHidden/>
    <w:qFormat/>
    <w:locked/>
    <w:rsid w:val="00FA6338"/>
    <w:pPr>
      <w:numPr>
        <w:numId w:val="36"/>
      </w:numPr>
      <w:ind w:left="1418" w:hanging="1418"/>
    </w:pPr>
  </w:style>
  <w:style w:type="paragraph" w:customStyle="1" w:styleId="A22Heading2">
    <w:name w:val="A2.2 Heading 2"/>
    <w:basedOn w:val="11Heading2"/>
    <w:next w:val="BodyText"/>
    <w:semiHidden/>
    <w:qFormat/>
    <w:locked/>
    <w:rsid w:val="00600F5D"/>
    <w:pPr>
      <w:numPr>
        <w:numId w:val="12"/>
      </w:numPr>
      <w:ind w:left="851" w:hanging="851"/>
    </w:pPr>
    <w:rPr>
      <w:color w:val="000000" w:themeColor="text1"/>
    </w:rPr>
  </w:style>
  <w:style w:type="paragraph" w:customStyle="1" w:styleId="TableA2X">
    <w:name w:val="Table A2.X"/>
    <w:basedOn w:val="TableA1X"/>
    <w:next w:val="Normal"/>
    <w:semiHidden/>
    <w:locked/>
    <w:rsid w:val="0086714A"/>
    <w:pPr>
      <w:keepNext/>
      <w:keepLines/>
      <w:widowControl w:val="0"/>
      <w:numPr>
        <w:numId w:val="83"/>
      </w:numPr>
      <w:autoSpaceDE w:val="0"/>
      <w:autoSpaceDN w:val="0"/>
      <w:ind w:left="1418" w:hanging="1418"/>
    </w:pPr>
    <w:rPr>
      <w:rFonts w:cs="Arial"/>
      <w:lang w:eastAsia="en-AU"/>
    </w:rPr>
  </w:style>
  <w:style w:type="paragraph" w:customStyle="1" w:styleId="TableA3X">
    <w:name w:val="Table A3.X"/>
    <w:basedOn w:val="TableA1X"/>
    <w:next w:val="Normal"/>
    <w:semiHidden/>
    <w:qFormat/>
    <w:locked/>
    <w:rsid w:val="0086714A"/>
    <w:pPr>
      <w:widowControl w:val="0"/>
      <w:numPr>
        <w:numId w:val="84"/>
      </w:numPr>
      <w:ind w:left="1418" w:hanging="1418"/>
    </w:pPr>
    <w:rPr>
      <w:bCs w:val="0"/>
    </w:rPr>
  </w:style>
  <w:style w:type="paragraph" w:customStyle="1" w:styleId="A11Heading2">
    <w:name w:val="A1.1 Heading 2"/>
    <w:basedOn w:val="11Heading2"/>
    <w:next w:val="BodyText"/>
    <w:semiHidden/>
    <w:qFormat/>
    <w:locked/>
    <w:rsid w:val="00600F5D"/>
    <w:pPr>
      <w:numPr>
        <w:numId w:val="91"/>
      </w:numPr>
      <w:ind w:left="851" w:hanging="851"/>
    </w:pPr>
    <w:rPr>
      <w:rFonts w:eastAsia="Tahoma" w:cs="Tahoma"/>
      <w:color w:val="000000" w:themeColor="text1"/>
    </w:rPr>
  </w:style>
  <w:style w:type="paragraph" w:customStyle="1" w:styleId="B1Heading2">
    <w:name w:val="B.1 Heading 2"/>
    <w:basedOn w:val="11Heading2"/>
    <w:semiHidden/>
    <w:qFormat/>
    <w:locked/>
    <w:rsid w:val="00600F5D"/>
    <w:pPr>
      <w:numPr>
        <w:numId w:val="15"/>
      </w:numPr>
      <w:ind w:left="851" w:hanging="851"/>
    </w:pPr>
    <w:rPr>
      <w:rFonts w:eastAsia="Tahoma" w:cs="Tahoma"/>
      <w:color w:val="000000" w:themeColor="text1"/>
    </w:rPr>
  </w:style>
  <w:style w:type="paragraph" w:customStyle="1" w:styleId="ChartA1X">
    <w:name w:val="Chart A1.X"/>
    <w:basedOn w:val="Chart1X"/>
    <w:next w:val="Normal"/>
    <w:semiHidden/>
    <w:qFormat/>
    <w:locked/>
    <w:rsid w:val="00FA6338"/>
    <w:pPr>
      <w:numPr>
        <w:numId w:val="35"/>
      </w:numPr>
      <w:ind w:left="1418" w:hanging="1418"/>
    </w:pPr>
    <w:rPr>
      <w:rFonts w:eastAsia="Tahoma" w:cs="Tahoma"/>
    </w:rPr>
  </w:style>
  <w:style w:type="paragraph" w:customStyle="1" w:styleId="ChartBX">
    <w:name w:val="Chart B.X"/>
    <w:basedOn w:val="ChartA1X"/>
    <w:next w:val="Normal"/>
    <w:semiHidden/>
    <w:qFormat/>
    <w:locked/>
    <w:rsid w:val="00FA6338"/>
    <w:pPr>
      <w:numPr>
        <w:numId w:val="40"/>
      </w:numPr>
      <w:ind w:left="1418" w:hanging="1418"/>
    </w:pPr>
  </w:style>
  <w:style w:type="paragraph" w:customStyle="1" w:styleId="ChartCX">
    <w:name w:val="Chart C.X"/>
    <w:basedOn w:val="ChartA1X"/>
    <w:next w:val="Normal"/>
    <w:semiHidden/>
    <w:qFormat/>
    <w:locked/>
    <w:rsid w:val="00FA6338"/>
    <w:pPr>
      <w:numPr>
        <w:numId w:val="41"/>
      </w:numPr>
      <w:ind w:left="1418" w:hanging="1418"/>
    </w:pPr>
  </w:style>
  <w:style w:type="paragraph" w:customStyle="1" w:styleId="ChartDX">
    <w:name w:val="Chart D.X"/>
    <w:basedOn w:val="ChartA1X"/>
    <w:next w:val="Normal"/>
    <w:semiHidden/>
    <w:qFormat/>
    <w:locked/>
    <w:rsid w:val="00FA6338"/>
    <w:pPr>
      <w:numPr>
        <w:numId w:val="42"/>
      </w:numPr>
      <w:ind w:left="1418" w:hanging="1418"/>
    </w:pPr>
  </w:style>
  <w:style w:type="paragraph" w:customStyle="1" w:styleId="TableA1X">
    <w:name w:val="Table A1.X"/>
    <w:basedOn w:val="Table1X"/>
    <w:next w:val="Normal"/>
    <w:semiHidden/>
    <w:qFormat/>
    <w:locked/>
    <w:rsid w:val="0086714A"/>
    <w:pPr>
      <w:numPr>
        <w:numId w:val="82"/>
      </w:numPr>
      <w:ind w:left="1418" w:hanging="1418"/>
    </w:pPr>
    <w:rPr>
      <w:rFonts w:eastAsia="Tahoma" w:cs="Tahoma"/>
    </w:rPr>
  </w:style>
  <w:style w:type="paragraph" w:customStyle="1" w:styleId="TableBX">
    <w:name w:val="Table B.X"/>
    <w:basedOn w:val="TableA1X"/>
    <w:next w:val="Normal"/>
    <w:semiHidden/>
    <w:qFormat/>
    <w:locked/>
    <w:rsid w:val="0086714A"/>
    <w:pPr>
      <w:numPr>
        <w:numId w:val="85"/>
      </w:numPr>
      <w:ind w:left="1418" w:hanging="1418"/>
    </w:pPr>
  </w:style>
  <w:style w:type="paragraph" w:customStyle="1" w:styleId="TableCX">
    <w:name w:val="Table C.X"/>
    <w:basedOn w:val="TableA1X"/>
    <w:next w:val="Normal"/>
    <w:semiHidden/>
    <w:qFormat/>
    <w:locked/>
    <w:rsid w:val="0086714A"/>
    <w:pPr>
      <w:numPr>
        <w:numId w:val="86"/>
      </w:numPr>
      <w:ind w:left="1418" w:hanging="1418"/>
    </w:pPr>
  </w:style>
  <w:style w:type="paragraph" w:customStyle="1" w:styleId="TableDX">
    <w:name w:val="Table D.X"/>
    <w:basedOn w:val="TableA1X"/>
    <w:next w:val="Normal"/>
    <w:semiHidden/>
    <w:qFormat/>
    <w:locked/>
    <w:rsid w:val="00B61FAF"/>
    <w:pPr>
      <w:numPr>
        <w:numId w:val="87"/>
      </w:numPr>
      <w:ind w:left="1418" w:hanging="1418"/>
    </w:pPr>
  </w:style>
  <w:style w:type="paragraph" w:customStyle="1" w:styleId="ChartA3X">
    <w:name w:val="Chart A3.X"/>
    <w:basedOn w:val="ChartA1X"/>
    <w:next w:val="Normal"/>
    <w:semiHidden/>
    <w:qFormat/>
    <w:locked/>
    <w:rsid w:val="00FA6338"/>
    <w:pPr>
      <w:numPr>
        <w:numId w:val="37"/>
      </w:numPr>
      <w:ind w:left="1418" w:hanging="1418"/>
    </w:pPr>
  </w:style>
  <w:style w:type="paragraph" w:customStyle="1" w:styleId="ChartFX">
    <w:name w:val="Chart F.X"/>
    <w:basedOn w:val="ChartA1X"/>
    <w:next w:val="Normal"/>
    <w:semiHidden/>
    <w:locked/>
    <w:rsid w:val="00FA6338"/>
    <w:pPr>
      <w:numPr>
        <w:numId w:val="44"/>
      </w:numPr>
      <w:ind w:left="1418" w:hanging="1418"/>
    </w:pPr>
  </w:style>
  <w:style w:type="paragraph" w:customStyle="1" w:styleId="61Heading2">
    <w:name w:val="6.1 Heading 2"/>
    <w:basedOn w:val="11Heading2"/>
    <w:next w:val="BodyText"/>
    <w:semiHidden/>
    <w:qFormat/>
    <w:locked/>
    <w:rsid w:val="00B611C9"/>
    <w:pPr>
      <w:numPr>
        <w:numId w:val="9"/>
      </w:numPr>
      <w:ind w:left="851" w:hanging="851"/>
    </w:pPr>
    <w:rPr>
      <w:color w:val="000000" w:themeColor="text1"/>
    </w:rPr>
  </w:style>
  <w:style w:type="paragraph" w:customStyle="1" w:styleId="A31Heading2">
    <w:name w:val="A3.1 Heading 2"/>
    <w:basedOn w:val="11Heading2"/>
    <w:semiHidden/>
    <w:qFormat/>
    <w:locked/>
    <w:rsid w:val="00600F5D"/>
    <w:pPr>
      <w:numPr>
        <w:numId w:val="13"/>
      </w:numPr>
      <w:ind w:left="851" w:hanging="851"/>
    </w:pPr>
    <w:rPr>
      <w:color w:val="000000" w:themeColor="text1"/>
    </w:rPr>
  </w:style>
  <w:style w:type="paragraph" w:customStyle="1" w:styleId="A41Heading2">
    <w:name w:val="A4.1 Heading 2"/>
    <w:basedOn w:val="11Heading2"/>
    <w:next w:val="BodyText"/>
    <w:semiHidden/>
    <w:qFormat/>
    <w:locked/>
    <w:rsid w:val="00600F5D"/>
    <w:pPr>
      <w:numPr>
        <w:numId w:val="14"/>
      </w:numPr>
      <w:ind w:left="851" w:hanging="851"/>
    </w:pPr>
    <w:rPr>
      <w:color w:val="000000" w:themeColor="text1"/>
    </w:rPr>
  </w:style>
  <w:style w:type="paragraph" w:customStyle="1" w:styleId="C1Heading2">
    <w:name w:val="C.1 Heading 2"/>
    <w:basedOn w:val="11Heading2"/>
    <w:next w:val="BodyText"/>
    <w:semiHidden/>
    <w:qFormat/>
    <w:locked/>
    <w:rsid w:val="00FA6338"/>
    <w:pPr>
      <w:numPr>
        <w:numId w:val="28"/>
      </w:numPr>
      <w:ind w:left="851" w:hanging="851"/>
    </w:pPr>
    <w:rPr>
      <w:color w:val="000000" w:themeColor="text1"/>
    </w:rPr>
  </w:style>
  <w:style w:type="paragraph" w:customStyle="1" w:styleId="D1Heading2">
    <w:name w:val="D.1 Heading 2"/>
    <w:basedOn w:val="11Heading2"/>
    <w:next w:val="BodyText"/>
    <w:semiHidden/>
    <w:qFormat/>
    <w:locked/>
    <w:rsid w:val="00B53B6D"/>
    <w:pPr>
      <w:numPr>
        <w:numId w:val="45"/>
      </w:numPr>
      <w:ind w:left="851" w:hanging="851"/>
    </w:pPr>
  </w:style>
  <w:style w:type="paragraph" w:customStyle="1" w:styleId="E1Heading2">
    <w:name w:val="E.1 Heading 2"/>
    <w:basedOn w:val="11Heading2"/>
    <w:next w:val="BodyText"/>
    <w:semiHidden/>
    <w:qFormat/>
    <w:locked/>
    <w:rsid w:val="00B53B6D"/>
    <w:pPr>
      <w:numPr>
        <w:numId w:val="46"/>
      </w:numPr>
      <w:ind w:left="851" w:hanging="851"/>
    </w:pPr>
  </w:style>
  <w:style w:type="paragraph" w:customStyle="1" w:styleId="F1Heading2">
    <w:name w:val="F.1 Heading 2"/>
    <w:basedOn w:val="11Heading2"/>
    <w:semiHidden/>
    <w:qFormat/>
    <w:locked/>
    <w:rsid w:val="00B53B6D"/>
    <w:pPr>
      <w:numPr>
        <w:numId w:val="47"/>
      </w:numPr>
      <w:ind w:left="851" w:hanging="851"/>
    </w:pPr>
  </w:style>
  <w:style w:type="paragraph" w:customStyle="1" w:styleId="Table8X">
    <w:name w:val="Table 8.X"/>
    <w:basedOn w:val="Table1X"/>
    <w:next w:val="Normal"/>
    <w:autoRedefine/>
    <w:qFormat/>
    <w:locked/>
    <w:rsid w:val="00195694"/>
    <w:pPr>
      <w:numPr>
        <w:numId w:val="110"/>
      </w:numPr>
      <w:ind w:left="1418" w:hanging="1418"/>
    </w:pPr>
  </w:style>
  <w:style w:type="paragraph" w:customStyle="1" w:styleId="ChartA4X">
    <w:name w:val="Chart A4.X"/>
    <w:basedOn w:val="ChartA1X"/>
    <w:next w:val="Normal"/>
    <w:semiHidden/>
    <w:qFormat/>
    <w:locked/>
    <w:rsid w:val="00FA6338"/>
    <w:pPr>
      <w:numPr>
        <w:numId w:val="38"/>
      </w:numPr>
      <w:ind w:left="1418" w:hanging="1418"/>
    </w:pPr>
  </w:style>
  <w:style w:type="paragraph" w:customStyle="1" w:styleId="ChartA5X">
    <w:name w:val="Chart A5.X"/>
    <w:basedOn w:val="ChartA1X"/>
    <w:next w:val="Normal"/>
    <w:semiHidden/>
    <w:qFormat/>
    <w:locked/>
    <w:rsid w:val="00FA6338"/>
    <w:pPr>
      <w:numPr>
        <w:numId w:val="39"/>
      </w:numPr>
      <w:ind w:left="1418" w:hanging="1418"/>
    </w:pPr>
  </w:style>
  <w:style w:type="paragraph" w:customStyle="1" w:styleId="Box8XBoxHeading">
    <w:name w:val="Box 8.X: Box Heading"/>
    <w:basedOn w:val="Box1XBoxHeading"/>
    <w:next w:val="Normal"/>
    <w:qFormat/>
    <w:locked/>
    <w:rsid w:val="002770FF"/>
    <w:pPr>
      <w:numPr>
        <w:numId w:val="109"/>
      </w:numPr>
      <w:ind w:left="1134" w:hanging="1134"/>
    </w:pPr>
  </w:style>
  <w:style w:type="paragraph" w:styleId="Header">
    <w:name w:val="header"/>
    <w:basedOn w:val="Normal"/>
    <w:link w:val="HeaderChar"/>
    <w:uiPriority w:val="99"/>
    <w:rsid w:val="00173234"/>
    <w:pPr>
      <w:tabs>
        <w:tab w:val="center" w:pos="4513"/>
        <w:tab w:val="right" w:pos="9026"/>
      </w:tabs>
    </w:pPr>
  </w:style>
  <w:style w:type="character" w:customStyle="1" w:styleId="HeaderChar">
    <w:name w:val="Header Char"/>
    <w:basedOn w:val="DefaultParagraphFont"/>
    <w:link w:val="Header"/>
    <w:uiPriority w:val="99"/>
    <w:rsid w:val="005E013C"/>
    <w:rPr>
      <w:lang w:val="en-US" w:eastAsia="en-US"/>
    </w:rPr>
  </w:style>
  <w:style w:type="paragraph" w:styleId="Footer">
    <w:name w:val="footer"/>
    <w:basedOn w:val="Normal"/>
    <w:link w:val="FooterChar"/>
    <w:semiHidden/>
    <w:rsid w:val="00173234"/>
    <w:pPr>
      <w:tabs>
        <w:tab w:val="center" w:pos="4513"/>
        <w:tab w:val="right" w:pos="9026"/>
      </w:tabs>
    </w:pPr>
  </w:style>
  <w:style w:type="character" w:customStyle="1" w:styleId="FooterChar">
    <w:name w:val="Footer Char"/>
    <w:basedOn w:val="DefaultParagraphFont"/>
    <w:link w:val="Footer"/>
    <w:semiHidden/>
    <w:rsid w:val="000A30B4"/>
    <w:rPr>
      <w:lang w:val="en-US" w:eastAsia="en-US"/>
    </w:rPr>
  </w:style>
  <w:style w:type="table" w:customStyle="1" w:styleId="Focusbox">
    <w:name w:val="Focus box"/>
    <w:basedOn w:val="TableNormal"/>
    <w:uiPriority w:val="99"/>
    <w:locked/>
    <w:rsid w:val="00173234"/>
    <w:rPr>
      <w:rFonts w:ascii="Arial" w:hAnsi="Arial"/>
      <w:sz w:val="23"/>
    </w:rPr>
    <w:tblPr/>
    <w:tcPr>
      <w:shd w:val="pct5" w:color="auto" w:fill="auto"/>
    </w:tcPr>
  </w:style>
  <w:style w:type="paragraph" w:customStyle="1" w:styleId="Source">
    <w:name w:val="Source"/>
    <w:basedOn w:val="Normal"/>
    <w:next w:val="BodyText"/>
    <w:qFormat/>
    <w:rsid w:val="0025730F"/>
    <w:pPr>
      <w:widowControl w:val="0"/>
    </w:pPr>
    <w:rPr>
      <w:rFonts w:ascii="Public Sans" w:hAnsi="Public Sans" w:cs="Arial"/>
      <w:i/>
      <w:noProof/>
      <w:color w:val="000000" w:themeColor="text1"/>
      <w:sz w:val="17"/>
      <w:szCs w:val="17"/>
      <w:lang w:eastAsia="en-AU"/>
    </w:rPr>
  </w:style>
  <w:style w:type="paragraph" w:customStyle="1" w:styleId="Bullet2inabox">
    <w:name w:val="Bullet 2 in a box"/>
    <w:basedOn w:val="Bullet1inabox"/>
    <w:semiHidden/>
    <w:qFormat/>
    <w:rsid w:val="00FC688D"/>
    <w:pPr>
      <w:numPr>
        <w:numId w:val="3"/>
      </w:numPr>
      <w:ind w:left="714" w:hanging="357"/>
    </w:pPr>
  </w:style>
  <w:style w:type="paragraph" w:customStyle="1" w:styleId="Footnotestyle">
    <w:name w:val="Footnote style"/>
    <w:basedOn w:val="Normal"/>
    <w:next w:val="Normal"/>
    <w:qFormat/>
    <w:rsid w:val="00173234"/>
    <w:pPr>
      <w:spacing w:before="40" w:after="40"/>
      <w:ind w:left="709" w:hanging="284"/>
    </w:pPr>
    <w:rPr>
      <w:rFonts w:ascii="Public Sans" w:hAnsi="Public Sans"/>
      <w:sz w:val="16"/>
    </w:rPr>
  </w:style>
  <w:style w:type="paragraph" w:customStyle="1" w:styleId="Headinginbox">
    <w:name w:val="Heading in box"/>
    <w:basedOn w:val="BodyText"/>
    <w:next w:val="Normal"/>
    <w:qFormat/>
    <w:rsid w:val="00C4786E"/>
    <w:rPr>
      <w:rFonts w:ascii="Public Sans SemiBold" w:hAnsi="Public Sans SemiBold"/>
      <w:b/>
    </w:rPr>
  </w:style>
  <w:style w:type="paragraph" w:customStyle="1" w:styleId="Figure1X">
    <w:name w:val="Figure 1.X"/>
    <w:basedOn w:val="Table1X"/>
    <w:next w:val="Normal"/>
    <w:semiHidden/>
    <w:qFormat/>
    <w:rsid w:val="00597E5A"/>
    <w:pPr>
      <w:numPr>
        <w:numId w:val="48"/>
      </w:numPr>
      <w:ind w:left="1418" w:hanging="1418"/>
    </w:pPr>
  </w:style>
  <w:style w:type="paragraph" w:customStyle="1" w:styleId="Figure2X">
    <w:name w:val="Figure 2.X"/>
    <w:basedOn w:val="Figure1X"/>
    <w:next w:val="Normal"/>
    <w:semiHidden/>
    <w:qFormat/>
    <w:rsid w:val="00597E5A"/>
    <w:pPr>
      <w:numPr>
        <w:numId w:val="49"/>
      </w:numPr>
      <w:ind w:left="1418" w:hanging="1418"/>
    </w:pPr>
  </w:style>
  <w:style w:type="paragraph" w:customStyle="1" w:styleId="Figure3X">
    <w:name w:val="Figure 3.X"/>
    <w:basedOn w:val="Figure1X"/>
    <w:next w:val="Normal"/>
    <w:semiHidden/>
    <w:qFormat/>
    <w:rsid w:val="00597E5A"/>
    <w:pPr>
      <w:numPr>
        <w:numId w:val="50"/>
      </w:numPr>
      <w:ind w:left="1418" w:hanging="1418"/>
    </w:pPr>
  </w:style>
  <w:style w:type="paragraph" w:customStyle="1" w:styleId="Figure4X">
    <w:name w:val="Figure 4.X"/>
    <w:basedOn w:val="Figure1X"/>
    <w:next w:val="Normal"/>
    <w:semiHidden/>
    <w:qFormat/>
    <w:rsid w:val="00597E5A"/>
    <w:pPr>
      <w:numPr>
        <w:numId w:val="51"/>
      </w:numPr>
      <w:ind w:left="1418" w:hanging="1418"/>
    </w:pPr>
  </w:style>
  <w:style w:type="paragraph" w:customStyle="1" w:styleId="Figure5X">
    <w:name w:val="Figure 5.X"/>
    <w:basedOn w:val="Figure1X"/>
    <w:next w:val="Normal"/>
    <w:semiHidden/>
    <w:qFormat/>
    <w:rsid w:val="00597E5A"/>
    <w:pPr>
      <w:numPr>
        <w:numId w:val="52"/>
      </w:numPr>
      <w:ind w:left="1418" w:hanging="1418"/>
    </w:pPr>
  </w:style>
  <w:style w:type="paragraph" w:customStyle="1" w:styleId="Figure6X">
    <w:name w:val="Figure 6.X"/>
    <w:basedOn w:val="Figure1X"/>
    <w:next w:val="Normal"/>
    <w:semiHidden/>
    <w:qFormat/>
    <w:rsid w:val="00597E5A"/>
    <w:pPr>
      <w:numPr>
        <w:numId w:val="53"/>
      </w:numPr>
      <w:ind w:left="1418" w:hanging="1418"/>
    </w:pPr>
  </w:style>
  <w:style w:type="paragraph" w:customStyle="1" w:styleId="Figure7X">
    <w:name w:val="Figure 7.X"/>
    <w:basedOn w:val="Figure1X"/>
    <w:next w:val="Normal"/>
    <w:semiHidden/>
    <w:qFormat/>
    <w:rsid w:val="00597E5A"/>
    <w:pPr>
      <w:numPr>
        <w:numId w:val="54"/>
      </w:numPr>
      <w:ind w:left="1418" w:hanging="1418"/>
    </w:pPr>
  </w:style>
  <w:style w:type="paragraph" w:customStyle="1" w:styleId="Figure8X">
    <w:name w:val="Figure 8.X"/>
    <w:basedOn w:val="Figure7X"/>
    <w:next w:val="Normal"/>
    <w:semiHidden/>
    <w:qFormat/>
    <w:rsid w:val="00597E5A"/>
    <w:pPr>
      <w:numPr>
        <w:numId w:val="55"/>
      </w:numPr>
      <w:ind w:left="1418" w:hanging="1418"/>
    </w:pPr>
  </w:style>
  <w:style w:type="paragraph" w:customStyle="1" w:styleId="FigureA1X">
    <w:name w:val="Figure A1.X"/>
    <w:basedOn w:val="Figure1X"/>
    <w:next w:val="Normal"/>
    <w:semiHidden/>
    <w:qFormat/>
    <w:rsid w:val="00597E5A"/>
    <w:pPr>
      <w:numPr>
        <w:numId w:val="56"/>
      </w:numPr>
      <w:ind w:left="1418" w:hanging="1418"/>
    </w:pPr>
  </w:style>
  <w:style w:type="paragraph" w:customStyle="1" w:styleId="FigureA2X">
    <w:name w:val="Figure A2.X"/>
    <w:basedOn w:val="Figure1X"/>
    <w:next w:val="Normal"/>
    <w:semiHidden/>
    <w:qFormat/>
    <w:rsid w:val="00597E5A"/>
    <w:pPr>
      <w:numPr>
        <w:numId w:val="57"/>
      </w:numPr>
      <w:ind w:left="1418" w:hanging="1418"/>
    </w:pPr>
  </w:style>
  <w:style w:type="paragraph" w:customStyle="1" w:styleId="FigureA3X">
    <w:name w:val="Figure A3.X"/>
    <w:basedOn w:val="Figure1X"/>
    <w:next w:val="Normal"/>
    <w:semiHidden/>
    <w:qFormat/>
    <w:rsid w:val="00597E5A"/>
    <w:pPr>
      <w:numPr>
        <w:numId w:val="58"/>
      </w:numPr>
      <w:ind w:left="1418" w:hanging="1418"/>
    </w:pPr>
  </w:style>
  <w:style w:type="paragraph" w:customStyle="1" w:styleId="FigureA4X">
    <w:name w:val="Figure A4.X"/>
    <w:basedOn w:val="Figure1X"/>
    <w:next w:val="Normal"/>
    <w:semiHidden/>
    <w:qFormat/>
    <w:rsid w:val="00597E5A"/>
    <w:pPr>
      <w:numPr>
        <w:numId w:val="59"/>
      </w:numPr>
      <w:ind w:left="1418" w:hanging="1418"/>
    </w:pPr>
  </w:style>
  <w:style w:type="paragraph" w:customStyle="1" w:styleId="FigureA5X">
    <w:name w:val="Figure A5.X"/>
    <w:basedOn w:val="Figure1X"/>
    <w:next w:val="Normal"/>
    <w:semiHidden/>
    <w:qFormat/>
    <w:rsid w:val="0086714A"/>
    <w:pPr>
      <w:numPr>
        <w:numId w:val="60"/>
      </w:numPr>
      <w:ind w:left="1418" w:hanging="1418"/>
    </w:pPr>
  </w:style>
  <w:style w:type="paragraph" w:customStyle="1" w:styleId="FigureBX">
    <w:name w:val="Figure B.X"/>
    <w:basedOn w:val="Figure1X"/>
    <w:semiHidden/>
    <w:qFormat/>
    <w:rsid w:val="0086714A"/>
    <w:pPr>
      <w:numPr>
        <w:numId w:val="61"/>
      </w:numPr>
      <w:ind w:left="1418" w:hanging="1418"/>
    </w:pPr>
  </w:style>
  <w:style w:type="paragraph" w:customStyle="1" w:styleId="FigureCX">
    <w:name w:val="Figure C.X"/>
    <w:basedOn w:val="Figure1X"/>
    <w:next w:val="Normal"/>
    <w:semiHidden/>
    <w:qFormat/>
    <w:rsid w:val="0086714A"/>
    <w:pPr>
      <w:numPr>
        <w:numId w:val="62"/>
      </w:numPr>
      <w:ind w:left="1418" w:hanging="1418"/>
    </w:pPr>
  </w:style>
  <w:style w:type="paragraph" w:customStyle="1" w:styleId="FigureDX">
    <w:name w:val="Figure D.X"/>
    <w:basedOn w:val="Figure1X"/>
    <w:next w:val="Normal"/>
    <w:semiHidden/>
    <w:qFormat/>
    <w:rsid w:val="0086714A"/>
    <w:pPr>
      <w:numPr>
        <w:numId w:val="63"/>
      </w:numPr>
      <w:ind w:left="1418" w:hanging="1418"/>
    </w:pPr>
  </w:style>
  <w:style w:type="paragraph" w:customStyle="1" w:styleId="FigureEX">
    <w:name w:val="Figure E.X"/>
    <w:basedOn w:val="Figure1X"/>
    <w:next w:val="Normal"/>
    <w:semiHidden/>
    <w:qFormat/>
    <w:rsid w:val="0086714A"/>
    <w:pPr>
      <w:numPr>
        <w:numId w:val="64"/>
      </w:numPr>
      <w:ind w:left="1418" w:hanging="1418"/>
    </w:pPr>
  </w:style>
  <w:style w:type="paragraph" w:customStyle="1" w:styleId="FigureFX">
    <w:name w:val="Figure F.X"/>
    <w:basedOn w:val="Figure1X"/>
    <w:next w:val="Normal"/>
    <w:semiHidden/>
    <w:qFormat/>
    <w:rsid w:val="0086714A"/>
    <w:pPr>
      <w:numPr>
        <w:numId w:val="65"/>
      </w:numPr>
      <w:ind w:left="1418" w:hanging="1418"/>
    </w:pPr>
  </w:style>
  <w:style w:type="paragraph" w:customStyle="1" w:styleId="Bullet3">
    <w:name w:val="Bullet 3"/>
    <w:basedOn w:val="Bullet2"/>
    <w:next w:val="BodyText"/>
    <w:qFormat/>
    <w:rsid w:val="00FA6338"/>
    <w:pPr>
      <w:numPr>
        <w:numId w:val="26"/>
      </w:numPr>
      <w:tabs>
        <w:tab w:val="clear" w:pos="851"/>
        <w:tab w:val="clear" w:pos="8647"/>
      </w:tabs>
      <w:ind w:left="851" w:hanging="284"/>
    </w:pPr>
  </w:style>
  <w:style w:type="paragraph" w:customStyle="1" w:styleId="TableEX">
    <w:name w:val="Table E.X"/>
    <w:basedOn w:val="TableDX"/>
    <w:next w:val="BodyText"/>
    <w:semiHidden/>
    <w:qFormat/>
    <w:rsid w:val="00B61352"/>
    <w:pPr>
      <w:numPr>
        <w:numId w:val="88"/>
      </w:numPr>
      <w:ind w:left="1418" w:hanging="1418"/>
    </w:pPr>
  </w:style>
  <w:style w:type="paragraph" w:customStyle="1" w:styleId="Default">
    <w:name w:val="Default"/>
    <w:semiHidden/>
    <w:rsid w:val="000F0D89"/>
    <w:pPr>
      <w:autoSpaceDE w:val="0"/>
      <w:autoSpaceDN w:val="0"/>
      <w:adjustRightInd w:val="0"/>
    </w:pPr>
    <w:rPr>
      <w:rFonts w:ascii="Public Sans SemiBold" w:hAnsi="Public Sans SemiBold" w:cs="Public Sans SemiBold"/>
      <w:color w:val="000000"/>
      <w:sz w:val="24"/>
      <w:szCs w:val="24"/>
    </w:rPr>
  </w:style>
  <w:style w:type="character" w:customStyle="1" w:styleId="A0">
    <w:name w:val="A0"/>
    <w:uiPriority w:val="99"/>
    <w:semiHidden/>
    <w:rsid w:val="000F0D89"/>
    <w:rPr>
      <w:rFonts w:cs="Public Sans SemiBold"/>
      <w:color w:val="ED008E"/>
      <w:sz w:val="22"/>
      <w:szCs w:val="22"/>
    </w:rPr>
  </w:style>
  <w:style w:type="paragraph" w:styleId="BalloonText">
    <w:name w:val="Balloon Text"/>
    <w:basedOn w:val="Normal"/>
    <w:link w:val="BalloonTextChar"/>
    <w:uiPriority w:val="99"/>
    <w:semiHidden/>
    <w:rsid w:val="001732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13C"/>
    <w:rPr>
      <w:rFonts w:ascii="Segoe UI" w:hAnsi="Segoe UI" w:cs="Segoe UI"/>
      <w:sz w:val="18"/>
      <w:szCs w:val="18"/>
      <w:lang w:val="en-US" w:eastAsia="en-US"/>
    </w:rPr>
  </w:style>
  <w:style w:type="character" w:customStyle="1" w:styleId="BodyTextChar">
    <w:name w:val="Body Text Char"/>
    <w:basedOn w:val="DefaultParagraphFont"/>
    <w:link w:val="BodyText"/>
    <w:rsid w:val="00195694"/>
    <w:rPr>
      <w:rFonts w:ascii="Public Sans" w:hAnsi="Public Sans" w:cs="Arial"/>
      <w:iCs/>
      <w:color w:val="000000" w:themeColor="text1"/>
      <w:sz w:val="22"/>
      <w:lang w:eastAsia="en-US"/>
    </w:rPr>
  </w:style>
  <w:style w:type="paragraph" w:customStyle="1" w:styleId="BodyTextCentred">
    <w:name w:val="Body Text Centred"/>
    <w:basedOn w:val="BodyText"/>
    <w:uiPriority w:val="4"/>
    <w:semiHidden/>
    <w:qFormat/>
    <w:rsid w:val="00173234"/>
    <w:pPr>
      <w:jc w:val="center"/>
    </w:pPr>
  </w:style>
  <w:style w:type="character" w:customStyle="1" w:styleId="BoldItalic">
    <w:name w:val="Bold Italic"/>
    <w:basedOn w:val="DefaultParagraphFont"/>
    <w:uiPriority w:val="19"/>
    <w:semiHidden/>
    <w:qFormat/>
    <w:rsid w:val="00173234"/>
    <w:rPr>
      <w:b/>
      <w:i/>
      <w:color w:val="000000" w:themeColor="text1"/>
    </w:rPr>
  </w:style>
  <w:style w:type="table" w:customStyle="1" w:styleId="BudgetPapertable">
    <w:name w:val="Budget Paper table"/>
    <w:basedOn w:val="TableNormal"/>
    <w:uiPriority w:val="99"/>
    <w:rsid w:val="00173234"/>
    <w:rPr>
      <w:rFonts w:ascii="Public Sans" w:hAnsi="Public Sans"/>
    </w:rPr>
    <w:tblPr>
      <w:tblStyleRowBandSize w:val="1"/>
    </w:tblPr>
    <w:tblStylePr w:type="firstRow">
      <w:pPr>
        <w:jc w:val="center"/>
      </w:pPr>
      <w:rPr>
        <w:rFonts w:ascii="Arial" w:hAnsi="Arial"/>
        <w:color w:val="FFFFFF" w:themeColor="background1"/>
        <w:sz w:val="18"/>
      </w:rPr>
      <w:tblPr/>
      <w:tcPr>
        <w:tcBorders>
          <w:top w:val="nil"/>
          <w:left w:val="nil"/>
          <w:bottom w:val="nil"/>
          <w:right w:val="nil"/>
          <w:insideH w:val="nil"/>
          <w:insideV w:val="nil"/>
          <w:tl2br w:val="nil"/>
          <w:tr2bl w:val="nil"/>
        </w:tcBorders>
        <w:shd w:val="clear" w:color="auto" w:fill="0A7CB9"/>
      </w:tcPr>
    </w:tblStylePr>
    <w:tblStylePr w:type="lastRow">
      <w:pPr>
        <w:jc w:val="right"/>
      </w:pPr>
      <w:rPr>
        <w:color w:val="0A7CB9"/>
      </w:rPr>
      <w:tblPr/>
      <w:tcPr>
        <w:vAlign w:val="bottom"/>
      </w:tcPr>
    </w:tblStylePr>
    <w:tblStylePr w:type="firstCol">
      <w:pPr>
        <w:jc w:val="left"/>
      </w:pPr>
      <w:tblPr/>
      <w:tcPr>
        <w:vAlign w:val="center"/>
      </w:tcPr>
    </w:tblStylePr>
    <w:tblStylePr w:type="band1Horz">
      <w:pPr>
        <w:jc w:val="right"/>
      </w:pPr>
      <w:tblPr/>
      <w:tcPr>
        <w:vAlign w:val="center"/>
      </w:tcPr>
    </w:tblStylePr>
    <w:tblStylePr w:type="band2Horz">
      <w:pPr>
        <w:jc w:val="right"/>
      </w:pPr>
      <w:tblPr/>
      <w:tcPr>
        <w:vAlign w:val="center"/>
      </w:tcPr>
    </w:tblStylePr>
  </w:style>
  <w:style w:type="table" w:customStyle="1" w:styleId="BPTABLE">
    <w:name w:val="BPTABLE"/>
    <w:basedOn w:val="BudgetPapertable"/>
    <w:uiPriority w:val="99"/>
    <w:rsid w:val="00173234"/>
    <w:tblPr/>
    <w:tblStylePr w:type="firstRow">
      <w:pPr>
        <w:jc w:val="center"/>
      </w:pPr>
      <w:rPr>
        <w:rFonts w:ascii="Arial" w:hAnsi="Arial"/>
        <w:color w:val="FFFFFF" w:themeColor="background1"/>
        <w:sz w:val="18"/>
      </w:rPr>
      <w:tblPr/>
      <w:tcPr>
        <w:tcBorders>
          <w:top w:val="nil"/>
          <w:left w:val="nil"/>
          <w:bottom w:val="nil"/>
          <w:right w:val="nil"/>
          <w:insideH w:val="nil"/>
          <w:insideV w:val="nil"/>
          <w:tl2br w:val="nil"/>
          <w:tr2bl w:val="nil"/>
        </w:tcBorders>
        <w:shd w:val="clear" w:color="auto" w:fill="0A7CB9"/>
      </w:tcPr>
    </w:tblStylePr>
    <w:tblStylePr w:type="lastRow">
      <w:pPr>
        <w:jc w:val="right"/>
      </w:pPr>
      <w:rPr>
        <w:color w:val="0A7CB9"/>
      </w:rPr>
      <w:tblPr/>
      <w:tcPr>
        <w:vAlign w:val="bottom"/>
      </w:tcPr>
    </w:tblStylePr>
    <w:tblStylePr w:type="firstCol">
      <w:pPr>
        <w:jc w:val="left"/>
      </w:pPr>
      <w:tblPr/>
      <w:tcPr>
        <w:vAlign w:val="center"/>
      </w:tcPr>
    </w:tblStylePr>
    <w:tblStylePr w:type="band1Horz">
      <w:pPr>
        <w:jc w:val="right"/>
      </w:pPr>
      <w:tblPr/>
      <w:tcPr>
        <w:vAlign w:val="center"/>
      </w:tcPr>
    </w:tblStylePr>
    <w:tblStylePr w:type="band2Horz">
      <w:pPr>
        <w:jc w:val="right"/>
      </w:pPr>
      <w:tblPr/>
      <w:tcPr>
        <w:vAlign w:val="center"/>
      </w:tcPr>
    </w:tblStylePr>
  </w:style>
  <w:style w:type="table" w:customStyle="1" w:styleId="Budgetpapertable0">
    <w:name w:val="Budget paper table"/>
    <w:basedOn w:val="BudgetPapertable"/>
    <w:uiPriority w:val="99"/>
    <w:rsid w:val="00173234"/>
    <w:tblPr/>
    <w:tblStylePr w:type="firstRow">
      <w:pPr>
        <w:jc w:val="center"/>
      </w:pPr>
      <w:rPr>
        <w:rFonts w:ascii="Arial" w:hAnsi="Arial"/>
        <w:color w:val="FFFFFF" w:themeColor="background1"/>
        <w:sz w:val="18"/>
      </w:rPr>
      <w:tblPr/>
      <w:tcPr>
        <w:tcBorders>
          <w:top w:val="nil"/>
          <w:left w:val="nil"/>
          <w:bottom w:val="nil"/>
          <w:right w:val="nil"/>
          <w:insideH w:val="nil"/>
          <w:insideV w:val="nil"/>
          <w:tl2br w:val="nil"/>
          <w:tr2bl w:val="nil"/>
        </w:tcBorders>
        <w:shd w:val="clear" w:color="auto" w:fill="0A7CB9"/>
      </w:tcPr>
    </w:tblStylePr>
    <w:tblStylePr w:type="lastRow">
      <w:pPr>
        <w:jc w:val="right"/>
      </w:pPr>
      <w:rPr>
        <w:color w:val="0A7CB9"/>
      </w:rPr>
      <w:tblPr/>
      <w:tcPr>
        <w:vAlign w:val="bottom"/>
      </w:tcPr>
    </w:tblStylePr>
    <w:tblStylePr w:type="firstCol">
      <w:pPr>
        <w:jc w:val="left"/>
      </w:pPr>
      <w:tblPr/>
      <w:tcPr>
        <w:vAlign w:val="center"/>
      </w:tcPr>
    </w:tblStylePr>
    <w:tblStylePr w:type="band1Horz">
      <w:pPr>
        <w:jc w:val="right"/>
      </w:pPr>
      <w:tblPr/>
      <w:tcPr>
        <w:vAlign w:val="center"/>
      </w:tcPr>
    </w:tblStylePr>
    <w:tblStylePr w:type="band2Horz">
      <w:pPr>
        <w:jc w:val="right"/>
      </w:pPr>
      <w:tblPr/>
      <w:tcPr>
        <w:vAlign w:val="center"/>
      </w:tcPr>
    </w:tblStylePr>
  </w:style>
  <w:style w:type="paragraph" w:customStyle="1" w:styleId="Bullet4">
    <w:name w:val="Bullet 4"/>
    <w:basedOn w:val="Bullet3"/>
    <w:semiHidden/>
    <w:rsid w:val="00173234"/>
    <w:pPr>
      <w:numPr>
        <w:numId w:val="27"/>
      </w:numPr>
    </w:pPr>
  </w:style>
  <w:style w:type="paragraph" w:styleId="Caption">
    <w:name w:val="caption"/>
    <w:next w:val="BodyText"/>
    <w:uiPriority w:val="35"/>
    <w:semiHidden/>
    <w:qFormat/>
    <w:rsid w:val="00173234"/>
    <w:pPr>
      <w:suppressAutoHyphens/>
      <w:spacing w:before="120"/>
    </w:pPr>
    <w:rPr>
      <w:rFonts w:asciiTheme="minorHAnsi" w:eastAsiaTheme="minorEastAsia" w:hAnsiTheme="minorHAnsi" w:cstheme="minorBidi"/>
      <w:iCs/>
      <w:color w:val="002664" w:themeColor="accent1"/>
      <w:sz w:val="18"/>
      <w:szCs w:val="18"/>
      <w:lang w:eastAsia="zh-CN"/>
    </w:rPr>
  </w:style>
  <w:style w:type="character" w:styleId="CommentReference">
    <w:name w:val="annotation reference"/>
    <w:basedOn w:val="DefaultParagraphFont"/>
    <w:uiPriority w:val="99"/>
    <w:semiHidden/>
    <w:rsid w:val="00173234"/>
    <w:rPr>
      <w:sz w:val="16"/>
      <w:szCs w:val="16"/>
    </w:rPr>
  </w:style>
  <w:style w:type="paragraph" w:styleId="CommentText">
    <w:name w:val="annotation text"/>
    <w:basedOn w:val="Normal"/>
    <w:link w:val="CommentTextChar"/>
    <w:uiPriority w:val="99"/>
    <w:rsid w:val="00173234"/>
  </w:style>
  <w:style w:type="character" w:customStyle="1" w:styleId="CommentTextChar">
    <w:name w:val="Comment Text Char"/>
    <w:basedOn w:val="DefaultParagraphFont"/>
    <w:link w:val="CommentText"/>
    <w:uiPriority w:val="99"/>
    <w:rsid w:val="005E013C"/>
    <w:rPr>
      <w:lang w:val="en-US" w:eastAsia="en-US"/>
    </w:rPr>
  </w:style>
  <w:style w:type="paragraph" w:styleId="CommentSubject">
    <w:name w:val="annotation subject"/>
    <w:basedOn w:val="CommentText"/>
    <w:next w:val="CommentText"/>
    <w:link w:val="CommentSubjectChar"/>
    <w:uiPriority w:val="99"/>
    <w:semiHidden/>
    <w:rsid w:val="00173234"/>
    <w:rPr>
      <w:b/>
      <w:bCs/>
    </w:rPr>
  </w:style>
  <w:style w:type="character" w:customStyle="1" w:styleId="CommentSubjectChar">
    <w:name w:val="Comment Subject Char"/>
    <w:basedOn w:val="CommentTextChar"/>
    <w:link w:val="CommentSubject"/>
    <w:uiPriority w:val="99"/>
    <w:semiHidden/>
    <w:rsid w:val="005E013C"/>
    <w:rPr>
      <w:b/>
      <w:bCs/>
      <w:lang w:val="en-US" w:eastAsia="en-US"/>
    </w:rPr>
  </w:style>
  <w:style w:type="paragraph" w:customStyle="1" w:styleId="ContactDetails">
    <w:name w:val="Contact Details"/>
    <w:uiPriority w:val="99"/>
    <w:semiHidden/>
    <w:rsid w:val="00173234"/>
    <w:pPr>
      <w:spacing w:before="120"/>
      <w:contextualSpacing/>
    </w:pPr>
    <w:rPr>
      <w:rFonts w:asciiTheme="minorHAnsi" w:eastAsiaTheme="minorEastAsia" w:hAnsiTheme="minorHAnsi" w:cstheme="minorBidi"/>
      <w:color w:val="FFFFFF" w:themeColor="background1"/>
      <w:sz w:val="22"/>
      <w:szCs w:val="22"/>
      <w:lang w:eastAsia="zh-CN"/>
    </w:rPr>
  </w:style>
  <w:style w:type="paragraph" w:styleId="Date">
    <w:name w:val="Date"/>
    <w:next w:val="BodyText"/>
    <w:link w:val="DateChar"/>
    <w:uiPriority w:val="3"/>
    <w:semiHidden/>
    <w:rsid w:val="00173234"/>
    <w:pPr>
      <w:spacing w:before="480" w:after="240"/>
    </w:pPr>
    <w:rPr>
      <w:rFonts w:asciiTheme="minorHAnsi" w:eastAsiaTheme="minorEastAsia" w:hAnsiTheme="minorHAnsi" w:cstheme="minorBidi"/>
      <w:color w:val="FFFFFF" w:themeColor="background1"/>
      <w:sz w:val="22"/>
      <w:szCs w:val="22"/>
      <w:lang w:eastAsia="zh-CN"/>
    </w:rPr>
  </w:style>
  <w:style w:type="character" w:customStyle="1" w:styleId="DateChar">
    <w:name w:val="Date Char"/>
    <w:basedOn w:val="DefaultParagraphFont"/>
    <w:link w:val="Date"/>
    <w:uiPriority w:val="3"/>
    <w:semiHidden/>
    <w:rsid w:val="005E013C"/>
    <w:rPr>
      <w:rFonts w:asciiTheme="minorHAnsi" w:eastAsiaTheme="minorEastAsia" w:hAnsiTheme="minorHAnsi" w:cstheme="minorBidi"/>
      <w:color w:val="FFFFFF" w:themeColor="background1"/>
      <w:sz w:val="22"/>
      <w:szCs w:val="22"/>
      <w:lang w:eastAsia="zh-CN"/>
    </w:rPr>
  </w:style>
  <w:style w:type="paragraph" w:customStyle="1" w:styleId="DecimalAligned">
    <w:name w:val="Decimal Aligned"/>
    <w:basedOn w:val="Normal"/>
    <w:uiPriority w:val="40"/>
    <w:semiHidden/>
    <w:qFormat/>
    <w:rsid w:val="00173234"/>
    <w:pPr>
      <w:tabs>
        <w:tab w:val="decimal" w:pos="360"/>
      </w:tabs>
      <w:spacing w:after="200" w:line="276" w:lineRule="auto"/>
    </w:pPr>
    <w:rPr>
      <w:rFonts w:asciiTheme="minorHAnsi" w:eastAsiaTheme="minorEastAsia" w:hAnsiTheme="minorHAnsi"/>
      <w:sz w:val="22"/>
      <w:szCs w:val="22"/>
    </w:rPr>
  </w:style>
  <w:style w:type="paragraph" w:customStyle="1" w:styleId="Descriptor">
    <w:name w:val="Descriptor"/>
    <w:uiPriority w:val="1"/>
    <w:semiHidden/>
    <w:rsid w:val="00173234"/>
    <w:pPr>
      <w:suppressAutoHyphens/>
      <w:contextualSpacing/>
    </w:pPr>
    <w:rPr>
      <w:rFonts w:asciiTheme="majorHAnsi" w:eastAsiaTheme="minorEastAsia" w:hAnsiTheme="majorHAnsi" w:cstheme="minorBidi"/>
      <w:color w:val="FFFFFF" w:themeColor="background1"/>
      <w:sz w:val="28"/>
      <w:szCs w:val="22"/>
      <w:lang w:eastAsia="zh-CN"/>
    </w:rPr>
  </w:style>
  <w:style w:type="paragraph" w:customStyle="1" w:styleId="DividerNumber">
    <w:name w:val="Divider Number"/>
    <w:next w:val="Normal"/>
    <w:uiPriority w:val="3"/>
    <w:semiHidden/>
    <w:rsid w:val="00173234"/>
    <w:pPr>
      <w:pBdr>
        <w:left w:val="single" w:sz="4" w:space="4" w:color="DBDBDB" w:themeColor="background2"/>
      </w:pBdr>
    </w:pPr>
    <w:rPr>
      <w:rFonts w:asciiTheme="minorHAnsi" w:eastAsiaTheme="minorEastAsia" w:hAnsiTheme="minorHAnsi" w:cstheme="minorBidi"/>
      <w:b/>
      <w:color w:val="DBDBDB" w:themeColor="background2"/>
      <w:sz w:val="640"/>
      <w:szCs w:val="22"/>
      <w:lang w:eastAsia="zh-CN"/>
    </w:rPr>
  </w:style>
  <w:style w:type="paragraph" w:customStyle="1" w:styleId="DividerTitle">
    <w:name w:val="Divider Title"/>
    <w:next w:val="BodyText"/>
    <w:uiPriority w:val="3"/>
    <w:semiHidden/>
    <w:rsid w:val="00173234"/>
    <w:pPr>
      <w:pBdr>
        <w:left w:val="single" w:sz="4" w:space="4" w:color="DBDBDB" w:themeColor="background2"/>
      </w:pBdr>
    </w:pPr>
    <w:rPr>
      <w:rFonts w:asciiTheme="minorHAnsi" w:eastAsiaTheme="minorEastAsia" w:hAnsiTheme="minorHAnsi" w:cstheme="minorBidi"/>
      <w:color w:val="DBDBDB" w:themeColor="background2"/>
      <w:sz w:val="80"/>
      <w:szCs w:val="22"/>
      <w:lang w:eastAsia="zh-CN"/>
    </w:rPr>
  </w:style>
  <w:style w:type="character" w:styleId="Emphasis">
    <w:name w:val="Emphasis"/>
    <w:aliases w:val="Italic"/>
    <w:basedOn w:val="DefaultParagraphFont"/>
    <w:uiPriority w:val="19"/>
    <w:semiHidden/>
    <w:qFormat/>
    <w:rsid w:val="00173234"/>
    <w:rPr>
      <w:i/>
      <w:iCs/>
    </w:rPr>
  </w:style>
  <w:style w:type="paragraph" w:styleId="EndnoteText">
    <w:name w:val="endnote text"/>
    <w:basedOn w:val="Normal"/>
    <w:link w:val="EndnoteTextChar"/>
    <w:uiPriority w:val="99"/>
    <w:semiHidden/>
    <w:rsid w:val="00173234"/>
  </w:style>
  <w:style w:type="character" w:customStyle="1" w:styleId="EndnoteTextChar">
    <w:name w:val="Endnote Text Char"/>
    <w:basedOn w:val="DefaultParagraphFont"/>
    <w:link w:val="EndnoteText"/>
    <w:uiPriority w:val="99"/>
    <w:semiHidden/>
    <w:rsid w:val="005E013C"/>
    <w:rPr>
      <w:lang w:val="en-US" w:eastAsia="en-US"/>
    </w:rPr>
  </w:style>
  <w:style w:type="character" w:customStyle="1" w:styleId="FootnoteTextChar">
    <w:name w:val="Footnote Text Char"/>
    <w:basedOn w:val="DefaultParagraphFont"/>
    <w:link w:val="FootnoteText"/>
    <w:semiHidden/>
    <w:rsid w:val="005E013C"/>
    <w:rPr>
      <w:i/>
      <w:sz w:val="16"/>
      <w:lang w:val="en-US" w:eastAsia="en-US"/>
    </w:rPr>
  </w:style>
  <w:style w:type="table" w:styleId="GridTable1Light-Accent6">
    <w:name w:val="Grid Table 1 Light Accent 6"/>
    <w:basedOn w:val="TableNormal"/>
    <w:uiPriority w:val="46"/>
    <w:rsid w:val="00173234"/>
    <w:rPr>
      <w:rFonts w:asciiTheme="minorHAnsi" w:eastAsiaTheme="minorEastAsia" w:hAnsiTheme="minorHAnsi" w:cstheme="minorBidi"/>
      <w:sz w:val="22"/>
      <w:szCs w:val="22"/>
      <w:lang w:eastAsia="zh-CN"/>
    </w:rPr>
    <w:tblPr>
      <w:tblStyleRowBandSize w:val="1"/>
      <w:tblStyleColBandSize w:val="1"/>
      <w:tblBorders>
        <w:top w:val="single" w:sz="4" w:space="0" w:color="B3B9BD" w:themeColor="accent6" w:themeTint="66"/>
        <w:left w:val="single" w:sz="4" w:space="0" w:color="B3B9BD" w:themeColor="accent6" w:themeTint="66"/>
        <w:bottom w:val="single" w:sz="4" w:space="0" w:color="B3B9BD" w:themeColor="accent6" w:themeTint="66"/>
        <w:right w:val="single" w:sz="4" w:space="0" w:color="B3B9BD" w:themeColor="accent6" w:themeTint="66"/>
        <w:insideH w:val="single" w:sz="4" w:space="0" w:color="B3B9BD" w:themeColor="accent6" w:themeTint="66"/>
        <w:insideV w:val="single" w:sz="4" w:space="0" w:color="B3B9BD" w:themeColor="accent6" w:themeTint="66"/>
      </w:tblBorders>
    </w:tblPr>
    <w:tblStylePr w:type="firstRow">
      <w:rPr>
        <w:b/>
        <w:bCs/>
      </w:rPr>
      <w:tblPr/>
      <w:tcPr>
        <w:tcBorders>
          <w:bottom w:val="single" w:sz="12" w:space="0" w:color="8D979C" w:themeColor="accent6" w:themeTint="99"/>
        </w:tcBorders>
      </w:tcPr>
    </w:tblStylePr>
    <w:tblStylePr w:type="lastRow">
      <w:rPr>
        <w:b/>
        <w:bCs/>
      </w:rPr>
      <w:tblPr/>
      <w:tcPr>
        <w:tcBorders>
          <w:top w:val="double" w:sz="2" w:space="0" w:color="8D979C" w:themeColor="accent6" w:themeTint="99"/>
        </w:tcBorders>
      </w:tcPr>
    </w:tblStylePr>
    <w:tblStylePr w:type="firstCol">
      <w:rPr>
        <w:b/>
        <w:bCs/>
      </w:rPr>
    </w:tblStylePr>
    <w:tblStylePr w:type="lastCol">
      <w:rPr>
        <w:b/>
        <w:bCs/>
      </w:rPr>
    </w:tblStylePr>
  </w:style>
  <w:style w:type="paragraph" w:customStyle="1" w:styleId="HeaderFooterSensitivityLabelSpace">
    <w:name w:val="Header&amp;Footer Sensitivity Label Space"/>
    <w:next w:val="Header"/>
    <w:uiPriority w:val="99"/>
    <w:semiHidden/>
    <w:rsid w:val="00173234"/>
    <w:pPr>
      <w:suppressAutoHyphens/>
      <w:spacing w:before="240" w:after="240"/>
    </w:pPr>
    <w:rPr>
      <w:rFonts w:asciiTheme="minorHAnsi" w:eastAsiaTheme="minorEastAsia" w:hAnsiTheme="minorHAnsi" w:cstheme="minorBidi"/>
      <w:color w:val="FFFFFF" w:themeColor="text2"/>
      <w:sz w:val="22"/>
      <w:szCs w:val="22"/>
      <w:lang w:eastAsia="zh-CN"/>
    </w:rPr>
  </w:style>
  <w:style w:type="character" w:customStyle="1" w:styleId="Heading1Char">
    <w:name w:val="Heading 1 Char"/>
    <w:basedOn w:val="DefaultParagraphFont"/>
    <w:link w:val="Heading1"/>
    <w:rsid w:val="003B48D1"/>
    <w:rPr>
      <w:rFonts w:ascii="Public Sans SemiBold" w:hAnsi="Public Sans SemiBold"/>
      <w:caps/>
      <w:color w:val="0B3F47"/>
      <w:kern w:val="28"/>
      <w:sz w:val="40"/>
      <w:szCs w:val="36"/>
      <w:lang w:eastAsia="en-US"/>
    </w:rPr>
  </w:style>
  <w:style w:type="character" w:customStyle="1" w:styleId="Heading4Char">
    <w:name w:val="Heading 4 Char"/>
    <w:basedOn w:val="DefaultParagraphFont"/>
    <w:link w:val="Heading4"/>
    <w:rsid w:val="000E0BEF"/>
    <w:rPr>
      <w:rFonts w:ascii="Public Sans SemiBold" w:hAnsi="Public Sans SemiBold"/>
      <w:b/>
      <w:bCs/>
      <w:color w:val="000000" w:themeColor="text1"/>
      <w:kern w:val="28"/>
      <w:sz w:val="24"/>
      <w:szCs w:val="28"/>
      <w:lang w:eastAsia="en-US"/>
    </w:rPr>
  </w:style>
  <w:style w:type="character" w:customStyle="1" w:styleId="Heading5Char">
    <w:name w:val="Heading 5 Char"/>
    <w:basedOn w:val="DefaultParagraphFont"/>
    <w:link w:val="Heading5"/>
    <w:rsid w:val="00173234"/>
    <w:rPr>
      <w:rFonts w:ascii="Public Sans SemiBold" w:hAnsi="Public Sans SemiBold"/>
      <w:i/>
      <w:color w:val="22272B"/>
      <w:kern w:val="28"/>
      <w:sz w:val="26"/>
      <w:szCs w:val="28"/>
      <w:lang w:eastAsia="en-US"/>
    </w:rPr>
  </w:style>
  <w:style w:type="character" w:customStyle="1" w:styleId="Heading6Char">
    <w:name w:val="Heading 6 Char"/>
    <w:basedOn w:val="DefaultParagraphFont"/>
    <w:link w:val="Heading6"/>
    <w:semiHidden/>
    <w:rsid w:val="000A30B4"/>
    <w:rPr>
      <w:b/>
      <w:i/>
      <w:color w:val="2E808E"/>
      <w:sz w:val="24"/>
      <w:szCs w:val="36"/>
      <w:lang w:eastAsia="en-US"/>
    </w:rPr>
  </w:style>
  <w:style w:type="character" w:customStyle="1" w:styleId="Heading7Char">
    <w:name w:val="Heading 7 Char"/>
    <w:basedOn w:val="DefaultParagraphFont"/>
    <w:link w:val="Heading7"/>
    <w:semiHidden/>
    <w:rsid w:val="000A30B4"/>
    <w:rPr>
      <w:rFonts w:ascii="Public Sans SemiBold" w:hAnsi="Public Sans SemiBold"/>
      <w:b/>
      <w:bCs/>
      <w:color w:val="000000" w:themeColor="text1"/>
      <w:kern w:val="28"/>
      <w:sz w:val="24"/>
      <w:szCs w:val="28"/>
      <w:lang w:eastAsia="en-US"/>
    </w:rPr>
  </w:style>
  <w:style w:type="character" w:customStyle="1" w:styleId="Heading8Char">
    <w:name w:val="Heading 8 Char"/>
    <w:basedOn w:val="DefaultParagraphFont"/>
    <w:link w:val="Heading8"/>
    <w:semiHidden/>
    <w:rsid w:val="000A30B4"/>
    <w:rPr>
      <w:rFonts w:ascii="Public Sans SemiBold" w:hAnsi="Public Sans SemiBold"/>
      <w:b/>
      <w:bCs/>
      <w:i/>
      <w:color w:val="000000" w:themeColor="text1"/>
      <w:kern w:val="28"/>
      <w:sz w:val="24"/>
      <w:szCs w:val="28"/>
      <w:lang w:eastAsia="en-US"/>
    </w:rPr>
  </w:style>
  <w:style w:type="character" w:customStyle="1" w:styleId="Heading9Char">
    <w:name w:val="Heading 9 Char"/>
    <w:basedOn w:val="DefaultParagraphFont"/>
    <w:link w:val="Heading9"/>
    <w:semiHidden/>
    <w:rsid w:val="000A30B4"/>
    <w:rPr>
      <w:rFonts w:ascii="Public Sans SemiBold" w:hAnsi="Public Sans SemiBold"/>
      <w:b/>
      <w:bCs/>
      <w:color w:val="000000" w:themeColor="text1"/>
      <w:kern w:val="28"/>
      <w:sz w:val="24"/>
      <w:szCs w:val="28"/>
      <w:lang w:eastAsia="en-US"/>
    </w:rPr>
  </w:style>
  <w:style w:type="paragraph" w:customStyle="1" w:styleId="Heading10">
    <w:name w:val="Heading1"/>
    <w:next w:val="BodyText"/>
    <w:uiPriority w:val="9"/>
    <w:semiHidden/>
    <w:qFormat/>
    <w:rsid w:val="00173234"/>
    <w:pPr>
      <w:keepNext/>
      <w:keepLines/>
      <w:suppressAutoHyphens/>
    </w:pPr>
    <w:rPr>
      <w:rFonts w:asciiTheme="minorHAnsi" w:eastAsiaTheme="minorEastAsia" w:hAnsiTheme="minorHAnsi" w:cstheme="minorBidi"/>
      <w:color w:val="002664" w:themeColor="accent1"/>
      <w:sz w:val="48"/>
      <w:szCs w:val="22"/>
      <w:lang w:eastAsia="zh-CN"/>
    </w:rPr>
  </w:style>
  <w:style w:type="paragraph" w:customStyle="1" w:styleId="Heading1Appendix">
    <w:name w:val="Heading1 Appendix"/>
    <w:next w:val="BodyText"/>
    <w:uiPriority w:val="10"/>
    <w:semiHidden/>
    <w:qFormat/>
    <w:rsid w:val="00173234"/>
    <w:pPr>
      <w:pageBreakBefore/>
      <w:numPr>
        <w:numId w:val="68"/>
      </w:numPr>
      <w:pBdr>
        <w:top w:val="single" w:sz="4" w:space="8" w:color="002664" w:themeColor="accent1"/>
      </w:pBdr>
    </w:pPr>
    <w:rPr>
      <w:rFonts w:asciiTheme="minorHAnsi" w:eastAsiaTheme="minorEastAsia" w:hAnsiTheme="minorHAnsi" w:cstheme="minorBidi"/>
      <w:color w:val="002664" w:themeColor="accent1"/>
      <w:sz w:val="36"/>
      <w:szCs w:val="22"/>
      <w:lang w:eastAsia="zh-CN"/>
    </w:rPr>
  </w:style>
  <w:style w:type="paragraph" w:customStyle="1" w:styleId="Heading20">
    <w:name w:val="Heading2"/>
    <w:next w:val="BodyText"/>
    <w:uiPriority w:val="9"/>
    <w:semiHidden/>
    <w:qFormat/>
    <w:rsid w:val="00173234"/>
    <w:pPr>
      <w:keepNext/>
      <w:keepLines/>
      <w:pBdr>
        <w:top w:val="single" w:sz="4" w:space="8" w:color="002664" w:themeColor="accent1"/>
      </w:pBdr>
      <w:suppressAutoHyphens/>
      <w:spacing w:before="240" w:after="240"/>
    </w:pPr>
    <w:rPr>
      <w:rFonts w:asciiTheme="minorHAnsi" w:eastAsiaTheme="minorEastAsia" w:hAnsiTheme="minorHAnsi" w:cstheme="minorBidi"/>
      <w:color w:val="002664" w:themeColor="accent1"/>
      <w:sz w:val="36"/>
      <w:szCs w:val="22"/>
      <w:lang w:eastAsia="zh-CN"/>
    </w:rPr>
  </w:style>
  <w:style w:type="paragraph" w:customStyle="1" w:styleId="Heading30">
    <w:name w:val="Heading3"/>
    <w:next w:val="BodyText"/>
    <w:uiPriority w:val="9"/>
    <w:semiHidden/>
    <w:qFormat/>
    <w:rsid w:val="00173234"/>
    <w:pPr>
      <w:keepNext/>
      <w:keepLines/>
      <w:suppressAutoHyphens/>
      <w:spacing w:before="240"/>
    </w:pPr>
    <w:rPr>
      <w:rFonts w:asciiTheme="majorHAnsi" w:eastAsiaTheme="minorEastAsia" w:hAnsiTheme="majorHAnsi" w:cstheme="minorBidi"/>
      <w:color w:val="002664" w:themeColor="accent1"/>
      <w:sz w:val="28"/>
      <w:szCs w:val="22"/>
      <w:lang w:eastAsia="zh-CN"/>
    </w:rPr>
  </w:style>
  <w:style w:type="paragraph" w:customStyle="1" w:styleId="Heading40">
    <w:name w:val="Heading4"/>
    <w:next w:val="BodyText"/>
    <w:uiPriority w:val="9"/>
    <w:semiHidden/>
    <w:qFormat/>
    <w:rsid w:val="00173234"/>
    <w:pPr>
      <w:keepNext/>
      <w:keepLines/>
      <w:suppressAutoHyphens/>
      <w:spacing w:before="240"/>
    </w:pPr>
    <w:rPr>
      <w:rFonts w:asciiTheme="majorHAnsi" w:eastAsiaTheme="majorEastAsia" w:hAnsiTheme="majorHAnsi" w:cstheme="majorBidi"/>
      <w:iCs/>
      <w:color w:val="002664" w:themeColor="accent1"/>
      <w:sz w:val="24"/>
      <w:szCs w:val="22"/>
      <w:lang w:eastAsia="zh-CN"/>
    </w:rPr>
  </w:style>
  <w:style w:type="paragraph" w:customStyle="1" w:styleId="Heading50">
    <w:name w:val="Heading5"/>
    <w:next w:val="BodyText"/>
    <w:uiPriority w:val="9"/>
    <w:semiHidden/>
    <w:qFormat/>
    <w:rsid w:val="00173234"/>
    <w:pPr>
      <w:keepNext/>
      <w:keepLines/>
      <w:suppressAutoHyphens/>
      <w:spacing w:before="240"/>
    </w:pPr>
    <w:rPr>
      <w:rFonts w:asciiTheme="majorHAnsi" w:eastAsiaTheme="majorEastAsia" w:hAnsiTheme="majorHAnsi" w:cstheme="majorBidi"/>
      <w:color w:val="002664" w:themeColor="accent1"/>
      <w:sz w:val="22"/>
      <w:szCs w:val="22"/>
      <w:lang w:eastAsia="zh-CN"/>
    </w:rPr>
  </w:style>
  <w:style w:type="character" w:styleId="Hyperlink">
    <w:name w:val="Hyperlink"/>
    <w:basedOn w:val="DefaultParagraphFont"/>
    <w:uiPriority w:val="99"/>
    <w:rsid w:val="00173234"/>
    <w:rPr>
      <w:color w:val="00ABE6" w:themeColor="hyperlink"/>
      <w:u w:val="single"/>
    </w:rPr>
  </w:style>
  <w:style w:type="paragraph" w:styleId="Index1">
    <w:name w:val="index 1"/>
    <w:basedOn w:val="Normal"/>
    <w:next w:val="Normal"/>
    <w:uiPriority w:val="99"/>
    <w:semiHidden/>
    <w:rsid w:val="00173234"/>
    <w:pPr>
      <w:ind w:left="220" w:hanging="220"/>
    </w:pPr>
  </w:style>
  <w:style w:type="paragraph" w:styleId="Index2">
    <w:name w:val="index 2"/>
    <w:basedOn w:val="Normal"/>
    <w:next w:val="Normal"/>
    <w:uiPriority w:val="99"/>
    <w:semiHidden/>
    <w:rsid w:val="00173234"/>
    <w:pPr>
      <w:ind w:left="440" w:hanging="220"/>
    </w:pPr>
  </w:style>
  <w:style w:type="paragraph" w:styleId="Index3">
    <w:name w:val="index 3"/>
    <w:basedOn w:val="Normal"/>
    <w:next w:val="Normal"/>
    <w:uiPriority w:val="99"/>
    <w:semiHidden/>
    <w:rsid w:val="00173234"/>
    <w:pPr>
      <w:ind w:left="660" w:hanging="220"/>
    </w:pPr>
  </w:style>
  <w:style w:type="paragraph" w:styleId="Index4">
    <w:name w:val="index 4"/>
    <w:basedOn w:val="Normal"/>
    <w:next w:val="Normal"/>
    <w:uiPriority w:val="99"/>
    <w:semiHidden/>
    <w:rsid w:val="00173234"/>
    <w:pPr>
      <w:ind w:left="880" w:hanging="220"/>
    </w:pPr>
  </w:style>
  <w:style w:type="paragraph" w:styleId="Index5">
    <w:name w:val="index 5"/>
    <w:basedOn w:val="Normal"/>
    <w:next w:val="Normal"/>
    <w:uiPriority w:val="99"/>
    <w:semiHidden/>
    <w:rsid w:val="00173234"/>
    <w:pPr>
      <w:ind w:left="1100" w:hanging="220"/>
    </w:pPr>
  </w:style>
  <w:style w:type="paragraph" w:styleId="Index6">
    <w:name w:val="index 6"/>
    <w:basedOn w:val="Normal"/>
    <w:next w:val="Normal"/>
    <w:uiPriority w:val="99"/>
    <w:semiHidden/>
    <w:rsid w:val="00173234"/>
    <w:pPr>
      <w:ind w:left="1320" w:hanging="220"/>
    </w:pPr>
  </w:style>
  <w:style w:type="paragraph" w:styleId="Index7">
    <w:name w:val="index 7"/>
    <w:basedOn w:val="Normal"/>
    <w:next w:val="Normal"/>
    <w:uiPriority w:val="99"/>
    <w:semiHidden/>
    <w:rsid w:val="00173234"/>
    <w:pPr>
      <w:ind w:left="1540" w:hanging="220"/>
    </w:pPr>
  </w:style>
  <w:style w:type="paragraph" w:styleId="Index8">
    <w:name w:val="index 8"/>
    <w:basedOn w:val="Normal"/>
    <w:next w:val="Normal"/>
    <w:uiPriority w:val="99"/>
    <w:semiHidden/>
    <w:rsid w:val="00173234"/>
    <w:pPr>
      <w:ind w:left="1760" w:hanging="220"/>
    </w:pPr>
  </w:style>
  <w:style w:type="paragraph" w:styleId="Index9">
    <w:name w:val="index 9"/>
    <w:basedOn w:val="Normal"/>
    <w:next w:val="Normal"/>
    <w:uiPriority w:val="99"/>
    <w:semiHidden/>
    <w:rsid w:val="00173234"/>
    <w:pPr>
      <w:ind w:left="1980" w:hanging="220"/>
    </w:pPr>
  </w:style>
  <w:style w:type="paragraph" w:customStyle="1" w:styleId="Introduction">
    <w:name w:val="Introduction"/>
    <w:next w:val="BodyText"/>
    <w:uiPriority w:val="5"/>
    <w:semiHidden/>
    <w:qFormat/>
    <w:rsid w:val="00173234"/>
    <w:pPr>
      <w:suppressAutoHyphens/>
      <w:spacing w:after="360"/>
      <w:contextualSpacing/>
    </w:pPr>
    <w:rPr>
      <w:rFonts w:asciiTheme="minorHAnsi" w:eastAsiaTheme="minorEastAsia" w:hAnsiTheme="minorHAnsi" w:cstheme="minorBidi"/>
      <w:color w:val="DBDBDB" w:themeColor="background2"/>
      <w:sz w:val="28"/>
      <w:szCs w:val="22"/>
      <w:lang w:eastAsia="zh-CN"/>
    </w:rPr>
  </w:style>
  <w:style w:type="paragraph" w:styleId="ListBullet">
    <w:name w:val="List Bullet"/>
    <w:uiPriority w:val="10"/>
    <w:semiHidden/>
    <w:qFormat/>
    <w:rsid w:val="00173234"/>
    <w:pPr>
      <w:numPr>
        <w:numId w:val="69"/>
      </w:numPr>
      <w:suppressAutoHyphens/>
      <w:spacing w:before="120"/>
    </w:pPr>
    <w:rPr>
      <w:rFonts w:asciiTheme="minorHAnsi" w:eastAsia="Arial" w:hAnsiTheme="minorHAnsi" w:cs="Arial"/>
      <w:color w:val="000000" w:themeColor="text1"/>
      <w:sz w:val="22"/>
      <w:lang w:eastAsia="en-US"/>
    </w:rPr>
  </w:style>
  <w:style w:type="paragraph" w:styleId="ListBullet2">
    <w:name w:val="List Bullet 2"/>
    <w:uiPriority w:val="10"/>
    <w:semiHidden/>
    <w:qFormat/>
    <w:rsid w:val="00173234"/>
    <w:pPr>
      <w:numPr>
        <w:numId w:val="70"/>
      </w:numPr>
      <w:suppressAutoHyphens/>
      <w:spacing w:before="120"/>
    </w:pPr>
    <w:rPr>
      <w:rFonts w:asciiTheme="minorHAnsi" w:eastAsia="Arial" w:hAnsiTheme="minorHAnsi" w:cs="ArialMT"/>
      <w:color w:val="000000" w:themeColor="text1"/>
      <w:sz w:val="22"/>
      <w:szCs w:val="24"/>
      <w:lang w:eastAsia="en-US"/>
    </w:rPr>
  </w:style>
  <w:style w:type="paragraph" w:styleId="ListBullet3">
    <w:name w:val="List Bullet 3"/>
    <w:uiPriority w:val="10"/>
    <w:semiHidden/>
    <w:qFormat/>
    <w:rsid w:val="00173234"/>
    <w:pPr>
      <w:numPr>
        <w:numId w:val="71"/>
      </w:numPr>
      <w:suppressAutoHyphens/>
      <w:spacing w:before="120"/>
    </w:pPr>
    <w:rPr>
      <w:rFonts w:asciiTheme="minorHAnsi" w:eastAsia="Arial" w:hAnsiTheme="minorHAnsi"/>
      <w:color w:val="000000" w:themeColor="text1"/>
      <w:sz w:val="22"/>
      <w:szCs w:val="24"/>
      <w:lang w:eastAsia="en-US"/>
    </w:rPr>
  </w:style>
  <w:style w:type="paragraph" w:styleId="ListNumber">
    <w:name w:val="List Number"/>
    <w:uiPriority w:val="10"/>
    <w:semiHidden/>
    <w:qFormat/>
    <w:rsid w:val="00173234"/>
    <w:pPr>
      <w:numPr>
        <w:numId w:val="72"/>
      </w:numPr>
      <w:suppressAutoHyphens/>
      <w:spacing w:before="120"/>
    </w:pPr>
    <w:rPr>
      <w:rFonts w:asciiTheme="minorHAnsi" w:eastAsiaTheme="minorEastAsia" w:hAnsiTheme="minorHAnsi" w:cstheme="minorBidi"/>
      <w:color w:val="000000" w:themeColor="text1"/>
      <w:sz w:val="22"/>
      <w:szCs w:val="22"/>
      <w:lang w:eastAsia="zh-CN"/>
    </w:rPr>
  </w:style>
  <w:style w:type="paragraph" w:styleId="ListNumber2">
    <w:name w:val="List Number 2"/>
    <w:uiPriority w:val="10"/>
    <w:semiHidden/>
    <w:qFormat/>
    <w:rsid w:val="00173234"/>
    <w:pPr>
      <w:numPr>
        <w:numId w:val="73"/>
      </w:numPr>
      <w:suppressAutoHyphens/>
      <w:spacing w:before="120"/>
    </w:pPr>
    <w:rPr>
      <w:rFonts w:asciiTheme="minorHAnsi" w:eastAsia="Arial" w:hAnsiTheme="minorHAnsi"/>
      <w:color w:val="000000" w:themeColor="text1"/>
      <w:sz w:val="22"/>
      <w:szCs w:val="24"/>
      <w:lang w:eastAsia="en-US"/>
    </w:rPr>
  </w:style>
  <w:style w:type="paragraph" w:styleId="ListNumber3">
    <w:name w:val="List Number 3"/>
    <w:uiPriority w:val="10"/>
    <w:semiHidden/>
    <w:qFormat/>
    <w:rsid w:val="00173234"/>
    <w:pPr>
      <w:numPr>
        <w:numId w:val="74"/>
      </w:numPr>
      <w:suppressAutoHyphens/>
      <w:spacing w:before="120"/>
    </w:pPr>
    <w:rPr>
      <w:rFonts w:asciiTheme="minorHAnsi" w:eastAsia="Arial" w:hAnsiTheme="minorHAnsi"/>
      <w:color w:val="000000" w:themeColor="text1"/>
      <w:sz w:val="22"/>
      <w:szCs w:val="24"/>
      <w:lang w:eastAsia="en-US"/>
    </w:rPr>
  </w:style>
  <w:style w:type="paragraph" w:styleId="ListParagraph">
    <w:name w:val="List Paragraph"/>
    <w:basedOn w:val="Normal"/>
    <w:uiPriority w:val="34"/>
    <w:qFormat/>
    <w:rsid w:val="00173234"/>
    <w:pPr>
      <w:ind w:left="720"/>
      <w:contextualSpacing/>
    </w:pPr>
  </w:style>
  <w:style w:type="table" w:styleId="ListTable3-Accent2">
    <w:name w:val="List Table 3 Accent 2"/>
    <w:basedOn w:val="TableNormal"/>
    <w:uiPriority w:val="48"/>
    <w:rsid w:val="00173234"/>
    <w:rPr>
      <w:rFonts w:asciiTheme="minorHAnsi" w:eastAsiaTheme="minorEastAsia" w:hAnsiTheme="minorHAnsi" w:cstheme="minorBidi"/>
      <w:sz w:val="22"/>
      <w:szCs w:val="22"/>
      <w:lang w:eastAsia="zh-CN"/>
    </w:rPr>
    <w:tblPr>
      <w:tblStyleRowBandSize w:val="1"/>
      <w:tblStyleColBandSize w:val="1"/>
      <w:tblBorders>
        <w:top w:val="single" w:sz="4" w:space="0" w:color="65D5FF" w:themeColor="accent2" w:themeShade="E6"/>
        <w:left w:val="single" w:sz="4" w:space="0" w:color="65D5FF" w:themeColor="accent2" w:themeShade="E6"/>
        <w:bottom w:val="single" w:sz="4" w:space="0" w:color="65D5FF" w:themeColor="accent2" w:themeShade="E6"/>
        <w:right w:val="single" w:sz="4" w:space="0" w:color="65D5FF" w:themeColor="accent2" w:themeShade="E6"/>
        <w:insideH w:val="single" w:sz="4" w:space="0" w:color="65D5FF" w:themeColor="accent2" w:themeShade="E6"/>
        <w:insideV w:val="single" w:sz="4" w:space="0" w:color="65D5FF" w:themeColor="accent2" w:themeShade="E6"/>
      </w:tblBorders>
    </w:tblPr>
    <w:tblStylePr w:type="firstRow">
      <w:rPr>
        <w:b/>
        <w:bCs/>
        <w:color w:val="FFFFFF" w:themeColor="background1"/>
      </w:rPr>
      <w:tblPr/>
      <w:tcPr>
        <w:tcBorders>
          <w:top w:val="single" w:sz="4" w:space="0" w:color="65D5FF" w:themeColor="accent2" w:themeShade="E6"/>
          <w:left w:val="single" w:sz="4" w:space="0" w:color="65D5FF" w:themeColor="accent2" w:themeShade="E6"/>
          <w:bottom w:val="single" w:sz="4" w:space="0" w:color="65D5FF" w:themeColor="accent2" w:themeShade="E6"/>
          <w:right w:val="single" w:sz="4" w:space="0" w:color="65D5FF" w:themeColor="accent2" w:themeShade="E6"/>
          <w:insideH w:val="single" w:sz="4" w:space="0" w:color="65D5FF" w:themeColor="accent2" w:themeShade="E6"/>
          <w:insideV w:val="single" w:sz="4" w:space="0" w:color="65D5FF" w:themeColor="accent2" w:themeShade="E6"/>
        </w:tcBorders>
        <w:shd w:val="clear" w:color="auto" w:fill="8CE0FF" w:themeFill="accent2"/>
      </w:tcPr>
    </w:tblStylePr>
    <w:tblStylePr w:type="lastRow">
      <w:rPr>
        <w:b w:val="0"/>
        <w:bCs/>
      </w:rPr>
      <w:tblPr/>
      <w:tcPr>
        <w:tcBorders>
          <w:top w:val="single" w:sz="4" w:space="0" w:color="65D5FF" w:themeColor="accent2" w:themeShade="E6"/>
          <w:left w:val="single" w:sz="4" w:space="0" w:color="65D5FF" w:themeColor="accent2" w:themeShade="E6"/>
          <w:bottom w:val="single" w:sz="4" w:space="0" w:color="65D5FF" w:themeColor="accent2" w:themeShade="E6"/>
          <w:right w:val="single" w:sz="4" w:space="0" w:color="65D5FF" w:themeColor="accent2" w:themeShade="E6"/>
          <w:insideH w:val="single" w:sz="4" w:space="0" w:color="65D5FF" w:themeColor="accent2" w:themeShade="E6"/>
          <w:insideV w:val="single" w:sz="4" w:space="0" w:color="65D5FF" w:themeColor="accent2" w:themeShade="E6"/>
        </w:tcBorders>
        <w:shd w:val="clear" w:color="auto" w:fill="FFFFFF" w:themeFill="background1"/>
      </w:tcPr>
    </w:tblStylePr>
    <w:tblStylePr w:type="firstCol">
      <w:rPr>
        <w:b w:val="0"/>
        <w:bCs/>
      </w:rPr>
      <w:tblPr/>
      <w:tcPr>
        <w:tcBorders>
          <w:top w:val="single" w:sz="4" w:space="0" w:color="65D5FF" w:themeColor="accent2" w:themeShade="E6"/>
          <w:left w:val="single" w:sz="4" w:space="0" w:color="65D5FF" w:themeColor="accent2" w:themeShade="E6"/>
          <w:bottom w:val="single" w:sz="4" w:space="0" w:color="65D5FF" w:themeColor="accent2" w:themeShade="E6"/>
          <w:right w:val="single" w:sz="4" w:space="0" w:color="65D5FF" w:themeColor="accent2" w:themeShade="E6"/>
          <w:insideH w:val="single" w:sz="4" w:space="0" w:color="65D5FF" w:themeColor="accent2" w:themeShade="E6"/>
          <w:insideV w:val="single" w:sz="4" w:space="0" w:color="65D5FF" w:themeColor="accent2" w:themeShade="E6"/>
        </w:tcBorders>
        <w:shd w:val="clear" w:color="auto" w:fill="FFFFFF" w:themeFill="background1"/>
      </w:tcPr>
    </w:tblStylePr>
    <w:tblStylePr w:type="lastCol">
      <w:rPr>
        <w:b w:val="0"/>
        <w:bCs/>
      </w:rPr>
      <w:tblPr/>
      <w:tcPr>
        <w:tcBorders>
          <w:top w:val="single" w:sz="4" w:space="0" w:color="65D5FF" w:themeColor="accent2" w:themeShade="E6"/>
          <w:left w:val="single" w:sz="4" w:space="0" w:color="65D5FF" w:themeColor="accent2" w:themeShade="E6"/>
          <w:bottom w:val="single" w:sz="4" w:space="0" w:color="65D5FF" w:themeColor="accent2" w:themeShade="E6"/>
          <w:right w:val="single" w:sz="4" w:space="0" w:color="65D5FF" w:themeColor="accent2" w:themeShade="E6"/>
          <w:insideH w:val="single" w:sz="4" w:space="0" w:color="65D5FF" w:themeColor="accent2" w:themeShade="E6"/>
          <w:insideV w:val="single" w:sz="4" w:space="0" w:color="65D5FF" w:themeColor="accent2" w:themeShade="E6"/>
        </w:tcBorders>
        <w:shd w:val="clear" w:color="auto" w:fill="FFFFFF" w:themeFill="background1"/>
      </w:tcPr>
    </w:tblStylePr>
    <w:tblStylePr w:type="band1Vert">
      <w:tblPr/>
      <w:tcPr>
        <w:tcBorders>
          <w:top w:val="single" w:sz="4" w:space="0" w:color="65D5FF" w:themeColor="accent2" w:themeShade="E6"/>
          <w:left w:val="single" w:sz="4" w:space="0" w:color="65D5FF" w:themeColor="accent2" w:themeShade="E6"/>
          <w:bottom w:val="single" w:sz="4" w:space="0" w:color="65D5FF" w:themeColor="accent2" w:themeShade="E6"/>
          <w:right w:val="single" w:sz="4" w:space="0" w:color="65D5FF" w:themeColor="accent2" w:themeShade="E6"/>
          <w:insideH w:val="single" w:sz="4" w:space="0" w:color="65D5FF" w:themeColor="accent2" w:themeShade="E6"/>
          <w:insideV w:val="single" w:sz="4" w:space="0" w:color="65D5FF" w:themeColor="accent2" w:themeShade="E6"/>
        </w:tcBorders>
      </w:tcPr>
    </w:tblStylePr>
    <w:tblStylePr w:type="band2Vert">
      <w:tblPr/>
      <w:tcPr>
        <w:tcBorders>
          <w:top w:val="single" w:sz="4" w:space="0" w:color="65D5FF" w:themeColor="accent2" w:themeShade="E6"/>
          <w:left w:val="single" w:sz="4" w:space="0" w:color="65D5FF" w:themeColor="accent2" w:themeShade="E6"/>
          <w:bottom w:val="single" w:sz="4" w:space="0" w:color="65D5FF" w:themeColor="accent2" w:themeShade="E6"/>
          <w:right w:val="single" w:sz="4" w:space="0" w:color="65D5FF" w:themeColor="accent2" w:themeShade="E6"/>
          <w:insideH w:val="single" w:sz="4" w:space="0" w:color="65D5FF" w:themeColor="accent2" w:themeShade="E6"/>
          <w:insideV w:val="single" w:sz="4" w:space="0" w:color="65D5FF" w:themeColor="accent2" w:themeShade="E6"/>
        </w:tcBorders>
      </w:tcPr>
    </w:tblStylePr>
    <w:tblStylePr w:type="band1Horz">
      <w:tblPr/>
      <w:tcPr>
        <w:tcBorders>
          <w:top w:val="single" w:sz="4" w:space="0" w:color="65D5FF" w:themeColor="accent2" w:themeShade="E6"/>
          <w:left w:val="single" w:sz="4" w:space="0" w:color="65D5FF" w:themeColor="accent2" w:themeShade="E6"/>
          <w:bottom w:val="single" w:sz="4" w:space="0" w:color="65D5FF" w:themeColor="accent2" w:themeShade="E6"/>
          <w:right w:val="single" w:sz="4" w:space="0" w:color="65D5FF" w:themeColor="accent2" w:themeShade="E6"/>
          <w:insideH w:val="single" w:sz="4" w:space="0" w:color="65D5FF" w:themeColor="accent2" w:themeShade="E6"/>
          <w:insideV w:val="single" w:sz="4" w:space="0" w:color="65D5FF" w:themeColor="accent2" w:themeShade="E6"/>
        </w:tcBorders>
      </w:tcPr>
    </w:tblStylePr>
    <w:tblStylePr w:type="band2Horz">
      <w:tblPr/>
      <w:tcPr>
        <w:tcBorders>
          <w:top w:val="single" w:sz="4" w:space="0" w:color="65D5FF" w:themeColor="accent2" w:themeShade="E6"/>
          <w:left w:val="single" w:sz="4" w:space="0" w:color="65D5FF" w:themeColor="accent2" w:themeShade="E6"/>
          <w:bottom w:val="single" w:sz="4" w:space="0" w:color="65D5FF" w:themeColor="accent2" w:themeShade="E6"/>
          <w:right w:val="single" w:sz="4" w:space="0" w:color="65D5FF" w:themeColor="accent2" w:themeShade="E6"/>
          <w:insideH w:val="single" w:sz="4" w:space="0" w:color="65D5FF" w:themeColor="accent2" w:themeShade="E6"/>
          <w:insideV w:val="single" w:sz="4" w:space="0" w:color="65D5FF" w:themeColor="accent2" w:themeShade="E6"/>
        </w:tcBorders>
      </w:tcPr>
    </w:tblStylePr>
    <w:tblStylePr w:type="neCell">
      <w:tblPr/>
      <w:tcPr>
        <w:tcBorders>
          <w:top w:val="single" w:sz="4" w:space="0" w:color="65D5FF" w:themeColor="accent2" w:themeShade="E6"/>
          <w:left w:val="single" w:sz="4" w:space="0" w:color="65D5FF" w:themeColor="accent2" w:themeShade="E6"/>
          <w:bottom w:val="single" w:sz="4" w:space="0" w:color="65D5FF" w:themeColor="accent2" w:themeShade="E6"/>
          <w:right w:val="single" w:sz="4" w:space="0" w:color="65D5FF" w:themeColor="accent2" w:themeShade="E6"/>
          <w:insideH w:val="single" w:sz="4" w:space="0" w:color="65D5FF" w:themeColor="accent2" w:themeShade="E6"/>
          <w:insideV w:val="single" w:sz="4" w:space="0" w:color="65D5FF" w:themeColor="accent2" w:themeShade="E6"/>
        </w:tcBorders>
      </w:tcPr>
    </w:tblStylePr>
    <w:tblStylePr w:type="nwCell">
      <w:tblPr/>
      <w:tcPr>
        <w:tcBorders>
          <w:top w:val="single" w:sz="4" w:space="0" w:color="65D5FF" w:themeColor="accent2" w:themeShade="E6"/>
          <w:left w:val="single" w:sz="4" w:space="0" w:color="65D5FF" w:themeColor="accent2" w:themeShade="E6"/>
          <w:bottom w:val="single" w:sz="4" w:space="0" w:color="65D5FF" w:themeColor="accent2" w:themeShade="E6"/>
          <w:right w:val="single" w:sz="4" w:space="0" w:color="65D5FF" w:themeColor="accent2" w:themeShade="E6"/>
          <w:insideH w:val="single" w:sz="4" w:space="0" w:color="65D5FF" w:themeColor="accent2" w:themeShade="E6"/>
          <w:insideV w:val="single" w:sz="4" w:space="0" w:color="65D5FF" w:themeColor="accent2" w:themeShade="E6"/>
        </w:tcBorders>
      </w:tcPr>
    </w:tblStylePr>
    <w:tblStylePr w:type="seCell">
      <w:tblPr/>
      <w:tcPr>
        <w:tcBorders>
          <w:top w:val="single" w:sz="4" w:space="0" w:color="65D5FF" w:themeColor="accent2" w:themeShade="E6"/>
          <w:left w:val="single" w:sz="4" w:space="0" w:color="65D5FF" w:themeColor="accent2" w:themeShade="E6"/>
          <w:bottom w:val="single" w:sz="4" w:space="0" w:color="65D5FF" w:themeColor="accent2" w:themeShade="E6"/>
          <w:right w:val="single" w:sz="4" w:space="0" w:color="65D5FF" w:themeColor="accent2" w:themeShade="E6"/>
          <w:insideH w:val="single" w:sz="4" w:space="0" w:color="65D5FF" w:themeColor="accent2" w:themeShade="E6"/>
          <w:insideV w:val="single" w:sz="4" w:space="0" w:color="65D5FF" w:themeColor="accent2" w:themeShade="E6"/>
        </w:tcBorders>
      </w:tcPr>
    </w:tblStylePr>
    <w:tblStylePr w:type="swCell">
      <w:tblPr/>
      <w:tcPr>
        <w:tcBorders>
          <w:top w:val="single" w:sz="4" w:space="0" w:color="65D5FF" w:themeColor="accent2" w:themeShade="E6"/>
          <w:left w:val="single" w:sz="4" w:space="0" w:color="65D5FF" w:themeColor="accent2" w:themeShade="E6"/>
          <w:bottom w:val="single" w:sz="4" w:space="0" w:color="65D5FF" w:themeColor="accent2" w:themeShade="E6"/>
          <w:right w:val="single" w:sz="4" w:space="0" w:color="65D5FF" w:themeColor="accent2" w:themeShade="E6"/>
          <w:insideH w:val="single" w:sz="4" w:space="0" w:color="65D5FF" w:themeColor="accent2" w:themeShade="E6"/>
          <w:insideV w:val="single" w:sz="4" w:space="0" w:color="65D5FF" w:themeColor="accent2" w:themeShade="E6"/>
        </w:tcBorders>
      </w:tcPr>
    </w:tblStylePr>
  </w:style>
  <w:style w:type="table" w:styleId="ListTable3-Accent3">
    <w:name w:val="List Table 3 Accent 3"/>
    <w:basedOn w:val="TableNormal"/>
    <w:uiPriority w:val="48"/>
    <w:rsid w:val="00173234"/>
    <w:rPr>
      <w:rFonts w:asciiTheme="minorHAnsi" w:eastAsiaTheme="minorEastAsia" w:hAnsiTheme="minorHAnsi" w:cstheme="minorBidi"/>
      <w:sz w:val="22"/>
      <w:szCs w:val="22"/>
      <w:lang w:eastAsia="zh-CN"/>
    </w:rPr>
    <w:tblPr>
      <w:tblStyleRowBandSize w:val="1"/>
      <w:tblStyleColBandSize w:val="1"/>
      <w:tbl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blBorders>
    </w:tblPr>
    <w:tblStylePr w:type="firstRow">
      <w:rPr>
        <w:b/>
        <w:bCs/>
        <w:color w:val="FFFFFF" w:themeColor="background1"/>
      </w:rPr>
      <w:tblPr/>
      <w:trPr>
        <w:tblHeader/>
      </w:tr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146CFD" w:themeFill="accent3"/>
      </w:tcPr>
    </w:tblStylePr>
    <w:tblStylePr w:type="lastRow">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firstCol">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lastCol">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band1Vert">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2Vert">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1Horz">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2Horz">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ne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nw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se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sw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style>
  <w:style w:type="table" w:styleId="ListTable3-Accent4">
    <w:name w:val="List Table 3 Accent 4"/>
    <w:basedOn w:val="TableNormal"/>
    <w:uiPriority w:val="48"/>
    <w:rsid w:val="00173234"/>
    <w:rPr>
      <w:rFonts w:asciiTheme="minorHAnsi" w:eastAsiaTheme="minorEastAsia" w:hAnsiTheme="minorHAnsi" w:cstheme="minorBidi"/>
      <w:sz w:val="22"/>
      <w:szCs w:val="22"/>
      <w:lang w:eastAsia="zh-CN"/>
    </w:rPr>
    <w:tblPr>
      <w:tblStyleRowBandSize w:val="1"/>
      <w:tblStyleColBandSize w:val="1"/>
      <w:tbl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blBorders>
    </w:tblPr>
    <w:tblStylePr w:type="firstRow">
      <w:rPr>
        <w:b/>
        <w:bCs/>
        <w:color w:val="FFFFFF" w:themeColor="background1"/>
      </w:rPr>
      <w:tblPr/>
      <w:trPr>
        <w:tblHeader/>
      </w:tr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CBEDFD" w:themeFill="accent4"/>
      </w:tcPr>
    </w:tblStylePr>
    <w:tblStylePr w:type="lastRow">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firstCol">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lastCol">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band1Vert">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2Vert">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1Horz">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2Horz">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ne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nw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se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sw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style>
  <w:style w:type="table" w:styleId="ListTable3-Accent5">
    <w:name w:val="List Table 3 Accent 5"/>
    <w:basedOn w:val="TableNormal"/>
    <w:uiPriority w:val="48"/>
    <w:rsid w:val="00173234"/>
    <w:rPr>
      <w:rFonts w:asciiTheme="minorHAnsi" w:eastAsiaTheme="minorEastAsia" w:hAnsiTheme="minorHAnsi" w:cstheme="minorBidi"/>
      <w:sz w:val="22"/>
      <w:szCs w:val="22"/>
      <w:lang w:eastAsia="zh-CN"/>
    </w:rPr>
    <w:tblPr>
      <w:tblStyleRowBandSize w:val="1"/>
      <w:tblStyleColBandSize w:val="1"/>
      <w:tblBorders>
        <w:top w:val="single" w:sz="4" w:space="0" w:color="5F5F5F" w:themeColor="accent5" w:themeShade="80"/>
        <w:left w:val="single" w:sz="4" w:space="0" w:color="5F5F5F" w:themeColor="accent5" w:themeShade="80"/>
        <w:bottom w:val="single" w:sz="4" w:space="0" w:color="5F5F5F" w:themeColor="accent5" w:themeShade="80"/>
        <w:right w:val="single" w:sz="4" w:space="0" w:color="5F5F5F" w:themeColor="accent5" w:themeShade="80"/>
        <w:insideH w:val="single" w:sz="4" w:space="0" w:color="5F5F5F" w:themeColor="accent5" w:themeShade="80"/>
        <w:insideV w:val="single" w:sz="4" w:space="0" w:color="5F5F5F" w:themeColor="accent5" w:themeShade="80"/>
      </w:tblBorders>
    </w:tblPr>
    <w:tblStylePr w:type="firstRow">
      <w:rPr>
        <w:b/>
        <w:bCs/>
        <w:color w:val="FFFFFF" w:themeColor="background1"/>
      </w:rPr>
      <w:tblPr/>
      <w:trPr>
        <w:tblHeader/>
      </w:trPr>
      <w:tcPr>
        <w:tcBorders>
          <w:top w:val="single" w:sz="4" w:space="0" w:color="5F5F5F" w:themeColor="accent5" w:themeShade="80"/>
          <w:left w:val="single" w:sz="4" w:space="0" w:color="5F5F5F" w:themeColor="accent5" w:themeShade="80"/>
          <w:bottom w:val="single" w:sz="4" w:space="0" w:color="5F5F5F" w:themeColor="accent5" w:themeShade="80"/>
          <w:right w:val="single" w:sz="4" w:space="0" w:color="5F5F5F" w:themeColor="accent5" w:themeShade="80"/>
          <w:insideH w:val="single" w:sz="4" w:space="0" w:color="5F5F5F" w:themeColor="accent5" w:themeShade="80"/>
          <w:insideV w:val="single" w:sz="4" w:space="0" w:color="5F5F5F" w:themeColor="accent5" w:themeShade="80"/>
        </w:tcBorders>
        <w:shd w:val="clear" w:color="auto" w:fill="E5E5E5" w:themeFill="accent5" w:themeFillTint="66"/>
      </w:tcPr>
    </w:tblStylePr>
    <w:tblStylePr w:type="lastRow">
      <w:rPr>
        <w:b w:val="0"/>
        <w:bCs/>
      </w:rPr>
      <w:tblPr/>
      <w:tcPr>
        <w:tcBorders>
          <w:top w:val="single" w:sz="4" w:space="0" w:color="5F5F5F" w:themeColor="accent5" w:themeShade="80"/>
          <w:left w:val="single" w:sz="4" w:space="0" w:color="5F5F5F" w:themeColor="accent5" w:themeShade="80"/>
          <w:bottom w:val="single" w:sz="4" w:space="0" w:color="5F5F5F" w:themeColor="accent5" w:themeShade="80"/>
          <w:right w:val="single" w:sz="4" w:space="0" w:color="5F5F5F" w:themeColor="accent5" w:themeShade="80"/>
          <w:insideH w:val="single" w:sz="4" w:space="0" w:color="5F5F5F" w:themeColor="accent5" w:themeShade="80"/>
          <w:insideV w:val="single" w:sz="4" w:space="0" w:color="5F5F5F" w:themeColor="accent5" w:themeShade="80"/>
        </w:tcBorders>
        <w:shd w:val="clear" w:color="auto" w:fill="FFFFFF" w:themeFill="background1"/>
      </w:tcPr>
    </w:tblStylePr>
    <w:tblStylePr w:type="firstCol">
      <w:rPr>
        <w:b w:val="0"/>
        <w:bCs/>
      </w:rPr>
      <w:tblPr/>
      <w:tcPr>
        <w:tcBorders>
          <w:top w:val="single" w:sz="4" w:space="0" w:color="5F5F5F" w:themeColor="accent5" w:themeShade="80"/>
          <w:left w:val="single" w:sz="4" w:space="0" w:color="5F5F5F" w:themeColor="accent5" w:themeShade="80"/>
          <w:bottom w:val="single" w:sz="4" w:space="0" w:color="5F5F5F" w:themeColor="accent5" w:themeShade="80"/>
          <w:right w:val="single" w:sz="4" w:space="0" w:color="5F5F5F" w:themeColor="accent5" w:themeShade="80"/>
          <w:insideH w:val="single" w:sz="4" w:space="0" w:color="5F5F5F" w:themeColor="accent5" w:themeShade="80"/>
          <w:insideV w:val="single" w:sz="4" w:space="0" w:color="5F5F5F" w:themeColor="accent5" w:themeShade="80"/>
        </w:tcBorders>
        <w:shd w:val="clear" w:color="auto" w:fill="FFFFFF" w:themeFill="background1"/>
      </w:tcPr>
    </w:tblStylePr>
    <w:tblStylePr w:type="lastCol">
      <w:rPr>
        <w:b w:val="0"/>
        <w:bCs/>
      </w:rPr>
      <w:tblPr/>
      <w:tcPr>
        <w:tcBorders>
          <w:top w:val="single" w:sz="4" w:space="0" w:color="5F5F5F" w:themeColor="accent5" w:themeShade="80"/>
          <w:left w:val="single" w:sz="4" w:space="0" w:color="5F5F5F" w:themeColor="accent5" w:themeShade="80"/>
          <w:bottom w:val="single" w:sz="4" w:space="0" w:color="5F5F5F" w:themeColor="accent5" w:themeShade="80"/>
          <w:right w:val="single" w:sz="4" w:space="0" w:color="5F5F5F" w:themeColor="accent5" w:themeShade="80"/>
          <w:insideH w:val="single" w:sz="4" w:space="0" w:color="5F5F5F" w:themeColor="accent5" w:themeShade="80"/>
          <w:insideV w:val="single" w:sz="4" w:space="0" w:color="5F5F5F" w:themeColor="accent5" w:themeShade="80"/>
        </w:tcBorders>
        <w:shd w:val="clear" w:color="auto" w:fill="FFFFFF" w:themeFill="background1"/>
      </w:tcPr>
    </w:tblStylePr>
    <w:tblStylePr w:type="band1Vert">
      <w:tblPr/>
      <w:tcPr>
        <w:tcBorders>
          <w:top w:val="single" w:sz="4" w:space="0" w:color="5F5F5F" w:themeColor="accent5" w:themeShade="80"/>
          <w:left w:val="single" w:sz="4" w:space="0" w:color="5F5F5F" w:themeColor="accent5" w:themeShade="80"/>
          <w:bottom w:val="single" w:sz="4" w:space="0" w:color="5F5F5F" w:themeColor="accent5" w:themeShade="80"/>
          <w:right w:val="single" w:sz="4" w:space="0" w:color="5F5F5F" w:themeColor="accent5" w:themeShade="80"/>
          <w:insideH w:val="single" w:sz="4" w:space="0" w:color="5F5F5F" w:themeColor="accent5" w:themeShade="80"/>
          <w:insideV w:val="single" w:sz="4" w:space="0" w:color="5F5F5F" w:themeColor="accent5" w:themeShade="80"/>
        </w:tcBorders>
      </w:tcPr>
    </w:tblStylePr>
    <w:tblStylePr w:type="band2Vert">
      <w:tblPr/>
      <w:tcPr>
        <w:tcBorders>
          <w:top w:val="single" w:sz="4" w:space="0" w:color="5F5F5F" w:themeColor="accent5" w:themeShade="80"/>
          <w:left w:val="single" w:sz="4" w:space="0" w:color="5F5F5F" w:themeColor="accent5" w:themeShade="80"/>
          <w:bottom w:val="single" w:sz="4" w:space="0" w:color="5F5F5F" w:themeColor="accent5" w:themeShade="80"/>
          <w:right w:val="single" w:sz="4" w:space="0" w:color="5F5F5F" w:themeColor="accent5" w:themeShade="80"/>
          <w:insideH w:val="single" w:sz="4" w:space="0" w:color="5F5F5F" w:themeColor="accent5" w:themeShade="80"/>
          <w:insideV w:val="single" w:sz="4" w:space="0" w:color="5F5F5F" w:themeColor="accent5" w:themeShade="80"/>
        </w:tcBorders>
      </w:tcPr>
    </w:tblStylePr>
    <w:tblStylePr w:type="band1Horz">
      <w:tblPr/>
      <w:tcPr>
        <w:tcBorders>
          <w:top w:val="single" w:sz="4" w:space="0" w:color="5F5F5F" w:themeColor="accent5" w:themeShade="80"/>
          <w:left w:val="single" w:sz="4" w:space="0" w:color="5F5F5F" w:themeColor="accent5" w:themeShade="80"/>
          <w:bottom w:val="single" w:sz="4" w:space="0" w:color="5F5F5F" w:themeColor="accent5" w:themeShade="80"/>
          <w:right w:val="single" w:sz="4" w:space="0" w:color="5F5F5F" w:themeColor="accent5" w:themeShade="80"/>
          <w:insideH w:val="single" w:sz="4" w:space="0" w:color="5F5F5F" w:themeColor="accent5" w:themeShade="80"/>
          <w:insideV w:val="single" w:sz="4" w:space="0" w:color="5F5F5F" w:themeColor="accent5" w:themeShade="80"/>
        </w:tcBorders>
      </w:tcPr>
    </w:tblStylePr>
    <w:tblStylePr w:type="band2Horz">
      <w:tblPr/>
      <w:tcPr>
        <w:tcBorders>
          <w:top w:val="single" w:sz="4" w:space="0" w:color="5F5F5F" w:themeColor="accent5" w:themeShade="80"/>
          <w:left w:val="single" w:sz="4" w:space="0" w:color="5F5F5F" w:themeColor="accent5" w:themeShade="80"/>
          <w:bottom w:val="single" w:sz="4" w:space="0" w:color="5F5F5F" w:themeColor="accent5" w:themeShade="80"/>
          <w:right w:val="single" w:sz="4" w:space="0" w:color="5F5F5F" w:themeColor="accent5" w:themeShade="80"/>
          <w:insideH w:val="single" w:sz="4" w:space="0" w:color="5F5F5F" w:themeColor="accent5" w:themeShade="80"/>
          <w:insideV w:val="single" w:sz="4" w:space="0" w:color="5F5F5F" w:themeColor="accent5" w:themeShade="80"/>
        </w:tcBorders>
      </w:tcPr>
    </w:tblStylePr>
    <w:tblStylePr w:type="neCell">
      <w:tblPr/>
      <w:tcPr>
        <w:tcBorders>
          <w:top w:val="single" w:sz="4" w:space="0" w:color="5F5F5F" w:themeColor="accent5" w:themeShade="80"/>
          <w:left w:val="single" w:sz="4" w:space="0" w:color="5F5F5F" w:themeColor="accent5" w:themeShade="80"/>
          <w:bottom w:val="single" w:sz="4" w:space="0" w:color="5F5F5F" w:themeColor="accent5" w:themeShade="80"/>
          <w:right w:val="single" w:sz="4" w:space="0" w:color="5F5F5F" w:themeColor="accent5" w:themeShade="80"/>
          <w:insideH w:val="single" w:sz="4" w:space="0" w:color="5F5F5F" w:themeColor="accent5" w:themeShade="80"/>
          <w:insideV w:val="single" w:sz="4" w:space="0" w:color="5F5F5F" w:themeColor="accent5" w:themeShade="80"/>
        </w:tcBorders>
      </w:tcPr>
    </w:tblStylePr>
    <w:tblStylePr w:type="nwCell">
      <w:tblPr/>
      <w:tcPr>
        <w:tcBorders>
          <w:top w:val="single" w:sz="4" w:space="0" w:color="5F5F5F" w:themeColor="accent5" w:themeShade="80"/>
          <w:left w:val="single" w:sz="4" w:space="0" w:color="5F5F5F" w:themeColor="accent5" w:themeShade="80"/>
          <w:bottom w:val="single" w:sz="4" w:space="0" w:color="5F5F5F" w:themeColor="accent5" w:themeShade="80"/>
          <w:right w:val="single" w:sz="4" w:space="0" w:color="5F5F5F" w:themeColor="accent5" w:themeShade="80"/>
          <w:insideH w:val="single" w:sz="4" w:space="0" w:color="5F5F5F" w:themeColor="accent5" w:themeShade="80"/>
          <w:insideV w:val="single" w:sz="4" w:space="0" w:color="5F5F5F" w:themeColor="accent5" w:themeShade="80"/>
        </w:tcBorders>
      </w:tcPr>
    </w:tblStylePr>
    <w:tblStylePr w:type="seCell">
      <w:tblPr/>
      <w:tcPr>
        <w:tcBorders>
          <w:top w:val="single" w:sz="4" w:space="0" w:color="5F5F5F" w:themeColor="accent5" w:themeShade="80"/>
          <w:left w:val="single" w:sz="4" w:space="0" w:color="5F5F5F" w:themeColor="accent5" w:themeShade="80"/>
          <w:bottom w:val="single" w:sz="4" w:space="0" w:color="5F5F5F" w:themeColor="accent5" w:themeShade="80"/>
          <w:right w:val="single" w:sz="4" w:space="0" w:color="5F5F5F" w:themeColor="accent5" w:themeShade="80"/>
          <w:insideH w:val="single" w:sz="4" w:space="0" w:color="5F5F5F" w:themeColor="accent5" w:themeShade="80"/>
          <w:insideV w:val="single" w:sz="4" w:space="0" w:color="5F5F5F" w:themeColor="accent5" w:themeShade="80"/>
        </w:tcBorders>
      </w:tcPr>
    </w:tblStylePr>
    <w:tblStylePr w:type="swCell">
      <w:tblPr/>
      <w:tcPr>
        <w:tcBorders>
          <w:top w:val="single" w:sz="4" w:space="0" w:color="5F5F5F" w:themeColor="accent5" w:themeShade="80"/>
          <w:left w:val="single" w:sz="4" w:space="0" w:color="5F5F5F" w:themeColor="accent5" w:themeShade="80"/>
          <w:bottom w:val="single" w:sz="4" w:space="0" w:color="5F5F5F" w:themeColor="accent5" w:themeShade="80"/>
          <w:right w:val="single" w:sz="4" w:space="0" w:color="5F5F5F" w:themeColor="accent5" w:themeShade="80"/>
          <w:insideH w:val="single" w:sz="4" w:space="0" w:color="5F5F5F" w:themeColor="accent5" w:themeShade="80"/>
          <w:insideV w:val="single" w:sz="4" w:space="0" w:color="5F5F5F" w:themeColor="accent5" w:themeShade="80"/>
        </w:tcBorders>
      </w:tcPr>
    </w:tblStylePr>
  </w:style>
  <w:style w:type="table" w:styleId="ListTable3-Accent6">
    <w:name w:val="List Table 3 Accent 6"/>
    <w:basedOn w:val="TableNormal"/>
    <w:uiPriority w:val="48"/>
    <w:rsid w:val="00173234"/>
    <w:rPr>
      <w:rFonts w:asciiTheme="minorHAnsi" w:eastAsiaTheme="minorEastAsia" w:hAnsiTheme="minorHAnsi" w:cstheme="minorBidi"/>
      <w:sz w:val="22"/>
      <w:szCs w:val="22"/>
      <w:lang w:eastAsia="zh-CN"/>
    </w:rPr>
    <w:tblPr>
      <w:tblStyleRowBandSize w:val="1"/>
      <w:tblStyleColBandSize w:val="1"/>
      <w:tblBorders>
        <w:top w:val="single" w:sz="4" w:space="0" w:color="24282A" w:themeColor="accent6" w:themeShade="80"/>
        <w:left w:val="single" w:sz="4" w:space="0" w:color="24282A" w:themeColor="accent6" w:themeShade="80"/>
        <w:bottom w:val="single" w:sz="4" w:space="0" w:color="24282A" w:themeColor="accent6" w:themeShade="80"/>
        <w:right w:val="single" w:sz="4" w:space="0" w:color="24282A" w:themeColor="accent6" w:themeShade="80"/>
        <w:insideH w:val="single" w:sz="4" w:space="0" w:color="24282A" w:themeColor="accent6" w:themeShade="80"/>
        <w:insideV w:val="single" w:sz="4" w:space="0" w:color="24282A" w:themeColor="accent6" w:themeShade="80"/>
      </w:tblBorders>
    </w:tblPr>
    <w:tblStylePr w:type="firstRow">
      <w:rPr>
        <w:b/>
        <w:bCs/>
        <w:color w:val="FFFFFF" w:themeColor="background1"/>
      </w:rPr>
      <w:tblPr/>
      <w:trPr>
        <w:tblHeader/>
      </w:trPr>
      <w:tcPr>
        <w:shd w:val="clear" w:color="auto" w:fill="495054" w:themeFill="accent6"/>
      </w:tcPr>
    </w:tblStylePr>
    <w:tblStylePr w:type="lastRow">
      <w:rPr>
        <w:b w:val="0"/>
        <w:bCs/>
      </w:rPr>
      <w:tblPr/>
      <w:tcPr>
        <w:tcBorders>
          <w:top w:val="single" w:sz="4" w:space="0" w:color="24282A" w:themeColor="accent6" w:themeShade="80"/>
          <w:left w:val="single" w:sz="4" w:space="0" w:color="24282A" w:themeColor="accent6" w:themeShade="80"/>
          <w:bottom w:val="single" w:sz="4" w:space="0" w:color="24282A" w:themeColor="accent6" w:themeShade="80"/>
          <w:right w:val="single" w:sz="4" w:space="0" w:color="24282A" w:themeColor="accent6" w:themeShade="80"/>
          <w:insideH w:val="single" w:sz="4" w:space="0" w:color="24282A" w:themeColor="accent6" w:themeShade="80"/>
          <w:insideV w:val="single" w:sz="4" w:space="0" w:color="24282A" w:themeColor="accent6" w:themeShade="80"/>
        </w:tcBorders>
        <w:shd w:val="clear" w:color="auto" w:fill="FFFFFF" w:themeFill="background1"/>
      </w:tcPr>
    </w:tblStylePr>
    <w:tblStylePr w:type="firstCol">
      <w:rPr>
        <w:b w:val="0"/>
        <w:bCs/>
      </w:rPr>
      <w:tblPr/>
      <w:tcPr>
        <w:tcBorders>
          <w:top w:val="single" w:sz="4" w:space="0" w:color="24282A" w:themeColor="accent6" w:themeShade="80"/>
          <w:left w:val="single" w:sz="4" w:space="0" w:color="24282A" w:themeColor="accent6" w:themeShade="80"/>
          <w:bottom w:val="single" w:sz="4" w:space="0" w:color="24282A" w:themeColor="accent6" w:themeShade="80"/>
          <w:right w:val="single" w:sz="4" w:space="0" w:color="24282A" w:themeColor="accent6" w:themeShade="80"/>
          <w:insideH w:val="single" w:sz="4" w:space="0" w:color="24282A" w:themeColor="accent6" w:themeShade="80"/>
          <w:insideV w:val="single" w:sz="4" w:space="0" w:color="24282A" w:themeColor="accent6" w:themeShade="80"/>
        </w:tcBorders>
        <w:shd w:val="clear" w:color="auto" w:fill="FFFFFF" w:themeFill="background1"/>
      </w:tcPr>
    </w:tblStylePr>
    <w:tblStylePr w:type="lastCol">
      <w:rPr>
        <w:b w:val="0"/>
        <w:bCs/>
      </w:rPr>
      <w:tblPr/>
      <w:tcPr>
        <w:tcBorders>
          <w:top w:val="single" w:sz="4" w:space="0" w:color="24282A" w:themeColor="accent6" w:themeShade="80"/>
          <w:left w:val="single" w:sz="4" w:space="0" w:color="24282A" w:themeColor="accent6" w:themeShade="80"/>
          <w:bottom w:val="single" w:sz="4" w:space="0" w:color="24282A" w:themeColor="accent6" w:themeShade="80"/>
          <w:right w:val="single" w:sz="4" w:space="0" w:color="24282A" w:themeColor="accent6" w:themeShade="80"/>
          <w:insideH w:val="single" w:sz="4" w:space="0" w:color="24282A" w:themeColor="accent6" w:themeShade="80"/>
          <w:insideV w:val="single" w:sz="4" w:space="0" w:color="24282A" w:themeColor="accent6" w:themeShade="80"/>
        </w:tcBorders>
        <w:shd w:val="clear" w:color="auto" w:fill="FFFFFF" w:themeFill="background1"/>
      </w:tcPr>
    </w:tblStylePr>
    <w:tblStylePr w:type="band1Vert">
      <w:tblPr/>
      <w:tcPr>
        <w:tcBorders>
          <w:top w:val="single" w:sz="4" w:space="0" w:color="24282A" w:themeColor="accent6" w:themeShade="80"/>
          <w:left w:val="single" w:sz="4" w:space="0" w:color="24282A" w:themeColor="accent6" w:themeShade="80"/>
          <w:bottom w:val="single" w:sz="4" w:space="0" w:color="24282A" w:themeColor="accent6" w:themeShade="80"/>
          <w:right w:val="single" w:sz="4" w:space="0" w:color="24282A" w:themeColor="accent6" w:themeShade="80"/>
          <w:insideH w:val="single" w:sz="4" w:space="0" w:color="24282A" w:themeColor="accent6" w:themeShade="80"/>
          <w:insideV w:val="single" w:sz="4" w:space="0" w:color="24282A" w:themeColor="accent6" w:themeShade="80"/>
        </w:tcBorders>
      </w:tcPr>
    </w:tblStylePr>
    <w:tblStylePr w:type="band2Vert">
      <w:tblPr/>
      <w:tcPr>
        <w:tcBorders>
          <w:top w:val="single" w:sz="4" w:space="0" w:color="24282A" w:themeColor="accent6" w:themeShade="80"/>
          <w:left w:val="single" w:sz="4" w:space="0" w:color="24282A" w:themeColor="accent6" w:themeShade="80"/>
          <w:bottom w:val="single" w:sz="4" w:space="0" w:color="24282A" w:themeColor="accent6" w:themeShade="80"/>
          <w:right w:val="single" w:sz="4" w:space="0" w:color="24282A" w:themeColor="accent6" w:themeShade="80"/>
          <w:insideH w:val="single" w:sz="4" w:space="0" w:color="24282A" w:themeColor="accent6" w:themeShade="80"/>
          <w:insideV w:val="single" w:sz="4" w:space="0" w:color="24282A" w:themeColor="accent6" w:themeShade="80"/>
        </w:tcBorders>
      </w:tcPr>
    </w:tblStylePr>
    <w:tblStylePr w:type="band1Horz">
      <w:tblPr/>
      <w:tcPr>
        <w:tcBorders>
          <w:top w:val="single" w:sz="4" w:space="0" w:color="24282A" w:themeColor="accent6" w:themeShade="80"/>
          <w:left w:val="single" w:sz="4" w:space="0" w:color="24282A" w:themeColor="accent6" w:themeShade="80"/>
          <w:bottom w:val="single" w:sz="4" w:space="0" w:color="24282A" w:themeColor="accent6" w:themeShade="80"/>
          <w:right w:val="single" w:sz="4" w:space="0" w:color="24282A" w:themeColor="accent6" w:themeShade="80"/>
          <w:insideH w:val="single" w:sz="4" w:space="0" w:color="24282A" w:themeColor="accent6" w:themeShade="80"/>
          <w:insideV w:val="single" w:sz="4" w:space="0" w:color="24282A" w:themeColor="accent6" w:themeShade="80"/>
        </w:tcBorders>
      </w:tcPr>
    </w:tblStylePr>
    <w:tblStylePr w:type="band2Horz">
      <w:tblPr/>
      <w:tcPr>
        <w:tcBorders>
          <w:top w:val="single" w:sz="4" w:space="0" w:color="24282A" w:themeColor="accent6" w:themeShade="80"/>
          <w:left w:val="single" w:sz="4" w:space="0" w:color="24282A" w:themeColor="accent6" w:themeShade="80"/>
          <w:bottom w:val="single" w:sz="4" w:space="0" w:color="24282A" w:themeColor="accent6" w:themeShade="80"/>
          <w:right w:val="single" w:sz="4" w:space="0" w:color="24282A" w:themeColor="accent6" w:themeShade="80"/>
          <w:insideH w:val="single" w:sz="4" w:space="0" w:color="24282A" w:themeColor="accent6" w:themeShade="80"/>
          <w:insideV w:val="single" w:sz="4" w:space="0" w:color="24282A" w:themeColor="accent6" w:themeShade="80"/>
        </w:tcBorders>
      </w:tcPr>
    </w:tblStylePr>
    <w:tblStylePr w:type="neCell">
      <w:tblPr/>
      <w:tcPr>
        <w:tcBorders>
          <w:top w:val="single" w:sz="4" w:space="0" w:color="24282A" w:themeColor="accent6" w:themeShade="80"/>
          <w:left w:val="single" w:sz="4" w:space="0" w:color="24282A" w:themeColor="accent6" w:themeShade="80"/>
          <w:bottom w:val="single" w:sz="4" w:space="0" w:color="24282A" w:themeColor="accent6" w:themeShade="80"/>
          <w:right w:val="single" w:sz="4" w:space="0" w:color="24282A" w:themeColor="accent6" w:themeShade="80"/>
          <w:insideH w:val="single" w:sz="4" w:space="0" w:color="24282A" w:themeColor="accent6" w:themeShade="80"/>
          <w:insideV w:val="single" w:sz="4" w:space="0" w:color="24282A" w:themeColor="accent6" w:themeShade="80"/>
        </w:tcBorders>
      </w:tcPr>
    </w:tblStylePr>
    <w:tblStylePr w:type="nwCell">
      <w:tblPr/>
      <w:tcPr>
        <w:tcBorders>
          <w:top w:val="single" w:sz="4" w:space="0" w:color="24282A" w:themeColor="accent6" w:themeShade="80"/>
          <w:left w:val="single" w:sz="4" w:space="0" w:color="24282A" w:themeColor="accent6" w:themeShade="80"/>
          <w:bottom w:val="single" w:sz="4" w:space="0" w:color="24282A" w:themeColor="accent6" w:themeShade="80"/>
          <w:right w:val="single" w:sz="4" w:space="0" w:color="24282A" w:themeColor="accent6" w:themeShade="80"/>
          <w:insideH w:val="single" w:sz="4" w:space="0" w:color="24282A" w:themeColor="accent6" w:themeShade="80"/>
          <w:insideV w:val="single" w:sz="4" w:space="0" w:color="24282A" w:themeColor="accent6" w:themeShade="80"/>
        </w:tcBorders>
      </w:tcPr>
    </w:tblStylePr>
    <w:tblStylePr w:type="seCell">
      <w:tblPr/>
      <w:tcPr>
        <w:tcBorders>
          <w:top w:val="single" w:sz="4" w:space="0" w:color="24282A" w:themeColor="accent6" w:themeShade="80"/>
          <w:left w:val="single" w:sz="4" w:space="0" w:color="24282A" w:themeColor="accent6" w:themeShade="80"/>
          <w:bottom w:val="single" w:sz="4" w:space="0" w:color="24282A" w:themeColor="accent6" w:themeShade="80"/>
          <w:right w:val="single" w:sz="4" w:space="0" w:color="24282A" w:themeColor="accent6" w:themeShade="80"/>
          <w:insideH w:val="single" w:sz="4" w:space="0" w:color="24282A" w:themeColor="accent6" w:themeShade="80"/>
          <w:insideV w:val="single" w:sz="4" w:space="0" w:color="24282A" w:themeColor="accent6" w:themeShade="80"/>
        </w:tcBorders>
      </w:tcPr>
    </w:tblStylePr>
    <w:tblStylePr w:type="swCell">
      <w:tblPr/>
      <w:tcPr>
        <w:tcBorders>
          <w:top w:val="single" w:sz="4" w:space="0" w:color="24282A" w:themeColor="accent6" w:themeShade="80"/>
          <w:left w:val="single" w:sz="4" w:space="0" w:color="24282A" w:themeColor="accent6" w:themeShade="80"/>
          <w:bottom w:val="single" w:sz="4" w:space="0" w:color="24282A" w:themeColor="accent6" w:themeShade="80"/>
          <w:right w:val="single" w:sz="4" w:space="0" w:color="24282A" w:themeColor="accent6" w:themeShade="80"/>
          <w:insideH w:val="single" w:sz="4" w:space="0" w:color="24282A" w:themeColor="accent6" w:themeShade="80"/>
          <w:insideV w:val="single" w:sz="4" w:space="0" w:color="24282A" w:themeColor="accent6" w:themeShade="80"/>
        </w:tcBorders>
      </w:tcPr>
    </w:tblStylePr>
  </w:style>
  <w:style w:type="table" w:styleId="ListTable5Dark-Accent4">
    <w:name w:val="List Table 5 Dark Accent 4"/>
    <w:basedOn w:val="TableNormal"/>
    <w:uiPriority w:val="50"/>
    <w:rsid w:val="00173234"/>
    <w:rPr>
      <w:rFonts w:asciiTheme="minorHAnsi" w:eastAsiaTheme="minorEastAsia" w:hAnsiTheme="minorHAnsi" w:cstheme="minorBidi"/>
      <w:color w:val="FFFFFF" w:themeColor="background1"/>
      <w:sz w:val="22"/>
      <w:szCs w:val="22"/>
      <w:lang w:eastAsia="zh-CN"/>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MediumShading2-Accent5">
    <w:name w:val="Medium Shading 2 Accent 5"/>
    <w:basedOn w:val="TableNormal"/>
    <w:uiPriority w:val="64"/>
    <w:rsid w:val="00173234"/>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FBF" w:themeFill="accent5"/>
      </w:tcPr>
    </w:tblStylePr>
    <w:tblStylePr w:type="lastCol">
      <w:rPr>
        <w:b/>
        <w:bCs/>
        <w:color w:val="FFFFFF" w:themeColor="background1"/>
      </w:rPr>
      <w:tblPr/>
      <w:tcPr>
        <w:tcBorders>
          <w:left w:val="nil"/>
          <w:right w:val="nil"/>
          <w:insideH w:val="nil"/>
          <w:insideV w:val="nil"/>
        </w:tcBorders>
        <w:shd w:val="clear" w:color="auto" w:fill="BFBFB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semiHidden/>
    <w:rsid w:val="00173234"/>
    <w:pPr>
      <w:spacing w:before="100" w:beforeAutospacing="1" w:after="100" w:afterAutospacing="1"/>
    </w:pPr>
    <w:rPr>
      <w:sz w:val="24"/>
      <w:szCs w:val="24"/>
      <w:lang w:eastAsia="en-GB"/>
    </w:rPr>
  </w:style>
  <w:style w:type="character" w:styleId="PageNumber">
    <w:name w:val="page number"/>
    <w:basedOn w:val="DefaultParagraphFont"/>
    <w:uiPriority w:val="99"/>
    <w:semiHidden/>
    <w:rsid w:val="00173234"/>
  </w:style>
  <w:style w:type="character" w:styleId="PlaceholderText">
    <w:name w:val="Placeholder Text"/>
    <w:basedOn w:val="DefaultParagraphFont"/>
    <w:uiPriority w:val="99"/>
    <w:semiHidden/>
    <w:rsid w:val="00173234"/>
    <w:rPr>
      <w:color w:val="808080"/>
    </w:rPr>
  </w:style>
  <w:style w:type="paragraph" w:customStyle="1" w:styleId="Pulloutquote">
    <w:name w:val="Pull out quote"/>
    <w:uiPriority w:val="35"/>
    <w:semiHidden/>
    <w:qFormat/>
    <w:rsid w:val="00173234"/>
    <w:pPr>
      <w:pBdr>
        <w:left w:val="single" w:sz="4" w:space="8" w:color="FFFFFF" w:themeColor="text2"/>
      </w:pBdr>
      <w:suppressAutoHyphens/>
      <w:spacing w:before="120"/>
      <w:ind w:left="227" w:right="57"/>
    </w:pPr>
    <w:rPr>
      <w:rFonts w:asciiTheme="minorHAnsi" w:eastAsiaTheme="minorEastAsia" w:hAnsiTheme="minorHAnsi" w:cstheme="minorBidi"/>
      <w:color w:val="002664" w:themeColor="accent1"/>
      <w:sz w:val="28"/>
      <w:szCs w:val="22"/>
      <w:lang w:eastAsia="zh-CN"/>
    </w:rPr>
  </w:style>
  <w:style w:type="character" w:styleId="Strong">
    <w:name w:val="Strong"/>
    <w:aliases w:val="Bold"/>
    <w:basedOn w:val="DefaultParagraphFont"/>
    <w:uiPriority w:val="22"/>
    <w:semiHidden/>
    <w:qFormat/>
    <w:rsid w:val="00173234"/>
    <w:rPr>
      <w:b/>
      <w:bCs/>
    </w:rPr>
  </w:style>
  <w:style w:type="paragraph" w:customStyle="1" w:styleId="Style211HeadingBold">
    <w:name w:val="Style 2.1.1 Heading + Bold"/>
    <w:basedOn w:val="Normal"/>
    <w:semiHidden/>
    <w:rsid w:val="00173234"/>
    <w:rPr>
      <w:b/>
      <w:bCs/>
      <w:i/>
      <w:iCs/>
    </w:rPr>
  </w:style>
  <w:style w:type="paragraph" w:customStyle="1" w:styleId="StyleBoxHeadingLeft0Firstline0">
    <w:name w:val="Style Box Heading + Left:  0&quot; First line:  0&quot;"/>
    <w:basedOn w:val="Normal"/>
    <w:autoRedefine/>
    <w:semiHidden/>
    <w:rsid w:val="00173234"/>
    <w:pPr>
      <w:keepLines/>
      <w:tabs>
        <w:tab w:val="left" w:pos="567"/>
        <w:tab w:val="num" w:pos="1276"/>
      </w:tabs>
      <w:spacing w:before="120"/>
    </w:pPr>
    <w:rPr>
      <w:rFonts w:ascii="Arial Bold" w:hAnsi="Arial Bold" w:cs="Arial"/>
      <w:b/>
      <w:bCs/>
      <w:color w:val="000000"/>
      <w:sz w:val="23"/>
      <w:lang w:val="en-AU" w:eastAsia="en-AU"/>
    </w:rPr>
  </w:style>
  <w:style w:type="paragraph" w:styleId="Subtitle">
    <w:name w:val="Subtitle"/>
    <w:next w:val="BodyText"/>
    <w:link w:val="SubtitleChar"/>
    <w:uiPriority w:val="2"/>
    <w:semiHidden/>
    <w:rsid w:val="00173234"/>
    <w:pPr>
      <w:numPr>
        <w:ilvl w:val="1"/>
      </w:numPr>
      <w:pBdr>
        <w:top w:val="single" w:sz="4" w:space="4" w:color="FFFFFF" w:themeColor="background1"/>
      </w:pBdr>
      <w:suppressAutoHyphens/>
      <w:ind w:left="851" w:hanging="851"/>
    </w:pPr>
    <w:rPr>
      <w:rFonts w:asciiTheme="majorHAnsi" w:eastAsiaTheme="minorEastAsia" w:hAnsiTheme="majorHAnsi" w:cstheme="minorBidi"/>
      <w:color w:val="FFFFFF" w:themeColor="background1"/>
      <w:sz w:val="36"/>
      <w:szCs w:val="22"/>
      <w:lang w:eastAsia="en-US"/>
    </w:rPr>
  </w:style>
  <w:style w:type="character" w:customStyle="1" w:styleId="SubtitleChar">
    <w:name w:val="Subtitle Char"/>
    <w:basedOn w:val="DefaultParagraphFont"/>
    <w:link w:val="Subtitle"/>
    <w:uiPriority w:val="2"/>
    <w:semiHidden/>
    <w:rsid w:val="005E013C"/>
    <w:rPr>
      <w:rFonts w:asciiTheme="majorHAnsi" w:eastAsiaTheme="minorEastAsia" w:hAnsiTheme="majorHAnsi" w:cstheme="minorBidi"/>
      <w:color w:val="FFFFFF" w:themeColor="background1"/>
      <w:sz w:val="36"/>
      <w:szCs w:val="22"/>
      <w:lang w:eastAsia="en-US"/>
    </w:rPr>
  </w:style>
  <w:style w:type="character" w:styleId="SubtleEmphasis">
    <w:name w:val="Subtle Emphasis"/>
    <w:basedOn w:val="DefaultParagraphFont"/>
    <w:uiPriority w:val="19"/>
    <w:semiHidden/>
    <w:qFormat/>
    <w:rsid w:val="00173234"/>
    <w:rPr>
      <w:i/>
      <w:iCs/>
    </w:rPr>
  </w:style>
  <w:style w:type="table" w:styleId="TableGridLight">
    <w:name w:val="Grid Table Light"/>
    <w:basedOn w:val="TableNormal"/>
    <w:uiPriority w:val="40"/>
    <w:rsid w:val="00173234"/>
    <w:rPr>
      <w:rFonts w:asciiTheme="minorHAnsi" w:eastAsiaTheme="minorEastAsia" w:hAnsiTheme="minorHAnsi" w:cstheme="minorBidi"/>
      <w:sz w:val="22"/>
      <w:szCs w:val="22"/>
      <w:lang w:eastAsia="zh-CN"/>
    </w:rPr>
    <w:tblPr>
      <w:tblCellMar>
        <w:top w:w="113" w:type="dxa"/>
        <w:left w:w="0" w:type="dxa"/>
        <w:bottom w:w="57" w:type="dxa"/>
        <w:right w:w="57" w:type="dxa"/>
      </w:tblCellMar>
    </w:tblPr>
    <w:tblStylePr w:type="firstRow">
      <w:tblPr/>
      <w:trPr>
        <w:tblHeader/>
      </w:trPr>
    </w:tblStylePr>
  </w:style>
  <w:style w:type="paragraph" w:styleId="TableofFigures">
    <w:name w:val="table of figures"/>
    <w:next w:val="BodyText"/>
    <w:uiPriority w:val="99"/>
    <w:semiHidden/>
    <w:rsid w:val="00173234"/>
    <w:pPr>
      <w:tabs>
        <w:tab w:val="right" w:leader="dot" w:pos="10206"/>
      </w:tabs>
      <w:spacing w:before="120"/>
    </w:pPr>
    <w:rPr>
      <w:rFonts w:asciiTheme="minorHAnsi" w:eastAsia="Calibri" w:hAnsiTheme="minorHAnsi" w:cs="Calibri"/>
      <w:color w:val="002664" w:themeColor="accent1"/>
      <w:lang w:eastAsia="zh-CN"/>
    </w:rPr>
  </w:style>
  <w:style w:type="paragraph" w:styleId="Title">
    <w:name w:val="Title"/>
    <w:next w:val="Subtitle"/>
    <w:link w:val="TitleChar"/>
    <w:uiPriority w:val="1"/>
    <w:semiHidden/>
    <w:rsid w:val="00173234"/>
    <w:pPr>
      <w:spacing w:before="1800"/>
    </w:pPr>
    <w:rPr>
      <w:rFonts w:asciiTheme="majorHAnsi" w:eastAsiaTheme="majorEastAsia" w:hAnsiTheme="majorHAnsi" w:cstheme="majorBidi"/>
      <w:color w:val="FFFFFF" w:themeColor="background1"/>
      <w:kern w:val="28"/>
      <w:position w:val="4"/>
      <w:sz w:val="80"/>
      <w:szCs w:val="56"/>
      <w:lang w:eastAsia="en-US"/>
    </w:rPr>
  </w:style>
  <w:style w:type="character" w:customStyle="1" w:styleId="TitleChar">
    <w:name w:val="Title Char"/>
    <w:basedOn w:val="DefaultParagraphFont"/>
    <w:link w:val="Title"/>
    <w:uiPriority w:val="1"/>
    <w:semiHidden/>
    <w:rsid w:val="005E013C"/>
    <w:rPr>
      <w:rFonts w:asciiTheme="majorHAnsi" w:eastAsiaTheme="majorEastAsia" w:hAnsiTheme="majorHAnsi" w:cstheme="majorBidi"/>
      <w:color w:val="FFFFFF" w:themeColor="background1"/>
      <w:kern w:val="28"/>
      <w:position w:val="4"/>
      <w:sz w:val="80"/>
      <w:szCs w:val="56"/>
      <w:lang w:eastAsia="en-US"/>
    </w:rPr>
  </w:style>
  <w:style w:type="paragraph" w:styleId="TOC1">
    <w:name w:val="toc 1"/>
    <w:basedOn w:val="Normal"/>
    <w:next w:val="Normal"/>
    <w:autoRedefine/>
    <w:uiPriority w:val="39"/>
    <w:semiHidden/>
    <w:qFormat/>
    <w:rsid w:val="00173234"/>
    <w:pPr>
      <w:spacing w:after="100"/>
    </w:pPr>
  </w:style>
  <w:style w:type="paragraph" w:styleId="TOC2">
    <w:name w:val="toc 2"/>
    <w:next w:val="BodyText"/>
    <w:uiPriority w:val="39"/>
    <w:semiHidden/>
    <w:rsid w:val="00173234"/>
    <w:pPr>
      <w:tabs>
        <w:tab w:val="left" w:pos="1134"/>
        <w:tab w:val="right" w:leader="dot" w:pos="10206"/>
      </w:tabs>
      <w:suppressAutoHyphens/>
      <w:spacing w:before="120"/>
      <w:ind w:left="1134" w:hanging="567"/>
    </w:pPr>
    <w:rPr>
      <w:rFonts w:asciiTheme="minorHAnsi" w:eastAsia="Calibri" w:hAnsiTheme="minorHAnsi" w:cs="Calibri"/>
      <w:color w:val="002664" w:themeColor="accent1"/>
      <w:sz w:val="22"/>
      <w:lang w:eastAsia="zh-CN"/>
    </w:rPr>
  </w:style>
  <w:style w:type="paragraph" w:styleId="TOC3">
    <w:name w:val="toc 3"/>
    <w:basedOn w:val="Normal"/>
    <w:next w:val="Normal"/>
    <w:autoRedefine/>
    <w:uiPriority w:val="39"/>
    <w:semiHidden/>
    <w:rsid w:val="00173234"/>
    <w:pPr>
      <w:spacing w:after="100"/>
      <w:ind w:left="400"/>
    </w:pPr>
  </w:style>
  <w:style w:type="paragraph" w:styleId="TOC4">
    <w:name w:val="toc 4"/>
    <w:basedOn w:val="Normal"/>
    <w:next w:val="Normal"/>
    <w:uiPriority w:val="39"/>
    <w:semiHidden/>
    <w:rsid w:val="00173234"/>
    <w:pPr>
      <w:spacing w:after="100"/>
      <w:ind w:left="660"/>
    </w:pPr>
  </w:style>
  <w:style w:type="paragraph" w:styleId="TOC5">
    <w:name w:val="toc 5"/>
    <w:basedOn w:val="Normal"/>
    <w:next w:val="Normal"/>
    <w:uiPriority w:val="39"/>
    <w:semiHidden/>
    <w:rsid w:val="00173234"/>
    <w:pPr>
      <w:spacing w:after="100"/>
      <w:ind w:left="880"/>
    </w:pPr>
  </w:style>
  <w:style w:type="paragraph" w:styleId="TOC6">
    <w:name w:val="toc 6"/>
    <w:basedOn w:val="Normal"/>
    <w:next w:val="Normal"/>
    <w:uiPriority w:val="39"/>
    <w:semiHidden/>
    <w:rsid w:val="00173234"/>
    <w:pPr>
      <w:spacing w:after="100"/>
      <w:ind w:left="1100"/>
    </w:pPr>
  </w:style>
  <w:style w:type="paragraph" w:styleId="TOC7">
    <w:name w:val="toc 7"/>
    <w:basedOn w:val="Normal"/>
    <w:next w:val="Normal"/>
    <w:uiPriority w:val="39"/>
    <w:semiHidden/>
    <w:rsid w:val="00173234"/>
    <w:pPr>
      <w:spacing w:after="100"/>
      <w:ind w:left="1320"/>
    </w:pPr>
  </w:style>
  <w:style w:type="paragraph" w:styleId="TOC8">
    <w:name w:val="toc 8"/>
    <w:basedOn w:val="Normal"/>
    <w:next w:val="Normal"/>
    <w:uiPriority w:val="39"/>
    <w:semiHidden/>
    <w:rsid w:val="00173234"/>
    <w:pPr>
      <w:spacing w:after="100"/>
      <w:ind w:left="1540"/>
    </w:pPr>
  </w:style>
  <w:style w:type="paragraph" w:styleId="TOC9">
    <w:name w:val="toc 9"/>
    <w:basedOn w:val="Normal"/>
    <w:next w:val="Normal"/>
    <w:uiPriority w:val="39"/>
    <w:semiHidden/>
    <w:rsid w:val="00173234"/>
    <w:pPr>
      <w:spacing w:after="100"/>
      <w:ind w:left="1600"/>
    </w:pPr>
  </w:style>
  <w:style w:type="paragraph" w:styleId="TOCHeading">
    <w:name w:val="TOC Heading"/>
    <w:next w:val="BodyText"/>
    <w:uiPriority w:val="39"/>
    <w:semiHidden/>
    <w:rsid w:val="00173234"/>
    <w:pPr>
      <w:pageBreakBefore/>
      <w:suppressAutoHyphens/>
    </w:pPr>
    <w:rPr>
      <w:rFonts w:asciiTheme="minorHAnsi" w:eastAsiaTheme="minorEastAsia" w:hAnsiTheme="minorHAnsi" w:cstheme="minorBidi"/>
      <w:color w:val="002664" w:themeColor="accent1"/>
      <w:sz w:val="32"/>
      <w:szCs w:val="22"/>
      <w:lang w:eastAsia="zh-CN"/>
    </w:rPr>
  </w:style>
  <w:style w:type="character" w:styleId="UnresolvedMention">
    <w:name w:val="Unresolved Mention"/>
    <w:basedOn w:val="DefaultParagraphFont"/>
    <w:uiPriority w:val="99"/>
    <w:semiHidden/>
    <w:unhideWhenUsed/>
    <w:rsid w:val="00173234"/>
    <w:rPr>
      <w:color w:val="605E5C"/>
      <w:shd w:val="clear" w:color="auto" w:fill="E1DFDD"/>
    </w:rPr>
  </w:style>
  <w:style w:type="paragraph" w:customStyle="1" w:styleId="91Heading2">
    <w:name w:val="9.1 Heading 2"/>
    <w:basedOn w:val="81Heading2"/>
    <w:qFormat/>
    <w:rsid w:val="00784273"/>
    <w:pPr>
      <w:numPr>
        <w:numId w:val="95"/>
      </w:numPr>
      <w:ind w:left="851" w:hanging="851"/>
    </w:pPr>
  </w:style>
  <w:style w:type="paragraph" w:customStyle="1" w:styleId="Box9XBoxHeading">
    <w:name w:val="Box 9.X: Box Heading"/>
    <w:basedOn w:val="Box8XBoxHeading"/>
    <w:qFormat/>
    <w:rsid w:val="00C35422"/>
    <w:pPr>
      <w:numPr>
        <w:numId w:val="96"/>
      </w:numPr>
      <w:ind w:left="1134" w:hanging="1134"/>
    </w:pPr>
  </w:style>
  <w:style w:type="paragraph" w:customStyle="1" w:styleId="Chart8X">
    <w:name w:val="Chart 8.X"/>
    <w:basedOn w:val="Chart7X"/>
    <w:qFormat/>
    <w:rsid w:val="00ED5F9D"/>
    <w:pPr>
      <w:numPr>
        <w:numId w:val="97"/>
      </w:numPr>
      <w:ind w:left="1418" w:hanging="1418"/>
    </w:pPr>
  </w:style>
  <w:style w:type="paragraph" w:customStyle="1" w:styleId="Chart9X">
    <w:name w:val="Chart 9.X"/>
    <w:basedOn w:val="Chart8X"/>
    <w:qFormat/>
    <w:rsid w:val="00F63597"/>
    <w:pPr>
      <w:numPr>
        <w:numId w:val="98"/>
      </w:numPr>
      <w:ind w:left="1418" w:hanging="1418"/>
    </w:pPr>
  </w:style>
  <w:style w:type="paragraph" w:customStyle="1" w:styleId="Figure9X">
    <w:name w:val="Figure 9.X"/>
    <w:basedOn w:val="Figure8X"/>
    <w:qFormat/>
    <w:rsid w:val="00ED5F9D"/>
    <w:pPr>
      <w:numPr>
        <w:numId w:val="99"/>
      </w:numPr>
      <w:ind w:left="1418" w:hanging="1418"/>
    </w:pPr>
  </w:style>
  <w:style w:type="paragraph" w:customStyle="1" w:styleId="Table9X">
    <w:name w:val="Table 9.X"/>
    <w:basedOn w:val="Table8X"/>
    <w:qFormat/>
    <w:rsid w:val="00ED5F9D"/>
    <w:pPr>
      <w:numPr>
        <w:numId w:val="100"/>
      </w:numPr>
      <w:ind w:left="1418" w:hanging="1418"/>
    </w:pPr>
  </w:style>
  <w:style w:type="table" w:customStyle="1" w:styleId="TableGrid2">
    <w:name w:val="Table Grid2"/>
    <w:basedOn w:val="TableNormal"/>
    <w:next w:val="TableGrid"/>
    <w:uiPriority w:val="39"/>
    <w:rsid w:val="00A221A8"/>
    <w:pPr>
      <w:spacing w:before="0" w:after="0"/>
      <w:ind w:left="0" w:firstLine="0"/>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221A8"/>
    <w:pPr>
      <w:spacing w:before="0" w:after="0"/>
      <w:ind w:left="0" w:firstLine="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B516F"/>
    <w:pPr>
      <w:spacing w:before="0" w:after="0"/>
      <w:ind w:left="0" w:firstLine="0"/>
    </w:pPr>
    <w:rPr>
      <w:lang w:val="en-US" w:eastAsia="en-US"/>
    </w:rPr>
  </w:style>
  <w:style w:type="character" w:styleId="Mention">
    <w:name w:val="Mention"/>
    <w:basedOn w:val="DefaultParagraphFont"/>
    <w:uiPriority w:val="99"/>
    <w:semiHidden/>
    <w:rsid w:val="00FB55DC"/>
    <w:rPr>
      <w:color w:val="2B579A"/>
      <w:shd w:val="clear" w:color="auto" w:fill="E1DFDD"/>
    </w:rPr>
  </w:style>
  <w:style w:type="table" w:customStyle="1" w:styleId="TableGrid1">
    <w:name w:val="Table Grid1"/>
    <w:basedOn w:val="TableNormal"/>
    <w:next w:val="TableGrid"/>
    <w:uiPriority w:val="39"/>
    <w:rsid w:val="00280D64"/>
    <w:pPr>
      <w:spacing w:before="0" w:after="0"/>
      <w:ind w:left="0" w:firstLine="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26C81"/>
    <w:pPr>
      <w:spacing w:before="0" w:after="0"/>
      <w:ind w:left="0" w:firstLine="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Fiscaloutlook_Overview_Charts!$A$7</c:f>
              <c:strCache>
                <c:ptCount val="1"/>
                <c:pt idx="0">
                  <c:v>Growth</c:v>
                </c:pt>
              </c:strCache>
            </c:strRef>
          </c:tx>
          <c:spPr>
            <a:solidFill>
              <a:srgbClr val="0B3F47"/>
            </a:solidFill>
            <a:ln>
              <a:solidFill>
                <a:schemeClr val="bg1"/>
              </a:solidFill>
            </a:ln>
            <a:effectLst/>
          </c:spPr>
          <c:invertIfNegative val="0"/>
          <c:cat>
            <c:strRef>
              <c:f>Fiscaloutlook_Overview_Charts!$D$4:$M$4</c:f>
              <c:strCache>
                <c:ptCount val="10"/>
                <c:pt idx="0">
                  <c:v>Jun-20</c:v>
                </c:pt>
                <c:pt idx="1">
                  <c:v>Jun-21</c:v>
                </c:pt>
                <c:pt idx="2">
                  <c:v>Jun-22</c:v>
                </c:pt>
                <c:pt idx="3">
                  <c:v>Jun-23</c:v>
                </c:pt>
                <c:pt idx="4">
                  <c:v>Jun-24</c:v>
                </c:pt>
                <c:pt idx="5">
                  <c:v>Jun-25</c:v>
                </c:pt>
                <c:pt idx="6">
                  <c:v>Jun-26</c:v>
                </c:pt>
                <c:pt idx="7">
                  <c:v>Jun-27</c:v>
                </c:pt>
                <c:pt idx="8">
                  <c:v>Jun-28</c:v>
                </c:pt>
                <c:pt idx="9">
                  <c:v>Jun-29</c:v>
                </c:pt>
              </c:strCache>
            </c:strRef>
          </c:cat>
          <c:val>
            <c:numRef>
              <c:f>Fiscaloutlook_Overview_Charts!$D$7:$M$7</c:f>
              <c:numCache>
                <c:formatCode>#,##0.0</c:formatCode>
                <c:ptCount val="10"/>
                <c:pt idx="0">
                  <c:v>87.635836058351387</c:v>
                </c:pt>
                <c:pt idx="1">
                  <c:v>25.715813853532183</c:v>
                </c:pt>
                <c:pt idx="2">
                  <c:v>18.738293630398832</c:v>
                </c:pt>
                <c:pt idx="3">
                  <c:v>22.669221583594066</c:v>
                </c:pt>
                <c:pt idx="4">
                  <c:v>16.071108464049331</c:v>
                </c:pt>
                <c:pt idx="5">
                  <c:v>7.6075434470928354</c:v>
                </c:pt>
                <c:pt idx="6">
                  <c:v>7.6761660893771015</c:v>
                </c:pt>
                <c:pt idx="7">
                  <c:v>5.3618083392435869</c:v>
                </c:pt>
                <c:pt idx="8">
                  <c:v>2.7978345281201196</c:v>
                </c:pt>
                <c:pt idx="9">
                  <c:v>3.1353943166570817</c:v>
                </c:pt>
              </c:numCache>
            </c:numRef>
          </c:val>
          <c:extLst>
            <c:ext xmlns:c16="http://schemas.microsoft.com/office/drawing/2014/chart" uri="{C3380CC4-5D6E-409C-BE32-E72D297353CC}">
              <c16:uniqueId val="{00000000-4700-4244-A6CD-66154714B197}"/>
            </c:ext>
          </c:extLst>
        </c:ser>
        <c:dLbls>
          <c:showLegendKey val="0"/>
          <c:showVal val="0"/>
          <c:showCatName val="0"/>
          <c:showSerName val="0"/>
          <c:showPercent val="0"/>
          <c:showBubbleSize val="0"/>
        </c:dLbls>
        <c:gapWidth val="150"/>
        <c:overlap val="100"/>
        <c:axId val="232007936"/>
        <c:axId val="232009728"/>
      </c:barChart>
      <c:lineChart>
        <c:grouping val="standard"/>
        <c:varyColors val="0"/>
        <c:ser>
          <c:idx val="1"/>
          <c:order val="1"/>
          <c:tx>
            <c:strRef>
              <c:f>Fiscaloutlook_Overview_Charts!$A$8</c:f>
              <c:strCache>
                <c:ptCount val="1"/>
                <c:pt idx="0">
                  <c:v>Average</c:v>
                </c:pt>
              </c:strCache>
            </c:strRef>
          </c:tx>
          <c:spPr>
            <a:ln w="19050" cap="rnd">
              <a:solidFill>
                <a:srgbClr val="2E808E"/>
              </a:solidFill>
              <a:round/>
            </a:ln>
            <a:effectLst/>
          </c:spPr>
          <c:marker>
            <c:symbol val="none"/>
          </c:marker>
          <c:dPt>
            <c:idx val="5"/>
            <c:marker>
              <c:symbol val="none"/>
            </c:marker>
            <c:bubble3D val="0"/>
            <c:spPr>
              <a:ln w="19050" cap="rnd">
                <a:noFill/>
                <a:round/>
              </a:ln>
              <a:effectLst/>
            </c:spPr>
            <c:extLst>
              <c:ext xmlns:c16="http://schemas.microsoft.com/office/drawing/2014/chart" uri="{C3380CC4-5D6E-409C-BE32-E72D297353CC}">
                <c16:uniqueId val="{00000002-4700-4244-A6CD-66154714B197}"/>
              </c:ext>
            </c:extLst>
          </c:dPt>
          <c:cat>
            <c:strRef>
              <c:f>Fiscaloutlook_Overview_Charts!$D$4:$M$4</c:f>
              <c:strCache>
                <c:ptCount val="10"/>
                <c:pt idx="0">
                  <c:v>Jun-20</c:v>
                </c:pt>
                <c:pt idx="1">
                  <c:v>Jun-21</c:v>
                </c:pt>
                <c:pt idx="2">
                  <c:v>Jun-22</c:v>
                </c:pt>
                <c:pt idx="3">
                  <c:v>Jun-23</c:v>
                </c:pt>
                <c:pt idx="4">
                  <c:v>Jun-24</c:v>
                </c:pt>
                <c:pt idx="5">
                  <c:v>Jun-25</c:v>
                </c:pt>
                <c:pt idx="6">
                  <c:v>Jun-26</c:v>
                </c:pt>
                <c:pt idx="7">
                  <c:v>Jun-27</c:v>
                </c:pt>
                <c:pt idx="8">
                  <c:v>Jun-28</c:v>
                </c:pt>
                <c:pt idx="9">
                  <c:v>Jun-29</c:v>
                </c:pt>
              </c:strCache>
            </c:strRef>
          </c:cat>
          <c:val>
            <c:numRef>
              <c:f>Fiscaloutlook_Overview_Charts!$D$8:$M$8</c:f>
              <c:numCache>
                <c:formatCode>0.0</c:formatCode>
                <c:ptCount val="10"/>
                <c:pt idx="0">
                  <c:v>34.166054717985162</c:v>
                </c:pt>
                <c:pt idx="1">
                  <c:v>34.166054717985162</c:v>
                </c:pt>
                <c:pt idx="2">
                  <c:v>34.166054717985162</c:v>
                </c:pt>
                <c:pt idx="3">
                  <c:v>34.166054717985162</c:v>
                </c:pt>
                <c:pt idx="4" formatCode="#,##0.0">
                  <c:v>34.166054717985162</c:v>
                </c:pt>
                <c:pt idx="5">
                  <c:v>5.3157493440981449</c:v>
                </c:pt>
                <c:pt idx="6">
                  <c:v>5.3157493440981449</c:v>
                </c:pt>
                <c:pt idx="7">
                  <c:v>5.3157493440981449</c:v>
                </c:pt>
                <c:pt idx="8">
                  <c:v>5.3157493440981449</c:v>
                </c:pt>
                <c:pt idx="9" formatCode="#,##0.0">
                  <c:v>5.3157493440981449</c:v>
                </c:pt>
              </c:numCache>
            </c:numRef>
          </c:val>
          <c:smooth val="0"/>
          <c:extLst>
            <c:ext xmlns:c16="http://schemas.microsoft.com/office/drawing/2014/chart" uri="{C3380CC4-5D6E-409C-BE32-E72D297353CC}">
              <c16:uniqueId val="{00000003-4700-4244-A6CD-66154714B197}"/>
            </c:ext>
          </c:extLst>
        </c:ser>
        <c:dLbls>
          <c:showLegendKey val="0"/>
          <c:showVal val="0"/>
          <c:showCatName val="0"/>
          <c:showSerName val="0"/>
          <c:showPercent val="0"/>
          <c:showBubbleSize val="0"/>
        </c:dLbls>
        <c:marker val="1"/>
        <c:smooth val="0"/>
        <c:axId val="232007936"/>
        <c:axId val="232009728"/>
      </c:lineChart>
      <c:dateAx>
        <c:axId val="232007936"/>
        <c:scaling>
          <c:orientation val="minMax"/>
          <c:max val="10"/>
          <c:min val="1"/>
        </c:scaling>
        <c:delete val="0"/>
        <c:axPos val="b"/>
        <c:numFmt formatCode="d/m/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Public Sans" pitchFamily="2" charset="0"/>
                <a:ea typeface="+mn-ea"/>
                <a:cs typeface="+mn-cs"/>
              </a:defRPr>
            </a:pPr>
            <a:endParaRPr lang="en-US"/>
          </a:p>
        </c:txPr>
        <c:crossAx val="232009728"/>
        <c:crosses val="autoZero"/>
        <c:auto val="0"/>
        <c:lblOffset val="100"/>
        <c:baseTimeUnit val="years"/>
        <c:majorUnit val="1"/>
        <c:majorTimeUnit val="years"/>
      </c:dateAx>
      <c:valAx>
        <c:axId val="232009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ysClr val="windowText" lastClr="000000"/>
                    </a:solidFill>
                    <a:latin typeface="Public Sans" pitchFamily="2" charset="0"/>
                    <a:ea typeface="+mn-ea"/>
                    <a:cs typeface="+mn-cs"/>
                  </a:defRPr>
                </a:pPr>
                <a:r>
                  <a:rPr lang="en-US"/>
                  <a:t>Per cent</a:t>
                </a:r>
              </a:p>
            </c:rich>
          </c:tx>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Public Sans" pitchFamily="2"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Public Sans" pitchFamily="2" charset="0"/>
                <a:ea typeface="+mn-ea"/>
                <a:cs typeface="+mn-cs"/>
              </a:defRPr>
            </a:pPr>
            <a:endParaRPr lang="en-US"/>
          </a:p>
        </c:txPr>
        <c:crossAx val="23200793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700">
          <a:solidFill>
            <a:sysClr val="windowText" lastClr="000000"/>
          </a:solidFill>
          <a:latin typeface="Public Sans" pitchFamily="2" charset="0"/>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'9.2 Interest to rev '!$C$6</c:f>
              <c:strCache>
                <c:ptCount val="1"/>
                <c:pt idx="0">
                  <c:v>Actual</c:v>
                </c:pt>
              </c:strCache>
            </c:strRef>
          </c:tx>
          <c:spPr>
            <a:ln w="28575" cap="rnd">
              <a:solidFill>
                <a:schemeClr val="accent1"/>
              </a:solidFill>
              <a:round/>
            </a:ln>
            <a:effectLst/>
          </c:spPr>
          <c:marker>
            <c:symbol val="none"/>
          </c:marker>
          <c:cat>
            <c:strRef>
              <c:f>'9.2 Interest to rev '!$D$5:$T$5</c:f>
              <c:strCache>
                <c:ptCount val="17"/>
                <c:pt idx="0">
                  <c:v>2012-13</c:v>
                </c:pt>
                <c:pt idx="1">
                  <c:v>2013-14</c:v>
                </c:pt>
                <c:pt idx="2">
                  <c:v>2014-15</c:v>
                </c:pt>
                <c:pt idx="3">
                  <c:v>2015-16</c:v>
                </c:pt>
                <c:pt idx="4">
                  <c:v>2016-17</c:v>
                </c:pt>
                <c:pt idx="5">
                  <c:v>2017-18</c:v>
                </c:pt>
                <c:pt idx="6">
                  <c:v>2018-19</c:v>
                </c:pt>
                <c:pt idx="7">
                  <c:v>2019-20</c:v>
                </c:pt>
                <c:pt idx="8">
                  <c:v>2020-21</c:v>
                </c:pt>
                <c:pt idx="9">
                  <c:v>2021-22</c:v>
                </c:pt>
                <c:pt idx="10">
                  <c:v>2022-23</c:v>
                </c:pt>
                <c:pt idx="11">
                  <c:v>2023-24</c:v>
                </c:pt>
                <c:pt idx="12">
                  <c:v>2024-25</c:v>
                </c:pt>
                <c:pt idx="13">
                  <c:v>2025-26</c:v>
                </c:pt>
                <c:pt idx="14">
                  <c:v>2026-27</c:v>
                </c:pt>
                <c:pt idx="15">
                  <c:v>2027-28</c:v>
                </c:pt>
                <c:pt idx="16">
                  <c:v>2028-29</c:v>
                </c:pt>
              </c:strCache>
            </c:strRef>
          </c:cat>
          <c:val>
            <c:numRef>
              <c:f>'9.2 Interest to rev '!$D$6:$T$6</c:f>
              <c:numCache>
                <c:formatCode>0.00</c:formatCode>
                <c:ptCount val="17"/>
                <c:pt idx="0">
                  <c:v>3.6920006652253501</c:v>
                </c:pt>
                <c:pt idx="1">
                  <c:v>3.4073176274524655</c:v>
                </c:pt>
                <c:pt idx="2">
                  <c:v>3.2219141876265853</c:v>
                </c:pt>
                <c:pt idx="3">
                  <c:v>2.9638276176675791</c:v>
                </c:pt>
                <c:pt idx="4">
                  <c:v>2.7502271592930545</c:v>
                </c:pt>
                <c:pt idx="5">
                  <c:v>2.2461324871082904</c:v>
                </c:pt>
                <c:pt idx="6">
                  <c:v>2.2190925234217134</c:v>
                </c:pt>
                <c:pt idx="7">
                  <c:v>2.5505252165366423</c:v>
                </c:pt>
                <c:pt idx="8">
                  <c:v>2.4998578980276247</c:v>
                </c:pt>
                <c:pt idx="9">
                  <c:v>2.4418761958139266</c:v>
                </c:pt>
                <c:pt idx="10">
                  <c:v>3.9841643034985608</c:v>
                </c:pt>
                <c:pt idx="11">
                  <c:v>5.5</c:v>
                </c:pt>
              </c:numCache>
            </c:numRef>
          </c:val>
          <c:smooth val="0"/>
          <c:extLst>
            <c:ext xmlns:c16="http://schemas.microsoft.com/office/drawing/2014/chart" uri="{C3380CC4-5D6E-409C-BE32-E72D297353CC}">
              <c16:uniqueId val="{00000000-2266-410F-B8A2-A1C156C32B3F}"/>
            </c:ext>
          </c:extLst>
        </c:ser>
        <c:ser>
          <c:idx val="1"/>
          <c:order val="1"/>
          <c:tx>
            <c:strRef>
              <c:f>'9.2 Interest to rev '!$C$7</c:f>
              <c:strCache>
                <c:ptCount val="1"/>
                <c:pt idx="0">
                  <c:v>2024-25 Half-Yearly Review</c:v>
                </c:pt>
              </c:strCache>
            </c:strRef>
          </c:tx>
          <c:spPr>
            <a:ln w="28575" cap="rnd">
              <a:solidFill>
                <a:schemeClr val="accent2"/>
              </a:solidFill>
              <a:prstDash val="sysDash"/>
              <a:round/>
            </a:ln>
            <a:effectLst/>
          </c:spPr>
          <c:marker>
            <c:symbol val="none"/>
          </c:marker>
          <c:cat>
            <c:strRef>
              <c:f>'9.2 Interest to rev '!$D$5:$T$5</c:f>
              <c:strCache>
                <c:ptCount val="17"/>
                <c:pt idx="0">
                  <c:v>2012-13</c:v>
                </c:pt>
                <c:pt idx="1">
                  <c:v>2013-14</c:v>
                </c:pt>
                <c:pt idx="2">
                  <c:v>2014-15</c:v>
                </c:pt>
                <c:pt idx="3">
                  <c:v>2015-16</c:v>
                </c:pt>
                <c:pt idx="4">
                  <c:v>2016-17</c:v>
                </c:pt>
                <c:pt idx="5">
                  <c:v>2017-18</c:v>
                </c:pt>
                <c:pt idx="6">
                  <c:v>2018-19</c:v>
                </c:pt>
                <c:pt idx="7">
                  <c:v>2019-20</c:v>
                </c:pt>
                <c:pt idx="8">
                  <c:v>2020-21</c:v>
                </c:pt>
                <c:pt idx="9">
                  <c:v>2021-22</c:v>
                </c:pt>
                <c:pt idx="10">
                  <c:v>2022-23</c:v>
                </c:pt>
                <c:pt idx="11">
                  <c:v>2023-24</c:v>
                </c:pt>
                <c:pt idx="12">
                  <c:v>2024-25</c:v>
                </c:pt>
                <c:pt idx="13">
                  <c:v>2025-26</c:v>
                </c:pt>
                <c:pt idx="14">
                  <c:v>2026-27</c:v>
                </c:pt>
                <c:pt idx="15">
                  <c:v>2027-28</c:v>
                </c:pt>
                <c:pt idx="16">
                  <c:v>2028-29</c:v>
                </c:pt>
              </c:strCache>
            </c:strRef>
          </c:cat>
          <c:val>
            <c:numRef>
              <c:f>'9.2 Interest to rev '!$D$7:$T$7</c:f>
              <c:numCache>
                <c:formatCode>General</c:formatCode>
                <c:ptCount val="17"/>
                <c:pt idx="11" formatCode="0.00">
                  <c:v>5.5</c:v>
                </c:pt>
                <c:pt idx="12" formatCode="0.00">
                  <c:v>6</c:v>
                </c:pt>
                <c:pt idx="13" formatCode="0.00">
                  <c:v>6.2</c:v>
                </c:pt>
                <c:pt idx="14" formatCode="0.00">
                  <c:v>6.5</c:v>
                </c:pt>
                <c:pt idx="15" formatCode="0.00">
                  <c:v>7.0000000000000009</c:v>
                </c:pt>
              </c:numCache>
            </c:numRef>
          </c:val>
          <c:smooth val="0"/>
          <c:extLst>
            <c:ext xmlns:c16="http://schemas.microsoft.com/office/drawing/2014/chart" uri="{C3380CC4-5D6E-409C-BE32-E72D297353CC}">
              <c16:uniqueId val="{00000001-2266-410F-B8A2-A1C156C32B3F}"/>
            </c:ext>
          </c:extLst>
        </c:ser>
        <c:ser>
          <c:idx val="2"/>
          <c:order val="2"/>
          <c:tx>
            <c:strRef>
              <c:f>'9.2 Interest to rev '!$C$8</c:f>
              <c:strCache>
                <c:ptCount val="1"/>
                <c:pt idx="0">
                  <c:v>2025-26 Budget</c:v>
                </c:pt>
              </c:strCache>
            </c:strRef>
          </c:tx>
          <c:spPr>
            <a:ln w="28575" cap="rnd">
              <a:solidFill>
                <a:schemeClr val="accent3"/>
              </a:solidFill>
              <a:prstDash val="sysDash"/>
              <a:round/>
            </a:ln>
            <a:effectLst/>
          </c:spPr>
          <c:marker>
            <c:symbol val="none"/>
          </c:marker>
          <c:cat>
            <c:strRef>
              <c:f>'9.2 Interest to rev '!$D$5:$T$5</c:f>
              <c:strCache>
                <c:ptCount val="17"/>
                <c:pt idx="0">
                  <c:v>2012-13</c:v>
                </c:pt>
                <c:pt idx="1">
                  <c:v>2013-14</c:v>
                </c:pt>
                <c:pt idx="2">
                  <c:v>2014-15</c:v>
                </c:pt>
                <c:pt idx="3">
                  <c:v>2015-16</c:v>
                </c:pt>
                <c:pt idx="4">
                  <c:v>2016-17</c:v>
                </c:pt>
                <c:pt idx="5">
                  <c:v>2017-18</c:v>
                </c:pt>
                <c:pt idx="6">
                  <c:v>2018-19</c:v>
                </c:pt>
                <c:pt idx="7">
                  <c:v>2019-20</c:v>
                </c:pt>
                <c:pt idx="8">
                  <c:v>2020-21</c:v>
                </c:pt>
                <c:pt idx="9">
                  <c:v>2021-22</c:v>
                </c:pt>
                <c:pt idx="10">
                  <c:v>2022-23</c:v>
                </c:pt>
                <c:pt idx="11">
                  <c:v>2023-24</c:v>
                </c:pt>
                <c:pt idx="12">
                  <c:v>2024-25</c:v>
                </c:pt>
                <c:pt idx="13">
                  <c:v>2025-26</c:v>
                </c:pt>
                <c:pt idx="14">
                  <c:v>2026-27</c:v>
                </c:pt>
                <c:pt idx="15">
                  <c:v>2027-28</c:v>
                </c:pt>
                <c:pt idx="16">
                  <c:v>2028-29</c:v>
                </c:pt>
              </c:strCache>
            </c:strRef>
          </c:cat>
          <c:val>
            <c:numRef>
              <c:f>'9.2 Interest to rev '!$D$8:$T$8</c:f>
              <c:numCache>
                <c:formatCode>General</c:formatCode>
                <c:ptCount val="17"/>
                <c:pt idx="12" formatCode="0.00">
                  <c:v>6</c:v>
                </c:pt>
                <c:pt idx="13" formatCode="0.00">
                  <c:v>6.2</c:v>
                </c:pt>
                <c:pt idx="14" formatCode="0.00">
                  <c:v>6.6000000000000005</c:v>
                </c:pt>
                <c:pt idx="15" formatCode="0.00">
                  <c:v>6.8000000000000007</c:v>
                </c:pt>
                <c:pt idx="16" formatCode="0.00">
                  <c:v>6.9</c:v>
                </c:pt>
              </c:numCache>
            </c:numRef>
          </c:val>
          <c:smooth val="0"/>
          <c:extLst>
            <c:ext xmlns:c16="http://schemas.microsoft.com/office/drawing/2014/chart" uri="{C3380CC4-5D6E-409C-BE32-E72D297353CC}">
              <c16:uniqueId val="{00000002-2266-410F-B8A2-A1C156C32B3F}"/>
            </c:ext>
          </c:extLst>
        </c:ser>
        <c:dLbls>
          <c:showLegendKey val="0"/>
          <c:showVal val="0"/>
          <c:showCatName val="0"/>
          <c:showSerName val="0"/>
          <c:showPercent val="0"/>
          <c:showBubbleSize val="0"/>
        </c:dLbls>
        <c:smooth val="0"/>
        <c:axId val="235566800"/>
        <c:axId val="16435184"/>
      </c:lineChart>
      <c:catAx>
        <c:axId val="235566800"/>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Public Sans" pitchFamily="2" charset="0"/>
                <a:ea typeface="+mn-ea"/>
                <a:cs typeface="+mn-cs"/>
              </a:defRPr>
            </a:pPr>
            <a:endParaRPr lang="en-US"/>
          </a:p>
        </c:txPr>
        <c:crossAx val="16435184"/>
        <c:crosses val="autoZero"/>
        <c:auto val="1"/>
        <c:lblAlgn val="ctr"/>
        <c:lblOffset val="100"/>
        <c:noMultiLvlLbl val="0"/>
      </c:catAx>
      <c:valAx>
        <c:axId val="16435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ysClr val="windowText" lastClr="000000"/>
                    </a:solidFill>
                    <a:latin typeface="Public Sans" pitchFamily="2" charset="0"/>
                    <a:ea typeface="+mn-ea"/>
                    <a:cs typeface="+mn-cs"/>
                  </a:defRPr>
                </a:pPr>
                <a:r>
                  <a:rPr lang="en-AU" sz="700" b="0" i="0" u="none" strike="noStrike" kern="1200" baseline="0">
                    <a:solidFill>
                      <a:sysClr val="windowText" lastClr="000000"/>
                    </a:solidFill>
                    <a:latin typeface="Public Sans" pitchFamily="2" charset="0"/>
                  </a:rPr>
                  <a:t>Per cent</a:t>
                </a:r>
              </a:p>
            </c:rich>
          </c:tx>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Public Sans" pitchFamily="2"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Public Sans" pitchFamily="2" charset="0"/>
                <a:ea typeface="+mn-ea"/>
                <a:cs typeface="+mn-cs"/>
              </a:defRPr>
            </a:pPr>
            <a:endParaRPr lang="en-US"/>
          </a:p>
        </c:txPr>
        <c:crossAx val="23556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solidFill>
            <a:sysClr val="windowText" lastClr="000000"/>
          </a:solidFill>
          <a:latin typeface="Public Sans" pitchFamily="2"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'9.5 OneFund returns'!$C$7</c:f>
              <c:strCache>
                <c:ptCount val="1"/>
                <c:pt idx="0">
                  <c:v>Total Returns pre-OneFund Implementation</c:v>
                </c:pt>
              </c:strCache>
            </c:strRef>
          </c:tx>
          <c:spPr>
            <a:solidFill>
              <a:srgbClr val="0B3F47"/>
            </a:solidFill>
            <a:ln>
              <a:solidFill>
                <a:schemeClr val="bg1"/>
              </a:solidFill>
            </a:ln>
            <a:effectLst/>
          </c:spPr>
          <c:invertIfNegative val="0"/>
          <c:cat>
            <c:strRef>
              <c:f>'9.5 OneFund returns'!$D$6:$G$6</c:f>
              <c:strCache>
                <c:ptCount val="4"/>
                <c:pt idx="0">
                  <c:v>2025-26</c:v>
                </c:pt>
                <c:pt idx="1">
                  <c:v>2026-27</c:v>
                </c:pt>
                <c:pt idx="2">
                  <c:v>2027-28</c:v>
                </c:pt>
                <c:pt idx="3">
                  <c:v>2028-29</c:v>
                </c:pt>
              </c:strCache>
              <c:extLst/>
            </c:strRef>
          </c:cat>
          <c:val>
            <c:numRef>
              <c:f>'9.5 OneFund returns'!$D$7:$G$7</c:f>
              <c:numCache>
                <c:formatCode>General</c:formatCode>
                <c:ptCount val="4"/>
                <c:pt idx="0">
                  <c:v>3.7</c:v>
                </c:pt>
                <c:pt idx="1">
                  <c:v>3.9</c:v>
                </c:pt>
                <c:pt idx="2">
                  <c:v>4.0999999999999996</c:v>
                </c:pt>
                <c:pt idx="3">
                  <c:v>4.3</c:v>
                </c:pt>
              </c:numCache>
              <c:extLst/>
            </c:numRef>
          </c:val>
          <c:extLst>
            <c:ext xmlns:c16="http://schemas.microsoft.com/office/drawing/2014/chart" uri="{C3380CC4-5D6E-409C-BE32-E72D297353CC}">
              <c16:uniqueId val="{00000000-090F-4A77-A20C-D70A2FCEDDD6}"/>
            </c:ext>
          </c:extLst>
        </c:ser>
        <c:ser>
          <c:idx val="1"/>
          <c:order val="1"/>
          <c:tx>
            <c:strRef>
              <c:f>'9.5 OneFund returns'!$C$8</c:f>
              <c:strCache>
                <c:ptCount val="1"/>
                <c:pt idx="0">
                  <c:v>Total Returns post-OneFund Implementation</c:v>
                </c:pt>
              </c:strCache>
            </c:strRef>
          </c:tx>
          <c:spPr>
            <a:solidFill>
              <a:schemeClr val="accent2"/>
            </a:solidFill>
            <a:ln>
              <a:solidFill>
                <a:schemeClr val="bg1"/>
              </a:solidFill>
            </a:ln>
            <a:effectLst/>
          </c:spPr>
          <c:invertIfNegative val="0"/>
          <c:cat>
            <c:strRef>
              <c:f>'9.5 OneFund returns'!$D$6:$G$6</c:f>
              <c:strCache>
                <c:ptCount val="4"/>
                <c:pt idx="0">
                  <c:v>2025-26</c:v>
                </c:pt>
                <c:pt idx="1">
                  <c:v>2026-27</c:v>
                </c:pt>
                <c:pt idx="2">
                  <c:v>2027-28</c:v>
                </c:pt>
                <c:pt idx="3">
                  <c:v>2028-29</c:v>
                </c:pt>
              </c:strCache>
              <c:extLst/>
            </c:strRef>
          </c:cat>
          <c:val>
            <c:numRef>
              <c:f>'9.5 OneFund returns'!$D$8:$G$8</c:f>
              <c:numCache>
                <c:formatCode>General</c:formatCode>
                <c:ptCount val="4"/>
                <c:pt idx="0">
                  <c:v>4.7</c:v>
                </c:pt>
                <c:pt idx="1">
                  <c:v>5.0999999999999996</c:v>
                </c:pt>
                <c:pt idx="2">
                  <c:v>5.5</c:v>
                </c:pt>
                <c:pt idx="3">
                  <c:v>5.9</c:v>
                </c:pt>
              </c:numCache>
              <c:extLst/>
            </c:numRef>
          </c:val>
          <c:extLst>
            <c:ext xmlns:c16="http://schemas.microsoft.com/office/drawing/2014/chart" uri="{C3380CC4-5D6E-409C-BE32-E72D297353CC}">
              <c16:uniqueId val="{00000001-090F-4A77-A20C-D70A2FCEDDD6}"/>
            </c:ext>
          </c:extLst>
        </c:ser>
        <c:dLbls>
          <c:showLegendKey val="0"/>
          <c:showVal val="0"/>
          <c:showCatName val="0"/>
          <c:showSerName val="0"/>
          <c:showPercent val="0"/>
          <c:showBubbleSize val="0"/>
        </c:dLbls>
        <c:gapWidth val="100"/>
        <c:axId val="235566800"/>
        <c:axId val="16435184"/>
      </c:barChart>
      <c:catAx>
        <c:axId val="235566800"/>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Public Sans" pitchFamily="2" charset="0"/>
                <a:ea typeface="+mn-ea"/>
                <a:cs typeface="+mn-cs"/>
              </a:defRPr>
            </a:pPr>
            <a:endParaRPr lang="en-US"/>
          </a:p>
        </c:txPr>
        <c:crossAx val="16435184"/>
        <c:crosses val="autoZero"/>
        <c:auto val="0"/>
        <c:lblAlgn val="ctr"/>
        <c:lblOffset val="100"/>
        <c:noMultiLvlLbl val="0"/>
      </c:catAx>
      <c:valAx>
        <c:axId val="16435184"/>
        <c:scaling>
          <c:orientation val="minMax"/>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ysClr val="windowText" lastClr="000000"/>
                    </a:solidFill>
                    <a:latin typeface="Public Sans" pitchFamily="2" charset="0"/>
                    <a:ea typeface="+mn-ea"/>
                    <a:cs typeface="+mn-cs"/>
                  </a:defRPr>
                </a:pPr>
                <a:r>
                  <a:rPr lang="en-AU"/>
                  <a:t>$ billions</a:t>
                </a:r>
              </a:p>
            </c:rich>
          </c:tx>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Public Sans" pitchFamily="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Public Sans" pitchFamily="2" charset="0"/>
                <a:ea typeface="+mn-ea"/>
                <a:cs typeface="+mn-cs"/>
              </a:defRPr>
            </a:pPr>
            <a:endParaRPr lang="en-US"/>
          </a:p>
        </c:txPr>
        <c:crossAx val="23556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solidFill>
            <a:sysClr val="windowText" lastClr="000000"/>
          </a:solidFill>
          <a:latin typeface="Public Sans" pitchFamily="2"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929776447476062E-2"/>
          <c:y val="5.8890729663306905E-2"/>
          <c:w val="0.90132570582449889"/>
          <c:h val="0.60612598484944291"/>
        </c:manualLayout>
      </c:layout>
      <c:barChart>
        <c:barDir val="col"/>
        <c:grouping val="stacked"/>
        <c:varyColors val="0"/>
        <c:ser>
          <c:idx val="0"/>
          <c:order val="0"/>
          <c:tx>
            <c:strRef>
              <c:f>'9.8 Sustainable bonds'!$A$3</c:f>
              <c:strCache>
                <c:ptCount val="1"/>
                <c:pt idx="0">
                  <c:v>Newcastle Light Rail</c:v>
                </c:pt>
              </c:strCache>
            </c:strRef>
          </c:tx>
          <c:spPr>
            <a:solidFill>
              <a:srgbClr val="0B3F47"/>
            </a:solidFill>
            <a:ln w="6350">
              <a:solidFill>
                <a:srgbClr val="FFFFFF"/>
              </a:solidFill>
            </a:ln>
            <a:effectLst/>
          </c:spPr>
          <c:invertIfNegative val="0"/>
          <c:cat>
            <c:strRef>
              <c:f>'9.8 Sustainable bonds'!$D$2:$G$2</c:f>
              <c:strCache>
                <c:ptCount val="4"/>
                <c:pt idx="0">
                  <c:v>Nov-28 Green</c:v>
                </c:pt>
                <c:pt idx="1">
                  <c:v>Nov-30 Green</c:v>
                </c:pt>
                <c:pt idx="2">
                  <c:v>Nov-32 Sustainability</c:v>
                </c:pt>
                <c:pt idx="3">
                  <c:v>Sep-35 Sustainability</c:v>
                </c:pt>
              </c:strCache>
            </c:strRef>
          </c:cat>
          <c:val>
            <c:numRef>
              <c:f>'9.8 Sustainable bonds'!$D$3:$G$3</c:f>
              <c:numCache>
                <c:formatCode>0</c:formatCode>
                <c:ptCount val="4"/>
                <c:pt idx="0">
                  <c:v>100000000</c:v>
                </c:pt>
                <c:pt idx="1">
                  <c:v>140000000</c:v>
                </c:pt>
                <c:pt idx="2">
                  <c:v>0</c:v>
                </c:pt>
                <c:pt idx="3">
                  <c:v>0</c:v>
                </c:pt>
              </c:numCache>
            </c:numRef>
          </c:val>
          <c:extLst>
            <c:ext xmlns:c16="http://schemas.microsoft.com/office/drawing/2014/chart" uri="{C3380CC4-5D6E-409C-BE32-E72D297353CC}">
              <c16:uniqueId val="{00000000-8D77-4B95-9E3F-51FA3C881170}"/>
            </c:ext>
          </c:extLst>
        </c:ser>
        <c:ser>
          <c:idx val="1"/>
          <c:order val="1"/>
          <c:tx>
            <c:strRef>
              <c:f>'9.8 Sustainable bonds'!$A$4</c:f>
              <c:strCache>
                <c:ptCount val="1"/>
                <c:pt idx="0">
                  <c:v>Sydney Metro Northwest</c:v>
                </c:pt>
              </c:strCache>
            </c:strRef>
          </c:tx>
          <c:spPr>
            <a:solidFill>
              <a:srgbClr val="2E808E"/>
            </a:solidFill>
            <a:ln w="6350">
              <a:solidFill>
                <a:srgbClr val="FFFFFF"/>
              </a:solidFill>
            </a:ln>
            <a:effectLst/>
          </c:spPr>
          <c:invertIfNegative val="0"/>
          <c:cat>
            <c:strRef>
              <c:f>'9.8 Sustainable bonds'!$D$2:$G$2</c:f>
              <c:strCache>
                <c:ptCount val="4"/>
                <c:pt idx="0">
                  <c:v>Nov-28 Green</c:v>
                </c:pt>
                <c:pt idx="1">
                  <c:v>Nov-30 Green</c:v>
                </c:pt>
                <c:pt idx="2">
                  <c:v>Nov-32 Sustainability</c:v>
                </c:pt>
                <c:pt idx="3">
                  <c:v>Sep-35 Sustainability</c:v>
                </c:pt>
              </c:strCache>
            </c:strRef>
          </c:cat>
          <c:val>
            <c:numRef>
              <c:f>'9.8 Sustainable bonds'!$D$4:$G$4</c:f>
              <c:numCache>
                <c:formatCode>0</c:formatCode>
                <c:ptCount val="4"/>
                <c:pt idx="0">
                  <c:v>1574108000</c:v>
                </c:pt>
                <c:pt idx="1">
                  <c:v>2182808200</c:v>
                </c:pt>
                <c:pt idx="2">
                  <c:v>549875900</c:v>
                </c:pt>
                <c:pt idx="3">
                  <c:v>0</c:v>
                </c:pt>
              </c:numCache>
            </c:numRef>
          </c:val>
          <c:extLst>
            <c:ext xmlns:c16="http://schemas.microsoft.com/office/drawing/2014/chart" uri="{C3380CC4-5D6E-409C-BE32-E72D297353CC}">
              <c16:uniqueId val="{00000001-8D77-4B95-9E3F-51FA3C881170}"/>
            </c:ext>
          </c:extLst>
        </c:ser>
        <c:ser>
          <c:idx val="2"/>
          <c:order val="2"/>
          <c:tx>
            <c:strRef>
              <c:f>'9.8 Sustainable bonds'!$A$5</c:f>
              <c:strCache>
                <c:ptCount val="1"/>
                <c:pt idx="0">
                  <c:v>Lower South Creek Treatment Program</c:v>
                </c:pt>
              </c:strCache>
            </c:strRef>
          </c:tx>
          <c:spPr>
            <a:solidFill>
              <a:srgbClr val="F3631B"/>
            </a:solidFill>
            <a:ln w="6350">
              <a:solidFill>
                <a:srgbClr val="FFFFFF"/>
              </a:solidFill>
            </a:ln>
            <a:effectLst/>
          </c:spPr>
          <c:invertIfNegative val="0"/>
          <c:cat>
            <c:strRef>
              <c:f>'9.8 Sustainable bonds'!$D$2:$G$2</c:f>
              <c:strCache>
                <c:ptCount val="4"/>
                <c:pt idx="0">
                  <c:v>Nov-28 Green</c:v>
                </c:pt>
                <c:pt idx="1">
                  <c:v>Nov-30 Green</c:v>
                </c:pt>
                <c:pt idx="2">
                  <c:v>Nov-32 Sustainability</c:v>
                </c:pt>
                <c:pt idx="3">
                  <c:v>Sep-35 Sustainability</c:v>
                </c:pt>
              </c:strCache>
            </c:strRef>
          </c:cat>
          <c:val>
            <c:numRef>
              <c:f>'9.8 Sustainable bonds'!$D$5:$G$5</c:f>
              <c:numCache>
                <c:formatCode>0</c:formatCode>
                <c:ptCount val="4"/>
                <c:pt idx="0">
                  <c:v>90000000</c:v>
                </c:pt>
                <c:pt idx="1">
                  <c:v>254000000</c:v>
                </c:pt>
                <c:pt idx="2">
                  <c:v>0</c:v>
                </c:pt>
                <c:pt idx="3">
                  <c:v>0</c:v>
                </c:pt>
              </c:numCache>
            </c:numRef>
          </c:val>
          <c:extLst>
            <c:ext xmlns:c16="http://schemas.microsoft.com/office/drawing/2014/chart" uri="{C3380CC4-5D6E-409C-BE32-E72D297353CC}">
              <c16:uniqueId val="{00000002-8D77-4B95-9E3F-51FA3C881170}"/>
            </c:ext>
          </c:extLst>
        </c:ser>
        <c:ser>
          <c:idx val="3"/>
          <c:order val="3"/>
          <c:tx>
            <c:strRef>
              <c:f>'9.8 Sustainable bonds'!$A$6</c:f>
              <c:strCache>
                <c:ptCount val="1"/>
                <c:pt idx="0">
                  <c:v>Transport Access Program - Tranche 3</c:v>
                </c:pt>
              </c:strCache>
            </c:strRef>
          </c:tx>
          <c:spPr>
            <a:solidFill>
              <a:schemeClr val="accent4"/>
            </a:solidFill>
            <a:ln w="6350">
              <a:solidFill>
                <a:srgbClr val="FFFFFF"/>
              </a:solidFill>
            </a:ln>
            <a:effectLst/>
          </c:spPr>
          <c:invertIfNegative val="0"/>
          <c:cat>
            <c:strRef>
              <c:f>'9.8 Sustainable bonds'!$D$2:$G$2</c:f>
              <c:strCache>
                <c:ptCount val="4"/>
                <c:pt idx="0">
                  <c:v>Nov-28 Green</c:v>
                </c:pt>
                <c:pt idx="1">
                  <c:v>Nov-30 Green</c:v>
                </c:pt>
                <c:pt idx="2">
                  <c:v>Nov-32 Sustainability</c:v>
                </c:pt>
                <c:pt idx="3">
                  <c:v>Sep-35 Sustainability</c:v>
                </c:pt>
              </c:strCache>
            </c:strRef>
          </c:cat>
          <c:val>
            <c:numRef>
              <c:f>'9.8 Sustainable bonds'!$D$6:$G$6</c:f>
              <c:numCache>
                <c:formatCode>0</c:formatCode>
                <c:ptCount val="4"/>
                <c:pt idx="0">
                  <c:v>0</c:v>
                </c:pt>
                <c:pt idx="1">
                  <c:v>0</c:v>
                </c:pt>
                <c:pt idx="2">
                  <c:v>441770508</c:v>
                </c:pt>
                <c:pt idx="3">
                  <c:v>226479079</c:v>
                </c:pt>
              </c:numCache>
            </c:numRef>
          </c:val>
          <c:extLst>
            <c:ext xmlns:c16="http://schemas.microsoft.com/office/drawing/2014/chart" uri="{C3380CC4-5D6E-409C-BE32-E72D297353CC}">
              <c16:uniqueId val="{00000003-8D77-4B95-9E3F-51FA3C881170}"/>
            </c:ext>
          </c:extLst>
        </c:ser>
        <c:ser>
          <c:idx val="4"/>
          <c:order val="4"/>
          <c:tx>
            <c:strRef>
              <c:f>'9.8 Sustainable bonds'!$A$7</c:f>
              <c:strCache>
                <c:ptCount val="1"/>
                <c:pt idx="0">
                  <c:v>Public School Infrastructure</c:v>
                </c:pt>
              </c:strCache>
            </c:strRef>
          </c:tx>
          <c:spPr>
            <a:solidFill>
              <a:schemeClr val="accent5"/>
            </a:solidFill>
            <a:ln w="6350">
              <a:solidFill>
                <a:srgbClr val="FFFFFF"/>
              </a:solidFill>
            </a:ln>
            <a:effectLst/>
          </c:spPr>
          <c:invertIfNegative val="0"/>
          <c:cat>
            <c:strRef>
              <c:f>'9.8 Sustainable bonds'!$D$2:$G$2</c:f>
              <c:strCache>
                <c:ptCount val="4"/>
                <c:pt idx="0">
                  <c:v>Nov-28 Green</c:v>
                </c:pt>
                <c:pt idx="1">
                  <c:v>Nov-30 Green</c:v>
                </c:pt>
                <c:pt idx="2">
                  <c:v>Nov-32 Sustainability</c:v>
                </c:pt>
                <c:pt idx="3">
                  <c:v>Sep-35 Sustainability</c:v>
                </c:pt>
              </c:strCache>
            </c:strRef>
          </c:cat>
          <c:val>
            <c:numRef>
              <c:f>'9.8 Sustainable bonds'!$D$7:$G$7</c:f>
              <c:numCache>
                <c:formatCode>0</c:formatCode>
                <c:ptCount val="4"/>
                <c:pt idx="0">
                  <c:v>0</c:v>
                </c:pt>
                <c:pt idx="1">
                  <c:v>0</c:v>
                </c:pt>
                <c:pt idx="2">
                  <c:v>685012492</c:v>
                </c:pt>
                <c:pt idx="3">
                  <c:v>85628323</c:v>
                </c:pt>
              </c:numCache>
            </c:numRef>
          </c:val>
          <c:extLst>
            <c:ext xmlns:c16="http://schemas.microsoft.com/office/drawing/2014/chart" uri="{C3380CC4-5D6E-409C-BE32-E72D297353CC}">
              <c16:uniqueId val="{00000004-8D77-4B95-9E3F-51FA3C881170}"/>
            </c:ext>
          </c:extLst>
        </c:ser>
        <c:ser>
          <c:idx val="5"/>
          <c:order val="5"/>
          <c:tx>
            <c:strRef>
              <c:f>'9.8 Sustainable bonds'!$A$8</c:f>
              <c:strCache>
                <c:ptCount val="1"/>
                <c:pt idx="0">
                  <c:v>National Parks Visitor Infrastructure</c:v>
                </c:pt>
              </c:strCache>
            </c:strRef>
          </c:tx>
          <c:spPr>
            <a:solidFill>
              <a:schemeClr val="accent6"/>
            </a:solidFill>
            <a:ln w="6350">
              <a:solidFill>
                <a:srgbClr val="FFFFFF"/>
              </a:solidFill>
            </a:ln>
            <a:effectLst/>
          </c:spPr>
          <c:invertIfNegative val="0"/>
          <c:cat>
            <c:strRef>
              <c:f>'9.8 Sustainable bonds'!$D$2:$G$2</c:f>
              <c:strCache>
                <c:ptCount val="4"/>
                <c:pt idx="0">
                  <c:v>Nov-28 Green</c:v>
                </c:pt>
                <c:pt idx="1">
                  <c:v>Nov-30 Green</c:v>
                </c:pt>
                <c:pt idx="2">
                  <c:v>Nov-32 Sustainability</c:v>
                </c:pt>
                <c:pt idx="3">
                  <c:v>Sep-35 Sustainability</c:v>
                </c:pt>
              </c:strCache>
            </c:strRef>
          </c:cat>
          <c:val>
            <c:numRef>
              <c:f>'9.8 Sustainable bonds'!$D$8:$G$8</c:f>
              <c:numCache>
                <c:formatCode>0</c:formatCode>
                <c:ptCount val="4"/>
                <c:pt idx="0">
                  <c:v>0</c:v>
                </c:pt>
                <c:pt idx="1">
                  <c:v>0</c:v>
                </c:pt>
                <c:pt idx="2">
                  <c:v>86217000</c:v>
                </c:pt>
                <c:pt idx="3">
                  <c:v>39934000</c:v>
                </c:pt>
              </c:numCache>
            </c:numRef>
          </c:val>
          <c:extLst>
            <c:ext xmlns:c16="http://schemas.microsoft.com/office/drawing/2014/chart" uri="{C3380CC4-5D6E-409C-BE32-E72D297353CC}">
              <c16:uniqueId val="{00000005-8D77-4B95-9E3F-51FA3C881170}"/>
            </c:ext>
          </c:extLst>
        </c:ser>
        <c:ser>
          <c:idx val="6"/>
          <c:order val="6"/>
          <c:tx>
            <c:strRef>
              <c:f>'9.8 Sustainable bonds'!$A$9</c:f>
              <c:strCache>
                <c:ptCount val="1"/>
                <c:pt idx="0">
                  <c:v>Social Housing Maintenance Stimulus Program</c:v>
                </c:pt>
              </c:strCache>
            </c:strRef>
          </c:tx>
          <c:spPr>
            <a:solidFill>
              <a:srgbClr val="22272B"/>
            </a:solidFill>
            <a:ln w="6350">
              <a:solidFill>
                <a:srgbClr val="FFFFFF"/>
              </a:solidFill>
            </a:ln>
            <a:effectLst/>
          </c:spPr>
          <c:invertIfNegative val="0"/>
          <c:cat>
            <c:strRef>
              <c:f>'9.8 Sustainable bonds'!$D$2:$G$2</c:f>
              <c:strCache>
                <c:ptCount val="4"/>
                <c:pt idx="0">
                  <c:v>Nov-28 Green</c:v>
                </c:pt>
                <c:pt idx="1">
                  <c:v>Nov-30 Green</c:v>
                </c:pt>
                <c:pt idx="2">
                  <c:v>Nov-32 Sustainability</c:v>
                </c:pt>
                <c:pt idx="3">
                  <c:v>Sep-35 Sustainability</c:v>
                </c:pt>
              </c:strCache>
            </c:strRef>
          </c:cat>
          <c:val>
            <c:numRef>
              <c:f>'9.8 Sustainable bonds'!$D$9:$G$9</c:f>
              <c:numCache>
                <c:formatCode>0</c:formatCode>
                <c:ptCount val="4"/>
                <c:pt idx="0">
                  <c:v>0</c:v>
                </c:pt>
                <c:pt idx="1">
                  <c:v>0</c:v>
                </c:pt>
                <c:pt idx="2">
                  <c:v>247000000</c:v>
                </c:pt>
                <c:pt idx="3">
                  <c:v>0</c:v>
                </c:pt>
              </c:numCache>
            </c:numRef>
          </c:val>
          <c:extLst>
            <c:ext xmlns:c16="http://schemas.microsoft.com/office/drawing/2014/chart" uri="{C3380CC4-5D6E-409C-BE32-E72D297353CC}">
              <c16:uniqueId val="{00000006-8D77-4B95-9E3F-51FA3C881170}"/>
            </c:ext>
          </c:extLst>
        </c:ser>
        <c:ser>
          <c:idx val="7"/>
          <c:order val="7"/>
          <c:tx>
            <c:strRef>
              <c:f>'9.8 Sustainable bonds'!$A$10</c:f>
              <c:strCache>
                <c:ptCount val="1"/>
                <c:pt idx="0">
                  <c:v>Waterway Naturalisation and Stormwater Improvement - Tranche 2</c:v>
                </c:pt>
              </c:strCache>
            </c:strRef>
          </c:tx>
          <c:spPr>
            <a:solidFill>
              <a:srgbClr val="495054"/>
            </a:solidFill>
            <a:ln w="6350">
              <a:solidFill>
                <a:srgbClr val="FFFFFF"/>
              </a:solidFill>
            </a:ln>
            <a:effectLst/>
          </c:spPr>
          <c:invertIfNegative val="0"/>
          <c:cat>
            <c:strRef>
              <c:f>'9.8 Sustainable bonds'!$D$2:$G$2</c:f>
              <c:strCache>
                <c:ptCount val="4"/>
                <c:pt idx="0">
                  <c:v>Nov-28 Green</c:v>
                </c:pt>
                <c:pt idx="1">
                  <c:v>Nov-30 Green</c:v>
                </c:pt>
                <c:pt idx="2">
                  <c:v>Nov-32 Sustainability</c:v>
                </c:pt>
                <c:pt idx="3">
                  <c:v>Sep-35 Sustainability</c:v>
                </c:pt>
              </c:strCache>
            </c:strRef>
          </c:cat>
          <c:val>
            <c:numRef>
              <c:f>'9.8 Sustainable bonds'!$D$10:$G$10</c:f>
              <c:numCache>
                <c:formatCode>0</c:formatCode>
                <c:ptCount val="4"/>
                <c:pt idx="0">
                  <c:v>0</c:v>
                </c:pt>
                <c:pt idx="1">
                  <c:v>0</c:v>
                </c:pt>
                <c:pt idx="2">
                  <c:v>30300000</c:v>
                </c:pt>
                <c:pt idx="3">
                  <c:v>21522351</c:v>
                </c:pt>
              </c:numCache>
            </c:numRef>
          </c:val>
          <c:extLst>
            <c:ext xmlns:c16="http://schemas.microsoft.com/office/drawing/2014/chart" uri="{C3380CC4-5D6E-409C-BE32-E72D297353CC}">
              <c16:uniqueId val="{00000007-8D77-4B95-9E3F-51FA3C881170}"/>
            </c:ext>
          </c:extLst>
        </c:ser>
        <c:ser>
          <c:idx val="8"/>
          <c:order val="8"/>
          <c:tx>
            <c:strRef>
              <c:f>'9.8 Sustainable bonds'!$A$11</c:f>
              <c:strCache>
                <c:ptCount val="1"/>
                <c:pt idx="0">
                  <c:v>CBD and South East Light Rail</c:v>
                </c:pt>
              </c:strCache>
            </c:strRef>
          </c:tx>
          <c:spPr>
            <a:solidFill>
              <a:srgbClr val="BFBFBF"/>
            </a:solidFill>
            <a:ln w="6350">
              <a:solidFill>
                <a:srgbClr val="FFFFFF"/>
              </a:solidFill>
            </a:ln>
            <a:effectLst/>
          </c:spPr>
          <c:invertIfNegative val="0"/>
          <c:cat>
            <c:strRef>
              <c:f>'9.8 Sustainable bonds'!$D$2:$G$2</c:f>
              <c:strCache>
                <c:ptCount val="4"/>
                <c:pt idx="0">
                  <c:v>Nov-28 Green</c:v>
                </c:pt>
                <c:pt idx="1">
                  <c:v>Nov-30 Green</c:v>
                </c:pt>
                <c:pt idx="2">
                  <c:v>Nov-32 Sustainability</c:v>
                </c:pt>
                <c:pt idx="3">
                  <c:v>Sep-35 Sustainability</c:v>
                </c:pt>
              </c:strCache>
            </c:strRef>
          </c:cat>
          <c:val>
            <c:numRef>
              <c:f>'9.8 Sustainable bonds'!$D$11:$G$11</c:f>
              <c:numCache>
                <c:formatCode>0</c:formatCode>
                <c:ptCount val="4"/>
                <c:pt idx="0">
                  <c:v>0</c:v>
                </c:pt>
                <c:pt idx="1">
                  <c:v>0</c:v>
                </c:pt>
                <c:pt idx="2">
                  <c:v>800342486</c:v>
                </c:pt>
                <c:pt idx="3">
                  <c:v>0</c:v>
                </c:pt>
              </c:numCache>
            </c:numRef>
          </c:val>
          <c:extLst>
            <c:ext xmlns:c16="http://schemas.microsoft.com/office/drawing/2014/chart" uri="{C3380CC4-5D6E-409C-BE32-E72D297353CC}">
              <c16:uniqueId val="{00000008-8D77-4B95-9E3F-51FA3C881170}"/>
            </c:ext>
          </c:extLst>
        </c:ser>
        <c:ser>
          <c:idx val="9"/>
          <c:order val="9"/>
          <c:tx>
            <c:strRef>
              <c:f>'9.8 Sustainable bonds'!$A$12</c:f>
              <c:strCache>
                <c:ptCount val="1"/>
                <c:pt idx="0">
                  <c:v>Parramatta Light Rail</c:v>
                </c:pt>
              </c:strCache>
            </c:strRef>
          </c:tx>
          <c:spPr>
            <a:solidFill>
              <a:srgbClr val="CDD3D6"/>
            </a:solidFill>
            <a:ln w="6350">
              <a:solidFill>
                <a:srgbClr val="FFFFFF"/>
              </a:solidFill>
            </a:ln>
            <a:effectLst/>
          </c:spPr>
          <c:invertIfNegative val="0"/>
          <c:cat>
            <c:strRef>
              <c:f>'9.8 Sustainable bonds'!$D$2:$G$2</c:f>
              <c:strCache>
                <c:ptCount val="4"/>
                <c:pt idx="0">
                  <c:v>Nov-28 Green</c:v>
                </c:pt>
                <c:pt idx="1">
                  <c:v>Nov-30 Green</c:v>
                </c:pt>
                <c:pt idx="2">
                  <c:v>Nov-32 Sustainability</c:v>
                </c:pt>
                <c:pt idx="3">
                  <c:v>Sep-35 Sustainability</c:v>
                </c:pt>
              </c:strCache>
            </c:strRef>
          </c:cat>
          <c:val>
            <c:numRef>
              <c:f>'9.8 Sustainable bonds'!$D$12:$G$12</c:f>
              <c:numCache>
                <c:formatCode>0</c:formatCode>
                <c:ptCount val="4"/>
                <c:pt idx="0">
                  <c:v>0</c:v>
                </c:pt>
                <c:pt idx="1">
                  <c:v>0</c:v>
                </c:pt>
                <c:pt idx="2">
                  <c:v>254357514</c:v>
                </c:pt>
                <c:pt idx="3">
                  <c:v>838992807</c:v>
                </c:pt>
              </c:numCache>
            </c:numRef>
          </c:val>
          <c:extLst>
            <c:ext xmlns:c16="http://schemas.microsoft.com/office/drawing/2014/chart" uri="{C3380CC4-5D6E-409C-BE32-E72D297353CC}">
              <c16:uniqueId val="{00000009-8D77-4B95-9E3F-51FA3C881170}"/>
            </c:ext>
          </c:extLst>
        </c:ser>
        <c:ser>
          <c:idx val="11"/>
          <c:order val="10"/>
          <c:tx>
            <c:strRef>
              <c:f>'9.8 Sustainable bonds'!$A$13</c:f>
              <c:strCache>
                <c:ptCount val="1"/>
                <c:pt idx="0">
                  <c:v>Critical Communications Enhancement Program</c:v>
                </c:pt>
              </c:strCache>
            </c:strRef>
          </c:tx>
          <c:spPr>
            <a:solidFill>
              <a:srgbClr val="EBEBEB"/>
            </a:solidFill>
            <a:ln w="6350">
              <a:solidFill>
                <a:srgbClr val="FFFFFF"/>
              </a:solidFill>
            </a:ln>
            <a:effectLst/>
          </c:spPr>
          <c:invertIfNegative val="0"/>
          <c:cat>
            <c:strRef>
              <c:f>'9.8 Sustainable bonds'!$D$2:$G$2</c:f>
              <c:strCache>
                <c:ptCount val="4"/>
                <c:pt idx="0">
                  <c:v>Nov-28 Green</c:v>
                </c:pt>
                <c:pt idx="1">
                  <c:v>Nov-30 Green</c:v>
                </c:pt>
                <c:pt idx="2">
                  <c:v>Nov-32 Sustainability</c:v>
                </c:pt>
                <c:pt idx="3">
                  <c:v>Sep-35 Sustainability</c:v>
                </c:pt>
              </c:strCache>
            </c:strRef>
          </c:cat>
          <c:val>
            <c:numRef>
              <c:f>'9.8 Sustainable bonds'!$D$13:$G$13</c:f>
              <c:numCache>
                <c:formatCode>0</c:formatCode>
                <c:ptCount val="4"/>
                <c:pt idx="0">
                  <c:v>0</c:v>
                </c:pt>
                <c:pt idx="1">
                  <c:v>0</c:v>
                </c:pt>
                <c:pt idx="2">
                  <c:v>300000000</c:v>
                </c:pt>
                <c:pt idx="3">
                  <c:v>437857000</c:v>
                </c:pt>
              </c:numCache>
            </c:numRef>
          </c:val>
          <c:extLst>
            <c:ext xmlns:c16="http://schemas.microsoft.com/office/drawing/2014/chart" uri="{C3380CC4-5D6E-409C-BE32-E72D297353CC}">
              <c16:uniqueId val="{0000000A-8D77-4B95-9E3F-51FA3C881170}"/>
            </c:ext>
          </c:extLst>
        </c:ser>
        <c:ser>
          <c:idx val="12"/>
          <c:order val="11"/>
          <c:tx>
            <c:strRef>
              <c:f>'9.8 Sustainable bonds'!$A$14</c:f>
              <c:strCache>
                <c:ptCount val="1"/>
                <c:pt idx="0">
                  <c:v>Aboriginal Housing Office Stimulus 2022 Program</c:v>
                </c:pt>
              </c:strCache>
            </c:strRef>
          </c:tx>
          <c:spPr>
            <a:solidFill>
              <a:srgbClr val="0B3F47">
                <a:alpha val="50196"/>
              </a:srgbClr>
            </a:solidFill>
            <a:ln w="6350">
              <a:solidFill>
                <a:srgbClr val="FFFFFF"/>
              </a:solidFill>
            </a:ln>
            <a:effectLst/>
          </c:spPr>
          <c:invertIfNegative val="0"/>
          <c:cat>
            <c:strRef>
              <c:f>'9.8 Sustainable bonds'!$D$2:$G$2</c:f>
              <c:strCache>
                <c:ptCount val="4"/>
                <c:pt idx="0">
                  <c:v>Nov-28 Green</c:v>
                </c:pt>
                <c:pt idx="1">
                  <c:v>Nov-30 Green</c:v>
                </c:pt>
                <c:pt idx="2">
                  <c:v>Nov-32 Sustainability</c:v>
                </c:pt>
                <c:pt idx="3">
                  <c:v>Sep-35 Sustainability</c:v>
                </c:pt>
              </c:strCache>
            </c:strRef>
          </c:cat>
          <c:val>
            <c:numRef>
              <c:f>'9.8 Sustainable bonds'!$D$14:$G$14</c:f>
              <c:numCache>
                <c:formatCode>0</c:formatCode>
                <c:ptCount val="4"/>
                <c:pt idx="0">
                  <c:v>0</c:v>
                </c:pt>
                <c:pt idx="1">
                  <c:v>0</c:v>
                </c:pt>
                <c:pt idx="2">
                  <c:v>0</c:v>
                </c:pt>
                <c:pt idx="3">
                  <c:v>182733000</c:v>
                </c:pt>
              </c:numCache>
            </c:numRef>
          </c:val>
          <c:extLst>
            <c:ext xmlns:c16="http://schemas.microsoft.com/office/drawing/2014/chart" uri="{C3380CC4-5D6E-409C-BE32-E72D297353CC}">
              <c16:uniqueId val="{0000000B-8D77-4B95-9E3F-51FA3C881170}"/>
            </c:ext>
          </c:extLst>
        </c:ser>
        <c:ser>
          <c:idx val="13"/>
          <c:order val="12"/>
          <c:tx>
            <c:strRef>
              <c:f>'9.8 Sustainable bonds'!$A$15</c:f>
              <c:strCache>
                <c:ptCount val="1"/>
                <c:pt idx="0">
                  <c:v>Sydney Metro City and Southwest</c:v>
                </c:pt>
              </c:strCache>
            </c:strRef>
          </c:tx>
          <c:spPr>
            <a:solidFill>
              <a:srgbClr val="2E808E">
                <a:alpha val="50196"/>
              </a:srgbClr>
            </a:solidFill>
            <a:ln w="6350">
              <a:solidFill>
                <a:srgbClr val="FFFFFF"/>
              </a:solidFill>
            </a:ln>
            <a:effectLst/>
          </c:spPr>
          <c:invertIfNegative val="0"/>
          <c:cat>
            <c:strRef>
              <c:f>'9.8 Sustainable bonds'!$D$2:$G$2</c:f>
              <c:strCache>
                <c:ptCount val="4"/>
                <c:pt idx="0">
                  <c:v>Nov-28 Green</c:v>
                </c:pt>
                <c:pt idx="1">
                  <c:v>Nov-30 Green</c:v>
                </c:pt>
                <c:pt idx="2">
                  <c:v>Nov-32 Sustainability</c:v>
                </c:pt>
                <c:pt idx="3">
                  <c:v>Sep-35 Sustainability</c:v>
                </c:pt>
              </c:strCache>
            </c:strRef>
          </c:cat>
          <c:val>
            <c:numRef>
              <c:f>'9.8 Sustainable bonds'!$D$15:$G$15</c:f>
              <c:numCache>
                <c:formatCode>0</c:formatCode>
                <c:ptCount val="4"/>
                <c:pt idx="0">
                  <c:v>0</c:v>
                </c:pt>
                <c:pt idx="1">
                  <c:v>0</c:v>
                </c:pt>
                <c:pt idx="2">
                  <c:v>85294000</c:v>
                </c:pt>
                <c:pt idx="3">
                  <c:v>1541211000</c:v>
                </c:pt>
              </c:numCache>
            </c:numRef>
          </c:val>
          <c:extLst>
            <c:ext xmlns:c16="http://schemas.microsoft.com/office/drawing/2014/chart" uri="{C3380CC4-5D6E-409C-BE32-E72D297353CC}">
              <c16:uniqueId val="{0000000C-8D77-4B95-9E3F-51FA3C881170}"/>
            </c:ext>
          </c:extLst>
        </c:ser>
        <c:dLbls>
          <c:showLegendKey val="0"/>
          <c:showVal val="0"/>
          <c:showCatName val="0"/>
          <c:showSerName val="0"/>
          <c:showPercent val="0"/>
          <c:showBubbleSize val="0"/>
        </c:dLbls>
        <c:gapWidth val="150"/>
        <c:overlap val="100"/>
        <c:axId val="232048896"/>
        <c:axId val="232058880"/>
      </c:barChart>
      <c:catAx>
        <c:axId val="232048896"/>
        <c:scaling>
          <c:orientation val="minMax"/>
        </c:scaling>
        <c:delete val="0"/>
        <c:axPos val="b"/>
        <c:numFmt formatCode="General" sourceLinked="0"/>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Public Sans" pitchFamily="2" charset="0"/>
                <a:ea typeface="+mn-ea"/>
                <a:cs typeface="+mn-cs"/>
              </a:defRPr>
            </a:pPr>
            <a:endParaRPr lang="en-US"/>
          </a:p>
        </c:txPr>
        <c:crossAx val="232058880"/>
        <c:crosses val="autoZero"/>
        <c:auto val="1"/>
        <c:lblAlgn val="ctr"/>
        <c:lblOffset val="100"/>
        <c:noMultiLvlLbl val="0"/>
      </c:catAx>
      <c:valAx>
        <c:axId val="232058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ysClr val="windowText" lastClr="000000"/>
                    </a:solidFill>
                    <a:latin typeface="Public Sans" pitchFamily="2" charset="0"/>
                    <a:ea typeface="+mn-ea"/>
                    <a:cs typeface="+mn-cs"/>
                  </a:defRPr>
                </a:pPr>
                <a:r>
                  <a:rPr lang="en-AU"/>
                  <a:t>$ billions</a:t>
                </a:r>
              </a:p>
            </c:rich>
          </c:tx>
          <c:layout>
            <c:manualLayout>
              <c:xMode val="edge"/>
              <c:yMode val="edge"/>
              <c:x val="1.7510944340212633E-2"/>
              <c:y val="0.31646899875220513"/>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Public Sans" pitchFamily="2" charset="0"/>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Public Sans" pitchFamily="2" charset="0"/>
                <a:ea typeface="+mn-ea"/>
                <a:cs typeface="+mn-cs"/>
              </a:defRPr>
            </a:pPr>
            <a:endParaRPr lang="en-US"/>
          </a:p>
        </c:txPr>
        <c:crossAx val="232048896"/>
        <c:crosses val="autoZero"/>
        <c:crossBetween val="between"/>
        <c:dispUnits>
          <c:builtInUnit val="billions"/>
        </c:dispUnits>
      </c:valAx>
      <c:spPr>
        <a:noFill/>
        <a:ln>
          <a:noFill/>
        </a:ln>
        <a:effectLst/>
      </c:spPr>
    </c:plotArea>
    <c:legend>
      <c:legendPos val="b"/>
      <c:layout>
        <c:manualLayout>
          <c:xMode val="edge"/>
          <c:yMode val="edge"/>
          <c:x val="3.0697547715800085E-2"/>
          <c:y val="0.731181322076631"/>
          <c:w val="0.96831943285026334"/>
          <c:h val="0.26881876315417874"/>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700">
          <a:solidFill>
            <a:sysClr val="windowText" lastClr="000000"/>
          </a:solidFill>
          <a:latin typeface="Public Sans" pitchFamily="2"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0.56174</cdr:x>
      <cdr:y>0.74143</cdr:y>
    </cdr:from>
    <cdr:to>
      <cdr:x>0.94255</cdr:x>
      <cdr:y>0.82734</cdr:y>
    </cdr:to>
    <cdr:sp macro="" textlink="">
      <cdr:nvSpPr>
        <cdr:cNvPr id="5" name="TextBox 6">
          <a:extLst xmlns:a="http://schemas.openxmlformats.org/drawingml/2006/main">
            <a:ext uri="{FF2B5EF4-FFF2-40B4-BE49-F238E27FC236}">
              <a16:creationId xmlns:a16="http://schemas.microsoft.com/office/drawing/2014/main" id="{4190909F-2277-68BD-806C-EF9B255827D3}"/>
            </a:ext>
          </a:extLst>
        </cdr:cNvPr>
        <cdr:cNvSpPr txBox="1"/>
      </cdr:nvSpPr>
      <cdr:spPr>
        <a:xfrm xmlns:a="http://schemas.openxmlformats.org/drawingml/2006/main">
          <a:off x="3420087" y="1716095"/>
          <a:ext cx="2318516" cy="198844"/>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600">
              <a:latin typeface="Public Sans" pitchFamily="2" charset="0"/>
            </a:rPr>
            <a:t>Average</a:t>
          </a:r>
          <a:r>
            <a:rPr lang="en-AU" sz="600" baseline="0">
              <a:latin typeface="Public Sans" pitchFamily="2" charset="0"/>
            </a:rPr>
            <a:t> rate of growth from Jun-25 to Jun-29 (</a:t>
          </a:r>
          <a:r>
            <a:rPr lang="en-AU" sz="600" b="0" baseline="0">
              <a:latin typeface="Public Sans" pitchFamily="2" charset="0"/>
            </a:rPr>
            <a:t>5.3 per cent)</a:t>
          </a:r>
          <a:endParaRPr lang="en-AU" sz="600" b="0">
            <a:latin typeface="Public Sans" pitchFamily="2" charset="0"/>
          </a:endParaRPr>
        </a:p>
      </cdr:txBody>
    </cdr:sp>
  </cdr:relSizeAnchor>
  <cdr:relSizeAnchor xmlns:cdr="http://schemas.openxmlformats.org/drawingml/2006/chartDrawing">
    <cdr:from>
      <cdr:x>0.15285</cdr:x>
      <cdr:y>0.50128</cdr:y>
    </cdr:from>
    <cdr:to>
      <cdr:x>0.49721</cdr:x>
      <cdr:y>0.55668</cdr:y>
    </cdr:to>
    <cdr:sp macro="" textlink="">
      <cdr:nvSpPr>
        <cdr:cNvPr id="4" name="TextBox 6">
          <a:extLst xmlns:a="http://schemas.openxmlformats.org/drawingml/2006/main">
            <a:ext uri="{FF2B5EF4-FFF2-40B4-BE49-F238E27FC236}">
              <a16:creationId xmlns:a16="http://schemas.microsoft.com/office/drawing/2014/main" id="{75A1A1ED-E6CC-D8A4-A4BE-36C994CF6EE4}"/>
            </a:ext>
          </a:extLst>
        </cdr:cNvPr>
        <cdr:cNvSpPr txBox="1"/>
      </cdr:nvSpPr>
      <cdr:spPr>
        <a:xfrm xmlns:a="http://schemas.openxmlformats.org/drawingml/2006/main">
          <a:off x="930609" y="1160250"/>
          <a:ext cx="2096594" cy="128228"/>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600">
              <a:latin typeface="Public Sans" pitchFamily="2" charset="0"/>
            </a:rPr>
            <a:t>Average</a:t>
          </a:r>
          <a:r>
            <a:rPr lang="en-AU" sz="600" baseline="0">
              <a:latin typeface="Public Sans" pitchFamily="2" charset="0"/>
            </a:rPr>
            <a:t> rate of growth from Jun-20 to Jun-24 </a:t>
          </a:r>
        </a:p>
        <a:p xmlns:a="http://schemas.openxmlformats.org/drawingml/2006/main">
          <a:r>
            <a:rPr lang="en-AU" sz="600" baseline="0">
              <a:latin typeface="Public Sans" pitchFamily="2" charset="0"/>
            </a:rPr>
            <a:t>(</a:t>
          </a:r>
          <a:r>
            <a:rPr lang="en-AU" sz="600" b="0" baseline="0">
              <a:latin typeface="Public Sans" pitchFamily="2" charset="0"/>
            </a:rPr>
            <a:t>34.2 per cent)</a:t>
          </a:r>
          <a:endParaRPr lang="en-AU" sz="600" b="0">
            <a:latin typeface="Public Sans" pitchFamily="2" charset="0"/>
          </a:endParaRPr>
        </a:p>
      </cdr:txBody>
    </cdr:sp>
  </cdr:relSizeAnchor>
</c:userShapes>
</file>

<file path=word/theme/theme1.xml><?xml version="1.0" encoding="utf-8"?>
<a:theme xmlns:a="http://schemas.openxmlformats.org/drawingml/2006/main" name="Office Theme">
  <a:themeElements>
    <a:clrScheme name="Budget Paper">
      <a:dk1>
        <a:sysClr val="windowText" lastClr="000000"/>
      </a:dk1>
      <a:lt1>
        <a:srgbClr val="FFFFFF"/>
      </a:lt1>
      <a:dk2>
        <a:srgbClr val="FFFFFF"/>
      </a:dk2>
      <a:lt2>
        <a:srgbClr val="DBDBDB"/>
      </a:lt2>
      <a:accent1>
        <a:srgbClr val="002664"/>
      </a:accent1>
      <a:accent2>
        <a:srgbClr val="8CE0FF"/>
      </a:accent2>
      <a:accent3>
        <a:srgbClr val="146CFD"/>
      </a:accent3>
      <a:accent4>
        <a:srgbClr val="CBEDFD"/>
      </a:accent4>
      <a:accent5>
        <a:srgbClr val="BFBFBF"/>
      </a:accent5>
      <a:accent6>
        <a:srgbClr val="495054"/>
      </a:accent6>
      <a:hlink>
        <a:srgbClr val="00ABE6"/>
      </a:hlink>
      <a:folHlink>
        <a:srgbClr val="00B0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2025-26 Budget charts">
    <a:dk1>
      <a:sysClr val="windowText" lastClr="000000"/>
    </a:dk1>
    <a:lt1>
      <a:srgbClr val="FFFFFF"/>
    </a:lt1>
    <a:dk2>
      <a:srgbClr val="FFFFFF"/>
    </a:dk2>
    <a:lt2>
      <a:srgbClr val="DBDBDB"/>
    </a:lt2>
    <a:accent1>
      <a:srgbClr val="0B3F47"/>
    </a:accent1>
    <a:accent2>
      <a:srgbClr val="2E808E"/>
    </a:accent2>
    <a:accent3>
      <a:srgbClr val="F3631B"/>
    </a:accent3>
    <a:accent4>
      <a:srgbClr val="441170"/>
    </a:accent4>
    <a:accent5>
      <a:srgbClr val="002664"/>
    </a:accent5>
    <a:accent6>
      <a:srgbClr val="146CFD"/>
    </a:accent6>
    <a:hlink>
      <a:srgbClr val="00ABE6"/>
    </a:hlink>
    <a:folHlink>
      <a:srgbClr val="00B0F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2025-26 Budget charts">
    <a:dk1>
      <a:sysClr val="windowText" lastClr="000000"/>
    </a:dk1>
    <a:lt1>
      <a:srgbClr val="FFFFFF"/>
    </a:lt1>
    <a:dk2>
      <a:srgbClr val="FFFFFF"/>
    </a:dk2>
    <a:lt2>
      <a:srgbClr val="DBDBDB"/>
    </a:lt2>
    <a:accent1>
      <a:srgbClr val="0B3F47"/>
    </a:accent1>
    <a:accent2>
      <a:srgbClr val="2E808E"/>
    </a:accent2>
    <a:accent3>
      <a:srgbClr val="F3631B"/>
    </a:accent3>
    <a:accent4>
      <a:srgbClr val="441170"/>
    </a:accent4>
    <a:accent5>
      <a:srgbClr val="002664"/>
    </a:accent5>
    <a:accent6>
      <a:srgbClr val="146CFD"/>
    </a:accent6>
    <a:hlink>
      <a:srgbClr val="00ABE6"/>
    </a:hlink>
    <a:folHlink>
      <a:srgbClr val="00B0F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2025-26 Budget charts">
    <a:dk1>
      <a:sysClr val="windowText" lastClr="000000"/>
    </a:dk1>
    <a:lt1>
      <a:srgbClr val="FFFFFF"/>
    </a:lt1>
    <a:dk2>
      <a:srgbClr val="FFFFFF"/>
    </a:dk2>
    <a:lt2>
      <a:srgbClr val="DBDBDB"/>
    </a:lt2>
    <a:accent1>
      <a:srgbClr val="0B3F47"/>
    </a:accent1>
    <a:accent2>
      <a:srgbClr val="2E808E"/>
    </a:accent2>
    <a:accent3>
      <a:srgbClr val="F3631B"/>
    </a:accent3>
    <a:accent4>
      <a:srgbClr val="441170"/>
    </a:accent4>
    <a:accent5>
      <a:srgbClr val="002664"/>
    </a:accent5>
    <a:accent6>
      <a:srgbClr val="146CFD"/>
    </a:accent6>
    <a:hlink>
      <a:srgbClr val="00ABE6"/>
    </a:hlink>
    <a:folHlink>
      <a:srgbClr val="00B0F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2025-26 Budget charts">
    <a:dk1>
      <a:sysClr val="windowText" lastClr="000000"/>
    </a:dk1>
    <a:lt1>
      <a:srgbClr val="FFFFFF"/>
    </a:lt1>
    <a:dk2>
      <a:srgbClr val="FFFFFF"/>
    </a:dk2>
    <a:lt2>
      <a:srgbClr val="DBDBDB"/>
    </a:lt2>
    <a:accent1>
      <a:srgbClr val="0B3F47"/>
    </a:accent1>
    <a:accent2>
      <a:srgbClr val="2E808E"/>
    </a:accent2>
    <a:accent3>
      <a:srgbClr val="F3631B"/>
    </a:accent3>
    <a:accent4>
      <a:srgbClr val="441170"/>
    </a:accent4>
    <a:accent5>
      <a:srgbClr val="002664"/>
    </a:accent5>
    <a:accent6>
      <a:srgbClr val="146CFD"/>
    </a:accent6>
    <a:hlink>
      <a:srgbClr val="00ABE6"/>
    </a:hlink>
    <a:folHlink>
      <a:srgbClr val="00B0F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2F16F1AFBDE54EBD2685E90FE1922F" ma:contentTypeVersion="19" ma:contentTypeDescription="Create a new document." ma:contentTypeScope="" ma:versionID="468dc0dd92be817bb9a44f7960c8fef9">
  <xsd:schema xmlns:xsd="http://www.w3.org/2001/XMLSchema" xmlns:xs="http://www.w3.org/2001/XMLSchema" xmlns:p="http://schemas.microsoft.com/office/2006/metadata/properties" xmlns:ns2="801a5968-9419-4033-b9de-7ffe8168468e" xmlns:ns3="1c478e85-8130-4c67-8ee4-8bdf1c0e6049" xmlns:ns4="9f0ac7ce-5f57-4ea0-9af7-01d4f3f1ccae" targetNamespace="http://schemas.microsoft.com/office/2006/metadata/properties" ma:root="true" ma:fieldsID="0a20234d3a585a1bfe061a4c4552e30d" ns2:_="" ns3:_="" ns4:_="">
    <xsd:import namespace="801a5968-9419-4033-b9de-7ffe8168468e"/>
    <xsd:import namespace="1c478e85-8130-4c67-8ee4-8bdf1c0e6049"/>
    <xsd:import namespace="9f0ac7ce-5f57-4ea0-9af7-01d4f3f1cca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_Flow_SignoffStatus"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a5968-9419-4033-b9de-7ffe816846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478e85-8130-4c67-8ee4-8bdf1c0e60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fc867368-d47b-4a2f-96c2-865b3735c074}" ma:internalName="TaxCatchAll" ma:showField="CatchAllData" ma:web="801a5968-9419-4033-b9de-7ffe81684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9f0ac7ce-5f57-4ea0-9af7-01d4f3f1ccae" xsi:nil="true"/>
    <lcf76f155ced4ddcb4097134ff3c332f xmlns="1c478e85-8130-4c67-8ee4-8bdf1c0e6049">
      <Terms xmlns="http://schemas.microsoft.com/office/infopath/2007/PartnerControls"/>
    </lcf76f155ced4ddcb4097134ff3c332f>
    <_Flow_SignoffStatus xmlns="1c478e85-8130-4c67-8ee4-8bdf1c0e6049" xsi:nil="true"/>
  </documentManagement>
</p:properties>
</file>

<file path=customXml/itemProps1.xml><?xml version="1.0" encoding="utf-8"?>
<ds:datastoreItem xmlns:ds="http://schemas.openxmlformats.org/officeDocument/2006/customXml" ds:itemID="{F510486F-5120-4F67-BA1E-2BAF7098B075}">
  <ds:schemaRefs>
    <ds:schemaRef ds:uri="http://schemas.microsoft.com/sharepoint/v3/contenttype/forms"/>
  </ds:schemaRefs>
</ds:datastoreItem>
</file>

<file path=customXml/itemProps2.xml><?xml version="1.0" encoding="utf-8"?>
<ds:datastoreItem xmlns:ds="http://schemas.openxmlformats.org/officeDocument/2006/customXml" ds:itemID="{62ACCE59-09F9-4E24-9F80-9C654DB661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a5968-9419-4033-b9de-7ffe8168468e"/>
    <ds:schemaRef ds:uri="1c478e85-8130-4c67-8ee4-8bdf1c0e6049"/>
    <ds:schemaRef ds:uri="9f0ac7ce-5f57-4ea0-9af7-01d4f3f1c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93D4C9-B5FB-425B-853A-592996518147}">
  <ds:schemaRefs>
    <ds:schemaRef ds:uri="http://schemas.openxmlformats.org/officeDocument/2006/bibliography"/>
  </ds:schemaRefs>
</ds:datastoreItem>
</file>

<file path=customXml/itemProps4.xml><?xml version="1.0" encoding="utf-8"?>
<ds:datastoreItem xmlns:ds="http://schemas.openxmlformats.org/officeDocument/2006/customXml" ds:itemID="{CE9E9FD7-6E6C-41F1-AB66-B4A654C66101}">
  <ds:schemaRefs>
    <ds:schemaRef ds:uri="http://schemas.microsoft.com/office/2006/documentManagement/types"/>
    <ds:schemaRef ds:uri="http://purl.org/dc/elements/1.1/"/>
    <ds:schemaRef ds:uri="http://purl.org/dc/dcmitype/"/>
    <ds:schemaRef ds:uri="http://schemas.microsoft.com/office/infopath/2007/PartnerControls"/>
    <ds:schemaRef ds:uri="http://schemas.openxmlformats.org/package/2006/metadata/core-properties"/>
    <ds:schemaRef ds:uri="801a5968-9419-4033-b9de-7ffe8168468e"/>
    <ds:schemaRef ds:uri="9f0ac7ce-5f57-4ea0-9af7-01d4f3f1ccae"/>
    <ds:schemaRef ds:uri="http://www.w3.org/XML/1998/namespace"/>
    <ds:schemaRef ds:uri="1c478e85-8130-4c67-8ee4-8bdf1c0e6049"/>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1584</Words>
  <Characters>9030</Characters>
  <Application>Microsoft Office Word</Application>
  <DocSecurity>0</DocSecurity>
  <Lines>75</Lines>
  <Paragraphs>21</Paragraphs>
  <ScaleCrop>false</ScaleCrop>
  <Company>NSW Treasury</Company>
  <LinksUpToDate>false</LinksUpToDate>
  <CharactersWithSpaces>10593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2025-26 Budget Paper No. 1 - Budget Statement - Chapter 8: Assets and Liabilities</dc:title>
  <dc:subject/>
  <dc:creator>F Lavorato</dc:creator>
  <cp:keywords/>
  <cp:lastModifiedBy>Amany Tahir</cp:lastModifiedBy>
  <cp:revision>2</cp:revision>
  <cp:lastPrinted>2025-06-20T12:12:00Z</cp:lastPrinted>
  <dcterms:created xsi:type="dcterms:W3CDTF">2025-06-22T07:24:00Z</dcterms:created>
  <dcterms:modified xsi:type="dcterms:W3CDTF">2025-06-22T07:24:00Z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A3020765</vt:lpwstr>
  </property>
  <property fmtid="{D5CDD505-2E9C-101B-9397-08002B2CF9AE}" pid="4" name="Objective-Title">
    <vt:lpwstr>Budget paper styles and template</vt:lpwstr>
  </property>
  <property fmtid="{D5CDD505-2E9C-101B-9397-08002B2CF9AE}" pid="5" name="Objective-Comment">
    <vt:lpwstr/>
  </property>
  <property fmtid="{D5CDD505-2E9C-101B-9397-08002B2CF9AE}" pid="6" name="Objective-CreationStamp">
    <vt:filetime>2015-09-10T21:55:51Z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2015-10-13T03:41:11Z</vt:filetime>
  </property>
  <property fmtid="{D5CDD505-2E9C-101B-9397-08002B2CF9AE}" pid="11" name="Objective-Owner">
    <vt:lpwstr>Alicia McIntyre</vt:lpwstr>
  </property>
  <property fmtid="{D5CDD505-2E9C-101B-9397-08002B2CF9AE}" pid="12" name="Objective-Path">
    <vt:lpwstr>Objective Global Folder:1. Treasury:1. Information Management Structure (TR):FISCAL &amp; ECONOMIC GROUP (FEG):Budget Strategy:Budget Process Design:Budget:2016-17 Budget - Process and Production:Production:</vt:lpwstr>
  </property>
  <property fmtid="{D5CDD505-2E9C-101B-9397-08002B2CF9AE}" pid="13" name="Objective-Parent">
    <vt:lpwstr>Production</vt:lpwstr>
  </property>
  <property fmtid="{D5CDD505-2E9C-101B-9397-08002B2CF9AE}" pid="14" name="Objective-State">
    <vt:lpwstr>Being Drafted</vt:lpwstr>
  </property>
  <property fmtid="{D5CDD505-2E9C-101B-9397-08002B2CF9AE}" pid="15" name="Objective-Version">
    <vt:lpwstr>0.5</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Vital Record [system]">
    <vt:lpwstr>No</vt:lpwstr>
  </property>
  <property fmtid="{D5CDD505-2E9C-101B-9397-08002B2CF9AE}" pid="22" name="Objective-GIPA [system]">
    <vt:lpwstr>No</vt:lpwstr>
  </property>
  <property fmtid="{D5CDD505-2E9C-101B-9397-08002B2CF9AE}" pid="23" name="Objective-Additional Search Tags [system]">
    <vt:lpwstr/>
  </property>
  <property fmtid="{D5CDD505-2E9C-101B-9397-08002B2CF9AE}" pid="24" name="ContentTypeId">
    <vt:lpwstr>0x010100F02F16F1AFBDE54EBD2685E90FE1922F</vt:lpwstr>
  </property>
  <property fmtid="{D5CDD505-2E9C-101B-9397-08002B2CF9AE}" pid="25" name="MediaServiceImageTags">
    <vt:lpwstr/>
  </property>
  <property fmtid="{D5CDD505-2E9C-101B-9397-08002B2CF9AE}" pid="26" name="ClassificationContentMarkingHeaderShapeIds">
    <vt:lpwstr>3,4,5</vt:lpwstr>
  </property>
  <property fmtid="{D5CDD505-2E9C-101B-9397-08002B2CF9AE}" pid="27" name="ClassificationContentMarkingHeaderFontProps">
    <vt:lpwstr>#ff0000,10,Calibri</vt:lpwstr>
  </property>
  <property fmtid="{D5CDD505-2E9C-101B-9397-08002B2CF9AE}" pid="28" name="ClassificationContentMarkingHeaderText">
    <vt:lpwstr>OFFICIAL: Sensitive - NSW Government</vt:lpwstr>
  </property>
  <property fmtid="{D5CDD505-2E9C-101B-9397-08002B2CF9AE}" pid="29" name="ClassificationContentMarkingFooterShapeIds">
    <vt:lpwstr>6,7,8</vt:lpwstr>
  </property>
  <property fmtid="{D5CDD505-2E9C-101B-9397-08002B2CF9AE}" pid="30" name="ClassificationContentMarkingFooterFontProps">
    <vt:lpwstr>#ff0000,10,Calibri</vt:lpwstr>
  </property>
  <property fmtid="{D5CDD505-2E9C-101B-9397-08002B2CF9AE}" pid="31" name="ClassificationContentMarkingFooterText">
    <vt:lpwstr>OFFICIAL: Sensitive - NSW Government</vt:lpwstr>
  </property>
  <property fmtid="{D5CDD505-2E9C-101B-9397-08002B2CF9AE}" pid="32" name="MSIP_Label_ab31b62b-e375-4a62-a687-c19ac06ddd31_Enabled">
    <vt:lpwstr>true</vt:lpwstr>
  </property>
  <property fmtid="{D5CDD505-2E9C-101B-9397-08002B2CF9AE}" pid="33" name="MSIP_Label_ab31b62b-e375-4a62-a687-c19ac06ddd31_SetDate">
    <vt:lpwstr>2023-07-17T05:35:10Z</vt:lpwstr>
  </property>
  <property fmtid="{D5CDD505-2E9C-101B-9397-08002B2CF9AE}" pid="34" name="MSIP_Label_ab31b62b-e375-4a62-a687-c19ac06ddd31_Method">
    <vt:lpwstr>Privileged</vt:lpwstr>
  </property>
  <property fmtid="{D5CDD505-2E9C-101B-9397-08002B2CF9AE}" pid="35" name="MSIP_Label_ab31b62b-e375-4a62-a687-c19ac06ddd31_Name">
    <vt:lpwstr>OFFICIAL Sensitive - NSW Government</vt:lpwstr>
  </property>
  <property fmtid="{D5CDD505-2E9C-101B-9397-08002B2CF9AE}" pid="36" name="MSIP_Label_ab31b62b-e375-4a62-a687-c19ac06ddd31_SiteId">
    <vt:lpwstr>1ef97a68-e8ab-44ed-a16d-b579fe2d7cd8</vt:lpwstr>
  </property>
  <property fmtid="{D5CDD505-2E9C-101B-9397-08002B2CF9AE}" pid="37" name="MSIP_Label_ab31b62b-e375-4a62-a687-c19ac06ddd31_ActionId">
    <vt:lpwstr>e99cb3e8-e592-44b3-906e-e4c2bfceb55e</vt:lpwstr>
  </property>
  <property fmtid="{D5CDD505-2E9C-101B-9397-08002B2CF9AE}" pid="38" name="MSIP_Label_ab31b62b-e375-4a62-a687-c19ac06ddd31_ContentBits">
    <vt:lpwstr>3</vt:lpwstr>
  </property>
  <property fmtid="{D5CDD505-2E9C-101B-9397-08002B2CF9AE}" pid="39" name="Order">
    <vt:r8>8728700</vt:r8>
  </property>
  <property fmtid="{D5CDD505-2E9C-101B-9397-08002B2CF9AE}" pid="40" name="xd_ProgID">
    <vt:lpwstr/>
  </property>
  <property fmtid="{D5CDD505-2E9C-101B-9397-08002B2CF9AE}" pid="41" name="ComplianceAssetId">
    <vt:lpwstr/>
  </property>
  <property fmtid="{D5CDD505-2E9C-101B-9397-08002B2CF9AE}" pid="42" name="TemplateUrl">
    <vt:lpwstr/>
  </property>
  <property fmtid="{D5CDD505-2E9C-101B-9397-08002B2CF9AE}" pid="43" name="_ExtendedDescription">
    <vt:lpwstr/>
  </property>
  <property fmtid="{D5CDD505-2E9C-101B-9397-08002B2CF9AE}" pid="44" name="TriggerFlowInfo">
    <vt:lpwstr/>
  </property>
  <property fmtid="{D5CDD505-2E9C-101B-9397-08002B2CF9AE}" pid="45" name="xd_Signature">
    <vt:bool>false</vt:bool>
  </property>
</Properties>
</file>