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591A5" w14:textId="48B66A6F" w:rsidR="00C626D7" w:rsidRPr="00617415" w:rsidRDefault="00F05965" w:rsidP="00242667">
      <w:pPr>
        <w:pStyle w:val="Heading1"/>
        <w:numPr>
          <w:ilvl w:val="0"/>
          <w:numId w:val="0"/>
        </w:numPr>
        <w:ind w:left="851" w:hanging="851"/>
      </w:pPr>
      <w:bookmarkStart w:id="0" w:name="_Hlk143095870"/>
      <w:r>
        <w:t>9</w:t>
      </w:r>
      <w:r w:rsidR="00242667" w:rsidRPr="00BC6D47">
        <w:t>.</w:t>
      </w:r>
      <w:r w:rsidR="00242667" w:rsidRPr="00BC6D47">
        <w:tab/>
      </w:r>
      <w:r w:rsidR="000F2987" w:rsidRPr="00BC6D47">
        <w:t>Government businesses</w:t>
      </w:r>
    </w:p>
    <w:tbl>
      <w:tblPr>
        <w:tblW w:w="0" w:type="auto"/>
        <w:jc w:val="center"/>
        <w:shd w:val="pct5" w:color="auto" w:fill="auto"/>
        <w:tblLayout w:type="fixed"/>
        <w:tblLook w:val="0000" w:firstRow="0" w:lastRow="0" w:firstColumn="0" w:lastColumn="0" w:noHBand="0" w:noVBand="0"/>
      </w:tblPr>
      <w:tblGrid>
        <w:gridCol w:w="9639"/>
      </w:tblGrid>
      <w:tr w:rsidR="00136879" w:rsidRPr="00617415" w14:paraId="213272F7" w14:textId="77777777" w:rsidTr="007D7C84">
        <w:trPr>
          <w:trHeight w:val="1157"/>
          <w:jc w:val="center"/>
        </w:trPr>
        <w:tc>
          <w:tcPr>
            <w:tcW w:w="9639" w:type="dxa"/>
            <w:shd w:val="pct5" w:color="auto" w:fill="auto"/>
          </w:tcPr>
          <w:p w14:paraId="1B9930DE" w14:textId="77777777" w:rsidR="007004C1" w:rsidRPr="00617415" w:rsidRDefault="007004C1" w:rsidP="00947D2B">
            <w:pPr>
              <w:pStyle w:val="Bullet1"/>
            </w:pPr>
            <w:r w:rsidRPr="00BC6D47">
              <w:t>The NSW Government operates a range of public sector commercial entities that play a critical role in delivering essential services and supporting the State’s economic development. These entities balance public policy objectives with commercial performance and accountability.</w:t>
            </w:r>
          </w:p>
          <w:p w14:paraId="5EF47636" w14:textId="3EDF21F2" w:rsidR="007004C1" w:rsidRPr="00617415" w:rsidRDefault="007004C1" w:rsidP="00947D2B">
            <w:pPr>
              <w:pStyle w:val="Bullet1"/>
            </w:pPr>
            <w:r w:rsidRPr="00BC6D47">
              <w:t xml:space="preserve">The commercial entities include State Owned Corporations (SOCs), as well as other </w:t>
            </w:r>
            <w:r w:rsidR="002A69E9">
              <w:t>p</w:t>
            </w:r>
            <w:r w:rsidRPr="00BC6D47">
              <w:t xml:space="preserve">ublic </w:t>
            </w:r>
            <w:r w:rsidR="002A69E9">
              <w:t>n</w:t>
            </w:r>
            <w:r w:rsidRPr="00BC6D47">
              <w:t>on-</w:t>
            </w:r>
            <w:r w:rsidR="002A69E9">
              <w:t>f</w:t>
            </w:r>
            <w:r w:rsidRPr="00BC6D47">
              <w:t xml:space="preserve">inancial </w:t>
            </w:r>
            <w:r w:rsidR="002A69E9">
              <w:t>c</w:t>
            </w:r>
            <w:r w:rsidRPr="00BC6D47">
              <w:t xml:space="preserve">orporations (PNFCs) and </w:t>
            </w:r>
            <w:r w:rsidR="003A107C">
              <w:t>p</w:t>
            </w:r>
            <w:r w:rsidRPr="00BC6D47">
              <w:t xml:space="preserve">ublic </w:t>
            </w:r>
            <w:r w:rsidR="003A107C">
              <w:t>f</w:t>
            </w:r>
            <w:r w:rsidRPr="00BC6D47">
              <w:t xml:space="preserve">inancial </w:t>
            </w:r>
            <w:r w:rsidR="003A107C">
              <w:t>c</w:t>
            </w:r>
            <w:r w:rsidRPr="00BC6D47">
              <w:t>orporations (PFCs). They operate at arm’s length from the Government and are guided by Treasury’s Commercial Policy Framework.</w:t>
            </w:r>
          </w:p>
          <w:p w14:paraId="4009A401" w14:textId="17C950B4" w:rsidR="009844AE" w:rsidRDefault="007004C1" w:rsidP="00947D2B">
            <w:pPr>
              <w:pStyle w:val="Bullet1"/>
            </w:pPr>
            <w:r w:rsidRPr="00617415">
              <w:t>Government businesses are supporting the State’s commitment to increasing housing supply. Landcom is working to unlock development in metropolitan and regional areas of New South Wales, with a focus on expanding the stock of affordable housing.</w:t>
            </w:r>
            <w:r w:rsidR="4ABC2B38">
              <w:t xml:space="preserve"> Sydney Water and Hunter Water are focused on delivering essential water, wastewater and stormwater infrastructure for housing</w:t>
            </w:r>
            <w:r w:rsidR="00315B12">
              <w:t>.</w:t>
            </w:r>
          </w:p>
          <w:p w14:paraId="3B675E3B" w14:textId="7D54073B" w:rsidR="009844AE" w:rsidRPr="00617415" w:rsidRDefault="00137C74" w:rsidP="00947D2B">
            <w:pPr>
              <w:pStyle w:val="Bullet1"/>
            </w:pPr>
            <w:r>
              <w:t xml:space="preserve">Sydney Water, Hunter Water and WaterNSW are </w:t>
            </w:r>
            <w:r w:rsidR="003708FD">
              <w:t>currently undergoing pricing reviews by the Independent Pricing and Regulatory Tribunal.</w:t>
            </w:r>
            <w:r w:rsidR="00074E05">
              <w:t xml:space="preserve"> </w:t>
            </w:r>
            <w:r w:rsidR="000642D6">
              <w:t>T</w:t>
            </w:r>
            <w:r w:rsidR="00074E05">
              <w:t>hese reviews are expected to result in lower customer price increases than the businesses had anticipated in their pricing submissions, and a reduction in forecast revenues to government.</w:t>
            </w:r>
          </w:p>
          <w:p w14:paraId="3FEE3F45" w14:textId="6614FD1D" w:rsidR="006176FC" w:rsidRDefault="007004C1" w:rsidP="00947D2B">
            <w:pPr>
              <w:pStyle w:val="Bullet1"/>
            </w:pPr>
            <w:r w:rsidRPr="00BC6D47">
              <w:t>SOCs are evolving to align with the State’s energy transition, playing a key role in decarbonising the energy sector and supporting the shift to renewable energy. They are exploring a wide spectrum of renewable energy solutions, including renewable energy generation, energy storage and efficient connections to the network.</w:t>
            </w:r>
          </w:p>
          <w:p w14:paraId="68690D5C" w14:textId="4EB7B4DC" w:rsidR="007004C1" w:rsidRPr="00617415" w:rsidRDefault="007004C1" w:rsidP="00947D2B">
            <w:pPr>
              <w:pStyle w:val="Bullet1"/>
            </w:pPr>
            <w:r w:rsidRPr="00BC6D47">
              <w:t xml:space="preserve">The total dividend and tax equivalent payments by entities in the PNFC and PFC sectors were </w:t>
            </w:r>
            <w:r w:rsidRPr="00B139AA">
              <w:t>$</w:t>
            </w:r>
            <w:r w:rsidR="002A4B84" w:rsidRPr="00B139AA">
              <w:t>66</w:t>
            </w:r>
            <w:r w:rsidR="00C5731B" w:rsidRPr="00B139AA">
              <w:t>9</w:t>
            </w:r>
            <w:r w:rsidRPr="00B139AA">
              <w:t>.8</w:t>
            </w:r>
            <w:r w:rsidR="00E77C4E">
              <w:t> </w:t>
            </w:r>
            <w:r w:rsidRPr="00BC6D47">
              <w:t xml:space="preserve">million in 2024-25 and are forecast to be </w:t>
            </w:r>
            <w:r w:rsidRPr="00B139AA">
              <w:t>$4.</w:t>
            </w:r>
            <w:r w:rsidR="002A4B84" w:rsidRPr="00B139AA">
              <w:t>1</w:t>
            </w:r>
            <w:r w:rsidRPr="00BC6D47">
              <w:t xml:space="preserve"> billion over the budget </w:t>
            </w:r>
            <w:r w:rsidR="00F12E74">
              <w:t>year</w:t>
            </w:r>
            <w:r w:rsidRPr="00BC6D47">
              <w:t xml:space="preserve"> and forward estimates to 2028-29.</w:t>
            </w:r>
          </w:p>
        </w:tc>
      </w:tr>
    </w:tbl>
    <w:p w14:paraId="2121F56F" w14:textId="77777777" w:rsidR="00501D23" w:rsidRPr="00617415" w:rsidRDefault="00501D23" w:rsidP="007D7C84"/>
    <w:p w14:paraId="11415277" w14:textId="25E018BE" w:rsidR="00C626D7" w:rsidRPr="00617415" w:rsidRDefault="00063171" w:rsidP="005D5DD6">
      <w:pPr>
        <w:pStyle w:val="9XHeading2"/>
      </w:pPr>
      <w:r w:rsidRPr="00617415">
        <w:t>Reforms and initiatives of State Owned Corporations</w:t>
      </w:r>
    </w:p>
    <w:p w14:paraId="33D16070" w14:textId="38050A7B" w:rsidR="009D20CB" w:rsidRPr="00617415" w:rsidRDefault="009D20CB" w:rsidP="001B74FC">
      <w:pPr>
        <w:pStyle w:val="Heading3"/>
      </w:pPr>
      <w:r>
        <w:t>Property</w:t>
      </w:r>
    </w:p>
    <w:p w14:paraId="3A1EB5F8" w14:textId="77777777" w:rsidR="0012325C" w:rsidRPr="00617415" w:rsidRDefault="0012325C" w:rsidP="001B74FC">
      <w:pPr>
        <w:pStyle w:val="Heading4"/>
      </w:pPr>
      <w:r w:rsidRPr="00617415">
        <w:t>Landcom</w:t>
      </w:r>
    </w:p>
    <w:p w14:paraId="4737C6BB" w14:textId="3B01160E" w:rsidR="0012325C" w:rsidRDefault="0012325C" w:rsidP="00947D2B">
      <w:pPr>
        <w:pStyle w:val="BodyText"/>
      </w:pPr>
      <w:r w:rsidRPr="00BC6D47">
        <w:t>Landcom is the State’s land and property development organisation that develops land to achieve both public outcomes and financial benefits for the State and people of New South Wales.</w:t>
      </w:r>
      <w:r w:rsidR="00D170FA">
        <w:t xml:space="preserve"> Over </w:t>
      </w:r>
      <w:r w:rsidR="00E44AED">
        <w:t xml:space="preserve">recent years, the </w:t>
      </w:r>
      <w:r w:rsidR="00D238F5">
        <w:t>G</w:t>
      </w:r>
      <w:r w:rsidR="00E44AED">
        <w:t xml:space="preserve">overnment has provided additional funding to Landcom in order to meet </w:t>
      </w:r>
      <w:r w:rsidR="001C7B5F">
        <w:t>various housing targets including:</w:t>
      </w:r>
    </w:p>
    <w:p w14:paraId="6C6A9ABC" w14:textId="09D2F158" w:rsidR="001C7B5F" w:rsidRDefault="001C7B5F" w:rsidP="00947D2B">
      <w:pPr>
        <w:pStyle w:val="Bullet1"/>
      </w:pPr>
      <w:r>
        <w:t>$450</w:t>
      </w:r>
      <w:r w:rsidR="00486CBA">
        <w:t>.0</w:t>
      </w:r>
      <w:r>
        <w:t xml:space="preserve"> million equity injection in the 2024-25 Budget for the Essential Workers Build to Rent program</w:t>
      </w:r>
    </w:p>
    <w:p w14:paraId="71E0C83E" w14:textId="33B7EF47" w:rsidR="00C560D0" w:rsidRPr="00617415" w:rsidRDefault="00C560D0" w:rsidP="00947D2B">
      <w:pPr>
        <w:pStyle w:val="Bullet1"/>
      </w:pPr>
      <w:r>
        <w:t>$300</w:t>
      </w:r>
      <w:r w:rsidR="00486CBA">
        <w:t>.0</w:t>
      </w:r>
      <w:r w:rsidR="00C47A32">
        <w:t xml:space="preserve"> million dividend reinvestment in the 2023-24</w:t>
      </w:r>
      <w:r w:rsidR="00F84E28">
        <w:t xml:space="preserve"> Budget to accelerate investment in affordable </w:t>
      </w:r>
      <w:r w:rsidR="00BE5891">
        <w:t xml:space="preserve">and market </w:t>
      </w:r>
      <w:r w:rsidR="00F84E28">
        <w:t>housing</w:t>
      </w:r>
    </w:p>
    <w:p w14:paraId="47848BF9" w14:textId="566CACA5" w:rsidR="00B82F4B" w:rsidRPr="00617415" w:rsidRDefault="00B82F4B" w:rsidP="00947D2B">
      <w:pPr>
        <w:pStyle w:val="Bullet1"/>
      </w:pPr>
      <w:r>
        <w:t>$6</w:t>
      </w:r>
      <w:r w:rsidR="00EA7959">
        <w:t>0</w:t>
      </w:r>
      <w:r w:rsidR="00486CBA">
        <w:t>.0</w:t>
      </w:r>
      <w:r>
        <w:t xml:space="preserve"> million</w:t>
      </w:r>
      <w:r w:rsidR="001C2116">
        <w:t xml:space="preserve"> in the 2023-24 Budget</w:t>
      </w:r>
      <w:r w:rsidR="00301063">
        <w:t>, and an additional $5</w:t>
      </w:r>
      <w:r w:rsidR="00486CBA">
        <w:t>.0</w:t>
      </w:r>
      <w:r w:rsidR="00301063">
        <w:t xml:space="preserve"> million in the 2024-25 Budget,</w:t>
      </w:r>
      <w:r w:rsidR="001C2116">
        <w:t xml:space="preserve"> to </w:t>
      </w:r>
      <w:r w:rsidR="00A276BD">
        <w:t xml:space="preserve">deliver </w:t>
      </w:r>
      <w:r w:rsidR="00A55408">
        <w:t>1</w:t>
      </w:r>
      <w:r w:rsidR="00301063">
        <w:t>1</w:t>
      </w:r>
      <w:r w:rsidR="00A55408">
        <w:t xml:space="preserve">0 </w:t>
      </w:r>
      <w:r w:rsidR="00B64D80">
        <w:t>b</w:t>
      </w:r>
      <w:r w:rsidR="00A55408">
        <w:t>uild</w:t>
      </w:r>
      <w:r w:rsidR="00B64D80">
        <w:t>-</w:t>
      </w:r>
      <w:r w:rsidR="00A55408">
        <w:t>to</w:t>
      </w:r>
      <w:r w:rsidR="00B64D80">
        <w:t>-r</w:t>
      </w:r>
      <w:r w:rsidR="00A55408">
        <w:t>ent homes on the South Coast and Northern Rivers</w:t>
      </w:r>
      <w:r w:rsidR="002D3678">
        <w:t xml:space="preserve"> regions</w:t>
      </w:r>
      <w:r w:rsidR="002B27AF">
        <w:t>.</w:t>
      </w:r>
    </w:p>
    <w:p w14:paraId="39FC100B" w14:textId="77777777" w:rsidR="009A6AE8" w:rsidRDefault="009A6AE8">
      <w:pPr>
        <w:spacing w:before="360" w:after="120"/>
        <w:ind w:left="851" w:hanging="851"/>
        <w:rPr>
          <w:rFonts w:ascii="Public Sans" w:hAnsi="Public Sans" w:cs="Arial"/>
          <w:iCs/>
          <w:color w:val="000000" w:themeColor="text1"/>
          <w:sz w:val="22"/>
        </w:rPr>
      </w:pPr>
      <w:r>
        <w:br w:type="page"/>
      </w:r>
    </w:p>
    <w:p w14:paraId="41CFD364" w14:textId="1C9C79DF" w:rsidR="0012325C" w:rsidRPr="00617415" w:rsidRDefault="0012325C" w:rsidP="00947D2B">
      <w:pPr>
        <w:pStyle w:val="BodyText"/>
      </w:pPr>
      <w:r w:rsidRPr="00617415">
        <w:lastRenderedPageBreak/>
        <w:t>Over the forward estimate years, Landcom is focused on the following areas:</w:t>
      </w:r>
    </w:p>
    <w:p w14:paraId="5CED8CE7" w14:textId="77777777" w:rsidR="0012325C" w:rsidRPr="00617415" w:rsidRDefault="0012325C" w:rsidP="00947D2B">
      <w:pPr>
        <w:pStyle w:val="Bullet1"/>
      </w:pPr>
      <w:r w:rsidRPr="00617415">
        <w:t xml:space="preserve">increasing market housing supply </w:t>
      </w:r>
    </w:p>
    <w:p w14:paraId="20435123" w14:textId="77777777" w:rsidR="0012325C" w:rsidRPr="00617415" w:rsidRDefault="0012325C" w:rsidP="00947D2B">
      <w:pPr>
        <w:pStyle w:val="Bullet1"/>
      </w:pPr>
      <w:r w:rsidRPr="00617415">
        <w:t>leading in the delivery of affordable housing</w:t>
      </w:r>
    </w:p>
    <w:p w14:paraId="518C6FAD" w14:textId="77777777" w:rsidR="0012325C" w:rsidRPr="00617415" w:rsidRDefault="0012325C" w:rsidP="00947D2B">
      <w:pPr>
        <w:pStyle w:val="Bullet1"/>
      </w:pPr>
      <w:r w:rsidRPr="00617415">
        <w:t>deliver</w:t>
      </w:r>
      <w:r>
        <w:t>ing</w:t>
      </w:r>
      <w:r w:rsidRPr="00617415">
        <w:t xml:space="preserve"> built form faster and in more innovative ways</w:t>
      </w:r>
    </w:p>
    <w:p w14:paraId="13A51006" w14:textId="6DF2593B" w:rsidR="0012325C" w:rsidRPr="00617415" w:rsidRDefault="0012325C" w:rsidP="00947D2B">
      <w:pPr>
        <w:pStyle w:val="Bullet1"/>
      </w:pPr>
      <w:r w:rsidRPr="00617415">
        <w:t>impactful presence in regional N</w:t>
      </w:r>
      <w:r w:rsidR="00486CBA">
        <w:t xml:space="preserve">ew </w:t>
      </w:r>
      <w:r w:rsidRPr="00617415">
        <w:t>S</w:t>
      </w:r>
      <w:r w:rsidR="00486CBA">
        <w:t xml:space="preserve">outh </w:t>
      </w:r>
      <w:r w:rsidRPr="00617415">
        <w:t>W</w:t>
      </w:r>
      <w:r w:rsidR="00486CBA">
        <w:t>ales</w:t>
      </w:r>
      <w:r w:rsidRPr="00617415">
        <w:t>.</w:t>
      </w:r>
    </w:p>
    <w:p w14:paraId="3E64774B" w14:textId="77777777" w:rsidR="0012325C" w:rsidRPr="00617415" w:rsidRDefault="0012325C" w:rsidP="00947D2B">
      <w:pPr>
        <w:pStyle w:val="BodyText"/>
      </w:pPr>
      <w:r w:rsidRPr="00617415">
        <w:t>Key initiatives being delivered include:</w:t>
      </w:r>
    </w:p>
    <w:p w14:paraId="2F414C2B" w14:textId="77777777" w:rsidR="0012325C" w:rsidRPr="00617415" w:rsidRDefault="0012325C" w:rsidP="00947D2B">
      <w:pPr>
        <w:pStyle w:val="Bullet1"/>
      </w:pPr>
      <w:r w:rsidRPr="00617415">
        <w:t>accelerating the development of projects in the portfolio to achieve settlement of lots for 22,000 dwellings from 2023-24 to 2028-29 (2025-26 Target: 3,010 dwellings)</w:t>
      </w:r>
    </w:p>
    <w:p w14:paraId="7713D1E1" w14:textId="77777777" w:rsidR="0012325C" w:rsidRPr="00617415" w:rsidRDefault="0012325C" w:rsidP="00947D2B">
      <w:pPr>
        <w:pStyle w:val="Bullet1"/>
      </w:pPr>
      <w:r w:rsidRPr="00BC6D47">
        <w:t>growing the affordable housing pipeline to deliver at least 1,800 affordable homes from 2023</w:t>
      </w:r>
      <w:r w:rsidRPr="00617415">
        <w:noBreakHyphen/>
      </w:r>
      <w:r w:rsidRPr="00BC6D47">
        <w:t>24 to 2028-29</w:t>
      </w:r>
    </w:p>
    <w:p w14:paraId="4E6790C9" w14:textId="1830CFC7" w:rsidR="0012325C" w:rsidRPr="00617415" w:rsidRDefault="0012325C" w:rsidP="00947D2B">
      <w:pPr>
        <w:pStyle w:val="Bullet1"/>
      </w:pPr>
      <w:r w:rsidRPr="00BC6D47">
        <w:t>pilot Build to Rent project</w:t>
      </w:r>
      <w:r w:rsidR="00996A1C">
        <w:t>s</w:t>
      </w:r>
      <w:r w:rsidRPr="00BC6D47">
        <w:t xml:space="preserve"> in Bomaderry and Lismore – construction works on the 60</w:t>
      </w:r>
      <w:r w:rsidR="009A6AE8">
        <w:t> </w:t>
      </w:r>
      <w:r w:rsidRPr="00BC6D47">
        <w:t>dwelling Bomaderry project have commenced and the construction tender is underway on the 50 dwelling Lismore project, with anticipated completion at the end of 2026. 20 per</w:t>
      </w:r>
      <w:r w:rsidR="00D33D6B">
        <w:t> </w:t>
      </w:r>
      <w:r w:rsidRPr="00BC6D47">
        <w:t xml:space="preserve">cent of the target dwellings in these projects will be affordable housing dwellings. </w:t>
      </w:r>
    </w:p>
    <w:p w14:paraId="762A4628" w14:textId="77777777" w:rsidR="0012325C" w:rsidRPr="00617415" w:rsidRDefault="0012325C" w:rsidP="00947D2B">
      <w:pPr>
        <w:pStyle w:val="BodyText"/>
      </w:pPr>
      <w:r w:rsidRPr="00BC6D47">
        <w:t>All new projects are required to enable carbon neutral, zero waste, water positive and net positive ecological outcomes by 2028.</w:t>
      </w:r>
    </w:p>
    <w:p w14:paraId="4ED27640" w14:textId="77777777" w:rsidR="0012325C" w:rsidRPr="00617415" w:rsidRDefault="0012325C" w:rsidP="0012325C"/>
    <w:tbl>
      <w:tblPr>
        <w:tblW w:w="0" w:type="auto"/>
        <w:jc w:val="center"/>
        <w:shd w:val="pct5" w:color="auto" w:fill="auto"/>
        <w:tblLayout w:type="fixed"/>
        <w:tblLook w:val="0000" w:firstRow="0" w:lastRow="0" w:firstColumn="0" w:lastColumn="0" w:noHBand="0" w:noVBand="0"/>
      </w:tblPr>
      <w:tblGrid>
        <w:gridCol w:w="9639"/>
      </w:tblGrid>
      <w:tr w:rsidR="0012325C" w:rsidRPr="00617415" w14:paraId="4B14E070" w14:textId="77777777" w:rsidTr="00812E7E">
        <w:trPr>
          <w:trHeight w:val="1157"/>
          <w:jc w:val="center"/>
        </w:trPr>
        <w:tc>
          <w:tcPr>
            <w:tcW w:w="9639" w:type="dxa"/>
            <w:shd w:val="pct5" w:color="auto" w:fill="auto"/>
          </w:tcPr>
          <w:p w14:paraId="7B0F49B1" w14:textId="46C5CFFD" w:rsidR="0012325C" w:rsidRPr="009841D8" w:rsidRDefault="0012325C" w:rsidP="005D5DD6">
            <w:pPr>
              <w:pStyle w:val="Box9XBoxHeading"/>
            </w:pPr>
            <w:r w:rsidRPr="009841D8">
              <w:t>Build</w:t>
            </w:r>
            <w:r w:rsidR="00FD6498">
              <w:t xml:space="preserve"> </w:t>
            </w:r>
            <w:r w:rsidRPr="009841D8">
              <w:t>to</w:t>
            </w:r>
            <w:r w:rsidR="00FD6498">
              <w:t xml:space="preserve"> R</w:t>
            </w:r>
            <w:r w:rsidRPr="00617415">
              <w:t>ent</w:t>
            </w:r>
            <w:r w:rsidRPr="009841D8">
              <w:t xml:space="preserve"> program</w:t>
            </w:r>
          </w:p>
          <w:p w14:paraId="148B0057" w14:textId="52DB6344" w:rsidR="0012325C" w:rsidRPr="00617415" w:rsidRDefault="0012325C" w:rsidP="00947D2B">
            <w:pPr>
              <w:pStyle w:val="BodyText"/>
            </w:pPr>
            <w:r w:rsidRPr="00617415">
              <w:t xml:space="preserve">Landcom is making progress on delivering 400 new </w:t>
            </w:r>
            <w:r w:rsidR="00AE2ACD">
              <w:t>b</w:t>
            </w:r>
            <w:r w:rsidRPr="00617415">
              <w:t>uil</w:t>
            </w:r>
            <w:r>
              <w:t>d</w:t>
            </w:r>
            <w:r w:rsidR="00AE2ACD">
              <w:t>-</w:t>
            </w:r>
            <w:r w:rsidRPr="00617415">
              <w:t>to</w:t>
            </w:r>
            <w:r w:rsidR="00AE2ACD">
              <w:t>-r</w:t>
            </w:r>
            <w:r w:rsidRPr="00617415">
              <w:t xml:space="preserve">ent dwellings for essential workers, using the $450.0 million equity injection provisioned in the 2024-25 Budget. </w:t>
            </w:r>
          </w:p>
          <w:p w14:paraId="3398D8F5" w14:textId="3801B995" w:rsidR="0012325C" w:rsidRPr="00BC6D47" w:rsidRDefault="0012325C" w:rsidP="00947D2B">
            <w:pPr>
              <w:pStyle w:val="BodyText"/>
            </w:pPr>
            <w:r w:rsidRPr="00BC6D47">
              <w:t xml:space="preserve">The first site in the program was announced in February 2025 for at least 200 Essential Workers </w:t>
            </w:r>
            <w:r w:rsidR="00AE2ACD">
              <w:t>b</w:t>
            </w:r>
            <w:r w:rsidRPr="00BC6D47">
              <w:t>uild</w:t>
            </w:r>
            <w:r w:rsidR="00AE2ACD">
              <w:t>-</w:t>
            </w:r>
            <w:r w:rsidRPr="00BC6D47">
              <w:t>to</w:t>
            </w:r>
            <w:r w:rsidR="00AE2ACD">
              <w:t>-r</w:t>
            </w:r>
            <w:r w:rsidRPr="00BC6D47">
              <w:t>ent apartments, as part of an overall development of approximately 500</w:t>
            </w:r>
            <w:r w:rsidR="009A6AE8">
              <w:t> </w:t>
            </w:r>
            <w:r w:rsidRPr="00BC6D47">
              <w:t xml:space="preserve">apartments. The site is located at the former WestConnex dive site on Parramatta Road, Camperdown. Landcom is currently </w:t>
            </w:r>
            <w:r>
              <w:t>progressing</w:t>
            </w:r>
            <w:r w:rsidRPr="00BC6D47">
              <w:t xml:space="preserve"> the</w:t>
            </w:r>
            <w:r>
              <w:t xml:space="preserve"> required</w:t>
            </w:r>
            <w:r w:rsidRPr="00BC6D47">
              <w:t xml:space="preserve"> planning submissions, with construction expected to commence in early 2026.</w:t>
            </w:r>
          </w:p>
          <w:p w14:paraId="09C7F032" w14:textId="41CDA16E" w:rsidR="0012325C" w:rsidRPr="00617415" w:rsidRDefault="00063DED" w:rsidP="00947D2B">
            <w:pPr>
              <w:pStyle w:val="BodyText"/>
            </w:pPr>
            <w:r>
              <w:t>F</w:t>
            </w:r>
            <w:r w:rsidR="0012325C" w:rsidRPr="00BC6D47">
              <w:t xml:space="preserve">urther sites are being investigated for the Essential Workers Build to Rent program. Pending acquisition of the sites and respective design and planning approvals, construction is expected to commence in 2026-27. </w:t>
            </w:r>
          </w:p>
          <w:p w14:paraId="565662B0" w14:textId="77777777" w:rsidR="0012325C" w:rsidRPr="00617415" w:rsidRDefault="0012325C" w:rsidP="00947D2B">
            <w:pPr>
              <w:pStyle w:val="BodyText"/>
            </w:pPr>
            <w:r w:rsidRPr="00BC6D47">
              <w:t>‘Keys in doors’ for these dwellings are anticipated in late 2028.</w:t>
            </w:r>
          </w:p>
        </w:tc>
      </w:tr>
    </w:tbl>
    <w:p w14:paraId="5FD54F77" w14:textId="061DE441" w:rsidR="009E68EE" w:rsidRDefault="009E68EE" w:rsidP="005D5DD6"/>
    <w:p w14:paraId="6CF66563" w14:textId="352ECF59" w:rsidR="00A02E07" w:rsidRPr="00617415" w:rsidRDefault="00063171" w:rsidP="001B74FC">
      <w:pPr>
        <w:pStyle w:val="Heading3"/>
      </w:pPr>
      <w:r w:rsidRPr="00617415">
        <w:t>Water</w:t>
      </w:r>
    </w:p>
    <w:p w14:paraId="40C4A88A" w14:textId="3A008992" w:rsidR="004F5913" w:rsidRPr="00617415" w:rsidRDefault="004F5913" w:rsidP="00947D2B">
      <w:pPr>
        <w:pStyle w:val="BodyText"/>
      </w:pPr>
      <w:r w:rsidRPr="00BC6D47">
        <w:t xml:space="preserve">The NSW Government owns three </w:t>
      </w:r>
      <w:r w:rsidR="2132BA6E">
        <w:t xml:space="preserve">SOCs in the </w:t>
      </w:r>
      <w:r w:rsidRPr="00BC6D47">
        <w:t xml:space="preserve">water </w:t>
      </w:r>
      <w:r w:rsidR="2132BA6E">
        <w:t>sector</w:t>
      </w:r>
      <w:r w:rsidRPr="00BC6D47">
        <w:t xml:space="preserve"> – Sydney Water</w:t>
      </w:r>
      <w:r w:rsidR="0034124A" w:rsidRPr="00BC6D47">
        <w:t xml:space="preserve"> Corporation (Sydney Water)</w:t>
      </w:r>
      <w:r w:rsidRPr="00BC6D47">
        <w:t xml:space="preserve">, Hunter Water </w:t>
      </w:r>
      <w:r w:rsidR="0034124A" w:rsidRPr="00BC6D47">
        <w:t xml:space="preserve">Corporation (Hunter Water) </w:t>
      </w:r>
      <w:r w:rsidRPr="00BC6D47">
        <w:t>and WaterNSW. Sydney Water and Hunter Water deliver essential water and wastewater services to households in Greater Sydney, Illawarra and the Lower Hunter. WaterNSW supplies bulk water to metropolitan and regional areas. These businesses play a pivotal role in safeguarding public health and the environment through sustainable water management.</w:t>
      </w:r>
    </w:p>
    <w:p w14:paraId="0F6D9908" w14:textId="0E7AAFD1" w:rsidR="006F695C" w:rsidRDefault="78571621" w:rsidP="00947D2B">
      <w:pPr>
        <w:pStyle w:val="BodyText"/>
      </w:pPr>
      <w:r>
        <w:t>The revenues for these businesses are subject to regulation by the Independent Pricing and Regulatory Tribunal (IPART), which hands down Pricing Determinations every five ye</w:t>
      </w:r>
      <w:r w:rsidR="66FD672B">
        <w:t>ars.</w:t>
      </w:r>
    </w:p>
    <w:p w14:paraId="7D49504C" w14:textId="6E030612" w:rsidR="006F695C" w:rsidRDefault="006F695C">
      <w:pPr>
        <w:spacing w:before="360" w:after="120"/>
        <w:ind w:left="851" w:hanging="851"/>
        <w:rPr>
          <w:rFonts w:ascii="Public Sans" w:hAnsi="Public Sans" w:cs="Arial"/>
          <w:iCs/>
          <w:color w:val="000000" w:themeColor="text1"/>
          <w:sz w:val="22"/>
        </w:rPr>
      </w:pPr>
      <w:r>
        <w:br w:type="page"/>
      </w:r>
    </w:p>
    <w:tbl>
      <w:tblPr>
        <w:tblW w:w="0" w:type="auto"/>
        <w:jc w:val="center"/>
        <w:shd w:val="clear" w:color="auto" w:fill="F2F2F2" w:themeFill="background1" w:themeFillShade="F2"/>
        <w:tblLayout w:type="fixed"/>
        <w:tblLook w:val="0000" w:firstRow="0" w:lastRow="0" w:firstColumn="0" w:lastColumn="0" w:noHBand="0" w:noVBand="0"/>
      </w:tblPr>
      <w:tblGrid>
        <w:gridCol w:w="9639"/>
      </w:tblGrid>
      <w:tr w:rsidR="00CA5EEF" w:rsidRPr="00617415" w14:paraId="7239F3A0" w14:textId="77777777" w:rsidTr="006A6B01">
        <w:trPr>
          <w:trHeight w:val="851"/>
          <w:jc w:val="center"/>
        </w:trPr>
        <w:tc>
          <w:tcPr>
            <w:tcW w:w="9639" w:type="dxa"/>
            <w:shd w:val="clear" w:color="auto" w:fill="F2F2F2" w:themeFill="background1" w:themeFillShade="F2"/>
          </w:tcPr>
          <w:p w14:paraId="1AE2DEB0" w14:textId="797A5791" w:rsidR="00CA5EEF" w:rsidRPr="00617415" w:rsidRDefault="00EF698F" w:rsidP="005D5DD6">
            <w:pPr>
              <w:pStyle w:val="Box9XBoxHeading"/>
            </w:pPr>
            <w:r>
              <w:lastRenderedPageBreak/>
              <w:t>I</w:t>
            </w:r>
            <w:r w:rsidR="6F5B34EF">
              <w:t xml:space="preserve">ndependent </w:t>
            </w:r>
            <w:r>
              <w:t>P</w:t>
            </w:r>
            <w:r w:rsidR="6AFC28F4">
              <w:t xml:space="preserve">ricing and Regulatory Tribunal </w:t>
            </w:r>
            <w:r w:rsidR="00880657">
              <w:t xml:space="preserve">water pricing </w:t>
            </w:r>
            <w:r>
              <w:t>determinations</w:t>
            </w:r>
          </w:p>
          <w:p w14:paraId="4C2AAE90" w14:textId="3ADE03D2" w:rsidR="00880474" w:rsidRPr="00617415" w:rsidRDefault="52ACD8A3" w:rsidP="00947D2B">
            <w:pPr>
              <w:pStyle w:val="Bullet1"/>
            </w:pPr>
            <w:r>
              <w:t>The forecast financial</w:t>
            </w:r>
            <w:r w:rsidR="005B3DFE" w:rsidRPr="00617415">
              <w:t xml:space="preserve"> results of the </w:t>
            </w:r>
            <w:r>
              <w:t>water businesses,</w:t>
            </w:r>
            <w:r w:rsidR="005B3DFE" w:rsidRPr="00617415">
              <w:t xml:space="preserve"> and </w:t>
            </w:r>
            <w:r>
              <w:t xml:space="preserve">the distributions they make to the NSW </w:t>
            </w:r>
            <w:r w:rsidR="007D3B81">
              <w:t>G</w:t>
            </w:r>
            <w:r>
              <w:t>overnment</w:t>
            </w:r>
            <w:r w:rsidR="002F2D48">
              <w:t>,</w:t>
            </w:r>
            <w:r>
              <w:t xml:space="preserve"> will be impacted by </w:t>
            </w:r>
            <w:r w:rsidR="00FA7D85">
              <w:t xml:space="preserve">the </w:t>
            </w:r>
            <w:r w:rsidR="27700373">
              <w:t xml:space="preserve">outcome </w:t>
            </w:r>
            <w:r w:rsidR="00FA7D85">
              <w:t xml:space="preserve">of the </w:t>
            </w:r>
            <w:r w:rsidR="5F8EEA4E">
              <w:t xml:space="preserve">ongoing </w:t>
            </w:r>
            <w:r w:rsidR="005B3DFE" w:rsidRPr="00617415">
              <w:t xml:space="preserve">IPART review of water prices for the 2025-26 to 2029-30 determination period. </w:t>
            </w:r>
          </w:p>
          <w:p w14:paraId="34E9DD74" w14:textId="1DBA6CE1" w:rsidR="00880474" w:rsidRPr="00617415" w:rsidRDefault="005B3DFE" w:rsidP="00947D2B">
            <w:pPr>
              <w:pStyle w:val="Bullet1"/>
            </w:pPr>
            <w:r w:rsidRPr="00BC6D47">
              <w:t xml:space="preserve">In </w:t>
            </w:r>
            <w:r w:rsidR="00B05E86" w:rsidRPr="00BC6D47">
              <w:t>September</w:t>
            </w:r>
            <w:r w:rsidRPr="00BC6D47">
              <w:t xml:space="preserve"> 2024, each of the water SOCs submit</w:t>
            </w:r>
            <w:r w:rsidR="00B05E86" w:rsidRPr="00BC6D47">
              <w:t>ted</w:t>
            </w:r>
            <w:r w:rsidRPr="00BC6D47">
              <w:t xml:space="preserve"> a pricing proposal to IPART</w:t>
            </w:r>
            <w:r w:rsidR="1E68A0FD">
              <w:t xml:space="preserve"> and the forecast financial results and shareholder distributions </w:t>
            </w:r>
            <w:r w:rsidR="001D5725">
              <w:t>included</w:t>
            </w:r>
            <w:r w:rsidR="1E68A0FD">
              <w:t xml:space="preserve"> in the 2024</w:t>
            </w:r>
            <w:r w:rsidR="00DA7436">
              <w:noBreakHyphen/>
            </w:r>
            <w:r w:rsidR="1E68A0FD">
              <w:t>25</w:t>
            </w:r>
            <w:r w:rsidR="00DA7436">
              <w:t> </w:t>
            </w:r>
            <w:r w:rsidR="1E68A0FD">
              <w:t>Half</w:t>
            </w:r>
            <w:r w:rsidR="00897CA8">
              <w:noBreakHyphen/>
            </w:r>
            <w:r w:rsidR="1E68A0FD">
              <w:t>Yearly R</w:t>
            </w:r>
            <w:r w:rsidR="00522ED7">
              <w:t>e</w:t>
            </w:r>
            <w:r w:rsidR="1E68A0FD">
              <w:t>view were based on these submissions.</w:t>
            </w:r>
            <w:r w:rsidR="00A01793">
              <w:t xml:space="preserve"> </w:t>
            </w:r>
            <w:r w:rsidR="00AE78DB">
              <w:t xml:space="preserve">The </w:t>
            </w:r>
            <w:r w:rsidR="00880657">
              <w:t>Government wrote to IPART during this time requesting the tribunal prioritise consideration of cost</w:t>
            </w:r>
            <w:r w:rsidR="00AE78DB">
              <w:t>-</w:t>
            </w:r>
            <w:r w:rsidR="00880657">
              <w:t>of</w:t>
            </w:r>
            <w:r w:rsidR="00AE78DB">
              <w:t>-</w:t>
            </w:r>
            <w:r w:rsidR="00880657">
              <w:t>living pressures for customers during its deliberations.</w:t>
            </w:r>
          </w:p>
          <w:p w14:paraId="7BC40DA5" w14:textId="77777777" w:rsidR="001F6777" w:rsidRDefault="00180C40" w:rsidP="00947D2B">
            <w:pPr>
              <w:pStyle w:val="Bullet1"/>
            </w:pPr>
            <w:r w:rsidRPr="00BC6D47">
              <w:t>IPART has released</w:t>
            </w:r>
            <w:r w:rsidR="00653452">
              <w:t>:</w:t>
            </w:r>
            <w:r w:rsidRPr="00BC6D47">
              <w:t xml:space="preserve"> </w:t>
            </w:r>
          </w:p>
          <w:p w14:paraId="53711A17" w14:textId="44A5A2F0" w:rsidR="001F6777" w:rsidRDefault="001F6777" w:rsidP="00947D2B">
            <w:pPr>
              <w:pStyle w:val="Bullet2"/>
            </w:pPr>
            <w:r>
              <w:t>the final report of their pricing determination for Hunter Water</w:t>
            </w:r>
          </w:p>
          <w:p w14:paraId="01E579F8" w14:textId="632275FE" w:rsidR="00886610" w:rsidRDefault="00180C40" w:rsidP="00947D2B">
            <w:pPr>
              <w:pStyle w:val="Bullet2"/>
            </w:pPr>
            <w:r w:rsidRPr="00BC6D47">
              <w:t>the d</w:t>
            </w:r>
            <w:r w:rsidR="005B3DFE" w:rsidRPr="00BC6D47">
              <w:t>raft</w:t>
            </w:r>
            <w:r w:rsidRPr="00BC6D47">
              <w:t xml:space="preserve"> report of their pricing d</w:t>
            </w:r>
            <w:r w:rsidR="005B3DFE" w:rsidRPr="00BC6D47">
              <w:t>etermination</w:t>
            </w:r>
            <w:r w:rsidR="0070622A">
              <w:t xml:space="preserve"> for</w:t>
            </w:r>
            <w:r w:rsidR="005B3DFE" w:rsidRPr="00BC6D47">
              <w:t xml:space="preserve"> Sydney Water</w:t>
            </w:r>
            <w:r w:rsidR="008771A5" w:rsidRPr="00BC6D47">
              <w:t xml:space="preserve"> </w:t>
            </w:r>
          </w:p>
          <w:p w14:paraId="4CC54114" w14:textId="77777777" w:rsidR="00886610" w:rsidRDefault="008771A5" w:rsidP="00947D2B">
            <w:pPr>
              <w:pStyle w:val="Bullet2"/>
            </w:pPr>
            <w:r w:rsidRPr="00BC6D47">
              <w:t xml:space="preserve">an Information Paper on the draft decisions for WaterNSW’s bulk water services. </w:t>
            </w:r>
          </w:p>
          <w:p w14:paraId="676059D4" w14:textId="24D965DE" w:rsidR="00880474" w:rsidRPr="00617415" w:rsidRDefault="00886610" w:rsidP="00947D2B">
            <w:pPr>
              <w:pStyle w:val="Bullet1"/>
            </w:pPr>
            <w:r>
              <w:t xml:space="preserve">IPART’s </w:t>
            </w:r>
            <w:r w:rsidR="005B3DFE" w:rsidRPr="00BC6D47">
              <w:t xml:space="preserve">Final Determinations </w:t>
            </w:r>
            <w:r w:rsidR="002544DD">
              <w:t>for Sydney Water and WaterNSW</w:t>
            </w:r>
            <w:r w:rsidR="005B3DFE" w:rsidRPr="00BC6D47">
              <w:t xml:space="preserve"> will not be </w:t>
            </w:r>
            <w:r w:rsidR="002151DC">
              <w:t>available</w:t>
            </w:r>
            <w:r w:rsidR="005B3DFE" w:rsidRPr="00BC6D47">
              <w:t xml:space="preserve"> until after the 2025-26 Budget is </w:t>
            </w:r>
            <w:r w:rsidR="00627A66" w:rsidRPr="00BC6D47">
              <w:t>released</w:t>
            </w:r>
            <w:r w:rsidR="005B3DFE" w:rsidRPr="00BC6D47">
              <w:t xml:space="preserve">. </w:t>
            </w:r>
          </w:p>
          <w:p w14:paraId="505BF104" w14:textId="2103F39A" w:rsidR="005B3DFE" w:rsidRPr="00617415" w:rsidRDefault="00880657" w:rsidP="00947D2B">
            <w:pPr>
              <w:pStyle w:val="Bullet1"/>
            </w:pPr>
            <w:r>
              <w:t>These</w:t>
            </w:r>
            <w:r w:rsidR="002544DD">
              <w:t xml:space="preserve"> final and</w:t>
            </w:r>
            <w:r>
              <w:t xml:space="preserve"> draft decisions indicate that IPART is seeking to limit bill increases and manage cost</w:t>
            </w:r>
            <w:r w:rsidR="00977E38">
              <w:noBreakHyphen/>
            </w:r>
            <w:r>
              <w:t>of</w:t>
            </w:r>
            <w:r w:rsidR="00977E38">
              <w:noBreakHyphen/>
            </w:r>
            <w:r>
              <w:t>living pressures for customers in its determinations. However, t</w:t>
            </w:r>
            <w:r w:rsidR="005B3DFE" w:rsidRPr="00617415">
              <w:t xml:space="preserve">he </w:t>
            </w:r>
            <w:r w:rsidR="00912B6B" w:rsidRPr="00617415">
              <w:t>pricing</w:t>
            </w:r>
            <w:r w:rsidR="005B3DFE" w:rsidRPr="00617415">
              <w:t xml:space="preserve"> decisions </w:t>
            </w:r>
            <w:r w:rsidR="67789F0E">
              <w:t xml:space="preserve">will </w:t>
            </w:r>
            <w:r>
              <w:t>also</w:t>
            </w:r>
            <w:r w:rsidR="67789F0E">
              <w:t xml:space="preserve"> result in</w:t>
            </w:r>
            <w:r w:rsidR="005B3DFE" w:rsidRPr="00617415">
              <w:t xml:space="preserve"> lower government revenue than </w:t>
            </w:r>
            <w:r>
              <w:t xml:space="preserve">previously forecast </w:t>
            </w:r>
            <w:r w:rsidR="005B3DFE" w:rsidRPr="00617415">
              <w:t>by the water businesses</w:t>
            </w:r>
            <w:r w:rsidR="00EA36B2">
              <w:t xml:space="preserve"> in the form of lower dividends, income tax expenses and government guarantee fees</w:t>
            </w:r>
            <w:r w:rsidR="00805468">
              <w:t xml:space="preserve">. </w:t>
            </w:r>
            <w:r w:rsidR="009D6132">
              <w:t xml:space="preserve">The </w:t>
            </w:r>
            <w:r>
              <w:t>Government will continue to monitor IPART’s determinations closely, with a view to managing emerging fiscal risks over the coming months.</w:t>
            </w:r>
          </w:p>
        </w:tc>
      </w:tr>
    </w:tbl>
    <w:p w14:paraId="3ED9F628" w14:textId="7F6928AE" w:rsidR="006C37EA" w:rsidRDefault="006C37EA" w:rsidP="006C37EA"/>
    <w:p w14:paraId="2A47CC81" w14:textId="4B164678" w:rsidR="00B471C2" w:rsidRPr="00617415" w:rsidRDefault="00433F01" w:rsidP="001B74FC">
      <w:pPr>
        <w:pStyle w:val="Heading4"/>
      </w:pPr>
      <w:r w:rsidRPr="00617415">
        <w:t>Sydney Water Corporation</w:t>
      </w:r>
    </w:p>
    <w:p w14:paraId="6244A401" w14:textId="2FDB9BF1" w:rsidR="00F91F47" w:rsidRPr="00617415" w:rsidRDefault="00F91F47" w:rsidP="00947D2B">
      <w:pPr>
        <w:pStyle w:val="BodyText"/>
      </w:pPr>
      <w:r w:rsidRPr="00617415">
        <w:t xml:space="preserve">Sydney Water’s planning and delivery of strategic investments is directed at ensuring a resilient and safe water supply for a growing city. </w:t>
      </w:r>
      <w:r w:rsidR="11A64A4E">
        <w:t>Sydney Water is focused on the delivery of</w:t>
      </w:r>
      <w:r w:rsidRPr="00617415">
        <w:t xml:space="preserve"> essential infrastructure needed to enable housing and support public and waterway health while maintaining affordability for customers.</w:t>
      </w:r>
    </w:p>
    <w:p w14:paraId="49DBC298" w14:textId="75E75F8E" w:rsidR="009F42F2" w:rsidRPr="00617415" w:rsidRDefault="009F42F2" w:rsidP="00947D2B">
      <w:pPr>
        <w:pStyle w:val="BodyText"/>
      </w:pPr>
      <w:r w:rsidRPr="00617415">
        <w:t>Water services are crucial for economic development and enabling growth. Key projects underway include</w:t>
      </w:r>
      <w:r w:rsidR="00DE3A53">
        <w:t xml:space="preserve"> the following</w:t>
      </w:r>
      <w:r w:rsidR="00E02D77">
        <w:t>:</w:t>
      </w:r>
    </w:p>
    <w:p w14:paraId="7F2A404D" w14:textId="64F4D2FA" w:rsidR="00AC63D5" w:rsidRPr="00617415" w:rsidRDefault="00AC63D5" w:rsidP="00947D2B">
      <w:pPr>
        <w:pStyle w:val="Bullet1"/>
      </w:pPr>
      <w:r w:rsidRPr="00617415">
        <w:t>Upper South Creek Advanced Water Recycling Centre (Stage 1) is nearing completion and is expected to generate $10</w:t>
      </w:r>
      <w:r w:rsidR="00312067">
        <w:t>.0</w:t>
      </w:r>
      <w:r w:rsidRPr="00617415">
        <w:t xml:space="preserve"> billion in social and economic benefits. It will support the opening of Western Sydney International Airport in 2026 and enable 130,000 new dwellings by 2056.</w:t>
      </w:r>
    </w:p>
    <w:p w14:paraId="1F284AE1" w14:textId="77777777" w:rsidR="00347AED" w:rsidRDefault="00347AED" w:rsidP="00947D2B">
      <w:pPr>
        <w:pStyle w:val="Bullet1"/>
      </w:pPr>
      <w:r>
        <w:t xml:space="preserve">Continued </w:t>
      </w:r>
      <w:r w:rsidRPr="009F1176">
        <w:t xml:space="preserve">delivery of the new $756.9 million Prospect Pretreatment Plant. This project will enable the continued supply of safe, secure and reliable drinking water to a growing population in Greater Sydney particularly during events that impact the quality of raw water. </w:t>
      </w:r>
    </w:p>
    <w:p w14:paraId="67CD4DBD" w14:textId="77777777" w:rsidR="00347AED" w:rsidRPr="009F1176" w:rsidRDefault="00347AED" w:rsidP="00947D2B">
      <w:pPr>
        <w:pStyle w:val="Bullet1"/>
      </w:pPr>
      <w:r>
        <w:t xml:space="preserve">Commencement of </w:t>
      </w:r>
      <w:r w:rsidRPr="00B03D88">
        <w:t xml:space="preserve">$644.1 million </w:t>
      </w:r>
      <w:r>
        <w:t>investment in</w:t>
      </w:r>
      <w:r w:rsidRPr="00B03D88">
        <w:t xml:space="preserve"> the integrated stormwater and recycled water scheme needed to deliver 850 hectares of industrial land in the Mamre Road Precinct and support the 22,200 Western Sydney jobs alongside it</w:t>
      </w:r>
      <w:r>
        <w:t>.</w:t>
      </w:r>
      <w:r w:rsidRPr="00B03D88">
        <w:t xml:space="preserve"> </w:t>
      </w:r>
    </w:p>
    <w:p w14:paraId="3272E35A" w14:textId="7E25F754" w:rsidR="00AC63D5" w:rsidRPr="00617415" w:rsidRDefault="00AC63D5" w:rsidP="00947D2B">
      <w:pPr>
        <w:pStyle w:val="Bullet1"/>
      </w:pPr>
      <w:r w:rsidRPr="00617415">
        <w:t xml:space="preserve">The Housing Approval Reform Action Plan developed in partnership between the NSW Department of Climate Change, Energy, the Environment and Water, Sydney Water and WaterNSW aims to accelerate infrastructure delivery by enhancing workforce and industry capability with a focus on improving application turnaround time through </w:t>
      </w:r>
      <w:r w:rsidR="00B25E1B">
        <w:t xml:space="preserve">a </w:t>
      </w:r>
      <w:r w:rsidRPr="00617415">
        <w:t xml:space="preserve">digital platform transformation program. </w:t>
      </w:r>
      <w:r w:rsidR="40453766">
        <w:t>Progress has already</w:t>
      </w:r>
      <w:r w:rsidRPr="00617415">
        <w:t xml:space="preserve"> been made, with the time taken for Sydney Water to issue a Notice of Requirements down 50 per cent, and design approval times down 25 per cent.</w:t>
      </w:r>
    </w:p>
    <w:p w14:paraId="0A814A6D" w14:textId="0A920CEC" w:rsidR="000F5D72" w:rsidRPr="00617415" w:rsidRDefault="000F5D72" w:rsidP="00947D2B">
      <w:pPr>
        <w:pStyle w:val="BodyText"/>
      </w:pPr>
      <w:r w:rsidRPr="00617415">
        <w:lastRenderedPageBreak/>
        <w:t>Sydney Water is committed to net zero emissions by 2030 through negotiating renewable power purchase agreements, offsets and increasing renewable generation, supported by assets like biogas cogeneration, hydro power, and new solar generation.</w:t>
      </w:r>
    </w:p>
    <w:p w14:paraId="33768D61" w14:textId="41CDC38D" w:rsidR="007A484D" w:rsidRPr="00617415" w:rsidRDefault="007A484D" w:rsidP="001B74FC">
      <w:pPr>
        <w:pStyle w:val="Heading4"/>
      </w:pPr>
      <w:r w:rsidRPr="00617415">
        <w:t>Hunter Water Corporation</w:t>
      </w:r>
    </w:p>
    <w:p w14:paraId="09F584D1" w14:textId="2A97356C" w:rsidR="00107D45" w:rsidRPr="00617415" w:rsidRDefault="00055770" w:rsidP="00947D2B">
      <w:pPr>
        <w:pStyle w:val="BodyText"/>
      </w:pPr>
      <w:r w:rsidRPr="00BC6D47">
        <w:t xml:space="preserve">Hunter Water forecasts capital investment </w:t>
      </w:r>
      <w:r w:rsidR="008B2861" w:rsidRPr="00BC6D47">
        <w:t xml:space="preserve">of </w:t>
      </w:r>
      <w:r w:rsidRPr="00BC6D47">
        <w:t>$1.</w:t>
      </w:r>
      <w:r w:rsidR="004E5FE6">
        <w:t>6</w:t>
      </w:r>
      <w:r w:rsidR="00627A66" w:rsidRPr="00BC6D47">
        <w:t> </w:t>
      </w:r>
      <w:r w:rsidRPr="00BC6D47">
        <w:t xml:space="preserve">billion over IPART’s 2025-2030 regulatory period. Hunter Water’s capital </w:t>
      </w:r>
      <w:r w:rsidR="00770A33" w:rsidRPr="00BC6D47">
        <w:t xml:space="preserve">program </w:t>
      </w:r>
      <w:r w:rsidRPr="00BC6D47">
        <w:t xml:space="preserve">supports </w:t>
      </w:r>
      <w:r w:rsidR="00770A33" w:rsidRPr="00BC6D47">
        <w:t xml:space="preserve">the </w:t>
      </w:r>
      <w:r w:rsidRPr="00BC6D47">
        <w:t>sustainable and resilient water supply for the region. A key project is the construction of a permanent 30 megalitre per day desalination plant at Belmont. The plant is scheduled to be operational in 2028. This new facility will provide the region’s first drought-resilient water source</w:t>
      </w:r>
      <w:r w:rsidR="00C97ED9" w:rsidRPr="00BC6D47">
        <w:t>.</w:t>
      </w:r>
    </w:p>
    <w:p w14:paraId="640A1CC2" w14:textId="54BC35FD" w:rsidR="00107D45" w:rsidRPr="00617415" w:rsidRDefault="00055770" w:rsidP="00947D2B">
      <w:pPr>
        <w:pStyle w:val="BodyText"/>
      </w:pPr>
      <w:r w:rsidRPr="00BC6D47">
        <w:t>To support the region's growth, Hunter Water is investing $32</w:t>
      </w:r>
      <w:r w:rsidR="00061A1E">
        <w:t>.0</w:t>
      </w:r>
      <w:r w:rsidRPr="00BC6D47">
        <w:t xml:space="preserve"> million in 2025-26 on infrastructure projects that facilitate new housing developments and economic prosperity. </w:t>
      </w:r>
    </w:p>
    <w:p w14:paraId="432D6C39" w14:textId="5D452C81" w:rsidR="00055770" w:rsidRPr="00BC6D47" w:rsidRDefault="00055770" w:rsidP="00947D2B">
      <w:pPr>
        <w:pStyle w:val="BodyText"/>
      </w:pPr>
      <w:r w:rsidRPr="00BC6D47">
        <w:t xml:space="preserve">Recognising the cost-of-living pressures faced by its community, Hunter Water is committed to balancing the need for critical infrastructure investments with the affordability of customer bills. </w:t>
      </w:r>
      <w:r w:rsidR="00035304">
        <w:t>This consideration has been reflected in Hunter Water’s pricing proposal submitted to IPART in September 2024.</w:t>
      </w:r>
      <w:r w:rsidRPr="00BC6D47">
        <w:t xml:space="preserve"> Hunter Water continues to enhance its customer support and hardship assistance programs to assist those experiencing difficulties in paying their bills, ensuring equitable access to essential water services across the community.</w:t>
      </w:r>
    </w:p>
    <w:p w14:paraId="39CAD00B" w14:textId="6F56AEE1" w:rsidR="002809BA" w:rsidRPr="00617415" w:rsidRDefault="002809BA" w:rsidP="00947D2B">
      <w:pPr>
        <w:pStyle w:val="BodyText"/>
      </w:pPr>
      <w:r w:rsidRPr="00617415">
        <w:t xml:space="preserve">In line with its commitment to environmental sustainability and the views of its customers and community, Hunter Water is progressing towards achieving net zero carbon emissions by 2035. A significant milestone is the commencement of a renewable energy power purchase agreement from January 2025. This initiative will transition Hunter Water’s electricity usage at all its large sites to 100 per cent renewable energy by 2030. </w:t>
      </w:r>
    </w:p>
    <w:p w14:paraId="2EAE32DA" w14:textId="1B136036" w:rsidR="007A484D" w:rsidRPr="00BC6D47" w:rsidRDefault="007A484D" w:rsidP="001B74FC">
      <w:pPr>
        <w:pStyle w:val="Heading4"/>
      </w:pPr>
      <w:r w:rsidRPr="00BC6D47">
        <w:t>WaterNSW</w:t>
      </w:r>
    </w:p>
    <w:p w14:paraId="27D63340" w14:textId="5EC85DEE" w:rsidR="00AF3089" w:rsidRDefault="00680F83" w:rsidP="00947D2B">
      <w:pPr>
        <w:pStyle w:val="BodyText"/>
      </w:pPr>
      <w:r>
        <w:t xml:space="preserve">By leveraging the organisation’s existing asset base, </w:t>
      </w:r>
      <w:r w:rsidR="00AF3089">
        <w:t>WaterNSW’s Renewable Energy Storage Program and Long Duration Storage Program support the development of renewable energy projects</w:t>
      </w:r>
      <w:r w:rsidR="0044543D">
        <w:t>, contributing</w:t>
      </w:r>
      <w:r w:rsidR="00AF3089">
        <w:t xml:space="preserve"> to the NSW Government’s net zero targets. Throughout 2024-25, progress has continued to be made on key deliverables including the commencement of long duration storage pre-feasibility studies and the delivery of an option assessment report. WaterNSW continues to facilitate private sector-led developments at key sites, including:</w:t>
      </w:r>
    </w:p>
    <w:p w14:paraId="5F78F397" w14:textId="594F5B14" w:rsidR="00AF3089" w:rsidRDefault="00AF3089" w:rsidP="00947D2B">
      <w:pPr>
        <w:pStyle w:val="Bullet1"/>
      </w:pPr>
      <w:r>
        <w:t xml:space="preserve">ZEN Energy’s proposed Western Sydney Pumped Hydro project at Lake Burragorang </w:t>
      </w:r>
    </w:p>
    <w:p w14:paraId="4EA0807E" w14:textId="3019A5A5" w:rsidR="00AF3089" w:rsidRDefault="00AF3089" w:rsidP="00947D2B">
      <w:pPr>
        <w:pStyle w:val="Bullet1"/>
      </w:pPr>
      <w:r>
        <w:t>AGL Energy’s development of pumped hydro projects in the Upper Hunter region at Glenbawn Dam and Glennies Creek Dam.</w:t>
      </w:r>
    </w:p>
    <w:p w14:paraId="6B05CEB6" w14:textId="05E93253" w:rsidR="00AF3089" w:rsidRDefault="00AF3089" w:rsidP="00947D2B">
      <w:pPr>
        <w:pStyle w:val="BodyText"/>
      </w:pPr>
      <w:r>
        <w:t>WaterNSW continues to support the NSW Government’s Town Water Risk Reduction Program, by partnering with local water utilities to share WaterNSW’s knowledge and expertise around water quality monitoring and dam safety.</w:t>
      </w:r>
    </w:p>
    <w:p w14:paraId="1F7D3A12" w14:textId="0DD76DC9" w:rsidR="004C6F2C" w:rsidRPr="00617415" w:rsidRDefault="007A484D" w:rsidP="001B74FC">
      <w:pPr>
        <w:pStyle w:val="Heading3"/>
      </w:pPr>
      <w:r w:rsidRPr="00617415">
        <w:t>Energy</w:t>
      </w:r>
    </w:p>
    <w:p w14:paraId="222989C6" w14:textId="05CA6CD9" w:rsidR="00B471C2" w:rsidRPr="00617415" w:rsidRDefault="00BE30AE" w:rsidP="001B74FC">
      <w:pPr>
        <w:pStyle w:val="Heading4"/>
      </w:pPr>
      <w:r w:rsidRPr="00617415">
        <w:t>Essential Energy</w:t>
      </w:r>
    </w:p>
    <w:p w14:paraId="428C5524" w14:textId="02D34F07" w:rsidR="004715A2" w:rsidRPr="00617415" w:rsidRDefault="004715A2" w:rsidP="00947D2B">
      <w:pPr>
        <w:pStyle w:val="BodyText"/>
      </w:pPr>
      <w:r w:rsidRPr="00BC6D47">
        <w:t>Essential Energy operates and maintains one of Australia’s largest electricity distribution networks</w:t>
      </w:r>
      <w:r w:rsidR="002F4C62" w:rsidRPr="00BC6D47">
        <w:t xml:space="preserve"> and </w:t>
      </w:r>
      <w:r w:rsidRPr="00BC6D47">
        <w:t>focuses on the future needs of customers in regional, rural and remote communities. It seeks to optimise asset investment and us</w:t>
      </w:r>
      <w:r w:rsidR="00EF247D">
        <w:t>age</w:t>
      </w:r>
      <w:r w:rsidRPr="00BC6D47">
        <w:t>, and facilitate new ways for customers to connect to the network and use services</w:t>
      </w:r>
      <w:r w:rsidR="00202FB1">
        <w:t>, while keeping network prices as low as possible</w:t>
      </w:r>
      <w:r w:rsidRPr="00BC6D47">
        <w:t>.</w:t>
      </w:r>
    </w:p>
    <w:p w14:paraId="65147881" w14:textId="2239906F" w:rsidR="004715A2" w:rsidRPr="00617415" w:rsidRDefault="004715A2" w:rsidP="00947D2B">
      <w:pPr>
        <w:pStyle w:val="BodyText"/>
      </w:pPr>
      <w:r w:rsidRPr="00BC6D47">
        <w:t xml:space="preserve">Essential </w:t>
      </w:r>
      <w:r w:rsidR="008A03B5" w:rsidRPr="00BC6D47">
        <w:t>E</w:t>
      </w:r>
      <w:r w:rsidRPr="00BC6D47">
        <w:t>nergy facilitate</w:t>
      </w:r>
      <w:r w:rsidR="002F4C62" w:rsidRPr="00BC6D47">
        <w:t>s</w:t>
      </w:r>
      <w:r w:rsidRPr="00BC6D47">
        <w:t xml:space="preserve"> utility scale renewable generation </w:t>
      </w:r>
      <w:r w:rsidR="00473890">
        <w:t>and firming capacity</w:t>
      </w:r>
      <w:r w:rsidRPr="00BC6D47">
        <w:t xml:space="preserve"> con</w:t>
      </w:r>
      <w:r w:rsidR="008A03B5" w:rsidRPr="00BC6D47">
        <w:t>n</w:t>
      </w:r>
      <w:r w:rsidRPr="00BC6D47">
        <w:t xml:space="preserve">ections to its distribution network, in the Dubbo region </w:t>
      </w:r>
      <w:r w:rsidR="00D871C4" w:rsidRPr="00BC6D47">
        <w:t>and</w:t>
      </w:r>
      <w:r w:rsidRPr="00BC6D47">
        <w:t xml:space="preserve"> across other parts of New</w:t>
      </w:r>
      <w:r w:rsidR="00200CC6">
        <w:t> </w:t>
      </w:r>
      <w:r w:rsidRPr="00BC6D47">
        <w:t xml:space="preserve">South Wales. </w:t>
      </w:r>
      <w:r w:rsidR="00D871C4" w:rsidRPr="00BC6D47">
        <w:t xml:space="preserve">One such project involves a </w:t>
      </w:r>
      <w:r w:rsidRPr="00BC6D47">
        <w:t xml:space="preserve">market process for the deployment of high voltage battery storage on land adjacent to Essential Energy zone substations. </w:t>
      </w:r>
      <w:r w:rsidR="001C6689" w:rsidRPr="00BC6D47">
        <w:t>Increasing</w:t>
      </w:r>
      <w:r w:rsidRPr="00BC6D47">
        <w:t xml:space="preserve"> </w:t>
      </w:r>
      <w:r w:rsidR="004071E5">
        <w:t>use</w:t>
      </w:r>
      <w:r w:rsidRPr="00BC6D47">
        <w:t xml:space="preserve"> of the network </w:t>
      </w:r>
      <w:r w:rsidR="00060876" w:rsidRPr="00BC6D47">
        <w:t>will help</w:t>
      </w:r>
      <w:r w:rsidRPr="00BC6D47">
        <w:t xml:space="preserve"> to maintain reliability and security of supply and to put downward pressure on network prices</w:t>
      </w:r>
      <w:r w:rsidR="00060876" w:rsidRPr="00BC6D47">
        <w:t>.</w:t>
      </w:r>
    </w:p>
    <w:p w14:paraId="37F000AE" w14:textId="3633BCDA" w:rsidR="006C37EA" w:rsidRPr="008E1A8E" w:rsidRDefault="004715A2" w:rsidP="00947D2B">
      <w:pPr>
        <w:pStyle w:val="BodyText"/>
      </w:pPr>
      <w:r w:rsidRPr="00BC6D47">
        <w:lastRenderedPageBreak/>
        <w:t>Essential Energy is actively supporting the transition to electric vehicles across N</w:t>
      </w:r>
      <w:r w:rsidR="008A03B5" w:rsidRPr="00BC6D47">
        <w:t xml:space="preserve">ew </w:t>
      </w:r>
      <w:r w:rsidRPr="00BC6D47">
        <w:t>S</w:t>
      </w:r>
      <w:r w:rsidR="008A03B5" w:rsidRPr="00BC6D47">
        <w:t xml:space="preserve">outh </w:t>
      </w:r>
      <w:r w:rsidRPr="00BC6D47">
        <w:t>W</w:t>
      </w:r>
      <w:r w:rsidR="008A03B5" w:rsidRPr="00BC6D47">
        <w:t>ales</w:t>
      </w:r>
      <w:r w:rsidR="0065011A" w:rsidRPr="00BC6D47">
        <w:t xml:space="preserve"> by </w:t>
      </w:r>
      <w:r w:rsidR="00072D35">
        <w:t>using</w:t>
      </w:r>
      <w:r w:rsidR="0065011A" w:rsidRPr="00BC6D47">
        <w:t xml:space="preserve"> </w:t>
      </w:r>
      <w:r w:rsidRPr="00BC6D47">
        <w:t xml:space="preserve">capacity across </w:t>
      </w:r>
      <w:r w:rsidR="0065011A" w:rsidRPr="00BC6D47">
        <w:t>its</w:t>
      </w:r>
      <w:r w:rsidRPr="00BC6D47">
        <w:t xml:space="preserve"> network to dramatically increase the availability of electric vehicle charging infrastructure, particularly in regional, rural and remote areas. This could encourage more people to buy and use electric vehicles and deliver far-reaching benefits across N</w:t>
      </w:r>
      <w:r w:rsidR="0075048E" w:rsidRPr="00BC6D47">
        <w:t xml:space="preserve">ew </w:t>
      </w:r>
      <w:r w:rsidRPr="00BC6D47">
        <w:t>S</w:t>
      </w:r>
      <w:r w:rsidR="0075048E" w:rsidRPr="00BC6D47">
        <w:t xml:space="preserve">outh </w:t>
      </w:r>
      <w:r w:rsidRPr="00BC6D47">
        <w:t>W</w:t>
      </w:r>
      <w:r w:rsidR="0075048E" w:rsidRPr="00BC6D47">
        <w:t>ales</w:t>
      </w:r>
      <w:r w:rsidRPr="00BC6D47">
        <w:t xml:space="preserve">. Expanding the availability of charging infrastructure will enable low and zero-emissions vehicles to travel further and more frequently across more of the State. This can have broad-ranging benefits, including reducing carbon emissions, improving air quality, and delivering a boost in </w:t>
      </w:r>
      <w:r w:rsidR="0075048E" w:rsidRPr="00BC6D47">
        <w:t xml:space="preserve">tourism and </w:t>
      </w:r>
      <w:r w:rsidRPr="00BC6D47">
        <w:t>economic activity across the regions.</w:t>
      </w:r>
    </w:p>
    <w:p w14:paraId="2E97447A" w14:textId="5B6E11D5" w:rsidR="004C6F2C" w:rsidRPr="00617415" w:rsidRDefault="007D422C" w:rsidP="001B74FC">
      <w:pPr>
        <w:pStyle w:val="Heading3"/>
      </w:pPr>
      <w:r w:rsidRPr="00617415">
        <w:t>Ports</w:t>
      </w:r>
    </w:p>
    <w:p w14:paraId="145A8E92" w14:textId="442E8828" w:rsidR="00BE30AE" w:rsidRPr="00617415" w:rsidRDefault="00BE30AE" w:rsidP="001B74FC">
      <w:pPr>
        <w:pStyle w:val="Heading4"/>
      </w:pPr>
      <w:r w:rsidRPr="00617415">
        <w:t>Port Authority of NSW (Port Authority)</w:t>
      </w:r>
    </w:p>
    <w:p w14:paraId="5449E5A1" w14:textId="4928F504" w:rsidR="003A407E" w:rsidRPr="00617415" w:rsidRDefault="009407E4" w:rsidP="00947D2B">
      <w:pPr>
        <w:pStyle w:val="BodyText"/>
      </w:pPr>
      <w:r w:rsidRPr="00BC6D47">
        <w:t xml:space="preserve">Port Authority is responsible for all commercial marine functions in the ports of Sydney Harbour, Port Botany, Newcastle Harbour, Port Kembla, Port of Eden and Port of Yamba. These include the statutory Harbour Master’s function, pilotage and navigation services, port safety functions, and port and terminal operations.   </w:t>
      </w:r>
    </w:p>
    <w:p w14:paraId="48E13F7F" w14:textId="2E8447E2" w:rsidR="009407E4" w:rsidRPr="00617415" w:rsidRDefault="009407E4" w:rsidP="00947D2B">
      <w:pPr>
        <w:pStyle w:val="BodyText"/>
      </w:pPr>
      <w:r w:rsidRPr="00BC6D47">
        <w:t xml:space="preserve">Port Authority is committed to embedding sustainability across the organisation, guided by </w:t>
      </w:r>
      <w:r w:rsidR="00B319A5">
        <w:t>its</w:t>
      </w:r>
      <w:r w:rsidRPr="00BC6D47">
        <w:t xml:space="preserve"> Net Zero implementation pathway to 75</w:t>
      </w:r>
      <w:r w:rsidR="00FA7D60" w:rsidRPr="00BC6D47">
        <w:t xml:space="preserve"> per cent</w:t>
      </w:r>
      <w:r w:rsidRPr="00BC6D47">
        <w:t xml:space="preserve"> reduction in scope 1 and scope 2 emissions by 2030 and overall net zero balance by 2040. Key initiatives include:</w:t>
      </w:r>
    </w:p>
    <w:p w14:paraId="044DC44E" w14:textId="36296C88" w:rsidR="009407E4" w:rsidRPr="00617415" w:rsidRDefault="00FD6A3D" w:rsidP="00947D2B">
      <w:pPr>
        <w:pStyle w:val="Bullet1"/>
      </w:pPr>
      <w:r w:rsidRPr="00617415">
        <w:t>d</w:t>
      </w:r>
      <w:r w:rsidR="009407E4" w:rsidRPr="00617415">
        <w:t>elivery of the Vehicle Fleet EV Transition Strategy</w:t>
      </w:r>
    </w:p>
    <w:p w14:paraId="36709DA8" w14:textId="6E357046" w:rsidR="009407E4" w:rsidRPr="00617415" w:rsidRDefault="00FD6A3D" w:rsidP="00947D2B">
      <w:pPr>
        <w:pStyle w:val="Bullet1"/>
      </w:pPr>
      <w:r w:rsidRPr="00BC6D47">
        <w:t>c</w:t>
      </w:r>
      <w:r w:rsidR="009407E4" w:rsidRPr="00BC6D47">
        <w:t>ontinuing to reduce vessel emissions through operational efficiencies and long-term decarbonisation of the vessel fleet</w:t>
      </w:r>
    </w:p>
    <w:p w14:paraId="195D0E26" w14:textId="2505FA19" w:rsidR="009407E4" w:rsidRPr="00617415" w:rsidRDefault="00FD6A3D" w:rsidP="00947D2B">
      <w:pPr>
        <w:pStyle w:val="Bullet1"/>
      </w:pPr>
      <w:r w:rsidRPr="00617415">
        <w:t>d</w:t>
      </w:r>
      <w:r w:rsidR="009407E4" w:rsidRPr="00617415">
        <w:t>evelop</w:t>
      </w:r>
      <w:r w:rsidR="00685DC5">
        <w:t>ing</w:t>
      </w:r>
      <w:r w:rsidR="009407E4" w:rsidRPr="00617415">
        <w:t xml:space="preserve"> best practice methods for the biocultural restoration of the endangered seagrass Posidonia australis in Botany Bay</w:t>
      </w:r>
    </w:p>
    <w:p w14:paraId="21F492A9" w14:textId="7A453894" w:rsidR="009407E4" w:rsidRPr="00617415" w:rsidRDefault="00FD6A3D" w:rsidP="00947D2B">
      <w:pPr>
        <w:pStyle w:val="Bullet1"/>
      </w:pPr>
      <w:r w:rsidRPr="00617415">
        <w:t>i</w:t>
      </w:r>
      <w:r w:rsidR="009407E4" w:rsidRPr="00617415">
        <w:t>nstallation of Shore Power at the White Bay Cruise Terminal by 2026-27.</w:t>
      </w:r>
    </w:p>
    <w:p w14:paraId="46568E4B" w14:textId="248A47B4" w:rsidR="009407E4" w:rsidRPr="00617415" w:rsidRDefault="009407E4" w:rsidP="00947D2B">
      <w:pPr>
        <w:pStyle w:val="BodyText"/>
      </w:pPr>
      <w:r w:rsidRPr="00BC6D47">
        <w:t>In 2025-26, Port Authority will also publish its first standalone Sustainability Report (with</w:t>
      </w:r>
      <w:r w:rsidR="00EB788C">
        <w:t> </w:t>
      </w:r>
      <w:r w:rsidRPr="00BC6D47">
        <w:t xml:space="preserve">reference to the Global Reporting Initiative). </w:t>
      </w:r>
    </w:p>
    <w:p w14:paraId="29224BC8" w14:textId="70C327F7" w:rsidR="009407E4" w:rsidRPr="00617415" w:rsidRDefault="009407E4" w:rsidP="00947D2B">
      <w:pPr>
        <w:pStyle w:val="BodyText"/>
      </w:pPr>
      <w:r w:rsidRPr="00BC6D47">
        <w:t>In 2025-26, Port Authority will enhance cruise infrastructure by continuing Stage 2 of the Berthing Infrastructure Project at the Overseas Passenger Terminal and participating in the Cruise Industry Advisory Panel to identify options for long-term growth in N</w:t>
      </w:r>
      <w:r w:rsidR="00687CDA" w:rsidRPr="00BC6D47">
        <w:t xml:space="preserve">ew </w:t>
      </w:r>
      <w:r w:rsidRPr="00BC6D47">
        <w:t>S</w:t>
      </w:r>
      <w:r w:rsidR="00687CDA" w:rsidRPr="00BC6D47">
        <w:t xml:space="preserve">outh </w:t>
      </w:r>
      <w:r w:rsidRPr="00BC6D47">
        <w:t>W</w:t>
      </w:r>
      <w:r w:rsidR="00687CDA" w:rsidRPr="00BC6D47">
        <w:t>ales</w:t>
      </w:r>
      <w:r w:rsidRPr="00BC6D47">
        <w:t>.</w:t>
      </w:r>
    </w:p>
    <w:p w14:paraId="2DD81677" w14:textId="5A529C12" w:rsidR="007D025D" w:rsidRPr="00617415" w:rsidRDefault="007D025D" w:rsidP="001B74FC">
      <w:pPr>
        <w:pStyle w:val="Heading3"/>
      </w:pPr>
      <w:r w:rsidRPr="00617415">
        <w:t>Forestry</w:t>
      </w:r>
    </w:p>
    <w:p w14:paraId="55E2AAE5" w14:textId="70422566" w:rsidR="007D025D" w:rsidRPr="00617415" w:rsidRDefault="007D025D" w:rsidP="001B74FC">
      <w:pPr>
        <w:pStyle w:val="Heading4"/>
      </w:pPr>
      <w:r w:rsidRPr="00617415">
        <w:t>Forestry Corporation of NSW (Forestry Corporation)</w:t>
      </w:r>
    </w:p>
    <w:p w14:paraId="30AAA5EF" w14:textId="0CD7600F" w:rsidR="009D5FA1" w:rsidRPr="00617415" w:rsidRDefault="009D5FA1" w:rsidP="00947D2B">
      <w:pPr>
        <w:pStyle w:val="BodyText"/>
      </w:pPr>
      <w:r w:rsidRPr="00BC6D47">
        <w:t xml:space="preserve">Forestry Corporation manages </w:t>
      </w:r>
      <w:r w:rsidR="003736DC">
        <w:t>s</w:t>
      </w:r>
      <w:r w:rsidRPr="00BC6D47">
        <w:t xml:space="preserve">tate forests. It delivers a range of other public services including recreation, tourism, conservation and firefighting. </w:t>
      </w:r>
    </w:p>
    <w:p w14:paraId="1DAC9659" w14:textId="73423040" w:rsidR="009D5FA1" w:rsidRPr="00617415" w:rsidRDefault="009D5FA1" w:rsidP="00947D2B">
      <w:pPr>
        <w:pStyle w:val="BodyText"/>
      </w:pPr>
      <w:r w:rsidRPr="00BC6D47">
        <w:t xml:space="preserve">Forestry Corporation continues to progress explorations of </w:t>
      </w:r>
      <w:r w:rsidR="006173E6" w:rsidRPr="00BC6D47">
        <w:t>w</w:t>
      </w:r>
      <w:r w:rsidRPr="00BC6D47">
        <w:t xml:space="preserve">ind </w:t>
      </w:r>
      <w:r w:rsidR="006173E6" w:rsidRPr="00BC6D47">
        <w:t>f</w:t>
      </w:r>
      <w:r w:rsidRPr="00BC6D47">
        <w:t>arms for renewable electricity generation within the State Forest Pine Plantations. It has issued investigation permits to successful proponents in four locations across New South Wales who are engaging with local communities and comp</w:t>
      </w:r>
      <w:r w:rsidR="006173E6" w:rsidRPr="00BC6D47">
        <w:t>l</w:t>
      </w:r>
      <w:r w:rsidRPr="00BC6D47">
        <w:t xml:space="preserve">eting environmental feasibility before submitting development applications in coming years. </w:t>
      </w:r>
    </w:p>
    <w:p w14:paraId="0110839E" w14:textId="7841A907" w:rsidR="009D5FA1" w:rsidRPr="00617415" w:rsidRDefault="009D5FA1" w:rsidP="00947D2B">
      <w:pPr>
        <w:pStyle w:val="BodyText"/>
      </w:pPr>
      <w:r w:rsidRPr="00617415">
        <w:t xml:space="preserve">Since the 2019-20 Black Summer Fires, Forestry Corporation continues to make substantial investments in regrowing and expanding its State Forest </w:t>
      </w:r>
      <w:r w:rsidR="0056572B" w:rsidRPr="00617415">
        <w:t>P</w:t>
      </w:r>
      <w:r w:rsidRPr="00617415">
        <w:t xml:space="preserve">ine </w:t>
      </w:r>
      <w:r w:rsidR="0056572B" w:rsidRPr="00617415">
        <w:t>P</w:t>
      </w:r>
      <w:r w:rsidRPr="00617415">
        <w:t>lantations</w:t>
      </w:r>
      <w:r w:rsidR="0056572B" w:rsidRPr="00617415">
        <w:t>,</w:t>
      </w:r>
      <w:r w:rsidRPr="00617415">
        <w:t xml:space="preserve"> producing enough renewable timber to build approximately 40,000 homes annually. </w:t>
      </w:r>
    </w:p>
    <w:p w14:paraId="641E8B17" w14:textId="77777777" w:rsidR="006F695C" w:rsidRDefault="006F695C">
      <w:pPr>
        <w:spacing w:before="360" w:after="120"/>
        <w:ind w:left="851" w:hanging="851"/>
        <w:rPr>
          <w:rFonts w:ascii="Public Sans SemiBold" w:hAnsi="Public Sans SemiBold"/>
          <w:b/>
          <w:color w:val="000000" w:themeColor="text1"/>
          <w:sz w:val="28"/>
        </w:rPr>
      </w:pPr>
      <w:bookmarkStart w:id="1" w:name="_Hlk198897382"/>
      <w:r>
        <w:br w:type="page"/>
      </w:r>
    </w:p>
    <w:p w14:paraId="3842EC74" w14:textId="3A1F76D5" w:rsidR="007D025D" w:rsidRPr="00617415" w:rsidRDefault="007D025D" w:rsidP="005D5DD6">
      <w:pPr>
        <w:pStyle w:val="9XHeading2"/>
      </w:pPr>
      <w:r w:rsidRPr="00617415">
        <w:lastRenderedPageBreak/>
        <w:t>Capital expenditure</w:t>
      </w:r>
      <w:bookmarkEnd w:id="1"/>
    </w:p>
    <w:p w14:paraId="59550FC0" w14:textId="745DD139" w:rsidR="00B61D21" w:rsidRPr="00617415" w:rsidRDefault="00B61D21" w:rsidP="00947D2B">
      <w:pPr>
        <w:pStyle w:val="BodyText"/>
      </w:pPr>
      <w:r w:rsidRPr="00BC6D47">
        <w:t xml:space="preserve">In 2024-25, capital expenditure within </w:t>
      </w:r>
      <w:r w:rsidR="006E3109" w:rsidRPr="00BC6D47">
        <w:t xml:space="preserve">the </w:t>
      </w:r>
      <w:r w:rsidRPr="00BC6D47">
        <w:t xml:space="preserve">PNFC sector is projected to be </w:t>
      </w:r>
      <w:r w:rsidRPr="005D5DD6">
        <w:t>$</w:t>
      </w:r>
      <w:r w:rsidR="49BB3C6E" w:rsidRPr="005D5DD6">
        <w:t>6.9</w:t>
      </w:r>
      <w:r w:rsidR="006E3109" w:rsidRPr="005D5DD6">
        <w:t xml:space="preserve"> </w:t>
      </w:r>
      <w:r w:rsidRPr="005D5DD6">
        <w:t>b</w:t>
      </w:r>
      <w:r w:rsidR="006E3109" w:rsidRPr="005D5DD6">
        <w:t>illio</w:t>
      </w:r>
      <w:r w:rsidRPr="005D5DD6">
        <w:t>n</w:t>
      </w:r>
      <w:r w:rsidRPr="00BC6D47">
        <w:t>, which is $</w:t>
      </w:r>
      <w:r w:rsidR="73EEDE26" w:rsidRPr="005D5DD6">
        <w:t>4</w:t>
      </w:r>
      <w:r w:rsidR="0072532C" w:rsidRPr="005D5DD6">
        <w:t>41.8</w:t>
      </w:r>
      <w:r w:rsidR="785D5DA5" w:rsidRPr="005D5DD6">
        <w:t xml:space="preserve"> million</w:t>
      </w:r>
      <w:r w:rsidR="006E3109" w:rsidRPr="00BC6D47">
        <w:t xml:space="preserve"> </w:t>
      </w:r>
      <w:r w:rsidR="7321CFAF" w:rsidRPr="00BC6D47">
        <w:t xml:space="preserve">lower </w:t>
      </w:r>
      <w:r w:rsidRPr="00BC6D47">
        <w:t>than projected in the 2024-25 Half-Yearly Review.</w:t>
      </w:r>
    </w:p>
    <w:p w14:paraId="2F4A222D" w14:textId="1362873B" w:rsidR="00B61D21" w:rsidRPr="00617415" w:rsidRDefault="00B61D21" w:rsidP="00947D2B">
      <w:pPr>
        <w:pStyle w:val="BodyText"/>
      </w:pPr>
      <w:r w:rsidRPr="00617415">
        <w:t xml:space="preserve">Over the </w:t>
      </w:r>
      <w:r w:rsidR="00595DB0">
        <w:t>budget year and forward estimates</w:t>
      </w:r>
      <w:r w:rsidR="0059073B">
        <w:t>,</w:t>
      </w:r>
      <w:r w:rsidRPr="00617415">
        <w:t xml:space="preserve"> capital expenditure within the PNFC sector is projected to be $</w:t>
      </w:r>
      <w:r w:rsidR="62639532" w:rsidRPr="005D5DD6">
        <w:t>3</w:t>
      </w:r>
      <w:r w:rsidR="00F7126D" w:rsidRPr="005D5DD6">
        <w:t>2.</w:t>
      </w:r>
      <w:r w:rsidR="00F0420D" w:rsidRPr="005D5DD6">
        <w:t>6</w:t>
      </w:r>
      <w:r w:rsidRPr="00617415">
        <w:t xml:space="preserve"> billion. This is </w:t>
      </w:r>
      <w:r w:rsidRPr="005D5DD6">
        <w:t>$</w:t>
      </w:r>
      <w:r w:rsidR="00270CCE" w:rsidRPr="005D5DD6">
        <w:t>818.2 million</w:t>
      </w:r>
      <w:r w:rsidR="00270CCE">
        <w:t xml:space="preserve"> lower</w:t>
      </w:r>
      <w:r w:rsidRPr="00617415">
        <w:t xml:space="preserve"> than projected in the comparative forecast periods in the 2024-25 Half-Yearly Review. </w:t>
      </w:r>
    </w:p>
    <w:p w14:paraId="4A0DE1A1" w14:textId="0F324045" w:rsidR="00B61D21" w:rsidRPr="00617415" w:rsidRDefault="00B61D21" w:rsidP="00947D2B">
      <w:pPr>
        <w:pStyle w:val="BodyText"/>
      </w:pPr>
      <w:r w:rsidRPr="00617415">
        <w:t>Key drivers include</w:t>
      </w:r>
      <w:r w:rsidR="00862F16">
        <w:t xml:space="preserve"> a</w:t>
      </w:r>
      <w:r w:rsidRPr="00617415">
        <w:t>:</w:t>
      </w:r>
    </w:p>
    <w:p w14:paraId="7E34D212" w14:textId="4687CD62" w:rsidR="00862F16" w:rsidRPr="005D5DD6" w:rsidRDefault="00862F16" w:rsidP="00947D2B">
      <w:pPr>
        <w:pStyle w:val="Bullet1"/>
      </w:pPr>
      <w:r w:rsidRPr="005D5DD6">
        <w:t>$2.</w:t>
      </w:r>
      <w:r w:rsidR="00710F70" w:rsidRPr="005D5DD6">
        <w:t>0</w:t>
      </w:r>
      <w:r w:rsidRPr="005D5DD6">
        <w:t xml:space="preserve"> billion decrease </w:t>
      </w:r>
      <w:r w:rsidR="001E151E" w:rsidRPr="005D5DD6">
        <w:t>resulting from</w:t>
      </w:r>
      <w:r w:rsidR="0095341F" w:rsidRPr="005D5DD6">
        <w:t xml:space="preserve"> </w:t>
      </w:r>
      <w:r w:rsidR="000741EE" w:rsidRPr="005D5DD6">
        <w:t xml:space="preserve">the conversion of </w:t>
      </w:r>
      <w:r w:rsidR="006302E1" w:rsidRPr="005D5DD6">
        <w:t xml:space="preserve">the Transport Asset Holding Entity of NSW from a for-profit </w:t>
      </w:r>
      <w:r w:rsidR="00DE003A" w:rsidRPr="005D5DD6">
        <w:t xml:space="preserve">SOC into a not-for-profit </w:t>
      </w:r>
      <w:r w:rsidR="0031036C" w:rsidRPr="005D5DD6">
        <w:t xml:space="preserve">statutory authority </w:t>
      </w:r>
      <w:r w:rsidR="001014E2" w:rsidRPr="005D5DD6">
        <w:t xml:space="preserve">named </w:t>
      </w:r>
      <w:r w:rsidR="00C70FA9" w:rsidRPr="005D5DD6">
        <w:t xml:space="preserve">Transport </w:t>
      </w:r>
      <w:r w:rsidR="002107F0" w:rsidRPr="005D5DD6">
        <w:t xml:space="preserve">Asset </w:t>
      </w:r>
      <w:r w:rsidR="00C70FA9" w:rsidRPr="005D5DD6">
        <w:t>Manage</w:t>
      </w:r>
      <w:r w:rsidR="002107F0" w:rsidRPr="005D5DD6">
        <w:t>r of NSW</w:t>
      </w:r>
      <w:r w:rsidR="009E4805" w:rsidRPr="005D5DD6">
        <w:t xml:space="preserve">, </w:t>
      </w:r>
      <w:r w:rsidR="001643BD" w:rsidRPr="005D5DD6">
        <w:t xml:space="preserve">and a change in </w:t>
      </w:r>
      <w:r w:rsidR="00FA6664">
        <w:t>its</w:t>
      </w:r>
      <w:r w:rsidR="001643BD" w:rsidRPr="005D5DD6" w:rsidDel="00FA6664">
        <w:t xml:space="preserve"> </w:t>
      </w:r>
      <w:r w:rsidR="009E4805" w:rsidRPr="005D5DD6">
        <w:t>asset valuation</w:t>
      </w:r>
      <w:r w:rsidR="00C70FA9" w:rsidRPr="005D5DD6">
        <w:t xml:space="preserve"> </w:t>
      </w:r>
      <w:r w:rsidR="001643BD" w:rsidRPr="005D5DD6">
        <w:t>methodology accordingly</w:t>
      </w:r>
      <w:r w:rsidR="00C70FA9" w:rsidRPr="005D5DD6">
        <w:t xml:space="preserve"> </w:t>
      </w:r>
    </w:p>
    <w:p w14:paraId="2350A1FE" w14:textId="222057E3" w:rsidR="00862F16" w:rsidRDefault="00862F16" w:rsidP="00947D2B">
      <w:pPr>
        <w:pStyle w:val="Bullet1"/>
      </w:pPr>
      <w:r w:rsidRPr="005D5DD6">
        <w:t>$376.2 million</w:t>
      </w:r>
      <w:r w:rsidRPr="004338C4">
        <w:t xml:space="preserve"> decrease from Sydney Water</w:t>
      </w:r>
      <w:r>
        <w:t xml:space="preserve"> following a reduction in the forecast cost of stormwater infrastructure in the Mamre Road and Aerotropolis precincts</w:t>
      </w:r>
    </w:p>
    <w:p w14:paraId="40066912" w14:textId="207E92DF" w:rsidR="00862F16" w:rsidRDefault="001A181C" w:rsidP="00947D2B">
      <w:pPr>
        <w:pStyle w:val="Bullet1"/>
      </w:pPr>
      <w:r>
        <w:t>p</w:t>
      </w:r>
      <w:r w:rsidR="00862F16">
        <w:t>artially offset by a:</w:t>
      </w:r>
    </w:p>
    <w:p w14:paraId="1195A9B2" w14:textId="61983C55" w:rsidR="00B61D21" w:rsidRPr="00617415" w:rsidRDefault="00B61D21" w:rsidP="00947D2B">
      <w:pPr>
        <w:pStyle w:val="Bullet2"/>
      </w:pPr>
      <w:r w:rsidRPr="00617415">
        <w:t>$626</w:t>
      </w:r>
      <w:r w:rsidR="098CDBCD">
        <w:t>.9</w:t>
      </w:r>
      <w:r w:rsidRPr="00617415">
        <w:t xml:space="preserve"> million increase from Essential Energy related to </w:t>
      </w:r>
      <w:r w:rsidR="00CF6F9D">
        <w:t xml:space="preserve">ongoing investment </w:t>
      </w:r>
      <w:r w:rsidR="009853D4">
        <w:t>i</w:t>
      </w:r>
      <w:r w:rsidR="00CF6F9D">
        <w:t>n the network and increased</w:t>
      </w:r>
      <w:r w:rsidRPr="00617415">
        <w:t xml:space="preserve"> expenditure </w:t>
      </w:r>
      <w:r w:rsidR="00CF6F9D">
        <w:t>to deliver major</w:t>
      </w:r>
      <w:r w:rsidRPr="00617415">
        <w:t xml:space="preserve"> connection </w:t>
      </w:r>
      <w:r w:rsidR="00CF6F9D">
        <w:t>projects</w:t>
      </w:r>
    </w:p>
    <w:p w14:paraId="5EAFB396" w14:textId="26B96EAB" w:rsidR="00B61D21" w:rsidRPr="00617415" w:rsidRDefault="00B61D21" w:rsidP="00947D2B">
      <w:pPr>
        <w:pStyle w:val="Bullet2"/>
      </w:pPr>
      <w:r>
        <w:t>$480</w:t>
      </w:r>
      <w:r w:rsidR="7888E317">
        <w:t>.1</w:t>
      </w:r>
      <w:r w:rsidR="00967FCF">
        <w:t xml:space="preserve"> </w:t>
      </w:r>
      <w:r>
        <w:t>m</w:t>
      </w:r>
      <w:r w:rsidR="00967FCF">
        <w:t>illion</w:t>
      </w:r>
      <w:r>
        <w:t xml:space="preserve"> increase </w:t>
      </w:r>
      <w:r w:rsidR="002D56FD">
        <w:t xml:space="preserve">from </w:t>
      </w:r>
      <w:r>
        <w:t xml:space="preserve">Landcom due to the capitalisation of the previously funded </w:t>
      </w:r>
      <w:r w:rsidR="00673DD4">
        <w:t>b</w:t>
      </w:r>
      <w:r>
        <w:t>uild</w:t>
      </w:r>
      <w:r w:rsidR="00673DD4">
        <w:t>-</w:t>
      </w:r>
      <w:r>
        <w:t>to</w:t>
      </w:r>
      <w:r w:rsidR="00673DD4">
        <w:t>-</w:t>
      </w:r>
      <w:r w:rsidR="00AD0490">
        <w:t>r</w:t>
      </w:r>
      <w:r>
        <w:t>ent properties on Landcom’s balance sheet</w:t>
      </w:r>
      <w:r w:rsidR="009478BD">
        <w:t>.</w:t>
      </w:r>
    </w:p>
    <w:p w14:paraId="277224C5" w14:textId="4D348930" w:rsidR="00DA690C" w:rsidRPr="00617415" w:rsidRDefault="00DA690C" w:rsidP="00947D2B">
      <w:pPr>
        <w:pStyle w:val="BodyText"/>
      </w:pPr>
      <w:r w:rsidRPr="00DA690C">
        <w:rPr>
          <w:rStyle w:val="BodyTextChar"/>
        </w:rPr>
        <w:t>The Final IPART determinations are likely to result in a reduction in the forecast capital</w:t>
      </w:r>
      <w:r>
        <w:t xml:space="preserve"> expenditure for both Sydney Water and WaterNSW</w:t>
      </w:r>
      <w:r w:rsidR="002579DD">
        <w:t xml:space="preserve"> (</w:t>
      </w:r>
      <w:r w:rsidR="004972E2">
        <w:t>s</w:t>
      </w:r>
      <w:r w:rsidR="002579DD">
        <w:t xml:space="preserve">ee </w:t>
      </w:r>
      <w:r w:rsidR="008A7DA7">
        <w:t>Box 9.</w:t>
      </w:r>
      <w:r w:rsidR="002579DD">
        <w:t>2 for</w:t>
      </w:r>
      <w:r w:rsidR="004972E2">
        <w:t xml:space="preserve"> </w:t>
      </w:r>
      <w:r w:rsidR="002579DD">
        <w:t>detail</w:t>
      </w:r>
      <w:r w:rsidR="00940DD4">
        <w:t>s</w:t>
      </w:r>
      <w:r w:rsidR="002579DD">
        <w:t>)</w:t>
      </w:r>
      <w:r>
        <w:t>.</w:t>
      </w:r>
    </w:p>
    <w:p w14:paraId="7CA10242" w14:textId="77777777" w:rsidR="00CD1938" w:rsidRPr="00617415" w:rsidRDefault="00CD1938" w:rsidP="005D5DD6">
      <w:pPr>
        <w:pStyle w:val="Chart9X"/>
      </w:pPr>
      <w:r w:rsidRPr="00617415">
        <w:t>Capital expenditure of the PNFC sector</w:t>
      </w:r>
    </w:p>
    <w:p w14:paraId="2876B0CF" w14:textId="415D9129" w:rsidR="00105BF9" w:rsidRPr="00617415" w:rsidRDefault="00105BF9" w:rsidP="00CD1938">
      <w:r>
        <w:rPr>
          <w:noProof/>
        </w:rPr>
        <w:drawing>
          <wp:inline distT="0" distB="0" distL="0" distR="0" wp14:anchorId="3D96A2E4" wp14:editId="16F494FC">
            <wp:extent cx="6120765" cy="3169285"/>
            <wp:effectExtent l="0" t="0" r="0" b="0"/>
            <wp:docPr id="1144635540" name="Chart 1" descr="Chart 9.1: Capital expenditure of the PNFC sector">
              <a:extLst xmlns:a="http://schemas.openxmlformats.org/drawingml/2006/main">
                <a:ext uri="{FF2B5EF4-FFF2-40B4-BE49-F238E27FC236}">
                  <a16:creationId xmlns:a16="http://schemas.microsoft.com/office/drawing/2014/main" id="{FDD62A31-5CD3-8FE8-AD4E-D1C64A209B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688620" w14:textId="24E13A53" w:rsidR="00446F98" w:rsidRPr="00617415" w:rsidRDefault="00446F98" w:rsidP="00E16B63"/>
    <w:p w14:paraId="16962214" w14:textId="77777777" w:rsidR="00715126" w:rsidRDefault="00715126">
      <w:pPr>
        <w:spacing w:before="360" w:after="120"/>
        <w:ind w:left="851" w:hanging="851"/>
        <w:rPr>
          <w:rFonts w:ascii="Public Sans SemiBold" w:hAnsi="Public Sans SemiBold"/>
          <w:b/>
          <w:color w:val="000000" w:themeColor="text1"/>
          <w:sz w:val="28"/>
        </w:rPr>
      </w:pPr>
      <w:r>
        <w:br w:type="page"/>
      </w:r>
    </w:p>
    <w:p w14:paraId="15D68441" w14:textId="1627F95D" w:rsidR="000A5295" w:rsidRPr="00617415" w:rsidRDefault="000A5295" w:rsidP="005D5DD6">
      <w:pPr>
        <w:pStyle w:val="9XHeading2"/>
      </w:pPr>
      <w:r w:rsidRPr="00617415">
        <w:lastRenderedPageBreak/>
        <w:t>Major public financial corporations</w:t>
      </w:r>
    </w:p>
    <w:p w14:paraId="1782F3FA" w14:textId="07D48011" w:rsidR="000A5295" w:rsidRPr="00617415" w:rsidRDefault="000A5295" w:rsidP="001B74FC">
      <w:pPr>
        <w:pStyle w:val="Heading3"/>
      </w:pPr>
      <w:r w:rsidRPr="00BC6D47">
        <w:t>NSW Treasury Corporation</w:t>
      </w:r>
      <w:r w:rsidR="0029387B" w:rsidRPr="00BC6D47">
        <w:t xml:space="preserve"> (TCorp)</w:t>
      </w:r>
    </w:p>
    <w:p w14:paraId="68909BC9" w14:textId="091BE210" w:rsidR="002D3998" w:rsidRPr="00BC6D47" w:rsidRDefault="002D3998" w:rsidP="00947D2B">
      <w:pPr>
        <w:pStyle w:val="BodyText"/>
      </w:pPr>
      <w:r w:rsidRPr="00BC6D47">
        <w:t xml:space="preserve">TCorp is the State’s investment management agency and central financing authority. TCorp’s total funds under management was around $114.7 billion as at 30 April 2025, making it one of Australia’s largest fund managers.  </w:t>
      </w:r>
    </w:p>
    <w:p w14:paraId="0EB557F9" w14:textId="6B4AC7F4" w:rsidR="002D3998" w:rsidRPr="00617415" w:rsidRDefault="002D3998" w:rsidP="00947D2B">
      <w:pPr>
        <w:pStyle w:val="BodyText"/>
      </w:pPr>
      <w:r w:rsidRPr="00BC6D47">
        <w:t xml:space="preserve">As at 30 April 2025, TCorp has raised $25.6 billion face value in debt funding and had maturities of $8.9 billion face value during 2024-25. </w:t>
      </w:r>
      <w:r w:rsidR="00DE71EE">
        <w:t>The NSW Sustainability Bond Program</w:t>
      </w:r>
      <w:r w:rsidR="00EA13D7">
        <w:t>me</w:t>
      </w:r>
      <w:r w:rsidRPr="00BC6D47">
        <w:t xml:space="preserve"> remains at $11.9 billion face value outstanding, making TCorp one of the largest government issuers of sustainability bonds in Australia.</w:t>
      </w:r>
    </w:p>
    <w:p w14:paraId="03EA73A7" w14:textId="18BB2669" w:rsidR="00F30B1D" w:rsidRDefault="002D3998" w:rsidP="00947D2B">
      <w:pPr>
        <w:pStyle w:val="BodyText"/>
      </w:pPr>
      <w:r w:rsidRPr="00BC6D47">
        <w:t xml:space="preserve">TCorp implemented the Government’s policy to centralise the investment management for </w:t>
      </w:r>
      <w:r w:rsidR="00C458FF">
        <w:t xml:space="preserve">four </w:t>
      </w:r>
      <w:r w:rsidRPr="00BC6D47">
        <w:t>NSW Treasury controlled funds</w:t>
      </w:r>
      <w:r w:rsidR="009A14A4">
        <w:t xml:space="preserve">, </w:t>
      </w:r>
      <w:r w:rsidRPr="00BC6D47">
        <w:t>two icare</w:t>
      </w:r>
      <w:r w:rsidR="0045438F" w:rsidRPr="00BC6D47">
        <w:rPr>
          <w:rStyle w:val="FootnoteReference"/>
        </w:rPr>
        <w:footnoteReference w:id="2"/>
      </w:r>
      <w:r w:rsidRPr="00BC6D47">
        <w:t xml:space="preserve"> portfolios</w:t>
      </w:r>
      <w:r w:rsidR="009A14A4">
        <w:t>, and others</w:t>
      </w:r>
      <w:r w:rsidRPr="00BC6D47">
        <w:t xml:space="preserve"> into a single whole</w:t>
      </w:r>
      <w:r w:rsidR="00947D2B">
        <w:noBreakHyphen/>
      </w:r>
      <w:r w:rsidRPr="00BC6D47">
        <w:t>of</w:t>
      </w:r>
      <w:r w:rsidR="00947D2B">
        <w:noBreakHyphen/>
      </w:r>
      <w:r w:rsidRPr="00BC6D47">
        <w:t>state fund, OneFund</w:t>
      </w:r>
      <w:r w:rsidR="00097761">
        <w:t>,</w:t>
      </w:r>
      <w:r w:rsidRPr="00BC6D47">
        <w:t xml:space="preserve"> during 2024-25. OneFund is expected to deliver higher investment returns on behalf of the State. OneFund held $62.1 billion in assets under management as at 30 April 2025.</w:t>
      </w:r>
    </w:p>
    <w:p w14:paraId="0933FB4D" w14:textId="482C5FEB" w:rsidR="00940343" w:rsidRPr="00617415" w:rsidRDefault="00F30B1D" w:rsidP="00D25169">
      <w:pPr>
        <w:pStyle w:val="Chart9X"/>
      </w:pPr>
      <w:r>
        <w:t>Composition of OneFund</w:t>
      </w:r>
      <w:r w:rsidR="00C9420F">
        <w:t xml:space="preserve"> as at 30 April 2025</w:t>
      </w:r>
    </w:p>
    <w:p w14:paraId="0DBFCFB0" w14:textId="125E596A" w:rsidR="00543CB6" w:rsidRPr="00617415" w:rsidRDefault="00543CB6" w:rsidP="00630698">
      <w:r>
        <w:rPr>
          <w:noProof/>
        </w:rPr>
        <w:drawing>
          <wp:inline distT="0" distB="0" distL="0" distR="0" wp14:anchorId="48990582" wp14:editId="4077E6DD">
            <wp:extent cx="6120765" cy="2616200"/>
            <wp:effectExtent l="0" t="0" r="0" b="0"/>
            <wp:docPr id="52616442" name="Chart 1" descr="Chart 9.2: Composition of OneFund as at 30 April 2025">
              <a:extLst xmlns:a="http://schemas.openxmlformats.org/drawingml/2006/main">
                <a:ext uri="{FF2B5EF4-FFF2-40B4-BE49-F238E27FC236}">
                  <a16:creationId xmlns:a16="http://schemas.microsoft.com/office/drawing/2014/main" id="{47F13D9C-F1F1-43F7-9E05-72CF681FA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C967A1" w14:textId="0CB181F6" w:rsidR="0029387B" w:rsidRPr="00617415" w:rsidRDefault="0029387B" w:rsidP="001B74FC">
      <w:pPr>
        <w:pStyle w:val="Heading3"/>
      </w:pPr>
      <w:r w:rsidRPr="00BC6D47">
        <w:t>icare</w:t>
      </w:r>
    </w:p>
    <w:p w14:paraId="400D7AEA" w14:textId="77777777" w:rsidR="001944D5" w:rsidRPr="00617415" w:rsidRDefault="001944D5" w:rsidP="00947D2B">
      <w:pPr>
        <w:pStyle w:val="BodyText"/>
      </w:pPr>
      <w:r w:rsidRPr="00BC6D47">
        <w:t>icare is the State’s insurer and its aim is to protect, insure and care for people injured at work and on the road, businesses, government agencies, builders and homeowners.</w:t>
      </w:r>
    </w:p>
    <w:p w14:paraId="603130C8" w14:textId="22878816" w:rsidR="001944D5" w:rsidRPr="00617415" w:rsidRDefault="001944D5" w:rsidP="00947D2B">
      <w:pPr>
        <w:pStyle w:val="BodyText"/>
      </w:pPr>
      <w:r w:rsidRPr="00BC6D47">
        <w:t xml:space="preserve">Following passage of legislative amendments to the </w:t>
      </w:r>
      <w:r w:rsidRPr="00BC6D47">
        <w:rPr>
          <w:i/>
        </w:rPr>
        <w:t>State Insurance and Care Governance Act</w:t>
      </w:r>
      <w:r w:rsidR="00FA5A59">
        <w:rPr>
          <w:i/>
        </w:rPr>
        <w:t> </w:t>
      </w:r>
      <w:r w:rsidRPr="00BC6D47">
        <w:rPr>
          <w:i/>
        </w:rPr>
        <w:t>2015</w:t>
      </w:r>
      <w:r w:rsidRPr="00BC6D47">
        <w:t xml:space="preserve"> in 2024, and completion of its Enterprise Improvement Program, icare continues to transform and build on solid foundations designed to promote efficiency, transparency, and accountability in the conduct of its operations. This includes the roll</w:t>
      </w:r>
      <w:r w:rsidR="00FA5A59">
        <w:t xml:space="preserve"> </w:t>
      </w:r>
      <w:r w:rsidRPr="00BC6D47">
        <w:t xml:space="preserve">out of a new and upgraded Lung Bus (see </w:t>
      </w:r>
      <w:r w:rsidR="008A7DA7">
        <w:t>Box 9.</w:t>
      </w:r>
      <w:r w:rsidR="00C40DE4" w:rsidRPr="00097280">
        <w:t>3</w:t>
      </w:r>
      <w:r w:rsidRPr="00BC6D47">
        <w:t xml:space="preserve">) to improve ongoing essential health screening services for workers in dust industries. </w:t>
      </w:r>
    </w:p>
    <w:p w14:paraId="0773E2C5" w14:textId="38575430" w:rsidR="001F583E" w:rsidRDefault="001944D5" w:rsidP="00947D2B">
      <w:pPr>
        <w:pStyle w:val="BodyText"/>
      </w:pPr>
      <w:r w:rsidRPr="00BC6D47">
        <w:t xml:space="preserve">Another major focus for 2025-26 will be supporting the </w:t>
      </w:r>
      <w:r w:rsidR="00582EE2">
        <w:t xml:space="preserve">Government’s commitment to ensuring the State’s insurance schemes are </w:t>
      </w:r>
      <w:r w:rsidR="009B318C">
        <w:t>sustainable and</w:t>
      </w:r>
      <w:r w:rsidR="00582EE2">
        <w:t xml:space="preserve"> fit for purpose</w:t>
      </w:r>
      <w:r w:rsidR="00852CC6">
        <w:t>.</w:t>
      </w:r>
      <w:r w:rsidRPr="00BC6D47">
        <w:t xml:space="preserve"> </w:t>
      </w:r>
    </w:p>
    <w:p w14:paraId="316D52D7" w14:textId="7E99588F" w:rsidR="002B14F5" w:rsidRDefault="003B3604">
      <w:pPr>
        <w:spacing w:before="360" w:after="120"/>
        <w:ind w:left="851" w:hanging="851"/>
        <w:rPr>
          <w:rFonts w:ascii="Public Sans" w:hAnsi="Public Sans" w:cs="Arial"/>
          <w:color w:val="000000" w:themeColor="text1"/>
          <w:sz w:val="22"/>
        </w:rPr>
      </w:pPr>
      <w:r>
        <w:br w:type="page"/>
      </w:r>
    </w:p>
    <w:p w14:paraId="77FC243D" w14:textId="77777777" w:rsidR="00DD3711" w:rsidRPr="00617415" w:rsidRDefault="00DD3711" w:rsidP="00365E8C"/>
    <w:tbl>
      <w:tblPr>
        <w:tblW w:w="9639" w:type="dxa"/>
        <w:jc w:val="center"/>
        <w:shd w:val="pct5" w:color="auto" w:fill="auto"/>
        <w:tblLayout w:type="fixed"/>
        <w:tblLook w:val="0000" w:firstRow="0" w:lastRow="0" w:firstColumn="0" w:lastColumn="0" w:noHBand="0" w:noVBand="0"/>
      </w:tblPr>
      <w:tblGrid>
        <w:gridCol w:w="9639"/>
      </w:tblGrid>
      <w:tr w:rsidR="00DD3711" w:rsidRPr="00BC6D47" w14:paraId="6009FBC2" w14:textId="77777777" w:rsidTr="008E4BA7">
        <w:trPr>
          <w:trHeight w:val="850"/>
          <w:jc w:val="center"/>
        </w:trPr>
        <w:tc>
          <w:tcPr>
            <w:tcW w:w="9639" w:type="dxa"/>
            <w:shd w:val="pct5" w:color="auto" w:fill="auto"/>
          </w:tcPr>
          <w:p w14:paraId="69B37C04" w14:textId="287820D6" w:rsidR="00DD3711" w:rsidRPr="00617415" w:rsidRDefault="00DD3711" w:rsidP="005D5DD6">
            <w:pPr>
              <w:pStyle w:val="Box9XBoxHeading"/>
            </w:pPr>
            <w:r w:rsidRPr="00617415">
              <w:t>Upgrade of icare’s Dust Diseases Care Lung Bus – mobile lung-testing clinic</w:t>
            </w:r>
          </w:p>
          <w:p w14:paraId="1E1857DB" w14:textId="09A8EA86" w:rsidR="009E7451" w:rsidRPr="00617415" w:rsidRDefault="00A856FF" w:rsidP="00947D2B">
            <w:pPr>
              <w:pStyle w:val="BodyText"/>
            </w:pPr>
            <w:r w:rsidRPr="00BC6D47">
              <w:t>Each year,</w:t>
            </w:r>
            <w:r w:rsidRPr="00BC6D47" w:rsidDel="00A856FF">
              <w:t xml:space="preserve"> </w:t>
            </w:r>
            <w:r w:rsidR="009E7451" w:rsidRPr="00BC6D47">
              <w:t xml:space="preserve">approximately 26,000 workers </w:t>
            </w:r>
            <w:r w:rsidRPr="00BC6D47">
              <w:t xml:space="preserve">are </w:t>
            </w:r>
            <w:r w:rsidR="009E7451" w:rsidRPr="00BC6D47">
              <w:t xml:space="preserve">exposed to hazardous dust in NSW workplaces </w:t>
            </w:r>
            <w:r w:rsidR="009242A3" w:rsidRPr="00BC6D47">
              <w:t>and</w:t>
            </w:r>
            <w:r w:rsidR="009E7451" w:rsidRPr="00BC6D47">
              <w:t xml:space="preserve"> should be screened for lung health. Dust Diseases Care currently screens and monitors approximately 5,000 workers annually, with its popular mobile testing clinic (the Lung Bus) operating at 112</w:t>
            </w:r>
            <w:r w:rsidR="000C6F71" w:rsidRPr="00BC6D47">
              <w:t xml:space="preserve"> per cent</w:t>
            </w:r>
            <w:r w:rsidR="009E7451" w:rsidRPr="00BC6D47">
              <w:t xml:space="preserve"> capacity.</w:t>
            </w:r>
          </w:p>
          <w:p w14:paraId="6CC8FD68" w14:textId="2F535926" w:rsidR="009D3165" w:rsidRPr="00617415" w:rsidRDefault="009E7451" w:rsidP="00947D2B">
            <w:pPr>
              <w:pStyle w:val="BodyText"/>
            </w:pPr>
            <w:r w:rsidRPr="00BC6D47">
              <w:t>To ensure continuity of service across regional areas, a new and upgraded Lung Bus was built and commenced operations in February 2025. The new Bus has been designed with service continuity, customer experience and staff wellbeing in mind</w:t>
            </w:r>
            <w:r w:rsidR="009D3165" w:rsidRPr="00BC6D47">
              <w:t xml:space="preserve">, </w:t>
            </w:r>
            <w:r w:rsidR="005E19CB">
              <w:t>including:</w:t>
            </w:r>
          </w:p>
          <w:p w14:paraId="7C454E1D" w14:textId="71C63C1B" w:rsidR="009D3165" w:rsidRPr="00617415" w:rsidRDefault="009E7451" w:rsidP="00947D2B">
            <w:pPr>
              <w:pStyle w:val="Bullet1"/>
            </w:pPr>
            <w:r w:rsidRPr="00617415">
              <w:t>larger consultation and clinical spaces to accommodate carers and translators</w:t>
            </w:r>
          </w:p>
          <w:p w14:paraId="56EAC2B9" w14:textId="5CFCBFE2" w:rsidR="009D3165" w:rsidRPr="00617415" w:rsidRDefault="009E7451" w:rsidP="00947D2B">
            <w:pPr>
              <w:pStyle w:val="Bullet1"/>
            </w:pPr>
            <w:r w:rsidRPr="00617415">
              <w:t>updated medical equipment</w:t>
            </w:r>
          </w:p>
          <w:p w14:paraId="02220F25" w14:textId="675A267A" w:rsidR="009D3165" w:rsidRPr="00617415" w:rsidRDefault="009E7451" w:rsidP="00947D2B">
            <w:pPr>
              <w:pStyle w:val="Bullet1"/>
            </w:pPr>
            <w:r w:rsidRPr="00617415">
              <w:t>onboard facilities management systems</w:t>
            </w:r>
          </w:p>
          <w:p w14:paraId="17BCDC03" w14:textId="08830D4F" w:rsidR="009D3165" w:rsidRPr="00617415" w:rsidRDefault="009E7451" w:rsidP="00947D2B">
            <w:pPr>
              <w:pStyle w:val="Bullet1"/>
            </w:pPr>
            <w:r w:rsidRPr="00617415">
              <w:t>back-up power generators</w:t>
            </w:r>
          </w:p>
          <w:p w14:paraId="554BFBDD" w14:textId="26A25443" w:rsidR="009D3165" w:rsidRPr="00617415" w:rsidRDefault="009E7451" w:rsidP="00947D2B">
            <w:pPr>
              <w:pStyle w:val="Bullet1"/>
            </w:pPr>
            <w:r w:rsidRPr="00617415">
              <w:t xml:space="preserve">satellite internet for improved regional network connectivity. </w:t>
            </w:r>
          </w:p>
          <w:p w14:paraId="26EF3B16" w14:textId="5CC38ED9" w:rsidR="009E7451" w:rsidRPr="00617415" w:rsidRDefault="009E7451" w:rsidP="00947D2B">
            <w:pPr>
              <w:pStyle w:val="BodyText"/>
            </w:pPr>
            <w:r w:rsidRPr="00BC6D47">
              <w:t>The popular service’s regional schedule has already been fully booked for 2025. In June, icare will commence planning for 2026, centring its planning around waitlisted employers.</w:t>
            </w:r>
          </w:p>
          <w:p w14:paraId="42BA7C41" w14:textId="77777777" w:rsidR="009E7451" w:rsidRPr="00617415" w:rsidRDefault="009E7451" w:rsidP="00947D2B">
            <w:pPr>
              <w:pStyle w:val="BodyText"/>
            </w:pPr>
            <w:r w:rsidRPr="00BC6D47">
              <w:t xml:space="preserve">The mobile clinic will help ensure dust industry employers meet their health monitoring obligations and will be essential in monitoring the health of those workers for years to come. </w:t>
            </w:r>
          </w:p>
          <w:p w14:paraId="4395AC90" w14:textId="1820FF2F" w:rsidR="009E7451" w:rsidRPr="00617415" w:rsidRDefault="009E7451" w:rsidP="00947D2B">
            <w:pPr>
              <w:pStyle w:val="BodyText"/>
            </w:pPr>
            <w:r w:rsidRPr="00BC6D47">
              <w:t>The investment in the building of the replacement mobile clinic demonstrates icare’s commitment to providing ongoing essential health screening services to the people of N</w:t>
            </w:r>
            <w:r w:rsidR="00A363CD" w:rsidRPr="00BC6D47">
              <w:t>ew</w:t>
            </w:r>
            <w:r w:rsidR="003B6C42">
              <w:t> </w:t>
            </w:r>
            <w:r w:rsidRPr="00BC6D47">
              <w:t>S</w:t>
            </w:r>
            <w:r w:rsidR="00A363CD" w:rsidRPr="00BC6D47">
              <w:t xml:space="preserve">outh </w:t>
            </w:r>
            <w:r w:rsidRPr="00BC6D47">
              <w:t>W</w:t>
            </w:r>
            <w:r w:rsidR="00A363CD" w:rsidRPr="00BC6D47">
              <w:t>ales</w:t>
            </w:r>
            <w:r w:rsidRPr="00BC6D47">
              <w:t>.</w:t>
            </w:r>
          </w:p>
        </w:tc>
      </w:tr>
    </w:tbl>
    <w:p w14:paraId="5854B892" w14:textId="7270F218" w:rsidR="0029387B" w:rsidRPr="00617415" w:rsidRDefault="0029387B" w:rsidP="00970151"/>
    <w:p w14:paraId="335C740E" w14:textId="05242B69" w:rsidR="00B46A22" w:rsidRPr="00617415" w:rsidRDefault="00B46A22" w:rsidP="005D5DD6">
      <w:pPr>
        <w:pStyle w:val="9XHeading2"/>
      </w:pPr>
      <w:bookmarkStart w:id="2" w:name="_Hlk198897415"/>
      <w:r w:rsidRPr="00617415">
        <w:t>Returns to the Government from the PNFC and PFC sectors</w:t>
      </w:r>
      <w:bookmarkEnd w:id="2"/>
    </w:p>
    <w:p w14:paraId="131AB8B4" w14:textId="3CF72306" w:rsidR="00D1694A" w:rsidRPr="00617415" w:rsidRDefault="00D1694A" w:rsidP="00947D2B">
      <w:pPr>
        <w:pStyle w:val="BodyText"/>
      </w:pPr>
      <w:r w:rsidRPr="00BC6D47">
        <w:t xml:space="preserve">SOCs and TCorp pay dividends to the State as a return on the Government’s investments in these entities. These entities also </w:t>
      </w:r>
      <w:r w:rsidR="0044047C">
        <w:t>pay</w:t>
      </w:r>
      <w:r w:rsidRPr="00BC6D47">
        <w:t xml:space="preserve"> tax equivalent</w:t>
      </w:r>
      <w:r w:rsidR="0044047C">
        <w:t>s</w:t>
      </w:r>
      <w:r w:rsidRPr="00BC6D47">
        <w:t xml:space="preserve"> and debt neutrality charges (government guarantee fees) to ensure competitive neutrality.</w:t>
      </w:r>
    </w:p>
    <w:p w14:paraId="032C8C83" w14:textId="7007797D" w:rsidR="00D1694A" w:rsidRPr="00617415" w:rsidRDefault="00A3129B" w:rsidP="00947D2B">
      <w:pPr>
        <w:pStyle w:val="BodyText"/>
      </w:pPr>
      <w:r>
        <w:t>G</w:t>
      </w:r>
      <w:r w:rsidR="00D1694A" w:rsidRPr="00AE266B">
        <w:t>overnment</w:t>
      </w:r>
      <w:r w:rsidR="00D1694A" w:rsidRPr="00BC6D47">
        <w:t xml:space="preserve"> guarantee fees are projected to be </w:t>
      </w:r>
      <w:r w:rsidR="5C08B6A6" w:rsidRPr="005D5DD6">
        <w:t>$</w:t>
      </w:r>
      <w:r w:rsidR="2C74CFE4" w:rsidRPr="005D5DD6">
        <w:t>369.9</w:t>
      </w:r>
      <w:r w:rsidR="55C9594F" w:rsidRPr="005D5DD6">
        <w:t xml:space="preserve"> million</w:t>
      </w:r>
      <w:r w:rsidR="00D1694A" w:rsidRPr="00BC6D47">
        <w:t xml:space="preserve"> in 2024-25 and are forecast to total </w:t>
      </w:r>
      <w:r w:rsidR="4CCF1285" w:rsidRPr="005D5DD6">
        <w:t>$</w:t>
      </w:r>
      <w:r w:rsidR="00566F70" w:rsidRPr="005D5DD6">
        <w:t>2.0</w:t>
      </w:r>
      <w:r w:rsidR="2E054DCD" w:rsidRPr="005D5DD6">
        <w:t xml:space="preserve"> </w:t>
      </w:r>
      <w:r w:rsidR="00566F70" w:rsidRPr="005D5DD6">
        <w:t>b</w:t>
      </w:r>
      <w:r w:rsidR="2E054DCD" w:rsidRPr="005D5DD6">
        <w:t>illion</w:t>
      </w:r>
      <w:r w:rsidR="00D1694A" w:rsidRPr="00BC6D47">
        <w:t xml:space="preserve"> over the budget year and forward estimates. This is a </w:t>
      </w:r>
      <w:r w:rsidR="1DCD2C63" w:rsidRPr="005D5DD6">
        <w:t>$</w:t>
      </w:r>
      <w:r w:rsidR="044F723C" w:rsidRPr="005D5DD6">
        <w:t>261.4</w:t>
      </w:r>
      <w:r w:rsidR="00CF6689" w:rsidRPr="005D5DD6">
        <w:t> </w:t>
      </w:r>
      <w:r w:rsidR="65C52182" w:rsidRPr="005D5DD6">
        <w:t>million</w:t>
      </w:r>
      <w:r w:rsidR="00D1694A" w:rsidRPr="00BC6D47">
        <w:t xml:space="preserve"> decrease from the </w:t>
      </w:r>
      <w:r w:rsidR="00A363CD" w:rsidRPr="00BC6D47">
        <w:t xml:space="preserve">2024-25 </w:t>
      </w:r>
      <w:r w:rsidR="00D1694A" w:rsidRPr="00BC6D47">
        <w:t>Half-Yearly Review.</w:t>
      </w:r>
    </w:p>
    <w:p w14:paraId="5F173D21" w14:textId="46F1EAE0" w:rsidR="00D1694A" w:rsidRPr="00617415" w:rsidRDefault="00D1694A" w:rsidP="00947D2B">
      <w:pPr>
        <w:pStyle w:val="BodyText"/>
      </w:pPr>
      <w:r w:rsidRPr="00617415">
        <w:t xml:space="preserve">Key movements over the </w:t>
      </w:r>
      <w:r w:rsidR="00E82A06">
        <w:t>budget year</w:t>
      </w:r>
      <w:r w:rsidRPr="00617415">
        <w:t xml:space="preserve"> </w:t>
      </w:r>
      <w:r w:rsidR="00EB14A9">
        <w:t xml:space="preserve">and </w:t>
      </w:r>
      <w:r w:rsidRPr="00617415">
        <w:t>forward estimates include:</w:t>
      </w:r>
    </w:p>
    <w:p w14:paraId="1990F608" w14:textId="494804A5" w:rsidR="00D1694A" w:rsidRPr="00617415" w:rsidRDefault="00D1694A" w:rsidP="00947D2B">
      <w:pPr>
        <w:pStyle w:val="Bullet1"/>
      </w:pPr>
      <w:r w:rsidRPr="00BC6D47">
        <w:t>$195</w:t>
      </w:r>
      <w:r w:rsidR="2A14C0EF">
        <w:t>.0</w:t>
      </w:r>
      <w:r w:rsidRPr="00BC6D47">
        <w:t xml:space="preserve"> million reduction in Sydney Water’s government guarantee fees due to refinanced borrowings at a higher TCorp rate. TCorp’s rate increase </w:t>
      </w:r>
      <w:r w:rsidR="00FF15A1">
        <w:t>was</w:t>
      </w:r>
      <w:r w:rsidRPr="00BC6D47">
        <w:t xml:space="preserve"> influenced by macroeconomic factors</w:t>
      </w:r>
      <w:r w:rsidR="00A41801">
        <w:t>,</w:t>
      </w:r>
      <w:r w:rsidRPr="00BC6D47">
        <w:t xml:space="preserve"> which reduced the yield spread resulting in lower government guarantee fees from Sydney Water</w:t>
      </w:r>
    </w:p>
    <w:p w14:paraId="693B4F9E" w14:textId="4780868A" w:rsidR="00D1694A" w:rsidRPr="00617415" w:rsidRDefault="00D1694A" w:rsidP="00947D2B">
      <w:pPr>
        <w:pStyle w:val="Bullet1"/>
      </w:pPr>
      <w:r w:rsidRPr="00617415">
        <w:t>$47.3</w:t>
      </w:r>
      <w:r w:rsidR="006F2192" w:rsidRPr="00617415">
        <w:t xml:space="preserve"> </w:t>
      </w:r>
      <w:r w:rsidRPr="00617415">
        <w:t>m</w:t>
      </w:r>
      <w:r w:rsidR="006F2192" w:rsidRPr="00617415">
        <w:t>illion</w:t>
      </w:r>
      <w:r w:rsidRPr="00617415">
        <w:t xml:space="preserve"> reduction in Essential Energy’s government guarantee fees due to an improvement in Essential Energy’s credit rating from BBB to BBB+, again resulting in a reduced yield spread.</w:t>
      </w:r>
    </w:p>
    <w:p w14:paraId="236A61E0" w14:textId="073E503A" w:rsidR="00D1694A" w:rsidRPr="00617415" w:rsidRDefault="00D1694A" w:rsidP="00947D2B">
      <w:pPr>
        <w:pStyle w:val="BodyText"/>
      </w:pPr>
      <w:r w:rsidRPr="00617415">
        <w:t xml:space="preserve">Total dividend and tax equivalent payments from the PNFC and PFC sectors are forecast to be </w:t>
      </w:r>
      <w:r w:rsidR="00F00B5C" w:rsidRPr="005D5DD6">
        <w:t>$6</w:t>
      </w:r>
      <w:r w:rsidR="00FE37B5" w:rsidRPr="005D5DD6">
        <w:t>69.8</w:t>
      </w:r>
      <w:r w:rsidR="000D13A6" w:rsidRPr="005D5DD6">
        <w:t xml:space="preserve"> million</w:t>
      </w:r>
      <w:r w:rsidRPr="00617415">
        <w:t xml:space="preserve"> for 2024-25, which </w:t>
      </w:r>
      <w:r w:rsidRPr="00DB206F">
        <w:t xml:space="preserve">is </w:t>
      </w:r>
      <w:r w:rsidR="00AA51A0" w:rsidRPr="005D5DD6">
        <w:t>$</w:t>
      </w:r>
      <w:r w:rsidR="001759E3" w:rsidRPr="005D5DD6">
        <w:t>1.7</w:t>
      </w:r>
      <w:r w:rsidR="00AA51A0" w:rsidRPr="005D5DD6">
        <w:t xml:space="preserve"> million</w:t>
      </w:r>
      <w:r w:rsidRPr="005D5DD6">
        <w:t xml:space="preserve"> </w:t>
      </w:r>
      <w:r w:rsidR="000E291C" w:rsidRPr="005D5DD6">
        <w:t>higher</w:t>
      </w:r>
      <w:r w:rsidRPr="00617415">
        <w:t xml:space="preserve"> than the comparative forecast in the 2024</w:t>
      </w:r>
      <w:r w:rsidR="008C6A23" w:rsidRPr="00617415">
        <w:noBreakHyphen/>
      </w:r>
      <w:r w:rsidRPr="00617415">
        <w:t>25</w:t>
      </w:r>
      <w:r w:rsidR="008C6A23" w:rsidRPr="00617415">
        <w:t> </w:t>
      </w:r>
      <w:r w:rsidRPr="00617415">
        <w:t>Half-Yearly Review.</w:t>
      </w:r>
    </w:p>
    <w:p w14:paraId="60D7F757" w14:textId="46428455" w:rsidR="008C6A23" w:rsidRPr="00617415" w:rsidRDefault="00D1694A" w:rsidP="00947D2B">
      <w:pPr>
        <w:pStyle w:val="BodyText"/>
      </w:pPr>
      <w:r w:rsidRPr="00617415">
        <w:t xml:space="preserve">Over </w:t>
      </w:r>
      <w:r w:rsidR="00E656C3">
        <w:t>the budget year and forward estimates</w:t>
      </w:r>
      <w:r w:rsidRPr="00617415">
        <w:t xml:space="preserve">, total dividend and tax equivalent payments to the Government from the PNFC and PFC sector are forecast to be </w:t>
      </w:r>
      <w:r w:rsidRPr="005D5DD6">
        <w:t>$</w:t>
      </w:r>
      <w:r w:rsidR="004A494F" w:rsidRPr="005D5DD6">
        <w:t>4.1</w:t>
      </w:r>
      <w:r w:rsidR="000D13A6" w:rsidRPr="005D5DD6">
        <w:t xml:space="preserve"> billion</w:t>
      </w:r>
      <w:r w:rsidRPr="00617415">
        <w:t xml:space="preserve">, which is </w:t>
      </w:r>
      <w:r w:rsidR="000E291C" w:rsidRPr="005D5DD6">
        <w:t>$5</w:t>
      </w:r>
      <w:r w:rsidR="00CB4586" w:rsidRPr="005D5DD6">
        <w:t>10</w:t>
      </w:r>
      <w:r w:rsidR="000E291C" w:rsidRPr="005D5DD6">
        <w:t>.</w:t>
      </w:r>
      <w:r w:rsidR="00DF198F" w:rsidRPr="005D5DD6">
        <w:t>9</w:t>
      </w:r>
      <w:r w:rsidR="003A6D85" w:rsidRPr="005D5DD6">
        <w:t> </w:t>
      </w:r>
      <w:r w:rsidR="000E291C" w:rsidRPr="005D5DD6">
        <w:t>million</w:t>
      </w:r>
      <w:r w:rsidRPr="00617415">
        <w:t xml:space="preserve"> lower than the comparative forecast in the 2024-25 Half-</w:t>
      </w:r>
      <w:r w:rsidR="007E0C40" w:rsidRPr="00617415">
        <w:t>Y</w:t>
      </w:r>
      <w:r w:rsidRPr="00617415">
        <w:t>early Review.</w:t>
      </w:r>
    </w:p>
    <w:p w14:paraId="24524C1F" w14:textId="77777777" w:rsidR="00F67B16" w:rsidRDefault="00F67B16">
      <w:pPr>
        <w:spacing w:before="360" w:after="120"/>
        <w:ind w:left="851" w:hanging="851"/>
        <w:rPr>
          <w:rFonts w:ascii="Public Sans" w:hAnsi="Public Sans" w:cs="Arial"/>
          <w:iCs/>
          <w:color w:val="000000" w:themeColor="text1"/>
          <w:sz w:val="22"/>
        </w:rPr>
      </w:pPr>
      <w:r>
        <w:br w:type="page"/>
      </w:r>
    </w:p>
    <w:p w14:paraId="153F1FEF" w14:textId="5EA969F2" w:rsidR="00D1694A" w:rsidRPr="00617415" w:rsidRDefault="00D1694A" w:rsidP="00947D2B">
      <w:pPr>
        <w:pStyle w:val="BodyText"/>
      </w:pPr>
      <w:r w:rsidRPr="00617415">
        <w:lastRenderedPageBreak/>
        <w:t>Key movements include:</w:t>
      </w:r>
    </w:p>
    <w:p w14:paraId="31B8C20E" w14:textId="5842073B" w:rsidR="00D1694A" w:rsidRPr="00617415" w:rsidRDefault="00D1694A" w:rsidP="00947D2B">
      <w:pPr>
        <w:pStyle w:val="Bullet1"/>
      </w:pPr>
      <w:r w:rsidRPr="00617415">
        <w:t>$</w:t>
      </w:r>
      <w:r w:rsidR="65E3AC59">
        <w:t>13</w:t>
      </w:r>
      <w:r w:rsidR="57D43AAC">
        <w:t>3.7</w:t>
      </w:r>
      <w:r w:rsidRPr="00617415">
        <w:t xml:space="preserve"> million reduction in Sydney Water’s income tax equivalents, which was caused by:</w:t>
      </w:r>
    </w:p>
    <w:p w14:paraId="17F96FB3" w14:textId="08E5C723" w:rsidR="00D1694A" w:rsidRPr="00617415" w:rsidRDefault="008A3F61" w:rsidP="00947D2B">
      <w:pPr>
        <w:pStyle w:val="Bullet2"/>
      </w:pPr>
      <w:r w:rsidRPr="00617415">
        <w:t>a</w:t>
      </w:r>
      <w:r w:rsidR="008924EB" w:rsidRPr="00617415">
        <w:t xml:space="preserve"> </w:t>
      </w:r>
      <w:r w:rsidR="00D1694A" w:rsidRPr="00617415">
        <w:t>reduction in profit before tax due to forecast revenue decreases to reflect the delayed commencement date for new prices to 1 October 2025</w:t>
      </w:r>
    </w:p>
    <w:p w14:paraId="241659EA" w14:textId="45099F43" w:rsidR="00D1694A" w:rsidRPr="00617415" w:rsidRDefault="008A3F61" w:rsidP="00947D2B">
      <w:pPr>
        <w:pStyle w:val="Bullet2"/>
      </w:pPr>
      <w:r w:rsidRPr="00617415">
        <w:t>a</w:t>
      </w:r>
      <w:r w:rsidR="00D1694A" w:rsidRPr="00617415">
        <w:t xml:space="preserve"> reduction in infrastructure contributions due to delayed capital projects</w:t>
      </w:r>
    </w:p>
    <w:p w14:paraId="08841BBC" w14:textId="423119FD" w:rsidR="00D1694A" w:rsidRPr="00617415" w:rsidRDefault="00D1694A" w:rsidP="00947D2B">
      <w:pPr>
        <w:pStyle w:val="Bullet1"/>
      </w:pPr>
      <w:r w:rsidRPr="00BC6D47">
        <w:t>$126.3</w:t>
      </w:r>
      <w:r w:rsidR="00C548AC" w:rsidRPr="00BC6D47">
        <w:t xml:space="preserve"> </w:t>
      </w:r>
      <w:r w:rsidRPr="00BC6D47">
        <w:t>m</w:t>
      </w:r>
      <w:r w:rsidR="00C548AC" w:rsidRPr="00BC6D47">
        <w:t>illion</w:t>
      </w:r>
      <w:r w:rsidRPr="00BC6D47">
        <w:t xml:space="preserve"> reduction in Essential Energy’s dividends primarily due to a revision of the major connections pipeline, </w:t>
      </w:r>
      <w:r w:rsidR="009372B6">
        <w:t>higher v</w:t>
      </w:r>
      <w:r w:rsidR="008D00D0">
        <w:t xml:space="preserve">egetation costs and increased </w:t>
      </w:r>
      <w:r w:rsidRPr="00BC6D47">
        <w:t>labour costs following the approved 2024 Enterprise Agreement</w:t>
      </w:r>
    </w:p>
    <w:p w14:paraId="471E01F5" w14:textId="70BED97F" w:rsidR="00FB349B" w:rsidRPr="00BC6D47" w:rsidRDefault="00D1694A" w:rsidP="00947D2B">
      <w:pPr>
        <w:pStyle w:val="Bullet1"/>
      </w:pPr>
      <w:r w:rsidRPr="00BC6D47">
        <w:t>$</w:t>
      </w:r>
      <w:r w:rsidR="41123A90" w:rsidRPr="005D5DD6">
        <w:t>44.2</w:t>
      </w:r>
      <w:r w:rsidR="004553CC" w:rsidRPr="00BC6D47">
        <w:t xml:space="preserve"> </w:t>
      </w:r>
      <w:r w:rsidRPr="00BC6D47">
        <w:t>m</w:t>
      </w:r>
      <w:r w:rsidR="004553CC" w:rsidRPr="00BC6D47">
        <w:t>illion</w:t>
      </w:r>
      <w:r w:rsidRPr="00BC6D47">
        <w:t xml:space="preserve"> decrease in Hunter Water’s dividends as a result of lower forecast revenue </w:t>
      </w:r>
      <w:r w:rsidR="65E3AC59">
        <w:t>from</w:t>
      </w:r>
      <w:r w:rsidRPr="00BC6D47">
        <w:t xml:space="preserve"> customers following IPART’s </w:t>
      </w:r>
      <w:r w:rsidR="0049015F">
        <w:t>pricing d</w:t>
      </w:r>
      <w:r w:rsidRPr="00BC6D47">
        <w:t>etermination for Hunter Water</w:t>
      </w:r>
    </w:p>
    <w:p w14:paraId="0512995B" w14:textId="2FA0ED24" w:rsidR="00361387" w:rsidRDefault="00AA07B2" w:rsidP="00947D2B">
      <w:pPr>
        <w:pStyle w:val="Bullet1"/>
      </w:pPr>
      <w:r>
        <w:t>t</w:t>
      </w:r>
      <w:r w:rsidR="504B0DB9" w:rsidRPr="00AE625E">
        <w:t>he inclusion</w:t>
      </w:r>
      <w:r w:rsidR="00FB349B" w:rsidRPr="00AE625E">
        <w:t xml:space="preserve"> of </w:t>
      </w:r>
      <w:r w:rsidR="504B0DB9" w:rsidRPr="00AE625E">
        <w:t xml:space="preserve">an </w:t>
      </w:r>
      <w:r w:rsidR="00FB349B" w:rsidRPr="00AE625E">
        <w:t xml:space="preserve">IPART Determinations risk adjustment </w:t>
      </w:r>
      <w:r w:rsidR="504B0DB9" w:rsidRPr="00AE625E">
        <w:t>totalling $</w:t>
      </w:r>
      <w:r w:rsidR="504B0DB9" w:rsidRPr="005D5DD6">
        <w:t>28</w:t>
      </w:r>
      <w:r w:rsidR="00092E6D" w:rsidRPr="005D5DD6">
        <w:t>9</w:t>
      </w:r>
      <w:r w:rsidR="004F1344" w:rsidRPr="005D5DD6">
        <w:t>.0</w:t>
      </w:r>
      <w:r w:rsidR="504B0DB9" w:rsidRPr="005D5DD6">
        <w:t xml:space="preserve"> million</w:t>
      </w:r>
      <w:r w:rsidR="504B0DB9" w:rsidRPr="00AE625E">
        <w:t xml:space="preserve"> </w:t>
      </w:r>
      <w:r w:rsidR="00FB349B" w:rsidRPr="00AE625E">
        <w:t>to reflect reductions</w:t>
      </w:r>
      <w:r w:rsidR="00FB349B" w:rsidRPr="008A0439">
        <w:t xml:space="preserve"> to tax equivalents from Final Determinations for Sydney Water and WaterNSW</w:t>
      </w:r>
      <w:r w:rsidR="504B0DB9" w:rsidRPr="008A0439">
        <w:t>. These estimates will be updated in the 2025-26 Half-Yearly R</w:t>
      </w:r>
      <w:r w:rsidR="3ECE661C" w:rsidRPr="008A0439">
        <w:t>e</w:t>
      </w:r>
      <w:r w:rsidR="504B0DB9" w:rsidRPr="008A0439">
        <w:t>view once the Final Determinations have been handed down.</w:t>
      </w:r>
      <w:r w:rsidR="00874BD2" w:rsidRPr="00AE625E">
        <w:t xml:space="preserve"> </w:t>
      </w:r>
    </w:p>
    <w:p w14:paraId="777E2469" w14:textId="2FB786E6" w:rsidR="006E2F04" w:rsidRPr="00617415" w:rsidRDefault="00452718" w:rsidP="005D5DD6">
      <w:pPr>
        <w:pStyle w:val="Table9X"/>
      </w:pPr>
      <w:r w:rsidRPr="00617415">
        <w:t xml:space="preserve">Total dividend and tax equivalent payments from the PNFC and PFC sectors </w:t>
      </w:r>
    </w:p>
    <w:tbl>
      <w:tblPr>
        <w:tblW w:w="0" w:type="auto"/>
        <w:tblLayout w:type="fixed"/>
        <w:tblLook w:val="04A0" w:firstRow="1" w:lastRow="0" w:firstColumn="1" w:lastColumn="0" w:noHBand="0" w:noVBand="1"/>
        <w:tblCaption w:val="Table 9.1: Total dividend and tax equivalent payments from the PNFC and PFC sectors "/>
      </w:tblPr>
      <w:tblGrid>
        <w:gridCol w:w="4762"/>
        <w:gridCol w:w="1104"/>
        <w:gridCol w:w="960"/>
        <w:gridCol w:w="960"/>
        <w:gridCol w:w="960"/>
        <w:gridCol w:w="960"/>
      </w:tblGrid>
      <w:tr w:rsidR="006E2F04" w:rsidRPr="00BC6D47" w14:paraId="5FC27F6A" w14:textId="77777777" w:rsidTr="42BE2887">
        <w:trPr>
          <w:trHeight w:val="290"/>
        </w:trPr>
        <w:tc>
          <w:tcPr>
            <w:tcW w:w="4762" w:type="dxa"/>
            <w:tcBorders>
              <w:top w:val="nil"/>
              <w:left w:val="nil"/>
              <w:bottom w:val="nil"/>
              <w:right w:val="nil"/>
            </w:tcBorders>
            <w:shd w:val="clear" w:color="auto" w:fill="EBEBEB"/>
            <w:noWrap/>
            <w:vAlign w:val="center"/>
            <w:hideMark/>
          </w:tcPr>
          <w:p w14:paraId="3D47CACD" w14:textId="77777777" w:rsidR="006E2F04" w:rsidRPr="00617415" w:rsidRDefault="006E2F04" w:rsidP="00B12030">
            <w:pPr>
              <w:rPr>
                <w:rFonts w:ascii="Public Sans" w:hAnsi="Public Sans" w:cs="Calibri"/>
                <w:color w:val="000000"/>
                <w:sz w:val="17"/>
                <w:szCs w:val="17"/>
                <w:lang w:eastAsia="en-AU"/>
              </w:rPr>
            </w:pPr>
            <w:r w:rsidRPr="00617415">
              <w:rPr>
                <w:rFonts w:ascii="Public Sans" w:hAnsi="Public Sans" w:cs="Calibri"/>
                <w:color w:val="000000"/>
                <w:sz w:val="17"/>
                <w:szCs w:val="17"/>
                <w:lang w:eastAsia="en-AU"/>
              </w:rPr>
              <w:t> </w:t>
            </w:r>
          </w:p>
        </w:tc>
        <w:tc>
          <w:tcPr>
            <w:tcW w:w="1104" w:type="dxa"/>
            <w:tcBorders>
              <w:top w:val="nil"/>
              <w:left w:val="nil"/>
              <w:bottom w:val="nil"/>
              <w:right w:val="nil"/>
            </w:tcBorders>
            <w:shd w:val="clear" w:color="auto" w:fill="EBEBEB"/>
            <w:noWrap/>
            <w:vAlign w:val="bottom"/>
            <w:hideMark/>
          </w:tcPr>
          <w:p w14:paraId="063C01A7" w14:textId="5E08EAC9" w:rsidR="006E2F04" w:rsidRPr="00617415" w:rsidRDefault="006E2F04" w:rsidP="00B12030">
            <w:pPr>
              <w:jc w:val="center"/>
              <w:rPr>
                <w:rFonts w:ascii="Public Sans" w:hAnsi="Public Sans" w:cs="Calibri"/>
                <w:color w:val="000000"/>
                <w:sz w:val="17"/>
                <w:szCs w:val="17"/>
                <w:lang w:eastAsia="en-AU"/>
              </w:rPr>
            </w:pPr>
            <w:r w:rsidRPr="00617415">
              <w:rPr>
                <w:rFonts w:ascii="Public Sans" w:hAnsi="Public Sans" w:cs="Calibri"/>
                <w:color w:val="000000"/>
                <w:sz w:val="17"/>
                <w:szCs w:val="17"/>
                <w:lang w:eastAsia="en-AU"/>
              </w:rPr>
              <w:t>202</w:t>
            </w:r>
            <w:r w:rsidR="00452718" w:rsidRPr="00617415">
              <w:rPr>
                <w:rFonts w:ascii="Public Sans" w:hAnsi="Public Sans" w:cs="Calibri"/>
                <w:color w:val="000000"/>
                <w:sz w:val="17"/>
                <w:szCs w:val="17"/>
                <w:lang w:eastAsia="en-AU"/>
              </w:rPr>
              <w:t>4</w:t>
            </w:r>
            <w:r w:rsidRPr="00617415">
              <w:rPr>
                <w:rFonts w:ascii="Public Sans" w:hAnsi="Public Sans" w:cs="Calibri"/>
                <w:color w:val="000000"/>
                <w:sz w:val="17"/>
                <w:szCs w:val="17"/>
                <w:lang w:eastAsia="en-AU"/>
              </w:rPr>
              <w:t>-2</w:t>
            </w:r>
            <w:r w:rsidR="00452718" w:rsidRPr="00617415">
              <w:rPr>
                <w:rFonts w:ascii="Public Sans" w:hAnsi="Public Sans" w:cs="Calibri"/>
                <w:color w:val="000000"/>
                <w:sz w:val="17"/>
                <w:szCs w:val="17"/>
                <w:lang w:eastAsia="en-AU"/>
              </w:rPr>
              <w:t>5</w:t>
            </w:r>
          </w:p>
        </w:tc>
        <w:tc>
          <w:tcPr>
            <w:tcW w:w="960" w:type="dxa"/>
            <w:tcBorders>
              <w:top w:val="nil"/>
              <w:left w:val="nil"/>
              <w:bottom w:val="nil"/>
              <w:right w:val="nil"/>
            </w:tcBorders>
            <w:shd w:val="clear" w:color="auto" w:fill="EBEBEB"/>
            <w:noWrap/>
            <w:vAlign w:val="bottom"/>
            <w:hideMark/>
          </w:tcPr>
          <w:p w14:paraId="47181BB7" w14:textId="0FA6FB69" w:rsidR="006E2F04" w:rsidRPr="00617415" w:rsidRDefault="006E2F04" w:rsidP="00B12030">
            <w:pPr>
              <w:jc w:val="center"/>
              <w:rPr>
                <w:rFonts w:ascii="Public Sans" w:hAnsi="Public Sans" w:cs="Calibri"/>
                <w:color w:val="000000"/>
                <w:sz w:val="17"/>
                <w:szCs w:val="17"/>
                <w:lang w:eastAsia="en-AU"/>
              </w:rPr>
            </w:pPr>
            <w:r w:rsidRPr="00617415">
              <w:rPr>
                <w:rFonts w:ascii="Public Sans" w:hAnsi="Public Sans" w:cs="Calibri"/>
                <w:color w:val="000000"/>
                <w:sz w:val="17"/>
                <w:szCs w:val="17"/>
                <w:lang w:eastAsia="en-AU"/>
              </w:rPr>
              <w:t>202</w:t>
            </w:r>
            <w:r w:rsidR="00452718" w:rsidRPr="00617415">
              <w:rPr>
                <w:rFonts w:ascii="Public Sans" w:hAnsi="Public Sans" w:cs="Calibri"/>
                <w:color w:val="000000"/>
                <w:sz w:val="17"/>
                <w:szCs w:val="17"/>
                <w:lang w:eastAsia="en-AU"/>
              </w:rPr>
              <w:t>5</w:t>
            </w:r>
            <w:r w:rsidRPr="00617415">
              <w:rPr>
                <w:rFonts w:ascii="Public Sans" w:hAnsi="Public Sans" w:cs="Calibri"/>
                <w:color w:val="000000"/>
                <w:sz w:val="17"/>
                <w:szCs w:val="17"/>
                <w:lang w:eastAsia="en-AU"/>
              </w:rPr>
              <w:t>-2</w:t>
            </w:r>
            <w:r w:rsidR="00452718" w:rsidRPr="00617415">
              <w:rPr>
                <w:rFonts w:ascii="Public Sans" w:hAnsi="Public Sans" w:cs="Calibri"/>
                <w:color w:val="000000"/>
                <w:sz w:val="17"/>
                <w:szCs w:val="17"/>
                <w:lang w:eastAsia="en-AU"/>
              </w:rPr>
              <w:t>6</w:t>
            </w:r>
          </w:p>
        </w:tc>
        <w:tc>
          <w:tcPr>
            <w:tcW w:w="960" w:type="dxa"/>
            <w:tcBorders>
              <w:top w:val="nil"/>
              <w:left w:val="nil"/>
              <w:bottom w:val="nil"/>
              <w:right w:val="nil"/>
            </w:tcBorders>
            <w:shd w:val="clear" w:color="auto" w:fill="EBEBEB"/>
            <w:noWrap/>
            <w:vAlign w:val="bottom"/>
            <w:hideMark/>
          </w:tcPr>
          <w:p w14:paraId="02EC103A" w14:textId="225807EA" w:rsidR="006E2F04" w:rsidRPr="00617415" w:rsidRDefault="006E2F04" w:rsidP="00B12030">
            <w:pPr>
              <w:jc w:val="center"/>
              <w:rPr>
                <w:rFonts w:ascii="Public Sans" w:hAnsi="Public Sans" w:cs="Calibri"/>
                <w:color w:val="000000"/>
                <w:sz w:val="17"/>
                <w:szCs w:val="17"/>
                <w:lang w:eastAsia="en-AU"/>
              </w:rPr>
            </w:pPr>
            <w:r w:rsidRPr="00617415">
              <w:rPr>
                <w:rFonts w:ascii="Public Sans" w:hAnsi="Public Sans" w:cs="Calibri"/>
                <w:color w:val="000000"/>
                <w:sz w:val="17"/>
                <w:szCs w:val="17"/>
                <w:lang w:eastAsia="en-AU"/>
              </w:rPr>
              <w:t>202</w:t>
            </w:r>
            <w:r w:rsidR="00452718" w:rsidRPr="00617415">
              <w:rPr>
                <w:rFonts w:ascii="Public Sans" w:hAnsi="Public Sans" w:cs="Calibri"/>
                <w:color w:val="000000"/>
                <w:sz w:val="17"/>
                <w:szCs w:val="17"/>
                <w:lang w:eastAsia="en-AU"/>
              </w:rPr>
              <w:t>6</w:t>
            </w:r>
            <w:r w:rsidRPr="00617415">
              <w:rPr>
                <w:rFonts w:ascii="Public Sans" w:hAnsi="Public Sans" w:cs="Calibri"/>
                <w:color w:val="000000"/>
                <w:sz w:val="17"/>
                <w:szCs w:val="17"/>
                <w:lang w:eastAsia="en-AU"/>
              </w:rPr>
              <w:t>-2</w:t>
            </w:r>
            <w:r w:rsidR="00452718" w:rsidRPr="00617415">
              <w:rPr>
                <w:rFonts w:ascii="Public Sans" w:hAnsi="Public Sans" w:cs="Calibri"/>
                <w:color w:val="000000"/>
                <w:sz w:val="17"/>
                <w:szCs w:val="17"/>
                <w:lang w:eastAsia="en-AU"/>
              </w:rPr>
              <w:t>7</w:t>
            </w:r>
          </w:p>
        </w:tc>
        <w:tc>
          <w:tcPr>
            <w:tcW w:w="960" w:type="dxa"/>
            <w:tcBorders>
              <w:top w:val="nil"/>
              <w:left w:val="nil"/>
              <w:bottom w:val="nil"/>
              <w:right w:val="nil"/>
            </w:tcBorders>
            <w:shd w:val="clear" w:color="auto" w:fill="EBEBEB"/>
            <w:noWrap/>
            <w:vAlign w:val="bottom"/>
            <w:hideMark/>
          </w:tcPr>
          <w:p w14:paraId="35374542" w14:textId="3CE47EFF" w:rsidR="006E2F04" w:rsidRPr="00617415" w:rsidRDefault="006E2F04" w:rsidP="00B12030">
            <w:pPr>
              <w:jc w:val="center"/>
              <w:rPr>
                <w:rFonts w:ascii="Public Sans" w:hAnsi="Public Sans" w:cs="Calibri"/>
                <w:color w:val="000000"/>
                <w:sz w:val="17"/>
                <w:szCs w:val="17"/>
                <w:lang w:eastAsia="en-AU"/>
              </w:rPr>
            </w:pPr>
            <w:r w:rsidRPr="00617415">
              <w:rPr>
                <w:rFonts w:ascii="Public Sans" w:hAnsi="Public Sans" w:cs="Calibri"/>
                <w:color w:val="000000"/>
                <w:sz w:val="17"/>
                <w:szCs w:val="17"/>
                <w:lang w:eastAsia="en-AU"/>
              </w:rPr>
              <w:t>202</w:t>
            </w:r>
            <w:r w:rsidR="00452718" w:rsidRPr="00617415">
              <w:rPr>
                <w:rFonts w:ascii="Public Sans" w:hAnsi="Public Sans" w:cs="Calibri"/>
                <w:color w:val="000000"/>
                <w:sz w:val="17"/>
                <w:szCs w:val="17"/>
                <w:lang w:eastAsia="en-AU"/>
              </w:rPr>
              <w:t>7</w:t>
            </w:r>
            <w:r w:rsidRPr="00617415">
              <w:rPr>
                <w:rFonts w:ascii="Public Sans" w:hAnsi="Public Sans" w:cs="Calibri"/>
                <w:color w:val="000000"/>
                <w:sz w:val="17"/>
                <w:szCs w:val="17"/>
                <w:lang w:eastAsia="en-AU"/>
              </w:rPr>
              <w:t>-2</w:t>
            </w:r>
            <w:r w:rsidR="00452718" w:rsidRPr="00617415">
              <w:rPr>
                <w:rFonts w:ascii="Public Sans" w:hAnsi="Public Sans" w:cs="Calibri"/>
                <w:color w:val="000000"/>
                <w:sz w:val="17"/>
                <w:szCs w:val="17"/>
                <w:lang w:eastAsia="en-AU"/>
              </w:rPr>
              <w:t>8</w:t>
            </w:r>
          </w:p>
        </w:tc>
        <w:tc>
          <w:tcPr>
            <w:tcW w:w="960" w:type="dxa"/>
            <w:tcBorders>
              <w:top w:val="nil"/>
              <w:left w:val="nil"/>
              <w:bottom w:val="nil"/>
              <w:right w:val="nil"/>
            </w:tcBorders>
            <w:shd w:val="clear" w:color="auto" w:fill="EBEBEB"/>
            <w:noWrap/>
            <w:vAlign w:val="bottom"/>
            <w:hideMark/>
          </w:tcPr>
          <w:p w14:paraId="2468B3B2" w14:textId="7EDEE2B7" w:rsidR="006E2F04" w:rsidRPr="00617415" w:rsidRDefault="006E2F04" w:rsidP="00B12030">
            <w:pPr>
              <w:jc w:val="center"/>
              <w:rPr>
                <w:rFonts w:ascii="Public Sans" w:hAnsi="Public Sans" w:cs="Calibri"/>
                <w:color w:val="000000"/>
                <w:sz w:val="17"/>
                <w:szCs w:val="17"/>
                <w:lang w:eastAsia="en-AU"/>
              </w:rPr>
            </w:pPr>
            <w:r w:rsidRPr="00617415">
              <w:rPr>
                <w:rFonts w:ascii="Public Sans" w:hAnsi="Public Sans" w:cs="Calibri"/>
                <w:color w:val="000000"/>
                <w:sz w:val="17"/>
                <w:szCs w:val="17"/>
                <w:lang w:eastAsia="en-AU"/>
              </w:rPr>
              <w:t>202</w:t>
            </w:r>
            <w:r w:rsidR="00452718" w:rsidRPr="00617415">
              <w:rPr>
                <w:rFonts w:ascii="Public Sans" w:hAnsi="Public Sans" w:cs="Calibri"/>
                <w:color w:val="000000"/>
                <w:sz w:val="17"/>
                <w:szCs w:val="17"/>
                <w:lang w:eastAsia="en-AU"/>
              </w:rPr>
              <w:t>8</w:t>
            </w:r>
            <w:r w:rsidRPr="00617415">
              <w:rPr>
                <w:rFonts w:ascii="Public Sans" w:hAnsi="Public Sans" w:cs="Calibri"/>
                <w:color w:val="000000"/>
                <w:sz w:val="17"/>
                <w:szCs w:val="17"/>
                <w:lang w:eastAsia="en-AU"/>
              </w:rPr>
              <w:t>-2</w:t>
            </w:r>
            <w:r w:rsidR="00F17967" w:rsidRPr="00617415">
              <w:rPr>
                <w:rFonts w:ascii="Public Sans" w:hAnsi="Public Sans" w:cs="Calibri"/>
                <w:color w:val="000000"/>
                <w:sz w:val="17"/>
                <w:szCs w:val="17"/>
                <w:lang w:eastAsia="en-AU"/>
              </w:rPr>
              <w:t>9</w:t>
            </w:r>
          </w:p>
        </w:tc>
      </w:tr>
      <w:tr w:rsidR="006E2F04" w:rsidRPr="00BC6D47" w14:paraId="27F88F19" w14:textId="77777777" w:rsidTr="42BE2887">
        <w:trPr>
          <w:trHeight w:val="227"/>
        </w:trPr>
        <w:tc>
          <w:tcPr>
            <w:tcW w:w="4762" w:type="dxa"/>
            <w:tcBorders>
              <w:top w:val="nil"/>
              <w:left w:val="nil"/>
              <w:bottom w:val="nil"/>
              <w:right w:val="nil"/>
            </w:tcBorders>
            <w:shd w:val="clear" w:color="auto" w:fill="EBEBEB"/>
            <w:noWrap/>
            <w:vAlign w:val="center"/>
            <w:hideMark/>
          </w:tcPr>
          <w:p w14:paraId="439EF7D9" w14:textId="77777777" w:rsidR="006E2F04" w:rsidRPr="00617415" w:rsidRDefault="006E2F04" w:rsidP="00B12030">
            <w:pPr>
              <w:jc w:val="right"/>
              <w:rPr>
                <w:rFonts w:ascii="Public Sans" w:hAnsi="Public Sans" w:cs="Calibri"/>
                <w:color w:val="000000"/>
                <w:sz w:val="17"/>
                <w:szCs w:val="17"/>
                <w:lang w:eastAsia="en-AU"/>
              </w:rPr>
            </w:pPr>
            <w:r w:rsidRPr="00617415">
              <w:rPr>
                <w:rFonts w:ascii="Public Sans" w:hAnsi="Public Sans" w:cs="Calibri"/>
                <w:color w:val="000000"/>
                <w:sz w:val="17"/>
                <w:szCs w:val="17"/>
                <w:lang w:eastAsia="en-AU"/>
              </w:rPr>
              <w:t> </w:t>
            </w:r>
          </w:p>
        </w:tc>
        <w:tc>
          <w:tcPr>
            <w:tcW w:w="1104" w:type="dxa"/>
            <w:tcBorders>
              <w:top w:val="nil"/>
              <w:left w:val="nil"/>
              <w:bottom w:val="nil"/>
              <w:right w:val="nil"/>
            </w:tcBorders>
            <w:shd w:val="clear" w:color="auto" w:fill="EBEBEB"/>
            <w:vAlign w:val="center"/>
            <w:hideMark/>
          </w:tcPr>
          <w:p w14:paraId="449720B7" w14:textId="77777777" w:rsidR="006E2F04" w:rsidRPr="00617415" w:rsidRDefault="006E2F04" w:rsidP="00B12030">
            <w:pPr>
              <w:jc w:val="center"/>
              <w:rPr>
                <w:rFonts w:ascii="Public Sans" w:hAnsi="Public Sans" w:cs="Calibri"/>
                <w:color w:val="000000"/>
                <w:sz w:val="17"/>
                <w:szCs w:val="17"/>
                <w:lang w:eastAsia="en-AU"/>
              </w:rPr>
            </w:pPr>
            <w:r w:rsidRPr="00617415">
              <w:rPr>
                <w:rFonts w:ascii="Public Sans" w:hAnsi="Public Sans" w:cs="Calibri"/>
                <w:color w:val="000000"/>
                <w:sz w:val="17"/>
                <w:szCs w:val="17"/>
                <w:lang w:eastAsia="en-AU"/>
              </w:rPr>
              <w:t>Projection</w:t>
            </w:r>
          </w:p>
        </w:tc>
        <w:tc>
          <w:tcPr>
            <w:tcW w:w="960" w:type="dxa"/>
            <w:tcBorders>
              <w:top w:val="nil"/>
              <w:left w:val="nil"/>
              <w:bottom w:val="nil"/>
              <w:right w:val="nil"/>
            </w:tcBorders>
            <w:shd w:val="clear" w:color="auto" w:fill="EBEBEB"/>
            <w:noWrap/>
            <w:vAlign w:val="center"/>
            <w:hideMark/>
          </w:tcPr>
          <w:p w14:paraId="74CEE0FF" w14:textId="77777777" w:rsidR="006E2F04" w:rsidRPr="00617415" w:rsidRDefault="006E2F04" w:rsidP="00B12030">
            <w:pPr>
              <w:jc w:val="center"/>
              <w:rPr>
                <w:rFonts w:ascii="Public Sans" w:hAnsi="Public Sans" w:cs="Calibri"/>
                <w:color w:val="000000"/>
                <w:sz w:val="17"/>
                <w:szCs w:val="17"/>
                <w:lang w:eastAsia="en-AU"/>
              </w:rPr>
            </w:pPr>
            <w:r w:rsidRPr="00617415">
              <w:rPr>
                <w:rFonts w:ascii="Public Sans" w:hAnsi="Public Sans" w:cs="Calibri"/>
                <w:color w:val="000000"/>
                <w:sz w:val="17"/>
                <w:szCs w:val="17"/>
                <w:lang w:eastAsia="en-AU"/>
              </w:rPr>
              <w:t>Budget</w:t>
            </w:r>
          </w:p>
        </w:tc>
        <w:tc>
          <w:tcPr>
            <w:tcW w:w="2880" w:type="dxa"/>
            <w:gridSpan w:val="3"/>
            <w:tcBorders>
              <w:top w:val="nil"/>
              <w:left w:val="nil"/>
              <w:bottom w:val="nil"/>
              <w:right w:val="nil"/>
            </w:tcBorders>
            <w:shd w:val="clear" w:color="auto" w:fill="EBEBEB"/>
            <w:noWrap/>
            <w:vAlign w:val="center"/>
            <w:hideMark/>
          </w:tcPr>
          <w:p w14:paraId="3F9A92A5" w14:textId="77777777" w:rsidR="006E2F04" w:rsidRPr="00617415" w:rsidRDefault="006E2F04" w:rsidP="00B12030">
            <w:pPr>
              <w:jc w:val="center"/>
              <w:rPr>
                <w:rFonts w:ascii="Public Sans" w:hAnsi="Public Sans" w:cs="Calibri"/>
                <w:color w:val="000000"/>
                <w:sz w:val="17"/>
                <w:szCs w:val="17"/>
                <w:lang w:eastAsia="en-AU"/>
              </w:rPr>
            </w:pPr>
            <w:r w:rsidRPr="00617415">
              <w:rPr>
                <w:rFonts w:ascii="Public Sans" w:hAnsi="Public Sans" w:cs="Calibri"/>
                <w:color w:val="000000"/>
                <w:sz w:val="17"/>
                <w:szCs w:val="17"/>
                <w:lang w:eastAsia="en-AU"/>
              </w:rPr>
              <w:t>Forward Estimates</w:t>
            </w:r>
          </w:p>
        </w:tc>
      </w:tr>
      <w:tr w:rsidR="006E2F04" w:rsidRPr="00BC6D47" w14:paraId="4E0571E2" w14:textId="77777777" w:rsidTr="009D0FC4">
        <w:trPr>
          <w:trHeight w:val="283"/>
        </w:trPr>
        <w:tc>
          <w:tcPr>
            <w:tcW w:w="4762" w:type="dxa"/>
            <w:tcBorders>
              <w:top w:val="nil"/>
              <w:left w:val="nil"/>
              <w:bottom w:val="nil"/>
              <w:right w:val="nil"/>
            </w:tcBorders>
            <w:shd w:val="clear" w:color="auto" w:fill="EBEBEB"/>
            <w:noWrap/>
            <w:vAlign w:val="center"/>
            <w:hideMark/>
          </w:tcPr>
          <w:p w14:paraId="05966CAE" w14:textId="77777777" w:rsidR="006E2F04" w:rsidRPr="00617415" w:rsidRDefault="006E2F04" w:rsidP="00B12030">
            <w:pPr>
              <w:jc w:val="right"/>
              <w:rPr>
                <w:rFonts w:ascii="Public Sans" w:hAnsi="Public Sans" w:cs="Calibri"/>
                <w:color w:val="000000"/>
                <w:sz w:val="17"/>
                <w:szCs w:val="17"/>
                <w:lang w:eastAsia="en-AU"/>
              </w:rPr>
            </w:pPr>
            <w:r w:rsidRPr="00617415">
              <w:rPr>
                <w:rFonts w:ascii="Public Sans" w:hAnsi="Public Sans" w:cs="Calibri"/>
                <w:color w:val="000000"/>
                <w:sz w:val="17"/>
                <w:szCs w:val="17"/>
                <w:lang w:eastAsia="en-AU"/>
              </w:rPr>
              <w:t> </w:t>
            </w:r>
          </w:p>
        </w:tc>
        <w:tc>
          <w:tcPr>
            <w:tcW w:w="1104" w:type="dxa"/>
            <w:tcBorders>
              <w:top w:val="nil"/>
              <w:left w:val="nil"/>
              <w:bottom w:val="nil"/>
              <w:right w:val="nil"/>
            </w:tcBorders>
            <w:shd w:val="clear" w:color="auto" w:fill="EBEBEB"/>
            <w:noWrap/>
            <w:hideMark/>
          </w:tcPr>
          <w:p w14:paraId="76D40455" w14:textId="77777777" w:rsidR="006E2F04" w:rsidRPr="00617415" w:rsidRDefault="006E2F04" w:rsidP="00B12030">
            <w:pPr>
              <w:jc w:val="center"/>
              <w:rPr>
                <w:rFonts w:ascii="Public Sans" w:hAnsi="Public Sans" w:cs="Calibri"/>
                <w:color w:val="000000"/>
                <w:sz w:val="17"/>
                <w:szCs w:val="17"/>
                <w:lang w:eastAsia="en-AU"/>
              </w:rPr>
            </w:pPr>
            <w:r w:rsidRPr="00617415">
              <w:rPr>
                <w:rFonts w:ascii="Public Sans" w:hAnsi="Public Sans" w:cs="Calibri"/>
                <w:color w:val="000000"/>
                <w:sz w:val="17"/>
                <w:szCs w:val="17"/>
                <w:lang w:eastAsia="en-AU"/>
              </w:rPr>
              <w:t>$m</w:t>
            </w:r>
          </w:p>
        </w:tc>
        <w:tc>
          <w:tcPr>
            <w:tcW w:w="960" w:type="dxa"/>
            <w:tcBorders>
              <w:top w:val="nil"/>
              <w:left w:val="nil"/>
              <w:right w:val="nil"/>
            </w:tcBorders>
            <w:shd w:val="clear" w:color="auto" w:fill="EBEBEB"/>
            <w:noWrap/>
            <w:hideMark/>
          </w:tcPr>
          <w:p w14:paraId="3EB728C4" w14:textId="77777777" w:rsidR="006E2F04" w:rsidRPr="00617415" w:rsidRDefault="006E2F04" w:rsidP="00B12030">
            <w:pPr>
              <w:jc w:val="center"/>
              <w:rPr>
                <w:rFonts w:ascii="Public Sans" w:hAnsi="Public Sans" w:cs="Calibri"/>
                <w:color w:val="000000"/>
                <w:sz w:val="17"/>
                <w:szCs w:val="17"/>
                <w:lang w:eastAsia="en-AU"/>
              </w:rPr>
            </w:pPr>
            <w:r w:rsidRPr="00617415">
              <w:rPr>
                <w:rFonts w:ascii="Public Sans" w:hAnsi="Public Sans" w:cs="Calibri"/>
                <w:color w:val="000000"/>
                <w:sz w:val="17"/>
                <w:szCs w:val="17"/>
                <w:lang w:eastAsia="en-AU"/>
              </w:rPr>
              <w:t>$m</w:t>
            </w:r>
          </w:p>
        </w:tc>
        <w:tc>
          <w:tcPr>
            <w:tcW w:w="960" w:type="dxa"/>
            <w:tcBorders>
              <w:top w:val="nil"/>
              <w:left w:val="nil"/>
              <w:right w:val="nil"/>
            </w:tcBorders>
            <w:shd w:val="clear" w:color="auto" w:fill="EBEBEB"/>
            <w:noWrap/>
            <w:hideMark/>
          </w:tcPr>
          <w:p w14:paraId="13A3B2A9" w14:textId="77777777" w:rsidR="006E2F04" w:rsidRPr="00617415" w:rsidRDefault="006E2F04" w:rsidP="00B12030">
            <w:pPr>
              <w:jc w:val="center"/>
              <w:rPr>
                <w:rFonts w:ascii="Public Sans" w:hAnsi="Public Sans" w:cs="Calibri"/>
                <w:color w:val="000000"/>
                <w:sz w:val="17"/>
                <w:szCs w:val="17"/>
                <w:lang w:eastAsia="en-AU"/>
              </w:rPr>
            </w:pPr>
            <w:r w:rsidRPr="00617415">
              <w:rPr>
                <w:rFonts w:ascii="Public Sans" w:hAnsi="Public Sans" w:cs="Calibri"/>
                <w:color w:val="000000"/>
                <w:sz w:val="17"/>
                <w:szCs w:val="17"/>
                <w:lang w:eastAsia="en-AU"/>
              </w:rPr>
              <w:t>$m</w:t>
            </w:r>
          </w:p>
        </w:tc>
        <w:tc>
          <w:tcPr>
            <w:tcW w:w="960" w:type="dxa"/>
            <w:tcBorders>
              <w:top w:val="nil"/>
              <w:left w:val="nil"/>
              <w:right w:val="nil"/>
            </w:tcBorders>
            <w:shd w:val="clear" w:color="auto" w:fill="EBEBEB"/>
            <w:noWrap/>
            <w:hideMark/>
          </w:tcPr>
          <w:p w14:paraId="0A09AD81" w14:textId="77777777" w:rsidR="006E2F04" w:rsidRPr="00617415" w:rsidRDefault="006E2F04" w:rsidP="00B12030">
            <w:pPr>
              <w:jc w:val="center"/>
              <w:rPr>
                <w:rFonts w:ascii="Public Sans" w:hAnsi="Public Sans" w:cs="Calibri"/>
                <w:color w:val="000000"/>
                <w:sz w:val="17"/>
                <w:szCs w:val="17"/>
                <w:lang w:eastAsia="en-AU"/>
              </w:rPr>
            </w:pPr>
            <w:r w:rsidRPr="00617415">
              <w:rPr>
                <w:rFonts w:ascii="Public Sans" w:hAnsi="Public Sans" w:cs="Calibri"/>
                <w:color w:val="000000"/>
                <w:sz w:val="17"/>
                <w:szCs w:val="17"/>
                <w:lang w:eastAsia="en-AU"/>
              </w:rPr>
              <w:t>$m</w:t>
            </w:r>
          </w:p>
        </w:tc>
        <w:tc>
          <w:tcPr>
            <w:tcW w:w="960" w:type="dxa"/>
            <w:tcBorders>
              <w:top w:val="nil"/>
              <w:left w:val="nil"/>
              <w:right w:val="nil"/>
            </w:tcBorders>
            <w:shd w:val="clear" w:color="auto" w:fill="EBEBEB"/>
            <w:noWrap/>
            <w:hideMark/>
          </w:tcPr>
          <w:p w14:paraId="3051D281" w14:textId="77777777" w:rsidR="006E2F04" w:rsidRPr="00617415" w:rsidRDefault="006E2F04" w:rsidP="00B12030">
            <w:pPr>
              <w:jc w:val="center"/>
              <w:rPr>
                <w:rFonts w:ascii="Public Sans" w:hAnsi="Public Sans" w:cs="Calibri"/>
                <w:color w:val="000000"/>
                <w:sz w:val="17"/>
                <w:szCs w:val="17"/>
                <w:lang w:eastAsia="en-AU"/>
              </w:rPr>
            </w:pPr>
            <w:r w:rsidRPr="00617415">
              <w:rPr>
                <w:rFonts w:ascii="Public Sans" w:hAnsi="Public Sans" w:cs="Calibri"/>
                <w:color w:val="000000"/>
                <w:sz w:val="17"/>
                <w:szCs w:val="17"/>
                <w:lang w:eastAsia="en-AU"/>
              </w:rPr>
              <w:t>$m</w:t>
            </w:r>
          </w:p>
        </w:tc>
      </w:tr>
      <w:tr w:rsidR="006E2F04" w:rsidRPr="00BC6D47" w14:paraId="58257170" w14:textId="77777777" w:rsidTr="009D0FC4">
        <w:trPr>
          <w:trHeight w:val="290"/>
        </w:trPr>
        <w:tc>
          <w:tcPr>
            <w:tcW w:w="4762" w:type="dxa"/>
            <w:tcBorders>
              <w:top w:val="nil"/>
              <w:left w:val="nil"/>
              <w:bottom w:val="nil"/>
              <w:right w:val="nil"/>
            </w:tcBorders>
            <w:noWrap/>
            <w:vAlign w:val="center"/>
            <w:hideMark/>
          </w:tcPr>
          <w:p w14:paraId="41EECED5" w14:textId="77777777" w:rsidR="006E2F04" w:rsidRPr="00617415" w:rsidRDefault="006E2F04" w:rsidP="00B12030">
            <w:pPr>
              <w:rPr>
                <w:rFonts w:ascii="Public Sans" w:hAnsi="Public Sans" w:cs="Calibri"/>
                <w:b/>
                <w:bCs/>
                <w:color w:val="000000"/>
                <w:sz w:val="16"/>
                <w:szCs w:val="16"/>
                <w:lang w:eastAsia="en-AU"/>
              </w:rPr>
            </w:pPr>
            <w:r w:rsidRPr="00617415">
              <w:rPr>
                <w:rFonts w:ascii="Public Sans" w:hAnsi="Public Sans" w:cs="Calibri"/>
                <w:b/>
                <w:bCs/>
                <w:color w:val="000000"/>
                <w:sz w:val="16"/>
                <w:szCs w:val="16"/>
                <w:lang w:eastAsia="en-AU"/>
              </w:rPr>
              <w:t xml:space="preserve">Public non-financial corporations </w:t>
            </w:r>
          </w:p>
        </w:tc>
        <w:tc>
          <w:tcPr>
            <w:tcW w:w="1104" w:type="dxa"/>
            <w:tcBorders>
              <w:top w:val="nil"/>
              <w:left w:val="nil"/>
              <w:bottom w:val="nil"/>
              <w:right w:val="nil"/>
            </w:tcBorders>
            <w:noWrap/>
            <w:vAlign w:val="center"/>
            <w:hideMark/>
          </w:tcPr>
          <w:p w14:paraId="01819228" w14:textId="77777777" w:rsidR="006E2F04" w:rsidRPr="00617415" w:rsidRDefault="006E2F04" w:rsidP="00B12030">
            <w:pPr>
              <w:ind w:right="227"/>
              <w:jc w:val="right"/>
              <w:rPr>
                <w:rFonts w:ascii="Public Sans" w:hAnsi="Public Sans" w:cs="Calibri"/>
                <w:b/>
                <w:bCs/>
                <w:color w:val="000000"/>
                <w:sz w:val="16"/>
                <w:szCs w:val="16"/>
                <w:lang w:eastAsia="en-AU"/>
              </w:rPr>
            </w:pPr>
          </w:p>
        </w:tc>
        <w:tc>
          <w:tcPr>
            <w:tcW w:w="960" w:type="dxa"/>
            <w:tcBorders>
              <w:top w:val="nil"/>
              <w:left w:val="nil"/>
              <w:bottom w:val="nil"/>
              <w:right w:val="nil"/>
            </w:tcBorders>
            <w:shd w:val="clear" w:color="auto" w:fill="EBEBEB"/>
            <w:noWrap/>
            <w:vAlign w:val="center"/>
            <w:hideMark/>
          </w:tcPr>
          <w:p w14:paraId="62D0B4AA" w14:textId="77777777" w:rsidR="006E2F04" w:rsidRPr="00617415" w:rsidRDefault="006E2F04" w:rsidP="00B12030">
            <w:pPr>
              <w:ind w:right="227"/>
              <w:jc w:val="right"/>
              <w:rPr>
                <w:rFonts w:ascii="Public Sans" w:hAnsi="Public Sans" w:cs="Calibri"/>
                <w:color w:val="000000"/>
                <w:sz w:val="16"/>
                <w:szCs w:val="16"/>
                <w:lang w:eastAsia="en-AU"/>
              </w:rPr>
            </w:pPr>
            <w:r w:rsidRPr="00617415">
              <w:rPr>
                <w:rFonts w:ascii="Public Sans" w:hAnsi="Public Sans" w:cs="Calibri"/>
                <w:color w:val="000000"/>
                <w:sz w:val="16"/>
                <w:szCs w:val="16"/>
                <w:lang w:eastAsia="en-AU"/>
              </w:rPr>
              <w:t> </w:t>
            </w:r>
          </w:p>
        </w:tc>
        <w:tc>
          <w:tcPr>
            <w:tcW w:w="960" w:type="dxa"/>
            <w:tcBorders>
              <w:top w:val="nil"/>
              <w:left w:val="nil"/>
              <w:bottom w:val="nil"/>
              <w:right w:val="nil"/>
            </w:tcBorders>
            <w:shd w:val="clear" w:color="auto" w:fill="EBEBEB"/>
            <w:noWrap/>
            <w:vAlign w:val="center"/>
            <w:hideMark/>
          </w:tcPr>
          <w:p w14:paraId="7BAFB712" w14:textId="77777777" w:rsidR="006E2F04" w:rsidRPr="00617415" w:rsidRDefault="006E2F04" w:rsidP="00B12030">
            <w:pPr>
              <w:ind w:right="227"/>
              <w:jc w:val="right"/>
              <w:rPr>
                <w:rFonts w:ascii="Public Sans" w:hAnsi="Public Sans" w:cs="Calibri"/>
                <w:color w:val="000000"/>
                <w:sz w:val="16"/>
                <w:szCs w:val="16"/>
                <w:lang w:eastAsia="en-AU"/>
              </w:rPr>
            </w:pPr>
            <w:r w:rsidRPr="00617415">
              <w:rPr>
                <w:rFonts w:ascii="Public Sans" w:hAnsi="Public Sans" w:cs="Calibri"/>
                <w:color w:val="000000"/>
                <w:sz w:val="16"/>
                <w:szCs w:val="16"/>
                <w:lang w:eastAsia="en-AU"/>
              </w:rPr>
              <w:t> </w:t>
            </w:r>
          </w:p>
        </w:tc>
        <w:tc>
          <w:tcPr>
            <w:tcW w:w="960" w:type="dxa"/>
            <w:tcBorders>
              <w:top w:val="nil"/>
              <w:left w:val="nil"/>
              <w:bottom w:val="nil"/>
              <w:right w:val="nil"/>
            </w:tcBorders>
            <w:shd w:val="clear" w:color="auto" w:fill="EBEBEB"/>
            <w:noWrap/>
            <w:vAlign w:val="center"/>
            <w:hideMark/>
          </w:tcPr>
          <w:p w14:paraId="1F0F26A0" w14:textId="77777777" w:rsidR="006E2F04" w:rsidRPr="00617415" w:rsidRDefault="006E2F04" w:rsidP="00B12030">
            <w:pPr>
              <w:ind w:right="227"/>
              <w:jc w:val="right"/>
              <w:rPr>
                <w:rFonts w:ascii="Public Sans" w:hAnsi="Public Sans" w:cs="Calibri"/>
                <w:color w:val="000000"/>
                <w:sz w:val="16"/>
                <w:szCs w:val="16"/>
                <w:lang w:eastAsia="en-AU"/>
              </w:rPr>
            </w:pPr>
            <w:r w:rsidRPr="00617415">
              <w:rPr>
                <w:rFonts w:ascii="Public Sans" w:hAnsi="Public Sans" w:cs="Calibri"/>
                <w:color w:val="000000"/>
                <w:sz w:val="16"/>
                <w:szCs w:val="16"/>
                <w:lang w:eastAsia="en-AU"/>
              </w:rPr>
              <w:t> </w:t>
            </w:r>
          </w:p>
        </w:tc>
        <w:tc>
          <w:tcPr>
            <w:tcW w:w="960" w:type="dxa"/>
            <w:tcBorders>
              <w:top w:val="nil"/>
              <w:left w:val="nil"/>
              <w:bottom w:val="nil"/>
              <w:right w:val="nil"/>
            </w:tcBorders>
            <w:shd w:val="clear" w:color="auto" w:fill="EBEBEB"/>
            <w:noWrap/>
            <w:vAlign w:val="center"/>
            <w:hideMark/>
          </w:tcPr>
          <w:p w14:paraId="23498FFC" w14:textId="77777777" w:rsidR="006E2F04" w:rsidRPr="00617415" w:rsidRDefault="006E2F04" w:rsidP="00B12030">
            <w:pPr>
              <w:ind w:right="227"/>
              <w:jc w:val="right"/>
              <w:rPr>
                <w:rFonts w:ascii="Public Sans" w:hAnsi="Public Sans" w:cs="Calibri"/>
                <w:color w:val="000000"/>
                <w:sz w:val="16"/>
                <w:szCs w:val="16"/>
                <w:lang w:eastAsia="en-AU"/>
              </w:rPr>
            </w:pPr>
            <w:r w:rsidRPr="00617415">
              <w:rPr>
                <w:rFonts w:ascii="Public Sans" w:hAnsi="Public Sans" w:cs="Calibri"/>
                <w:color w:val="000000"/>
                <w:sz w:val="16"/>
                <w:szCs w:val="16"/>
                <w:lang w:eastAsia="en-AU"/>
              </w:rPr>
              <w:t> </w:t>
            </w:r>
          </w:p>
        </w:tc>
      </w:tr>
      <w:tr w:rsidR="00AE0D71" w:rsidRPr="00BC6D47" w14:paraId="20C9994A" w14:textId="77777777" w:rsidTr="009D0FC4">
        <w:trPr>
          <w:trHeight w:val="283"/>
        </w:trPr>
        <w:tc>
          <w:tcPr>
            <w:tcW w:w="4762" w:type="dxa"/>
            <w:tcBorders>
              <w:top w:val="nil"/>
              <w:left w:val="nil"/>
              <w:bottom w:val="nil"/>
              <w:right w:val="nil"/>
            </w:tcBorders>
            <w:noWrap/>
            <w:vAlign w:val="center"/>
            <w:hideMark/>
          </w:tcPr>
          <w:p w14:paraId="2F7DCD0D" w14:textId="77777777" w:rsidR="00AE0D71" w:rsidRPr="00617415" w:rsidRDefault="00AE0D71" w:rsidP="00AE0D71">
            <w:pPr>
              <w:rPr>
                <w:rFonts w:ascii="Public Sans" w:hAnsi="Public Sans" w:cs="Calibri"/>
                <w:color w:val="000000"/>
                <w:sz w:val="16"/>
                <w:szCs w:val="16"/>
                <w:lang w:eastAsia="en-AU"/>
              </w:rPr>
            </w:pPr>
            <w:r w:rsidRPr="00617415">
              <w:rPr>
                <w:rFonts w:ascii="Public Sans" w:hAnsi="Public Sans" w:cs="Calibri"/>
                <w:color w:val="000000"/>
                <w:sz w:val="16"/>
                <w:szCs w:val="16"/>
                <w:lang w:eastAsia="en-AU"/>
              </w:rPr>
              <w:t>Essential Energy</w:t>
            </w:r>
          </w:p>
        </w:tc>
        <w:tc>
          <w:tcPr>
            <w:tcW w:w="1104" w:type="dxa"/>
            <w:tcBorders>
              <w:top w:val="nil"/>
              <w:left w:val="nil"/>
              <w:bottom w:val="nil"/>
              <w:right w:val="nil"/>
            </w:tcBorders>
            <w:noWrap/>
            <w:vAlign w:val="bottom"/>
          </w:tcPr>
          <w:p w14:paraId="08302CC4" w14:textId="18FDFCBF"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w:t>
            </w:r>
          </w:p>
        </w:tc>
        <w:tc>
          <w:tcPr>
            <w:tcW w:w="960" w:type="dxa"/>
            <w:tcBorders>
              <w:top w:val="nil"/>
              <w:left w:val="nil"/>
              <w:bottom w:val="nil"/>
              <w:right w:val="nil"/>
            </w:tcBorders>
            <w:shd w:val="clear" w:color="auto" w:fill="EBEBEB"/>
            <w:noWrap/>
            <w:vAlign w:val="bottom"/>
          </w:tcPr>
          <w:p w14:paraId="3B3201CB" w14:textId="62D5EE12"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w:t>
            </w:r>
          </w:p>
        </w:tc>
        <w:tc>
          <w:tcPr>
            <w:tcW w:w="960" w:type="dxa"/>
            <w:tcBorders>
              <w:top w:val="nil"/>
              <w:left w:val="nil"/>
              <w:bottom w:val="nil"/>
              <w:right w:val="nil"/>
            </w:tcBorders>
            <w:shd w:val="clear" w:color="auto" w:fill="EBEBEB"/>
            <w:noWrap/>
            <w:vAlign w:val="bottom"/>
          </w:tcPr>
          <w:p w14:paraId="087B9121" w14:textId="441B1BB4"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w:t>
            </w:r>
          </w:p>
        </w:tc>
        <w:tc>
          <w:tcPr>
            <w:tcW w:w="960" w:type="dxa"/>
            <w:tcBorders>
              <w:top w:val="nil"/>
              <w:left w:val="nil"/>
              <w:bottom w:val="nil"/>
              <w:right w:val="nil"/>
            </w:tcBorders>
            <w:shd w:val="clear" w:color="auto" w:fill="EBEBEB"/>
            <w:noWrap/>
            <w:vAlign w:val="bottom"/>
          </w:tcPr>
          <w:p w14:paraId="077B644D" w14:textId="5F02A932"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w:t>
            </w:r>
          </w:p>
        </w:tc>
        <w:tc>
          <w:tcPr>
            <w:tcW w:w="960" w:type="dxa"/>
            <w:tcBorders>
              <w:top w:val="nil"/>
              <w:left w:val="nil"/>
              <w:bottom w:val="nil"/>
              <w:right w:val="nil"/>
            </w:tcBorders>
            <w:shd w:val="clear" w:color="auto" w:fill="EBEBEB"/>
            <w:noWrap/>
            <w:vAlign w:val="bottom"/>
          </w:tcPr>
          <w:p w14:paraId="23C39220" w14:textId="0421D715"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27</w:t>
            </w:r>
          </w:p>
        </w:tc>
      </w:tr>
      <w:tr w:rsidR="00AE0D71" w:rsidRPr="00BC6D47" w14:paraId="4EA2314C" w14:textId="77777777" w:rsidTr="009D0FC4">
        <w:trPr>
          <w:trHeight w:val="283"/>
        </w:trPr>
        <w:tc>
          <w:tcPr>
            <w:tcW w:w="4762" w:type="dxa"/>
            <w:tcBorders>
              <w:top w:val="nil"/>
              <w:left w:val="nil"/>
              <w:bottom w:val="nil"/>
              <w:right w:val="nil"/>
            </w:tcBorders>
            <w:noWrap/>
            <w:vAlign w:val="center"/>
            <w:hideMark/>
          </w:tcPr>
          <w:p w14:paraId="710A602E" w14:textId="77777777" w:rsidR="00AE0D71" w:rsidRPr="00617415" w:rsidRDefault="00AE0D71" w:rsidP="00AE0D71">
            <w:pPr>
              <w:rPr>
                <w:rFonts w:ascii="Public Sans" w:hAnsi="Public Sans" w:cs="Calibri"/>
                <w:color w:val="000000"/>
                <w:sz w:val="16"/>
                <w:szCs w:val="16"/>
                <w:lang w:eastAsia="en-AU"/>
              </w:rPr>
            </w:pPr>
            <w:r w:rsidRPr="00617415">
              <w:rPr>
                <w:rFonts w:ascii="Public Sans" w:hAnsi="Public Sans" w:cs="Calibri"/>
                <w:color w:val="000000"/>
                <w:sz w:val="16"/>
                <w:szCs w:val="16"/>
                <w:lang w:eastAsia="en-AU"/>
              </w:rPr>
              <w:t>Forestry Corporation of NSW</w:t>
            </w:r>
          </w:p>
        </w:tc>
        <w:tc>
          <w:tcPr>
            <w:tcW w:w="1104" w:type="dxa"/>
            <w:tcBorders>
              <w:top w:val="nil"/>
              <w:left w:val="nil"/>
              <w:bottom w:val="nil"/>
              <w:right w:val="nil"/>
            </w:tcBorders>
            <w:noWrap/>
            <w:vAlign w:val="bottom"/>
          </w:tcPr>
          <w:p w14:paraId="3618BCAC" w14:textId="3EC6B5B5" w:rsidR="00AE0D71" w:rsidRPr="00617415" w:rsidRDefault="4E15C741" w:rsidP="00B00995">
            <w:pPr>
              <w:ind w:right="227"/>
              <w:jc w:val="right"/>
              <w:rPr>
                <w:rFonts w:ascii="Public Sans" w:hAnsi="Public Sans" w:cs="Calibri"/>
                <w:color w:val="000000"/>
                <w:sz w:val="16"/>
                <w:szCs w:val="16"/>
                <w:lang w:eastAsia="en-AU"/>
              </w:rPr>
            </w:pPr>
            <w:r w:rsidRPr="42BE2887">
              <w:rPr>
                <w:rFonts w:ascii="Public Sans" w:hAnsi="Public Sans"/>
                <w:sz w:val="16"/>
                <w:szCs w:val="16"/>
              </w:rPr>
              <w:t>-</w:t>
            </w:r>
          </w:p>
        </w:tc>
        <w:tc>
          <w:tcPr>
            <w:tcW w:w="960" w:type="dxa"/>
            <w:tcBorders>
              <w:top w:val="nil"/>
              <w:left w:val="nil"/>
              <w:bottom w:val="nil"/>
              <w:right w:val="nil"/>
            </w:tcBorders>
            <w:shd w:val="clear" w:color="auto" w:fill="EBEBEB"/>
            <w:noWrap/>
            <w:vAlign w:val="bottom"/>
          </w:tcPr>
          <w:p w14:paraId="6E0AE4FA" w14:textId="6D52A19B"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w:t>
            </w:r>
          </w:p>
        </w:tc>
        <w:tc>
          <w:tcPr>
            <w:tcW w:w="960" w:type="dxa"/>
            <w:tcBorders>
              <w:top w:val="nil"/>
              <w:left w:val="nil"/>
              <w:bottom w:val="nil"/>
              <w:right w:val="nil"/>
            </w:tcBorders>
            <w:shd w:val="clear" w:color="auto" w:fill="EBEBEB"/>
            <w:noWrap/>
            <w:vAlign w:val="bottom"/>
          </w:tcPr>
          <w:p w14:paraId="32FF4A80" w14:textId="160EBB2F"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w:t>
            </w:r>
          </w:p>
        </w:tc>
        <w:tc>
          <w:tcPr>
            <w:tcW w:w="960" w:type="dxa"/>
            <w:tcBorders>
              <w:top w:val="nil"/>
              <w:left w:val="nil"/>
              <w:bottom w:val="nil"/>
              <w:right w:val="nil"/>
            </w:tcBorders>
            <w:shd w:val="clear" w:color="auto" w:fill="EBEBEB"/>
            <w:noWrap/>
            <w:vAlign w:val="bottom"/>
          </w:tcPr>
          <w:p w14:paraId="06D9D7C3" w14:textId="4E2FC7ED"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w:t>
            </w:r>
          </w:p>
        </w:tc>
        <w:tc>
          <w:tcPr>
            <w:tcW w:w="960" w:type="dxa"/>
            <w:tcBorders>
              <w:top w:val="nil"/>
              <w:left w:val="nil"/>
              <w:bottom w:val="nil"/>
              <w:right w:val="nil"/>
            </w:tcBorders>
            <w:shd w:val="clear" w:color="auto" w:fill="EBEBEB"/>
            <w:noWrap/>
            <w:vAlign w:val="bottom"/>
          </w:tcPr>
          <w:p w14:paraId="6E36FD59" w14:textId="1A159E60"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w:t>
            </w:r>
          </w:p>
        </w:tc>
      </w:tr>
      <w:tr w:rsidR="00AE0D71" w:rsidRPr="00BC6D47" w14:paraId="59CD1368" w14:textId="77777777" w:rsidTr="009D0FC4">
        <w:trPr>
          <w:trHeight w:val="283"/>
        </w:trPr>
        <w:tc>
          <w:tcPr>
            <w:tcW w:w="4762" w:type="dxa"/>
            <w:tcBorders>
              <w:top w:val="nil"/>
              <w:left w:val="nil"/>
              <w:bottom w:val="nil"/>
              <w:right w:val="nil"/>
            </w:tcBorders>
            <w:noWrap/>
            <w:vAlign w:val="center"/>
            <w:hideMark/>
          </w:tcPr>
          <w:p w14:paraId="3F4A1517" w14:textId="77777777" w:rsidR="00AE0D71" w:rsidRPr="00617415" w:rsidRDefault="00AE0D71" w:rsidP="00AE0D71">
            <w:pPr>
              <w:rPr>
                <w:rFonts w:ascii="Public Sans" w:hAnsi="Public Sans" w:cs="Calibri"/>
                <w:color w:val="000000"/>
                <w:sz w:val="16"/>
                <w:szCs w:val="16"/>
                <w:lang w:eastAsia="en-AU"/>
              </w:rPr>
            </w:pPr>
            <w:r w:rsidRPr="00617415">
              <w:rPr>
                <w:rFonts w:ascii="Public Sans" w:hAnsi="Public Sans" w:cs="Calibri"/>
                <w:color w:val="000000"/>
                <w:sz w:val="16"/>
                <w:szCs w:val="16"/>
                <w:lang w:eastAsia="en-AU"/>
              </w:rPr>
              <w:t>Hunter Water Corporation</w:t>
            </w:r>
          </w:p>
        </w:tc>
        <w:tc>
          <w:tcPr>
            <w:tcW w:w="1104" w:type="dxa"/>
            <w:tcBorders>
              <w:top w:val="nil"/>
              <w:left w:val="nil"/>
              <w:bottom w:val="nil"/>
              <w:right w:val="nil"/>
            </w:tcBorders>
            <w:noWrap/>
            <w:vAlign w:val="bottom"/>
          </w:tcPr>
          <w:p w14:paraId="1817DD16" w14:textId="4A698318"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26</w:t>
            </w:r>
          </w:p>
        </w:tc>
        <w:tc>
          <w:tcPr>
            <w:tcW w:w="960" w:type="dxa"/>
            <w:tcBorders>
              <w:top w:val="nil"/>
              <w:left w:val="nil"/>
              <w:bottom w:val="nil"/>
              <w:right w:val="nil"/>
            </w:tcBorders>
            <w:shd w:val="clear" w:color="auto" w:fill="EBEBEB"/>
            <w:noWrap/>
            <w:vAlign w:val="bottom"/>
          </w:tcPr>
          <w:p w14:paraId="668964A4" w14:textId="4CD70EBA"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48</w:t>
            </w:r>
          </w:p>
        </w:tc>
        <w:tc>
          <w:tcPr>
            <w:tcW w:w="960" w:type="dxa"/>
            <w:tcBorders>
              <w:top w:val="nil"/>
              <w:left w:val="nil"/>
              <w:bottom w:val="nil"/>
              <w:right w:val="nil"/>
            </w:tcBorders>
            <w:shd w:val="clear" w:color="auto" w:fill="EBEBEB"/>
            <w:noWrap/>
            <w:vAlign w:val="bottom"/>
          </w:tcPr>
          <w:p w14:paraId="3FE6C4A4" w14:textId="715CDBB2"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70</w:t>
            </w:r>
          </w:p>
        </w:tc>
        <w:tc>
          <w:tcPr>
            <w:tcW w:w="960" w:type="dxa"/>
            <w:tcBorders>
              <w:top w:val="nil"/>
              <w:left w:val="nil"/>
              <w:bottom w:val="nil"/>
              <w:right w:val="nil"/>
            </w:tcBorders>
            <w:shd w:val="clear" w:color="auto" w:fill="EBEBEB"/>
            <w:noWrap/>
            <w:vAlign w:val="bottom"/>
          </w:tcPr>
          <w:p w14:paraId="131291FC" w14:textId="12652B9C"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94</w:t>
            </w:r>
          </w:p>
        </w:tc>
        <w:tc>
          <w:tcPr>
            <w:tcW w:w="960" w:type="dxa"/>
            <w:tcBorders>
              <w:top w:val="nil"/>
              <w:left w:val="nil"/>
              <w:bottom w:val="nil"/>
              <w:right w:val="nil"/>
            </w:tcBorders>
            <w:shd w:val="clear" w:color="auto" w:fill="EBEBEB"/>
            <w:noWrap/>
            <w:vAlign w:val="bottom"/>
          </w:tcPr>
          <w:p w14:paraId="4A77322F" w14:textId="4E46C189"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112</w:t>
            </w:r>
          </w:p>
        </w:tc>
      </w:tr>
      <w:tr w:rsidR="00AE0D71" w:rsidRPr="00BC6D47" w14:paraId="060923FE" w14:textId="77777777" w:rsidTr="009D0FC4">
        <w:trPr>
          <w:trHeight w:val="283"/>
        </w:trPr>
        <w:tc>
          <w:tcPr>
            <w:tcW w:w="4762" w:type="dxa"/>
            <w:tcBorders>
              <w:top w:val="nil"/>
              <w:left w:val="nil"/>
              <w:bottom w:val="nil"/>
              <w:right w:val="nil"/>
            </w:tcBorders>
            <w:noWrap/>
            <w:vAlign w:val="center"/>
            <w:hideMark/>
          </w:tcPr>
          <w:p w14:paraId="2B6E70EC" w14:textId="77777777" w:rsidR="00AE0D71" w:rsidRPr="00617415" w:rsidRDefault="00AE0D71" w:rsidP="00AE0D71">
            <w:pPr>
              <w:rPr>
                <w:rFonts w:ascii="Public Sans" w:hAnsi="Public Sans" w:cs="Calibri"/>
                <w:color w:val="000000"/>
                <w:sz w:val="16"/>
                <w:szCs w:val="16"/>
                <w:lang w:eastAsia="en-AU"/>
              </w:rPr>
            </w:pPr>
            <w:r w:rsidRPr="00617415">
              <w:rPr>
                <w:rFonts w:ascii="Public Sans" w:hAnsi="Public Sans" w:cs="Calibri"/>
                <w:color w:val="000000"/>
                <w:sz w:val="16"/>
                <w:szCs w:val="16"/>
                <w:lang w:eastAsia="en-AU"/>
              </w:rPr>
              <w:t>Landcom</w:t>
            </w:r>
            <w:r w:rsidRPr="00617415">
              <w:rPr>
                <w:rFonts w:ascii="Public Sans" w:hAnsi="Public Sans" w:cs="Calibri"/>
                <w:color w:val="000000"/>
                <w:sz w:val="14"/>
                <w:szCs w:val="14"/>
                <w:vertAlign w:val="superscript"/>
                <w:lang w:eastAsia="en-AU"/>
              </w:rPr>
              <w:t>(a)</w:t>
            </w:r>
          </w:p>
        </w:tc>
        <w:tc>
          <w:tcPr>
            <w:tcW w:w="1104" w:type="dxa"/>
            <w:tcBorders>
              <w:top w:val="nil"/>
              <w:left w:val="nil"/>
              <w:bottom w:val="nil"/>
              <w:right w:val="nil"/>
            </w:tcBorders>
            <w:noWrap/>
            <w:vAlign w:val="bottom"/>
          </w:tcPr>
          <w:p w14:paraId="46EED60A" w14:textId="0B7B71A6"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19</w:t>
            </w:r>
          </w:p>
        </w:tc>
        <w:tc>
          <w:tcPr>
            <w:tcW w:w="960" w:type="dxa"/>
            <w:tcBorders>
              <w:top w:val="nil"/>
              <w:left w:val="nil"/>
              <w:bottom w:val="nil"/>
              <w:right w:val="nil"/>
            </w:tcBorders>
            <w:shd w:val="clear" w:color="auto" w:fill="EBEBEB"/>
            <w:noWrap/>
            <w:vAlign w:val="bottom"/>
          </w:tcPr>
          <w:p w14:paraId="53962256" w14:textId="19C3AEB8"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9</w:t>
            </w:r>
          </w:p>
        </w:tc>
        <w:tc>
          <w:tcPr>
            <w:tcW w:w="960" w:type="dxa"/>
            <w:tcBorders>
              <w:top w:val="nil"/>
              <w:left w:val="nil"/>
              <w:bottom w:val="nil"/>
              <w:right w:val="nil"/>
            </w:tcBorders>
            <w:shd w:val="clear" w:color="auto" w:fill="EBEBEB"/>
            <w:noWrap/>
            <w:vAlign w:val="bottom"/>
          </w:tcPr>
          <w:p w14:paraId="41B01BE0" w14:textId="03129247"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38</w:t>
            </w:r>
          </w:p>
        </w:tc>
        <w:tc>
          <w:tcPr>
            <w:tcW w:w="960" w:type="dxa"/>
            <w:tcBorders>
              <w:top w:val="nil"/>
              <w:left w:val="nil"/>
              <w:bottom w:val="nil"/>
              <w:right w:val="nil"/>
            </w:tcBorders>
            <w:shd w:val="clear" w:color="auto" w:fill="EBEBEB"/>
            <w:noWrap/>
            <w:vAlign w:val="bottom"/>
          </w:tcPr>
          <w:p w14:paraId="1C2A4A07" w14:textId="7A826191"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40</w:t>
            </w:r>
          </w:p>
        </w:tc>
        <w:tc>
          <w:tcPr>
            <w:tcW w:w="960" w:type="dxa"/>
            <w:tcBorders>
              <w:top w:val="nil"/>
              <w:left w:val="nil"/>
              <w:bottom w:val="nil"/>
              <w:right w:val="nil"/>
            </w:tcBorders>
            <w:shd w:val="clear" w:color="auto" w:fill="EBEBEB"/>
            <w:noWrap/>
            <w:vAlign w:val="bottom"/>
          </w:tcPr>
          <w:p w14:paraId="1D66A65E" w14:textId="76E5E538"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35</w:t>
            </w:r>
          </w:p>
        </w:tc>
      </w:tr>
      <w:tr w:rsidR="00AE0D71" w:rsidRPr="00BC6D47" w14:paraId="7813F1FD" w14:textId="77777777" w:rsidTr="009D0FC4">
        <w:trPr>
          <w:trHeight w:val="283"/>
        </w:trPr>
        <w:tc>
          <w:tcPr>
            <w:tcW w:w="4762" w:type="dxa"/>
            <w:tcBorders>
              <w:top w:val="nil"/>
              <w:left w:val="nil"/>
              <w:bottom w:val="nil"/>
              <w:right w:val="nil"/>
            </w:tcBorders>
            <w:noWrap/>
            <w:vAlign w:val="center"/>
            <w:hideMark/>
          </w:tcPr>
          <w:p w14:paraId="27B67176" w14:textId="77777777" w:rsidR="00AE0D71" w:rsidRPr="00617415" w:rsidRDefault="00AE0D71" w:rsidP="00AE0D71">
            <w:pPr>
              <w:rPr>
                <w:rFonts w:ascii="Public Sans" w:hAnsi="Public Sans" w:cs="Calibri"/>
                <w:color w:val="000000"/>
                <w:sz w:val="16"/>
                <w:szCs w:val="16"/>
                <w:lang w:eastAsia="en-AU"/>
              </w:rPr>
            </w:pPr>
            <w:r w:rsidRPr="00617415">
              <w:rPr>
                <w:rFonts w:ascii="Public Sans" w:hAnsi="Public Sans" w:cs="Calibri"/>
                <w:color w:val="000000"/>
                <w:sz w:val="16"/>
                <w:szCs w:val="16"/>
                <w:lang w:eastAsia="en-AU"/>
              </w:rPr>
              <w:t>Port Authority of NSW</w:t>
            </w:r>
          </w:p>
        </w:tc>
        <w:tc>
          <w:tcPr>
            <w:tcW w:w="1104" w:type="dxa"/>
            <w:tcBorders>
              <w:top w:val="nil"/>
              <w:left w:val="nil"/>
              <w:bottom w:val="nil"/>
              <w:right w:val="nil"/>
            </w:tcBorders>
            <w:noWrap/>
            <w:vAlign w:val="bottom"/>
          </w:tcPr>
          <w:p w14:paraId="1D2B7976" w14:textId="6C979BB0"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59</w:t>
            </w:r>
          </w:p>
        </w:tc>
        <w:tc>
          <w:tcPr>
            <w:tcW w:w="960" w:type="dxa"/>
            <w:tcBorders>
              <w:top w:val="nil"/>
              <w:left w:val="nil"/>
              <w:bottom w:val="nil"/>
              <w:right w:val="nil"/>
            </w:tcBorders>
            <w:shd w:val="clear" w:color="auto" w:fill="EBEBEB"/>
            <w:noWrap/>
            <w:vAlign w:val="bottom"/>
          </w:tcPr>
          <w:p w14:paraId="27DF632F" w14:textId="0F3CA301"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39</w:t>
            </w:r>
          </w:p>
        </w:tc>
        <w:tc>
          <w:tcPr>
            <w:tcW w:w="960" w:type="dxa"/>
            <w:tcBorders>
              <w:top w:val="nil"/>
              <w:left w:val="nil"/>
              <w:bottom w:val="nil"/>
              <w:right w:val="nil"/>
            </w:tcBorders>
            <w:shd w:val="clear" w:color="auto" w:fill="EBEBEB"/>
            <w:noWrap/>
            <w:vAlign w:val="bottom"/>
          </w:tcPr>
          <w:p w14:paraId="3FECC835" w14:textId="24461EC7"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33</w:t>
            </w:r>
          </w:p>
        </w:tc>
        <w:tc>
          <w:tcPr>
            <w:tcW w:w="960" w:type="dxa"/>
            <w:tcBorders>
              <w:top w:val="nil"/>
              <w:left w:val="nil"/>
              <w:bottom w:val="nil"/>
              <w:right w:val="nil"/>
            </w:tcBorders>
            <w:shd w:val="clear" w:color="auto" w:fill="EBEBEB"/>
            <w:noWrap/>
            <w:vAlign w:val="bottom"/>
          </w:tcPr>
          <w:p w14:paraId="79C973B0" w14:textId="311781B9"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37</w:t>
            </w:r>
          </w:p>
        </w:tc>
        <w:tc>
          <w:tcPr>
            <w:tcW w:w="960" w:type="dxa"/>
            <w:tcBorders>
              <w:top w:val="nil"/>
              <w:left w:val="nil"/>
              <w:bottom w:val="nil"/>
              <w:right w:val="nil"/>
            </w:tcBorders>
            <w:shd w:val="clear" w:color="auto" w:fill="EBEBEB"/>
            <w:noWrap/>
            <w:vAlign w:val="bottom"/>
          </w:tcPr>
          <w:p w14:paraId="4068305B" w14:textId="6DD87058"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39</w:t>
            </w:r>
          </w:p>
        </w:tc>
      </w:tr>
      <w:tr w:rsidR="00AE0D71" w:rsidRPr="00BC6D47" w14:paraId="23A40ADC" w14:textId="77777777" w:rsidTr="009D0FC4">
        <w:trPr>
          <w:trHeight w:val="283"/>
        </w:trPr>
        <w:tc>
          <w:tcPr>
            <w:tcW w:w="4762" w:type="dxa"/>
            <w:tcBorders>
              <w:top w:val="nil"/>
              <w:left w:val="nil"/>
              <w:bottom w:val="nil"/>
              <w:right w:val="nil"/>
            </w:tcBorders>
            <w:noWrap/>
            <w:vAlign w:val="center"/>
            <w:hideMark/>
          </w:tcPr>
          <w:p w14:paraId="30377C6F" w14:textId="77777777" w:rsidR="00AE0D71" w:rsidRPr="00617415" w:rsidRDefault="00AE0D71" w:rsidP="00AE0D71">
            <w:pPr>
              <w:rPr>
                <w:rFonts w:ascii="Public Sans" w:hAnsi="Public Sans" w:cs="Calibri"/>
                <w:color w:val="000000"/>
                <w:sz w:val="16"/>
                <w:szCs w:val="16"/>
                <w:lang w:eastAsia="en-AU"/>
              </w:rPr>
            </w:pPr>
            <w:r w:rsidRPr="00617415">
              <w:rPr>
                <w:rFonts w:ascii="Public Sans" w:hAnsi="Public Sans" w:cs="Calibri"/>
                <w:color w:val="000000"/>
                <w:sz w:val="16"/>
                <w:szCs w:val="16"/>
                <w:lang w:eastAsia="en-AU"/>
              </w:rPr>
              <w:t>Sydney Water Corporation</w:t>
            </w:r>
          </w:p>
        </w:tc>
        <w:tc>
          <w:tcPr>
            <w:tcW w:w="1104" w:type="dxa"/>
            <w:tcBorders>
              <w:top w:val="nil"/>
              <w:left w:val="nil"/>
              <w:bottom w:val="nil"/>
              <w:right w:val="nil"/>
            </w:tcBorders>
            <w:noWrap/>
            <w:vAlign w:val="bottom"/>
          </w:tcPr>
          <w:p w14:paraId="5BAD7C2C" w14:textId="235ACD84"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280</w:t>
            </w:r>
          </w:p>
        </w:tc>
        <w:tc>
          <w:tcPr>
            <w:tcW w:w="960" w:type="dxa"/>
            <w:tcBorders>
              <w:top w:val="nil"/>
              <w:left w:val="nil"/>
              <w:bottom w:val="nil"/>
              <w:right w:val="nil"/>
            </w:tcBorders>
            <w:shd w:val="clear" w:color="auto" w:fill="EBEBEB"/>
            <w:noWrap/>
            <w:vAlign w:val="bottom"/>
          </w:tcPr>
          <w:p w14:paraId="298199A0" w14:textId="6D8B0A01"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552</w:t>
            </w:r>
          </w:p>
        </w:tc>
        <w:tc>
          <w:tcPr>
            <w:tcW w:w="960" w:type="dxa"/>
            <w:tcBorders>
              <w:top w:val="nil"/>
              <w:left w:val="nil"/>
              <w:bottom w:val="nil"/>
              <w:right w:val="nil"/>
            </w:tcBorders>
            <w:shd w:val="clear" w:color="auto" w:fill="EBEBEB"/>
            <w:noWrap/>
            <w:vAlign w:val="bottom"/>
          </w:tcPr>
          <w:p w14:paraId="6BEF4958" w14:textId="0A0BCC64"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513</w:t>
            </w:r>
          </w:p>
        </w:tc>
        <w:tc>
          <w:tcPr>
            <w:tcW w:w="960" w:type="dxa"/>
            <w:tcBorders>
              <w:top w:val="nil"/>
              <w:left w:val="nil"/>
              <w:bottom w:val="nil"/>
              <w:right w:val="nil"/>
            </w:tcBorders>
            <w:shd w:val="clear" w:color="auto" w:fill="EBEBEB"/>
            <w:noWrap/>
            <w:vAlign w:val="bottom"/>
          </w:tcPr>
          <w:p w14:paraId="55DD93FA" w14:textId="01ACCDE8"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544</w:t>
            </w:r>
          </w:p>
        </w:tc>
        <w:tc>
          <w:tcPr>
            <w:tcW w:w="960" w:type="dxa"/>
            <w:tcBorders>
              <w:top w:val="nil"/>
              <w:left w:val="nil"/>
              <w:bottom w:val="nil"/>
              <w:right w:val="nil"/>
            </w:tcBorders>
            <w:shd w:val="clear" w:color="auto" w:fill="EBEBEB"/>
            <w:noWrap/>
            <w:vAlign w:val="bottom"/>
          </w:tcPr>
          <w:p w14:paraId="3082C3F3" w14:textId="5D63EBE3"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630</w:t>
            </w:r>
          </w:p>
        </w:tc>
      </w:tr>
      <w:tr w:rsidR="00AE0D71" w:rsidRPr="00BC6D47" w14:paraId="277B148E" w14:textId="77777777" w:rsidTr="009D0FC4">
        <w:trPr>
          <w:trHeight w:val="283"/>
        </w:trPr>
        <w:tc>
          <w:tcPr>
            <w:tcW w:w="4762" w:type="dxa"/>
            <w:tcBorders>
              <w:top w:val="nil"/>
              <w:left w:val="nil"/>
              <w:bottom w:val="nil"/>
              <w:right w:val="nil"/>
            </w:tcBorders>
            <w:noWrap/>
            <w:vAlign w:val="center"/>
            <w:hideMark/>
          </w:tcPr>
          <w:p w14:paraId="67415BA2" w14:textId="29EBBA79" w:rsidR="00AE0D71" w:rsidRPr="00617415" w:rsidRDefault="00AE0D71" w:rsidP="00AE0D71">
            <w:pPr>
              <w:rPr>
                <w:rFonts w:ascii="Public Sans" w:hAnsi="Public Sans" w:cs="Calibri"/>
                <w:color w:val="000000"/>
                <w:sz w:val="16"/>
                <w:szCs w:val="16"/>
                <w:lang w:eastAsia="en-AU"/>
              </w:rPr>
            </w:pPr>
            <w:r w:rsidRPr="00617415">
              <w:rPr>
                <w:rFonts w:ascii="Public Sans" w:hAnsi="Public Sans" w:cs="Calibri"/>
                <w:color w:val="000000"/>
                <w:sz w:val="16"/>
                <w:szCs w:val="16"/>
                <w:lang w:eastAsia="en-AU"/>
              </w:rPr>
              <w:t>WaterNSW</w:t>
            </w:r>
          </w:p>
        </w:tc>
        <w:tc>
          <w:tcPr>
            <w:tcW w:w="1104" w:type="dxa"/>
            <w:tcBorders>
              <w:top w:val="nil"/>
              <w:left w:val="nil"/>
              <w:bottom w:val="nil"/>
              <w:right w:val="nil"/>
            </w:tcBorders>
            <w:noWrap/>
            <w:vAlign w:val="bottom"/>
          </w:tcPr>
          <w:p w14:paraId="51653B27" w14:textId="5D5D3C8E"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40</w:t>
            </w:r>
          </w:p>
        </w:tc>
        <w:tc>
          <w:tcPr>
            <w:tcW w:w="960" w:type="dxa"/>
            <w:tcBorders>
              <w:top w:val="nil"/>
              <w:left w:val="nil"/>
              <w:bottom w:val="nil"/>
              <w:right w:val="nil"/>
            </w:tcBorders>
            <w:shd w:val="clear" w:color="auto" w:fill="EBEBEB"/>
            <w:noWrap/>
            <w:vAlign w:val="bottom"/>
          </w:tcPr>
          <w:p w14:paraId="339B3730" w14:textId="5CE9034D"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40</w:t>
            </w:r>
          </w:p>
        </w:tc>
        <w:tc>
          <w:tcPr>
            <w:tcW w:w="960" w:type="dxa"/>
            <w:tcBorders>
              <w:top w:val="nil"/>
              <w:left w:val="nil"/>
              <w:bottom w:val="nil"/>
              <w:right w:val="nil"/>
            </w:tcBorders>
            <w:shd w:val="clear" w:color="auto" w:fill="EBEBEB"/>
            <w:noWrap/>
            <w:vAlign w:val="bottom"/>
          </w:tcPr>
          <w:p w14:paraId="64A0F51E" w14:textId="72309A81"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46</w:t>
            </w:r>
          </w:p>
        </w:tc>
        <w:tc>
          <w:tcPr>
            <w:tcW w:w="960" w:type="dxa"/>
            <w:tcBorders>
              <w:top w:val="nil"/>
              <w:left w:val="nil"/>
              <w:bottom w:val="nil"/>
              <w:right w:val="nil"/>
            </w:tcBorders>
            <w:shd w:val="clear" w:color="auto" w:fill="EBEBEB"/>
            <w:noWrap/>
            <w:vAlign w:val="bottom"/>
          </w:tcPr>
          <w:p w14:paraId="0DE86115" w14:textId="4DA43887"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76</w:t>
            </w:r>
          </w:p>
        </w:tc>
        <w:tc>
          <w:tcPr>
            <w:tcW w:w="960" w:type="dxa"/>
            <w:tcBorders>
              <w:top w:val="nil"/>
              <w:left w:val="nil"/>
              <w:bottom w:val="nil"/>
              <w:right w:val="nil"/>
            </w:tcBorders>
            <w:shd w:val="clear" w:color="auto" w:fill="EBEBEB"/>
            <w:noWrap/>
            <w:vAlign w:val="bottom"/>
          </w:tcPr>
          <w:p w14:paraId="26E12CA9" w14:textId="30198203"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102</w:t>
            </w:r>
          </w:p>
        </w:tc>
      </w:tr>
      <w:tr w:rsidR="00AE0D71" w:rsidRPr="00BC6D47" w14:paraId="65DDA48D" w14:textId="77777777" w:rsidTr="009D0FC4">
        <w:trPr>
          <w:trHeight w:val="283"/>
        </w:trPr>
        <w:tc>
          <w:tcPr>
            <w:tcW w:w="4762" w:type="dxa"/>
            <w:tcBorders>
              <w:top w:val="nil"/>
              <w:left w:val="nil"/>
              <w:right w:val="nil"/>
            </w:tcBorders>
            <w:noWrap/>
            <w:vAlign w:val="center"/>
            <w:hideMark/>
          </w:tcPr>
          <w:p w14:paraId="37D0582A" w14:textId="77777777" w:rsidR="00AE0D71" w:rsidRPr="00617415" w:rsidRDefault="00AE0D71" w:rsidP="00AE0D71">
            <w:pPr>
              <w:rPr>
                <w:rFonts w:ascii="Public Sans" w:hAnsi="Public Sans" w:cs="Calibri"/>
                <w:b/>
                <w:bCs/>
                <w:color w:val="000000"/>
                <w:sz w:val="16"/>
                <w:szCs w:val="16"/>
                <w:lang w:eastAsia="en-AU"/>
              </w:rPr>
            </w:pPr>
            <w:r w:rsidRPr="00617415">
              <w:rPr>
                <w:rFonts w:ascii="Public Sans" w:hAnsi="Public Sans" w:cs="Calibri"/>
                <w:b/>
                <w:bCs/>
                <w:color w:val="000000"/>
                <w:sz w:val="16"/>
                <w:szCs w:val="16"/>
                <w:lang w:eastAsia="en-AU"/>
              </w:rPr>
              <w:t>Public financial corporations</w:t>
            </w:r>
          </w:p>
        </w:tc>
        <w:tc>
          <w:tcPr>
            <w:tcW w:w="1104" w:type="dxa"/>
            <w:tcBorders>
              <w:top w:val="nil"/>
              <w:left w:val="nil"/>
              <w:right w:val="nil"/>
            </w:tcBorders>
            <w:noWrap/>
            <w:vAlign w:val="bottom"/>
          </w:tcPr>
          <w:p w14:paraId="4ED30F29" w14:textId="77777777" w:rsidR="00AE0D71" w:rsidRPr="00617415" w:rsidRDefault="00AE0D71" w:rsidP="00B00995">
            <w:pPr>
              <w:ind w:right="227"/>
              <w:jc w:val="right"/>
              <w:rPr>
                <w:rFonts w:ascii="Public Sans" w:hAnsi="Public Sans" w:cs="Calibri"/>
                <w:b/>
                <w:bCs/>
                <w:color w:val="000000"/>
                <w:sz w:val="16"/>
                <w:szCs w:val="16"/>
                <w:lang w:eastAsia="en-AU"/>
              </w:rPr>
            </w:pPr>
          </w:p>
        </w:tc>
        <w:tc>
          <w:tcPr>
            <w:tcW w:w="960" w:type="dxa"/>
            <w:tcBorders>
              <w:top w:val="nil"/>
              <w:left w:val="nil"/>
              <w:right w:val="nil"/>
            </w:tcBorders>
            <w:shd w:val="clear" w:color="auto" w:fill="EBEBEB"/>
            <w:noWrap/>
            <w:vAlign w:val="bottom"/>
          </w:tcPr>
          <w:p w14:paraId="11F971D0" w14:textId="2D168C8C" w:rsidR="00AE0D71" w:rsidRPr="00617415" w:rsidRDefault="00AE0D71" w:rsidP="00B00995">
            <w:pPr>
              <w:ind w:right="227"/>
              <w:jc w:val="right"/>
              <w:rPr>
                <w:rFonts w:ascii="Public Sans" w:hAnsi="Public Sans" w:cs="Calibri"/>
                <w:color w:val="000000"/>
                <w:sz w:val="16"/>
                <w:szCs w:val="16"/>
                <w:lang w:eastAsia="en-AU"/>
              </w:rPr>
            </w:pPr>
          </w:p>
        </w:tc>
        <w:tc>
          <w:tcPr>
            <w:tcW w:w="960" w:type="dxa"/>
            <w:tcBorders>
              <w:top w:val="nil"/>
              <w:left w:val="nil"/>
              <w:right w:val="nil"/>
            </w:tcBorders>
            <w:shd w:val="clear" w:color="auto" w:fill="EBEBEB"/>
            <w:noWrap/>
            <w:vAlign w:val="bottom"/>
          </w:tcPr>
          <w:p w14:paraId="298FEAD7" w14:textId="7BF2CFB0" w:rsidR="00AE0D71" w:rsidRPr="00617415" w:rsidRDefault="00AE0D71" w:rsidP="00B00995">
            <w:pPr>
              <w:ind w:right="227"/>
              <w:jc w:val="right"/>
              <w:rPr>
                <w:rFonts w:ascii="Public Sans" w:hAnsi="Public Sans" w:cs="Calibri"/>
                <w:color w:val="000000"/>
                <w:sz w:val="16"/>
                <w:szCs w:val="16"/>
                <w:lang w:eastAsia="en-AU"/>
              </w:rPr>
            </w:pPr>
          </w:p>
        </w:tc>
        <w:tc>
          <w:tcPr>
            <w:tcW w:w="960" w:type="dxa"/>
            <w:tcBorders>
              <w:top w:val="nil"/>
              <w:left w:val="nil"/>
              <w:right w:val="nil"/>
            </w:tcBorders>
            <w:shd w:val="clear" w:color="auto" w:fill="EBEBEB"/>
            <w:noWrap/>
            <w:vAlign w:val="bottom"/>
          </w:tcPr>
          <w:p w14:paraId="11310F61" w14:textId="665C3F3C" w:rsidR="00AE0D71" w:rsidRPr="00617415" w:rsidRDefault="00AE0D71" w:rsidP="00B00995">
            <w:pPr>
              <w:ind w:right="227"/>
              <w:jc w:val="right"/>
              <w:rPr>
                <w:rFonts w:ascii="Public Sans" w:hAnsi="Public Sans" w:cs="Calibri"/>
                <w:color w:val="000000"/>
                <w:sz w:val="16"/>
                <w:szCs w:val="16"/>
                <w:lang w:eastAsia="en-AU"/>
              </w:rPr>
            </w:pPr>
          </w:p>
        </w:tc>
        <w:tc>
          <w:tcPr>
            <w:tcW w:w="960" w:type="dxa"/>
            <w:tcBorders>
              <w:top w:val="nil"/>
              <w:left w:val="nil"/>
              <w:right w:val="nil"/>
            </w:tcBorders>
            <w:shd w:val="clear" w:color="auto" w:fill="EBEBEB"/>
            <w:noWrap/>
            <w:vAlign w:val="bottom"/>
          </w:tcPr>
          <w:p w14:paraId="2227A47A" w14:textId="0C2E46BC" w:rsidR="00AE0D71" w:rsidRPr="00617415" w:rsidRDefault="00AE0D71" w:rsidP="00B00995">
            <w:pPr>
              <w:ind w:right="227"/>
              <w:jc w:val="right"/>
              <w:rPr>
                <w:rFonts w:ascii="Public Sans" w:hAnsi="Public Sans" w:cs="Calibri"/>
                <w:color w:val="000000"/>
                <w:sz w:val="16"/>
                <w:szCs w:val="16"/>
                <w:lang w:eastAsia="en-AU"/>
              </w:rPr>
            </w:pPr>
          </w:p>
        </w:tc>
      </w:tr>
      <w:tr w:rsidR="00AE0D71" w:rsidRPr="00BC6D47" w14:paraId="52F73717" w14:textId="77777777" w:rsidTr="009D0FC4">
        <w:trPr>
          <w:trHeight w:val="283"/>
        </w:trPr>
        <w:tc>
          <w:tcPr>
            <w:tcW w:w="4762" w:type="dxa"/>
            <w:tcBorders>
              <w:top w:val="nil"/>
              <w:left w:val="nil"/>
              <w:bottom w:val="single" w:sz="4" w:space="0" w:color="auto"/>
              <w:right w:val="nil"/>
            </w:tcBorders>
            <w:noWrap/>
            <w:vAlign w:val="center"/>
            <w:hideMark/>
          </w:tcPr>
          <w:p w14:paraId="02FE92F6" w14:textId="77777777" w:rsidR="00AE0D71" w:rsidRPr="00617415" w:rsidRDefault="00AE0D71" w:rsidP="00AE0D71">
            <w:pPr>
              <w:rPr>
                <w:rFonts w:ascii="Public Sans" w:hAnsi="Public Sans" w:cs="Calibri"/>
                <w:color w:val="000000"/>
                <w:sz w:val="16"/>
                <w:szCs w:val="16"/>
                <w:lang w:eastAsia="en-AU"/>
              </w:rPr>
            </w:pPr>
            <w:r w:rsidRPr="7BCC11A7">
              <w:rPr>
                <w:rFonts w:ascii="Public Sans" w:hAnsi="Public Sans" w:cs="Calibri"/>
                <w:color w:val="000000" w:themeColor="text1"/>
                <w:sz w:val="16"/>
                <w:szCs w:val="16"/>
                <w:lang w:eastAsia="en-AU"/>
              </w:rPr>
              <w:t>NSW Treasury Corporation</w:t>
            </w:r>
            <w:r w:rsidRPr="7BCC11A7">
              <w:rPr>
                <w:rFonts w:ascii="Public Sans" w:hAnsi="Public Sans" w:cs="Calibri"/>
                <w:color w:val="000000" w:themeColor="text1"/>
                <w:sz w:val="14"/>
                <w:szCs w:val="14"/>
                <w:vertAlign w:val="superscript"/>
                <w:lang w:eastAsia="en-AU"/>
              </w:rPr>
              <w:t>(b)</w:t>
            </w:r>
          </w:p>
        </w:tc>
        <w:tc>
          <w:tcPr>
            <w:tcW w:w="1104" w:type="dxa"/>
            <w:tcBorders>
              <w:top w:val="nil"/>
              <w:left w:val="nil"/>
              <w:bottom w:val="single" w:sz="4" w:space="0" w:color="auto"/>
              <w:right w:val="nil"/>
            </w:tcBorders>
            <w:noWrap/>
            <w:vAlign w:val="bottom"/>
          </w:tcPr>
          <w:p w14:paraId="7B58A3C2" w14:textId="5D9D874D"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205</w:t>
            </w:r>
          </w:p>
        </w:tc>
        <w:tc>
          <w:tcPr>
            <w:tcW w:w="960" w:type="dxa"/>
            <w:tcBorders>
              <w:top w:val="nil"/>
              <w:left w:val="nil"/>
              <w:bottom w:val="single" w:sz="4" w:space="0" w:color="auto"/>
              <w:right w:val="nil"/>
            </w:tcBorders>
            <w:shd w:val="clear" w:color="auto" w:fill="EBEBEB"/>
            <w:noWrap/>
            <w:vAlign w:val="bottom"/>
          </w:tcPr>
          <w:p w14:paraId="128F32C2" w14:textId="7F5C897C"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235</w:t>
            </w:r>
          </w:p>
        </w:tc>
        <w:tc>
          <w:tcPr>
            <w:tcW w:w="960" w:type="dxa"/>
            <w:tcBorders>
              <w:top w:val="nil"/>
              <w:left w:val="nil"/>
              <w:bottom w:val="single" w:sz="4" w:space="0" w:color="auto"/>
              <w:right w:val="nil"/>
            </w:tcBorders>
            <w:shd w:val="clear" w:color="auto" w:fill="EBEBEB"/>
            <w:noWrap/>
            <w:vAlign w:val="bottom"/>
          </w:tcPr>
          <w:p w14:paraId="1A9AE876" w14:textId="1C134532"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269</w:t>
            </w:r>
          </w:p>
        </w:tc>
        <w:tc>
          <w:tcPr>
            <w:tcW w:w="960" w:type="dxa"/>
            <w:tcBorders>
              <w:top w:val="nil"/>
              <w:left w:val="nil"/>
              <w:bottom w:val="single" w:sz="4" w:space="0" w:color="auto"/>
              <w:right w:val="nil"/>
            </w:tcBorders>
            <w:shd w:val="clear" w:color="auto" w:fill="EBEBEB"/>
            <w:noWrap/>
            <w:vAlign w:val="bottom"/>
          </w:tcPr>
          <w:p w14:paraId="43D4C23F" w14:textId="2A525F6A"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286</w:t>
            </w:r>
          </w:p>
        </w:tc>
        <w:tc>
          <w:tcPr>
            <w:tcW w:w="960" w:type="dxa"/>
            <w:tcBorders>
              <w:top w:val="nil"/>
              <w:left w:val="nil"/>
              <w:bottom w:val="single" w:sz="4" w:space="0" w:color="auto"/>
              <w:right w:val="nil"/>
            </w:tcBorders>
            <w:shd w:val="clear" w:color="auto" w:fill="EBEBEB"/>
            <w:noWrap/>
            <w:vAlign w:val="bottom"/>
          </w:tcPr>
          <w:p w14:paraId="542CBA62" w14:textId="35232D97"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302</w:t>
            </w:r>
          </w:p>
        </w:tc>
      </w:tr>
      <w:tr w:rsidR="00716563" w:rsidRPr="00BC6D47" w14:paraId="5806184D" w14:textId="77777777" w:rsidTr="009D0FC4">
        <w:trPr>
          <w:trHeight w:val="283"/>
        </w:trPr>
        <w:tc>
          <w:tcPr>
            <w:tcW w:w="4762" w:type="dxa"/>
            <w:tcBorders>
              <w:top w:val="single" w:sz="4" w:space="0" w:color="auto"/>
              <w:left w:val="nil"/>
              <w:bottom w:val="nil"/>
              <w:right w:val="nil"/>
            </w:tcBorders>
            <w:noWrap/>
            <w:vAlign w:val="center"/>
          </w:tcPr>
          <w:p w14:paraId="36A213F6" w14:textId="68A807C3" w:rsidR="00716563" w:rsidRPr="005D5DD6" w:rsidRDefault="00716563" w:rsidP="00AE0D71">
            <w:pPr>
              <w:rPr>
                <w:rFonts w:ascii="Public Sans" w:hAnsi="Public Sans" w:cs="Calibri"/>
                <w:color w:val="000000"/>
                <w:sz w:val="16"/>
                <w:szCs w:val="16"/>
                <w:lang w:eastAsia="en-AU"/>
              </w:rPr>
            </w:pPr>
            <w:r w:rsidRPr="005D5DD6">
              <w:rPr>
                <w:rFonts w:ascii="Public Sans" w:hAnsi="Public Sans" w:cs="Calibri"/>
                <w:color w:val="000000"/>
                <w:sz w:val="16"/>
                <w:szCs w:val="16"/>
                <w:lang w:eastAsia="en-AU"/>
              </w:rPr>
              <w:t>Less: IPART Determinations risk adjustment</w:t>
            </w:r>
          </w:p>
        </w:tc>
        <w:tc>
          <w:tcPr>
            <w:tcW w:w="1104" w:type="dxa"/>
            <w:tcBorders>
              <w:top w:val="single" w:sz="4" w:space="0" w:color="auto"/>
              <w:left w:val="nil"/>
              <w:bottom w:val="nil"/>
              <w:right w:val="nil"/>
            </w:tcBorders>
            <w:noWrap/>
            <w:vAlign w:val="center"/>
          </w:tcPr>
          <w:p w14:paraId="02E48735" w14:textId="2C4945E1" w:rsidR="00716563" w:rsidRPr="005D5DD6" w:rsidRDefault="00ED714B" w:rsidP="001D4803">
            <w:pPr>
              <w:ind w:right="227"/>
              <w:jc w:val="right"/>
              <w:rPr>
                <w:rFonts w:ascii="Public Sans" w:hAnsi="Public Sans"/>
                <w:sz w:val="16"/>
                <w:szCs w:val="16"/>
              </w:rPr>
            </w:pPr>
            <w:r w:rsidRPr="005D5DD6">
              <w:rPr>
                <w:rFonts w:ascii="Public Sans" w:hAnsi="Public Sans"/>
                <w:sz w:val="16"/>
                <w:szCs w:val="16"/>
              </w:rPr>
              <w:t>-</w:t>
            </w:r>
          </w:p>
        </w:tc>
        <w:tc>
          <w:tcPr>
            <w:tcW w:w="960" w:type="dxa"/>
            <w:tcBorders>
              <w:top w:val="single" w:sz="4" w:space="0" w:color="auto"/>
              <w:left w:val="nil"/>
              <w:bottom w:val="nil"/>
              <w:right w:val="nil"/>
            </w:tcBorders>
            <w:shd w:val="clear" w:color="auto" w:fill="EBEBEB"/>
            <w:noWrap/>
            <w:vAlign w:val="center"/>
          </w:tcPr>
          <w:p w14:paraId="1423B0A2" w14:textId="250C30AE" w:rsidR="00716563" w:rsidRPr="005D5DD6" w:rsidRDefault="00ED714B" w:rsidP="001D4803">
            <w:pPr>
              <w:ind w:right="227"/>
              <w:jc w:val="right"/>
              <w:rPr>
                <w:rFonts w:ascii="Public Sans" w:hAnsi="Public Sans"/>
                <w:sz w:val="16"/>
                <w:szCs w:val="16"/>
              </w:rPr>
            </w:pPr>
            <w:r w:rsidRPr="005D5DD6">
              <w:rPr>
                <w:rFonts w:ascii="Public Sans" w:hAnsi="Public Sans"/>
                <w:sz w:val="16"/>
                <w:szCs w:val="16"/>
              </w:rPr>
              <w:t>(50</w:t>
            </w:r>
            <w:r w:rsidR="002E43ED" w:rsidRPr="005D5DD6">
              <w:rPr>
                <w:rFonts w:ascii="Public Sans" w:hAnsi="Public Sans"/>
                <w:sz w:val="16"/>
                <w:szCs w:val="16"/>
              </w:rPr>
              <w:t>)</w:t>
            </w:r>
          </w:p>
        </w:tc>
        <w:tc>
          <w:tcPr>
            <w:tcW w:w="960" w:type="dxa"/>
            <w:tcBorders>
              <w:top w:val="single" w:sz="4" w:space="0" w:color="auto"/>
              <w:left w:val="nil"/>
              <w:bottom w:val="nil"/>
              <w:right w:val="nil"/>
            </w:tcBorders>
            <w:shd w:val="clear" w:color="auto" w:fill="EBEBEB"/>
            <w:noWrap/>
            <w:vAlign w:val="center"/>
          </w:tcPr>
          <w:p w14:paraId="383BE90F" w14:textId="3C669DCA" w:rsidR="00716563" w:rsidRPr="005D5DD6" w:rsidRDefault="00ED714B" w:rsidP="001D4803">
            <w:pPr>
              <w:ind w:right="227"/>
              <w:jc w:val="right"/>
              <w:rPr>
                <w:rFonts w:ascii="Public Sans" w:hAnsi="Public Sans"/>
                <w:sz w:val="16"/>
                <w:szCs w:val="16"/>
              </w:rPr>
            </w:pPr>
            <w:r w:rsidRPr="005D5DD6">
              <w:rPr>
                <w:rFonts w:ascii="Public Sans" w:hAnsi="Public Sans"/>
                <w:sz w:val="16"/>
                <w:szCs w:val="16"/>
              </w:rPr>
              <w:t>(51)</w:t>
            </w:r>
          </w:p>
        </w:tc>
        <w:tc>
          <w:tcPr>
            <w:tcW w:w="960" w:type="dxa"/>
            <w:tcBorders>
              <w:top w:val="single" w:sz="4" w:space="0" w:color="auto"/>
              <w:left w:val="nil"/>
              <w:bottom w:val="nil"/>
              <w:right w:val="nil"/>
            </w:tcBorders>
            <w:shd w:val="clear" w:color="auto" w:fill="EBEBEB"/>
            <w:noWrap/>
            <w:vAlign w:val="center"/>
          </w:tcPr>
          <w:p w14:paraId="6D68A363" w14:textId="1D70977D" w:rsidR="00716563" w:rsidRPr="005D5DD6" w:rsidRDefault="00ED714B" w:rsidP="001D4803">
            <w:pPr>
              <w:ind w:right="227"/>
              <w:jc w:val="right"/>
              <w:rPr>
                <w:rFonts w:ascii="Public Sans" w:hAnsi="Public Sans"/>
                <w:sz w:val="16"/>
                <w:szCs w:val="16"/>
              </w:rPr>
            </w:pPr>
            <w:r w:rsidRPr="005D5DD6">
              <w:rPr>
                <w:rFonts w:ascii="Public Sans" w:hAnsi="Public Sans"/>
                <w:sz w:val="16"/>
                <w:szCs w:val="16"/>
              </w:rPr>
              <w:t>(81)</w:t>
            </w:r>
          </w:p>
        </w:tc>
        <w:tc>
          <w:tcPr>
            <w:tcW w:w="960" w:type="dxa"/>
            <w:tcBorders>
              <w:top w:val="single" w:sz="4" w:space="0" w:color="auto"/>
              <w:left w:val="nil"/>
              <w:bottom w:val="nil"/>
              <w:right w:val="nil"/>
            </w:tcBorders>
            <w:shd w:val="clear" w:color="auto" w:fill="EBEBEB"/>
            <w:noWrap/>
            <w:vAlign w:val="center"/>
          </w:tcPr>
          <w:p w14:paraId="6250FCFB" w14:textId="0510E324" w:rsidR="00716563" w:rsidRPr="005D5DD6" w:rsidRDefault="00ED714B" w:rsidP="001D4803">
            <w:pPr>
              <w:ind w:right="227"/>
              <w:jc w:val="right"/>
              <w:rPr>
                <w:rFonts w:ascii="Public Sans" w:hAnsi="Public Sans"/>
                <w:sz w:val="16"/>
                <w:szCs w:val="16"/>
              </w:rPr>
            </w:pPr>
            <w:r w:rsidRPr="005D5DD6">
              <w:rPr>
                <w:rFonts w:ascii="Public Sans" w:hAnsi="Public Sans"/>
                <w:sz w:val="16"/>
                <w:szCs w:val="16"/>
              </w:rPr>
              <w:t>(107)</w:t>
            </w:r>
          </w:p>
        </w:tc>
      </w:tr>
      <w:tr w:rsidR="00AE0D71" w:rsidRPr="00BC6D47" w14:paraId="7A073C09" w14:textId="77777777" w:rsidTr="009D0FC4">
        <w:trPr>
          <w:trHeight w:val="439"/>
        </w:trPr>
        <w:tc>
          <w:tcPr>
            <w:tcW w:w="4762" w:type="dxa"/>
            <w:tcBorders>
              <w:top w:val="single" w:sz="8" w:space="0" w:color="auto"/>
              <w:left w:val="nil"/>
              <w:bottom w:val="single" w:sz="8" w:space="0" w:color="auto"/>
              <w:right w:val="nil"/>
            </w:tcBorders>
            <w:vAlign w:val="bottom"/>
            <w:hideMark/>
          </w:tcPr>
          <w:p w14:paraId="71094000" w14:textId="77777777" w:rsidR="00AE0D71" w:rsidRPr="00617415" w:rsidRDefault="00AE0D71" w:rsidP="00AE0D71">
            <w:pPr>
              <w:rPr>
                <w:rFonts w:ascii="Public Sans" w:hAnsi="Public Sans" w:cs="Calibri"/>
                <w:b/>
                <w:bCs/>
                <w:color w:val="000000"/>
                <w:sz w:val="16"/>
                <w:szCs w:val="16"/>
                <w:lang w:eastAsia="en-AU"/>
              </w:rPr>
            </w:pPr>
            <w:r w:rsidRPr="0C639159">
              <w:rPr>
                <w:rFonts w:ascii="Public Sans" w:hAnsi="Public Sans" w:cs="Calibri"/>
                <w:b/>
                <w:color w:val="000000" w:themeColor="text1"/>
                <w:sz w:val="16"/>
                <w:szCs w:val="16"/>
                <w:lang w:eastAsia="en-AU"/>
              </w:rPr>
              <w:t>Total Dividend and Tax Equivalent Payments in Revenue from Transactions section</w:t>
            </w:r>
          </w:p>
        </w:tc>
        <w:tc>
          <w:tcPr>
            <w:tcW w:w="1104" w:type="dxa"/>
            <w:tcBorders>
              <w:top w:val="single" w:sz="8" w:space="0" w:color="auto"/>
              <w:left w:val="nil"/>
              <w:bottom w:val="single" w:sz="8" w:space="0" w:color="auto"/>
              <w:right w:val="nil"/>
            </w:tcBorders>
            <w:noWrap/>
            <w:vAlign w:val="bottom"/>
          </w:tcPr>
          <w:p w14:paraId="0AE92741" w14:textId="26C35550" w:rsidR="00AE0D71" w:rsidRPr="005D5DD6" w:rsidRDefault="000F3B09" w:rsidP="00B00995">
            <w:pPr>
              <w:ind w:right="227"/>
              <w:jc w:val="right"/>
              <w:rPr>
                <w:rFonts w:ascii="Public Sans" w:hAnsi="Public Sans" w:cs="Calibri"/>
                <w:color w:val="000000"/>
                <w:sz w:val="16"/>
                <w:szCs w:val="16"/>
                <w:lang w:eastAsia="en-AU"/>
              </w:rPr>
            </w:pPr>
            <w:r w:rsidRPr="005D5DD6">
              <w:rPr>
                <w:rFonts w:ascii="Public Sans" w:hAnsi="Public Sans"/>
                <w:sz w:val="16"/>
                <w:szCs w:val="16"/>
              </w:rPr>
              <w:t>630</w:t>
            </w:r>
          </w:p>
        </w:tc>
        <w:tc>
          <w:tcPr>
            <w:tcW w:w="960" w:type="dxa"/>
            <w:tcBorders>
              <w:top w:val="single" w:sz="8" w:space="0" w:color="auto"/>
              <w:left w:val="nil"/>
              <w:bottom w:val="single" w:sz="8" w:space="0" w:color="auto"/>
              <w:right w:val="nil"/>
            </w:tcBorders>
            <w:shd w:val="clear" w:color="auto" w:fill="EBEBEB"/>
            <w:noWrap/>
            <w:vAlign w:val="bottom"/>
          </w:tcPr>
          <w:p w14:paraId="2D93A7C7" w14:textId="2A6F9C3A" w:rsidR="00AE0D71" w:rsidRPr="005D5DD6" w:rsidRDefault="00D73C1A" w:rsidP="00B00995">
            <w:pPr>
              <w:ind w:right="227"/>
              <w:jc w:val="right"/>
              <w:rPr>
                <w:rFonts w:ascii="Public Sans" w:hAnsi="Public Sans" w:cs="Calibri"/>
                <w:color w:val="000000"/>
                <w:sz w:val="16"/>
                <w:szCs w:val="16"/>
                <w:lang w:eastAsia="en-AU"/>
              </w:rPr>
            </w:pPr>
            <w:r w:rsidRPr="005D5DD6">
              <w:rPr>
                <w:rFonts w:ascii="Public Sans" w:hAnsi="Public Sans"/>
                <w:sz w:val="16"/>
                <w:szCs w:val="16"/>
              </w:rPr>
              <w:t>874</w:t>
            </w:r>
          </w:p>
        </w:tc>
        <w:tc>
          <w:tcPr>
            <w:tcW w:w="960" w:type="dxa"/>
            <w:tcBorders>
              <w:top w:val="single" w:sz="8" w:space="0" w:color="auto"/>
              <w:left w:val="nil"/>
              <w:bottom w:val="single" w:sz="8" w:space="0" w:color="auto"/>
              <w:right w:val="nil"/>
            </w:tcBorders>
            <w:shd w:val="clear" w:color="auto" w:fill="EBEBEB"/>
            <w:noWrap/>
            <w:vAlign w:val="bottom"/>
          </w:tcPr>
          <w:p w14:paraId="14985BDB" w14:textId="543C847F" w:rsidR="00AE0D71" w:rsidRPr="005D5DD6" w:rsidRDefault="000F3B09" w:rsidP="00B00995">
            <w:pPr>
              <w:ind w:right="227"/>
              <w:jc w:val="right"/>
              <w:rPr>
                <w:rFonts w:ascii="Public Sans" w:hAnsi="Public Sans" w:cs="Calibri"/>
                <w:color w:val="000000"/>
                <w:sz w:val="16"/>
                <w:szCs w:val="16"/>
                <w:lang w:eastAsia="en-AU"/>
              </w:rPr>
            </w:pPr>
            <w:r w:rsidRPr="005D5DD6">
              <w:rPr>
                <w:rFonts w:ascii="Public Sans" w:hAnsi="Public Sans"/>
                <w:sz w:val="16"/>
                <w:szCs w:val="16"/>
              </w:rPr>
              <w:t>9</w:t>
            </w:r>
            <w:r w:rsidR="00880F4C" w:rsidRPr="005D5DD6">
              <w:rPr>
                <w:rFonts w:ascii="Public Sans" w:hAnsi="Public Sans"/>
                <w:sz w:val="16"/>
                <w:szCs w:val="16"/>
              </w:rPr>
              <w:t>19</w:t>
            </w:r>
          </w:p>
        </w:tc>
        <w:tc>
          <w:tcPr>
            <w:tcW w:w="960" w:type="dxa"/>
            <w:tcBorders>
              <w:top w:val="single" w:sz="8" w:space="0" w:color="auto"/>
              <w:left w:val="nil"/>
              <w:bottom w:val="single" w:sz="8" w:space="0" w:color="auto"/>
              <w:right w:val="nil"/>
            </w:tcBorders>
            <w:shd w:val="clear" w:color="auto" w:fill="EBEBEB"/>
            <w:noWrap/>
            <w:vAlign w:val="bottom"/>
          </w:tcPr>
          <w:p w14:paraId="34089CE0" w14:textId="7C34C382" w:rsidR="00AE0D71" w:rsidRPr="005D5DD6" w:rsidRDefault="00880F4C" w:rsidP="00B00995">
            <w:pPr>
              <w:ind w:right="227"/>
              <w:jc w:val="right"/>
              <w:rPr>
                <w:rFonts w:ascii="Public Sans" w:hAnsi="Public Sans" w:cs="Calibri"/>
                <w:color w:val="000000"/>
                <w:sz w:val="16"/>
                <w:szCs w:val="16"/>
                <w:lang w:eastAsia="en-AU"/>
              </w:rPr>
            </w:pPr>
            <w:r w:rsidRPr="005D5DD6">
              <w:rPr>
                <w:rFonts w:ascii="Public Sans" w:hAnsi="Public Sans"/>
                <w:sz w:val="16"/>
                <w:szCs w:val="16"/>
              </w:rPr>
              <w:t>995</w:t>
            </w:r>
          </w:p>
        </w:tc>
        <w:tc>
          <w:tcPr>
            <w:tcW w:w="960" w:type="dxa"/>
            <w:tcBorders>
              <w:top w:val="single" w:sz="8" w:space="0" w:color="auto"/>
              <w:left w:val="nil"/>
              <w:bottom w:val="single" w:sz="8" w:space="0" w:color="auto"/>
              <w:right w:val="nil"/>
            </w:tcBorders>
            <w:shd w:val="clear" w:color="auto" w:fill="EBEBEB"/>
            <w:noWrap/>
            <w:vAlign w:val="bottom"/>
          </w:tcPr>
          <w:p w14:paraId="49771FAE" w14:textId="13FFA891" w:rsidR="00AE0D71" w:rsidRPr="005D5DD6" w:rsidRDefault="00BA583B" w:rsidP="00B00995">
            <w:pPr>
              <w:ind w:right="227"/>
              <w:jc w:val="right"/>
              <w:rPr>
                <w:rFonts w:ascii="Public Sans" w:hAnsi="Public Sans" w:cs="Calibri"/>
                <w:color w:val="000000"/>
                <w:sz w:val="16"/>
                <w:szCs w:val="16"/>
                <w:lang w:eastAsia="en-AU"/>
              </w:rPr>
            </w:pPr>
            <w:r w:rsidRPr="005D5DD6">
              <w:rPr>
                <w:rFonts w:ascii="Public Sans" w:hAnsi="Public Sans"/>
                <w:sz w:val="16"/>
                <w:szCs w:val="16"/>
              </w:rPr>
              <w:t>1,</w:t>
            </w:r>
            <w:r w:rsidR="00DC2CD4" w:rsidRPr="005D5DD6">
              <w:rPr>
                <w:rFonts w:ascii="Public Sans" w:hAnsi="Public Sans"/>
                <w:sz w:val="16"/>
                <w:szCs w:val="16"/>
              </w:rPr>
              <w:t>139</w:t>
            </w:r>
          </w:p>
        </w:tc>
      </w:tr>
      <w:tr w:rsidR="00AE0D71" w:rsidRPr="00BC6D47" w14:paraId="22443970" w14:textId="77777777" w:rsidTr="009D0FC4">
        <w:trPr>
          <w:trHeight w:val="283"/>
        </w:trPr>
        <w:tc>
          <w:tcPr>
            <w:tcW w:w="4762" w:type="dxa"/>
            <w:tcBorders>
              <w:top w:val="nil"/>
              <w:left w:val="nil"/>
              <w:bottom w:val="nil"/>
              <w:right w:val="nil"/>
            </w:tcBorders>
            <w:noWrap/>
            <w:vAlign w:val="center"/>
            <w:hideMark/>
          </w:tcPr>
          <w:p w14:paraId="02971FB5" w14:textId="77777777" w:rsidR="00AE0D71" w:rsidRPr="00617415" w:rsidRDefault="00AE0D71" w:rsidP="00AE0D71">
            <w:pPr>
              <w:rPr>
                <w:rFonts w:ascii="Public Sans" w:hAnsi="Public Sans" w:cs="Calibri"/>
                <w:b/>
                <w:bCs/>
                <w:color w:val="000000"/>
                <w:sz w:val="16"/>
                <w:szCs w:val="16"/>
                <w:lang w:eastAsia="en-AU"/>
              </w:rPr>
            </w:pPr>
            <w:r w:rsidRPr="00617415">
              <w:rPr>
                <w:rFonts w:ascii="Public Sans" w:hAnsi="Public Sans" w:cs="Calibri"/>
                <w:b/>
                <w:bCs/>
                <w:color w:val="000000"/>
                <w:sz w:val="16"/>
                <w:szCs w:val="16"/>
                <w:lang w:eastAsia="en-AU"/>
              </w:rPr>
              <w:t>Public non-financial corporations</w:t>
            </w:r>
          </w:p>
        </w:tc>
        <w:tc>
          <w:tcPr>
            <w:tcW w:w="1104" w:type="dxa"/>
            <w:tcBorders>
              <w:top w:val="nil"/>
              <w:left w:val="nil"/>
              <w:bottom w:val="nil"/>
              <w:right w:val="nil"/>
            </w:tcBorders>
            <w:noWrap/>
            <w:vAlign w:val="bottom"/>
          </w:tcPr>
          <w:p w14:paraId="7AA80EBC" w14:textId="77777777" w:rsidR="00AE0D71" w:rsidRPr="00617415" w:rsidRDefault="00AE0D71" w:rsidP="00B00995">
            <w:pPr>
              <w:ind w:right="227"/>
              <w:jc w:val="right"/>
              <w:rPr>
                <w:rFonts w:ascii="Public Sans" w:hAnsi="Public Sans" w:cs="Calibri"/>
                <w:b/>
                <w:bCs/>
                <w:color w:val="000000"/>
                <w:sz w:val="16"/>
                <w:szCs w:val="16"/>
                <w:lang w:eastAsia="en-AU"/>
              </w:rPr>
            </w:pPr>
          </w:p>
        </w:tc>
        <w:tc>
          <w:tcPr>
            <w:tcW w:w="960" w:type="dxa"/>
            <w:tcBorders>
              <w:top w:val="nil"/>
              <w:left w:val="nil"/>
              <w:bottom w:val="nil"/>
              <w:right w:val="nil"/>
            </w:tcBorders>
            <w:shd w:val="clear" w:color="auto" w:fill="EBEBEB"/>
            <w:noWrap/>
            <w:vAlign w:val="bottom"/>
          </w:tcPr>
          <w:p w14:paraId="1C4A340B" w14:textId="13CAD50F" w:rsidR="00AE0D71" w:rsidRPr="00617415" w:rsidRDefault="00AE0D71" w:rsidP="00B00995">
            <w:pPr>
              <w:ind w:right="227"/>
              <w:jc w:val="right"/>
              <w:rPr>
                <w:rFonts w:ascii="Public Sans" w:hAnsi="Public Sans" w:cs="Calibri"/>
                <w:b/>
                <w:bCs/>
                <w:color w:val="000000"/>
                <w:sz w:val="16"/>
                <w:szCs w:val="16"/>
                <w:lang w:eastAsia="en-AU"/>
              </w:rPr>
            </w:pPr>
          </w:p>
        </w:tc>
        <w:tc>
          <w:tcPr>
            <w:tcW w:w="960" w:type="dxa"/>
            <w:tcBorders>
              <w:top w:val="nil"/>
              <w:left w:val="nil"/>
              <w:bottom w:val="nil"/>
              <w:right w:val="nil"/>
            </w:tcBorders>
            <w:shd w:val="clear" w:color="auto" w:fill="EBEBEB"/>
            <w:noWrap/>
            <w:vAlign w:val="bottom"/>
          </w:tcPr>
          <w:p w14:paraId="65BB4A35" w14:textId="63BAE407" w:rsidR="00AE0D71" w:rsidRPr="00617415" w:rsidRDefault="00AE0D71" w:rsidP="00B00995">
            <w:pPr>
              <w:ind w:right="227"/>
              <w:jc w:val="right"/>
              <w:rPr>
                <w:rFonts w:ascii="Public Sans" w:hAnsi="Public Sans" w:cs="Calibri"/>
                <w:b/>
                <w:bCs/>
                <w:color w:val="000000"/>
                <w:sz w:val="16"/>
                <w:szCs w:val="16"/>
                <w:lang w:eastAsia="en-AU"/>
              </w:rPr>
            </w:pPr>
          </w:p>
        </w:tc>
        <w:tc>
          <w:tcPr>
            <w:tcW w:w="960" w:type="dxa"/>
            <w:tcBorders>
              <w:top w:val="nil"/>
              <w:left w:val="nil"/>
              <w:bottom w:val="nil"/>
              <w:right w:val="nil"/>
            </w:tcBorders>
            <w:shd w:val="clear" w:color="auto" w:fill="EBEBEB"/>
            <w:noWrap/>
            <w:vAlign w:val="bottom"/>
          </w:tcPr>
          <w:p w14:paraId="5D1AC6A4" w14:textId="30B9D205" w:rsidR="00AE0D71" w:rsidRPr="00617415" w:rsidRDefault="00AE0D71" w:rsidP="00B00995">
            <w:pPr>
              <w:ind w:right="227"/>
              <w:jc w:val="right"/>
              <w:rPr>
                <w:rFonts w:ascii="Public Sans" w:hAnsi="Public Sans" w:cs="Calibri"/>
                <w:b/>
                <w:bCs/>
                <w:color w:val="000000"/>
                <w:sz w:val="16"/>
                <w:szCs w:val="16"/>
                <w:lang w:eastAsia="en-AU"/>
              </w:rPr>
            </w:pPr>
          </w:p>
        </w:tc>
        <w:tc>
          <w:tcPr>
            <w:tcW w:w="960" w:type="dxa"/>
            <w:tcBorders>
              <w:top w:val="nil"/>
              <w:left w:val="nil"/>
              <w:bottom w:val="nil"/>
              <w:right w:val="nil"/>
            </w:tcBorders>
            <w:shd w:val="clear" w:color="auto" w:fill="EBEBEB"/>
            <w:noWrap/>
            <w:vAlign w:val="bottom"/>
          </w:tcPr>
          <w:p w14:paraId="6743774A" w14:textId="43E48472" w:rsidR="00AE0D71" w:rsidRPr="00617415" w:rsidRDefault="00AE0D71" w:rsidP="00B00995">
            <w:pPr>
              <w:ind w:right="227"/>
              <w:jc w:val="right"/>
              <w:rPr>
                <w:rFonts w:ascii="Public Sans" w:hAnsi="Public Sans" w:cs="Calibri"/>
                <w:b/>
                <w:bCs/>
                <w:color w:val="000000"/>
                <w:sz w:val="16"/>
                <w:szCs w:val="16"/>
                <w:lang w:eastAsia="en-AU"/>
              </w:rPr>
            </w:pPr>
          </w:p>
        </w:tc>
      </w:tr>
      <w:tr w:rsidR="00AE0D71" w:rsidRPr="00BC6D47" w14:paraId="58BD5761" w14:textId="77777777" w:rsidTr="009D0FC4">
        <w:trPr>
          <w:trHeight w:val="283"/>
        </w:trPr>
        <w:tc>
          <w:tcPr>
            <w:tcW w:w="4762" w:type="dxa"/>
            <w:tcBorders>
              <w:top w:val="nil"/>
              <w:left w:val="nil"/>
              <w:bottom w:val="nil"/>
              <w:right w:val="nil"/>
            </w:tcBorders>
            <w:noWrap/>
            <w:vAlign w:val="center"/>
            <w:hideMark/>
          </w:tcPr>
          <w:p w14:paraId="2E5C3237" w14:textId="77777777" w:rsidR="00AE0D71" w:rsidRPr="00617415" w:rsidRDefault="00AE0D71" w:rsidP="00AE0D71">
            <w:pPr>
              <w:rPr>
                <w:rFonts w:ascii="Public Sans" w:hAnsi="Public Sans" w:cs="Calibri"/>
                <w:color w:val="000000"/>
                <w:sz w:val="16"/>
                <w:szCs w:val="16"/>
                <w:lang w:eastAsia="en-AU"/>
              </w:rPr>
            </w:pPr>
            <w:r w:rsidRPr="00617415">
              <w:rPr>
                <w:rFonts w:ascii="Public Sans" w:hAnsi="Public Sans" w:cs="Calibri"/>
                <w:color w:val="000000"/>
                <w:sz w:val="16"/>
                <w:szCs w:val="16"/>
                <w:lang w:eastAsia="en-AU"/>
              </w:rPr>
              <w:t>Landcom</w:t>
            </w:r>
          </w:p>
        </w:tc>
        <w:tc>
          <w:tcPr>
            <w:tcW w:w="1104" w:type="dxa"/>
            <w:tcBorders>
              <w:top w:val="nil"/>
              <w:left w:val="nil"/>
              <w:bottom w:val="nil"/>
              <w:right w:val="nil"/>
            </w:tcBorders>
            <w:noWrap/>
            <w:vAlign w:val="bottom"/>
          </w:tcPr>
          <w:p w14:paraId="21FF281F" w14:textId="510A0D5F"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40</w:t>
            </w:r>
          </w:p>
        </w:tc>
        <w:tc>
          <w:tcPr>
            <w:tcW w:w="960" w:type="dxa"/>
            <w:tcBorders>
              <w:top w:val="nil"/>
              <w:left w:val="nil"/>
              <w:bottom w:val="nil"/>
              <w:right w:val="nil"/>
            </w:tcBorders>
            <w:shd w:val="clear" w:color="auto" w:fill="EBEBEB"/>
            <w:noWrap/>
            <w:vAlign w:val="bottom"/>
          </w:tcPr>
          <w:p w14:paraId="54B2F352" w14:textId="09AFCFE1"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14</w:t>
            </w:r>
          </w:p>
        </w:tc>
        <w:tc>
          <w:tcPr>
            <w:tcW w:w="960" w:type="dxa"/>
            <w:tcBorders>
              <w:top w:val="nil"/>
              <w:left w:val="nil"/>
              <w:bottom w:val="nil"/>
              <w:right w:val="nil"/>
            </w:tcBorders>
            <w:shd w:val="clear" w:color="auto" w:fill="EBEBEB"/>
            <w:noWrap/>
            <w:vAlign w:val="bottom"/>
          </w:tcPr>
          <w:p w14:paraId="702D6442" w14:textId="38C6A076"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62</w:t>
            </w:r>
          </w:p>
        </w:tc>
        <w:tc>
          <w:tcPr>
            <w:tcW w:w="960" w:type="dxa"/>
            <w:tcBorders>
              <w:top w:val="nil"/>
              <w:left w:val="nil"/>
              <w:bottom w:val="nil"/>
              <w:right w:val="nil"/>
            </w:tcBorders>
            <w:shd w:val="clear" w:color="auto" w:fill="EBEBEB"/>
            <w:noWrap/>
            <w:vAlign w:val="bottom"/>
          </w:tcPr>
          <w:p w14:paraId="186C1F28" w14:textId="3706B1C6"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65</w:t>
            </w:r>
          </w:p>
        </w:tc>
        <w:tc>
          <w:tcPr>
            <w:tcW w:w="960" w:type="dxa"/>
            <w:tcBorders>
              <w:top w:val="nil"/>
              <w:left w:val="nil"/>
              <w:bottom w:val="nil"/>
              <w:right w:val="nil"/>
            </w:tcBorders>
            <w:shd w:val="clear" w:color="auto" w:fill="EBEBEB"/>
            <w:noWrap/>
            <w:vAlign w:val="bottom"/>
          </w:tcPr>
          <w:p w14:paraId="06F3F9A8" w14:textId="16DEC9C8"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57</w:t>
            </w:r>
          </w:p>
        </w:tc>
      </w:tr>
      <w:tr w:rsidR="00AE0D71" w:rsidRPr="00BC6D47" w14:paraId="03A4E0E4" w14:textId="77777777" w:rsidTr="009D0FC4">
        <w:trPr>
          <w:trHeight w:val="340"/>
        </w:trPr>
        <w:tc>
          <w:tcPr>
            <w:tcW w:w="4762" w:type="dxa"/>
            <w:tcBorders>
              <w:top w:val="single" w:sz="8" w:space="0" w:color="auto"/>
              <w:left w:val="nil"/>
              <w:bottom w:val="single" w:sz="8" w:space="0" w:color="auto"/>
              <w:right w:val="nil"/>
            </w:tcBorders>
            <w:noWrap/>
            <w:vAlign w:val="center"/>
            <w:hideMark/>
          </w:tcPr>
          <w:p w14:paraId="72CE0AAA" w14:textId="77777777" w:rsidR="00AE0D71" w:rsidRPr="00617415" w:rsidRDefault="00AE0D71" w:rsidP="00AE0D71">
            <w:pPr>
              <w:rPr>
                <w:rFonts w:ascii="Public Sans" w:hAnsi="Public Sans" w:cs="Calibri"/>
                <w:b/>
                <w:bCs/>
                <w:color w:val="000000"/>
                <w:sz w:val="16"/>
                <w:szCs w:val="16"/>
                <w:lang w:eastAsia="en-AU"/>
              </w:rPr>
            </w:pPr>
            <w:r w:rsidRPr="00617415">
              <w:rPr>
                <w:rFonts w:ascii="Public Sans" w:hAnsi="Public Sans" w:cs="Calibri"/>
                <w:b/>
                <w:bCs/>
                <w:color w:val="000000"/>
                <w:sz w:val="16"/>
                <w:szCs w:val="16"/>
                <w:lang w:eastAsia="en-AU"/>
              </w:rPr>
              <w:t>Total Dividends in Other Economic Flows section</w:t>
            </w:r>
            <w:r w:rsidRPr="00617415">
              <w:rPr>
                <w:rFonts w:ascii="Public Sans" w:hAnsi="Public Sans" w:cs="Calibri"/>
                <w:color w:val="000000"/>
                <w:sz w:val="14"/>
                <w:szCs w:val="14"/>
                <w:vertAlign w:val="superscript"/>
                <w:lang w:eastAsia="en-AU"/>
              </w:rPr>
              <w:t>(c)</w:t>
            </w:r>
          </w:p>
        </w:tc>
        <w:tc>
          <w:tcPr>
            <w:tcW w:w="1104" w:type="dxa"/>
            <w:tcBorders>
              <w:top w:val="single" w:sz="8" w:space="0" w:color="auto"/>
              <w:left w:val="nil"/>
              <w:bottom w:val="single" w:sz="8" w:space="0" w:color="auto"/>
              <w:right w:val="nil"/>
            </w:tcBorders>
            <w:noWrap/>
            <w:vAlign w:val="bottom"/>
          </w:tcPr>
          <w:p w14:paraId="657C0135" w14:textId="7BEFB0C1"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40</w:t>
            </w:r>
          </w:p>
        </w:tc>
        <w:tc>
          <w:tcPr>
            <w:tcW w:w="960" w:type="dxa"/>
            <w:tcBorders>
              <w:top w:val="single" w:sz="8" w:space="0" w:color="auto"/>
              <w:left w:val="nil"/>
              <w:bottom w:val="single" w:sz="8" w:space="0" w:color="auto"/>
              <w:right w:val="nil"/>
            </w:tcBorders>
            <w:shd w:val="clear" w:color="auto" w:fill="EBEBEB"/>
            <w:noWrap/>
            <w:vAlign w:val="bottom"/>
          </w:tcPr>
          <w:p w14:paraId="61474C5B" w14:textId="355CD7AC"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14</w:t>
            </w:r>
          </w:p>
        </w:tc>
        <w:tc>
          <w:tcPr>
            <w:tcW w:w="960" w:type="dxa"/>
            <w:tcBorders>
              <w:top w:val="single" w:sz="8" w:space="0" w:color="auto"/>
              <w:left w:val="nil"/>
              <w:bottom w:val="single" w:sz="8" w:space="0" w:color="auto"/>
              <w:right w:val="nil"/>
            </w:tcBorders>
            <w:shd w:val="clear" w:color="auto" w:fill="EBEBEB"/>
            <w:noWrap/>
            <w:vAlign w:val="bottom"/>
          </w:tcPr>
          <w:p w14:paraId="074933CD" w14:textId="45CAA931"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62</w:t>
            </w:r>
          </w:p>
        </w:tc>
        <w:tc>
          <w:tcPr>
            <w:tcW w:w="960" w:type="dxa"/>
            <w:tcBorders>
              <w:top w:val="single" w:sz="8" w:space="0" w:color="auto"/>
              <w:left w:val="nil"/>
              <w:bottom w:val="single" w:sz="8" w:space="0" w:color="auto"/>
              <w:right w:val="nil"/>
            </w:tcBorders>
            <w:shd w:val="clear" w:color="auto" w:fill="EBEBEB"/>
            <w:noWrap/>
            <w:vAlign w:val="bottom"/>
          </w:tcPr>
          <w:p w14:paraId="1E54F2CD" w14:textId="0AC99020"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65</w:t>
            </w:r>
          </w:p>
        </w:tc>
        <w:tc>
          <w:tcPr>
            <w:tcW w:w="960" w:type="dxa"/>
            <w:tcBorders>
              <w:top w:val="single" w:sz="8" w:space="0" w:color="auto"/>
              <w:left w:val="nil"/>
              <w:bottom w:val="single" w:sz="8" w:space="0" w:color="auto"/>
              <w:right w:val="nil"/>
            </w:tcBorders>
            <w:shd w:val="clear" w:color="auto" w:fill="EBEBEB"/>
            <w:noWrap/>
            <w:vAlign w:val="bottom"/>
          </w:tcPr>
          <w:p w14:paraId="3BF36635" w14:textId="71AACE80" w:rsidR="00AE0D71" w:rsidRPr="00617415" w:rsidRDefault="00AE0D71" w:rsidP="00B00995">
            <w:pPr>
              <w:ind w:right="227"/>
              <w:jc w:val="right"/>
              <w:rPr>
                <w:rFonts w:ascii="Public Sans" w:hAnsi="Public Sans" w:cs="Calibri"/>
                <w:color w:val="000000"/>
                <w:sz w:val="16"/>
                <w:szCs w:val="16"/>
                <w:lang w:eastAsia="en-AU"/>
              </w:rPr>
            </w:pPr>
            <w:r w:rsidRPr="00617415">
              <w:rPr>
                <w:rFonts w:ascii="Public Sans" w:hAnsi="Public Sans"/>
                <w:sz w:val="16"/>
                <w:szCs w:val="16"/>
              </w:rPr>
              <w:t>57</w:t>
            </w:r>
          </w:p>
        </w:tc>
      </w:tr>
      <w:tr w:rsidR="00AE0D71" w:rsidRPr="00BC6D47" w14:paraId="67D2A460" w14:textId="77777777" w:rsidTr="009D0FC4">
        <w:trPr>
          <w:trHeight w:val="340"/>
        </w:trPr>
        <w:tc>
          <w:tcPr>
            <w:tcW w:w="4762" w:type="dxa"/>
            <w:tcBorders>
              <w:top w:val="nil"/>
              <w:left w:val="nil"/>
              <w:bottom w:val="single" w:sz="8" w:space="0" w:color="auto"/>
              <w:right w:val="nil"/>
            </w:tcBorders>
            <w:noWrap/>
            <w:vAlign w:val="center"/>
            <w:hideMark/>
          </w:tcPr>
          <w:p w14:paraId="675431F0" w14:textId="77777777" w:rsidR="00AE0D71" w:rsidRPr="00617415" w:rsidRDefault="00AE0D71" w:rsidP="00AE0D71">
            <w:pPr>
              <w:rPr>
                <w:rFonts w:ascii="Public Sans" w:hAnsi="Public Sans" w:cs="Calibri"/>
                <w:b/>
                <w:bCs/>
                <w:color w:val="000000"/>
                <w:sz w:val="16"/>
                <w:szCs w:val="16"/>
                <w:lang w:eastAsia="en-AU"/>
              </w:rPr>
            </w:pPr>
            <w:r w:rsidRPr="0C639159">
              <w:rPr>
                <w:rFonts w:ascii="Public Sans" w:hAnsi="Public Sans" w:cs="Calibri"/>
                <w:b/>
                <w:color w:val="000000" w:themeColor="text1"/>
                <w:sz w:val="16"/>
                <w:szCs w:val="16"/>
                <w:lang w:eastAsia="en-AU"/>
              </w:rPr>
              <w:t>TOTAL DIVIDEND AND TAX EQUIVALENT PAYMENTS</w:t>
            </w:r>
          </w:p>
        </w:tc>
        <w:tc>
          <w:tcPr>
            <w:tcW w:w="1104" w:type="dxa"/>
            <w:tcBorders>
              <w:top w:val="nil"/>
              <w:left w:val="nil"/>
              <w:bottom w:val="single" w:sz="8" w:space="0" w:color="auto"/>
              <w:right w:val="nil"/>
            </w:tcBorders>
            <w:noWrap/>
            <w:vAlign w:val="center"/>
          </w:tcPr>
          <w:p w14:paraId="240CBD59" w14:textId="621B4DDE" w:rsidR="00AE0D71" w:rsidRPr="005D5DD6" w:rsidRDefault="00BA583B" w:rsidP="001D4803">
            <w:pPr>
              <w:ind w:right="227"/>
              <w:jc w:val="right"/>
              <w:rPr>
                <w:rFonts w:ascii="Public Sans" w:hAnsi="Public Sans" w:cs="Calibri"/>
                <w:color w:val="000000"/>
                <w:sz w:val="16"/>
                <w:szCs w:val="16"/>
                <w:lang w:eastAsia="en-AU"/>
              </w:rPr>
            </w:pPr>
            <w:r w:rsidRPr="005D5DD6">
              <w:rPr>
                <w:rFonts w:ascii="Public Sans" w:hAnsi="Public Sans"/>
                <w:sz w:val="16"/>
                <w:szCs w:val="16"/>
              </w:rPr>
              <w:t>6</w:t>
            </w:r>
            <w:r w:rsidR="00DC2CD4" w:rsidRPr="005D5DD6">
              <w:rPr>
                <w:rFonts w:ascii="Public Sans" w:hAnsi="Public Sans"/>
                <w:sz w:val="16"/>
                <w:szCs w:val="16"/>
              </w:rPr>
              <w:t>70</w:t>
            </w:r>
          </w:p>
        </w:tc>
        <w:tc>
          <w:tcPr>
            <w:tcW w:w="960" w:type="dxa"/>
            <w:tcBorders>
              <w:top w:val="nil"/>
              <w:left w:val="nil"/>
              <w:bottom w:val="single" w:sz="8" w:space="0" w:color="auto"/>
              <w:right w:val="nil"/>
            </w:tcBorders>
            <w:shd w:val="clear" w:color="auto" w:fill="EBEBEB"/>
            <w:noWrap/>
            <w:vAlign w:val="center"/>
          </w:tcPr>
          <w:p w14:paraId="17C8CE29" w14:textId="18542AF4" w:rsidR="00AE0D71" w:rsidRPr="005D5DD6" w:rsidRDefault="00BA583B" w:rsidP="001D4803">
            <w:pPr>
              <w:ind w:right="227"/>
              <w:jc w:val="right"/>
              <w:rPr>
                <w:rFonts w:ascii="Public Sans" w:hAnsi="Public Sans" w:cs="Calibri"/>
                <w:color w:val="000000"/>
                <w:sz w:val="16"/>
                <w:szCs w:val="16"/>
                <w:lang w:eastAsia="en-AU"/>
              </w:rPr>
            </w:pPr>
            <w:r w:rsidRPr="005D5DD6">
              <w:rPr>
                <w:rFonts w:ascii="Public Sans" w:hAnsi="Public Sans"/>
                <w:sz w:val="16"/>
                <w:szCs w:val="16"/>
              </w:rPr>
              <w:t>88</w:t>
            </w:r>
            <w:r w:rsidR="00A2498D" w:rsidRPr="005D5DD6">
              <w:rPr>
                <w:rFonts w:ascii="Public Sans" w:hAnsi="Public Sans"/>
                <w:sz w:val="16"/>
                <w:szCs w:val="16"/>
              </w:rPr>
              <w:t>8</w:t>
            </w:r>
          </w:p>
        </w:tc>
        <w:tc>
          <w:tcPr>
            <w:tcW w:w="960" w:type="dxa"/>
            <w:tcBorders>
              <w:top w:val="nil"/>
              <w:left w:val="nil"/>
              <w:bottom w:val="single" w:sz="8" w:space="0" w:color="auto"/>
              <w:right w:val="nil"/>
            </w:tcBorders>
            <w:shd w:val="clear" w:color="auto" w:fill="EBEBEB"/>
            <w:noWrap/>
            <w:vAlign w:val="center"/>
          </w:tcPr>
          <w:p w14:paraId="0D99B1AC" w14:textId="0B5270C2" w:rsidR="00AE0D71" w:rsidRPr="005D5DD6" w:rsidRDefault="00BA583B" w:rsidP="001D4803">
            <w:pPr>
              <w:ind w:right="227"/>
              <w:jc w:val="right"/>
              <w:rPr>
                <w:rFonts w:ascii="Public Sans" w:hAnsi="Public Sans" w:cs="Calibri"/>
                <w:color w:val="000000"/>
                <w:sz w:val="16"/>
                <w:szCs w:val="16"/>
                <w:lang w:eastAsia="en-AU"/>
              </w:rPr>
            </w:pPr>
            <w:r w:rsidRPr="005D5DD6">
              <w:rPr>
                <w:rFonts w:ascii="Public Sans" w:hAnsi="Public Sans"/>
                <w:sz w:val="16"/>
                <w:szCs w:val="16"/>
              </w:rPr>
              <w:t>98</w:t>
            </w:r>
            <w:r w:rsidR="00A2498D" w:rsidRPr="005D5DD6">
              <w:rPr>
                <w:rFonts w:ascii="Public Sans" w:hAnsi="Public Sans"/>
                <w:sz w:val="16"/>
                <w:szCs w:val="16"/>
              </w:rPr>
              <w:t>1</w:t>
            </w:r>
          </w:p>
        </w:tc>
        <w:tc>
          <w:tcPr>
            <w:tcW w:w="960" w:type="dxa"/>
            <w:tcBorders>
              <w:top w:val="nil"/>
              <w:left w:val="nil"/>
              <w:bottom w:val="single" w:sz="8" w:space="0" w:color="auto"/>
              <w:right w:val="nil"/>
            </w:tcBorders>
            <w:shd w:val="clear" w:color="auto" w:fill="EBEBEB"/>
            <w:noWrap/>
            <w:vAlign w:val="center"/>
          </w:tcPr>
          <w:p w14:paraId="5C41BE7E" w14:textId="29D9B1B8" w:rsidR="00AE0D71" w:rsidRPr="005D5DD6" w:rsidRDefault="00BA583B" w:rsidP="001D4803">
            <w:pPr>
              <w:ind w:right="227"/>
              <w:jc w:val="right"/>
              <w:rPr>
                <w:rFonts w:ascii="Public Sans" w:hAnsi="Public Sans" w:cs="Calibri"/>
                <w:color w:val="000000"/>
                <w:sz w:val="16"/>
                <w:szCs w:val="16"/>
                <w:lang w:eastAsia="en-AU"/>
              </w:rPr>
            </w:pPr>
            <w:r w:rsidRPr="005D5DD6">
              <w:rPr>
                <w:rFonts w:ascii="Public Sans" w:hAnsi="Public Sans"/>
                <w:sz w:val="16"/>
                <w:szCs w:val="16"/>
              </w:rPr>
              <w:t>1,06</w:t>
            </w:r>
            <w:r w:rsidR="00A2498D" w:rsidRPr="005D5DD6">
              <w:rPr>
                <w:rFonts w:ascii="Public Sans" w:hAnsi="Public Sans"/>
                <w:sz w:val="16"/>
                <w:szCs w:val="16"/>
              </w:rPr>
              <w:t>0</w:t>
            </w:r>
          </w:p>
        </w:tc>
        <w:tc>
          <w:tcPr>
            <w:tcW w:w="960" w:type="dxa"/>
            <w:tcBorders>
              <w:top w:val="nil"/>
              <w:left w:val="nil"/>
              <w:bottom w:val="single" w:sz="8" w:space="0" w:color="auto"/>
              <w:right w:val="nil"/>
            </w:tcBorders>
            <w:shd w:val="clear" w:color="auto" w:fill="EBEBEB"/>
            <w:noWrap/>
            <w:vAlign w:val="center"/>
          </w:tcPr>
          <w:p w14:paraId="6135CBA7" w14:textId="6A157422" w:rsidR="00AE0D71" w:rsidRPr="005D5DD6" w:rsidRDefault="00BA583B" w:rsidP="001D4803">
            <w:pPr>
              <w:ind w:right="227"/>
              <w:jc w:val="right"/>
              <w:rPr>
                <w:rFonts w:ascii="Public Sans" w:hAnsi="Public Sans" w:cs="Calibri"/>
                <w:color w:val="000000"/>
                <w:sz w:val="16"/>
                <w:szCs w:val="16"/>
                <w:lang w:eastAsia="en-AU"/>
              </w:rPr>
            </w:pPr>
            <w:r w:rsidRPr="005D5DD6">
              <w:rPr>
                <w:rFonts w:ascii="Public Sans" w:hAnsi="Public Sans"/>
                <w:sz w:val="16"/>
                <w:szCs w:val="16"/>
              </w:rPr>
              <w:t>1,19</w:t>
            </w:r>
            <w:r w:rsidR="00F00B5C" w:rsidRPr="005D5DD6">
              <w:rPr>
                <w:rFonts w:ascii="Public Sans" w:hAnsi="Public Sans"/>
                <w:sz w:val="16"/>
                <w:szCs w:val="16"/>
              </w:rPr>
              <w:t>6</w:t>
            </w:r>
          </w:p>
        </w:tc>
      </w:tr>
      <w:bookmarkEnd w:id="0"/>
    </w:tbl>
    <w:p w14:paraId="297B8078" w14:textId="298C59DF" w:rsidR="00291577" w:rsidRPr="00853E5B" w:rsidRDefault="00291577" w:rsidP="00853E5B">
      <w:pPr>
        <w:pStyle w:val="Footnotestyle"/>
        <w:spacing w:before="0" w:after="0"/>
        <w:ind w:left="284"/>
        <w:rPr>
          <w:rFonts w:ascii="Times New Roman" w:hAnsi="Times New Roman"/>
          <w:sz w:val="6"/>
          <w:szCs w:val="6"/>
        </w:rPr>
      </w:pPr>
    </w:p>
    <w:p w14:paraId="72EAA1B5" w14:textId="1CC9F5C1" w:rsidR="00CA24B4" w:rsidRPr="00617415" w:rsidRDefault="00291577" w:rsidP="00075225">
      <w:pPr>
        <w:pStyle w:val="Footnotestyle"/>
        <w:spacing w:before="0"/>
        <w:ind w:left="284"/>
      </w:pPr>
      <w:r>
        <w:t>(a)</w:t>
      </w:r>
      <w:r>
        <w:tab/>
      </w:r>
      <w:r w:rsidR="00CA24B4" w:rsidRPr="00617415">
        <w:t>Landcom’s returns classified under the ‘Revenue from Transactions’ section in the General Government Operating Statement relate to tax equivalent payments.</w:t>
      </w:r>
    </w:p>
    <w:p w14:paraId="70630066" w14:textId="744F60C8" w:rsidR="006E2F04" w:rsidRDefault="00CA24B4" w:rsidP="004553CC">
      <w:pPr>
        <w:pStyle w:val="Footnotestyle"/>
        <w:ind w:left="284"/>
      </w:pPr>
      <w:r w:rsidRPr="00617415">
        <w:t>(b)</w:t>
      </w:r>
      <w:r w:rsidRPr="00617415">
        <w:tab/>
        <w:t>Dividends paid by Landcom across the five years to 2028-29 are classified as income within the ‘Other Economic Flows’ section of the General Government Operating Statement.</w:t>
      </w:r>
      <w:r w:rsidR="002400B8">
        <w:t xml:space="preserve"> </w:t>
      </w:r>
    </w:p>
    <w:sectPr w:rsidR="006E2F04" w:rsidSect="00020DE7">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7D625" w14:textId="77777777" w:rsidR="00FE38E6" w:rsidRPr="00BC6D47" w:rsidRDefault="00FE38E6">
      <w:r w:rsidRPr="00BC6D47">
        <w:separator/>
      </w:r>
    </w:p>
  </w:endnote>
  <w:endnote w:type="continuationSeparator" w:id="0">
    <w:p w14:paraId="586EB74C" w14:textId="77777777" w:rsidR="00FE38E6" w:rsidRPr="00BC6D47" w:rsidRDefault="00FE38E6">
      <w:r w:rsidRPr="00BC6D47">
        <w:continuationSeparator/>
      </w:r>
    </w:p>
  </w:endnote>
  <w:endnote w:type="continuationNotice" w:id="1">
    <w:p w14:paraId="42A0D2D4" w14:textId="77777777" w:rsidR="00FE38E6" w:rsidRPr="00BC6D47" w:rsidRDefault="00FE3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Klee One"/>
    <w:panose1 w:val="00000000000000000000"/>
    <w:charset w:val="4D"/>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62FD" w14:textId="27C7EA3E" w:rsidR="00527A53" w:rsidRPr="00617415" w:rsidRDefault="00F05965" w:rsidP="001932CC">
    <w:pPr>
      <w:pBdr>
        <w:top w:val="single" w:sz="4" w:space="4" w:color="auto"/>
      </w:pBdr>
      <w:tabs>
        <w:tab w:val="right" w:pos="9639"/>
      </w:tabs>
      <w:rPr>
        <w:rFonts w:ascii="Arial" w:hAnsi="Arial" w:cs="Arial"/>
        <w:sz w:val="10"/>
        <w:szCs w:val="12"/>
      </w:rPr>
    </w:pPr>
    <w:r>
      <w:rPr>
        <w:rFonts w:ascii="Public Sans" w:hAnsi="Public Sans" w:cs="Arial"/>
        <w:sz w:val="18"/>
        <w:szCs w:val="18"/>
      </w:rPr>
      <w:t xml:space="preserve">9 - </w:t>
    </w:r>
    <w:r w:rsidR="00ED364A" w:rsidRPr="00617415">
      <w:rPr>
        <w:rFonts w:ascii="Public Sans" w:hAnsi="Public Sans" w:cs="Arial"/>
        <w:sz w:val="18"/>
        <w:szCs w:val="18"/>
      </w:rPr>
      <w:fldChar w:fldCharType="begin"/>
    </w:r>
    <w:r w:rsidR="00ED364A" w:rsidRPr="00617415">
      <w:rPr>
        <w:rFonts w:ascii="Public Sans" w:hAnsi="Public Sans" w:cs="Arial"/>
        <w:sz w:val="18"/>
        <w:szCs w:val="18"/>
      </w:rPr>
      <w:instrText xml:space="preserve"> PAGE   \* MERGEFORMAT </w:instrText>
    </w:r>
    <w:r w:rsidR="00ED364A" w:rsidRPr="00617415">
      <w:rPr>
        <w:rFonts w:ascii="Public Sans" w:hAnsi="Public Sans" w:cs="Arial"/>
        <w:sz w:val="18"/>
        <w:szCs w:val="18"/>
      </w:rPr>
      <w:fldChar w:fldCharType="separate"/>
    </w:r>
    <w:r w:rsidR="3B7D9572" w:rsidRPr="00617415">
      <w:rPr>
        <w:rFonts w:ascii="Public Sans" w:hAnsi="Public Sans" w:cs="Arial"/>
        <w:sz w:val="18"/>
        <w:szCs w:val="18"/>
      </w:rPr>
      <w:t>2</w:t>
    </w:r>
    <w:r w:rsidR="00ED364A" w:rsidRPr="00617415">
      <w:rPr>
        <w:rFonts w:ascii="Public Sans" w:hAnsi="Public Sans" w:cs="Arial"/>
        <w:sz w:val="18"/>
        <w:szCs w:val="18"/>
      </w:rPr>
      <w:fldChar w:fldCharType="end"/>
    </w:r>
    <w:r w:rsidR="00ED364A" w:rsidRPr="00617415">
      <w:tab/>
    </w:r>
    <w:r w:rsidR="00500F45" w:rsidRPr="00617415">
      <w:rPr>
        <w:rFonts w:ascii="Public Sans" w:hAnsi="Public Sans" w:cs="Arial"/>
        <w:sz w:val="18"/>
        <w:szCs w:val="18"/>
      </w:rPr>
      <w:t>2025-26</w:t>
    </w:r>
    <w:r w:rsidR="00500F45">
      <w:rPr>
        <w:rFonts w:ascii="Public Sans" w:hAnsi="Public Sans" w:cs="Arial"/>
        <w:sz w:val="18"/>
        <w:szCs w:val="18"/>
      </w:rPr>
      <w:t xml:space="preserve"> </w:t>
    </w:r>
    <w:r w:rsidR="3B7D9572" w:rsidRPr="00617415">
      <w:rPr>
        <w:rFonts w:ascii="Public Sans" w:hAnsi="Public Sans" w:cs="Arial"/>
        <w:sz w:val="18"/>
        <w:szCs w:val="18"/>
      </w:rPr>
      <w:t>Budget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8F5A8" w14:textId="2982A9E9" w:rsidR="00527A53" w:rsidRPr="001932CC" w:rsidRDefault="00500F45" w:rsidP="001932CC">
    <w:pPr>
      <w:pBdr>
        <w:top w:val="single" w:sz="4" w:space="4" w:color="auto"/>
      </w:pBdr>
      <w:tabs>
        <w:tab w:val="right" w:pos="9639"/>
      </w:tabs>
      <w:rPr>
        <w:rFonts w:ascii="Public Sans" w:hAnsi="Public Sans" w:cs="Arial"/>
        <w:sz w:val="18"/>
        <w:szCs w:val="18"/>
      </w:rPr>
    </w:pPr>
    <w:r w:rsidRPr="00617415">
      <w:rPr>
        <w:rFonts w:ascii="Public Sans" w:hAnsi="Public Sans" w:cs="Arial"/>
        <w:sz w:val="18"/>
        <w:szCs w:val="18"/>
      </w:rPr>
      <w:t>2025-26</w:t>
    </w:r>
    <w:r>
      <w:rPr>
        <w:rFonts w:ascii="Public Sans" w:hAnsi="Public Sans" w:cs="Arial"/>
        <w:sz w:val="18"/>
        <w:szCs w:val="18"/>
      </w:rPr>
      <w:t xml:space="preserve"> </w:t>
    </w:r>
    <w:r w:rsidR="3B7D9572" w:rsidRPr="00617415">
      <w:rPr>
        <w:rFonts w:ascii="Public Sans" w:hAnsi="Public Sans" w:cs="Arial"/>
        <w:sz w:val="18"/>
        <w:szCs w:val="18"/>
      </w:rPr>
      <w:t>Budget Statement</w:t>
    </w:r>
    <w:r w:rsidR="3B7D9572" w:rsidRPr="00617415">
      <w:tab/>
    </w:r>
    <w:r w:rsidR="00F05965">
      <w:rPr>
        <w:rFonts w:ascii="Public Sans" w:hAnsi="Public Sans" w:cs="Arial"/>
        <w:sz w:val="18"/>
        <w:szCs w:val="18"/>
      </w:rPr>
      <w:t xml:space="preserve">9 - </w:t>
    </w:r>
    <w:r w:rsidR="3B7D9572" w:rsidRPr="00617415">
      <w:rPr>
        <w:rFonts w:ascii="Public Sans" w:hAnsi="Public Sans" w:cs="Arial"/>
        <w:sz w:val="18"/>
        <w:szCs w:val="18"/>
      </w:rPr>
      <w:fldChar w:fldCharType="begin"/>
    </w:r>
    <w:r w:rsidR="3B7D9572" w:rsidRPr="00617415">
      <w:rPr>
        <w:rFonts w:ascii="Public Sans" w:hAnsi="Public Sans" w:cs="Arial"/>
        <w:sz w:val="18"/>
        <w:szCs w:val="18"/>
      </w:rPr>
      <w:instrText xml:space="preserve"> PAGE   \* MERGEFORMAT </w:instrText>
    </w:r>
    <w:r w:rsidR="3B7D9572" w:rsidRPr="00617415">
      <w:rPr>
        <w:rFonts w:ascii="Public Sans" w:hAnsi="Public Sans" w:cs="Arial"/>
        <w:sz w:val="18"/>
        <w:szCs w:val="18"/>
      </w:rPr>
      <w:fldChar w:fldCharType="separate"/>
    </w:r>
    <w:r w:rsidR="3B7D9572" w:rsidRPr="00617415">
      <w:rPr>
        <w:rFonts w:ascii="Public Sans" w:hAnsi="Public Sans" w:cs="Arial"/>
        <w:sz w:val="18"/>
        <w:szCs w:val="18"/>
      </w:rPr>
      <w:t>1</w:t>
    </w:r>
    <w:r w:rsidR="3B7D9572" w:rsidRPr="00617415">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D6C01" w14:textId="1091FBCC" w:rsidR="00AB2DCE" w:rsidRPr="00617415" w:rsidRDefault="00D92A8A" w:rsidP="3B7D9572">
    <w:pPr>
      <w:pBdr>
        <w:top w:val="single" w:sz="4" w:space="4" w:color="auto"/>
      </w:pBdr>
      <w:tabs>
        <w:tab w:val="right" w:pos="9639"/>
      </w:tabs>
      <w:rPr>
        <w:rFonts w:ascii="Public Sans" w:hAnsi="Public Sans" w:cs="Arial"/>
        <w:sz w:val="18"/>
        <w:szCs w:val="18"/>
      </w:rPr>
    </w:pPr>
    <w:r w:rsidRPr="00617415">
      <w:rPr>
        <w:rFonts w:ascii="Public Sans" w:hAnsi="Public Sans" w:cs="Arial"/>
        <w:sz w:val="18"/>
        <w:szCs w:val="18"/>
      </w:rPr>
      <w:t>2025-26</w:t>
    </w:r>
    <w:r>
      <w:rPr>
        <w:rFonts w:ascii="Public Sans" w:hAnsi="Public Sans" w:cs="Arial"/>
        <w:sz w:val="18"/>
        <w:szCs w:val="18"/>
      </w:rPr>
      <w:t xml:space="preserve"> </w:t>
    </w:r>
    <w:r w:rsidR="3B7D9572" w:rsidRPr="00617415">
      <w:rPr>
        <w:rFonts w:ascii="Public Sans" w:hAnsi="Public Sans" w:cs="Arial"/>
        <w:sz w:val="18"/>
        <w:szCs w:val="18"/>
      </w:rPr>
      <w:t>Budget Statement</w:t>
    </w:r>
    <w:r w:rsidR="009E5213" w:rsidRPr="00617415">
      <w:tab/>
    </w:r>
    <w:r w:rsidR="00F05965">
      <w:rPr>
        <w:rFonts w:ascii="Public Sans" w:hAnsi="Public Sans" w:cs="Arial"/>
        <w:sz w:val="18"/>
        <w:szCs w:val="18"/>
      </w:rPr>
      <w:t xml:space="preserve">9 - </w:t>
    </w:r>
    <w:r w:rsidR="009E5213" w:rsidRPr="00617415">
      <w:rPr>
        <w:rFonts w:ascii="Public Sans" w:hAnsi="Public Sans" w:cs="Arial"/>
        <w:sz w:val="18"/>
        <w:szCs w:val="18"/>
      </w:rPr>
      <w:fldChar w:fldCharType="begin"/>
    </w:r>
    <w:r w:rsidR="009E5213" w:rsidRPr="00617415">
      <w:rPr>
        <w:rFonts w:ascii="Public Sans" w:hAnsi="Public Sans" w:cs="Arial"/>
        <w:sz w:val="18"/>
        <w:szCs w:val="18"/>
      </w:rPr>
      <w:instrText xml:space="preserve"> PAGE   \* MERGEFORMAT </w:instrText>
    </w:r>
    <w:r w:rsidR="009E5213" w:rsidRPr="00617415">
      <w:rPr>
        <w:rFonts w:ascii="Public Sans" w:hAnsi="Public Sans" w:cs="Arial"/>
        <w:sz w:val="18"/>
        <w:szCs w:val="18"/>
      </w:rPr>
      <w:fldChar w:fldCharType="separate"/>
    </w:r>
    <w:r w:rsidR="3B7D9572" w:rsidRPr="00617415">
      <w:rPr>
        <w:rFonts w:ascii="Public Sans" w:hAnsi="Public Sans" w:cs="Arial"/>
        <w:sz w:val="18"/>
        <w:szCs w:val="18"/>
      </w:rPr>
      <w:t>5</w:t>
    </w:r>
    <w:r w:rsidR="009E5213" w:rsidRPr="00617415">
      <w:rPr>
        <w:rFonts w:ascii="Public Sans" w:hAnsi="Public San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8FEEB" w14:textId="77777777" w:rsidR="00FE38E6" w:rsidRPr="00617415" w:rsidRDefault="00FE38E6">
      <w:pPr>
        <w:spacing w:before="120"/>
      </w:pPr>
      <w:r w:rsidRPr="00617415">
        <w:separator/>
      </w:r>
    </w:p>
  </w:footnote>
  <w:footnote w:type="continuationSeparator" w:id="0">
    <w:p w14:paraId="7D626B58" w14:textId="77777777" w:rsidR="00FE38E6" w:rsidRPr="00BC6D47" w:rsidRDefault="00FE38E6">
      <w:pPr>
        <w:spacing w:before="120"/>
      </w:pPr>
      <w:r w:rsidRPr="00BC6D47">
        <w:continuationSeparator/>
      </w:r>
    </w:p>
  </w:footnote>
  <w:footnote w:type="continuationNotice" w:id="1">
    <w:p w14:paraId="43B4827F" w14:textId="77777777" w:rsidR="00FE38E6" w:rsidRPr="00BC6D47" w:rsidRDefault="00FE38E6">
      <w:pPr>
        <w:rPr>
          <w:sz w:val="16"/>
        </w:rPr>
      </w:pPr>
    </w:p>
  </w:footnote>
  <w:footnote w:id="2">
    <w:p w14:paraId="0F5850E6" w14:textId="55B602A2" w:rsidR="0045438F" w:rsidRPr="0045438F" w:rsidRDefault="0045438F" w:rsidP="00F616ED">
      <w:pPr>
        <w:pStyle w:val="Footnotestyle"/>
      </w:pPr>
      <w:r w:rsidRPr="00617415">
        <w:rPr>
          <w:rStyle w:val="FootnoteReference"/>
        </w:rPr>
        <w:footnoteRef/>
      </w:r>
      <w:r w:rsidRPr="00617415">
        <w:t xml:space="preserve"> </w:t>
      </w:r>
      <w:r w:rsidR="00446F98" w:rsidRPr="00617415">
        <w:tab/>
      </w:r>
      <w:r w:rsidR="00F616ED" w:rsidRPr="00617415">
        <w:t>Insurance and Care NSW (icare)</w:t>
      </w:r>
      <w:r w:rsidR="00EE267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5C1C" w14:textId="0233CF0C" w:rsidR="009E5213" w:rsidRPr="00617415" w:rsidRDefault="008D466E" w:rsidP="009E5213">
    <w:pPr>
      <w:pBdr>
        <w:bottom w:val="single" w:sz="4" w:space="4" w:color="auto"/>
      </w:pBdr>
      <w:tabs>
        <w:tab w:val="center" w:pos="4153"/>
        <w:tab w:val="right" w:pos="8306"/>
      </w:tabs>
      <w:spacing w:line="192" w:lineRule="auto"/>
      <w:contextualSpacing/>
      <w:rPr>
        <w:rFonts w:ascii="Public Sans" w:eastAsia="Calibri" w:hAnsi="Public Sans" w:cs="Arial"/>
        <w:sz w:val="18"/>
        <w:szCs w:val="18"/>
      </w:rPr>
    </w:pPr>
    <w:r w:rsidRPr="00617415">
      <w:rPr>
        <w:rFonts w:ascii="Public Sans" w:eastAsia="Calibri" w:hAnsi="Public Sans" w:cs="Arial"/>
        <w:sz w:val="18"/>
        <w:szCs w:val="18"/>
      </w:rPr>
      <w:t xml:space="preserve">Government </w:t>
    </w:r>
    <w:r w:rsidR="00E77853" w:rsidRPr="00617415">
      <w:rPr>
        <w:rFonts w:ascii="Public Sans" w:eastAsia="Calibri" w:hAnsi="Public Sans" w:cs="Arial"/>
        <w:sz w:val="18"/>
        <w:szCs w:val="18"/>
      </w:rPr>
      <w:t>b</w:t>
    </w:r>
    <w:r w:rsidRPr="00617415">
      <w:rPr>
        <w:rFonts w:ascii="Public Sans" w:eastAsia="Calibri" w:hAnsi="Public Sans" w:cs="Arial"/>
        <w:sz w:val="18"/>
        <w:szCs w:val="18"/>
      </w:rPr>
      <w:t>usinesses</w:t>
    </w:r>
  </w:p>
  <w:p w14:paraId="6212673A" w14:textId="77777777" w:rsidR="009E5213" w:rsidRPr="00617415"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F56B9" w14:textId="3B20D7F3" w:rsidR="009E5213" w:rsidRPr="00617415" w:rsidRDefault="008D466E" w:rsidP="009E5213">
    <w:pPr>
      <w:pBdr>
        <w:bottom w:val="single" w:sz="4" w:space="4" w:color="auto"/>
      </w:pBdr>
      <w:tabs>
        <w:tab w:val="center" w:pos="4153"/>
        <w:tab w:val="right" w:pos="8306"/>
      </w:tabs>
      <w:spacing w:line="192" w:lineRule="auto"/>
      <w:contextualSpacing/>
      <w:jc w:val="right"/>
      <w:rPr>
        <w:rFonts w:ascii="Arial" w:eastAsia="Calibri" w:hAnsi="Arial" w:cs="Arial"/>
        <w:sz w:val="18"/>
        <w:szCs w:val="18"/>
      </w:rPr>
    </w:pPr>
    <w:r w:rsidRPr="00617415">
      <w:rPr>
        <w:rFonts w:ascii="Public Sans" w:eastAsia="Calibri" w:hAnsi="Public Sans" w:cs="Arial"/>
        <w:sz w:val="18"/>
        <w:szCs w:val="18"/>
      </w:rPr>
      <w:t>Government businesses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289E" w14:textId="348E36C1" w:rsidR="00AB2DCE" w:rsidRPr="00617415" w:rsidRDefault="00AB2D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13CE9"/>
    <w:multiLevelType w:val="hybridMultilevel"/>
    <w:tmpl w:val="AC248C1C"/>
    <w:lvl w:ilvl="0" w:tplc="8B92066A">
      <w:start w:val="1"/>
      <w:numFmt w:val="decimal"/>
      <w:pStyle w:val="ChartA1X"/>
      <w:lvlText w:val="Chart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69716A"/>
    <w:multiLevelType w:val="hybridMultilevel"/>
    <w:tmpl w:val="A306A876"/>
    <w:lvl w:ilvl="0" w:tplc="48183CB4">
      <w:start w:val="1"/>
      <w:numFmt w:val="decimal"/>
      <w:pStyle w:val="A22Heading2"/>
      <w:lvlText w:val="A2.%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860651"/>
    <w:multiLevelType w:val="hybridMultilevel"/>
    <w:tmpl w:val="44D895D0"/>
    <w:lvl w:ilvl="0" w:tplc="5672D0E8">
      <w:start w:val="1"/>
      <w:numFmt w:val="decimal"/>
      <w:pStyle w:val="TableA3X"/>
      <w:lvlText w:val="Table A3.%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9E3DB3"/>
    <w:multiLevelType w:val="hybridMultilevel"/>
    <w:tmpl w:val="F40654F4"/>
    <w:lvl w:ilvl="0" w:tplc="F902671E">
      <w:start w:val="1"/>
      <w:numFmt w:val="decimal"/>
      <w:pStyle w:val="FigureBX"/>
      <w:lvlText w:val="Figur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DE5882"/>
    <w:multiLevelType w:val="singleLevel"/>
    <w:tmpl w:val="9E9AEE9C"/>
    <w:lvl w:ilvl="0">
      <w:start w:val="1"/>
      <w:numFmt w:val="bullet"/>
      <w:pStyle w:val="ListBullet"/>
      <w:lvlText w:val=""/>
      <w:lvlJc w:val="left"/>
      <w:pPr>
        <w:ind w:left="1211" w:hanging="360"/>
      </w:pPr>
      <w:rPr>
        <w:rFonts w:ascii="Symbol" w:hAnsi="Symbol" w:hint="default"/>
        <w:sz w:val="22"/>
      </w:rPr>
    </w:lvl>
  </w:abstractNum>
  <w:abstractNum w:abstractNumId="6" w15:restartNumberingAfterBreak="0">
    <w:nsid w:val="05F66D9C"/>
    <w:multiLevelType w:val="hybridMultilevel"/>
    <w:tmpl w:val="E1F07A90"/>
    <w:lvl w:ilvl="0" w:tplc="622E11E8">
      <w:start w:val="1"/>
      <w:numFmt w:val="decimal"/>
      <w:pStyle w:val="101Heading2"/>
      <w:lvlText w:val="10.%1"/>
      <w:lvlJc w:val="left"/>
      <w:pPr>
        <w:ind w:left="72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9D5632"/>
    <w:multiLevelType w:val="multilevel"/>
    <w:tmpl w:val="598EFBEE"/>
    <w:lvl w:ilvl="0">
      <w:start w:val="1"/>
      <w:numFmt w:val="upperLetter"/>
      <w:pStyle w:val="Heading1Appendix"/>
      <w:lvlText w:val="Appendix %1:"/>
      <w:lvlJc w:val="left"/>
      <w:pPr>
        <w:tabs>
          <w:tab w:val="num" w:pos="3657"/>
        </w:tabs>
        <w:ind w:left="1843"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8" w15:restartNumberingAfterBreak="0">
    <w:nsid w:val="06EF3ACE"/>
    <w:multiLevelType w:val="hybridMultilevel"/>
    <w:tmpl w:val="04E88334"/>
    <w:lvl w:ilvl="0" w:tplc="C9C4E460">
      <w:start w:val="1"/>
      <w:numFmt w:val="decimal"/>
      <w:pStyle w:val="Table7X"/>
      <w:lvlText w:val="Table 7.%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0A161376"/>
    <w:multiLevelType w:val="hybridMultilevel"/>
    <w:tmpl w:val="5E347214"/>
    <w:lvl w:ilvl="0" w:tplc="ADFE8268">
      <w:start w:val="1"/>
      <w:numFmt w:val="decimal"/>
      <w:pStyle w:val="TableBX"/>
      <w:lvlText w:val="Tabl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D475E7"/>
    <w:multiLevelType w:val="hybridMultilevel"/>
    <w:tmpl w:val="5B207074"/>
    <w:lvl w:ilvl="0" w:tplc="5698A164">
      <w:start w:val="1"/>
      <w:numFmt w:val="decimal"/>
      <w:pStyle w:val="ChartBX"/>
      <w:lvlText w:val="Chart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68548E"/>
    <w:multiLevelType w:val="hybridMultilevel"/>
    <w:tmpl w:val="788C2830"/>
    <w:lvl w:ilvl="0" w:tplc="2AB0FE6A">
      <w:start w:val="1"/>
      <w:numFmt w:val="decimal"/>
      <w:pStyle w:val="Figure7X"/>
      <w:lvlText w:val="Figure 7.%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7833DA"/>
    <w:multiLevelType w:val="hybridMultilevel"/>
    <w:tmpl w:val="F738A88A"/>
    <w:lvl w:ilvl="0" w:tplc="42DA273E">
      <w:start w:val="1"/>
      <w:numFmt w:val="decimal"/>
      <w:pStyle w:val="Table5X"/>
      <w:lvlText w:val="Table 5.%1:"/>
      <w:lvlJc w:val="left"/>
      <w:pPr>
        <w:ind w:left="360" w:hanging="360"/>
      </w:pPr>
      <w:rPr>
        <w:rFonts w:ascii="Public Sans" w:hAnsi="Public Sans" w:hint="default"/>
        <w:b w:val="0"/>
        <w:i/>
        <w:color w:val="000000" w:themeColor="text1"/>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15:restartNumberingAfterBreak="0">
    <w:nsid w:val="1466487C"/>
    <w:multiLevelType w:val="hybridMultilevel"/>
    <w:tmpl w:val="2954E83C"/>
    <w:lvl w:ilvl="0" w:tplc="0CBE3862">
      <w:start w:val="1"/>
      <w:numFmt w:val="decimal"/>
      <w:pStyle w:val="Figure3X"/>
      <w:lvlText w:val="Figure 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307FD1"/>
    <w:multiLevelType w:val="hybridMultilevel"/>
    <w:tmpl w:val="D2327D8E"/>
    <w:lvl w:ilvl="0" w:tplc="19DEBB76">
      <w:start w:val="1"/>
      <w:numFmt w:val="decimal"/>
      <w:pStyle w:val="E1Heading2"/>
      <w:lvlText w:val="E.%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942059"/>
    <w:multiLevelType w:val="hybridMultilevel"/>
    <w:tmpl w:val="CD20DBA0"/>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9" w15:restartNumberingAfterBreak="0">
    <w:nsid w:val="1F3F62CC"/>
    <w:multiLevelType w:val="hybridMultilevel"/>
    <w:tmpl w:val="0F7A2128"/>
    <w:lvl w:ilvl="0" w:tplc="1A164690">
      <w:start w:val="1"/>
      <w:numFmt w:val="decimal"/>
      <w:pStyle w:val="Box9XBoxHeading"/>
      <w:lvlText w:val="Box 9.%1:"/>
      <w:lvlJc w:val="left"/>
      <w:pPr>
        <w:ind w:left="72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597091"/>
    <w:multiLevelType w:val="hybridMultilevel"/>
    <w:tmpl w:val="CA280490"/>
    <w:lvl w:ilvl="0" w:tplc="64687C18">
      <w:start w:val="1"/>
      <w:numFmt w:val="decimal"/>
      <w:pStyle w:val="ChartA5X"/>
      <w:lvlText w:val="Chart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9B48AD"/>
    <w:multiLevelType w:val="hybridMultilevel"/>
    <w:tmpl w:val="A5043404"/>
    <w:lvl w:ilvl="0" w:tplc="98D488A2">
      <w:start w:val="1"/>
      <w:numFmt w:val="decimal"/>
      <w:pStyle w:val="9XHeading2"/>
      <w:lvlText w:val="9.%1"/>
      <w:lvlJc w:val="left"/>
      <w:pPr>
        <w:ind w:left="72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29B53DF"/>
    <w:multiLevelType w:val="hybridMultilevel"/>
    <w:tmpl w:val="F182CAA2"/>
    <w:lvl w:ilvl="0" w:tplc="5666E586">
      <w:start w:val="1"/>
      <w:numFmt w:val="decimal"/>
      <w:pStyle w:val="Box10XBoxHeading"/>
      <w:lvlText w:val="Box 10.%1:"/>
      <w:lvlJc w:val="left"/>
      <w:pPr>
        <w:ind w:left="720" w:hanging="360"/>
      </w:pPr>
      <w:rPr>
        <w:rFonts w:ascii="Public Sans SemiBold" w:hAnsi="Public Sans SemiBold" w:hint="default"/>
        <w:b/>
        <w:bCs/>
        <w:i w:val="0"/>
        <w:iCs w:val="0"/>
        <w:caps w:val="0"/>
        <w:small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4BA3451"/>
    <w:multiLevelType w:val="hybridMultilevel"/>
    <w:tmpl w:val="2DFEB6D0"/>
    <w:lvl w:ilvl="0" w:tplc="0824AB2A">
      <w:start w:val="1"/>
      <w:numFmt w:val="decimal"/>
      <w:pStyle w:val="FigureA4X"/>
      <w:lvlText w:val="Figure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5DE7142"/>
    <w:multiLevelType w:val="hybridMultilevel"/>
    <w:tmpl w:val="EC3A2B78"/>
    <w:lvl w:ilvl="0" w:tplc="D766E920">
      <w:start w:val="1"/>
      <w:numFmt w:val="decimal"/>
      <w:pStyle w:val="TableA1X"/>
      <w:lvlText w:val="Table A1.%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846FD5"/>
    <w:multiLevelType w:val="hybridMultilevel"/>
    <w:tmpl w:val="E3BAF90A"/>
    <w:lvl w:ilvl="0" w:tplc="50D43638">
      <w:start w:val="1"/>
      <w:numFmt w:val="decimal"/>
      <w:pStyle w:val="B1Heading2"/>
      <w:lvlText w:val="B.%1"/>
      <w:lvlJc w:val="left"/>
      <w:pPr>
        <w:ind w:left="360" w:hanging="360"/>
      </w:pPr>
      <w:rPr>
        <w:rFonts w:ascii="Public Sans SemiBold" w:hAnsi="Public Sans SemiBold" w:hint="default"/>
        <w:b/>
        <w:bCs w:val="0"/>
        <w:i w:val="0"/>
        <w:iCs w:val="0"/>
        <w:caps w:val="0"/>
        <w:strike w:val="0"/>
        <w:dstrike w:val="0"/>
        <w:vanish w:val="0"/>
        <w:color w:val="22272B"/>
        <w:spacing w:val="0"/>
        <w:kern w:val="0"/>
        <w:position w:val="0"/>
        <w:sz w:val="28"/>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B285D73"/>
    <w:multiLevelType w:val="hybridMultilevel"/>
    <w:tmpl w:val="E2A45C18"/>
    <w:lvl w:ilvl="0" w:tplc="84762122">
      <w:start w:val="1"/>
      <w:numFmt w:val="decimal"/>
      <w:pStyle w:val="Table10X"/>
      <w:lvlText w:val="Table 10.%1:"/>
      <w:lvlJc w:val="left"/>
      <w:pPr>
        <w:ind w:left="72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C16028F"/>
    <w:multiLevelType w:val="hybridMultilevel"/>
    <w:tmpl w:val="FAECE970"/>
    <w:lvl w:ilvl="0" w:tplc="B1767D20">
      <w:start w:val="1"/>
      <w:numFmt w:val="decimal"/>
      <w:pStyle w:val="ChartA4X"/>
      <w:lvlText w:val="Chart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DA67470"/>
    <w:multiLevelType w:val="hybridMultilevel"/>
    <w:tmpl w:val="E1064F3E"/>
    <w:lvl w:ilvl="0" w:tplc="33A22FD4">
      <w:start w:val="1"/>
      <w:numFmt w:val="decimal"/>
      <w:pStyle w:val="FigureA3X"/>
      <w:lvlText w:val="Figure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EB35209"/>
    <w:multiLevelType w:val="hybridMultilevel"/>
    <w:tmpl w:val="071640E4"/>
    <w:lvl w:ilvl="0" w:tplc="ABA0A902">
      <w:start w:val="1"/>
      <w:numFmt w:val="decimal"/>
      <w:pStyle w:val="Table6X"/>
      <w:lvlText w:val="Table 6.%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EC46124"/>
    <w:multiLevelType w:val="hybridMultilevel"/>
    <w:tmpl w:val="3558CCF0"/>
    <w:lvl w:ilvl="0" w:tplc="6C80D15A">
      <w:start w:val="1"/>
      <w:numFmt w:val="decimal"/>
      <w:pStyle w:val="Figure4X"/>
      <w:lvlText w:val="Figure 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0E73AFC"/>
    <w:multiLevelType w:val="hybridMultilevel"/>
    <w:tmpl w:val="CD04C2E8"/>
    <w:lvl w:ilvl="0" w:tplc="B448A04A">
      <w:start w:val="1"/>
      <w:numFmt w:val="decimal"/>
      <w:pStyle w:val="41Heading2"/>
      <w:lvlText w:val="4.%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20F238E"/>
    <w:multiLevelType w:val="hybridMultilevel"/>
    <w:tmpl w:val="9D1011A0"/>
    <w:lvl w:ilvl="0" w:tplc="E8FA7E68">
      <w:start w:val="1"/>
      <w:numFmt w:val="decimal"/>
      <w:pStyle w:val="FigureA2X"/>
      <w:lvlText w:val="Figure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2B327C4"/>
    <w:multiLevelType w:val="hybridMultilevel"/>
    <w:tmpl w:val="E162115A"/>
    <w:lvl w:ilvl="0" w:tplc="06205E1A">
      <w:start w:val="1"/>
      <w:numFmt w:val="decimal"/>
      <w:pStyle w:val="81Heading2"/>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2D55888"/>
    <w:multiLevelType w:val="hybridMultilevel"/>
    <w:tmpl w:val="DBBC6C70"/>
    <w:lvl w:ilvl="0" w:tplc="92B01484">
      <w:start w:val="1"/>
      <w:numFmt w:val="decimal"/>
      <w:pStyle w:val="Table4X"/>
      <w:lvlText w:val="Table 4.%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5275DAA"/>
    <w:multiLevelType w:val="hybridMultilevel"/>
    <w:tmpl w:val="2E58536E"/>
    <w:lvl w:ilvl="0" w:tplc="390E1B40">
      <w:start w:val="1"/>
      <w:numFmt w:val="decimal"/>
      <w:lvlText w:val="%1)"/>
      <w:lvlJc w:val="left"/>
      <w:pPr>
        <w:ind w:left="1020" w:hanging="360"/>
      </w:pPr>
    </w:lvl>
    <w:lvl w:ilvl="1" w:tplc="CF54657C">
      <w:start w:val="1"/>
      <w:numFmt w:val="decimal"/>
      <w:lvlText w:val="%2)"/>
      <w:lvlJc w:val="left"/>
      <w:pPr>
        <w:ind w:left="1020" w:hanging="360"/>
      </w:pPr>
    </w:lvl>
    <w:lvl w:ilvl="2" w:tplc="BB928742">
      <w:start w:val="1"/>
      <w:numFmt w:val="decimal"/>
      <w:lvlText w:val="%3)"/>
      <w:lvlJc w:val="left"/>
      <w:pPr>
        <w:ind w:left="1020" w:hanging="360"/>
      </w:pPr>
    </w:lvl>
    <w:lvl w:ilvl="3" w:tplc="9490E14A">
      <w:start w:val="1"/>
      <w:numFmt w:val="decimal"/>
      <w:lvlText w:val="%4)"/>
      <w:lvlJc w:val="left"/>
      <w:pPr>
        <w:ind w:left="1020" w:hanging="360"/>
      </w:pPr>
    </w:lvl>
    <w:lvl w:ilvl="4" w:tplc="509606E4">
      <w:start w:val="1"/>
      <w:numFmt w:val="decimal"/>
      <w:lvlText w:val="%5)"/>
      <w:lvlJc w:val="left"/>
      <w:pPr>
        <w:ind w:left="1020" w:hanging="360"/>
      </w:pPr>
    </w:lvl>
    <w:lvl w:ilvl="5" w:tplc="95961B06">
      <w:start w:val="1"/>
      <w:numFmt w:val="decimal"/>
      <w:lvlText w:val="%6)"/>
      <w:lvlJc w:val="left"/>
      <w:pPr>
        <w:ind w:left="1020" w:hanging="360"/>
      </w:pPr>
    </w:lvl>
    <w:lvl w:ilvl="6" w:tplc="3AE8549E">
      <w:start w:val="1"/>
      <w:numFmt w:val="decimal"/>
      <w:lvlText w:val="%7)"/>
      <w:lvlJc w:val="left"/>
      <w:pPr>
        <w:ind w:left="1020" w:hanging="360"/>
      </w:pPr>
    </w:lvl>
    <w:lvl w:ilvl="7" w:tplc="B5A4C83A">
      <w:start w:val="1"/>
      <w:numFmt w:val="decimal"/>
      <w:lvlText w:val="%8)"/>
      <w:lvlJc w:val="left"/>
      <w:pPr>
        <w:ind w:left="1020" w:hanging="360"/>
      </w:pPr>
    </w:lvl>
    <w:lvl w:ilvl="8" w:tplc="D7E6557A">
      <w:start w:val="1"/>
      <w:numFmt w:val="decimal"/>
      <w:lvlText w:val="%9)"/>
      <w:lvlJc w:val="left"/>
      <w:pPr>
        <w:ind w:left="1020" w:hanging="360"/>
      </w:pPr>
    </w:lvl>
  </w:abstractNum>
  <w:abstractNum w:abstractNumId="3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9" w15:restartNumberingAfterBreak="0">
    <w:nsid w:val="376C6785"/>
    <w:multiLevelType w:val="hybridMultilevel"/>
    <w:tmpl w:val="5DE46B78"/>
    <w:lvl w:ilvl="0" w:tplc="233AB86E">
      <w:start w:val="1"/>
      <w:numFmt w:val="decimal"/>
      <w:lvlText w:val="F.%1"/>
      <w:lvlJc w:val="left"/>
      <w:pPr>
        <w:ind w:left="72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7A618EB"/>
    <w:multiLevelType w:val="hybridMultilevel"/>
    <w:tmpl w:val="D8EEE396"/>
    <w:lvl w:ilvl="0" w:tplc="F39895B2">
      <w:start w:val="1"/>
      <w:numFmt w:val="decimal"/>
      <w:pStyle w:val="Chart2X"/>
      <w:lvlText w:val="Chart 2.%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7B425B1"/>
    <w:multiLevelType w:val="hybridMultilevel"/>
    <w:tmpl w:val="8C8AF5BC"/>
    <w:lvl w:ilvl="0" w:tplc="96CA6E4C">
      <w:start w:val="1"/>
      <w:numFmt w:val="decimal"/>
      <w:pStyle w:val="TableA2X"/>
      <w:lvlText w:val="Table A2.%1:"/>
      <w:lvlJc w:val="left"/>
      <w:pPr>
        <w:ind w:left="360" w:hanging="360"/>
      </w:pPr>
      <w:rPr>
        <w:rFonts w:ascii="Public Sans" w:hAnsi="Public Sans" w:hint="default"/>
        <w:b w:val="0"/>
        <w:i/>
        <w:caps w:val="0"/>
        <w:color w:val="000000" w:themeColor="text1"/>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3A161263"/>
    <w:multiLevelType w:val="hybridMultilevel"/>
    <w:tmpl w:val="4014BD70"/>
    <w:lvl w:ilvl="0" w:tplc="E4CABFC8">
      <w:start w:val="1"/>
      <w:numFmt w:val="decimal"/>
      <w:pStyle w:val="Figure10X"/>
      <w:lvlText w:val="Figure 10.%1:"/>
      <w:lvlJc w:val="left"/>
      <w:pPr>
        <w:ind w:left="72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AC54CD5"/>
    <w:multiLevelType w:val="hybridMultilevel"/>
    <w:tmpl w:val="8C5C4842"/>
    <w:lvl w:ilvl="0" w:tplc="50E00E4C">
      <w:start w:val="1"/>
      <w:numFmt w:val="decimal"/>
      <w:pStyle w:val="ChartA2X"/>
      <w:lvlText w:val="Chart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45" w15:restartNumberingAfterBreak="0">
    <w:nsid w:val="3F765FA8"/>
    <w:multiLevelType w:val="hybridMultilevel"/>
    <w:tmpl w:val="DC5C70FA"/>
    <w:lvl w:ilvl="0" w:tplc="B3A08AA6">
      <w:start w:val="1"/>
      <w:numFmt w:val="decimal"/>
      <w:pStyle w:val="Box8XBoxHeading"/>
      <w:lvlText w:val="Box 8.%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402373E"/>
    <w:multiLevelType w:val="hybridMultilevel"/>
    <w:tmpl w:val="CC544C06"/>
    <w:lvl w:ilvl="0" w:tplc="371822F0">
      <w:start w:val="1"/>
      <w:numFmt w:val="decimal"/>
      <w:pStyle w:val="C1Heading2"/>
      <w:lvlText w:val="C.%1"/>
      <w:lvlJc w:val="left"/>
      <w:pPr>
        <w:ind w:left="360" w:hanging="360"/>
      </w:pPr>
      <w:rPr>
        <w:rFonts w:ascii="Public Sans SemiBold" w:hAnsi="Public Sans SemiBold" w:hint="default"/>
        <w:b/>
        <w:bCs/>
        <w:i w:val="0"/>
        <w:color w:val="000000" w:themeColor="text1"/>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4455AFC"/>
    <w:multiLevelType w:val="hybridMultilevel"/>
    <w:tmpl w:val="593CAE2E"/>
    <w:lvl w:ilvl="0" w:tplc="ACA6E694">
      <w:start w:val="1"/>
      <w:numFmt w:val="decimal"/>
      <w:pStyle w:val="A11Heading2"/>
      <w:lvlText w:val="A1.%1"/>
      <w:lvlJc w:val="left"/>
      <w:pPr>
        <w:ind w:left="720" w:hanging="360"/>
      </w:pPr>
      <w:rPr>
        <w:rFonts w:ascii="Public Sans" w:hAnsi="Public Sans"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55F00C6"/>
    <w:multiLevelType w:val="hybridMultilevel"/>
    <w:tmpl w:val="C150B9FC"/>
    <w:lvl w:ilvl="0" w:tplc="503EBDEA">
      <w:start w:val="1"/>
      <w:numFmt w:val="decimal"/>
      <w:pStyle w:val="61Heading2"/>
      <w:lvlText w:val="6.%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57303A6"/>
    <w:multiLevelType w:val="hybridMultilevel"/>
    <w:tmpl w:val="F044E862"/>
    <w:lvl w:ilvl="0" w:tplc="66E848B2">
      <w:start w:val="1"/>
      <w:numFmt w:val="decimal"/>
      <w:pStyle w:val="51Heading2"/>
      <w:lvlText w:val="5.%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50" w15:restartNumberingAfterBreak="0">
    <w:nsid w:val="45CD10BF"/>
    <w:multiLevelType w:val="hybridMultilevel"/>
    <w:tmpl w:val="A43C443C"/>
    <w:lvl w:ilvl="0" w:tplc="D9C019D8">
      <w:start w:val="1"/>
      <w:numFmt w:val="decimal"/>
      <w:pStyle w:val="Figure5X"/>
      <w:lvlText w:val="Figure 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6432C24"/>
    <w:multiLevelType w:val="hybridMultilevel"/>
    <w:tmpl w:val="3648BD6A"/>
    <w:lvl w:ilvl="0" w:tplc="82C4F804">
      <w:start w:val="1"/>
      <w:numFmt w:val="decimal"/>
      <w:pStyle w:val="FigureEX"/>
      <w:lvlText w:val="Figur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71C3199"/>
    <w:multiLevelType w:val="hybridMultilevel"/>
    <w:tmpl w:val="78A8415A"/>
    <w:lvl w:ilvl="0" w:tplc="838C110E">
      <w:start w:val="1"/>
      <w:numFmt w:val="decimal"/>
      <w:pStyle w:val="A31Heading2"/>
      <w:lvlText w:val="A3.%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90D3232"/>
    <w:multiLevelType w:val="hybridMultilevel"/>
    <w:tmpl w:val="98AC798A"/>
    <w:lvl w:ilvl="0" w:tplc="DD3CD220">
      <w:start w:val="1"/>
      <w:numFmt w:val="decimal"/>
      <w:pStyle w:val="Chart4X"/>
      <w:lvlText w:val="Chart 4.%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9352F38"/>
    <w:multiLevelType w:val="hybridMultilevel"/>
    <w:tmpl w:val="B4EAE738"/>
    <w:lvl w:ilvl="0" w:tplc="FD5EA6F2">
      <w:start w:val="1"/>
      <w:numFmt w:val="decimal"/>
      <w:pStyle w:val="31Heading2"/>
      <w:lvlText w:val="3.%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9795CAD"/>
    <w:multiLevelType w:val="hybridMultilevel"/>
    <w:tmpl w:val="E8187B1A"/>
    <w:lvl w:ilvl="0" w:tplc="FA96E4EC">
      <w:start w:val="1"/>
      <w:numFmt w:val="decimal"/>
      <w:pStyle w:val="Box7XBoxHeading"/>
      <w:lvlText w:val="Box 7.%1:"/>
      <w:lvlJc w:val="left"/>
      <w:pPr>
        <w:ind w:left="360" w:hanging="360"/>
      </w:pPr>
      <w:rPr>
        <w:rFonts w:ascii="Public Sans SemiBold" w:hAnsi="Public Sans SemiBold" w:hint="default"/>
        <w:b/>
        <w:bCs/>
        <w:i w:val="0"/>
        <w:iCs w:val="0"/>
        <w:caps w:val="0"/>
        <w:smallCaps w:val="0"/>
        <w:strike w:val="0"/>
        <w:dstrike w:val="0"/>
        <w:noProof w:val="0"/>
        <w:vanish w:val="0"/>
        <w:color w:val="000000" w:themeColor="text1"/>
        <w:spacing w:val="0"/>
        <w:kern w:val="0"/>
        <w:position w:val="0"/>
        <w:sz w:val="22"/>
        <w:u w:val="none" w:color="00ABE6"/>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A362CA4"/>
    <w:multiLevelType w:val="hybridMultilevel"/>
    <w:tmpl w:val="AB72C9B2"/>
    <w:lvl w:ilvl="0" w:tplc="CD9C53F4">
      <w:start w:val="1"/>
      <w:numFmt w:val="decimal"/>
      <w:pStyle w:val="Table1X"/>
      <w:lvlText w:val="Table 1.%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AB83096"/>
    <w:multiLevelType w:val="hybridMultilevel"/>
    <w:tmpl w:val="47A26D28"/>
    <w:lvl w:ilvl="0" w:tplc="CFDCDEE8">
      <w:start w:val="1"/>
      <w:numFmt w:val="decimal"/>
      <w:pStyle w:val="ChartA3X"/>
      <w:lvlText w:val="Chart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BFB1DA3"/>
    <w:multiLevelType w:val="hybridMultilevel"/>
    <w:tmpl w:val="D5BC4898"/>
    <w:lvl w:ilvl="0" w:tplc="FDE2826A">
      <w:start w:val="1"/>
      <w:numFmt w:val="decimal"/>
      <w:pStyle w:val="Box3XBoxHeading"/>
      <w:lvlText w:val="Box 3.%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59" w15:restartNumberingAfterBreak="0">
    <w:nsid w:val="4C6D29D8"/>
    <w:multiLevelType w:val="hybridMultilevel"/>
    <w:tmpl w:val="2216EF52"/>
    <w:lvl w:ilvl="0" w:tplc="DB946EA4">
      <w:start w:val="1"/>
      <w:numFmt w:val="decimal"/>
      <w:lvlText w:val="%1)"/>
      <w:lvlJc w:val="left"/>
      <w:pPr>
        <w:ind w:left="1020" w:hanging="360"/>
      </w:pPr>
    </w:lvl>
    <w:lvl w:ilvl="1" w:tplc="1AEE5B82">
      <w:start w:val="1"/>
      <w:numFmt w:val="decimal"/>
      <w:lvlText w:val="%2)"/>
      <w:lvlJc w:val="left"/>
      <w:pPr>
        <w:ind w:left="1020" w:hanging="360"/>
      </w:pPr>
    </w:lvl>
    <w:lvl w:ilvl="2" w:tplc="FCA4D1AE">
      <w:start w:val="1"/>
      <w:numFmt w:val="decimal"/>
      <w:lvlText w:val="%3)"/>
      <w:lvlJc w:val="left"/>
      <w:pPr>
        <w:ind w:left="1020" w:hanging="360"/>
      </w:pPr>
    </w:lvl>
    <w:lvl w:ilvl="3" w:tplc="7A8CF296">
      <w:start w:val="1"/>
      <w:numFmt w:val="decimal"/>
      <w:lvlText w:val="%4)"/>
      <w:lvlJc w:val="left"/>
      <w:pPr>
        <w:ind w:left="1020" w:hanging="360"/>
      </w:pPr>
    </w:lvl>
    <w:lvl w:ilvl="4" w:tplc="2182E2A0">
      <w:start w:val="1"/>
      <w:numFmt w:val="decimal"/>
      <w:lvlText w:val="%5)"/>
      <w:lvlJc w:val="left"/>
      <w:pPr>
        <w:ind w:left="1020" w:hanging="360"/>
      </w:pPr>
    </w:lvl>
    <w:lvl w:ilvl="5" w:tplc="BB44A314">
      <w:start w:val="1"/>
      <w:numFmt w:val="decimal"/>
      <w:lvlText w:val="%6)"/>
      <w:lvlJc w:val="left"/>
      <w:pPr>
        <w:ind w:left="1020" w:hanging="360"/>
      </w:pPr>
    </w:lvl>
    <w:lvl w:ilvl="6" w:tplc="AB86ACB4">
      <w:start w:val="1"/>
      <w:numFmt w:val="decimal"/>
      <w:lvlText w:val="%7)"/>
      <w:lvlJc w:val="left"/>
      <w:pPr>
        <w:ind w:left="1020" w:hanging="360"/>
      </w:pPr>
    </w:lvl>
    <w:lvl w:ilvl="7" w:tplc="0E2AD238">
      <w:start w:val="1"/>
      <w:numFmt w:val="decimal"/>
      <w:lvlText w:val="%8)"/>
      <w:lvlJc w:val="left"/>
      <w:pPr>
        <w:ind w:left="1020" w:hanging="360"/>
      </w:pPr>
    </w:lvl>
    <w:lvl w:ilvl="8" w:tplc="251C005C">
      <w:start w:val="1"/>
      <w:numFmt w:val="decimal"/>
      <w:lvlText w:val="%9)"/>
      <w:lvlJc w:val="left"/>
      <w:pPr>
        <w:ind w:left="1020" w:hanging="360"/>
      </w:pPr>
    </w:lvl>
  </w:abstractNum>
  <w:abstractNum w:abstractNumId="60" w15:restartNumberingAfterBreak="0">
    <w:nsid w:val="4CCE51B2"/>
    <w:multiLevelType w:val="hybridMultilevel"/>
    <w:tmpl w:val="CF4E5B2A"/>
    <w:lvl w:ilvl="0" w:tplc="DF66D1A4">
      <w:start w:val="1"/>
      <w:numFmt w:val="decimal"/>
      <w:lvlText w:val="%1)"/>
      <w:lvlJc w:val="left"/>
      <w:pPr>
        <w:ind w:left="1020" w:hanging="360"/>
      </w:pPr>
    </w:lvl>
    <w:lvl w:ilvl="1" w:tplc="2DFC7190">
      <w:start w:val="1"/>
      <w:numFmt w:val="decimal"/>
      <w:lvlText w:val="%2)"/>
      <w:lvlJc w:val="left"/>
      <w:pPr>
        <w:ind w:left="1020" w:hanging="360"/>
      </w:pPr>
    </w:lvl>
    <w:lvl w:ilvl="2" w:tplc="FD381334">
      <w:start w:val="1"/>
      <w:numFmt w:val="decimal"/>
      <w:lvlText w:val="%3)"/>
      <w:lvlJc w:val="left"/>
      <w:pPr>
        <w:ind w:left="1020" w:hanging="360"/>
      </w:pPr>
    </w:lvl>
    <w:lvl w:ilvl="3" w:tplc="FE0CCB0E">
      <w:start w:val="1"/>
      <w:numFmt w:val="decimal"/>
      <w:lvlText w:val="%4)"/>
      <w:lvlJc w:val="left"/>
      <w:pPr>
        <w:ind w:left="1020" w:hanging="360"/>
      </w:pPr>
    </w:lvl>
    <w:lvl w:ilvl="4" w:tplc="8FDA2772">
      <w:start w:val="1"/>
      <w:numFmt w:val="decimal"/>
      <w:lvlText w:val="%5)"/>
      <w:lvlJc w:val="left"/>
      <w:pPr>
        <w:ind w:left="1020" w:hanging="360"/>
      </w:pPr>
    </w:lvl>
    <w:lvl w:ilvl="5" w:tplc="950EAC3A">
      <w:start w:val="1"/>
      <w:numFmt w:val="decimal"/>
      <w:lvlText w:val="%6)"/>
      <w:lvlJc w:val="left"/>
      <w:pPr>
        <w:ind w:left="1020" w:hanging="360"/>
      </w:pPr>
    </w:lvl>
    <w:lvl w:ilvl="6" w:tplc="B74A0702">
      <w:start w:val="1"/>
      <w:numFmt w:val="decimal"/>
      <w:lvlText w:val="%7)"/>
      <w:lvlJc w:val="left"/>
      <w:pPr>
        <w:ind w:left="1020" w:hanging="360"/>
      </w:pPr>
    </w:lvl>
    <w:lvl w:ilvl="7" w:tplc="5324EE3C">
      <w:start w:val="1"/>
      <w:numFmt w:val="decimal"/>
      <w:lvlText w:val="%8)"/>
      <w:lvlJc w:val="left"/>
      <w:pPr>
        <w:ind w:left="1020" w:hanging="360"/>
      </w:pPr>
    </w:lvl>
    <w:lvl w:ilvl="8" w:tplc="3728500C">
      <w:start w:val="1"/>
      <w:numFmt w:val="decimal"/>
      <w:lvlText w:val="%9)"/>
      <w:lvlJc w:val="left"/>
      <w:pPr>
        <w:ind w:left="1020" w:hanging="360"/>
      </w:pPr>
    </w:lvl>
  </w:abstractNum>
  <w:abstractNum w:abstractNumId="61"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50D536D6"/>
    <w:multiLevelType w:val="hybridMultilevel"/>
    <w:tmpl w:val="A3DA7216"/>
    <w:lvl w:ilvl="0" w:tplc="62A83A3E">
      <w:start w:val="1"/>
      <w:numFmt w:val="decimal"/>
      <w:pStyle w:val="Box5XBoxHeading"/>
      <w:lvlText w:val="Box 5.%1:"/>
      <w:lvlJc w:val="left"/>
      <w:pPr>
        <w:ind w:left="360" w:hanging="360"/>
      </w:pPr>
      <w:rPr>
        <w:rFonts w:ascii="Public Sans SemiBold" w:hAnsi="Public Sans SemiBold" w:cs="Times New Roman" w:hint="default"/>
        <w:b/>
        <w:bCs/>
        <w:i w:val="0"/>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5" w15:restartNumberingAfterBreak="0">
    <w:nsid w:val="54F164B4"/>
    <w:multiLevelType w:val="hybridMultilevel"/>
    <w:tmpl w:val="0DA4C508"/>
    <w:lvl w:ilvl="0" w:tplc="B7604FCE">
      <w:start w:val="1"/>
      <w:numFmt w:val="decimal"/>
      <w:pStyle w:val="ChartCX"/>
      <w:lvlText w:val="Chart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5D6282E"/>
    <w:multiLevelType w:val="hybridMultilevel"/>
    <w:tmpl w:val="012C476E"/>
    <w:lvl w:ilvl="0" w:tplc="D1BA795E">
      <w:start w:val="1"/>
      <w:numFmt w:val="decimal"/>
      <w:pStyle w:val="Chart7X"/>
      <w:lvlText w:val="Chart 7.%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6041D7B"/>
    <w:multiLevelType w:val="hybridMultilevel"/>
    <w:tmpl w:val="97169544"/>
    <w:lvl w:ilvl="0" w:tplc="CE32E790">
      <w:start w:val="1"/>
      <w:numFmt w:val="decimal"/>
      <w:pStyle w:val="ChartFX"/>
      <w:lvlText w:val="Chart F.%1:"/>
      <w:lvlJc w:val="left"/>
      <w:pPr>
        <w:ind w:left="360" w:hanging="360"/>
      </w:pPr>
      <w:rPr>
        <w:rFonts w:ascii="Public Sans" w:hAnsi="Public Sans" w:hint="default"/>
        <w:b w:val="0"/>
        <w:i/>
        <w:caps w:val="0"/>
        <w:color w:val="000000" w:themeColor="text1"/>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68" w15:restartNumberingAfterBreak="0">
    <w:nsid w:val="599E5E30"/>
    <w:multiLevelType w:val="hybridMultilevel"/>
    <w:tmpl w:val="02EC5A8A"/>
    <w:lvl w:ilvl="0" w:tplc="9A58CC78">
      <w:start w:val="1"/>
      <w:numFmt w:val="decimal"/>
      <w:pStyle w:val="71Heading2"/>
      <w:lvlText w:val="7.%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9D174D9"/>
    <w:multiLevelType w:val="hybridMultilevel"/>
    <w:tmpl w:val="BCE2B05E"/>
    <w:lvl w:ilvl="0" w:tplc="3B101E82">
      <w:start w:val="1"/>
      <w:numFmt w:val="decimal"/>
      <w:pStyle w:val="Heading1"/>
      <w:lvlText w:val="%1."/>
      <w:lvlJc w:val="left"/>
      <w:pPr>
        <w:ind w:left="360" w:hanging="360"/>
      </w:pPr>
      <w:rPr>
        <w:rFonts w:ascii="Public Sans SemiBold" w:hAnsi="Public Sans SemiBold" w:hint="default"/>
        <w:b w:val="0"/>
        <w:bCs w:val="0"/>
        <w:i w:val="0"/>
        <w:caps w:val="0"/>
        <w:strike w:val="0"/>
        <w:dstrike w:val="0"/>
        <w:vanish w:val="0"/>
        <w:color w:val="0B3F47"/>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A414304"/>
    <w:multiLevelType w:val="hybridMultilevel"/>
    <w:tmpl w:val="80A02342"/>
    <w:lvl w:ilvl="0" w:tplc="E3CCC65A">
      <w:start w:val="1"/>
      <w:numFmt w:val="decimal"/>
      <w:pStyle w:val="D1Heading2"/>
      <w:lvlText w:val="D.%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DBD6814"/>
    <w:multiLevelType w:val="hybridMultilevel"/>
    <w:tmpl w:val="F17A91DC"/>
    <w:lvl w:ilvl="0" w:tplc="2DF2F98A">
      <w:start w:val="1"/>
      <w:numFmt w:val="decimal"/>
      <w:pStyle w:val="Chart6X"/>
      <w:lvlText w:val="Chart 6.%1:"/>
      <w:lvlJc w:val="left"/>
      <w:pPr>
        <w:ind w:left="360" w:hanging="360"/>
      </w:pPr>
      <w:rPr>
        <w:rFonts w:ascii="Public Sans" w:hAnsi="Public Sans" w:cs="Arial" w:hint="default"/>
        <w:b w:val="0"/>
        <w:i/>
        <w:caps w:val="0"/>
        <w:strike w:val="0"/>
        <w:color w:val="000000" w:themeColor="text1"/>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F4225C0"/>
    <w:multiLevelType w:val="hybridMultilevel"/>
    <w:tmpl w:val="3DFECD28"/>
    <w:lvl w:ilvl="0" w:tplc="30BE37CE">
      <w:start w:val="1"/>
      <w:numFmt w:val="decimal"/>
      <w:pStyle w:val="Figure2X"/>
      <w:lvlText w:val="Figure 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FDA03CA"/>
    <w:multiLevelType w:val="hybridMultilevel"/>
    <w:tmpl w:val="2530ED92"/>
    <w:lvl w:ilvl="0" w:tplc="A5EA98E6">
      <w:start w:val="1"/>
      <w:numFmt w:val="decimal"/>
      <w:pStyle w:val="FigureFX"/>
      <w:lvlText w:val="Figur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0B26314"/>
    <w:multiLevelType w:val="hybridMultilevel"/>
    <w:tmpl w:val="711CB540"/>
    <w:lvl w:ilvl="0" w:tplc="AFAE4F0C">
      <w:start w:val="1"/>
      <w:numFmt w:val="decimal"/>
      <w:pStyle w:val="TableFX"/>
      <w:lvlText w:val="Tabl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1541C4A"/>
    <w:multiLevelType w:val="hybridMultilevel"/>
    <w:tmpl w:val="D41CD0C0"/>
    <w:lvl w:ilvl="0" w:tplc="6A98ACAC">
      <w:start w:val="1"/>
      <w:numFmt w:val="decimal"/>
      <w:pStyle w:val="Figure6X"/>
      <w:lvlText w:val="Figure 6.%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387740A"/>
    <w:multiLevelType w:val="hybridMultilevel"/>
    <w:tmpl w:val="8D7433F4"/>
    <w:lvl w:ilvl="0" w:tplc="9AD0A540">
      <w:start w:val="1"/>
      <w:numFmt w:val="decimal"/>
      <w:pStyle w:val="Chart3X"/>
      <w:lvlText w:val="Chart 3.%1:"/>
      <w:lvlJc w:val="left"/>
      <w:pPr>
        <w:ind w:left="72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495070E"/>
    <w:multiLevelType w:val="hybridMultilevel"/>
    <w:tmpl w:val="B05C2F5A"/>
    <w:lvl w:ilvl="0" w:tplc="DE9ED9E0">
      <w:start w:val="1"/>
      <w:numFmt w:val="decimal"/>
      <w:pStyle w:val="Chart9X"/>
      <w:lvlText w:val="Chart 9.%1:"/>
      <w:lvlJc w:val="left"/>
      <w:pPr>
        <w:ind w:left="72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4E75030"/>
    <w:multiLevelType w:val="hybridMultilevel"/>
    <w:tmpl w:val="77D24EDE"/>
    <w:lvl w:ilvl="0" w:tplc="AC301ED0">
      <w:start w:val="1"/>
      <w:numFmt w:val="decimal"/>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5D44CAF"/>
    <w:multiLevelType w:val="hybridMultilevel"/>
    <w:tmpl w:val="815888F8"/>
    <w:lvl w:ilvl="0" w:tplc="7E421B66">
      <w:start w:val="1"/>
      <w:numFmt w:val="decimal"/>
      <w:pStyle w:val="Figure8X"/>
      <w:lvlText w:val="Figure 8.%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608000C"/>
    <w:multiLevelType w:val="hybridMultilevel"/>
    <w:tmpl w:val="E3CEF5B6"/>
    <w:lvl w:ilvl="0" w:tplc="D752EE2C">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8095C94"/>
    <w:multiLevelType w:val="hybridMultilevel"/>
    <w:tmpl w:val="C0249E82"/>
    <w:lvl w:ilvl="0" w:tplc="8A7EA626">
      <w:start w:val="1"/>
      <w:numFmt w:val="decimal"/>
      <w:pStyle w:val="21Heading2"/>
      <w:lvlText w:val="2.%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86F44BC"/>
    <w:multiLevelType w:val="hybridMultilevel"/>
    <w:tmpl w:val="B34AB096"/>
    <w:lvl w:ilvl="0" w:tplc="1F008912">
      <w:start w:val="1"/>
      <w:numFmt w:val="decimal"/>
      <w:pStyle w:val="FigureDX"/>
      <w:lvlText w:val="Figure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A231687"/>
    <w:multiLevelType w:val="hybridMultilevel"/>
    <w:tmpl w:val="DEEC8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BAD0A08"/>
    <w:multiLevelType w:val="hybridMultilevel"/>
    <w:tmpl w:val="F94C79F0"/>
    <w:lvl w:ilvl="0" w:tplc="669E2E22">
      <w:start w:val="1"/>
      <w:numFmt w:val="decimal"/>
      <w:pStyle w:val="A41Heading2"/>
      <w:lvlText w:val="A4.%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D633B70"/>
    <w:multiLevelType w:val="hybridMultilevel"/>
    <w:tmpl w:val="49C0C5EE"/>
    <w:lvl w:ilvl="0" w:tplc="51409BBA">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D6B71F0"/>
    <w:multiLevelType w:val="hybridMultilevel"/>
    <w:tmpl w:val="D5DCE340"/>
    <w:lvl w:ilvl="0" w:tplc="C3BCAF2A">
      <w:start w:val="1"/>
      <w:numFmt w:val="decimal"/>
      <w:pStyle w:val="11Heading2"/>
      <w:lvlText w:val="1.%1"/>
      <w:lvlJc w:val="left"/>
      <w:pPr>
        <w:ind w:left="360" w:hanging="360"/>
      </w:pPr>
      <w:rPr>
        <w:rFonts w:ascii="Public Sans SemiBold" w:hAnsi="Public Sans SemiBold" w:hint="default"/>
        <w:b/>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DFA6ECC"/>
    <w:multiLevelType w:val="hybridMultilevel"/>
    <w:tmpl w:val="D4D2232A"/>
    <w:lvl w:ilvl="0" w:tplc="A0905534">
      <w:start w:val="1"/>
      <w:numFmt w:val="decimal"/>
      <w:pStyle w:val="Box6XBoxHeading"/>
      <w:lvlText w:val="Box 6.%1:"/>
      <w:lvlJc w:val="left"/>
      <w:pPr>
        <w:ind w:left="360" w:hanging="360"/>
      </w:pPr>
      <w:rPr>
        <w:rFonts w:ascii="Public Sans SemiBold" w:hAnsi="Public Sans SemiBold" w:cs="Arial" w:hint="default"/>
        <w:b/>
        <w:bCs w:val="0"/>
        <w:i w:val="0"/>
        <w:color w:val="000000" w:themeColor="text1"/>
        <w:sz w:val="22"/>
        <w:szCs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E7D70B9"/>
    <w:multiLevelType w:val="hybridMultilevel"/>
    <w:tmpl w:val="92E4C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70B8201D"/>
    <w:multiLevelType w:val="hybridMultilevel"/>
    <w:tmpl w:val="573C320E"/>
    <w:lvl w:ilvl="0" w:tplc="C5806944">
      <w:start w:val="1"/>
      <w:numFmt w:val="decimal"/>
      <w:pStyle w:val="TableEX"/>
      <w:lvlText w:val="Tabl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1DD727B"/>
    <w:multiLevelType w:val="hybridMultilevel"/>
    <w:tmpl w:val="CEDA1AA6"/>
    <w:lvl w:ilvl="0" w:tplc="CF4C1292">
      <w:start w:val="1"/>
      <w:numFmt w:val="decimal"/>
      <w:pStyle w:val="Chart10X"/>
      <w:lvlText w:val="Chart 10.%1:"/>
      <w:lvlJc w:val="left"/>
      <w:pPr>
        <w:ind w:left="72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3112603"/>
    <w:multiLevelType w:val="hybridMultilevel"/>
    <w:tmpl w:val="6FB01BAC"/>
    <w:lvl w:ilvl="0" w:tplc="45380CC6">
      <w:start w:val="1"/>
      <w:numFmt w:val="decimal"/>
      <w:pStyle w:val="Chart1X"/>
      <w:lvlText w:val="Chart 1.%1:"/>
      <w:lvlJc w:val="left"/>
      <w:pPr>
        <w:ind w:left="360" w:hanging="360"/>
      </w:pPr>
      <w:rPr>
        <w:rFonts w:ascii="Public Sans" w:hAnsi="Public Sans" w:cs="Arial" w:hint="default"/>
        <w:b w:val="0"/>
        <w:i/>
        <w:caps w:val="0"/>
        <w:color w:val="000000" w:themeColor="text1"/>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3" w15:restartNumberingAfterBreak="0">
    <w:nsid w:val="73BB309D"/>
    <w:multiLevelType w:val="hybridMultilevel"/>
    <w:tmpl w:val="C87256F6"/>
    <w:lvl w:ilvl="0" w:tplc="2FFEA4A0">
      <w:start w:val="1"/>
      <w:numFmt w:val="decimal"/>
      <w:pStyle w:val="FigureA5X"/>
      <w:lvlText w:val="Figure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4AC412F"/>
    <w:multiLevelType w:val="hybridMultilevel"/>
    <w:tmpl w:val="45C884D0"/>
    <w:lvl w:ilvl="0" w:tplc="A6FEE97C">
      <w:start w:val="1"/>
      <w:numFmt w:val="decimal"/>
      <w:pStyle w:val="Table8X"/>
      <w:lvlText w:val="Table 8.%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6543C04"/>
    <w:multiLevelType w:val="hybridMultilevel"/>
    <w:tmpl w:val="C31A5D0A"/>
    <w:lvl w:ilvl="0" w:tplc="8B467A4C">
      <w:start w:val="1"/>
      <w:numFmt w:val="decimal"/>
      <w:pStyle w:val="ChartDX"/>
      <w:lvlText w:val="Chart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6B3043F"/>
    <w:multiLevelType w:val="hybridMultilevel"/>
    <w:tmpl w:val="3BF0D1A2"/>
    <w:lvl w:ilvl="0" w:tplc="D9786926">
      <w:start w:val="1"/>
      <w:numFmt w:val="decimal"/>
      <w:pStyle w:val="Table3X"/>
      <w:lvlText w:val="Table 3.%1:"/>
      <w:lvlJc w:val="left"/>
      <w:pPr>
        <w:ind w:left="360" w:hanging="360"/>
      </w:pPr>
      <w:rPr>
        <w:rFonts w:ascii="Public Sans" w:hAnsi="Public Sans" w:hint="default"/>
        <w:b w:val="0"/>
        <w:i/>
        <w:caps w:val="0"/>
        <w:color w:val="000000" w:themeColor="text1"/>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7612233"/>
    <w:multiLevelType w:val="hybridMultilevel"/>
    <w:tmpl w:val="106687C0"/>
    <w:lvl w:ilvl="0" w:tplc="AE9E8B00">
      <w:start w:val="1"/>
      <w:numFmt w:val="decimal"/>
      <w:pStyle w:val="Box2XBoxHeading"/>
      <w:lvlText w:val="Box 2.%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82868C0"/>
    <w:multiLevelType w:val="hybridMultilevel"/>
    <w:tmpl w:val="85547F0C"/>
    <w:lvl w:ilvl="0" w:tplc="42F05746">
      <w:start w:val="1"/>
      <w:numFmt w:val="decimal"/>
      <w:pStyle w:val="Figure1X"/>
      <w:lvlText w:val="Figure X.%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9C00E47"/>
    <w:multiLevelType w:val="hybridMultilevel"/>
    <w:tmpl w:val="9794A7BE"/>
    <w:lvl w:ilvl="0" w:tplc="E3084202">
      <w:start w:val="1"/>
      <w:numFmt w:val="decimal"/>
      <w:pStyle w:val="FigureA1X"/>
      <w:lvlText w:val="Figure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A1A1949"/>
    <w:multiLevelType w:val="hybridMultilevel"/>
    <w:tmpl w:val="58F28F18"/>
    <w:lvl w:ilvl="0" w:tplc="24788874">
      <w:start w:val="1"/>
      <w:numFmt w:val="decimal"/>
      <w:pStyle w:val="Chart5X"/>
      <w:lvlText w:val="Chart 5.%1:"/>
      <w:lvlJc w:val="left"/>
      <w:pPr>
        <w:ind w:left="360" w:hanging="360"/>
      </w:pPr>
      <w:rPr>
        <w:rFonts w:ascii="Public Sans" w:hAnsi="Public Sans" w:cs="Arial" w:hint="default"/>
        <w:b w:val="0"/>
        <w:i/>
        <w:caps w:val="0"/>
        <w:color w:val="000000" w:themeColor="text1"/>
        <w:sz w:val="22"/>
        <w:szCs w:val="22"/>
        <w:u w:val="none" w:color="4F4F4F"/>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A876093"/>
    <w:multiLevelType w:val="hybridMultilevel"/>
    <w:tmpl w:val="A75E4390"/>
    <w:lvl w:ilvl="0" w:tplc="5574A30A">
      <w:start w:val="1"/>
      <w:numFmt w:val="decimal"/>
      <w:pStyle w:val="Box4XBoxHeading"/>
      <w:lvlText w:val="Box 4.%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C6919CF"/>
    <w:multiLevelType w:val="hybridMultilevel"/>
    <w:tmpl w:val="AEBE65F8"/>
    <w:lvl w:ilvl="0" w:tplc="76E47F04">
      <w:start w:val="1"/>
      <w:numFmt w:val="decimal"/>
      <w:pStyle w:val="F1Heading2"/>
      <w:lvlText w:val="F.%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E1B3859"/>
    <w:multiLevelType w:val="hybridMultilevel"/>
    <w:tmpl w:val="C1A09610"/>
    <w:lvl w:ilvl="0" w:tplc="E5F6B0A4">
      <w:start w:val="1"/>
      <w:numFmt w:val="decimal"/>
      <w:pStyle w:val="Table9X"/>
      <w:lvlText w:val="Table 9.%1:"/>
      <w:lvlJc w:val="left"/>
      <w:pPr>
        <w:ind w:left="72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E2945C9"/>
    <w:multiLevelType w:val="hybridMultilevel"/>
    <w:tmpl w:val="56D0D23C"/>
    <w:lvl w:ilvl="0" w:tplc="2232638C">
      <w:start w:val="1"/>
      <w:numFmt w:val="decimal"/>
      <w:pStyle w:val="FigureCX"/>
      <w:lvlText w:val="Figur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E58502F"/>
    <w:multiLevelType w:val="hybridMultilevel"/>
    <w:tmpl w:val="D9A2CFD4"/>
    <w:lvl w:ilvl="0" w:tplc="9C04C554">
      <w:start w:val="1"/>
      <w:numFmt w:val="decimal"/>
      <w:pStyle w:val="TableCX"/>
      <w:lvlText w:val="Tabl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E7E6F1F"/>
    <w:multiLevelType w:val="hybridMultilevel"/>
    <w:tmpl w:val="CB145792"/>
    <w:lvl w:ilvl="0" w:tplc="9DD21544">
      <w:start w:val="1"/>
      <w:numFmt w:val="decimal"/>
      <w:pStyle w:val="ChartEX"/>
      <w:lvlText w:val="Chart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3668973">
    <w:abstractNumId w:val="25"/>
  </w:num>
  <w:num w:numId="2" w16cid:durableId="255671717">
    <w:abstractNumId w:val="33"/>
  </w:num>
  <w:num w:numId="3" w16cid:durableId="944921910">
    <w:abstractNumId w:val="87"/>
  </w:num>
  <w:num w:numId="4" w16cid:durableId="398749236">
    <w:abstractNumId w:val="82"/>
  </w:num>
  <w:num w:numId="5" w16cid:durableId="138966501">
    <w:abstractNumId w:val="54"/>
  </w:num>
  <w:num w:numId="6" w16cid:durableId="656809923">
    <w:abstractNumId w:val="32"/>
  </w:num>
  <w:num w:numId="7" w16cid:durableId="569657645">
    <w:abstractNumId w:val="49"/>
  </w:num>
  <w:num w:numId="8" w16cid:durableId="245574238">
    <w:abstractNumId w:val="48"/>
  </w:num>
  <w:num w:numId="9" w16cid:durableId="188878145">
    <w:abstractNumId w:val="68"/>
  </w:num>
  <w:num w:numId="10" w16cid:durableId="391320423">
    <w:abstractNumId w:val="35"/>
  </w:num>
  <w:num w:numId="11" w16cid:durableId="742064803">
    <w:abstractNumId w:val="2"/>
  </w:num>
  <w:num w:numId="12" w16cid:durableId="1393775218">
    <w:abstractNumId w:val="52"/>
  </w:num>
  <w:num w:numId="13" w16cid:durableId="411241496">
    <w:abstractNumId w:val="85"/>
  </w:num>
  <w:num w:numId="14" w16cid:durableId="394359246">
    <w:abstractNumId w:val="26"/>
  </w:num>
  <w:num w:numId="15" w16cid:durableId="850683154">
    <w:abstractNumId w:val="86"/>
  </w:num>
  <w:num w:numId="16" w16cid:durableId="1868331908">
    <w:abstractNumId w:val="58"/>
  </w:num>
  <w:num w:numId="17" w16cid:durableId="1290091537">
    <w:abstractNumId w:val="101"/>
  </w:num>
  <w:num w:numId="18" w16cid:durableId="542593098">
    <w:abstractNumId w:val="62"/>
  </w:num>
  <w:num w:numId="19" w16cid:durableId="1553082212">
    <w:abstractNumId w:val="88"/>
  </w:num>
  <w:num w:numId="20" w16cid:durableId="1807233844">
    <w:abstractNumId w:val="0"/>
  </w:num>
  <w:num w:numId="21" w16cid:durableId="520625010">
    <w:abstractNumId w:val="55"/>
  </w:num>
  <w:num w:numId="22" w16cid:durableId="604308429">
    <w:abstractNumId w:val="45"/>
  </w:num>
  <w:num w:numId="23" w16cid:durableId="158927636">
    <w:abstractNumId w:val="81"/>
  </w:num>
  <w:num w:numId="24" w16cid:durableId="999962685">
    <w:abstractNumId w:val="63"/>
  </w:num>
  <w:num w:numId="25" w16cid:durableId="950090191">
    <w:abstractNumId w:val="77"/>
  </w:num>
  <w:num w:numId="26" w16cid:durableId="87895317">
    <w:abstractNumId w:val="44"/>
  </w:num>
  <w:num w:numId="27" w16cid:durableId="727800497">
    <w:abstractNumId w:val="46"/>
  </w:num>
  <w:num w:numId="28" w16cid:durableId="613026023">
    <w:abstractNumId w:val="92"/>
  </w:num>
  <w:num w:numId="29" w16cid:durableId="1229460431">
    <w:abstractNumId w:val="40"/>
  </w:num>
  <w:num w:numId="30" w16cid:durableId="1433208727">
    <w:abstractNumId w:val="53"/>
  </w:num>
  <w:num w:numId="31" w16cid:durableId="1765496755">
    <w:abstractNumId w:val="100"/>
  </w:num>
  <w:num w:numId="32" w16cid:durableId="1055085254">
    <w:abstractNumId w:val="71"/>
  </w:num>
  <w:num w:numId="33" w16cid:durableId="761806013">
    <w:abstractNumId w:val="66"/>
  </w:num>
  <w:num w:numId="34" w16cid:durableId="1453789243">
    <w:abstractNumId w:val="1"/>
  </w:num>
  <w:num w:numId="35" w16cid:durableId="1617979971">
    <w:abstractNumId w:val="43"/>
  </w:num>
  <w:num w:numId="36" w16cid:durableId="1270621810">
    <w:abstractNumId w:val="57"/>
  </w:num>
  <w:num w:numId="37" w16cid:durableId="783966971">
    <w:abstractNumId w:val="28"/>
  </w:num>
  <w:num w:numId="38" w16cid:durableId="2135782715">
    <w:abstractNumId w:val="20"/>
  </w:num>
  <w:num w:numId="39" w16cid:durableId="447046910">
    <w:abstractNumId w:val="10"/>
  </w:num>
  <w:num w:numId="40" w16cid:durableId="735393617">
    <w:abstractNumId w:val="65"/>
  </w:num>
  <w:num w:numId="41" w16cid:durableId="1570767065">
    <w:abstractNumId w:val="95"/>
  </w:num>
  <w:num w:numId="42" w16cid:durableId="899943030">
    <w:abstractNumId w:val="106"/>
  </w:num>
  <w:num w:numId="43" w16cid:durableId="1962877264">
    <w:abstractNumId w:val="67"/>
  </w:num>
  <w:num w:numId="44" w16cid:durableId="796332572">
    <w:abstractNumId w:val="70"/>
  </w:num>
  <w:num w:numId="45" w16cid:durableId="1708682187">
    <w:abstractNumId w:val="15"/>
  </w:num>
  <w:num w:numId="46" w16cid:durableId="220410582">
    <w:abstractNumId w:val="102"/>
  </w:num>
  <w:num w:numId="47" w16cid:durableId="62527521">
    <w:abstractNumId w:val="98"/>
  </w:num>
  <w:num w:numId="48" w16cid:durableId="1686518500">
    <w:abstractNumId w:val="72"/>
  </w:num>
  <w:num w:numId="49" w16cid:durableId="2107460047">
    <w:abstractNumId w:val="14"/>
  </w:num>
  <w:num w:numId="50" w16cid:durableId="1140463078">
    <w:abstractNumId w:val="31"/>
  </w:num>
  <w:num w:numId="51" w16cid:durableId="1289124565">
    <w:abstractNumId w:val="50"/>
  </w:num>
  <w:num w:numId="52" w16cid:durableId="402918949">
    <w:abstractNumId w:val="75"/>
  </w:num>
  <w:num w:numId="53" w16cid:durableId="1399593453">
    <w:abstractNumId w:val="11"/>
  </w:num>
  <w:num w:numId="54" w16cid:durableId="1239706779">
    <w:abstractNumId w:val="80"/>
  </w:num>
  <w:num w:numId="55" w16cid:durableId="1147436578">
    <w:abstractNumId w:val="99"/>
  </w:num>
  <w:num w:numId="56" w16cid:durableId="1048645305">
    <w:abstractNumId w:val="34"/>
  </w:num>
  <w:num w:numId="57" w16cid:durableId="1953248666">
    <w:abstractNumId w:val="29"/>
  </w:num>
  <w:num w:numId="58" w16cid:durableId="46493347">
    <w:abstractNumId w:val="23"/>
  </w:num>
  <w:num w:numId="59" w16cid:durableId="825900618">
    <w:abstractNumId w:val="93"/>
  </w:num>
  <w:num w:numId="60" w16cid:durableId="1707755831">
    <w:abstractNumId w:val="4"/>
  </w:num>
  <w:num w:numId="61" w16cid:durableId="85998868">
    <w:abstractNumId w:val="104"/>
  </w:num>
  <w:num w:numId="62" w16cid:durableId="1601452920">
    <w:abstractNumId w:val="83"/>
  </w:num>
  <w:num w:numId="63" w16cid:durableId="401414469">
    <w:abstractNumId w:val="51"/>
  </w:num>
  <w:num w:numId="64" w16cid:durableId="878476084">
    <w:abstractNumId w:val="73"/>
  </w:num>
  <w:num w:numId="65" w16cid:durableId="1251505890">
    <w:abstractNumId w:val="79"/>
  </w:num>
  <w:num w:numId="66" w16cid:durableId="103232878">
    <w:abstractNumId w:val="69"/>
  </w:num>
  <w:num w:numId="67" w16cid:durableId="2057580741">
    <w:abstractNumId w:val="7"/>
  </w:num>
  <w:num w:numId="68" w16cid:durableId="1207178984">
    <w:abstractNumId w:val="5"/>
  </w:num>
  <w:num w:numId="69" w16cid:durableId="1444154533">
    <w:abstractNumId w:val="64"/>
  </w:num>
  <w:num w:numId="70" w16cid:durableId="517892986">
    <w:abstractNumId w:val="38"/>
  </w:num>
  <w:num w:numId="71" w16cid:durableId="836968643">
    <w:abstractNumId w:val="16"/>
  </w:num>
  <w:num w:numId="72" w16cid:durableId="695280043">
    <w:abstractNumId w:val="13"/>
  </w:num>
  <w:num w:numId="73" w16cid:durableId="599413421">
    <w:abstractNumId w:val="18"/>
  </w:num>
  <w:num w:numId="74" w16cid:durableId="183373765">
    <w:abstractNumId w:val="61"/>
  </w:num>
  <w:num w:numId="75" w16cid:durableId="824593350">
    <w:abstractNumId w:val="96"/>
  </w:num>
  <w:num w:numId="76" w16cid:durableId="803278928">
    <w:abstractNumId w:val="36"/>
  </w:num>
  <w:num w:numId="77" w16cid:durableId="32929676">
    <w:abstractNumId w:val="12"/>
  </w:num>
  <w:num w:numId="78" w16cid:durableId="443156701">
    <w:abstractNumId w:val="30"/>
  </w:num>
  <w:num w:numId="79" w16cid:durableId="1209486655">
    <w:abstractNumId w:val="8"/>
  </w:num>
  <w:num w:numId="80" w16cid:durableId="929509220">
    <w:abstractNumId w:val="94"/>
  </w:num>
  <w:num w:numId="81" w16cid:durableId="1173184454">
    <w:abstractNumId w:val="24"/>
  </w:num>
  <w:num w:numId="82" w16cid:durableId="140195891">
    <w:abstractNumId w:val="41"/>
  </w:num>
  <w:num w:numId="83" w16cid:durableId="865796964">
    <w:abstractNumId w:val="3"/>
  </w:num>
  <w:num w:numId="84" w16cid:durableId="916743036">
    <w:abstractNumId w:val="9"/>
  </w:num>
  <w:num w:numId="85" w16cid:durableId="1447115474">
    <w:abstractNumId w:val="105"/>
  </w:num>
  <w:num w:numId="86" w16cid:durableId="1041975083">
    <w:abstractNumId w:val="17"/>
  </w:num>
  <w:num w:numId="87" w16cid:durableId="123891229">
    <w:abstractNumId w:val="90"/>
  </w:num>
  <w:num w:numId="88" w16cid:durableId="641009776">
    <w:abstractNumId w:val="74"/>
  </w:num>
  <w:num w:numId="89" w16cid:durableId="1940676276">
    <w:abstractNumId w:val="97"/>
  </w:num>
  <w:num w:numId="90" w16cid:durableId="2109690733">
    <w:abstractNumId w:val="47"/>
  </w:num>
  <w:num w:numId="91" w16cid:durableId="92363650">
    <w:abstractNumId w:val="56"/>
  </w:num>
  <w:num w:numId="92" w16cid:durableId="844783594">
    <w:abstractNumId w:val="76"/>
  </w:num>
  <w:num w:numId="93" w16cid:durableId="981009071">
    <w:abstractNumId w:val="6"/>
  </w:num>
  <w:num w:numId="94" w16cid:durableId="710493192">
    <w:abstractNumId w:val="22"/>
  </w:num>
  <w:num w:numId="95" w16cid:durableId="915289490">
    <w:abstractNumId w:val="91"/>
  </w:num>
  <w:num w:numId="96" w16cid:durableId="10764970">
    <w:abstractNumId w:val="42"/>
  </w:num>
  <w:num w:numId="97" w16cid:durableId="1269972266">
    <w:abstractNumId w:val="27"/>
  </w:num>
  <w:num w:numId="98" w16cid:durableId="1767656258">
    <w:abstractNumId w:val="89"/>
  </w:num>
  <w:num w:numId="99" w16cid:durableId="1675917799">
    <w:abstractNumId w:val="84"/>
  </w:num>
  <w:num w:numId="100" w16cid:durableId="1754888594">
    <w:abstractNumId w:val="39"/>
  </w:num>
  <w:num w:numId="101" w16cid:durableId="654378131">
    <w:abstractNumId w:val="21"/>
  </w:num>
  <w:num w:numId="102" w16cid:durableId="849612097">
    <w:abstractNumId w:val="19"/>
  </w:num>
  <w:num w:numId="103" w16cid:durableId="416513168">
    <w:abstractNumId w:val="103"/>
  </w:num>
  <w:num w:numId="104" w16cid:durableId="815806536">
    <w:abstractNumId w:val="78"/>
  </w:num>
  <w:num w:numId="105" w16cid:durableId="903028535">
    <w:abstractNumId w:val="60"/>
  </w:num>
  <w:num w:numId="106" w16cid:durableId="186066740">
    <w:abstractNumId w:val="59"/>
  </w:num>
  <w:num w:numId="107" w16cid:durableId="1463033473">
    <w:abstractNumId w:val="3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04"/>
    <w:rsid w:val="000007A9"/>
    <w:rsid w:val="00000814"/>
    <w:rsid w:val="000015F6"/>
    <w:rsid w:val="000022BE"/>
    <w:rsid w:val="00002EF0"/>
    <w:rsid w:val="00003099"/>
    <w:rsid w:val="00003AD3"/>
    <w:rsid w:val="00004D2F"/>
    <w:rsid w:val="00004FF3"/>
    <w:rsid w:val="00006653"/>
    <w:rsid w:val="00006EFB"/>
    <w:rsid w:val="0000736E"/>
    <w:rsid w:val="00007778"/>
    <w:rsid w:val="00011D56"/>
    <w:rsid w:val="00013BFF"/>
    <w:rsid w:val="00014554"/>
    <w:rsid w:val="0001458B"/>
    <w:rsid w:val="00014913"/>
    <w:rsid w:val="00014E17"/>
    <w:rsid w:val="00014ED1"/>
    <w:rsid w:val="00015D41"/>
    <w:rsid w:val="00016175"/>
    <w:rsid w:val="0001646A"/>
    <w:rsid w:val="0002075B"/>
    <w:rsid w:val="000208AB"/>
    <w:rsid w:val="00020DE7"/>
    <w:rsid w:val="000217CC"/>
    <w:rsid w:val="00022794"/>
    <w:rsid w:val="0002374E"/>
    <w:rsid w:val="000239DC"/>
    <w:rsid w:val="000260E4"/>
    <w:rsid w:val="00026F56"/>
    <w:rsid w:val="00027A24"/>
    <w:rsid w:val="00027F54"/>
    <w:rsid w:val="00030FC7"/>
    <w:rsid w:val="00031FFC"/>
    <w:rsid w:val="00032DF2"/>
    <w:rsid w:val="00033962"/>
    <w:rsid w:val="00033DAD"/>
    <w:rsid w:val="00033E91"/>
    <w:rsid w:val="00034E4F"/>
    <w:rsid w:val="00034FF8"/>
    <w:rsid w:val="00035304"/>
    <w:rsid w:val="0003531A"/>
    <w:rsid w:val="00035847"/>
    <w:rsid w:val="00036A50"/>
    <w:rsid w:val="000372DF"/>
    <w:rsid w:val="0003738C"/>
    <w:rsid w:val="00037476"/>
    <w:rsid w:val="000405BC"/>
    <w:rsid w:val="00040A0A"/>
    <w:rsid w:val="00040BE1"/>
    <w:rsid w:val="000416F3"/>
    <w:rsid w:val="00041A3C"/>
    <w:rsid w:val="00043572"/>
    <w:rsid w:val="00044214"/>
    <w:rsid w:val="0004426E"/>
    <w:rsid w:val="00045F89"/>
    <w:rsid w:val="000469B5"/>
    <w:rsid w:val="0004721C"/>
    <w:rsid w:val="0004729A"/>
    <w:rsid w:val="0005185E"/>
    <w:rsid w:val="000523D2"/>
    <w:rsid w:val="000528BA"/>
    <w:rsid w:val="00053149"/>
    <w:rsid w:val="000543C4"/>
    <w:rsid w:val="00055144"/>
    <w:rsid w:val="00055770"/>
    <w:rsid w:val="000566C7"/>
    <w:rsid w:val="00057393"/>
    <w:rsid w:val="00057537"/>
    <w:rsid w:val="000576F2"/>
    <w:rsid w:val="00057AED"/>
    <w:rsid w:val="00057D8D"/>
    <w:rsid w:val="00060876"/>
    <w:rsid w:val="00060B7C"/>
    <w:rsid w:val="0006102A"/>
    <w:rsid w:val="00061A1E"/>
    <w:rsid w:val="00062D6C"/>
    <w:rsid w:val="00062DFD"/>
    <w:rsid w:val="00063171"/>
    <w:rsid w:val="000634E6"/>
    <w:rsid w:val="00063DED"/>
    <w:rsid w:val="000642D6"/>
    <w:rsid w:val="00064648"/>
    <w:rsid w:val="00064A3C"/>
    <w:rsid w:val="00066154"/>
    <w:rsid w:val="00070139"/>
    <w:rsid w:val="0007081D"/>
    <w:rsid w:val="000715F0"/>
    <w:rsid w:val="00072C35"/>
    <w:rsid w:val="00072D35"/>
    <w:rsid w:val="00072D67"/>
    <w:rsid w:val="0007380C"/>
    <w:rsid w:val="000741EE"/>
    <w:rsid w:val="000746AA"/>
    <w:rsid w:val="00074B56"/>
    <w:rsid w:val="00074E05"/>
    <w:rsid w:val="00075225"/>
    <w:rsid w:val="00076776"/>
    <w:rsid w:val="0007766A"/>
    <w:rsid w:val="000776CD"/>
    <w:rsid w:val="00077A3F"/>
    <w:rsid w:val="00083F03"/>
    <w:rsid w:val="000845E1"/>
    <w:rsid w:val="00086398"/>
    <w:rsid w:val="00087DEF"/>
    <w:rsid w:val="0009065B"/>
    <w:rsid w:val="00091CD6"/>
    <w:rsid w:val="00092E6D"/>
    <w:rsid w:val="00093720"/>
    <w:rsid w:val="00094247"/>
    <w:rsid w:val="00095B67"/>
    <w:rsid w:val="00096E05"/>
    <w:rsid w:val="00097280"/>
    <w:rsid w:val="00097317"/>
    <w:rsid w:val="00097761"/>
    <w:rsid w:val="000A0C41"/>
    <w:rsid w:val="000A1200"/>
    <w:rsid w:val="000A30B4"/>
    <w:rsid w:val="000A5295"/>
    <w:rsid w:val="000A573B"/>
    <w:rsid w:val="000A7AD0"/>
    <w:rsid w:val="000B13CF"/>
    <w:rsid w:val="000B2B4F"/>
    <w:rsid w:val="000B348E"/>
    <w:rsid w:val="000B3CE5"/>
    <w:rsid w:val="000B3E9C"/>
    <w:rsid w:val="000B3EB5"/>
    <w:rsid w:val="000B4949"/>
    <w:rsid w:val="000B4A9B"/>
    <w:rsid w:val="000B7896"/>
    <w:rsid w:val="000B7E13"/>
    <w:rsid w:val="000B7F60"/>
    <w:rsid w:val="000C0CF5"/>
    <w:rsid w:val="000C2BC8"/>
    <w:rsid w:val="000C2E0E"/>
    <w:rsid w:val="000C2E6A"/>
    <w:rsid w:val="000C3142"/>
    <w:rsid w:val="000C329E"/>
    <w:rsid w:val="000C369B"/>
    <w:rsid w:val="000C3B59"/>
    <w:rsid w:val="000C410D"/>
    <w:rsid w:val="000C4EB4"/>
    <w:rsid w:val="000C511F"/>
    <w:rsid w:val="000C5B4F"/>
    <w:rsid w:val="000C67FC"/>
    <w:rsid w:val="000C6F71"/>
    <w:rsid w:val="000C713E"/>
    <w:rsid w:val="000D0AD9"/>
    <w:rsid w:val="000D13A6"/>
    <w:rsid w:val="000D387D"/>
    <w:rsid w:val="000D7900"/>
    <w:rsid w:val="000D7D5C"/>
    <w:rsid w:val="000E0BEF"/>
    <w:rsid w:val="000E21DF"/>
    <w:rsid w:val="000E291C"/>
    <w:rsid w:val="000E2B09"/>
    <w:rsid w:val="000E2B82"/>
    <w:rsid w:val="000E2E70"/>
    <w:rsid w:val="000E34DB"/>
    <w:rsid w:val="000E3608"/>
    <w:rsid w:val="000E3C8C"/>
    <w:rsid w:val="000E4F31"/>
    <w:rsid w:val="000E6E88"/>
    <w:rsid w:val="000F0D3A"/>
    <w:rsid w:val="000F0D89"/>
    <w:rsid w:val="000F1A77"/>
    <w:rsid w:val="000F26DC"/>
    <w:rsid w:val="000F2987"/>
    <w:rsid w:val="000F2F12"/>
    <w:rsid w:val="000F3B09"/>
    <w:rsid w:val="000F3BCE"/>
    <w:rsid w:val="000F41D8"/>
    <w:rsid w:val="000F4C4E"/>
    <w:rsid w:val="000F5D72"/>
    <w:rsid w:val="000F61DC"/>
    <w:rsid w:val="000F7E49"/>
    <w:rsid w:val="00100E5E"/>
    <w:rsid w:val="001014E2"/>
    <w:rsid w:val="00101A6D"/>
    <w:rsid w:val="00102788"/>
    <w:rsid w:val="001031A3"/>
    <w:rsid w:val="00105338"/>
    <w:rsid w:val="00105BF9"/>
    <w:rsid w:val="00107D45"/>
    <w:rsid w:val="00107D75"/>
    <w:rsid w:val="00110983"/>
    <w:rsid w:val="00110CD0"/>
    <w:rsid w:val="00110F0E"/>
    <w:rsid w:val="001110CC"/>
    <w:rsid w:val="001115EB"/>
    <w:rsid w:val="0011292E"/>
    <w:rsid w:val="00112D5E"/>
    <w:rsid w:val="00113112"/>
    <w:rsid w:val="0011688F"/>
    <w:rsid w:val="001179FB"/>
    <w:rsid w:val="00120EFD"/>
    <w:rsid w:val="00122434"/>
    <w:rsid w:val="0012325C"/>
    <w:rsid w:val="0012348E"/>
    <w:rsid w:val="00125C7B"/>
    <w:rsid w:val="00126768"/>
    <w:rsid w:val="00127BC9"/>
    <w:rsid w:val="00127E76"/>
    <w:rsid w:val="0013328A"/>
    <w:rsid w:val="0013431F"/>
    <w:rsid w:val="001344C9"/>
    <w:rsid w:val="00135B7D"/>
    <w:rsid w:val="00135E2A"/>
    <w:rsid w:val="00135F5B"/>
    <w:rsid w:val="001362E1"/>
    <w:rsid w:val="00136879"/>
    <w:rsid w:val="00136BD1"/>
    <w:rsid w:val="00137C74"/>
    <w:rsid w:val="00137C9E"/>
    <w:rsid w:val="00137E22"/>
    <w:rsid w:val="001407E3"/>
    <w:rsid w:val="00140A72"/>
    <w:rsid w:val="00141311"/>
    <w:rsid w:val="00141A7D"/>
    <w:rsid w:val="001420F7"/>
    <w:rsid w:val="00143101"/>
    <w:rsid w:val="001443D9"/>
    <w:rsid w:val="00146230"/>
    <w:rsid w:val="001468DF"/>
    <w:rsid w:val="00147371"/>
    <w:rsid w:val="0015013F"/>
    <w:rsid w:val="00151DD0"/>
    <w:rsid w:val="00152133"/>
    <w:rsid w:val="00152225"/>
    <w:rsid w:val="00152549"/>
    <w:rsid w:val="00154952"/>
    <w:rsid w:val="0015495C"/>
    <w:rsid w:val="00154A09"/>
    <w:rsid w:val="0015577E"/>
    <w:rsid w:val="00155EAC"/>
    <w:rsid w:val="00161983"/>
    <w:rsid w:val="00162469"/>
    <w:rsid w:val="00163BDE"/>
    <w:rsid w:val="00163C89"/>
    <w:rsid w:val="00163FC9"/>
    <w:rsid w:val="001641EF"/>
    <w:rsid w:val="001643BD"/>
    <w:rsid w:val="00165E4A"/>
    <w:rsid w:val="00167F1F"/>
    <w:rsid w:val="0017081C"/>
    <w:rsid w:val="00170F3E"/>
    <w:rsid w:val="00171F71"/>
    <w:rsid w:val="00172AE6"/>
    <w:rsid w:val="00172BCF"/>
    <w:rsid w:val="00173234"/>
    <w:rsid w:val="00173529"/>
    <w:rsid w:val="001735E1"/>
    <w:rsid w:val="00173ED3"/>
    <w:rsid w:val="001759E3"/>
    <w:rsid w:val="0017618F"/>
    <w:rsid w:val="00177D76"/>
    <w:rsid w:val="00180C40"/>
    <w:rsid w:val="00181587"/>
    <w:rsid w:val="0018353C"/>
    <w:rsid w:val="001859CD"/>
    <w:rsid w:val="00186855"/>
    <w:rsid w:val="00186A58"/>
    <w:rsid w:val="00186E0A"/>
    <w:rsid w:val="00187059"/>
    <w:rsid w:val="001872B0"/>
    <w:rsid w:val="00187F62"/>
    <w:rsid w:val="00190FF1"/>
    <w:rsid w:val="00193131"/>
    <w:rsid w:val="001932CC"/>
    <w:rsid w:val="00193CF8"/>
    <w:rsid w:val="001944D5"/>
    <w:rsid w:val="001947E8"/>
    <w:rsid w:val="00194F61"/>
    <w:rsid w:val="001968FF"/>
    <w:rsid w:val="00196B5E"/>
    <w:rsid w:val="0019790D"/>
    <w:rsid w:val="001A01AD"/>
    <w:rsid w:val="001A0B8E"/>
    <w:rsid w:val="001A181C"/>
    <w:rsid w:val="001A189C"/>
    <w:rsid w:val="001A38C5"/>
    <w:rsid w:val="001A3E04"/>
    <w:rsid w:val="001A5C5C"/>
    <w:rsid w:val="001A5EA0"/>
    <w:rsid w:val="001A7358"/>
    <w:rsid w:val="001B2A3F"/>
    <w:rsid w:val="001B2C4B"/>
    <w:rsid w:val="001B5AE4"/>
    <w:rsid w:val="001B5F61"/>
    <w:rsid w:val="001B6D77"/>
    <w:rsid w:val="001B74FC"/>
    <w:rsid w:val="001B77EA"/>
    <w:rsid w:val="001B7C32"/>
    <w:rsid w:val="001C008A"/>
    <w:rsid w:val="001C2116"/>
    <w:rsid w:val="001C22FB"/>
    <w:rsid w:val="001C39D6"/>
    <w:rsid w:val="001C4A11"/>
    <w:rsid w:val="001C5635"/>
    <w:rsid w:val="001C56F4"/>
    <w:rsid w:val="001C5828"/>
    <w:rsid w:val="001C6181"/>
    <w:rsid w:val="001C62F3"/>
    <w:rsid w:val="001C6689"/>
    <w:rsid w:val="001C7262"/>
    <w:rsid w:val="001C75B7"/>
    <w:rsid w:val="001C7B5F"/>
    <w:rsid w:val="001D1C4E"/>
    <w:rsid w:val="001D22A2"/>
    <w:rsid w:val="001D2571"/>
    <w:rsid w:val="001D4803"/>
    <w:rsid w:val="001D49F7"/>
    <w:rsid w:val="001D5725"/>
    <w:rsid w:val="001D5EE2"/>
    <w:rsid w:val="001D622E"/>
    <w:rsid w:val="001D63E4"/>
    <w:rsid w:val="001D6987"/>
    <w:rsid w:val="001D75BE"/>
    <w:rsid w:val="001D7BB9"/>
    <w:rsid w:val="001E06BC"/>
    <w:rsid w:val="001E10B9"/>
    <w:rsid w:val="001E151E"/>
    <w:rsid w:val="001E200C"/>
    <w:rsid w:val="001E35BA"/>
    <w:rsid w:val="001E3613"/>
    <w:rsid w:val="001E47FF"/>
    <w:rsid w:val="001E4853"/>
    <w:rsid w:val="001E4B73"/>
    <w:rsid w:val="001E756A"/>
    <w:rsid w:val="001E76C2"/>
    <w:rsid w:val="001E7E2F"/>
    <w:rsid w:val="001F1038"/>
    <w:rsid w:val="001F1355"/>
    <w:rsid w:val="001F1E0A"/>
    <w:rsid w:val="001F2762"/>
    <w:rsid w:val="001F2BF8"/>
    <w:rsid w:val="001F2CD5"/>
    <w:rsid w:val="001F4DA3"/>
    <w:rsid w:val="001F568F"/>
    <w:rsid w:val="001F583E"/>
    <w:rsid w:val="001F5FB7"/>
    <w:rsid w:val="001F674F"/>
    <w:rsid w:val="001F6777"/>
    <w:rsid w:val="001F77C2"/>
    <w:rsid w:val="00200CC6"/>
    <w:rsid w:val="0020148D"/>
    <w:rsid w:val="0020203D"/>
    <w:rsid w:val="00202E02"/>
    <w:rsid w:val="00202FB1"/>
    <w:rsid w:val="002039D4"/>
    <w:rsid w:val="00207E31"/>
    <w:rsid w:val="0021064A"/>
    <w:rsid w:val="002107F0"/>
    <w:rsid w:val="00211AA8"/>
    <w:rsid w:val="002128AA"/>
    <w:rsid w:val="00213E8F"/>
    <w:rsid w:val="00214B53"/>
    <w:rsid w:val="00214E0B"/>
    <w:rsid w:val="00214F78"/>
    <w:rsid w:val="002151DC"/>
    <w:rsid w:val="002159E4"/>
    <w:rsid w:val="002177BE"/>
    <w:rsid w:val="00222680"/>
    <w:rsid w:val="0022301C"/>
    <w:rsid w:val="0022308F"/>
    <w:rsid w:val="00223330"/>
    <w:rsid w:val="00223B55"/>
    <w:rsid w:val="002252A3"/>
    <w:rsid w:val="00225A42"/>
    <w:rsid w:val="00227345"/>
    <w:rsid w:val="00227AFB"/>
    <w:rsid w:val="00230691"/>
    <w:rsid w:val="00230803"/>
    <w:rsid w:val="002317C8"/>
    <w:rsid w:val="002323D3"/>
    <w:rsid w:val="00234183"/>
    <w:rsid w:val="002344B0"/>
    <w:rsid w:val="00234998"/>
    <w:rsid w:val="00234AE8"/>
    <w:rsid w:val="0023567A"/>
    <w:rsid w:val="00235852"/>
    <w:rsid w:val="0023648D"/>
    <w:rsid w:val="00236753"/>
    <w:rsid w:val="0023687F"/>
    <w:rsid w:val="00236DB0"/>
    <w:rsid w:val="00237935"/>
    <w:rsid w:val="00237B98"/>
    <w:rsid w:val="00237BA4"/>
    <w:rsid w:val="002400B8"/>
    <w:rsid w:val="002402B5"/>
    <w:rsid w:val="00242413"/>
    <w:rsid w:val="00242667"/>
    <w:rsid w:val="002430EB"/>
    <w:rsid w:val="00243283"/>
    <w:rsid w:val="00243DFB"/>
    <w:rsid w:val="002447AD"/>
    <w:rsid w:val="00246DB9"/>
    <w:rsid w:val="00247000"/>
    <w:rsid w:val="00247C6D"/>
    <w:rsid w:val="0025076D"/>
    <w:rsid w:val="00251452"/>
    <w:rsid w:val="002538FF"/>
    <w:rsid w:val="00253A93"/>
    <w:rsid w:val="00253B01"/>
    <w:rsid w:val="002544DD"/>
    <w:rsid w:val="00254DA7"/>
    <w:rsid w:val="00254DEA"/>
    <w:rsid w:val="002550D5"/>
    <w:rsid w:val="002551AB"/>
    <w:rsid w:val="00255B44"/>
    <w:rsid w:val="00256263"/>
    <w:rsid w:val="002565A7"/>
    <w:rsid w:val="0025730F"/>
    <w:rsid w:val="002579DD"/>
    <w:rsid w:val="002602E8"/>
    <w:rsid w:val="002617AE"/>
    <w:rsid w:val="00262768"/>
    <w:rsid w:val="002654E2"/>
    <w:rsid w:val="00265D22"/>
    <w:rsid w:val="00267E7B"/>
    <w:rsid w:val="0027091A"/>
    <w:rsid w:val="00270C9F"/>
    <w:rsid w:val="00270CCE"/>
    <w:rsid w:val="00273833"/>
    <w:rsid w:val="0027433E"/>
    <w:rsid w:val="00274D08"/>
    <w:rsid w:val="002759EF"/>
    <w:rsid w:val="002762FB"/>
    <w:rsid w:val="00276599"/>
    <w:rsid w:val="002809BA"/>
    <w:rsid w:val="002811ED"/>
    <w:rsid w:val="002817A9"/>
    <w:rsid w:val="00281A56"/>
    <w:rsid w:val="00281CE4"/>
    <w:rsid w:val="002837CE"/>
    <w:rsid w:val="00283C03"/>
    <w:rsid w:val="00286663"/>
    <w:rsid w:val="00287DC5"/>
    <w:rsid w:val="00291577"/>
    <w:rsid w:val="00291B73"/>
    <w:rsid w:val="00293742"/>
    <w:rsid w:val="0029387B"/>
    <w:rsid w:val="00294768"/>
    <w:rsid w:val="00294B47"/>
    <w:rsid w:val="00296142"/>
    <w:rsid w:val="00296500"/>
    <w:rsid w:val="002A147E"/>
    <w:rsid w:val="002A16CA"/>
    <w:rsid w:val="002A227F"/>
    <w:rsid w:val="002A23B2"/>
    <w:rsid w:val="002A24C3"/>
    <w:rsid w:val="002A2DC8"/>
    <w:rsid w:val="002A3547"/>
    <w:rsid w:val="002A4B84"/>
    <w:rsid w:val="002A69E9"/>
    <w:rsid w:val="002A6F8C"/>
    <w:rsid w:val="002B140A"/>
    <w:rsid w:val="002B14F5"/>
    <w:rsid w:val="002B1739"/>
    <w:rsid w:val="002B27AF"/>
    <w:rsid w:val="002B470B"/>
    <w:rsid w:val="002B4A1A"/>
    <w:rsid w:val="002B585E"/>
    <w:rsid w:val="002B5AEE"/>
    <w:rsid w:val="002B5CC6"/>
    <w:rsid w:val="002B5E7F"/>
    <w:rsid w:val="002B7361"/>
    <w:rsid w:val="002B7574"/>
    <w:rsid w:val="002B7889"/>
    <w:rsid w:val="002B7B5E"/>
    <w:rsid w:val="002C0E29"/>
    <w:rsid w:val="002C0ED6"/>
    <w:rsid w:val="002C2DB3"/>
    <w:rsid w:val="002C2FBF"/>
    <w:rsid w:val="002C376E"/>
    <w:rsid w:val="002C4CE6"/>
    <w:rsid w:val="002C52F6"/>
    <w:rsid w:val="002C6321"/>
    <w:rsid w:val="002C6562"/>
    <w:rsid w:val="002C73C3"/>
    <w:rsid w:val="002C7837"/>
    <w:rsid w:val="002D03BE"/>
    <w:rsid w:val="002D0552"/>
    <w:rsid w:val="002D2399"/>
    <w:rsid w:val="002D2CF1"/>
    <w:rsid w:val="002D3678"/>
    <w:rsid w:val="002D3998"/>
    <w:rsid w:val="002D46CE"/>
    <w:rsid w:val="002D56B9"/>
    <w:rsid w:val="002D56FD"/>
    <w:rsid w:val="002D5CD4"/>
    <w:rsid w:val="002D5D75"/>
    <w:rsid w:val="002D68DA"/>
    <w:rsid w:val="002D74F8"/>
    <w:rsid w:val="002D7BC0"/>
    <w:rsid w:val="002D7E76"/>
    <w:rsid w:val="002E0959"/>
    <w:rsid w:val="002E16E7"/>
    <w:rsid w:val="002E1707"/>
    <w:rsid w:val="002E18C9"/>
    <w:rsid w:val="002E43ED"/>
    <w:rsid w:val="002E6766"/>
    <w:rsid w:val="002E740A"/>
    <w:rsid w:val="002E74F7"/>
    <w:rsid w:val="002F0279"/>
    <w:rsid w:val="002F07E2"/>
    <w:rsid w:val="002F124E"/>
    <w:rsid w:val="002F1A74"/>
    <w:rsid w:val="002F2D48"/>
    <w:rsid w:val="002F3220"/>
    <w:rsid w:val="002F35B2"/>
    <w:rsid w:val="002F3C93"/>
    <w:rsid w:val="002F425B"/>
    <w:rsid w:val="002F4C62"/>
    <w:rsid w:val="002F4EC0"/>
    <w:rsid w:val="002F56F9"/>
    <w:rsid w:val="002F6B25"/>
    <w:rsid w:val="002F6E10"/>
    <w:rsid w:val="002F74BF"/>
    <w:rsid w:val="002F76FF"/>
    <w:rsid w:val="003006A8"/>
    <w:rsid w:val="00300E11"/>
    <w:rsid w:val="00301063"/>
    <w:rsid w:val="0030176D"/>
    <w:rsid w:val="003017E3"/>
    <w:rsid w:val="00302D68"/>
    <w:rsid w:val="00303472"/>
    <w:rsid w:val="00304406"/>
    <w:rsid w:val="0030480F"/>
    <w:rsid w:val="003049FB"/>
    <w:rsid w:val="00305CBF"/>
    <w:rsid w:val="00306CBC"/>
    <w:rsid w:val="003070D9"/>
    <w:rsid w:val="0031036C"/>
    <w:rsid w:val="003105DA"/>
    <w:rsid w:val="00310D8E"/>
    <w:rsid w:val="00311224"/>
    <w:rsid w:val="0031166C"/>
    <w:rsid w:val="003117A4"/>
    <w:rsid w:val="00312067"/>
    <w:rsid w:val="00312494"/>
    <w:rsid w:val="0031305D"/>
    <w:rsid w:val="003150A3"/>
    <w:rsid w:val="00315B12"/>
    <w:rsid w:val="00320936"/>
    <w:rsid w:val="00322141"/>
    <w:rsid w:val="00323974"/>
    <w:rsid w:val="00323D9A"/>
    <w:rsid w:val="003252F6"/>
    <w:rsid w:val="00325A32"/>
    <w:rsid w:val="00326FF4"/>
    <w:rsid w:val="003276BF"/>
    <w:rsid w:val="0032787D"/>
    <w:rsid w:val="0033149E"/>
    <w:rsid w:val="003317AB"/>
    <w:rsid w:val="00331E79"/>
    <w:rsid w:val="00334590"/>
    <w:rsid w:val="0033632A"/>
    <w:rsid w:val="00336BBE"/>
    <w:rsid w:val="00336F6E"/>
    <w:rsid w:val="00340F6B"/>
    <w:rsid w:val="0034124A"/>
    <w:rsid w:val="00341604"/>
    <w:rsid w:val="00342581"/>
    <w:rsid w:val="00342B29"/>
    <w:rsid w:val="00343452"/>
    <w:rsid w:val="00343504"/>
    <w:rsid w:val="00343848"/>
    <w:rsid w:val="00343A1A"/>
    <w:rsid w:val="003444B9"/>
    <w:rsid w:val="00347AED"/>
    <w:rsid w:val="00350EEC"/>
    <w:rsid w:val="0035170C"/>
    <w:rsid w:val="003517FF"/>
    <w:rsid w:val="00351C5C"/>
    <w:rsid w:val="003527C9"/>
    <w:rsid w:val="00352C59"/>
    <w:rsid w:val="00352FD7"/>
    <w:rsid w:val="0035329D"/>
    <w:rsid w:val="00354339"/>
    <w:rsid w:val="0035526B"/>
    <w:rsid w:val="00355AAC"/>
    <w:rsid w:val="00356182"/>
    <w:rsid w:val="003561B5"/>
    <w:rsid w:val="003611ED"/>
    <w:rsid w:val="00361387"/>
    <w:rsid w:val="003648B8"/>
    <w:rsid w:val="00365BD2"/>
    <w:rsid w:val="00365D00"/>
    <w:rsid w:val="00365E8C"/>
    <w:rsid w:val="00365F49"/>
    <w:rsid w:val="00366927"/>
    <w:rsid w:val="00367862"/>
    <w:rsid w:val="003708FD"/>
    <w:rsid w:val="00370904"/>
    <w:rsid w:val="003709E8"/>
    <w:rsid w:val="00370A55"/>
    <w:rsid w:val="003736DC"/>
    <w:rsid w:val="003758D1"/>
    <w:rsid w:val="003759B2"/>
    <w:rsid w:val="00376B22"/>
    <w:rsid w:val="00376E3A"/>
    <w:rsid w:val="003802C0"/>
    <w:rsid w:val="0038113B"/>
    <w:rsid w:val="00382322"/>
    <w:rsid w:val="00382919"/>
    <w:rsid w:val="00386401"/>
    <w:rsid w:val="0039139A"/>
    <w:rsid w:val="003924CC"/>
    <w:rsid w:val="00393CC7"/>
    <w:rsid w:val="00393F4A"/>
    <w:rsid w:val="003956CA"/>
    <w:rsid w:val="00396473"/>
    <w:rsid w:val="00396A25"/>
    <w:rsid w:val="003A00A8"/>
    <w:rsid w:val="003A037D"/>
    <w:rsid w:val="003A0582"/>
    <w:rsid w:val="003A107C"/>
    <w:rsid w:val="003A1D28"/>
    <w:rsid w:val="003A3212"/>
    <w:rsid w:val="003A3611"/>
    <w:rsid w:val="003A407E"/>
    <w:rsid w:val="003A4234"/>
    <w:rsid w:val="003A4580"/>
    <w:rsid w:val="003A57FC"/>
    <w:rsid w:val="003A5F74"/>
    <w:rsid w:val="003A6AEB"/>
    <w:rsid w:val="003A6D85"/>
    <w:rsid w:val="003A7103"/>
    <w:rsid w:val="003A71C7"/>
    <w:rsid w:val="003A7400"/>
    <w:rsid w:val="003B166B"/>
    <w:rsid w:val="003B18A6"/>
    <w:rsid w:val="003B1D7B"/>
    <w:rsid w:val="003B3604"/>
    <w:rsid w:val="003B4191"/>
    <w:rsid w:val="003B4C77"/>
    <w:rsid w:val="003B6468"/>
    <w:rsid w:val="003B6854"/>
    <w:rsid w:val="003B6C42"/>
    <w:rsid w:val="003B7CDA"/>
    <w:rsid w:val="003B7FCB"/>
    <w:rsid w:val="003C02A2"/>
    <w:rsid w:val="003C0B4A"/>
    <w:rsid w:val="003C1D37"/>
    <w:rsid w:val="003C29FD"/>
    <w:rsid w:val="003C4C88"/>
    <w:rsid w:val="003C4CD8"/>
    <w:rsid w:val="003C5BFE"/>
    <w:rsid w:val="003C6B3A"/>
    <w:rsid w:val="003C7A56"/>
    <w:rsid w:val="003D016A"/>
    <w:rsid w:val="003D0DAA"/>
    <w:rsid w:val="003D1764"/>
    <w:rsid w:val="003D4365"/>
    <w:rsid w:val="003D43DB"/>
    <w:rsid w:val="003D57CB"/>
    <w:rsid w:val="003D5C7B"/>
    <w:rsid w:val="003D6A3A"/>
    <w:rsid w:val="003D6E32"/>
    <w:rsid w:val="003D6E77"/>
    <w:rsid w:val="003E0BD7"/>
    <w:rsid w:val="003E0D80"/>
    <w:rsid w:val="003E20CE"/>
    <w:rsid w:val="003E34ED"/>
    <w:rsid w:val="003E3EFC"/>
    <w:rsid w:val="003E4BC7"/>
    <w:rsid w:val="003E5488"/>
    <w:rsid w:val="003E5F86"/>
    <w:rsid w:val="003E6B4D"/>
    <w:rsid w:val="003E6C5B"/>
    <w:rsid w:val="003E783A"/>
    <w:rsid w:val="003F11D0"/>
    <w:rsid w:val="003F3A15"/>
    <w:rsid w:val="003F436F"/>
    <w:rsid w:val="003F533E"/>
    <w:rsid w:val="003F65F2"/>
    <w:rsid w:val="003F7C21"/>
    <w:rsid w:val="0040159D"/>
    <w:rsid w:val="004015BA"/>
    <w:rsid w:val="00403FBA"/>
    <w:rsid w:val="004071E5"/>
    <w:rsid w:val="00407B46"/>
    <w:rsid w:val="00407C30"/>
    <w:rsid w:val="00410F90"/>
    <w:rsid w:val="00411904"/>
    <w:rsid w:val="00411D8B"/>
    <w:rsid w:val="00412428"/>
    <w:rsid w:val="00413736"/>
    <w:rsid w:val="004141C8"/>
    <w:rsid w:val="00414E1E"/>
    <w:rsid w:val="00414FE3"/>
    <w:rsid w:val="004158DD"/>
    <w:rsid w:val="004171F6"/>
    <w:rsid w:val="00417BA4"/>
    <w:rsid w:val="00417C4B"/>
    <w:rsid w:val="004207C5"/>
    <w:rsid w:val="00420921"/>
    <w:rsid w:val="00421D00"/>
    <w:rsid w:val="0042290D"/>
    <w:rsid w:val="00423D4B"/>
    <w:rsid w:val="0042516F"/>
    <w:rsid w:val="00425CF5"/>
    <w:rsid w:val="00426537"/>
    <w:rsid w:val="004272CA"/>
    <w:rsid w:val="004278D3"/>
    <w:rsid w:val="00427AA5"/>
    <w:rsid w:val="00427E8F"/>
    <w:rsid w:val="00431DEF"/>
    <w:rsid w:val="004323CA"/>
    <w:rsid w:val="00432F77"/>
    <w:rsid w:val="004331F4"/>
    <w:rsid w:val="004338C4"/>
    <w:rsid w:val="0043396B"/>
    <w:rsid w:val="00433D04"/>
    <w:rsid w:val="00433F01"/>
    <w:rsid w:val="00433FF1"/>
    <w:rsid w:val="0043427D"/>
    <w:rsid w:val="00435637"/>
    <w:rsid w:val="00435A38"/>
    <w:rsid w:val="00436316"/>
    <w:rsid w:val="0044047C"/>
    <w:rsid w:val="00440A06"/>
    <w:rsid w:val="00443DA9"/>
    <w:rsid w:val="0044401E"/>
    <w:rsid w:val="00444D1E"/>
    <w:rsid w:val="0044543D"/>
    <w:rsid w:val="00446E7B"/>
    <w:rsid w:val="00446F98"/>
    <w:rsid w:val="00447733"/>
    <w:rsid w:val="00450124"/>
    <w:rsid w:val="00451696"/>
    <w:rsid w:val="00451C87"/>
    <w:rsid w:val="0045225A"/>
    <w:rsid w:val="00452312"/>
    <w:rsid w:val="00452673"/>
    <w:rsid w:val="00452718"/>
    <w:rsid w:val="00453380"/>
    <w:rsid w:val="004537D6"/>
    <w:rsid w:val="0045438F"/>
    <w:rsid w:val="00454706"/>
    <w:rsid w:val="00454A50"/>
    <w:rsid w:val="004553CC"/>
    <w:rsid w:val="004559D2"/>
    <w:rsid w:val="00456C57"/>
    <w:rsid w:val="0045713C"/>
    <w:rsid w:val="004605D8"/>
    <w:rsid w:val="00461B31"/>
    <w:rsid w:val="00461D43"/>
    <w:rsid w:val="0046368D"/>
    <w:rsid w:val="00463767"/>
    <w:rsid w:val="00464125"/>
    <w:rsid w:val="00464A3E"/>
    <w:rsid w:val="004656DE"/>
    <w:rsid w:val="00465EA6"/>
    <w:rsid w:val="00466BFB"/>
    <w:rsid w:val="00466C05"/>
    <w:rsid w:val="00466C36"/>
    <w:rsid w:val="00467805"/>
    <w:rsid w:val="0046BB04"/>
    <w:rsid w:val="004701C1"/>
    <w:rsid w:val="00471068"/>
    <w:rsid w:val="004715A2"/>
    <w:rsid w:val="0047229F"/>
    <w:rsid w:val="00472F3A"/>
    <w:rsid w:val="00473890"/>
    <w:rsid w:val="00473E0A"/>
    <w:rsid w:val="004745C6"/>
    <w:rsid w:val="0047596A"/>
    <w:rsid w:val="00475CDC"/>
    <w:rsid w:val="00476E97"/>
    <w:rsid w:val="00476EE1"/>
    <w:rsid w:val="004770E3"/>
    <w:rsid w:val="00481845"/>
    <w:rsid w:val="00481B10"/>
    <w:rsid w:val="00481E53"/>
    <w:rsid w:val="0048348E"/>
    <w:rsid w:val="0048407D"/>
    <w:rsid w:val="00484681"/>
    <w:rsid w:val="00486402"/>
    <w:rsid w:val="00486CBA"/>
    <w:rsid w:val="00487A1E"/>
    <w:rsid w:val="00487E26"/>
    <w:rsid w:val="0049012A"/>
    <w:rsid w:val="0049015F"/>
    <w:rsid w:val="00491257"/>
    <w:rsid w:val="0049149E"/>
    <w:rsid w:val="00491ECE"/>
    <w:rsid w:val="00492F69"/>
    <w:rsid w:val="0049316E"/>
    <w:rsid w:val="004934E6"/>
    <w:rsid w:val="00493803"/>
    <w:rsid w:val="0049564E"/>
    <w:rsid w:val="004959D6"/>
    <w:rsid w:val="004972E2"/>
    <w:rsid w:val="00497660"/>
    <w:rsid w:val="004A1A49"/>
    <w:rsid w:val="004A21DE"/>
    <w:rsid w:val="004A27BE"/>
    <w:rsid w:val="004A2BEB"/>
    <w:rsid w:val="004A2C26"/>
    <w:rsid w:val="004A4030"/>
    <w:rsid w:val="004A46EA"/>
    <w:rsid w:val="004A494F"/>
    <w:rsid w:val="004A4B54"/>
    <w:rsid w:val="004A4B71"/>
    <w:rsid w:val="004A63BB"/>
    <w:rsid w:val="004B04E1"/>
    <w:rsid w:val="004B0CA7"/>
    <w:rsid w:val="004B1270"/>
    <w:rsid w:val="004B5548"/>
    <w:rsid w:val="004B5EB2"/>
    <w:rsid w:val="004B67D9"/>
    <w:rsid w:val="004B6BAB"/>
    <w:rsid w:val="004B76DA"/>
    <w:rsid w:val="004C11B1"/>
    <w:rsid w:val="004C14BB"/>
    <w:rsid w:val="004C22A6"/>
    <w:rsid w:val="004C2F1A"/>
    <w:rsid w:val="004C3AD0"/>
    <w:rsid w:val="004C3B3A"/>
    <w:rsid w:val="004C3F05"/>
    <w:rsid w:val="004C4C79"/>
    <w:rsid w:val="004C51D9"/>
    <w:rsid w:val="004C5544"/>
    <w:rsid w:val="004C59ED"/>
    <w:rsid w:val="004C5A84"/>
    <w:rsid w:val="004C6F2C"/>
    <w:rsid w:val="004D09C4"/>
    <w:rsid w:val="004D114D"/>
    <w:rsid w:val="004D1490"/>
    <w:rsid w:val="004D381D"/>
    <w:rsid w:val="004D423D"/>
    <w:rsid w:val="004D6790"/>
    <w:rsid w:val="004D7309"/>
    <w:rsid w:val="004E0F95"/>
    <w:rsid w:val="004E1B7F"/>
    <w:rsid w:val="004E249B"/>
    <w:rsid w:val="004E26A6"/>
    <w:rsid w:val="004E30D5"/>
    <w:rsid w:val="004E31FF"/>
    <w:rsid w:val="004E3B70"/>
    <w:rsid w:val="004E4360"/>
    <w:rsid w:val="004E4C29"/>
    <w:rsid w:val="004E523E"/>
    <w:rsid w:val="004E57FD"/>
    <w:rsid w:val="004E5FE6"/>
    <w:rsid w:val="004E78B8"/>
    <w:rsid w:val="004F01C1"/>
    <w:rsid w:val="004F062B"/>
    <w:rsid w:val="004F1344"/>
    <w:rsid w:val="004F1421"/>
    <w:rsid w:val="004F1584"/>
    <w:rsid w:val="004F1648"/>
    <w:rsid w:val="004F1CF5"/>
    <w:rsid w:val="004F2B13"/>
    <w:rsid w:val="004F3A4D"/>
    <w:rsid w:val="004F57DE"/>
    <w:rsid w:val="004F5913"/>
    <w:rsid w:val="004F59BB"/>
    <w:rsid w:val="004F6208"/>
    <w:rsid w:val="004F7B89"/>
    <w:rsid w:val="004F7D4A"/>
    <w:rsid w:val="00500099"/>
    <w:rsid w:val="00500F45"/>
    <w:rsid w:val="00501487"/>
    <w:rsid w:val="005014A8"/>
    <w:rsid w:val="00501D23"/>
    <w:rsid w:val="0050291D"/>
    <w:rsid w:val="00503041"/>
    <w:rsid w:val="00503CB3"/>
    <w:rsid w:val="00504849"/>
    <w:rsid w:val="005055AE"/>
    <w:rsid w:val="005062AA"/>
    <w:rsid w:val="00506965"/>
    <w:rsid w:val="00506DF9"/>
    <w:rsid w:val="0050758D"/>
    <w:rsid w:val="0051034F"/>
    <w:rsid w:val="00511811"/>
    <w:rsid w:val="00511866"/>
    <w:rsid w:val="005126DA"/>
    <w:rsid w:val="00514CD6"/>
    <w:rsid w:val="00520375"/>
    <w:rsid w:val="00522ED7"/>
    <w:rsid w:val="00522F8C"/>
    <w:rsid w:val="00523458"/>
    <w:rsid w:val="00523532"/>
    <w:rsid w:val="00524A86"/>
    <w:rsid w:val="005270B7"/>
    <w:rsid w:val="0052783C"/>
    <w:rsid w:val="005278E9"/>
    <w:rsid w:val="00527A53"/>
    <w:rsid w:val="0053027F"/>
    <w:rsid w:val="00531194"/>
    <w:rsid w:val="00531486"/>
    <w:rsid w:val="005346AA"/>
    <w:rsid w:val="005366B7"/>
    <w:rsid w:val="005403C1"/>
    <w:rsid w:val="0054092F"/>
    <w:rsid w:val="005429A7"/>
    <w:rsid w:val="00543CB6"/>
    <w:rsid w:val="00544958"/>
    <w:rsid w:val="0054598D"/>
    <w:rsid w:val="00545F08"/>
    <w:rsid w:val="00546071"/>
    <w:rsid w:val="00546E11"/>
    <w:rsid w:val="00547051"/>
    <w:rsid w:val="00547825"/>
    <w:rsid w:val="00551224"/>
    <w:rsid w:val="00552AA2"/>
    <w:rsid w:val="005541CC"/>
    <w:rsid w:val="00554525"/>
    <w:rsid w:val="00555559"/>
    <w:rsid w:val="005560B6"/>
    <w:rsid w:val="005577AF"/>
    <w:rsid w:val="005606FC"/>
    <w:rsid w:val="00560CFA"/>
    <w:rsid w:val="00561ED8"/>
    <w:rsid w:val="00564025"/>
    <w:rsid w:val="00564B9C"/>
    <w:rsid w:val="0056572B"/>
    <w:rsid w:val="005658BA"/>
    <w:rsid w:val="0056618C"/>
    <w:rsid w:val="00566308"/>
    <w:rsid w:val="00566F70"/>
    <w:rsid w:val="005711D9"/>
    <w:rsid w:val="0057140C"/>
    <w:rsid w:val="00571B8B"/>
    <w:rsid w:val="00571E04"/>
    <w:rsid w:val="00572C3B"/>
    <w:rsid w:val="00573296"/>
    <w:rsid w:val="00573A07"/>
    <w:rsid w:val="00574976"/>
    <w:rsid w:val="0057555F"/>
    <w:rsid w:val="00575660"/>
    <w:rsid w:val="00575BB7"/>
    <w:rsid w:val="00575C16"/>
    <w:rsid w:val="005765D4"/>
    <w:rsid w:val="0057686C"/>
    <w:rsid w:val="00577478"/>
    <w:rsid w:val="0058257F"/>
    <w:rsid w:val="00582ACF"/>
    <w:rsid w:val="00582D0C"/>
    <w:rsid w:val="00582EE2"/>
    <w:rsid w:val="0058372D"/>
    <w:rsid w:val="00584A9D"/>
    <w:rsid w:val="00585C83"/>
    <w:rsid w:val="0058654F"/>
    <w:rsid w:val="00586619"/>
    <w:rsid w:val="00586A38"/>
    <w:rsid w:val="00587097"/>
    <w:rsid w:val="00587C7C"/>
    <w:rsid w:val="005903BE"/>
    <w:rsid w:val="00590507"/>
    <w:rsid w:val="0059073B"/>
    <w:rsid w:val="00591E18"/>
    <w:rsid w:val="0059446F"/>
    <w:rsid w:val="0059459E"/>
    <w:rsid w:val="00595DB0"/>
    <w:rsid w:val="00597E5A"/>
    <w:rsid w:val="005A2428"/>
    <w:rsid w:val="005A33B0"/>
    <w:rsid w:val="005A6736"/>
    <w:rsid w:val="005A7336"/>
    <w:rsid w:val="005B0ADC"/>
    <w:rsid w:val="005B11A4"/>
    <w:rsid w:val="005B1518"/>
    <w:rsid w:val="005B2604"/>
    <w:rsid w:val="005B3DFE"/>
    <w:rsid w:val="005B3FA1"/>
    <w:rsid w:val="005B5227"/>
    <w:rsid w:val="005B56D4"/>
    <w:rsid w:val="005B5A80"/>
    <w:rsid w:val="005B6929"/>
    <w:rsid w:val="005B693A"/>
    <w:rsid w:val="005B7A16"/>
    <w:rsid w:val="005B7B75"/>
    <w:rsid w:val="005C0759"/>
    <w:rsid w:val="005C0913"/>
    <w:rsid w:val="005C0E07"/>
    <w:rsid w:val="005C1739"/>
    <w:rsid w:val="005C1D1F"/>
    <w:rsid w:val="005C3C2F"/>
    <w:rsid w:val="005C4AA2"/>
    <w:rsid w:val="005C4D8D"/>
    <w:rsid w:val="005C6DB8"/>
    <w:rsid w:val="005C73DE"/>
    <w:rsid w:val="005D110C"/>
    <w:rsid w:val="005D163F"/>
    <w:rsid w:val="005D1C96"/>
    <w:rsid w:val="005D1E94"/>
    <w:rsid w:val="005D21FB"/>
    <w:rsid w:val="005D2D93"/>
    <w:rsid w:val="005D329B"/>
    <w:rsid w:val="005D5C46"/>
    <w:rsid w:val="005D5CE2"/>
    <w:rsid w:val="005D5DD6"/>
    <w:rsid w:val="005D6CED"/>
    <w:rsid w:val="005D7B77"/>
    <w:rsid w:val="005E013C"/>
    <w:rsid w:val="005E0C9E"/>
    <w:rsid w:val="005E1490"/>
    <w:rsid w:val="005E165D"/>
    <w:rsid w:val="005E19CB"/>
    <w:rsid w:val="005E29D5"/>
    <w:rsid w:val="005E3835"/>
    <w:rsid w:val="005E47DD"/>
    <w:rsid w:val="005E486D"/>
    <w:rsid w:val="005E6994"/>
    <w:rsid w:val="005E72FD"/>
    <w:rsid w:val="005E7832"/>
    <w:rsid w:val="005F03A5"/>
    <w:rsid w:val="005F32D3"/>
    <w:rsid w:val="005F5120"/>
    <w:rsid w:val="005F7109"/>
    <w:rsid w:val="00600F5D"/>
    <w:rsid w:val="00600FAE"/>
    <w:rsid w:val="00602A51"/>
    <w:rsid w:val="00603578"/>
    <w:rsid w:val="00604D13"/>
    <w:rsid w:val="00606974"/>
    <w:rsid w:val="0060703E"/>
    <w:rsid w:val="00607995"/>
    <w:rsid w:val="0061133C"/>
    <w:rsid w:val="006121FE"/>
    <w:rsid w:val="00612982"/>
    <w:rsid w:val="00612A53"/>
    <w:rsid w:val="00612B30"/>
    <w:rsid w:val="006132B5"/>
    <w:rsid w:val="006139A0"/>
    <w:rsid w:val="00614EFA"/>
    <w:rsid w:val="006162EA"/>
    <w:rsid w:val="006173E6"/>
    <w:rsid w:val="00617415"/>
    <w:rsid w:val="006176FC"/>
    <w:rsid w:val="00621D53"/>
    <w:rsid w:val="0062262E"/>
    <w:rsid w:val="00623C86"/>
    <w:rsid w:val="006243DB"/>
    <w:rsid w:val="00624ECC"/>
    <w:rsid w:val="006253D4"/>
    <w:rsid w:val="00625BDA"/>
    <w:rsid w:val="0062689A"/>
    <w:rsid w:val="00626CF3"/>
    <w:rsid w:val="006270FE"/>
    <w:rsid w:val="006274F3"/>
    <w:rsid w:val="00627A66"/>
    <w:rsid w:val="006302E1"/>
    <w:rsid w:val="00630698"/>
    <w:rsid w:val="006319ED"/>
    <w:rsid w:val="00631E45"/>
    <w:rsid w:val="00631E6D"/>
    <w:rsid w:val="006324C2"/>
    <w:rsid w:val="006326F6"/>
    <w:rsid w:val="00633505"/>
    <w:rsid w:val="0063385B"/>
    <w:rsid w:val="00633F86"/>
    <w:rsid w:val="00634BDD"/>
    <w:rsid w:val="006353F3"/>
    <w:rsid w:val="00636451"/>
    <w:rsid w:val="00636EB0"/>
    <w:rsid w:val="006373FF"/>
    <w:rsid w:val="00637D56"/>
    <w:rsid w:val="00640463"/>
    <w:rsid w:val="00641B4E"/>
    <w:rsid w:val="00641EF9"/>
    <w:rsid w:val="00643622"/>
    <w:rsid w:val="00645B24"/>
    <w:rsid w:val="00646E0A"/>
    <w:rsid w:val="00646F1C"/>
    <w:rsid w:val="0064749E"/>
    <w:rsid w:val="00647F17"/>
    <w:rsid w:val="0065011A"/>
    <w:rsid w:val="00650213"/>
    <w:rsid w:val="00650B40"/>
    <w:rsid w:val="00653452"/>
    <w:rsid w:val="00653DEA"/>
    <w:rsid w:val="00654751"/>
    <w:rsid w:val="00655AE1"/>
    <w:rsid w:val="00655EA0"/>
    <w:rsid w:val="00656A0D"/>
    <w:rsid w:val="00656C49"/>
    <w:rsid w:val="0066172B"/>
    <w:rsid w:val="006620E8"/>
    <w:rsid w:val="0066283E"/>
    <w:rsid w:val="00663046"/>
    <w:rsid w:val="00663E7C"/>
    <w:rsid w:val="006664C1"/>
    <w:rsid w:val="00667625"/>
    <w:rsid w:val="0066777D"/>
    <w:rsid w:val="0067216B"/>
    <w:rsid w:val="00672872"/>
    <w:rsid w:val="0067339C"/>
    <w:rsid w:val="00673DD4"/>
    <w:rsid w:val="00680616"/>
    <w:rsid w:val="0068084F"/>
    <w:rsid w:val="00680B52"/>
    <w:rsid w:val="00680F83"/>
    <w:rsid w:val="00682420"/>
    <w:rsid w:val="00682A9C"/>
    <w:rsid w:val="006835AF"/>
    <w:rsid w:val="00684CF9"/>
    <w:rsid w:val="006851A0"/>
    <w:rsid w:val="00685B97"/>
    <w:rsid w:val="00685C86"/>
    <w:rsid w:val="00685DC5"/>
    <w:rsid w:val="00687CDA"/>
    <w:rsid w:val="00687EAA"/>
    <w:rsid w:val="006905D9"/>
    <w:rsid w:val="00690D28"/>
    <w:rsid w:val="00692420"/>
    <w:rsid w:val="00692945"/>
    <w:rsid w:val="006939E3"/>
    <w:rsid w:val="00694825"/>
    <w:rsid w:val="006948FB"/>
    <w:rsid w:val="006966C3"/>
    <w:rsid w:val="0069691A"/>
    <w:rsid w:val="0069745C"/>
    <w:rsid w:val="00697B15"/>
    <w:rsid w:val="006A03D3"/>
    <w:rsid w:val="006A1AA3"/>
    <w:rsid w:val="006A22D5"/>
    <w:rsid w:val="006A378A"/>
    <w:rsid w:val="006A55C4"/>
    <w:rsid w:val="006A5D54"/>
    <w:rsid w:val="006A6B01"/>
    <w:rsid w:val="006A6E86"/>
    <w:rsid w:val="006A728E"/>
    <w:rsid w:val="006A7A20"/>
    <w:rsid w:val="006B0A48"/>
    <w:rsid w:val="006B3BA9"/>
    <w:rsid w:val="006B4C24"/>
    <w:rsid w:val="006C0BA5"/>
    <w:rsid w:val="006C1592"/>
    <w:rsid w:val="006C29D8"/>
    <w:rsid w:val="006C37EA"/>
    <w:rsid w:val="006C5BC8"/>
    <w:rsid w:val="006C5D9E"/>
    <w:rsid w:val="006C6548"/>
    <w:rsid w:val="006D0396"/>
    <w:rsid w:val="006D366B"/>
    <w:rsid w:val="006D4865"/>
    <w:rsid w:val="006D566F"/>
    <w:rsid w:val="006D5A91"/>
    <w:rsid w:val="006D5B11"/>
    <w:rsid w:val="006D5BDD"/>
    <w:rsid w:val="006D5BF1"/>
    <w:rsid w:val="006D7BCD"/>
    <w:rsid w:val="006E0772"/>
    <w:rsid w:val="006E0D55"/>
    <w:rsid w:val="006E163A"/>
    <w:rsid w:val="006E2099"/>
    <w:rsid w:val="006E27F1"/>
    <w:rsid w:val="006E2897"/>
    <w:rsid w:val="006E2F04"/>
    <w:rsid w:val="006E3109"/>
    <w:rsid w:val="006E44A8"/>
    <w:rsid w:val="006E5002"/>
    <w:rsid w:val="006E74A0"/>
    <w:rsid w:val="006F0E73"/>
    <w:rsid w:val="006F1180"/>
    <w:rsid w:val="006F2192"/>
    <w:rsid w:val="006F2C54"/>
    <w:rsid w:val="006F36B5"/>
    <w:rsid w:val="006F3EAE"/>
    <w:rsid w:val="006F4C65"/>
    <w:rsid w:val="006F6946"/>
    <w:rsid w:val="006F695C"/>
    <w:rsid w:val="006F7A06"/>
    <w:rsid w:val="007004C1"/>
    <w:rsid w:val="00701166"/>
    <w:rsid w:val="00701232"/>
    <w:rsid w:val="00701FD0"/>
    <w:rsid w:val="0070373D"/>
    <w:rsid w:val="00703E96"/>
    <w:rsid w:val="00704659"/>
    <w:rsid w:val="00705A9F"/>
    <w:rsid w:val="0070622A"/>
    <w:rsid w:val="00706FAC"/>
    <w:rsid w:val="007078E5"/>
    <w:rsid w:val="00707B77"/>
    <w:rsid w:val="00710B05"/>
    <w:rsid w:val="00710B18"/>
    <w:rsid w:val="00710F70"/>
    <w:rsid w:val="00712A24"/>
    <w:rsid w:val="00712B2B"/>
    <w:rsid w:val="00713451"/>
    <w:rsid w:val="007139DB"/>
    <w:rsid w:val="00713E55"/>
    <w:rsid w:val="00714130"/>
    <w:rsid w:val="00715126"/>
    <w:rsid w:val="007151FC"/>
    <w:rsid w:val="00716563"/>
    <w:rsid w:val="0071799E"/>
    <w:rsid w:val="00720AFB"/>
    <w:rsid w:val="007210B0"/>
    <w:rsid w:val="00722C80"/>
    <w:rsid w:val="00722FB9"/>
    <w:rsid w:val="0072489B"/>
    <w:rsid w:val="0072532C"/>
    <w:rsid w:val="00726CAB"/>
    <w:rsid w:val="00730060"/>
    <w:rsid w:val="00730834"/>
    <w:rsid w:val="007314A2"/>
    <w:rsid w:val="00731D36"/>
    <w:rsid w:val="007321ED"/>
    <w:rsid w:val="0073224D"/>
    <w:rsid w:val="007322AD"/>
    <w:rsid w:val="00732D1B"/>
    <w:rsid w:val="00733C7C"/>
    <w:rsid w:val="00734533"/>
    <w:rsid w:val="00734A15"/>
    <w:rsid w:val="0073623E"/>
    <w:rsid w:val="0073631A"/>
    <w:rsid w:val="00736844"/>
    <w:rsid w:val="00737363"/>
    <w:rsid w:val="0073763E"/>
    <w:rsid w:val="0073780E"/>
    <w:rsid w:val="00740277"/>
    <w:rsid w:val="00740EDA"/>
    <w:rsid w:val="007448BF"/>
    <w:rsid w:val="00745B20"/>
    <w:rsid w:val="0075048E"/>
    <w:rsid w:val="007515DD"/>
    <w:rsid w:val="007519CB"/>
    <w:rsid w:val="007528F0"/>
    <w:rsid w:val="00752E1F"/>
    <w:rsid w:val="0075318E"/>
    <w:rsid w:val="007538DD"/>
    <w:rsid w:val="00754731"/>
    <w:rsid w:val="0075527D"/>
    <w:rsid w:val="00757125"/>
    <w:rsid w:val="007610FB"/>
    <w:rsid w:val="0076151B"/>
    <w:rsid w:val="007615EC"/>
    <w:rsid w:val="00762207"/>
    <w:rsid w:val="00765C9B"/>
    <w:rsid w:val="00767EC1"/>
    <w:rsid w:val="007702F9"/>
    <w:rsid w:val="00770374"/>
    <w:rsid w:val="00770A33"/>
    <w:rsid w:val="00770D2C"/>
    <w:rsid w:val="0077122C"/>
    <w:rsid w:val="00771810"/>
    <w:rsid w:val="00772A44"/>
    <w:rsid w:val="00773069"/>
    <w:rsid w:val="00773DE1"/>
    <w:rsid w:val="00774F23"/>
    <w:rsid w:val="0077549C"/>
    <w:rsid w:val="0077760A"/>
    <w:rsid w:val="00781BD4"/>
    <w:rsid w:val="007824E2"/>
    <w:rsid w:val="00783544"/>
    <w:rsid w:val="00783F24"/>
    <w:rsid w:val="00784B97"/>
    <w:rsid w:val="0078637D"/>
    <w:rsid w:val="00787649"/>
    <w:rsid w:val="007904E4"/>
    <w:rsid w:val="007907C1"/>
    <w:rsid w:val="00790810"/>
    <w:rsid w:val="00791828"/>
    <w:rsid w:val="00791A08"/>
    <w:rsid w:val="007920A1"/>
    <w:rsid w:val="007929CC"/>
    <w:rsid w:val="007936C6"/>
    <w:rsid w:val="00793FBC"/>
    <w:rsid w:val="00794167"/>
    <w:rsid w:val="00795045"/>
    <w:rsid w:val="0079554D"/>
    <w:rsid w:val="00796B99"/>
    <w:rsid w:val="0079722E"/>
    <w:rsid w:val="00797B80"/>
    <w:rsid w:val="007A165E"/>
    <w:rsid w:val="007A440C"/>
    <w:rsid w:val="007A44DF"/>
    <w:rsid w:val="007A484D"/>
    <w:rsid w:val="007A57EA"/>
    <w:rsid w:val="007A5CC2"/>
    <w:rsid w:val="007A682A"/>
    <w:rsid w:val="007B07C9"/>
    <w:rsid w:val="007B0EB3"/>
    <w:rsid w:val="007B3377"/>
    <w:rsid w:val="007B363C"/>
    <w:rsid w:val="007B4FDE"/>
    <w:rsid w:val="007B577F"/>
    <w:rsid w:val="007B6514"/>
    <w:rsid w:val="007B6CB5"/>
    <w:rsid w:val="007B6EB3"/>
    <w:rsid w:val="007B74A2"/>
    <w:rsid w:val="007B7AF4"/>
    <w:rsid w:val="007C0257"/>
    <w:rsid w:val="007C091C"/>
    <w:rsid w:val="007C1718"/>
    <w:rsid w:val="007C1884"/>
    <w:rsid w:val="007C1BC5"/>
    <w:rsid w:val="007C1E4E"/>
    <w:rsid w:val="007C2577"/>
    <w:rsid w:val="007C3BEB"/>
    <w:rsid w:val="007C4C29"/>
    <w:rsid w:val="007C60AE"/>
    <w:rsid w:val="007C7333"/>
    <w:rsid w:val="007C79BB"/>
    <w:rsid w:val="007D025D"/>
    <w:rsid w:val="007D3B81"/>
    <w:rsid w:val="007D422C"/>
    <w:rsid w:val="007D5538"/>
    <w:rsid w:val="007D64F0"/>
    <w:rsid w:val="007D6A8F"/>
    <w:rsid w:val="007D7C84"/>
    <w:rsid w:val="007E0647"/>
    <w:rsid w:val="007E07B4"/>
    <w:rsid w:val="007E0C40"/>
    <w:rsid w:val="007E2164"/>
    <w:rsid w:val="007E3255"/>
    <w:rsid w:val="007E5AA3"/>
    <w:rsid w:val="007E6883"/>
    <w:rsid w:val="007F00C4"/>
    <w:rsid w:val="007F0CEC"/>
    <w:rsid w:val="007F0D83"/>
    <w:rsid w:val="007F192B"/>
    <w:rsid w:val="007F1B10"/>
    <w:rsid w:val="007F1D08"/>
    <w:rsid w:val="007F334B"/>
    <w:rsid w:val="007F37E0"/>
    <w:rsid w:val="007F4D07"/>
    <w:rsid w:val="007F69FD"/>
    <w:rsid w:val="007F7950"/>
    <w:rsid w:val="0080237D"/>
    <w:rsid w:val="00803D9F"/>
    <w:rsid w:val="00803DC8"/>
    <w:rsid w:val="00804608"/>
    <w:rsid w:val="00805468"/>
    <w:rsid w:val="008054A1"/>
    <w:rsid w:val="00806C49"/>
    <w:rsid w:val="008074CE"/>
    <w:rsid w:val="00811634"/>
    <w:rsid w:val="00811DB8"/>
    <w:rsid w:val="00812049"/>
    <w:rsid w:val="00812E7E"/>
    <w:rsid w:val="0081457A"/>
    <w:rsid w:val="00814C00"/>
    <w:rsid w:val="0081561A"/>
    <w:rsid w:val="00816B64"/>
    <w:rsid w:val="00817FE5"/>
    <w:rsid w:val="00820222"/>
    <w:rsid w:val="0082048D"/>
    <w:rsid w:val="00820C92"/>
    <w:rsid w:val="0082107E"/>
    <w:rsid w:val="00821989"/>
    <w:rsid w:val="00822855"/>
    <w:rsid w:val="008247A8"/>
    <w:rsid w:val="00826830"/>
    <w:rsid w:val="008273A2"/>
    <w:rsid w:val="008303DF"/>
    <w:rsid w:val="00831C00"/>
    <w:rsid w:val="008327E9"/>
    <w:rsid w:val="00832C77"/>
    <w:rsid w:val="00833192"/>
    <w:rsid w:val="008343D2"/>
    <w:rsid w:val="00834DB8"/>
    <w:rsid w:val="00836A3C"/>
    <w:rsid w:val="008378E4"/>
    <w:rsid w:val="008403C1"/>
    <w:rsid w:val="0084054E"/>
    <w:rsid w:val="008412F7"/>
    <w:rsid w:val="008419C4"/>
    <w:rsid w:val="00842EFC"/>
    <w:rsid w:val="00843180"/>
    <w:rsid w:val="00844C6E"/>
    <w:rsid w:val="00846835"/>
    <w:rsid w:val="0085169D"/>
    <w:rsid w:val="00851A53"/>
    <w:rsid w:val="00852C9B"/>
    <w:rsid w:val="00852CC6"/>
    <w:rsid w:val="0085339C"/>
    <w:rsid w:val="00853E5B"/>
    <w:rsid w:val="00856247"/>
    <w:rsid w:val="008601F8"/>
    <w:rsid w:val="00860565"/>
    <w:rsid w:val="00860E74"/>
    <w:rsid w:val="00860F34"/>
    <w:rsid w:val="00861D2F"/>
    <w:rsid w:val="0086253A"/>
    <w:rsid w:val="00862F16"/>
    <w:rsid w:val="00862F99"/>
    <w:rsid w:val="00863035"/>
    <w:rsid w:val="0086370B"/>
    <w:rsid w:val="0086570C"/>
    <w:rsid w:val="0086714A"/>
    <w:rsid w:val="00870351"/>
    <w:rsid w:val="00870D63"/>
    <w:rsid w:val="00873876"/>
    <w:rsid w:val="00874BD2"/>
    <w:rsid w:val="008766EE"/>
    <w:rsid w:val="008771A5"/>
    <w:rsid w:val="00877381"/>
    <w:rsid w:val="00880474"/>
    <w:rsid w:val="00880657"/>
    <w:rsid w:val="00880772"/>
    <w:rsid w:val="00880F4C"/>
    <w:rsid w:val="00881893"/>
    <w:rsid w:val="00881ADD"/>
    <w:rsid w:val="00883567"/>
    <w:rsid w:val="00885290"/>
    <w:rsid w:val="00885D3D"/>
    <w:rsid w:val="00886610"/>
    <w:rsid w:val="008920FD"/>
    <w:rsid w:val="008924EB"/>
    <w:rsid w:val="00893630"/>
    <w:rsid w:val="00894E13"/>
    <w:rsid w:val="00895AF0"/>
    <w:rsid w:val="00895CE3"/>
    <w:rsid w:val="008960A5"/>
    <w:rsid w:val="00897CA8"/>
    <w:rsid w:val="008A03B5"/>
    <w:rsid w:val="008A0439"/>
    <w:rsid w:val="008A0476"/>
    <w:rsid w:val="008A134A"/>
    <w:rsid w:val="008A2CC2"/>
    <w:rsid w:val="008A32BC"/>
    <w:rsid w:val="008A3F61"/>
    <w:rsid w:val="008A47BB"/>
    <w:rsid w:val="008A4BF1"/>
    <w:rsid w:val="008A5539"/>
    <w:rsid w:val="008A7214"/>
    <w:rsid w:val="008A7D67"/>
    <w:rsid w:val="008A7DA7"/>
    <w:rsid w:val="008A7F1D"/>
    <w:rsid w:val="008B1098"/>
    <w:rsid w:val="008B2861"/>
    <w:rsid w:val="008B3211"/>
    <w:rsid w:val="008B33E9"/>
    <w:rsid w:val="008B3CA0"/>
    <w:rsid w:val="008B5833"/>
    <w:rsid w:val="008B5FA4"/>
    <w:rsid w:val="008B72D0"/>
    <w:rsid w:val="008B754D"/>
    <w:rsid w:val="008C2A1D"/>
    <w:rsid w:val="008C2F4E"/>
    <w:rsid w:val="008C3A1A"/>
    <w:rsid w:val="008C3C4A"/>
    <w:rsid w:val="008C4C12"/>
    <w:rsid w:val="008C658C"/>
    <w:rsid w:val="008C6713"/>
    <w:rsid w:val="008C6A23"/>
    <w:rsid w:val="008C727B"/>
    <w:rsid w:val="008D00D0"/>
    <w:rsid w:val="008D0890"/>
    <w:rsid w:val="008D09A6"/>
    <w:rsid w:val="008D0DC6"/>
    <w:rsid w:val="008D2F52"/>
    <w:rsid w:val="008D41D5"/>
    <w:rsid w:val="008D466E"/>
    <w:rsid w:val="008D524C"/>
    <w:rsid w:val="008D5B25"/>
    <w:rsid w:val="008D5BDB"/>
    <w:rsid w:val="008D7AD2"/>
    <w:rsid w:val="008E1A8E"/>
    <w:rsid w:val="008E1F3F"/>
    <w:rsid w:val="008E2340"/>
    <w:rsid w:val="008E3FA8"/>
    <w:rsid w:val="008E4258"/>
    <w:rsid w:val="008E4AE7"/>
    <w:rsid w:val="008E4BA7"/>
    <w:rsid w:val="008E6ED6"/>
    <w:rsid w:val="008E7441"/>
    <w:rsid w:val="008F2D16"/>
    <w:rsid w:val="008F3917"/>
    <w:rsid w:val="008F3B68"/>
    <w:rsid w:val="008F4AC6"/>
    <w:rsid w:val="008F7283"/>
    <w:rsid w:val="008F7C72"/>
    <w:rsid w:val="009000B6"/>
    <w:rsid w:val="0090055F"/>
    <w:rsid w:val="00900BDD"/>
    <w:rsid w:val="00902F14"/>
    <w:rsid w:val="0090306D"/>
    <w:rsid w:val="009044EC"/>
    <w:rsid w:val="00906230"/>
    <w:rsid w:val="009068B2"/>
    <w:rsid w:val="0090759F"/>
    <w:rsid w:val="0090792D"/>
    <w:rsid w:val="009079D8"/>
    <w:rsid w:val="00907A43"/>
    <w:rsid w:val="0091108F"/>
    <w:rsid w:val="0091255F"/>
    <w:rsid w:val="00912570"/>
    <w:rsid w:val="00912831"/>
    <w:rsid w:val="00912B6B"/>
    <w:rsid w:val="00913FA1"/>
    <w:rsid w:val="00916972"/>
    <w:rsid w:val="00916C9E"/>
    <w:rsid w:val="00917A27"/>
    <w:rsid w:val="00920550"/>
    <w:rsid w:val="0092123B"/>
    <w:rsid w:val="00922EB1"/>
    <w:rsid w:val="009242A3"/>
    <w:rsid w:val="00924B2D"/>
    <w:rsid w:val="00925596"/>
    <w:rsid w:val="0092578E"/>
    <w:rsid w:val="00926107"/>
    <w:rsid w:val="00926341"/>
    <w:rsid w:val="00926C38"/>
    <w:rsid w:val="00926FD2"/>
    <w:rsid w:val="00927CD6"/>
    <w:rsid w:val="00927F0B"/>
    <w:rsid w:val="00932AE2"/>
    <w:rsid w:val="00934D59"/>
    <w:rsid w:val="00934F62"/>
    <w:rsid w:val="009355BB"/>
    <w:rsid w:val="009360F2"/>
    <w:rsid w:val="009372B6"/>
    <w:rsid w:val="00940217"/>
    <w:rsid w:val="00940343"/>
    <w:rsid w:val="009406AA"/>
    <w:rsid w:val="009407E4"/>
    <w:rsid w:val="00940DD4"/>
    <w:rsid w:val="00941014"/>
    <w:rsid w:val="00941579"/>
    <w:rsid w:val="00941EC1"/>
    <w:rsid w:val="009424AA"/>
    <w:rsid w:val="0094490F"/>
    <w:rsid w:val="00946232"/>
    <w:rsid w:val="009469C5"/>
    <w:rsid w:val="00947836"/>
    <w:rsid w:val="009478BD"/>
    <w:rsid w:val="00947D2B"/>
    <w:rsid w:val="00950BD9"/>
    <w:rsid w:val="00953016"/>
    <w:rsid w:val="0095341F"/>
    <w:rsid w:val="009543D7"/>
    <w:rsid w:val="009548AC"/>
    <w:rsid w:val="009556E0"/>
    <w:rsid w:val="00957781"/>
    <w:rsid w:val="0096054A"/>
    <w:rsid w:val="009611B3"/>
    <w:rsid w:val="00961532"/>
    <w:rsid w:val="00962427"/>
    <w:rsid w:val="00967FCF"/>
    <w:rsid w:val="00970151"/>
    <w:rsid w:val="00970727"/>
    <w:rsid w:val="00970ABE"/>
    <w:rsid w:val="00970DDF"/>
    <w:rsid w:val="00972BD8"/>
    <w:rsid w:val="00973901"/>
    <w:rsid w:val="00974738"/>
    <w:rsid w:val="00974A69"/>
    <w:rsid w:val="0097542F"/>
    <w:rsid w:val="00975784"/>
    <w:rsid w:val="00975C3B"/>
    <w:rsid w:val="00977984"/>
    <w:rsid w:val="00977E38"/>
    <w:rsid w:val="009833D5"/>
    <w:rsid w:val="009841D8"/>
    <w:rsid w:val="009844AE"/>
    <w:rsid w:val="009853D4"/>
    <w:rsid w:val="009864F3"/>
    <w:rsid w:val="00990A69"/>
    <w:rsid w:val="00991AD4"/>
    <w:rsid w:val="00991D72"/>
    <w:rsid w:val="00991EF1"/>
    <w:rsid w:val="00993ED3"/>
    <w:rsid w:val="00996A1C"/>
    <w:rsid w:val="00997081"/>
    <w:rsid w:val="009A010E"/>
    <w:rsid w:val="009A0268"/>
    <w:rsid w:val="009A14A4"/>
    <w:rsid w:val="009A1B42"/>
    <w:rsid w:val="009A1E7B"/>
    <w:rsid w:val="009A2A02"/>
    <w:rsid w:val="009A373E"/>
    <w:rsid w:val="009A421D"/>
    <w:rsid w:val="009A4D87"/>
    <w:rsid w:val="009A545D"/>
    <w:rsid w:val="009A6192"/>
    <w:rsid w:val="009A6435"/>
    <w:rsid w:val="009A69F1"/>
    <w:rsid w:val="009A6AE8"/>
    <w:rsid w:val="009A70AD"/>
    <w:rsid w:val="009A79D2"/>
    <w:rsid w:val="009B0415"/>
    <w:rsid w:val="009B0EB1"/>
    <w:rsid w:val="009B14B6"/>
    <w:rsid w:val="009B187C"/>
    <w:rsid w:val="009B21AA"/>
    <w:rsid w:val="009B25D1"/>
    <w:rsid w:val="009B318C"/>
    <w:rsid w:val="009B4AC9"/>
    <w:rsid w:val="009B4DF6"/>
    <w:rsid w:val="009B4F71"/>
    <w:rsid w:val="009B5897"/>
    <w:rsid w:val="009B6A06"/>
    <w:rsid w:val="009B72A5"/>
    <w:rsid w:val="009B7313"/>
    <w:rsid w:val="009B73F0"/>
    <w:rsid w:val="009B7C38"/>
    <w:rsid w:val="009C0546"/>
    <w:rsid w:val="009C059E"/>
    <w:rsid w:val="009C2450"/>
    <w:rsid w:val="009C2BA7"/>
    <w:rsid w:val="009C7698"/>
    <w:rsid w:val="009D0FC4"/>
    <w:rsid w:val="009D20CB"/>
    <w:rsid w:val="009D2932"/>
    <w:rsid w:val="009D3165"/>
    <w:rsid w:val="009D3885"/>
    <w:rsid w:val="009D5F6E"/>
    <w:rsid w:val="009D5FA1"/>
    <w:rsid w:val="009D6132"/>
    <w:rsid w:val="009E124E"/>
    <w:rsid w:val="009E2424"/>
    <w:rsid w:val="009E35B9"/>
    <w:rsid w:val="009E4805"/>
    <w:rsid w:val="009E5176"/>
    <w:rsid w:val="009E5213"/>
    <w:rsid w:val="009E5A7C"/>
    <w:rsid w:val="009E68EE"/>
    <w:rsid w:val="009E7451"/>
    <w:rsid w:val="009E775A"/>
    <w:rsid w:val="009E7B3B"/>
    <w:rsid w:val="009E7C30"/>
    <w:rsid w:val="009F2536"/>
    <w:rsid w:val="009F2FFD"/>
    <w:rsid w:val="009F313F"/>
    <w:rsid w:val="009F33D4"/>
    <w:rsid w:val="009F3DCA"/>
    <w:rsid w:val="009F42F2"/>
    <w:rsid w:val="009F508E"/>
    <w:rsid w:val="009F5230"/>
    <w:rsid w:val="009F59AF"/>
    <w:rsid w:val="00A003CD"/>
    <w:rsid w:val="00A00A20"/>
    <w:rsid w:val="00A00C33"/>
    <w:rsid w:val="00A01793"/>
    <w:rsid w:val="00A01EA7"/>
    <w:rsid w:val="00A021E9"/>
    <w:rsid w:val="00A027B3"/>
    <w:rsid w:val="00A02E07"/>
    <w:rsid w:val="00A0358E"/>
    <w:rsid w:val="00A03EA4"/>
    <w:rsid w:val="00A046BA"/>
    <w:rsid w:val="00A04D31"/>
    <w:rsid w:val="00A05C59"/>
    <w:rsid w:val="00A05D0E"/>
    <w:rsid w:val="00A0663A"/>
    <w:rsid w:val="00A06E92"/>
    <w:rsid w:val="00A0778B"/>
    <w:rsid w:val="00A10839"/>
    <w:rsid w:val="00A10AE8"/>
    <w:rsid w:val="00A11B55"/>
    <w:rsid w:val="00A13095"/>
    <w:rsid w:val="00A13285"/>
    <w:rsid w:val="00A13743"/>
    <w:rsid w:val="00A1404A"/>
    <w:rsid w:val="00A14EA7"/>
    <w:rsid w:val="00A16B95"/>
    <w:rsid w:val="00A172E9"/>
    <w:rsid w:val="00A20A44"/>
    <w:rsid w:val="00A21EC1"/>
    <w:rsid w:val="00A22C07"/>
    <w:rsid w:val="00A2498D"/>
    <w:rsid w:val="00A26F91"/>
    <w:rsid w:val="00A2745D"/>
    <w:rsid w:val="00A276BD"/>
    <w:rsid w:val="00A27FE2"/>
    <w:rsid w:val="00A300C1"/>
    <w:rsid w:val="00A3129B"/>
    <w:rsid w:val="00A31CCC"/>
    <w:rsid w:val="00A32A82"/>
    <w:rsid w:val="00A3329B"/>
    <w:rsid w:val="00A33B61"/>
    <w:rsid w:val="00A34537"/>
    <w:rsid w:val="00A35735"/>
    <w:rsid w:val="00A35D8A"/>
    <w:rsid w:val="00A3612E"/>
    <w:rsid w:val="00A363B1"/>
    <w:rsid w:val="00A363CD"/>
    <w:rsid w:val="00A36665"/>
    <w:rsid w:val="00A41801"/>
    <w:rsid w:val="00A4188B"/>
    <w:rsid w:val="00A437F4"/>
    <w:rsid w:val="00A4482F"/>
    <w:rsid w:val="00A45E62"/>
    <w:rsid w:val="00A46796"/>
    <w:rsid w:val="00A46B6C"/>
    <w:rsid w:val="00A51771"/>
    <w:rsid w:val="00A51A01"/>
    <w:rsid w:val="00A51EB9"/>
    <w:rsid w:val="00A52060"/>
    <w:rsid w:val="00A5329E"/>
    <w:rsid w:val="00A54672"/>
    <w:rsid w:val="00A55408"/>
    <w:rsid w:val="00A56D11"/>
    <w:rsid w:val="00A57391"/>
    <w:rsid w:val="00A57827"/>
    <w:rsid w:val="00A60BEE"/>
    <w:rsid w:val="00A60C40"/>
    <w:rsid w:val="00A6229F"/>
    <w:rsid w:val="00A63032"/>
    <w:rsid w:val="00A666FD"/>
    <w:rsid w:val="00A70891"/>
    <w:rsid w:val="00A71ED7"/>
    <w:rsid w:val="00A71F2D"/>
    <w:rsid w:val="00A7396E"/>
    <w:rsid w:val="00A74150"/>
    <w:rsid w:val="00A75DA6"/>
    <w:rsid w:val="00A75E2D"/>
    <w:rsid w:val="00A76E57"/>
    <w:rsid w:val="00A8111A"/>
    <w:rsid w:val="00A82DAA"/>
    <w:rsid w:val="00A855EF"/>
    <w:rsid w:val="00A856FF"/>
    <w:rsid w:val="00A860F5"/>
    <w:rsid w:val="00A8751F"/>
    <w:rsid w:val="00A877DF"/>
    <w:rsid w:val="00A87EB9"/>
    <w:rsid w:val="00A903EA"/>
    <w:rsid w:val="00A92770"/>
    <w:rsid w:val="00A9302E"/>
    <w:rsid w:val="00A9318C"/>
    <w:rsid w:val="00A94DA1"/>
    <w:rsid w:val="00A9515B"/>
    <w:rsid w:val="00A95254"/>
    <w:rsid w:val="00A957F0"/>
    <w:rsid w:val="00A95BAD"/>
    <w:rsid w:val="00A97885"/>
    <w:rsid w:val="00AA07B2"/>
    <w:rsid w:val="00AA0B1C"/>
    <w:rsid w:val="00AA0D9C"/>
    <w:rsid w:val="00AA186E"/>
    <w:rsid w:val="00AA1E5A"/>
    <w:rsid w:val="00AA24D2"/>
    <w:rsid w:val="00AA2515"/>
    <w:rsid w:val="00AA37C3"/>
    <w:rsid w:val="00AA3C98"/>
    <w:rsid w:val="00AA3DFA"/>
    <w:rsid w:val="00AA3EB6"/>
    <w:rsid w:val="00AA4841"/>
    <w:rsid w:val="00AA4959"/>
    <w:rsid w:val="00AA4B7E"/>
    <w:rsid w:val="00AA4BCE"/>
    <w:rsid w:val="00AA4EB3"/>
    <w:rsid w:val="00AA51A0"/>
    <w:rsid w:val="00AA5EC8"/>
    <w:rsid w:val="00AB00CF"/>
    <w:rsid w:val="00AB045F"/>
    <w:rsid w:val="00AB1829"/>
    <w:rsid w:val="00AB2DCE"/>
    <w:rsid w:val="00AB420D"/>
    <w:rsid w:val="00AB43CD"/>
    <w:rsid w:val="00AB575A"/>
    <w:rsid w:val="00AB5B52"/>
    <w:rsid w:val="00AB66D5"/>
    <w:rsid w:val="00AB71F4"/>
    <w:rsid w:val="00AB741A"/>
    <w:rsid w:val="00AB76CF"/>
    <w:rsid w:val="00AC06E7"/>
    <w:rsid w:val="00AC1F6C"/>
    <w:rsid w:val="00AC2C61"/>
    <w:rsid w:val="00AC42D0"/>
    <w:rsid w:val="00AC4808"/>
    <w:rsid w:val="00AC49DF"/>
    <w:rsid w:val="00AC4C47"/>
    <w:rsid w:val="00AC5444"/>
    <w:rsid w:val="00AC63D5"/>
    <w:rsid w:val="00AC6A1E"/>
    <w:rsid w:val="00AC7E1D"/>
    <w:rsid w:val="00AD01A7"/>
    <w:rsid w:val="00AD0490"/>
    <w:rsid w:val="00AD07AA"/>
    <w:rsid w:val="00AD0B7E"/>
    <w:rsid w:val="00AD276B"/>
    <w:rsid w:val="00AD2793"/>
    <w:rsid w:val="00AD287F"/>
    <w:rsid w:val="00AD28C2"/>
    <w:rsid w:val="00AD3DA5"/>
    <w:rsid w:val="00AD5B2A"/>
    <w:rsid w:val="00AD5C2B"/>
    <w:rsid w:val="00AD5DF6"/>
    <w:rsid w:val="00AD6FD8"/>
    <w:rsid w:val="00AE0D71"/>
    <w:rsid w:val="00AE19B9"/>
    <w:rsid w:val="00AE1F4B"/>
    <w:rsid w:val="00AE2465"/>
    <w:rsid w:val="00AE266B"/>
    <w:rsid w:val="00AE2ACD"/>
    <w:rsid w:val="00AE31D8"/>
    <w:rsid w:val="00AE32AF"/>
    <w:rsid w:val="00AE477A"/>
    <w:rsid w:val="00AE49A0"/>
    <w:rsid w:val="00AE6155"/>
    <w:rsid w:val="00AE625E"/>
    <w:rsid w:val="00AE78DB"/>
    <w:rsid w:val="00AF04FF"/>
    <w:rsid w:val="00AF06AE"/>
    <w:rsid w:val="00AF08F2"/>
    <w:rsid w:val="00AF09FE"/>
    <w:rsid w:val="00AF0CC8"/>
    <w:rsid w:val="00AF0FC7"/>
    <w:rsid w:val="00AF1F0A"/>
    <w:rsid w:val="00AF3089"/>
    <w:rsid w:val="00AF3DE6"/>
    <w:rsid w:val="00AF426D"/>
    <w:rsid w:val="00AF4BEF"/>
    <w:rsid w:val="00AF5268"/>
    <w:rsid w:val="00AF676E"/>
    <w:rsid w:val="00AF6A78"/>
    <w:rsid w:val="00AF78F8"/>
    <w:rsid w:val="00B00995"/>
    <w:rsid w:val="00B01903"/>
    <w:rsid w:val="00B03090"/>
    <w:rsid w:val="00B032B7"/>
    <w:rsid w:val="00B04B26"/>
    <w:rsid w:val="00B0583F"/>
    <w:rsid w:val="00B05E86"/>
    <w:rsid w:val="00B061C7"/>
    <w:rsid w:val="00B07B38"/>
    <w:rsid w:val="00B106A0"/>
    <w:rsid w:val="00B1079E"/>
    <w:rsid w:val="00B109B3"/>
    <w:rsid w:val="00B110DD"/>
    <w:rsid w:val="00B112F2"/>
    <w:rsid w:val="00B12030"/>
    <w:rsid w:val="00B1319E"/>
    <w:rsid w:val="00B1322C"/>
    <w:rsid w:val="00B13506"/>
    <w:rsid w:val="00B139AA"/>
    <w:rsid w:val="00B15574"/>
    <w:rsid w:val="00B15E0E"/>
    <w:rsid w:val="00B1626C"/>
    <w:rsid w:val="00B169E8"/>
    <w:rsid w:val="00B16CA0"/>
    <w:rsid w:val="00B16DD6"/>
    <w:rsid w:val="00B17AE3"/>
    <w:rsid w:val="00B21010"/>
    <w:rsid w:val="00B21B81"/>
    <w:rsid w:val="00B24481"/>
    <w:rsid w:val="00B25E1B"/>
    <w:rsid w:val="00B26AF6"/>
    <w:rsid w:val="00B26D93"/>
    <w:rsid w:val="00B3160C"/>
    <w:rsid w:val="00B319A5"/>
    <w:rsid w:val="00B334CA"/>
    <w:rsid w:val="00B3494F"/>
    <w:rsid w:val="00B34C1C"/>
    <w:rsid w:val="00B34EC5"/>
    <w:rsid w:val="00B3765B"/>
    <w:rsid w:val="00B37666"/>
    <w:rsid w:val="00B40497"/>
    <w:rsid w:val="00B4075F"/>
    <w:rsid w:val="00B41FD0"/>
    <w:rsid w:val="00B42A60"/>
    <w:rsid w:val="00B43E19"/>
    <w:rsid w:val="00B46956"/>
    <w:rsid w:val="00B46A22"/>
    <w:rsid w:val="00B471C2"/>
    <w:rsid w:val="00B473D2"/>
    <w:rsid w:val="00B47EF3"/>
    <w:rsid w:val="00B5106D"/>
    <w:rsid w:val="00B51DDC"/>
    <w:rsid w:val="00B52C69"/>
    <w:rsid w:val="00B53A8B"/>
    <w:rsid w:val="00B53B6D"/>
    <w:rsid w:val="00B5498A"/>
    <w:rsid w:val="00B5761C"/>
    <w:rsid w:val="00B611C9"/>
    <w:rsid w:val="00B61351"/>
    <w:rsid w:val="00B61352"/>
    <w:rsid w:val="00B61D21"/>
    <w:rsid w:val="00B61DC9"/>
    <w:rsid w:val="00B61FAF"/>
    <w:rsid w:val="00B62C4E"/>
    <w:rsid w:val="00B64D80"/>
    <w:rsid w:val="00B65231"/>
    <w:rsid w:val="00B652DE"/>
    <w:rsid w:val="00B65772"/>
    <w:rsid w:val="00B66733"/>
    <w:rsid w:val="00B66843"/>
    <w:rsid w:val="00B70C96"/>
    <w:rsid w:val="00B72166"/>
    <w:rsid w:val="00B727EB"/>
    <w:rsid w:val="00B730E2"/>
    <w:rsid w:val="00B732BA"/>
    <w:rsid w:val="00B739E6"/>
    <w:rsid w:val="00B74B8A"/>
    <w:rsid w:val="00B7745C"/>
    <w:rsid w:val="00B77724"/>
    <w:rsid w:val="00B80405"/>
    <w:rsid w:val="00B82201"/>
    <w:rsid w:val="00B824ED"/>
    <w:rsid w:val="00B82F4B"/>
    <w:rsid w:val="00B83DE3"/>
    <w:rsid w:val="00B8463B"/>
    <w:rsid w:val="00B8525A"/>
    <w:rsid w:val="00B85B42"/>
    <w:rsid w:val="00B86081"/>
    <w:rsid w:val="00B87B8B"/>
    <w:rsid w:val="00B91A5D"/>
    <w:rsid w:val="00B91C8C"/>
    <w:rsid w:val="00B93B1E"/>
    <w:rsid w:val="00B943FF"/>
    <w:rsid w:val="00B94740"/>
    <w:rsid w:val="00B96721"/>
    <w:rsid w:val="00BA023A"/>
    <w:rsid w:val="00BA1321"/>
    <w:rsid w:val="00BA14F9"/>
    <w:rsid w:val="00BA583B"/>
    <w:rsid w:val="00BA7D05"/>
    <w:rsid w:val="00BB1FE5"/>
    <w:rsid w:val="00BB2A7E"/>
    <w:rsid w:val="00BB4C01"/>
    <w:rsid w:val="00BB5021"/>
    <w:rsid w:val="00BB5252"/>
    <w:rsid w:val="00BB5576"/>
    <w:rsid w:val="00BB612F"/>
    <w:rsid w:val="00BB63C4"/>
    <w:rsid w:val="00BB7283"/>
    <w:rsid w:val="00BB7834"/>
    <w:rsid w:val="00BB79BA"/>
    <w:rsid w:val="00BB7CC1"/>
    <w:rsid w:val="00BC2225"/>
    <w:rsid w:val="00BC2894"/>
    <w:rsid w:val="00BC2E33"/>
    <w:rsid w:val="00BC4248"/>
    <w:rsid w:val="00BC4941"/>
    <w:rsid w:val="00BC6888"/>
    <w:rsid w:val="00BC6D47"/>
    <w:rsid w:val="00BD0076"/>
    <w:rsid w:val="00BD0E60"/>
    <w:rsid w:val="00BD39DC"/>
    <w:rsid w:val="00BD4A55"/>
    <w:rsid w:val="00BD4E25"/>
    <w:rsid w:val="00BD6029"/>
    <w:rsid w:val="00BE287D"/>
    <w:rsid w:val="00BE30AE"/>
    <w:rsid w:val="00BE38BD"/>
    <w:rsid w:val="00BE4C15"/>
    <w:rsid w:val="00BE56B0"/>
    <w:rsid w:val="00BE5891"/>
    <w:rsid w:val="00BE5D85"/>
    <w:rsid w:val="00BE624B"/>
    <w:rsid w:val="00BE6F03"/>
    <w:rsid w:val="00BF096D"/>
    <w:rsid w:val="00BF2F16"/>
    <w:rsid w:val="00BF36C5"/>
    <w:rsid w:val="00BF3B73"/>
    <w:rsid w:val="00BF3C83"/>
    <w:rsid w:val="00BF4B22"/>
    <w:rsid w:val="00BF593E"/>
    <w:rsid w:val="00BF5ED6"/>
    <w:rsid w:val="00BF6A28"/>
    <w:rsid w:val="00BF6ADC"/>
    <w:rsid w:val="00BF77F4"/>
    <w:rsid w:val="00BF7B94"/>
    <w:rsid w:val="00C00670"/>
    <w:rsid w:val="00C00C09"/>
    <w:rsid w:val="00C00C37"/>
    <w:rsid w:val="00C01F84"/>
    <w:rsid w:val="00C02D81"/>
    <w:rsid w:val="00C02EEF"/>
    <w:rsid w:val="00C0358D"/>
    <w:rsid w:val="00C051C2"/>
    <w:rsid w:val="00C05363"/>
    <w:rsid w:val="00C053CE"/>
    <w:rsid w:val="00C069C6"/>
    <w:rsid w:val="00C0718D"/>
    <w:rsid w:val="00C100FE"/>
    <w:rsid w:val="00C119C5"/>
    <w:rsid w:val="00C132DB"/>
    <w:rsid w:val="00C15C2B"/>
    <w:rsid w:val="00C16E23"/>
    <w:rsid w:val="00C17F6A"/>
    <w:rsid w:val="00C200DC"/>
    <w:rsid w:val="00C209F7"/>
    <w:rsid w:val="00C20CEC"/>
    <w:rsid w:val="00C24441"/>
    <w:rsid w:val="00C24B13"/>
    <w:rsid w:val="00C3080D"/>
    <w:rsid w:val="00C30A31"/>
    <w:rsid w:val="00C30AC9"/>
    <w:rsid w:val="00C31E08"/>
    <w:rsid w:val="00C32A8E"/>
    <w:rsid w:val="00C34260"/>
    <w:rsid w:val="00C36012"/>
    <w:rsid w:val="00C36361"/>
    <w:rsid w:val="00C4083B"/>
    <w:rsid w:val="00C40DE4"/>
    <w:rsid w:val="00C41C2B"/>
    <w:rsid w:val="00C4380E"/>
    <w:rsid w:val="00C43B88"/>
    <w:rsid w:val="00C45893"/>
    <w:rsid w:val="00C458FF"/>
    <w:rsid w:val="00C45B5C"/>
    <w:rsid w:val="00C4636F"/>
    <w:rsid w:val="00C46916"/>
    <w:rsid w:val="00C46AE1"/>
    <w:rsid w:val="00C4786E"/>
    <w:rsid w:val="00C47A32"/>
    <w:rsid w:val="00C500D9"/>
    <w:rsid w:val="00C508E8"/>
    <w:rsid w:val="00C52599"/>
    <w:rsid w:val="00C547EA"/>
    <w:rsid w:val="00C548AC"/>
    <w:rsid w:val="00C54D1C"/>
    <w:rsid w:val="00C5510C"/>
    <w:rsid w:val="00C560D0"/>
    <w:rsid w:val="00C56363"/>
    <w:rsid w:val="00C5654A"/>
    <w:rsid w:val="00C56A69"/>
    <w:rsid w:val="00C56C90"/>
    <w:rsid w:val="00C5731B"/>
    <w:rsid w:val="00C57CEE"/>
    <w:rsid w:val="00C60DDD"/>
    <w:rsid w:val="00C61D73"/>
    <w:rsid w:val="00C626D7"/>
    <w:rsid w:val="00C62957"/>
    <w:rsid w:val="00C629E7"/>
    <w:rsid w:val="00C63A6E"/>
    <w:rsid w:val="00C641A4"/>
    <w:rsid w:val="00C65BEB"/>
    <w:rsid w:val="00C65D82"/>
    <w:rsid w:val="00C675E7"/>
    <w:rsid w:val="00C7015A"/>
    <w:rsid w:val="00C7078F"/>
    <w:rsid w:val="00C70FA9"/>
    <w:rsid w:val="00C717DC"/>
    <w:rsid w:val="00C739E9"/>
    <w:rsid w:val="00C74582"/>
    <w:rsid w:val="00C76C17"/>
    <w:rsid w:val="00C77132"/>
    <w:rsid w:val="00C80631"/>
    <w:rsid w:val="00C81410"/>
    <w:rsid w:val="00C8393E"/>
    <w:rsid w:val="00C854DE"/>
    <w:rsid w:val="00C85DD9"/>
    <w:rsid w:val="00C863FB"/>
    <w:rsid w:val="00C86E1A"/>
    <w:rsid w:val="00C87287"/>
    <w:rsid w:val="00C872C3"/>
    <w:rsid w:val="00C90358"/>
    <w:rsid w:val="00C92BC2"/>
    <w:rsid w:val="00C9420F"/>
    <w:rsid w:val="00C94B32"/>
    <w:rsid w:val="00C9546B"/>
    <w:rsid w:val="00C957DB"/>
    <w:rsid w:val="00C95831"/>
    <w:rsid w:val="00C96B99"/>
    <w:rsid w:val="00C96F32"/>
    <w:rsid w:val="00C97E23"/>
    <w:rsid w:val="00C97ED9"/>
    <w:rsid w:val="00CA06AA"/>
    <w:rsid w:val="00CA117A"/>
    <w:rsid w:val="00CA1B5E"/>
    <w:rsid w:val="00CA24B4"/>
    <w:rsid w:val="00CA2E62"/>
    <w:rsid w:val="00CA3E1D"/>
    <w:rsid w:val="00CA401D"/>
    <w:rsid w:val="00CA4B89"/>
    <w:rsid w:val="00CA55B2"/>
    <w:rsid w:val="00CA5EEF"/>
    <w:rsid w:val="00CA7632"/>
    <w:rsid w:val="00CA7948"/>
    <w:rsid w:val="00CB0104"/>
    <w:rsid w:val="00CB0224"/>
    <w:rsid w:val="00CB1FF3"/>
    <w:rsid w:val="00CB236C"/>
    <w:rsid w:val="00CB322B"/>
    <w:rsid w:val="00CB32D4"/>
    <w:rsid w:val="00CB3CBC"/>
    <w:rsid w:val="00CB3D72"/>
    <w:rsid w:val="00CB4586"/>
    <w:rsid w:val="00CB4C32"/>
    <w:rsid w:val="00CB65DE"/>
    <w:rsid w:val="00CB65E1"/>
    <w:rsid w:val="00CB792B"/>
    <w:rsid w:val="00CB79BF"/>
    <w:rsid w:val="00CC0F4C"/>
    <w:rsid w:val="00CC1E36"/>
    <w:rsid w:val="00CC252F"/>
    <w:rsid w:val="00CC47FF"/>
    <w:rsid w:val="00CC5F4D"/>
    <w:rsid w:val="00CC69CF"/>
    <w:rsid w:val="00CC6CB0"/>
    <w:rsid w:val="00CD0728"/>
    <w:rsid w:val="00CD13D0"/>
    <w:rsid w:val="00CD1938"/>
    <w:rsid w:val="00CD2581"/>
    <w:rsid w:val="00CD29F9"/>
    <w:rsid w:val="00CD3549"/>
    <w:rsid w:val="00CD49B9"/>
    <w:rsid w:val="00CD6649"/>
    <w:rsid w:val="00CE19AC"/>
    <w:rsid w:val="00CE1A78"/>
    <w:rsid w:val="00CE1B24"/>
    <w:rsid w:val="00CE1C13"/>
    <w:rsid w:val="00CE1FBE"/>
    <w:rsid w:val="00CE2732"/>
    <w:rsid w:val="00CE3E80"/>
    <w:rsid w:val="00CE422B"/>
    <w:rsid w:val="00CE42A2"/>
    <w:rsid w:val="00CE5D40"/>
    <w:rsid w:val="00CE6159"/>
    <w:rsid w:val="00CF0C6D"/>
    <w:rsid w:val="00CF1586"/>
    <w:rsid w:val="00CF2771"/>
    <w:rsid w:val="00CF571A"/>
    <w:rsid w:val="00CF6254"/>
    <w:rsid w:val="00CF6689"/>
    <w:rsid w:val="00CF6F9D"/>
    <w:rsid w:val="00CF7D53"/>
    <w:rsid w:val="00CF7E51"/>
    <w:rsid w:val="00D002FD"/>
    <w:rsid w:val="00D00D9A"/>
    <w:rsid w:val="00D017DA"/>
    <w:rsid w:val="00D02110"/>
    <w:rsid w:val="00D026E0"/>
    <w:rsid w:val="00D04324"/>
    <w:rsid w:val="00D04FCF"/>
    <w:rsid w:val="00D06BAA"/>
    <w:rsid w:val="00D06BFB"/>
    <w:rsid w:val="00D074E0"/>
    <w:rsid w:val="00D103AD"/>
    <w:rsid w:val="00D105B2"/>
    <w:rsid w:val="00D10935"/>
    <w:rsid w:val="00D10C4C"/>
    <w:rsid w:val="00D11469"/>
    <w:rsid w:val="00D117CD"/>
    <w:rsid w:val="00D12ABD"/>
    <w:rsid w:val="00D13E49"/>
    <w:rsid w:val="00D142C5"/>
    <w:rsid w:val="00D1694A"/>
    <w:rsid w:val="00D170FA"/>
    <w:rsid w:val="00D178F0"/>
    <w:rsid w:val="00D20002"/>
    <w:rsid w:val="00D20711"/>
    <w:rsid w:val="00D238F5"/>
    <w:rsid w:val="00D23933"/>
    <w:rsid w:val="00D23B9E"/>
    <w:rsid w:val="00D25169"/>
    <w:rsid w:val="00D25D44"/>
    <w:rsid w:val="00D26BDF"/>
    <w:rsid w:val="00D3385D"/>
    <w:rsid w:val="00D33D6B"/>
    <w:rsid w:val="00D343F6"/>
    <w:rsid w:val="00D35FB2"/>
    <w:rsid w:val="00D36821"/>
    <w:rsid w:val="00D37063"/>
    <w:rsid w:val="00D37866"/>
    <w:rsid w:val="00D37F98"/>
    <w:rsid w:val="00D406C9"/>
    <w:rsid w:val="00D424D3"/>
    <w:rsid w:val="00D4333F"/>
    <w:rsid w:val="00D44BFE"/>
    <w:rsid w:val="00D44D0B"/>
    <w:rsid w:val="00D461F7"/>
    <w:rsid w:val="00D4738B"/>
    <w:rsid w:val="00D50C39"/>
    <w:rsid w:val="00D51B72"/>
    <w:rsid w:val="00D51FF7"/>
    <w:rsid w:val="00D53703"/>
    <w:rsid w:val="00D53714"/>
    <w:rsid w:val="00D5411F"/>
    <w:rsid w:val="00D54673"/>
    <w:rsid w:val="00D54F6A"/>
    <w:rsid w:val="00D55440"/>
    <w:rsid w:val="00D555A5"/>
    <w:rsid w:val="00D56402"/>
    <w:rsid w:val="00D60062"/>
    <w:rsid w:val="00D635F4"/>
    <w:rsid w:val="00D63682"/>
    <w:rsid w:val="00D65211"/>
    <w:rsid w:val="00D662D3"/>
    <w:rsid w:val="00D70560"/>
    <w:rsid w:val="00D73C1A"/>
    <w:rsid w:val="00D74A5D"/>
    <w:rsid w:val="00D777AC"/>
    <w:rsid w:val="00D77B76"/>
    <w:rsid w:val="00D806C1"/>
    <w:rsid w:val="00D809A9"/>
    <w:rsid w:val="00D817B1"/>
    <w:rsid w:val="00D8248D"/>
    <w:rsid w:val="00D829EE"/>
    <w:rsid w:val="00D82A6E"/>
    <w:rsid w:val="00D832B6"/>
    <w:rsid w:val="00D85076"/>
    <w:rsid w:val="00D8507D"/>
    <w:rsid w:val="00D87151"/>
    <w:rsid w:val="00D871C4"/>
    <w:rsid w:val="00D87CE3"/>
    <w:rsid w:val="00D900EB"/>
    <w:rsid w:val="00D9084A"/>
    <w:rsid w:val="00D90AF3"/>
    <w:rsid w:val="00D9111C"/>
    <w:rsid w:val="00D92A8A"/>
    <w:rsid w:val="00D92D79"/>
    <w:rsid w:val="00D93A15"/>
    <w:rsid w:val="00D94047"/>
    <w:rsid w:val="00D95A19"/>
    <w:rsid w:val="00D96E28"/>
    <w:rsid w:val="00D97813"/>
    <w:rsid w:val="00DA03A3"/>
    <w:rsid w:val="00DA0C87"/>
    <w:rsid w:val="00DA2892"/>
    <w:rsid w:val="00DA3845"/>
    <w:rsid w:val="00DA40E8"/>
    <w:rsid w:val="00DA4AF0"/>
    <w:rsid w:val="00DA5488"/>
    <w:rsid w:val="00DA5537"/>
    <w:rsid w:val="00DA6740"/>
    <w:rsid w:val="00DA690C"/>
    <w:rsid w:val="00DA6BD9"/>
    <w:rsid w:val="00DA7012"/>
    <w:rsid w:val="00DA7436"/>
    <w:rsid w:val="00DB0E2B"/>
    <w:rsid w:val="00DB14F2"/>
    <w:rsid w:val="00DB206F"/>
    <w:rsid w:val="00DB29F3"/>
    <w:rsid w:val="00DB39E3"/>
    <w:rsid w:val="00DB454D"/>
    <w:rsid w:val="00DB4F41"/>
    <w:rsid w:val="00DB633A"/>
    <w:rsid w:val="00DB6722"/>
    <w:rsid w:val="00DB6DE9"/>
    <w:rsid w:val="00DC0245"/>
    <w:rsid w:val="00DC0847"/>
    <w:rsid w:val="00DC14B0"/>
    <w:rsid w:val="00DC2CD4"/>
    <w:rsid w:val="00DC32C7"/>
    <w:rsid w:val="00DC3BAB"/>
    <w:rsid w:val="00DC4372"/>
    <w:rsid w:val="00DC62E7"/>
    <w:rsid w:val="00DC75C4"/>
    <w:rsid w:val="00DC78D6"/>
    <w:rsid w:val="00DC7C4C"/>
    <w:rsid w:val="00DD0B71"/>
    <w:rsid w:val="00DD14AB"/>
    <w:rsid w:val="00DD23BE"/>
    <w:rsid w:val="00DD2B64"/>
    <w:rsid w:val="00DD3088"/>
    <w:rsid w:val="00DD33C0"/>
    <w:rsid w:val="00DD3711"/>
    <w:rsid w:val="00DD38DA"/>
    <w:rsid w:val="00DD4198"/>
    <w:rsid w:val="00DD46ED"/>
    <w:rsid w:val="00DD51FD"/>
    <w:rsid w:val="00DD609D"/>
    <w:rsid w:val="00DD73EC"/>
    <w:rsid w:val="00DD7E9E"/>
    <w:rsid w:val="00DE003A"/>
    <w:rsid w:val="00DE0A6E"/>
    <w:rsid w:val="00DE2F52"/>
    <w:rsid w:val="00DE37AA"/>
    <w:rsid w:val="00DE3A53"/>
    <w:rsid w:val="00DE47B8"/>
    <w:rsid w:val="00DE6513"/>
    <w:rsid w:val="00DE699C"/>
    <w:rsid w:val="00DE71EE"/>
    <w:rsid w:val="00DF01CC"/>
    <w:rsid w:val="00DF198F"/>
    <w:rsid w:val="00DF1EFD"/>
    <w:rsid w:val="00DF20C3"/>
    <w:rsid w:val="00DF21AA"/>
    <w:rsid w:val="00DF2CE8"/>
    <w:rsid w:val="00DF489E"/>
    <w:rsid w:val="00DF56AD"/>
    <w:rsid w:val="00DF6384"/>
    <w:rsid w:val="00DF6ADB"/>
    <w:rsid w:val="00DF6C20"/>
    <w:rsid w:val="00DF720A"/>
    <w:rsid w:val="00E009B0"/>
    <w:rsid w:val="00E01DBD"/>
    <w:rsid w:val="00E02476"/>
    <w:rsid w:val="00E02D77"/>
    <w:rsid w:val="00E03741"/>
    <w:rsid w:val="00E04D26"/>
    <w:rsid w:val="00E108F9"/>
    <w:rsid w:val="00E11653"/>
    <w:rsid w:val="00E148B1"/>
    <w:rsid w:val="00E15195"/>
    <w:rsid w:val="00E151A0"/>
    <w:rsid w:val="00E15430"/>
    <w:rsid w:val="00E15EC9"/>
    <w:rsid w:val="00E1605B"/>
    <w:rsid w:val="00E16B63"/>
    <w:rsid w:val="00E172B0"/>
    <w:rsid w:val="00E23E7A"/>
    <w:rsid w:val="00E25619"/>
    <w:rsid w:val="00E26137"/>
    <w:rsid w:val="00E26777"/>
    <w:rsid w:val="00E26CD2"/>
    <w:rsid w:val="00E27105"/>
    <w:rsid w:val="00E3009B"/>
    <w:rsid w:val="00E32813"/>
    <w:rsid w:val="00E32F3B"/>
    <w:rsid w:val="00E33340"/>
    <w:rsid w:val="00E40842"/>
    <w:rsid w:val="00E4142B"/>
    <w:rsid w:val="00E4172A"/>
    <w:rsid w:val="00E417FE"/>
    <w:rsid w:val="00E42F03"/>
    <w:rsid w:val="00E43E5B"/>
    <w:rsid w:val="00E4416C"/>
    <w:rsid w:val="00E445F2"/>
    <w:rsid w:val="00E44AED"/>
    <w:rsid w:val="00E473AC"/>
    <w:rsid w:val="00E5133B"/>
    <w:rsid w:val="00E530FF"/>
    <w:rsid w:val="00E53548"/>
    <w:rsid w:val="00E53EF9"/>
    <w:rsid w:val="00E54B03"/>
    <w:rsid w:val="00E56424"/>
    <w:rsid w:val="00E578F0"/>
    <w:rsid w:val="00E60209"/>
    <w:rsid w:val="00E608BE"/>
    <w:rsid w:val="00E60DCF"/>
    <w:rsid w:val="00E612B8"/>
    <w:rsid w:val="00E6312E"/>
    <w:rsid w:val="00E63264"/>
    <w:rsid w:val="00E6363B"/>
    <w:rsid w:val="00E637B3"/>
    <w:rsid w:val="00E64BE6"/>
    <w:rsid w:val="00E656C3"/>
    <w:rsid w:val="00E65719"/>
    <w:rsid w:val="00E66854"/>
    <w:rsid w:val="00E66D7C"/>
    <w:rsid w:val="00E70965"/>
    <w:rsid w:val="00E720C8"/>
    <w:rsid w:val="00E7358D"/>
    <w:rsid w:val="00E73A14"/>
    <w:rsid w:val="00E74408"/>
    <w:rsid w:val="00E749FA"/>
    <w:rsid w:val="00E7556B"/>
    <w:rsid w:val="00E7643B"/>
    <w:rsid w:val="00E76CCB"/>
    <w:rsid w:val="00E77853"/>
    <w:rsid w:val="00E77913"/>
    <w:rsid w:val="00E77C4E"/>
    <w:rsid w:val="00E77CDE"/>
    <w:rsid w:val="00E814B9"/>
    <w:rsid w:val="00E81945"/>
    <w:rsid w:val="00E829D3"/>
    <w:rsid w:val="00E82A06"/>
    <w:rsid w:val="00E844AC"/>
    <w:rsid w:val="00E84FEE"/>
    <w:rsid w:val="00E859F3"/>
    <w:rsid w:val="00E866D4"/>
    <w:rsid w:val="00E866DA"/>
    <w:rsid w:val="00E90037"/>
    <w:rsid w:val="00E9078A"/>
    <w:rsid w:val="00E916D7"/>
    <w:rsid w:val="00E91EA3"/>
    <w:rsid w:val="00E937D4"/>
    <w:rsid w:val="00E93D8B"/>
    <w:rsid w:val="00E95BAE"/>
    <w:rsid w:val="00E95D01"/>
    <w:rsid w:val="00E967D2"/>
    <w:rsid w:val="00E97804"/>
    <w:rsid w:val="00E97ECB"/>
    <w:rsid w:val="00EA0F27"/>
    <w:rsid w:val="00EA0F5E"/>
    <w:rsid w:val="00EA13D7"/>
    <w:rsid w:val="00EA3433"/>
    <w:rsid w:val="00EA36B2"/>
    <w:rsid w:val="00EA400D"/>
    <w:rsid w:val="00EA482D"/>
    <w:rsid w:val="00EA5BE2"/>
    <w:rsid w:val="00EA6433"/>
    <w:rsid w:val="00EA6A3B"/>
    <w:rsid w:val="00EA6D74"/>
    <w:rsid w:val="00EA7959"/>
    <w:rsid w:val="00EA7CDF"/>
    <w:rsid w:val="00EA7ED8"/>
    <w:rsid w:val="00EB09D8"/>
    <w:rsid w:val="00EB0D97"/>
    <w:rsid w:val="00EB14A9"/>
    <w:rsid w:val="00EB2433"/>
    <w:rsid w:val="00EB2EF8"/>
    <w:rsid w:val="00EB3247"/>
    <w:rsid w:val="00EB36DE"/>
    <w:rsid w:val="00EB3AD0"/>
    <w:rsid w:val="00EB3D34"/>
    <w:rsid w:val="00EB4228"/>
    <w:rsid w:val="00EB4A81"/>
    <w:rsid w:val="00EB5BBA"/>
    <w:rsid w:val="00EB5CFD"/>
    <w:rsid w:val="00EB5D43"/>
    <w:rsid w:val="00EB788C"/>
    <w:rsid w:val="00EC0BAE"/>
    <w:rsid w:val="00EC130B"/>
    <w:rsid w:val="00EC131A"/>
    <w:rsid w:val="00EC161E"/>
    <w:rsid w:val="00EC1B8B"/>
    <w:rsid w:val="00EC1E29"/>
    <w:rsid w:val="00EC2326"/>
    <w:rsid w:val="00EC33A7"/>
    <w:rsid w:val="00EC4B2A"/>
    <w:rsid w:val="00EC575A"/>
    <w:rsid w:val="00EC5E4C"/>
    <w:rsid w:val="00EC683C"/>
    <w:rsid w:val="00EC6DFE"/>
    <w:rsid w:val="00EC7FC3"/>
    <w:rsid w:val="00ED082E"/>
    <w:rsid w:val="00ED309C"/>
    <w:rsid w:val="00ED364A"/>
    <w:rsid w:val="00ED3951"/>
    <w:rsid w:val="00ED4AAD"/>
    <w:rsid w:val="00ED4E33"/>
    <w:rsid w:val="00ED56F0"/>
    <w:rsid w:val="00ED6112"/>
    <w:rsid w:val="00ED714B"/>
    <w:rsid w:val="00ED788F"/>
    <w:rsid w:val="00ED7AF2"/>
    <w:rsid w:val="00ED7B21"/>
    <w:rsid w:val="00EE0340"/>
    <w:rsid w:val="00EE0EA2"/>
    <w:rsid w:val="00EE1415"/>
    <w:rsid w:val="00EE1871"/>
    <w:rsid w:val="00EE1B15"/>
    <w:rsid w:val="00EE1FF9"/>
    <w:rsid w:val="00EE2548"/>
    <w:rsid w:val="00EE2679"/>
    <w:rsid w:val="00EE3937"/>
    <w:rsid w:val="00EE3B15"/>
    <w:rsid w:val="00EE4649"/>
    <w:rsid w:val="00EE6CA7"/>
    <w:rsid w:val="00EE6EC2"/>
    <w:rsid w:val="00EE70DA"/>
    <w:rsid w:val="00EE775D"/>
    <w:rsid w:val="00EF0983"/>
    <w:rsid w:val="00EF247D"/>
    <w:rsid w:val="00EF3241"/>
    <w:rsid w:val="00EF4341"/>
    <w:rsid w:val="00EF5A10"/>
    <w:rsid w:val="00EF6532"/>
    <w:rsid w:val="00EF698F"/>
    <w:rsid w:val="00EF71B8"/>
    <w:rsid w:val="00EF72E0"/>
    <w:rsid w:val="00EF741D"/>
    <w:rsid w:val="00EF7873"/>
    <w:rsid w:val="00F00899"/>
    <w:rsid w:val="00F00B5C"/>
    <w:rsid w:val="00F011B4"/>
    <w:rsid w:val="00F031B1"/>
    <w:rsid w:val="00F032E8"/>
    <w:rsid w:val="00F037B4"/>
    <w:rsid w:val="00F03D6D"/>
    <w:rsid w:val="00F04135"/>
    <w:rsid w:val="00F0420D"/>
    <w:rsid w:val="00F044DC"/>
    <w:rsid w:val="00F05965"/>
    <w:rsid w:val="00F06EF6"/>
    <w:rsid w:val="00F07541"/>
    <w:rsid w:val="00F07A13"/>
    <w:rsid w:val="00F106FC"/>
    <w:rsid w:val="00F10E68"/>
    <w:rsid w:val="00F10E88"/>
    <w:rsid w:val="00F11FF3"/>
    <w:rsid w:val="00F1279E"/>
    <w:rsid w:val="00F12E74"/>
    <w:rsid w:val="00F15FD5"/>
    <w:rsid w:val="00F16BCF"/>
    <w:rsid w:val="00F16E5B"/>
    <w:rsid w:val="00F17967"/>
    <w:rsid w:val="00F17ADD"/>
    <w:rsid w:val="00F21A15"/>
    <w:rsid w:val="00F21D78"/>
    <w:rsid w:val="00F22040"/>
    <w:rsid w:val="00F23E8B"/>
    <w:rsid w:val="00F24063"/>
    <w:rsid w:val="00F2494B"/>
    <w:rsid w:val="00F24ED8"/>
    <w:rsid w:val="00F2543B"/>
    <w:rsid w:val="00F2644C"/>
    <w:rsid w:val="00F27462"/>
    <w:rsid w:val="00F275D0"/>
    <w:rsid w:val="00F27B33"/>
    <w:rsid w:val="00F30B1D"/>
    <w:rsid w:val="00F30EA7"/>
    <w:rsid w:val="00F31466"/>
    <w:rsid w:val="00F319A8"/>
    <w:rsid w:val="00F32012"/>
    <w:rsid w:val="00F329CE"/>
    <w:rsid w:val="00F33D68"/>
    <w:rsid w:val="00F348F6"/>
    <w:rsid w:val="00F35ADA"/>
    <w:rsid w:val="00F35B7B"/>
    <w:rsid w:val="00F35C2E"/>
    <w:rsid w:val="00F36340"/>
    <w:rsid w:val="00F3693A"/>
    <w:rsid w:val="00F36A8B"/>
    <w:rsid w:val="00F3745A"/>
    <w:rsid w:val="00F40781"/>
    <w:rsid w:val="00F4182B"/>
    <w:rsid w:val="00F41968"/>
    <w:rsid w:val="00F429B6"/>
    <w:rsid w:val="00F4365C"/>
    <w:rsid w:val="00F43C13"/>
    <w:rsid w:val="00F43E0F"/>
    <w:rsid w:val="00F44531"/>
    <w:rsid w:val="00F457CC"/>
    <w:rsid w:val="00F45959"/>
    <w:rsid w:val="00F46836"/>
    <w:rsid w:val="00F50362"/>
    <w:rsid w:val="00F53E43"/>
    <w:rsid w:val="00F54D2B"/>
    <w:rsid w:val="00F602C0"/>
    <w:rsid w:val="00F616ED"/>
    <w:rsid w:val="00F61C5F"/>
    <w:rsid w:val="00F6337A"/>
    <w:rsid w:val="00F636B1"/>
    <w:rsid w:val="00F637F2"/>
    <w:rsid w:val="00F65226"/>
    <w:rsid w:val="00F6558A"/>
    <w:rsid w:val="00F6700F"/>
    <w:rsid w:val="00F6743A"/>
    <w:rsid w:val="00F67B16"/>
    <w:rsid w:val="00F70E32"/>
    <w:rsid w:val="00F7126D"/>
    <w:rsid w:val="00F713B0"/>
    <w:rsid w:val="00F716E8"/>
    <w:rsid w:val="00F7240E"/>
    <w:rsid w:val="00F73603"/>
    <w:rsid w:val="00F73BC5"/>
    <w:rsid w:val="00F74EA9"/>
    <w:rsid w:val="00F76063"/>
    <w:rsid w:val="00F80CC5"/>
    <w:rsid w:val="00F80E00"/>
    <w:rsid w:val="00F81766"/>
    <w:rsid w:val="00F8199C"/>
    <w:rsid w:val="00F82DBB"/>
    <w:rsid w:val="00F8456A"/>
    <w:rsid w:val="00F84D90"/>
    <w:rsid w:val="00F84E28"/>
    <w:rsid w:val="00F84E3C"/>
    <w:rsid w:val="00F86482"/>
    <w:rsid w:val="00F87E2C"/>
    <w:rsid w:val="00F91F47"/>
    <w:rsid w:val="00F93137"/>
    <w:rsid w:val="00F93340"/>
    <w:rsid w:val="00F9344D"/>
    <w:rsid w:val="00F93553"/>
    <w:rsid w:val="00F94112"/>
    <w:rsid w:val="00F966C8"/>
    <w:rsid w:val="00F9752F"/>
    <w:rsid w:val="00F97830"/>
    <w:rsid w:val="00F9A411"/>
    <w:rsid w:val="00FA0CCF"/>
    <w:rsid w:val="00FA0E40"/>
    <w:rsid w:val="00FA22F0"/>
    <w:rsid w:val="00FA329F"/>
    <w:rsid w:val="00FA3F23"/>
    <w:rsid w:val="00FA4102"/>
    <w:rsid w:val="00FA4DB7"/>
    <w:rsid w:val="00FA585C"/>
    <w:rsid w:val="00FA5A59"/>
    <w:rsid w:val="00FA6338"/>
    <w:rsid w:val="00FA6664"/>
    <w:rsid w:val="00FA66A1"/>
    <w:rsid w:val="00FA671C"/>
    <w:rsid w:val="00FA67F2"/>
    <w:rsid w:val="00FA7D60"/>
    <w:rsid w:val="00FA7D85"/>
    <w:rsid w:val="00FB07C9"/>
    <w:rsid w:val="00FB0C02"/>
    <w:rsid w:val="00FB1B3E"/>
    <w:rsid w:val="00FB21BA"/>
    <w:rsid w:val="00FB2330"/>
    <w:rsid w:val="00FB2B22"/>
    <w:rsid w:val="00FB2BAE"/>
    <w:rsid w:val="00FB3016"/>
    <w:rsid w:val="00FB349B"/>
    <w:rsid w:val="00FB3594"/>
    <w:rsid w:val="00FB41A2"/>
    <w:rsid w:val="00FB4297"/>
    <w:rsid w:val="00FB4A57"/>
    <w:rsid w:val="00FB4B22"/>
    <w:rsid w:val="00FB4F33"/>
    <w:rsid w:val="00FB5D0E"/>
    <w:rsid w:val="00FC0BF9"/>
    <w:rsid w:val="00FC15AC"/>
    <w:rsid w:val="00FC17B6"/>
    <w:rsid w:val="00FC199D"/>
    <w:rsid w:val="00FC1F79"/>
    <w:rsid w:val="00FC2422"/>
    <w:rsid w:val="00FC278B"/>
    <w:rsid w:val="00FC461F"/>
    <w:rsid w:val="00FC5657"/>
    <w:rsid w:val="00FC56F2"/>
    <w:rsid w:val="00FC688D"/>
    <w:rsid w:val="00FC6DFD"/>
    <w:rsid w:val="00FC71F9"/>
    <w:rsid w:val="00FCCF02"/>
    <w:rsid w:val="00FD074D"/>
    <w:rsid w:val="00FD0879"/>
    <w:rsid w:val="00FD0FED"/>
    <w:rsid w:val="00FD43AF"/>
    <w:rsid w:val="00FD54F1"/>
    <w:rsid w:val="00FD6498"/>
    <w:rsid w:val="00FD68FD"/>
    <w:rsid w:val="00FD6A3D"/>
    <w:rsid w:val="00FD6EB7"/>
    <w:rsid w:val="00FD707B"/>
    <w:rsid w:val="00FE07B4"/>
    <w:rsid w:val="00FE083C"/>
    <w:rsid w:val="00FE0A01"/>
    <w:rsid w:val="00FE121B"/>
    <w:rsid w:val="00FE1A9D"/>
    <w:rsid w:val="00FE37B5"/>
    <w:rsid w:val="00FE38E6"/>
    <w:rsid w:val="00FE4D7F"/>
    <w:rsid w:val="00FE4E72"/>
    <w:rsid w:val="00FE6DC0"/>
    <w:rsid w:val="00FE6FD7"/>
    <w:rsid w:val="00FF07A2"/>
    <w:rsid w:val="00FF0911"/>
    <w:rsid w:val="00FF12BF"/>
    <w:rsid w:val="00FF146D"/>
    <w:rsid w:val="00FF1509"/>
    <w:rsid w:val="00FF155A"/>
    <w:rsid w:val="00FF15A1"/>
    <w:rsid w:val="00FF1BA0"/>
    <w:rsid w:val="00FF1E60"/>
    <w:rsid w:val="00FF1F73"/>
    <w:rsid w:val="00FF2405"/>
    <w:rsid w:val="00FF24A1"/>
    <w:rsid w:val="00FF3446"/>
    <w:rsid w:val="00FF3538"/>
    <w:rsid w:val="00FF382A"/>
    <w:rsid w:val="00FF5690"/>
    <w:rsid w:val="00FF5908"/>
    <w:rsid w:val="00FF5A5E"/>
    <w:rsid w:val="00FF695F"/>
    <w:rsid w:val="01110EF2"/>
    <w:rsid w:val="01112133"/>
    <w:rsid w:val="01B99B84"/>
    <w:rsid w:val="0215FB6E"/>
    <w:rsid w:val="0399BA5C"/>
    <w:rsid w:val="044F723C"/>
    <w:rsid w:val="04A4C75D"/>
    <w:rsid w:val="04F01EF8"/>
    <w:rsid w:val="04F169F4"/>
    <w:rsid w:val="04F95F0A"/>
    <w:rsid w:val="05E5A6E3"/>
    <w:rsid w:val="070551B3"/>
    <w:rsid w:val="07A68CD4"/>
    <w:rsid w:val="08A31363"/>
    <w:rsid w:val="08AD3450"/>
    <w:rsid w:val="098CDBCD"/>
    <w:rsid w:val="09DE37FC"/>
    <w:rsid w:val="0A1A1781"/>
    <w:rsid w:val="0A4AA551"/>
    <w:rsid w:val="0A5F0868"/>
    <w:rsid w:val="0BB8FDA0"/>
    <w:rsid w:val="0C639159"/>
    <w:rsid w:val="0C639C3F"/>
    <w:rsid w:val="0D5CA0B0"/>
    <w:rsid w:val="0E688E75"/>
    <w:rsid w:val="0E7B4437"/>
    <w:rsid w:val="0EC2A7F0"/>
    <w:rsid w:val="0F5DEA3B"/>
    <w:rsid w:val="107F2579"/>
    <w:rsid w:val="11A64A4E"/>
    <w:rsid w:val="12770378"/>
    <w:rsid w:val="13FACC76"/>
    <w:rsid w:val="148FC7AE"/>
    <w:rsid w:val="14E05EF7"/>
    <w:rsid w:val="15D4237E"/>
    <w:rsid w:val="167A0027"/>
    <w:rsid w:val="16BEFACC"/>
    <w:rsid w:val="1825A3BE"/>
    <w:rsid w:val="185673EC"/>
    <w:rsid w:val="18FA6119"/>
    <w:rsid w:val="19329D94"/>
    <w:rsid w:val="193B3E65"/>
    <w:rsid w:val="193B75A7"/>
    <w:rsid w:val="1A37C4E3"/>
    <w:rsid w:val="1A411CAB"/>
    <w:rsid w:val="1ACDF303"/>
    <w:rsid w:val="1AE203A7"/>
    <w:rsid w:val="1CC5D949"/>
    <w:rsid w:val="1D596ACE"/>
    <w:rsid w:val="1DCD2C63"/>
    <w:rsid w:val="1DE52B94"/>
    <w:rsid w:val="1E68A0FD"/>
    <w:rsid w:val="1F4CB470"/>
    <w:rsid w:val="2132BA6E"/>
    <w:rsid w:val="21A10656"/>
    <w:rsid w:val="21DF283D"/>
    <w:rsid w:val="229F8A51"/>
    <w:rsid w:val="22A35C17"/>
    <w:rsid w:val="22ECC0F8"/>
    <w:rsid w:val="245BBD8F"/>
    <w:rsid w:val="24EECD61"/>
    <w:rsid w:val="26958382"/>
    <w:rsid w:val="269CEC76"/>
    <w:rsid w:val="271751F1"/>
    <w:rsid w:val="27700373"/>
    <w:rsid w:val="28A26E72"/>
    <w:rsid w:val="29861E9E"/>
    <w:rsid w:val="29EF5959"/>
    <w:rsid w:val="2A14C0EF"/>
    <w:rsid w:val="2A7FDFAD"/>
    <w:rsid w:val="2BBAF956"/>
    <w:rsid w:val="2C1BC4D7"/>
    <w:rsid w:val="2C74CFE4"/>
    <w:rsid w:val="2C98CFD8"/>
    <w:rsid w:val="2CBB2C67"/>
    <w:rsid w:val="2D478A7C"/>
    <w:rsid w:val="2D482934"/>
    <w:rsid w:val="2E054DCD"/>
    <w:rsid w:val="2E6017A9"/>
    <w:rsid w:val="2F27469D"/>
    <w:rsid w:val="2F3A4E4E"/>
    <w:rsid w:val="304CF91E"/>
    <w:rsid w:val="30C129BA"/>
    <w:rsid w:val="32EE277E"/>
    <w:rsid w:val="337B0DAC"/>
    <w:rsid w:val="33A306E5"/>
    <w:rsid w:val="3508C8AC"/>
    <w:rsid w:val="354817D6"/>
    <w:rsid w:val="35BEA517"/>
    <w:rsid w:val="35E7DC3A"/>
    <w:rsid w:val="371471F7"/>
    <w:rsid w:val="372A9BCF"/>
    <w:rsid w:val="3782358A"/>
    <w:rsid w:val="37852B54"/>
    <w:rsid w:val="3815B9C1"/>
    <w:rsid w:val="39F7079E"/>
    <w:rsid w:val="3AD6AF0B"/>
    <w:rsid w:val="3AE065F9"/>
    <w:rsid w:val="3B7D9572"/>
    <w:rsid w:val="3BB93A20"/>
    <w:rsid w:val="3CB0D156"/>
    <w:rsid w:val="3DDF1890"/>
    <w:rsid w:val="3E20C73B"/>
    <w:rsid w:val="3ECB8D91"/>
    <w:rsid w:val="3ECE661C"/>
    <w:rsid w:val="40453766"/>
    <w:rsid w:val="4093D157"/>
    <w:rsid w:val="40F53AF0"/>
    <w:rsid w:val="41123A90"/>
    <w:rsid w:val="4126C8C8"/>
    <w:rsid w:val="4254E246"/>
    <w:rsid w:val="42BE2887"/>
    <w:rsid w:val="43189F26"/>
    <w:rsid w:val="433FCEC9"/>
    <w:rsid w:val="4347B2C7"/>
    <w:rsid w:val="43484840"/>
    <w:rsid w:val="43BD80D9"/>
    <w:rsid w:val="43D9B5D5"/>
    <w:rsid w:val="44A08338"/>
    <w:rsid w:val="44C09447"/>
    <w:rsid w:val="452DA17A"/>
    <w:rsid w:val="453B37AC"/>
    <w:rsid w:val="456E2002"/>
    <w:rsid w:val="45C95B49"/>
    <w:rsid w:val="460BA06D"/>
    <w:rsid w:val="4849753D"/>
    <w:rsid w:val="48BE0FCC"/>
    <w:rsid w:val="48E8F22C"/>
    <w:rsid w:val="49244E87"/>
    <w:rsid w:val="49BB3C6E"/>
    <w:rsid w:val="4A81B48E"/>
    <w:rsid w:val="4ABC2B38"/>
    <w:rsid w:val="4C312B5E"/>
    <w:rsid w:val="4C4602E6"/>
    <w:rsid w:val="4CBFA3FE"/>
    <w:rsid w:val="4CCF1285"/>
    <w:rsid w:val="4DA8B21D"/>
    <w:rsid w:val="4E15C741"/>
    <w:rsid w:val="504B0DB9"/>
    <w:rsid w:val="50AD0F56"/>
    <w:rsid w:val="50E807C7"/>
    <w:rsid w:val="50F596EF"/>
    <w:rsid w:val="510BF8BC"/>
    <w:rsid w:val="5164E5A4"/>
    <w:rsid w:val="51CDFB21"/>
    <w:rsid w:val="51DB81A0"/>
    <w:rsid w:val="52ACD8A3"/>
    <w:rsid w:val="53B4C3D6"/>
    <w:rsid w:val="552E1BBB"/>
    <w:rsid w:val="557C947F"/>
    <w:rsid w:val="55911EB9"/>
    <w:rsid w:val="55C9594F"/>
    <w:rsid w:val="56945991"/>
    <w:rsid w:val="5697B8BB"/>
    <w:rsid w:val="57D43AAC"/>
    <w:rsid w:val="58EF1C0E"/>
    <w:rsid w:val="5959D3AE"/>
    <w:rsid w:val="5962A552"/>
    <w:rsid w:val="5A52B7A2"/>
    <w:rsid w:val="5B4D054E"/>
    <w:rsid w:val="5B6FD7A5"/>
    <w:rsid w:val="5B77FF05"/>
    <w:rsid w:val="5C08B6A6"/>
    <w:rsid w:val="5CFE5973"/>
    <w:rsid w:val="5DB299ED"/>
    <w:rsid w:val="5DC8CF79"/>
    <w:rsid w:val="5DEE0CF9"/>
    <w:rsid w:val="5DF2DDF8"/>
    <w:rsid w:val="5EB2D0F4"/>
    <w:rsid w:val="5F188C02"/>
    <w:rsid w:val="5F447764"/>
    <w:rsid w:val="5F4CB4B3"/>
    <w:rsid w:val="5F8EEA4E"/>
    <w:rsid w:val="60613F3D"/>
    <w:rsid w:val="6094B071"/>
    <w:rsid w:val="62639532"/>
    <w:rsid w:val="6307F74C"/>
    <w:rsid w:val="6364941B"/>
    <w:rsid w:val="63CD24BC"/>
    <w:rsid w:val="63D273C7"/>
    <w:rsid w:val="6429F0BD"/>
    <w:rsid w:val="647533E8"/>
    <w:rsid w:val="653A75C4"/>
    <w:rsid w:val="65C52182"/>
    <w:rsid w:val="65E3AC59"/>
    <w:rsid w:val="65F247A3"/>
    <w:rsid w:val="66FD672B"/>
    <w:rsid w:val="670A3D72"/>
    <w:rsid w:val="67789F0E"/>
    <w:rsid w:val="683B9994"/>
    <w:rsid w:val="686C080F"/>
    <w:rsid w:val="6A011F62"/>
    <w:rsid w:val="6AD8C4B5"/>
    <w:rsid w:val="6AFC28F4"/>
    <w:rsid w:val="6C76BBC0"/>
    <w:rsid w:val="6D12F59F"/>
    <w:rsid w:val="6EA17198"/>
    <w:rsid w:val="6F2B9A77"/>
    <w:rsid w:val="6F5B34EF"/>
    <w:rsid w:val="6F8CB583"/>
    <w:rsid w:val="6FE49969"/>
    <w:rsid w:val="7097B009"/>
    <w:rsid w:val="7146D1B7"/>
    <w:rsid w:val="71B6FD4E"/>
    <w:rsid w:val="7321CFAF"/>
    <w:rsid w:val="73EEDE26"/>
    <w:rsid w:val="7443E1FE"/>
    <w:rsid w:val="7455FF6C"/>
    <w:rsid w:val="765AF9C1"/>
    <w:rsid w:val="76D8C296"/>
    <w:rsid w:val="77720BBE"/>
    <w:rsid w:val="778107E8"/>
    <w:rsid w:val="780F01BF"/>
    <w:rsid w:val="78571621"/>
    <w:rsid w:val="785D5DA5"/>
    <w:rsid w:val="7888E317"/>
    <w:rsid w:val="78CEEF75"/>
    <w:rsid w:val="78E36B51"/>
    <w:rsid w:val="7A387D69"/>
    <w:rsid w:val="7A7AB66D"/>
    <w:rsid w:val="7B731B44"/>
    <w:rsid w:val="7BCC11A7"/>
    <w:rsid w:val="7BD57C4E"/>
    <w:rsid w:val="7C450E7B"/>
    <w:rsid w:val="7CEE28B3"/>
    <w:rsid w:val="7D0A757A"/>
    <w:rsid w:val="7D7D64D8"/>
    <w:rsid w:val="7EDED8F4"/>
    <w:rsid w:val="7F15E9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5692B"/>
  <w15:docId w15:val="{D715FB6C-CE77-4645-8665-D9CF7F51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before="360" w:after="120"/>
        <w:ind w:left="851" w:hanging="851"/>
      </w:pPr>
    </w:pPrDefault>
  </w:docDefaults>
  <w:latentStyles w:defLockedState="0" w:defUIPriority="0" w:defSemiHidden="0" w:defUnhideWhenUsed="0" w:defQFormat="0" w:count="376">
    <w:lsdException w:name="Normal" w:qFormat="1"/>
    <w:lsdException w:name="heading 1" w:locked="1" w:qFormat="1"/>
    <w:lsdException w:name="heading 2"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lsdException w:name="envelope return" w:semiHidden="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semiHidden="1" w:uiPriority="1" w:qFormat="1"/>
    <w:lsdException w:name="Closing" w:semiHidden="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lsdException w:name="Strong" w:semiHidden="1" w:uiPriority="22" w:qFormat="1"/>
    <w:lsdException w:name="Emphasis" w:semiHidden="1" w:uiPriority="19" w:qFormat="1"/>
    <w:lsdException w:name="Document Map" w:semiHidden="1" w:unhideWhenUsed="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CA5EEF"/>
    <w:pPr>
      <w:spacing w:before="0" w:after="0"/>
      <w:ind w:left="0" w:firstLine="0"/>
    </w:pPr>
    <w:rPr>
      <w:lang w:eastAsia="en-US"/>
    </w:rPr>
  </w:style>
  <w:style w:type="paragraph" w:styleId="Heading1">
    <w:name w:val="heading 1"/>
    <w:basedOn w:val="Normal"/>
    <w:next w:val="BodyText"/>
    <w:link w:val="Heading1Char"/>
    <w:qFormat/>
    <w:locked/>
    <w:rsid w:val="008D466E"/>
    <w:pPr>
      <w:keepNext/>
      <w:numPr>
        <w:numId w:val="66"/>
      </w:numPr>
      <w:spacing w:before="400" w:after="600"/>
      <w:outlineLvl w:val="0"/>
    </w:pPr>
    <w:rPr>
      <w:rFonts w:ascii="Public Sans SemiBold" w:hAnsi="Public Sans SemiBold"/>
      <w:caps/>
      <w:color w:val="0B3F47"/>
      <w:kern w:val="28"/>
      <w:sz w:val="40"/>
      <w:szCs w:val="36"/>
    </w:rPr>
  </w:style>
  <w:style w:type="paragraph" w:styleId="Heading2">
    <w:name w:val="heading 2"/>
    <w:aliases w:val="Heading2 Numbered"/>
    <w:basedOn w:val="Normal"/>
    <w:next w:val="BodyText"/>
    <w:link w:val="Heading2Char"/>
    <w:uiPriority w:val="9"/>
    <w:qFormat/>
    <w:rsid w:val="00173234"/>
    <w:pPr>
      <w:keepNext/>
      <w:widowControl w:val="0"/>
      <w:pBdr>
        <w:bottom w:val="single" w:sz="4" w:space="2" w:color="008EBA"/>
      </w:pBdr>
      <w:tabs>
        <w:tab w:val="num" w:pos="714"/>
      </w:tabs>
      <w:spacing w:before="240" w:after="100" w:line="240" w:lineRule="atLeast"/>
      <w:ind w:left="714" w:hanging="357"/>
      <w:outlineLvl w:val="1"/>
    </w:pPr>
    <w:rPr>
      <w:rFonts w:ascii="Arial Bold" w:hAnsi="Arial Bold"/>
      <w:b/>
      <w:color w:val="008EBA"/>
      <w:kern w:val="28"/>
      <w:sz w:val="24"/>
      <w:szCs w:val="36"/>
    </w:rPr>
  </w:style>
  <w:style w:type="paragraph" w:styleId="Heading3">
    <w:name w:val="heading 3"/>
    <w:next w:val="BodyText"/>
    <w:link w:val="Heading3Char"/>
    <w:autoRedefine/>
    <w:qFormat/>
    <w:locked/>
    <w:rsid w:val="001B74FC"/>
    <w:pPr>
      <w:spacing w:before="240" w:after="100" w:line="240" w:lineRule="atLeast"/>
      <w:ind w:left="0" w:firstLine="0"/>
      <w:outlineLvl w:val="2"/>
    </w:pPr>
    <w:rPr>
      <w:rFonts w:ascii="Public Sans SemiBold" w:hAnsi="Public Sans SemiBold"/>
      <w:b/>
      <w:bCs/>
      <w:color w:val="000000" w:themeColor="text1"/>
      <w:kern w:val="28"/>
      <w:sz w:val="26"/>
      <w:szCs w:val="28"/>
      <w:lang w:eastAsia="en-US"/>
    </w:rPr>
  </w:style>
  <w:style w:type="paragraph" w:styleId="Heading4">
    <w:name w:val="heading 4"/>
    <w:basedOn w:val="Heading3"/>
    <w:next w:val="BodyText"/>
    <w:link w:val="Heading4Char"/>
    <w:qFormat/>
    <w:locked/>
    <w:rsid w:val="000E0BEF"/>
    <w:pPr>
      <w:outlineLvl w:val="3"/>
    </w:pPr>
    <w:rPr>
      <w:sz w:val="24"/>
    </w:rPr>
  </w:style>
  <w:style w:type="paragraph" w:styleId="Heading5">
    <w:name w:val="heading 5"/>
    <w:basedOn w:val="Heading4"/>
    <w:next w:val="BodyText"/>
    <w:link w:val="Heading5Char"/>
    <w:qFormat/>
    <w:locked/>
    <w:rsid w:val="00173234"/>
    <w:pPr>
      <w:spacing w:after="60"/>
      <w:outlineLvl w:val="4"/>
    </w:pPr>
    <w:rPr>
      <w:i/>
    </w:rPr>
  </w:style>
  <w:style w:type="paragraph" w:styleId="Heading6">
    <w:name w:val="heading 6"/>
    <w:basedOn w:val="Heading1"/>
    <w:next w:val="Normal"/>
    <w:link w:val="Heading6Char"/>
    <w:semiHidden/>
    <w:qFormat/>
    <w:rsid w:val="00173234"/>
    <w:pPr>
      <w:spacing w:before="120"/>
      <w:ind w:left="1134" w:hanging="1134"/>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173234"/>
    <w:pPr>
      <w:spacing w:before="120"/>
      <w:ind w:left="425"/>
      <w:jc w:val="both"/>
      <w:outlineLvl w:val="6"/>
    </w:pPr>
    <w:rPr>
      <w:i w:val="0"/>
    </w:rPr>
  </w:style>
  <w:style w:type="paragraph" w:styleId="Heading8">
    <w:name w:val="heading 8"/>
    <w:basedOn w:val="Heading7"/>
    <w:next w:val="Normal"/>
    <w:link w:val="Heading8Char"/>
    <w:semiHidden/>
    <w:qFormat/>
    <w:rsid w:val="00173234"/>
    <w:pPr>
      <w:outlineLvl w:val="7"/>
    </w:pPr>
    <w:rPr>
      <w:i/>
    </w:rPr>
  </w:style>
  <w:style w:type="paragraph" w:styleId="Heading9">
    <w:name w:val="heading 9"/>
    <w:basedOn w:val="Heading8"/>
    <w:next w:val="Normal"/>
    <w:link w:val="Heading9Char"/>
    <w:semiHidden/>
    <w:qFormat/>
    <w:rsid w:val="00173234"/>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947D2B"/>
    <w:pPr>
      <w:keepLines/>
      <w:spacing w:before="120"/>
      <w:ind w:left="0" w:firstLine="0"/>
    </w:pPr>
    <w:rPr>
      <w:rFonts w:ascii="Public Sans" w:hAnsi="Public Sans" w:cs="Arial"/>
      <w:iCs/>
      <w:color w:val="000000" w:themeColor="text1"/>
      <w:sz w:val="22"/>
      <w:lang w:eastAsia="en-US"/>
    </w:rPr>
  </w:style>
  <w:style w:type="paragraph" w:customStyle="1" w:styleId="Bullet1">
    <w:name w:val="Bullet 1"/>
    <w:basedOn w:val="BodyText"/>
    <w:link w:val="Bullet1Char"/>
    <w:autoRedefine/>
    <w:qFormat/>
    <w:locked/>
    <w:rsid w:val="00255B44"/>
    <w:pPr>
      <w:numPr>
        <w:numId w:val="23"/>
      </w:numPr>
      <w:tabs>
        <w:tab w:val="left" w:pos="8647"/>
      </w:tabs>
      <w:ind w:left="284" w:hanging="284"/>
    </w:pPr>
    <w:rPr>
      <w:rFonts w:eastAsiaTheme="minorEastAsia"/>
      <w:szCs w:val="23"/>
      <w:lang w:eastAsia="en-AU"/>
    </w:rPr>
  </w:style>
  <w:style w:type="paragraph" w:customStyle="1" w:styleId="Bullet1inabox">
    <w:name w:val="Bullet 1 in a box"/>
    <w:basedOn w:val="Bullet1"/>
    <w:autoRedefine/>
    <w:semiHidden/>
    <w:locked/>
    <w:rsid w:val="00FB3016"/>
    <w:pPr>
      <w:numPr>
        <w:numId w:val="1"/>
      </w:numPr>
      <w:spacing w:before="100" w:after="60"/>
    </w:pPr>
    <w:rPr>
      <w:rFonts w:cs="Times New Roman"/>
    </w:rPr>
  </w:style>
  <w:style w:type="paragraph" w:styleId="NoSpacing">
    <w:name w:val="No Spacing"/>
    <w:basedOn w:val="Normal"/>
    <w:link w:val="NoSpacingChar"/>
    <w:semiHidden/>
    <w:qFormat/>
    <w:rsid w:val="00173234"/>
  </w:style>
  <w:style w:type="paragraph" w:customStyle="1" w:styleId="Bullet2">
    <w:name w:val="Bullet 2"/>
    <w:basedOn w:val="Bullet1"/>
    <w:locked/>
    <w:rsid w:val="00255B44"/>
    <w:pPr>
      <w:numPr>
        <w:numId w:val="24"/>
      </w:numPr>
      <w:tabs>
        <w:tab w:val="clear" w:pos="785"/>
        <w:tab w:val="left" w:pos="851"/>
      </w:tabs>
      <w:ind w:left="568" w:hanging="284"/>
    </w:pPr>
  </w:style>
  <w:style w:type="character" w:customStyle="1" w:styleId="NoSpacingChar">
    <w:name w:val="No Spacing Char"/>
    <w:link w:val="NoSpacing"/>
    <w:semiHidden/>
    <w:rsid w:val="005E013C"/>
    <w:rPr>
      <w:lang w:val="en-US" w:eastAsia="en-US"/>
    </w:rPr>
  </w:style>
  <w:style w:type="paragraph" w:customStyle="1" w:styleId="Table1X">
    <w:name w:val="Table 1.X"/>
    <w:next w:val="Normal"/>
    <w:semiHidden/>
    <w:qFormat/>
    <w:locked/>
    <w:rsid w:val="0025730F"/>
    <w:pPr>
      <w:numPr>
        <w:numId w:val="91"/>
      </w:numPr>
      <w:spacing w:before="240"/>
      <w:ind w:left="1418" w:hanging="1418"/>
    </w:pPr>
    <w:rPr>
      <w:rFonts w:ascii="Public Sans" w:hAnsi="Public Sans"/>
      <w:bCs/>
      <w:i/>
      <w:color w:val="000000" w:themeColor="text1"/>
      <w:kern w:val="28"/>
      <w:sz w:val="22"/>
      <w:szCs w:val="22"/>
      <w:lang w:eastAsia="en-US"/>
    </w:rPr>
  </w:style>
  <w:style w:type="character" w:styleId="FootnoteReference">
    <w:name w:val="footnote reference"/>
    <w:semiHidden/>
    <w:rsid w:val="00173234"/>
    <w:rPr>
      <w:vertAlign w:val="superscript"/>
    </w:rPr>
  </w:style>
  <w:style w:type="paragraph" w:styleId="FootnoteText">
    <w:name w:val="footnote text"/>
    <w:basedOn w:val="Normal"/>
    <w:link w:val="FootnoteTextChar"/>
    <w:uiPriority w:val="99"/>
    <w:semiHidden/>
    <w:rsid w:val="00173234"/>
    <w:pPr>
      <w:spacing w:before="80" w:after="80"/>
      <w:ind w:left="709" w:hanging="142"/>
    </w:pPr>
    <w:rPr>
      <w:i/>
      <w:sz w:val="16"/>
    </w:rPr>
  </w:style>
  <w:style w:type="character" w:styleId="EndnoteReference">
    <w:name w:val="endnote reference"/>
    <w:semiHidden/>
    <w:rsid w:val="00173234"/>
    <w:rPr>
      <w:i/>
      <w:sz w:val="16"/>
      <w:vertAlign w:val="superscript"/>
    </w:rPr>
  </w:style>
  <w:style w:type="paragraph" w:customStyle="1" w:styleId="21Heading2">
    <w:name w:val="2.1 Heading 2"/>
    <w:basedOn w:val="11Heading2"/>
    <w:next w:val="BodyText"/>
    <w:semiHidden/>
    <w:qFormat/>
    <w:locked/>
    <w:rsid w:val="00B611C9"/>
    <w:pPr>
      <w:numPr>
        <w:numId w:val="4"/>
      </w:numPr>
      <w:ind w:left="851" w:hanging="851"/>
    </w:pPr>
  </w:style>
  <w:style w:type="paragraph" w:customStyle="1" w:styleId="11Heading2">
    <w:name w:val="1.1 Heading 2"/>
    <w:basedOn w:val="Normal"/>
    <w:semiHidden/>
    <w:qFormat/>
    <w:locked/>
    <w:rsid w:val="00B611C9"/>
    <w:pPr>
      <w:numPr>
        <w:numId w:val="3"/>
      </w:numPr>
      <w:pBdr>
        <w:bottom w:val="single" w:sz="4" w:space="4" w:color="22272B"/>
      </w:pBdr>
      <w:spacing w:before="360" w:after="120"/>
      <w:ind w:left="851" w:hanging="851"/>
    </w:pPr>
    <w:rPr>
      <w:rFonts w:ascii="Public Sans SemiBold" w:hAnsi="Public Sans SemiBold"/>
      <w:b/>
      <w:color w:val="22272B"/>
      <w:sz w:val="28"/>
    </w:rPr>
  </w:style>
  <w:style w:type="paragraph" w:customStyle="1" w:styleId="Chart1X">
    <w:name w:val="Chart 1.X"/>
    <w:basedOn w:val="Table1X"/>
    <w:next w:val="Normal"/>
    <w:semiHidden/>
    <w:locked/>
    <w:rsid w:val="00FA6338"/>
    <w:pPr>
      <w:keepLines/>
      <w:numPr>
        <w:numId w:val="28"/>
      </w:numPr>
      <w:ind w:left="1418" w:hanging="1418"/>
    </w:pPr>
  </w:style>
  <w:style w:type="character" w:customStyle="1" w:styleId="Heading2Char">
    <w:name w:val="Heading 2 Char"/>
    <w:aliases w:val="Heading2 Numbered Char"/>
    <w:link w:val="Heading2"/>
    <w:uiPriority w:val="9"/>
    <w:rsid w:val="000A30B4"/>
    <w:rPr>
      <w:rFonts w:ascii="Arial Bold" w:hAnsi="Arial Bold"/>
      <w:b/>
      <w:color w:val="008EBA"/>
      <w:kern w:val="28"/>
      <w:sz w:val="24"/>
      <w:szCs w:val="36"/>
      <w:lang w:eastAsia="en-US"/>
    </w:rPr>
  </w:style>
  <w:style w:type="table" w:styleId="TableGrid">
    <w:name w:val="Table Grid"/>
    <w:basedOn w:val="TableNormal"/>
    <w:uiPriority w:val="39"/>
    <w:rsid w:val="001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1B74FC"/>
    <w:rPr>
      <w:rFonts w:ascii="Public Sans SemiBold" w:hAnsi="Public Sans SemiBold"/>
      <w:b/>
      <w:bCs/>
      <w:color w:val="000000" w:themeColor="text1"/>
      <w:kern w:val="28"/>
      <w:sz w:val="26"/>
      <w:szCs w:val="28"/>
      <w:lang w:eastAsia="en-US"/>
    </w:rPr>
  </w:style>
  <w:style w:type="character" w:customStyle="1" w:styleId="Bullet1Char">
    <w:name w:val="Bullet 1 Char"/>
    <w:link w:val="Bullet1"/>
    <w:rsid w:val="000D387D"/>
    <w:rPr>
      <w:rFonts w:ascii="Public Sans" w:eastAsiaTheme="minorEastAsia" w:hAnsi="Public Sans" w:cs="Arial"/>
      <w:iCs/>
      <w:color w:val="000000" w:themeColor="text1"/>
      <w:sz w:val="22"/>
      <w:szCs w:val="23"/>
    </w:rPr>
  </w:style>
  <w:style w:type="paragraph" w:customStyle="1" w:styleId="Box1XBoxHeading">
    <w:name w:val="Box 1.X: Box Heading"/>
    <w:basedOn w:val="Normal"/>
    <w:next w:val="Normal"/>
    <w:semiHidden/>
    <w:qFormat/>
    <w:locked/>
    <w:rsid w:val="00600F5D"/>
    <w:pPr>
      <w:numPr>
        <w:numId w:val="15"/>
      </w:numPr>
      <w:spacing w:before="80" w:after="60" w:line="240" w:lineRule="atLeast"/>
      <w:ind w:left="1134" w:hanging="1134"/>
    </w:pPr>
    <w:rPr>
      <w:rFonts w:ascii="Public Sans SemiBold" w:hAnsi="Public Sans SemiBold"/>
      <w:b/>
      <w:color w:val="000000" w:themeColor="text1"/>
      <w:sz w:val="22"/>
    </w:rPr>
  </w:style>
  <w:style w:type="paragraph" w:customStyle="1" w:styleId="Box3XBoxHeading">
    <w:name w:val="Box 3.X: Box Heading"/>
    <w:basedOn w:val="Box1XBoxHeading"/>
    <w:next w:val="Normal"/>
    <w:semiHidden/>
    <w:qFormat/>
    <w:locked/>
    <w:rsid w:val="00600F5D"/>
    <w:pPr>
      <w:numPr>
        <w:numId w:val="16"/>
      </w:numPr>
      <w:ind w:left="1134" w:hanging="1134"/>
    </w:pPr>
  </w:style>
  <w:style w:type="paragraph" w:customStyle="1" w:styleId="Box6XBoxHeading">
    <w:name w:val="Box 6.X: Box Heading"/>
    <w:basedOn w:val="Box1XBoxHeading"/>
    <w:autoRedefine/>
    <w:semiHidden/>
    <w:qFormat/>
    <w:locked/>
    <w:rsid w:val="00600F5D"/>
    <w:pPr>
      <w:keepLines/>
      <w:widowControl w:val="0"/>
      <w:numPr>
        <w:numId w:val="19"/>
      </w:numPr>
      <w:ind w:left="1134" w:hanging="1134"/>
    </w:pPr>
    <w:rPr>
      <w:rFonts w:eastAsia="Arial Unicode MS" w:cs="Arial"/>
      <w:bCs/>
      <w:szCs w:val="17"/>
      <w:lang w:eastAsia="en-AU"/>
    </w:rPr>
  </w:style>
  <w:style w:type="paragraph" w:customStyle="1" w:styleId="Box2XBoxHeading">
    <w:name w:val="Box 2.X: Box Heading"/>
    <w:basedOn w:val="Box1XBoxHeading"/>
    <w:semiHidden/>
    <w:qFormat/>
    <w:locked/>
    <w:rsid w:val="00600F5D"/>
    <w:pPr>
      <w:numPr>
        <w:numId w:val="89"/>
      </w:numPr>
      <w:ind w:left="1134" w:hanging="1134"/>
    </w:pPr>
  </w:style>
  <w:style w:type="paragraph" w:customStyle="1" w:styleId="Chart2X">
    <w:name w:val="Chart 2.X"/>
    <w:basedOn w:val="Chart1X"/>
    <w:next w:val="Normal"/>
    <w:semiHidden/>
    <w:locked/>
    <w:rsid w:val="00FA6338"/>
    <w:pPr>
      <w:numPr>
        <w:numId w:val="29"/>
      </w:numPr>
      <w:ind w:left="1418" w:hanging="1418"/>
    </w:pPr>
  </w:style>
  <w:style w:type="paragraph" w:customStyle="1" w:styleId="Table2X">
    <w:name w:val="Table 2.X"/>
    <w:basedOn w:val="Table1X"/>
    <w:next w:val="Normal"/>
    <w:semiHidden/>
    <w:qFormat/>
    <w:locked/>
    <w:rsid w:val="00B61FAF"/>
    <w:pPr>
      <w:numPr>
        <w:numId w:val="74"/>
      </w:numPr>
      <w:ind w:left="1418" w:hanging="1418"/>
    </w:pPr>
    <w:rPr>
      <w:lang w:val="fr-FR"/>
    </w:rPr>
  </w:style>
  <w:style w:type="paragraph" w:customStyle="1" w:styleId="Table3X">
    <w:name w:val="Table 3.X"/>
    <w:basedOn w:val="Table1X"/>
    <w:next w:val="Normal"/>
    <w:semiHidden/>
    <w:locked/>
    <w:rsid w:val="0086714A"/>
    <w:pPr>
      <w:widowControl w:val="0"/>
      <w:numPr>
        <w:numId w:val="75"/>
      </w:numPr>
      <w:ind w:left="1418" w:hanging="1418"/>
    </w:pPr>
    <w:rPr>
      <w:bCs w:val="0"/>
    </w:rPr>
  </w:style>
  <w:style w:type="paragraph" w:customStyle="1" w:styleId="TableFX">
    <w:name w:val="Table F.X"/>
    <w:basedOn w:val="TableA1X"/>
    <w:next w:val="Normal"/>
    <w:semiHidden/>
    <w:locked/>
    <w:rsid w:val="00913FA1"/>
    <w:pPr>
      <w:widowControl w:val="0"/>
      <w:numPr>
        <w:numId w:val="88"/>
      </w:numPr>
      <w:ind w:left="1418" w:hanging="1418"/>
    </w:pPr>
    <w:rPr>
      <w:bCs w:val="0"/>
    </w:rPr>
  </w:style>
  <w:style w:type="paragraph" w:customStyle="1" w:styleId="31Heading2">
    <w:name w:val="3.1 Heading 2"/>
    <w:basedOn w:val="11Heading2"/>
    <w:next w:val="BodyText"/>
    <w:semiHidden/>
    <w:qFormat/>
    <w:locked/>
    <w:rsid w:val="00B611C9"/>
    <w:pPr>
      <w:numPr>
        <w:numId w:val="5"/>
      </w:numPr>
      <w:ind w:left="851" w:hanging="851"/>
    </w:pPr>
  </w:style>
  <w:style w:type="paragraph" w:customStyle="1" w:styleId="Box71BoxHeading">
    <w:name w:val="Box 7.1 Box Heading"/>
    <w:basedOn w:val="Normal"/>
    <w:autoRedefine/>
    <w:semiHidden/>
    <w:rsid w:val="00173234"/>
    <w:pPr>
      <w:keepLines/>
      <w:widowControl w:val="0"/>
      <w:numPr>
        <w:numId w:val="20"/>
      </w:numPr>
      <w:tabs>
        <w:tab w:val="left" w:pos="1134"/>
      </w:tabs>
      <w:spacing w:before="80" w:after="60" w:line="240" w:lineRule="atLeast"/>
      <w:ind w:left="360"/>
      <w:outlineLvl w:val="2"/>
    </w:pPr>
    <w:rPr>
      <w:rFonts w:ascii="Arial Bold" w:hAnsi="Arial Bold" w:cs="Arial"/>
      <w:b/>
      <w:sz w:val="23"/>
    </w:rPr>
  </w:style>
  <w:style w:type="paragraph" w:customStyle="1" w:styleId="Chart3X">
    <w:name w:val="Chart 3.X"/>
    <w:basedOn w:val="Chart1X"/>
    <w:next w:val="Normal"/>
    <w:semiHidden/>
    <w:qFormat/>
    <w:locked/>
    <w:rsid w:val="00FA6338"/>
    <w:pPr>
      <w:numPr>
        <w:numId w:val="92"/>
      </w:numPr>
      <w:ind w:left="1418" w:hanging="1418"/>
    </w:pPr>
  </w:style>
  <w:style w:type="paragraph" w:customStyle="1" w:styleId="41Heading2">
    <w:name w:val="4.1 Heading 2"/>
    <w:basedOn w:val="11Heading2"/>
    <w:next w:val="BodyText"/>
    <w:semiHidden/>
    <w:qFormat/>
    <w:locked/>
    <w:rsid w:val="00B611C9"/>
    <w:pPr>
      <w:numPr>
        <w:numId w:val="6"/>
      </w:numPr>
      <w:ind w:left="851" w:hanging="851"/>
    </w:pPr>
    <w:rPr>
      <w:color w:val="000000" w:themeColor="text1"/>
    </w:rPr>
  </w:style>
  <w:style w:type="paragraph" w:customStyle="1" w:styleId="Box4XBoxHeading">
    <w:name w:val="Box 4.X Box Heading"/>
    <w:basedOn w:val="Box1XBoxHeading"/>
    <w:next w:val="Normal"/>
    <w:autoRedefine/>
    <w:semiHidden/>
    <w:locked/>
    <w:rsid w:val="00013BFF"/>
    <w:pPr>
      <w:numPr>
        <w:numId w:val="17"/>
      </w:numPr>
      <w:ind w:left="1134" w:hanging="1134"/>
    </w:pPr>
    <w:rPr>
      <w:rFonts w:cs="Arial"/>
      <w:lang w:eastAsia="en-AU"/>
    </w:rPr>
  </w:style>
  <w:style w:type="paragraph" w:customStyle="1" w:styleId="Chart4X">
    <w:name w:val="Chart 4.X"/>
    <w:basedOn w:val="Chart1X"/>
    <w:next w:val="Normal"/>
    <w:semiHidden/>
    <w:locked/>
    <w:rsid w:val="00FA6338"/>
    <w:pPr>
      <w:numPr>
        <w:numId w:val="30"/>
      </w:numPr>
      <w:ind w:left="1418" w:hanging="1418"/>
    </w:pPr>
  </w:style>
  <w:style w:type="paragraph" w:customStyle="1" w:styleId="Table4X">
    <w:name w:val="Table 4.X"/>
    <w:basedOn w:val="Table1X"/>
    <w:next w:val="Normal"/>
    <w:semiHidden/>
    <w:locked/>
    <w:rsid w:val="0086714A"/>
    <w:pPr>
      <w:widowControl w:val="0"/>
      <w:numPr>
        <w:numId w:val="76"/>
      </w:numPr>
      <w:ind w:left="1418" w:hanging="1418"/>
    </w:pPr>
    <w:rPr>
      <w:bCs w:val="0"/>
    </w:rPr>
  </w:style>
  <w:style w:type="paragraph" w:customStyle="1" w:styleId="51Heading2">
    <w:name w:val="5.1 Heading 2"/>
    <w:basedOn w:val="11Heading2"/>
    <w:next w:val="BodyText"/>
    <w:semiHidden/>
    <w:qFormat/>
    <w:locked/>
    <w:rsid w:val="00B611C9"/>
    <w:pPr>
      <w:numPr>
        <w:numId w:val="7"/>
      </w:numPr>
      <w:ind w:left="851" w:hanging="851"/>
    </w:pPr>
    <w:rPr>
      <w:color w:val="000000" w:themeColor="text1"/>
    </w:rPr>
  </w:style>
  <w:style w:type="paragraph" w:customStyle="1" w:styleId="Box5XBoxHeading">
    <w:name w:val="Box 5.X: Box Heading"/>
    <w:basedOn w:val="Box1XBoxHeading"/>
    <w:next w:val="Normal"/>
    <w:semiHidden/>
    <w:qFormat/>
    <w:locked/>
    <w:rsid w:val="00600F5D"/>
    <w:pPr>
      <w:numPr>
        <w:numId w:val="18"/>
      </w:numPr>
      <w:ind w:left="1134" w:hanging="1134"/>
    </w:pPr>
  </w:style>
  <w:style w:type="paragraph" w:customStyle="1" w:styleId="Chart5X">
    <w:name w:val="Chart 5.X"/>
    <w:basedOn w:val="Chart1X"/>
    <w:next w:val="Normal"/>
    <w:semiHidden/>
    <w:locked/>
    <w:rsid w:val="00FA6338"/>
    <w:pPr>
      <w:numPr>
        <w:numId w:val="31"/>
      </w:numPr>
      <w:ind w:left="1418" w:hanging="1418"/>
    </w:pPr>
  </w:style>
  <w:style w:type="paragraph" w:customStyle="1" w:styleId="Table5X">
    <w:name w:val="Table 5.X"/>
    <w:basedOn w:val="Table1X"/>
    <w:next w:val="Normal"/>
    <w:semiHidden/>
    <w:locked/>
    <w:rsid w:val="0086714A"/>
    <w:pPr>
      <w:widowControl w:val="0"/>
      <w:numPr>
        <w:numId w:val="77"/>
      </w:numPr>
      <w:ind w:left="1418" w:hanging="1418"/>
    </w:pPr>
    <w:rPr>
      <w:bCs w:val="0"/>
    </w:rPr>
  </w:style>
  <w:style w:type="paragraph" w:customStyle="1" w:styleId="Chart6X">
    <w:name w:val="Chart 6.X"/>
    <w:basedOn w:val="Chart1X"/>
    <w:next w:val="Normal"/>
    <w:semiHidden/>
    <w:qFormat/>
    <w:locked/>
    <w:rsid w:val="00FA6338"/>
    <w:pPr>
      <w:numPr>
        <w:numId w:val="32"/>
      </w:numPr>
      <w:ind w:left="1418" w:hanging="1418"/>
    </w:pPr>
  </w:style>
  <w:style w:type="paragraph" w:customStyle="1" w:styleId="Table6X">
    <w:name w:val="Table 6.X"/>
    <w:basedOn w:val="Table1X"/>
    <w:next w:val="Normal"/>
    <w:semiHidden/>
    <w:qFormat/>
    <w:locked/>
    <w:rsid w:val="0086714A"/>
    <w:pPr>
      <w:widowControl w:val="0"/>
      <w:numPr>
        <w:numId w:val="78"/>
      </w:numPr>
      <w:ind w:left="1418" w:hanging="1418"/>
    </w:pPr>
    <w:rPr>
      <w:bCs w:val="0"/>
    </w:rPr>
  </w:style>
  <w:style w:type="paragraph" w:customStyle="1" w:styleId="71Heading2">
    <w:name w:val="7.1 Heading 2"/>
    <w:basedOn w:val="11Heading2"/>
    <w:next w:val="BodyText"/>
    <w:semiHidden/>
    <w:qFormat/>
    <w:locked/>
    <w:rsid w:val="00B611C9"/>
    <w:pPr>
      <w:numPr>
        <w:numId w:val="9"/>
      </w:numPr>
      <w:ind w:left="851" w:hanging="851"/>
    </w:pPr>
    <w:rPr>
      <w:color w:val="000000" w:themeColor="text1"/>
    </w:rPr>
  </w:style>
  <w:style w:type="paragraph" w:customStyle="1" w:styleId="81Heading2">
    <w:name w:val="8.1 Heading 2"/>
    <w:basedOn w:val="11Heading2"/>
    <w:next w:val="BodyText"/>
    <w:semiHidden/>
    <w:qFormat/>
    <w:locked/>
    <w:rsid w:val="00B611C9"/>
    <w:pPr>
      <w:numPr>
        <w:numId w:val="10"/>
      </w:numPr>
      <w:ind w:left="851" w:hanging="851"/>
    </w:pPr>
    <w:rPr>
      <w:color w:val="000000" w:themeColor="text1"/>
    </w:rPr>
  </w:style>
  <w:style w:type="paragraph" w:customStyle="1" w:styleId="Chart7X">
    <w:name w:val="Chart 7.X"/>
    <w:basedOn w:val="Chart1X"/>
    <w:next w:val="Normal"/>
    <w:semiHidden/>
    <w:qFormat/>
    <w:locked/>
    <w:rsid w:val="00FA6338"/>
    <w:pPr>
      <w:numPr>
        <w:numId w:val="33"/>
      </w:numPr>
      <w:ind w:left="1418" w:hanging="1418"/>
    </w:pPr>
  </w:style>
  <w:style w:type="paragraph" w:customStyle="1" w:styleId="Box7XBoxHeading">
    <w:name w:val="Box 7.X: Box Heading"/>
    <w:basedOn w:val="Box1XBoxHeading"/>
    <w:next w:val="Normal"/>
    <w:semiHidden/>
    <w:qFormat/>
    <w:locked/>
    <w:rsid w:val="00600F5D"/>
    <w:pPr>
      <w:numPr>
        <w:numId w:val="21"/>
      </w:numPr>
      <w:ind w:left="1134" w:hanging="1134"/>
    </w:pPr>
  </w:style>
  <w:style w:type="paragraph" w:customStyle="1" w:styleId="Table7X">
    <w:name w:val="Table 7.X"/>
    <w:basedOn w:val="Table1X"/>
    <w:next w:val="Normal"/>
    <w:semiHidden/>
    <w:qFormat/>
    <w:locked/>
    <w:rsid w:val="0086714A"/>
    <w:pPr>
      <w:numPr>
        <w:numId w:val="79"/>
      </w:numPr>
      <w:ind w:left="1418" w:hanging="1418"/>
    </w:pPr>
  </w:style>
  <w:style w:type="paragraph" w:customStyle="1" w:styleId="ChartEX">
    <w:name w:val="Chart E.X"/>
    <w:basedOn w:val="ChartA1X"/>
    <w:next w:val="Normal"/>
    <w:semiHidden/>
    <w:qFormat/>
    <w:locked/>
    <w:rsid w:val="00FA6338"/>
    <w:pPr>
      <w:numPr>
        <w:numId w:val="42"/>
      </w:numPr>
      <w:ind w:left="1418" w:hanging="1418"/>
    </w:pPr>
  </w:style>
  <w:style w:type="paragraph" w:customStyle="1" w:styleId="ChartA2X">
    <w:name w:val="Chart A2.X"/>
    <w:basedOn w:val="ChartA1X"/>
    <w:next w:val="Normal"/>
    <w:semiHidden/>
    <w:qFormat/>
    <w:locked/>
    <w:rsid w:val="00FA6338"/>
    <w:pPr>
      <w:numPr>
        <w:numId w:val="35"/>
      </w:numPr>
      <w:ind w:left="1418" w:hanging="1418"/>
    </w:pPr>
  </w:style>
  <w:style w:type="paragraph" w:customStyle="1" w:styleId="A22Heading2">
    <w:name w:val="A2.2 Heading 2"/>
    <w:basedOn w:val="11Heading2"/>
    <w:next w:val="BodyText"/>
    <w:semiHidden/>
    <w:qFormat/>
    <w:locked/>
    <w:rsid w:val="00600F5D"/>
    <w:pPr>
      <w:numPr>
        <w:numId w:val="11"/>
      </w:numPr>
      <w:ind w:left="851" w:hanging="851"/>
    </w:pPr>
    <w:rPr>
      <w:color w:val="000000" w:themeColor="text1"/>
    </w:rPr>
  </w:style>
  <w:style w:type="paragraph" w:customStyle="1" w:styleId="TableA2X">
    <w:name w:val="Table A2.X"/>
    <w:basedOn w:val="TableA1X"/>
    <w:next w:val="Normal"/>
    <w:semiHidden/>
    <w:locked/>
    <w:rsid w:val="0086714A"/>
    <w:pPr>
      <w:keepNext/>
      <w:keepLines/>
      <w:widowControl w:val="0"/>
      <w:numPr>
        <w:numId w:val="82"/>
      </w:numPr>
      <w:autoSpaceDE w:val="0"/>
      <w:autoSpaceDN w:val="0"/>
      <w:ind w:left="1418" w:hanging="1418"/>
    </w:pPr>
    <w:rPr>
      <w:rFonts w:cs="Arial"/>
      <w:lang w:eastAsia="en-AU"/>
    </w:rPr>
  </w:style>
  <w:style w:type="paragraph" w:customStyle="1" w:styleId="TableA3X">
    <w:name w:val="Table A3.X"/>
    <w:basedOn w:val="TableA1X"/>
    <w:next w:val="Normal"/>
    <w:semiHidden/>
    <w:qFormat/>
    <w:locked/>
    <w:rsid w:val="0086714A"/>
    <w:pPr>
      <w:widowControl w:val="0"/>
      <w:numPr>
        <w:numId w:val="83"/>
      </w:numPr>
      <w:ind w:left="1418" w:hanging="1418"/>
    </w:pPr>
    <w:rPr>
      <w:bCs w:val="0"/>
    </w:rPr>
  </w:style>
  <w:style w:type="paragraph" w:customStyle="1" w:styleId="A11Heading2">
    <w:name w:val="A1.1 Heading 2"/>
    <w:basedOn w:val="11Heading2"/>
    <w:next w:val="BodyText"/>
    <w:semiHidden/>
    <w:qFormat/>
    <w:locked/>
    <w:rsid w:val="00600F5D"/>
    <w:pPr>
      <w:numPr>
        <w:numId w:val="90"/>
      </w:numPr>
      <w:ind w:left="851" w:hanging="851"/>
    </w:pPr>
    <w:rPr>
      <w:rFonts w:eastAsia="Tahoma" w:cs="Tahoma"/>
      <w:color w:val="000000" w:themeColor="text1"/>
    </w:rPr>
  </w:style>
  <w:style w:type="paragraph" w:customStyle="1" w:styleId="B1Heading2">
    <w:name w:val="B.1 Heading 2"/>
    <w:basedOn w:val="11Heading2"/>
    <w:semiHidden/>
    <w:qFormat/>
    <w:locked/>
    <w:rsid w:val="00600F5D"/>
    <w:pPr>
      <w:numPr>
        <w:numId w:val="14"/>
      </w:numPr>
      <w:ind w:left="851" w:hanging="851"/>
    </w:pPr>
    <w:rPr>
      <w:rFonts w:eastAsia="Tahoma" w:cs="Tahoma"/>
      <w:color w:val="000000" w:themeColor="text1"/>
    </w:rPr>
  </w:style>
  <w:style w:type="paragraph" w:customStyle="1" w:styleId="ChartA1X">
    <w:name w:val="Chart A1.X"/>
    <w:basedOn w:val="Chart1X"/>
    <w:next w:val="Normal"/>
    <w:semiHidden/>
    <w:qFormat/>
    <w:locked/>
    <w:rsid w:val="00FA6338"/>
    <w:pPr>
      <w:numPr>
        <w:numId w:val="34"/>
      </w:numPr>
      <w:ind w:left="1418" w:hanging="1418"/>
    </w:pPr>
    <w:rPr>
      <w:rFonts w:eastAsia="Tahoma" w:cs="Tahoma"/>
    </w:rPr>
  </w:style>
  <w:style w:type="paragraph" w:customStyle="1" w:styleId="ChartBX">
    <w:name w:val="Chart B.X"/>
    <w:basedOn w:val="ChartA1X"/>
    <w:next w:val="Normal"/>
    <w:semiHidden/>
    <w:qFormat/>
    <w:locked/>
    <w:rsid w:val="00FA6338"/>
    <w:pPr>
      <w:numPr>
        <w:numId w:val="39"/>
      </w:numPr>
      <w:ind w:left="1418" w:hanging="1418"/>
    </w:pPr>
  </w:style>
  <w:style w:type="paragraph" w:customStyle="1" w:styleId="ChartCX">
    <w:name w:val="Chart C.X"/>
    <w:basedOn w:val="ChartA1X"/>
    <w:next w:val="Normal"/>
    <w:semiHidden/>
    <w:qFormat/>
    <w:locked/>
    <w:rsid w:val="00FA6338"/>
    <w:pPr>
      <w:numPr>
        <w:numId w:val="40"/>
      </w:numPr>
      <w:ind w:left="1418" w:hanging="1418"/>
    </w:pPr>
  </w:style>
  <w:style w:type="paragraph" w:customStyle="1" w:styleId="ChartDX">
    <w:name w:val="Chart D.X"/>
    <w:basedOn w:val="ChartA1X"/>
    <w:next w:val="Normal"/>
    <w:semiHidden/>
    <w:qFormat/>
    <w:locked/>
    <w:rsid w:val="00FA6338"/>
    <w:pPr>
      <w:numPr>
        <w:numId w:val="41"/>
      </w:numPr>
      <w:ind w:left="1418" w:hanging="1418"/>
    </w:pPr>
  </w:style>
  <w:style w:type="paragraph" w:customStyle="1" w:styleId="TableA1X">
    <w:name w:val="Table A1.X"/>
    <w:basedOn w:val="Table1X"/>
    <w:next w:val="Normal"/>
    <w:semiHidden/>
    <w:qFormat/>
    <w:locked/>
    <w:rsid w:val="0086714A"/>
    <w:pPr>
      <w:numPr>
        <w:numId w:val="81"/>
      </w:numPr>
      <w:ind w:left="1418" w:hanging="1418"/>
    </w:pPr>
    <w:rPr>
      <w:rFonts w:eastAsia="Tahoma" w:cs="Tahoma"/>
    </w:rPr>
  </w:style>
  <w:style w:type="paragraph" w:customStyle="1" w:styleId="TableBX">
    <w:name w:val="Table B.X"/>
    <w:basedOn w:val="TableA1X"/>
    <w:next w:val="Normal"/>
    <w:semiHidden/>
    <w:qFormat/>
    <w:locked/>
    <w:rsid w:val="0086714A"/>
    <w:pPr>
      <w:numPr>
        <w:numId w:val="84"/>
      </w:numPr>
      <w:ind w:left="1418" w:hanging="1418"/>
    </w:pPr>
  </w:style>
  <w:style w:type="paragraph" w:customStyle="1" w:styleId="TableCX">
    <w:name w:val="Table C.X"/>
    <w:basedOn w:val="TableA1X"/>
    <w:next w:val="Normal"/>
    <w:semiHidden/>
    <w:qFormat/>
    <w:locked/>
    <w:rsid w:val="0086714A"/>
    <w:pPr>
      <w:numPr>
        <w:numId w:val="85"/>
      </w:numPr>
      <w:ind w:left="1418" w:hanging="1418"/>
    </w:pPr>
  </w:style>
  <w:style w:type="paragraph" w:customStyle="1" w:styleId="TableDX">
    <w:name w:val="Table D.X"/>
    <w:basedOn w:val="TableA1X"/>
    <w:next w:val="Normal"/>
    <w:semiHidden/>
    <w:qFormat/>
    <w:locked/>
    <w:rsid w:val="00B61FAF"/>
    <w:pPr>
      <w:numPr>
        <w:numId w:val="86"/>
      </w:numPr>
      <w:ind w:left="1418" w:hanging="1418"/>
    </w:pPr>
  </w:style>
  <w:style w:type="paragraph" w:customStyle="1" w:styleId="ChartA3X">
    <w:name w:val="Chart A3.X"/>
    <w:basedOn w:val="ChartA1X"/>
    <w:next w:val="Normal"/>
    <w:semiHidden/>
    <w:qFormat/>
    <w:locked/>
    <w:rsid w:val="00FA6338"/>
    <w:pPr>
      <w:numPr>
        <w:numId w:val="36"/>
      </w:numPr>
      <w:ind w:left="1418" w:hanging="1418"/>
    </w:pPr>
  </w:style>
  <w:style w:type="paragraph" w:customStyle="1" w:styleId="ChartFX">
    <w:name w:val="Chart F.X"/>
    <w:basedOn w:val="ChartA1X"/>
    <w:next w:val="Normal"/>
    <w:semiHidden/>
    <w:locked/>
    <w:rsid w:val="00FA6338"/>
    <w:pPr>
      <w:numPr>
        <w:numId w:val="43"/>
      </w:numPr>
      <w:ind w:left="1418" w:hanging="1418"/>
    </w:pPr>
  </w:style>
  <w:style w:type="paragraph" w:customStyle="1" w:styleId="61Heading2">
    <w:name w:val="6.1 Heading 2"/>
    <w:basedOn w:val="11Heading2"/>
    <w:next w:val="BodyText"/>
    <w:semiHidden/>
    <w:qFormat/>
    <w:locked/>
    <w:rsid w:val="00B611C9"/>
    <w:pPr>
      <w:numPr>
        <w:numId w:val="8"/>
      </w:numPr>
      <w:ind w:left="851" w:hanging="851"/>
    </w:pPr>
    <w:rPr>
      <w:color w:val="000000" w:themeColor="text1"/>
    </w:rPr>
  </w:style>
  <w:style w:type="paragraph" w:customStyle="1" w:styleId="A31Heading2">
    <w:name w:val="A3.1 Heading 2"/>
    <w:basedOn w:val="11Heading2"/>
    <w:semiHidden/>
    <w:qFormat/>
    <w:locked/>
    <w:rsid w:val="00600F5D"/>
    <w:pPr>
      <w:numPr>
        <w:numId w:val="12"/>
      </w:numPr>
      <w:ind w:left="851" w:hanging="851"/>
    </w:pPr>
    <w:rPr>
      <w:color w:val="000000" w:themeColor="text1"/>
    </w:rPr>
  </w:style>
  <w:style w:type="paragraph" w:customStyle="1" w:styleId="A41Heading2">
    <w:name w:val="A4.1 Heading 2"/>
    <w:basedOn w:val="11Heading2"/>
    <w:next w:val="BodyText"/>
    <w:semiHidden/>
    <w:qFormat/>
    <w:locked/>
    <w:rsid w:val="00600F5D"/>
    <w:pPr>
      <w:numPr>
        <w:numId w:val="13"/>
      </w:numPr>
      <w:ind w:left="851" w:hanging="851"/>
    </w:pPr>
    <w:rPr>
      <w:color w:val="000000" w:themeColor="text1"/>
    </w:rPr>
  </w:style>
  <w:style w:type="paragraph" w:customStyle="1" w:styleId="C1Heading2">
    <w:name w:val="C.1 Heading 2"/>
    <w:basedOn w:val="11Heading2"/>
    <w:next w:val="BodyText"/>
    <w:semiHidden/>
    <w:qFormat/>
    <w:locked/>
    <w:rsid w:val="00FA6338"/>
    <w:pPr>
      <w:numPr>
        <w:numId w:val="27"/>
      </w:numPr>
      <w:ind w:left="851" w:hanging="851"/>
    </w:pPr>
    <w:rPr>
      <w:color w:val="000000" w:themeColor="text1"/>
    </w:rPr>
  </w:style>
  <w:style w:type="paragraph" w:customStyle="1" w:styleId="D1Heading2">
    <w:name w:val="D.1 Heading 2"/>
    <w:basedOn w:val="11Heading2"/>
    <w:next w:val="BodyText"/>
    <w:semiHidden/>
    <w:qFormat/>
    <w:locked/>
    <w:rsid w:val="00B53B6D"/>
    <w:pPr>
      <w:numPr>
        <w:numId w:val="44"/>
      </w:numPr>
      <w:ind w:left="851" w:hanging="851"/>
    </w:pPr>
  </w:style>
  <w:style w:type="paragraph" w:customStyle="1" w:styleId="E1Heading2">
    <w:name w:val="E.1 Heading 2"/>
    <w:basedOn w:val="11Heading2"/>
    <w:next w:val="BodyText"/>
    <w:semiHidden/>
    <w:qFormat/>
    <w:locked/>
    <w:rsid w:val="00B53B6D"/>
    <w:pPr>
      <w:numPr>
        <w:numId w:val="45"/>
      </w:numPr>
      <w:ind w:left="851" w:hanging="851"/>
    </w:pPr>
  </w:style>
  <w:style w:type="paragraph" w:customStyle="1" w:styleId="F1Heading2">
    <w:name w:val="F.1 Heading 2"/>
    <w:basedOn w:val="11Heading2"/>
    <w:semiHidden/>
    <w:qFormat/>
    <w:locked/>
    <w:rsid w:val="00B53B6D"/>
    <w:pPr>
      <w:numPr>
        <w:numId w:val="46"/>
      </w:numPr>
      <w:ind w:left="851" w:hanging="851"/>
    </w:pPr>
  </w:style>
  <w:style w:type="paragraph" w:customStyle="1" w:styleId="Table8X">
    <w:name w:val="Table 8.X"/>
    <w:basedOn w:val="Table1X"/>
    <w:next w:val="Normal"/>
    <w:semiHidden/>
    <w:qFormat/>
    <w:locked/>
    <w:rsid w:val="0086714A"/>
    <w:pPr>
      <w:numPr>
        <w:numId w:val="80"/>
      </w:numPr>
      <w:ind w:left="1418" w:hanging="1418"/>
    </w:pPr>
  </w:style>
  <w:style w:type="paragraph" w:customStyle="1" w:styleId="ChartA4X">
    <w:name w:val="Chart A4.X"/>
    <w:basedOn w:val="ChartA1X"/>
    <w:next w:val="Normal"/>
    <w:semiHidden/>
    <w:qFormat/>
    <w:locked/>
    <w:rsid w:val="00FA6338"/>
    <w:pPr>
      <w:numPr>
        <w:numId w:val="37"/>
      </w:numPr>
      <w:ind w:left="1418" w:hanging="1418"/>
    </w:pPr>
  </w:style>
  <w:style w:type="paragraph" w:customStyle="1" w:styleId="ChartA5X">
    <w:name w:val="Chart A5.X"/>
    <w:basedOn w:val="ChartA1X"/>
    <w:next w:val="Normal"/>
    <w:semiHidden/>
    <w:qFormat/>
    <w:locked/>
    <w:rsid w:val="00FA6338"/>
    <w:pPr>
      <w:numPr>
        <w:numId w:val="38"/>
      </w:numPr>
      <w:ind w:left="1418" w:hanging="1418"/>
    </w:pPr>
  </w:style>
  <w:style w:type="paragraph" w:customStyle="1" w:styleId="Box8XBoxHeading">
    <w:name w:val="Box 8.X: Box Heading"/>
    <w:basedOn w:val="Box1XBoxHeading"/>
    <w:next w:val="Normal"/>
    <w:semiHidden/>
    <w:qFormat/>
    <w:locked/>
    <w:rsid w:val="00600F5D"/>
    <w:pPr>
      <w:numPr>
        <w:numId w:val="22"/>
      </w:numPr>
      <w:tabs>
        <w:tab w:val="num" w:pos="785"/>
      </w:tabs>
      <w:ind w:left="1134" w:hanging="1134"/>
    </w:pPr>
  </w:style>
  <w:style w:type="paragraph" w:styleId="Header">
    <w:name w:val="header"/>
    <w:basedOn w:val="Normal"/>
    <w:link w:val="HeaderChar"/>
    <w:uiPriority w:val="99"/>
    <w:rsid w:val="00173234"/>
    <w:pPr>
      <w:tabs>
        <w:tab w:val="center" w:pos="4513"/>
        <w:tab w:val="right" w:pos="9026"/>
      </w:tabs>
    </w:pPr>
  </w:style>
  <w:style w:type="character" w:customStyle="1" w:styleId="HeaderChar">
    <w:name w:val="Header Char"/>
    <w:basedOn w:val="DefaultParagraphFont"/>
    <w:link w:val="Header"/>
    <w:uiPriority w:val="99"/>
    <w:rsid w:val="005E013C"/>
    <w:rPr>
      <w:lang w:val="en-US" w:eastAsia="en-US"/>
    </w:rPr>
  </w:style>
  <w:style w:type="paragraph" w:styleId="Footer">
    <w:name w:val="footer"/>
    <w:basedOn w:val="Normal"/>
    <w:link w:val="FooterChar"/>
    <w:semiHidden/>
    <w:rsid w:val="00173234"/>
    <w:pPr>
      <w:tabs>
        <w:tab w:val="center" w:pos="4513"/>
        <w:tab w:val="right" w:pos="9026"/>
      </w:tabs>
    </w:pPr>
  </w:style>
  <w:style w:type="character" w:customStyle="1" w:styleId="FooterChar">
    <w:name w:val="Footer Char"/>
    <w:basedOn w:val="DefaultParagraphFont"/>
    <w:link w:val="Footer"/>
    <w:semiHidden/>
    <w:rsid w:val="000A30B4"/>
    <w:rPr>
      <w:lang w:val="en-US" w:eastAsia="en-US"/>
    </w:rPr>
  </w:style>
  <w:style w:type="table" w:customStyle="1" w:styleId="Focusbox">
    <w:name w:val="Focus box"/>
    <w:basedOn w:val="TableNormal"/>
    <w:uiPriority w:val="99"/>
    <w:locked/>
    <w:rsid w:val="00173234"/>
    <w:rPr>
      <w:rFonts w:ascii="Arial" w:hAnsi="Arial"/>
      <w:sz w:val="23"/>
    </w:rPr>
    <w:tblPr/>
    <w:tcPr>
      <w:shd w:val="pct5" w:color="auto" w:fill="auto"/>
    </w:tcPr>
  </w:style>
  <w:style w:type="paragraph" w:customStyle="1" w:styleId="Source">
    <w:name w:val="Source"/>
    <w:basedOn w:val="Normal"/>
    <w:next w:val="BodyText"/>
    <w:qFormat/>
    <w:rsid w:val="0025730F"/>
    <w:pPr>
      <w:widowControl w:val="0"/>
    </w:pPr>
    <w:rPr>
      <w:rFonts w:ascii="Public Sans" w:hAnsi="Public Sans" w:cs="Arial"/>
      <w:i/>
      <w:noProof/>
      <w:color w:val="000000" w:themeColor="text1"/>
      <w:sz w:val="17"/>
      <w:szCs w:val="17"/>
      <w:lang w:eastAsia="en-AU"/>
    </w:rPr>
  </w:style>
  <w:style w:type="paragraph" w:customStyle="1" w:styleId="Bullet2inabox">
    <w:name w:val="Bullet 2 in a box"/>
    <w:basedOn w:val="Bullet1inabox"/>
    <w:semiHidden/>
    <w:qFormat/>
    <w:rsid w:val="00FC688D"/>
    <w:pPr>
      <w:numPr>
        <w:numId w:val="2"/>
      </w:numPr>
      <w:ind w:left="714" w:hanging="357"/>
    </w:pPr>
  </w:style>
  <w:style w:type="paragraph" w:customStyle="1" w:styleId="Footnotestyle">
    <w:name w:val="Footnote style"/>
    <w:basedOn w:val="Normal"/>
    <w:next w:val="Normal"/>
    <w:qFormat/>
    <w:rsid w:val="00173234"/>
    <w:pPr>
      <w:spacing w:before="40" w:after="40"/>
      <w:ind w:left="709" w:hanging="284"/>
    </w:pPr>
    <w:rPr>
      <w:rFonts w:ascii="Public Sans" w:hAnsi="Public Sans"/>
      <w:sz w:val="16"/>
    </w:rPr>
  </w:style>
  <w:style w:type="paragraph" w:customStyle="1" w:styleId="Headinginbox">
    <w:name w:val="Heading in box"/>
    <w:basedOn w:val="BodyText"/>
    <w:next w:val="Normal"/>
    <w:qFormat/>
    <w:rsid w:val="00C4786E"/>
    <w:rPr>
      <w:rFonts w:ascii="Public Sans SemiBold" w:hAnsi="Public Sans SemiBold"/>
      <w:b/>
    </w:rPr>
  </w:style>
  <w:style w:type="paragraph" w:customStyle="1" w:styleId="Figure1X">
    <w:name w:val="Figure 1.X"/>
    <w:basedOn w:val="Table1X"/>
    <w:next w:val="Normal"/>
    <w:semiHidden/>
    <w:qFormat/>
    <w:rsid w:val="00597E5A"/>
    <w:pPr>
      <w:numPr>
        <w:numId w:val="47"/>
      </w:numPr>
      <w:ind w:left="1418" w:hanging="1418"/>
    </w:pPr>
  </w:style>
  <w:style w:type="paragraph" w:customStyle="1" w:styleId="Figure2X">
    <w:name w:val="Figure 2.X"/>
    <w:basedOn w:val="Figure1X"/>
    <w:next w:val="Normal"/>
    <w:semiHidden/>
    <w:qFormat/>
    <w:rsid w:val="00597E5A"/>
    <w:pPr>
      <w:numPr>
        <w:numId w:val="48"/>
      </w:numPr>
      <w:ind w:left="1418" w:hanging="1418"/>
    </w:pPr>
  </w:style>
  <w:style w:type="paragraph" w:customStyle="1" w:styleId="Figure3X">
    <w:name w:val="Figure 3.X"/>
    <w:basedOn w:val="Figure1X"/>
    <w:next w:val="Normal"/>
    <w:semiHidden/>
    <w:qFormat/>
    <w:rsid w:val="00597E5A"/>
    <w:pPr>
      <w:numPr>
        <w:numId w:val="49"/>
      </w:numPr>
      <w:ind w:left="1418" w:hanging="1418"/>
    </w:pPr>
  </w:style>
  <w:style w:type="paragraph" w:customStyle="1" w:styleId="Figure4X">
    <w:name w:val="Figure 4.X"/>
    <w:basedOn w:val="Figure1X"/>
    <w:next w:val="Normal"/>
    <w:semiHidden/>
    <w:qFormat/>
    <w:rsid w:val="00597E5A"/>
    <w:pPr>
      <w:numPr>
        <w:numId w:val="50"/>
      </w:numPr>
      <w:ind w:left="1418" w:hanging="1418"/>
    </w:pPr>
  </w:style>
  <w:style w:type="paragraph" w:customStyle="1" w:styleId="Figure5X">
    <w:name w:val="Figure 5.X"/>
    <w:basedOn w:val="Figure1X"/>
    <w:next w:val="Normal"/>
    <w:semiHidden/>
    <w:qFormat/>
    <w:rsid w:val="00597E5A"/>
    <w:pPr>
      <w:numPr>
        <w:numId w:val="51"/>
      </w:numPr>
      <w:ind w:left="1418" w:hanging="1418"/>
    </w:pPr>
  </w:style>
  <w:style w:type="paragraph" w:customStyle="1" w:styleId="Figure6X">
    <w:name w:val="Figure 6.X"/>
    <w:basedOn w:val="Figure1X"/>
    <w:next w:val="Normal"/>
    <w:semiHidden/>
    <w:qFormat/>
    <w:rsid w:val="00597E5A"/>
    <w:pPr>
      <w:numPr>
        <w:numId w:val="52"/>
      </w:numPr>
      <w:ind w:left="1418" w:hanging="1418"/>
    </w:pPr>
  </w:style>
  <w:style w:type="paragraph" w:customStyle="1" w:styleId="Figure7X">
    <w:name w:val="Figure 7.X"/>
    <w:basedOn w:val="Figure1X"/>
    <w:next w:val="Normal"/>
    <w:semiHidden/>
    <w:qFormat/>
    <w:rsid w:val="00597E5A"/>
    <w:pPr>
      <w:numPr>
        <w:numId w:val="53"/>
      </w:numPr>
      <w:ind w:left="1418" w:hanging="1418"/>
    </w:pPr>
  </w:style>
  <w:style w:type="paragraph" w:customStyle="1" w:styleId="Figure8X">
    <w:name w:val="Figure 8.X"/>
    <w:basedOn w:val="Figure7X"/>
    <w:next w:val="Normal"/>
    <w:semiHidden/>
    <w:qFormat/>
    <w:rsid w:val="00597E5A"/>
    <w:pPr>
      <w:numPr>
        <w:numId w:val="54"/>
      </w:numPr>
      <w:ind w:left="1418" w:hanging="1418"/>
    </w:pPr>
  </w:style>
  <w:style w:type="paragraph" w:customStyle="1" w:styleId="FigureA1X">
    <w:name w:val="Figure A1.X"/>
    <w:basedOn w:val="Figure1X"/>
    <w:next w:val="Normal"/>
    <w:semiHidden/>
    <w:qFormat/>
    <w:rsid w:val="00597E5A"/>
    <w:pPr>
      <w:numPr>
        <w:numId w:val="55"/>
      </w:numPr>
      <w:ind w:left="1418" w:hanging="1418"/>
    </w:pPr>
  </w:style>
  <w:style w:type="paragraph" w:customStyle="1" w:styleId="FigureA2X">
    <w:name w:val="Figure A2.X"/>
    <w:basedOn w:val="Figure1X"/>
    <w:next w:val="Normal"/>
    <w:semiHidden/>
    <w:qFormat/>
    <w:rsid w:val="00597E5A"/>
    <w:pPr>
      <w:numPr>
        <w:numId w:val="56"/>
      </w:numPr>
      <w:ind w:left="1418" w:hanging="1418"/>
    </w:pPr>
  </w:style>
  <w:style w:type="paragraph" w:customStyle="1" w:styleId="FigureA3X">
    <w:name w:val="Figure A3.X"/>
    <w:basedOn w:val="Figure1X"/>
    <w:next w:val="Normal"/>
    <w:semiHidden/>
    <w:qFormat/>
    <w:rsid w:val="00597E5A"/>
    <w:pPr>
      <w:numPr>
        <w:numId w:val="57"/>
      </w:numPr>
      <w:ind w:left="1418" w:hanging="1418"/>
    </w:pPr>
  </w:style>
  <w:style w:type="paragraph" w:customStyle="1" w:styleId="FigureA4X">
    <w:name w:val="Figure A4.X"/>
    <w:basedOn w:val="Figure1X"/>
    <w:next w:val="Normal"/>
    <w:semiHidden/>
    <w:qFormat/>
    <w:rsid w:val="00597E5A"/>
    <w:pPr>
      <w:numPr>
        <w:numId w:val="58"/>
      </w:numPr>
      <w:ind w:left="1418" w:hanging="1418"/>
    </w:pPr>
  </w:style>
  <w:style w:type="paragraph" w:customStyle="1" w:styleId="FigureA5X">
    <w:name w:val="Figure A5.X"/>
    <w:basedOn w:val="Figure1X"/>
    <w:next w:val="Normal"/>
    <w:semiHidden/>
    <w:qFormat/>
    <w:rsid w:val="0086714A"/>
    <w:pPr>
      <w:numPr>
        <w:numId w:val="59"/>
      </w:numPr>
      <w:ind w:left="1418" w:hanging="1418"/>
    </w:pPr>
  </w:style>
  <w:style w:type="paragraph" w:customStyle="1" w:styleId="FigureBX">
    <w:name w:val="Figure B.X"/>
    <w:basedOn w:val="Figure1X"/>
    <w:semiHidden/>
    <w:qFormat/>
    <w:rsid w:val="0086714A"/>
    <w:pPr>
      <w:numPr>
        <w:numId w:val="60"/>
      </w:numPr>
      <w:ind w:left="1418" w:hanging="1418"/>
    </w:pPr>
  </w:style>
  <w:style w:type="paragraph" w:customStyle="1" w:styleId="FigureCX">
    <w:name w:val="Figure C.X"/>
    <w:basedOn w:val="Figure1X"/>
    <w:next w:val="Normal"/>
    <w:semiHidden/>
    <w:qFormat/>
    <w:rsid w:val="0086714A"/>
    <w:pPr>
      <w:numPr>
        <w:numId w:val="61"/>
      </w:numPr>
      <w:ind w:left="1418" w:hanging="1418"/>
    </w:pPr>
  </w:style>
  <w:style w:type="paragraph" w:customStyle="1" w:styleId="FigureDX">
    <w:name w:val="Figure D.X"/>
    <w:basedOn w:val="Figure1X"/>
    <w:next w:val="Normal"/>
    <w:semiHidden/>
    <w:qFormat/>
    <w:rsid w:val="0086714A"/>
    <w:pPr>
      <w:numPr>
        <w:numId w:val="62"/>
      </w:numPr>
      <w:ind w:left="1418" w:hanging="1418"/>
    </w:pPr>
  </w:style>
  <w:style w:type="paragraph" w:customStyle="1" w:styleId="FigureEX">
    <w:name w:val="Figure E.X"/>
    <w:basedOn w:val="Figure1X"/>
    <w:next w:val="Normal"/>
    <w:semiHidden/>
    <w:qFormat/>
    <w:rsid w:val="0086714A"/>
    <w:pPr>
      <w:numPr>
        <w:numId w:val="63"/>
      </w:numPr>
      <w:tabs>
        <w:tab w:val="num" w:pos="3657"/>
      </w:tabs>
      <w:ind w:left="1418" w:hanging="1418"/>
    </w:pPr>
  </w:style>
  <w:style w:type="paragraph" w:customStyle="1" w:styleId="FigureFX">
    <w:name w:val="Figure F.X"/>
    <w:basedOn w:val="Figure1X"/>
    <w:next w:val="Normal"/>
    <w:semiHidden/>
    <w:qFormat/>
    <w:rsid w:val="0086714A"/>
    <w:pPr>
      <w:numPr>
        <w:numId w:val="64"/>
      </w:numPr>
      <w:ind w:left="1418" w:hanging="1418"/>
    </w:pPr>
  </w:style>
  <w:style w:type="paragraph" w:customStyle="1" w:styleId="Bullet3">
    <w:name w:val="Bullet 3"/>
    <w:basedOn w:val="Bullet2"/>
    <w:next w:val="BodyText"/>
    <w:qFormat/>
    <w:rsid w:val="00FA6338"/>
    <w:pPr>
      <w:numPr>
        <w:numId w:val="25"/>
      </w:numPr>
      <w:tabs>
        <w:tab w:val="clear" w:pos="851"/>
        <w:tab w:val="clear" w:pos="8647"/>
      </w:tabs>
      <w:ind w:left="851" w:hanging="284"/>
    </w:pPr>
  </w:style>
  <w:style w:type="paragraph" w:customStyle="1" w:styleId="TableEX">
    <w:name w:val="Table E.X"/>
    <w:basedOn w:val="TableDX"/>
    <w:next w:val="BodyText"/>
    <w:semiHidden/>
    <w:qFormat/>
    <w:rsid w:val="00B61352"/>
    <w:pPr>
      <w:numPr>
        <w:numId w:val="87"/>
      </w:numPr>
      <w:ind w:left="1418" w:hanging="1418"/>
    </w:pPr>
  </w:style>
  <w:style w:type="paragraph" w:customStyle="1" w:styleId="Default">
    <w:name w:val="Default"/>
    <w:semiHidden/>
    <w:rsid w:val="000F0D89"/>
    <w:pPr>
      <w:autoSpaceDE w:val="0"/>
      <w:autoSpaceDN w:val="0"/>
      <w:adjustRightInd w:val="0"/>
    </w:pPr>
    <w:rPr>
      <w:rFonts w:ascii="Public Sans SemiBold" w:hAnsi="Public Sans SemiBold" w:cs="Public Sans SemiBold"/>
      <w:color w:val="000000"/>
      <w:sz w:val="24"/>
      <w:szCs w:val="24"/>
    </w:rPr>
  </w:style>
  <w:style w:type="character" w:customStyle="1" w:styleId="A0">
    <w:name w:val="A0"/>
    <w:uiPriority w:val="99"/>
    <w:semiHidden/>
    <w:rsid w:val="000F0D89"/>
    <w:rPr>
      <w:rFonts w:cs="Public Sans SemiBold"/>
      <w:color w:val="ED008E"/>
      <w:sz w:val="22"/>
      <w:szCs w:val="22"/>
    </w:rPr>
  </w:style>
  <w:style w:type="paragraph" w:styleId="BalloonText">
    <w:name w:val="Balloon Text"/>
    <w:basedOn w:val="Normal"/>
    <w:link w:val="BalloonTextChar"/>
    <w:uiPriority w:val="99"/>
    <w:semiHidden/>
    <w:rsid w:val="0017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3C"/>
    <w:rPr>
      <w:rFonts w:ascii="Segoe UI" w:hAnsi="Segoe UI" w:cs="Segoe UI"/>
      <w:sz w:val="18"/>
      <w:szCs w:val="18"/>
      <w:lang w:val="en-US" w:eastAsia="en-US"/>
    </w:rPr>
  </w:style>
  <w:style w:type="character" w:customStyle="1" w:styleId="BodyTextChar">
    <w:name w:val="Body Text Char"/>
    <w:basedOn w:val="DefaultParagraphFont"/>
    <w:link w:val="BodyText"/>
    <w:rsid w:val="00947D2B"/>
    <w:rPr>
      <w:rFonts w:ascii="Public Sans" w:hAnsi="Public Sans" w:cs="Arial"/>
      <w:iCs/>
      <w:color w:val="000000" w:themeColor="text1"/>
      <w:sz w:val="22"/>
      <w:lang w:eastAsia="en-US"/>
    </w:rPr>
  </w:style>
  <w:style w:type="paragraph" w:customStyle="1" w:styleId="BodyTextCentred">
    <w:name w:val="Body Text Centred"/>
    <w:basedOn w:val="BodyText"/>
    <w:uiPriority w:val="4"/>
    <w:semiHidden/>
    <w:qFormat/>
    <w:rsid w:val="00173234"/>
    <w:pPr>
      <w:jc w:val="center"/>
    </w:pPr>
  </w:style>
  <w:style w:type="character" w:customStyle="1" w:styleId="BoldItalic">
    <w:name w:val="Bold Italic"/>
    <w:basedOn w:val="DefaultParagraphFont"/>
    <w:uiPriority w:val="19"/>
    <w:semiHidden/>
    <w:qFormat/>
    <w:rsid w:val="00173234"/>
    <w:rPr>
      <w:b/>
      <w:i/>
      <w:color w:val="000000" w:themeColor="text1"/>
    </w:rPr>
  </w:style>
  <w:style w:type="table" w:customStyle="1" w:styleId="BudgetPapertable">
    <w:name w:val="Budget Paper table"/>
    <w:basedOn w:val="TableNormal"/>
    <w:uiPriority w:val="99"/>
    <w:rsid w:val="00173234"/>
    <w:rPr>
      <w:rFonts w:ascii="Public Sans" w:hAnsi="Public Sans"/>
    </w:rPr>
    <w:tblPr>
      <w:tblStyleRowBandSize w:val="1"/>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PTABLE">
    <w:name w:val="BP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udgetpapertable0">
    <w:name w:val="Budget paper 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paragraph" w:customStyle="1" w:styleId="Bullet4">
    <w:name w:val="Bullet 4"/>
    <w:basedOn w:val="Bullet3"/>
    <w:semiHidden/>
    <w:rsid w:val="00173234"/>
    <w:pPr>
      <w:numPr>
        <w:numId w:val="26"/>
      </w:numPr>
      <w:tabs>
        <w:tab w:val="clear" w:pos="1701"/>
      </w:tabs>
      <w:ind w:left="360" w:hanging="360"/>
    </w:pPr>
  </w:style>
  <w:style w:type="paragraph" w:styleId="Caption">
    <w:name w:val="caption"/>
    <w:next w:val="BodyText"/>
    <w:uiPriority w:val="35"/>
    <w:semiHidden/>
    <w:qFormat/>
    <w:rsid w:val="00173234"/>
    <w:pPr>
      <w:suppressAutoHyphens/>
      <w:spacing w:before="120"/>
    </w:pPr>
    <w:rPr>
      <w:rFonts w:asciiTheme="minorHAnsi" w:eastAsiaTheme="minorEastAsia" w:hAnsiTheme="minorHAnsi" w:cstheme="minorBidi"/>
      <w:iCs/>
      <w:color w:val="002664" w:themeColor="accent1"/>
      <w:sz w:val="18"/>
      <w:szCs w:val="18"/>
      <w:lang w:eastAsia="zh-CN"/>
    </w:rPr>
  </w:style>
  <w:style w:type="character" w:styleId="CommentReference">
    <w:name w:val="annotation reference"/>
    <w:basedOn w:val="DefaultParagraphFont"/>
    <w:uiPriority w:val="99"/>
    <w:semiHidden/>
    <w:rsid w:val="00173234"/>
    <w:rPr>
      <w:sz w:val="16"/>
      <w:szCs w:val="16"/>
    </w:rPr>
  </w:style>
  <w:style w:type="paragraph" w:styleId="CommentText">
    <w:name w:val="annotation text"/>
    <w:basedOn w:val="Normal"/>
    <w:link w:val="CommentTextChar"/>
    <w:uiPriority w:val="99"/>
    <w:rsid w:val="00173234"/>
  </w:style>
  <w:style w:type="character" w:customStyle="1" w:styleId="CommentTextChar">
    <w:name w:val="Comment Text Char"/>
    <w:basedOn w:val="DefaultParagraphFont"/>
    <w:link w:val="CommentText"/>
    <w:uiPriority w:val="99"/>
    <w:rsid w:val="005E013C"/>
    <w:rPr>
      <w:lang w:val="en-US" w:eastAsia="en-US"/>
    </w:rPr>
  </w:style>
  <w:style w:type="paragraph" w:styleId="CommentSubject">
    <w:name w:val="annotation subject"/>
    <w:basedOn w:val="CommentText"/>
    <w:next w:val="CommentText"/>
    <w:link w:val="CommentSubjectChar"/>
    <w:uiPriority w:val="99"/>
    <w:semiHidden/>
    <w:rsid w:val="00173234"/>
    <w:rPr>
      <w:b/>
      <w:bCs/>
    </w:rPr>
  </w:style>
  <w:style w:type="character" w:customStyle="1" w:styleId="CommentSubjectChar">
    <w:name w:val="Comment Subject Char"/>
    <w:basedOn w:val="CommentTextChar"/>
    <w:link w:val="CommentSubject"/>
    <w:uiPriority w:val="99"/>
    <w:semiHidden/>
    <w:rsid w:val="005E013C"/>
    <w:rPr>
      <w:b/>
      <w:bCs/>
      <w:lang w:val="en-US" w:eastAsia="en-US"/>
    </w:rPr>
  </w:style>
  <w:style w:type="paragraph" w:customStyle="1" w:styleId="ContactDetails">
    <w:name w:val="Contact Details"/>
    <w:uiPriority w:val="99"/>
    <w:semiHidden/>
    <w:rsid w:val="00173234"/>
    <w:pPr>
      <w:spacing w:before="120"/>
      <w:contextualSpacing/>
    </w:pPr>
    <w:rPr>
      <w:rFonts w:asciiTheme="minorHAnsi" w:eastAsiaTheme="minorEastAsia" w:hAnsiTheme="minorHAnsi" w:cstheme="minorBidi"/>
      <w:color w:val="FFFFFF" w:themeColor="background1"/>
      <w:sz w:val="22"/>
      <w:szCs w:val="22"/>
      <w:lang w:eastAsia="zh-CN"/>
    </w:rPr>
  </w:style>
  <w:style w:type="paragraph" w:styleId="Date">
    <w:name w:val="Date"/>
    <w:next w:val="BodyText"/>
    <w:link w:val="DateChar"/>
    <w:uiPriority w:val="3"/>
    <w:semiHidden/>
    <w:rsid w:val="00173234"/>
    <w:pPr>
      <w:spacing w:before="480" w:after="240"/>
    </w:pPr>
    <w:rPr>
      <w:rFonts w:asciiTheme="minorHAnsi" w:eastAsiaTheme="minorEastAsia" w:hAnsiTheme="minorHAnsi" w:cstheme="minorBidi"/>
      <w:color w:val="FFFFFF" w:themeColor="background1"/>
      <w:sz w:val="22"/>
      <w:szCs w:val="22"/>
      <w:lang w:eastAsia="zh-CN"/>
    </w:rPr>
  </w:style>
  <w:style w:type="character" w:customStyle="1" w:styleId="DateChar">
    <w:name w:val="Date Char"/>
    <w:basedOn w:val="DefaultParagraphFont"/>
    <w:link w:val="Date"/>
    <w:uiPriority w:val="3"/>
    <w:semiHidden/>
    <w:rsid w:val="005E013C"/>
    <w:rPr>
      <w:rFonts w:asciiTheme="minorHAnsi" w:eastAsiaTheme="minorEastAsia" w:hAnsiTheme="minorHAnsi" w:cstheme="minorBidi"/>
      <w:color w:val="FFFFFF" w:themeColor="background1"/>
      <w:sz w:val="22"/>
      <w:szCs w:val="22"/>
      <w:lang w:eastAsia="zh-CN"/>
    </w:rPr>
  </w:style>
  <w:style w:type="paragraph" w:customStyle="1" w:styleId="DecimalAligned">
    <w:name w:val="Decimal Aligned"/>
    <w:basedOn w:val="Normal"/>
    <w:uiPriority w:val="40"/>
    <w:semiHidden/>
    <w:qFormat/>
    <w:rsid w:val="00173234"/>
    <w:pPr>
      <w:tabs>
        <w:tab w:val="decimal" w:pos="360"/>
      </w:tabs>
      <w:spacing w:after="200" w:line="276" w:lineRule="auto"/>
    </w:pPr>
    <w:rPr>
      <w:rFonts w:asciiTheme="minorHAnsi" w:eastAsiaTheme="minorEastAsia" w:hAnsiTheme="minorHAnsi"/>
      <w:sz w:val="22"/>
      <w:szCs w:val="22"/>
    </w:rPr>
  </w:style>
  <w:style w:type="paragraph" w:customStyle="1" w:styleId="Descriptor">
    <w:name w:val="Descriptor"/>
    <w:uiPriority w:val="1"/>
    <w:semiHidden/>
    <w:rsid w:val="00173234"/>
    <w:pPr>
      <w:suppressAutoHyphens/>
      <w:contextualSpacing/>
    </w:pPr>
    <w:rPr>
      <w:rFonts w:asciiTheme="majorHAnsi" w:eastAsiaTheme="minorEastAsia" w:hAnsiTheme="majorHAnsi" w:cstheme="minorBidi"/>
      <w:color w:val="FFFFFF" w:themeColor="background1"/>
      <w:sz w:val="28"/>
      <w:szCs w:val="22"/>
      <w:lang w:eastAsia="zh-CN"/>
    </w:rPr>
  </w:style>
  <w:style w:type="paragraph" w:customStyle="1" w:styleId="DividerNumber">
    <w:name w:val="Divider Number"/>
    <w:next w:val="Normal"/>
    <w:uiPriority w:val="3"/>
    <w:semiHidden/>
    <w:rsid w:val="00173234"/>
    <w:pPr>
      <w:pBdr>
        <w:left w:val="single" w:sz="4" w:space="4" w:color="DBDBDB" w:themeColor="background2"/>
      </w:pBdr>
    </w:pPr>
    <w:rPr>
      <w:rFonts w:asciiTheme="minorHAnsi" w:eastAsiaTheme="minorEastAsia" w:hAnsiTheme="minorHAnsi" w:cstheme="minorBidi"/>
      <w:b/>
      <w:color w:val="DBDBDB" w:themeColor="background2"/>
      <w:sz w:val="640"/>
      <w:szCs w:val="22"/>
      <w:lang w:eastAsia="zh-CN"/>
    </w:rPr>
  </w:style>
  <w:style w:type="paragraph" w:customStyle="1" w:styleId="DividerTitle">
    <w:name w:val="Divider Title"/>
    <w:next w:val="BodyText"/>
    <w:uiPriority w:val="3"/>
    <w:semiHidden/>
    <w:rsid w:val="00173234"/>
    <w:pPr>
      <w:pBdr>
        <w:left w:val="single" w:sz="4" w:space="4" w:color="DBDBDB" w:themeColor="background2"/>
      </w:pBdr>
    </w:pPr>
    <w:rPr>
      <w:rFonts w:asciiTheme="minorHAnsi" w:eastAsiaTheme="minorEastAsia" w:hAnsiTheme="minorHAnsi" w:cstheme="minorBidi"/>
      <w:color w:val="DBDBDB" w:themeColor="background2"/>
      <w:sz w:val="80"/>
      <w:szCs w:val="22"/>
      <w:lang w:eastAsia="zh-CN"/>
    </w:rPr>
  </w:style>
  <w:style w:type="character" w:styleId="Emphasis">
    <w:name w:val="Emphasis"/>
    <w:aliases w:val="Italic"/>
    <w:basedOn w:val="DefaultParagraphFont"/>
    <w:uiPriority w:val="19"/>
    <w:semiHidden/>
    <w:qFormat/>
    <w:rsid w:val="00173234"/>
    <w:rPr>
      <w:i/>
      <w:iCs/>
    </w:rPr>
  </w:style>
  <w:style w:type="paragraph" w:styleId="EndnoteText">
    <w:name w:val="endnote text"/>
    <w:basedOn w:val="Normal"/>
    <w:link w:val="EndnoteTextChar"/>
    <w:uiPriority w:val="99"/>
    <w:semiHidden/>
    <w:rsid w:val="00173234"/>
  </w:style>
  <w:style w:type="character" w:customStyle="1" w:styleId="EndnoteTextChar">
    <w:name w:val="Endnote Text Char"/>
    <w:basedOn w:val="DefaultParagraphFont"/>
    <w:link w:val="EndnoteText"/>
    <w:uiPriority w:val="99"/>
    <w:semiHidden/>
    <w:rsid w:val="005E013C"/>
    <w:rPr>
      <w:lang w:val="en-US" w:eastAsia="en-US"/>
    </w:rPr>
  </w:style>
  <w:style w:type="character" w:customStyle="1" w:styleId="FootnoteTextChar">
    <w:name w:val="Footnote Text Char"/>
    <w:basedOn w:val="DefaultParagraphFont"/>
    <w:link w:val="FootnoteText"/>
    <w:uiPriority w:val="99"/>
    <w:semiHidden/>
    <w:rsid w:val="005E013C"/>
    <w:rPr>
      <w:i/>
      <w:sz w:val="16"/>
      <w:lang w:val="en-US" w:eastAsia="en-US"/>
    </w:rPr>
  </w:style>
  <w:style w:type="table" w:styleId="GridTable1Light-Accent6">
    <w:name w:val="Grid Table 1 Light Accent 6"/>
    <w:basedOn w:val="TableNormal"/>
    <w:uiPriority w:val="46"/>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B3B9BD" w:themeColor="accent6" w:themeTint="66"/>
        <w:left w:val="single" w:sz="4" w:space="0" w:color="B3B9BD" w:themeColor="accent6" w:themeTint="66"/>
        <w:bottom w:val="single" w:sz="4" w:space="0" w:color="B3B9BD" w:themeColor="accent6" w:themeTint="66"/>
        <w:right w:val="single" w:sz="4" w:space="0" w:color="B3B9BD" w:themeColor="accent6" w:themeTint="66"/>
        <w:insideH w:val="single" w:sz="4" w:space="0" w:color="B3B9BD" w:themeColor="accent6" w:themeTint="66"/>
        <w:insideV w:val="single" w:sz="4" w:space="0" w:color="B3B9BD" w:themeColor="accent6" w:themeTint="66"/>
      </w:tblBorders>
    </w:tblPr>
    <w:tblStylePr w:type="firstRow">
      <w:rPr>
        <w:b/>
        <w:bCs/>
      </w:rPr>
      <w:tblPr/>
      <w:tcPr>
        <w:tcBorders>
          <w:bottom w:val="single" w:sz="12" w:space="0" w:color="8D979C" w:themeColor="accent6" w:themeTint="99"/>
        </w:tcBorders>
      </w:tcPr>
    </w:tblStylePr>
    <w:tblStylePr w:type="lastRow">
      <w:rPr>
        <w:b/>
        <w:bCs/>
      </w:rPr>
      <w:tblPr/>
      <w:tcPr>
        <w:tcBorders>
          <w:top w:val="double" w:sz="2" w:space="0" w:color="8D979C" w:themeColor="accent6" w:themeTint="99"/>
        </w:tcBorders>
      </w:tcPr>
    </w:tblStylePr>
    <w:tblStylePr w:type="firstCol">
      <w:rPr>
        <w:b/>
        <w:bCs/>
      </w:rPr>
    </w:tblStylePr>
    <w:tblStylePr w:type="lastCol">
      <w:rPr>
        <w:b/>
        <w:bCs/>
      </w:rPr>
    </w:tblStylePr>
  </w:style>
  <w:style w:type="paragraph" w:customStyle="1" w:styleId="HeaderFooterSensitivityLabelSpace">
    <w:name w:val="Header&amp;Footer Sensitivity Label Space"/>
    <w:next w:val="Header"/>
    <w:uiPriority w:val="99"/>
    <w:semiHidden/>
    <w:rsid w:val="00173234"/>
    <w:pPr>
      <w:suppressAutoHyphens/>
      <w:spacing w:before="240" w:after="240"/>
    </w:pPr>
    <w:rPr>
      <w:rFonts w:asciiTheme="minorHAnsi" w:eastAsiaTheme="minorEastAsia" w:hAnsiTheme="minorHAnsi" w:cstheme="minorBidi"/>
      <w:color w:val="FFFFFF" w:themeColor="text2"/>
      <w:sz w:val="22"/>
      <w:szCs w:val="22"/>
      <w:lang w:eastAsia="zh-CN"/>
    </w:rPr>
  </w:style>
  <w:style w:type="character" w:customStyle="1" w:styleId="Heading1Char">
    <w:name w:val="Heading 1 Char"/>
    <w:basedOn w:val="DefaultParagraphFont"/>
    <w:link w:val="Heading1"/>
    <w:rsid w:val="008D466E"/>
    <w:rPr>
      <w:rFonts w:ascii="Public Sans SemiBold" w:hAnsi="Public Sans SemiBold"/>
      <w:caps/>
      <w:color w:val="0B3F47"/>
      <w:kern w:val="28"/>
      <w:sz w:val="40"/>
      <w:szCs w:val="36"/>
      <w:lang w:eastAsia="en-US"/>
    </w:rPr>
  </w:style>
  <w:style w:type="character" w:customStyle="1" w:styleId="Heading4Char">
    <w:name w:val="Heading 4 Char"/>
    <w:basedOn w:val="DefaultParagraphFont"/>
    <w:link w:val="Heading4"/>
    <w:rsid w:val="000E0BEF"/>
    <w:rPr>
      <w:rFonts w:ascii="Public Sans SemiBold" w:hAnsi="Public Sans SemiBold"/>
      <w:b/>
      <w:bCs/>
      <w:color w:val="000000" w:themeColor="text1"/>
      <w:kern w:val="28"/>
      <w:sz w:val="24"/>
      <w:szCs w:val="28"/>
      <w:lang w:eastAsia="en-US"/>
    </w:rPr>
  </w:style>
  <w:style w:type="character" w:customStyle="1" w:styleId="Heading5Char">
    <w:name w:val="Heading 5 Char"/>
    <w:basedOn w:val="DefaultParagraphFont"/>
    <w:link w:val="Heading5"/>
    <w:rsid w:val="00173234"/>
    <w:rPr>
      <w:rFonts w:ascii="Public Sans SemiBold" w:hAnsi="Public Sans SemiBold"/>
      <w:i/>
      <w:color w:val="22272B"/>
      <w:kern w:val="28"/>
      <w:sz w:val="26"/>
      <w:szCs w:val="28"/>
      <w:lang w:eastAsia="en-US"/>
    </w:rPr>
  </w:style>
  <w:style w:type="character" w:customStyle="1" w:styleId="Heading6Char">
    <w:name w:val="Heading 6 Char"/>
    <w:basedOn w:val="DefaultParagraphFont"/>
    <w:link w:val="Heading6"/>
    <w:semiHidden/>
    <w:rsid w:val="000A30B4"/>
    <w:rPr>
      <w:b/>
      <w:i/>
      <w:color w:val="0B3F47"/>
      <w:sz w:val="24"/>
      <w:szCs w:val="36"/>
      <w:lang w:eastAsia="en-US"/>
    </w:rPr>
  </w:style>
  <w:style w:type="character" w:customStyle="1" w:styleId="Heading7Char">
    <w:name w:val="Heading 7 Char"/>
    <w:basedOn w:val="DefaultParagraphFont"/>
    <w:link w:val="Heading7"/>
    <w:semiHidden/>
    <w:rsid w:val="000A30B4"/>
    <w:rPr>
      <w:rFonts w:ascii="Public Sans SemiBold" w:hAnsi="Public Sans SemiBold"/>
      <w:b/>
      <w:bCs/>
      <w:color w:val="000000" w:themeColor="text1"/>
      <w:kern w:val="28"/>
      <w:sz w:val="24"/>
      <w:szCs w:val="28"/>
      <w:lang w:eastAsia="en-US"/>
    </w:rPr>
  </w:style>
  <w:style w:type="character" w:customStyle="1" w:styleId="Heading8Char">
    <w:name w:val="Heading 8 Char"/>
    <w:basedOn w:val="DefaultParagraphFont"/>
    <w:link w:val="Heading8"/>
    <w:semiHidden/>
    <w:rsid w:val="000A30B4"/>
    <w:rPr>
      <w:rFonts w:ascii="Public Sans SemiBold" w:hAnsi="Public Sans SemiBold"/>
      <w:b/>
      <w:bCs/>
      <w:i/>
      <w:color w:val="000000" w:themeColor="text1"/>
      <w:kern w:val="28"/>
      <w:sz w:val="24"/>
      <w:szCs w:val="28"/>
      <w:lang w:eastAsia="en-US"/>
    </w:rPr>
  </w:style>
  <w:style w:type="character" w:customStyle="1" w:styleId="Heading9Char">
    <w:name w:val="Heading 9 Char"/>
    <w:basedOn w:val="DefaultParagraphFont"/>
    <w:link w:val="Heading9"/>
    <w:semiHidden/>
    <w:rsid w:val="000A30B4"/>
    <w:rPr>
      <w:rFonts w:ascii="Public Sans SemiBold" w:hAnsi="Public Sans SemiBold"/>
      <w:b/>
      <w:bCs/>
      <w:color w:val="000000" w:themeColor="text1"/>
      <w:kern w:val="28"/>
      <w:sz w:val="24"/>
      <w:szCs w:val="28"/>
      <w:lang w:eastAsia="en-US"/>
    </w:rPr>
  </w:style>
  <w:style w:type="paragraph" w:customStyle="1" w:styleId="Heading10">
    <w:name w:val="Heading1"/>
    <w:next w:val="BodyText"/>
    <w:uiPriority w:val="9"/>
    <w:semiHidden/>
    <w:qFormat/>
    <w:rsid w:val="00173234"/>
    <w:pPr>
      <w:keepNext/>
      <w:keepLines/>
      <w:suppressAutoHyphens/>
    </w:pPr>
    <w:rPr>
      <w:rFonts w:asciiTheme="minorHAnsi" w:eastAsiaTheme="minorEastAsia" w:hAnsiTheme="minorHAnsi" w:cstheme="minorBidi"/>
      <w:color w:val="002664" w:themeColor="accent1"/>
      <w:sz w:val="48"/>
      <w:szCs w:val="22"/>
      <w:lang w:eastAsia="zh-CN"/>
    </w:rPr>
  </w:style>
  <w:style w:type="paragraph" w:customStyle="1" w:styleId="Heading1Appendix">
    <w:name w:val="Heading1 Appendix"/>
    <w:next w:val="BodyText"/>
    <w:uiPriority w:val="10"/>
    <w:semiHidden/>
    <w:qFormat/>
    <w:rsid w:val="00173234"/>
    <w:pPr>
      <w:pageBreakBefore/>
      <w:numPr>
        <w:numId w:val="67"/>
      </w:numPr>
      <w:pBdr>
        <w:top w:val="single" w:sz="4" w:space="8" w:color="002664" w:themeColor="accent1"/>
      </w:pBdr>
      <w:tabs>
        <w:tab w:val="clear" w:pos="3657"/>
        <w:tab w:val="num" w:pos="357"/>
      </w:tabs>
      <w:ind w:left="357" w:hanging="357"/>
    </w:pPr>
    <w:rPr>
      <w:rFonts w:asciiTheme="minorHAnsi" w:eastAsiaTheme="minorEastAsia" w:hAnsiTheme="minorHAnsi" w:cstheme="minorBidi"/>
      <w:color w:val="002664" w:themeColor="accent1"/>
      <w:sz w:val="36"/>
      <w:szCs w:val="22"/>
      <w:lang w:eastAsia="zh-CN"/>
    </w:rPr>
  </w:style>
  <w:style w:type="paragraph" w:customStyle="1" w:styleId="Heading20">
    <w:name w:val="Heading2"/>
    <w:next w:val="BodyText"/>
    <w:uiPriority w:val="9"/>
    <w:semiHidden/>
    <w:qFormat/>
    <w:rsid w:val="00173234"/>
    <w:pPr>
      <w:keepNext/>
      <w:keepLines/>
      <w:pBdr>
        <w:top w:val="single" w:sz="4" w:space="8" w:color="002664" w:themeColor="accent1"/>
      </w:pBdr>
      <w:suppressAutoHyphens/>
      <w:spacing w:before="240" w:after="240"/>
    </w:pPr>
    <w:rPr>
      <w:rFonts w:asciiTheme="minorHAnsi" w:eastAsiaTheme="minorEastAsia" w:hAnsiTheme="minorHAnsi" w:cstheme="minorBidi"/>
      <w:color w:val="002664" w:themeColor="accent1"/>
      <w:sz w:val="36"/>
      <w:szCs w:val="22"/>
      <w:lang w:eastAsia="zh-CN"/>
    </w:rPr>
  </w:style>
  <w:style w:type="paragraph" w:customStyle="1" w:styleId="Heading30">
    <w:name w:val="Heading3"/>
    <w:next w:val="BodyText"/>
    <w:uiPriority w:val="9"/>
    <w:semiHidden/>
    <w:qFormat/>
    <w:rsid w:val="00173234"/>
    <w:pPr>
      <w:keepNext/>
      <w:keepLines/>
      <w:suppressAutoHyphens/>
      <w:spacing w:before="240"/>
    </w:pPr>
    <w:rPr>
      <w:rFonts w:asciiTheme="majorHAnsi" w:eastAsiaTheme="minorEastAsia" w:hAnsiTheme="majorHAnsi" w:cstheme="minorBidi"/>
      <w:color w:val="002664" w:themeColor="accent1"/>
      <w:sz w:val="28"/>
      <w:szCs w:val="22"/>
      <w:lang w:eastAsia="zh-CN"/>
    </w:rPr>
  </w:style>
  <w:style w:type="paragraph" w:customStyle="1" w:styleId="Heading40">
    <w:name w:val="Heading4"/>
    <w:next w:val="BodyText"/>
    <w:uiPriority w:val="9"/>
    <w:semiHidden/>
    <w:qFormat/>
    <w:rsid w:val="00173234"/>
    <w:pPr>
      <w:keepNext/>
      <w:keepLines/>
      <w:suppressAutoHyphens/>
      <w:spacing w:before="240"/>
    </w:pPr>
    <w:rPr>
      <w:rFonts w:asciiTheme="majorHAnsi" w:eastAsiaTheme="majorEastAsia" w:hAnsiTheme="majorHAnsi" w:cstheme="majorBidi"/>
      <w:iCs/>
      <w:color w:val="002664" w:themeColor="accent1"/>
      <w:sz w:val="24"/>
      <w:szCs w:val="22"/>
      <w:lang w:eastAsia="zh-CN"/>
    </w:rPr>
  </w:style>
  <w:style w:type="paragraph" w:customStyle="1" w:styleId="Heading50">
    <w:name w:val="Heading5"/>
    <w:next w:val="BodyText"/>
    <w:uiPriority w:val="9"/>
    <w:semiHidden/>
    <w:qFormat/>
    <w:rsid w:val="00173234"/>
    <w:pPr>
      <w:keepNext/>
      <w:keepLines/>
      <w:suppressAutoHyphens/>
      <w:spacing w:before="240"/>
    </w:pPr>
    <w:rPr>
      <w:rFonts w:asciiTheme="majorHAnsi" w:eastAsiaTheme="majorEastAsia" w:hAnsiTheme="majorHAnsi" w:cstheme="majorBidi"/>
      <w:color w:val="002664" w:themeColor="accent1"/>
      <w:sz w:val="22"/>
      <w:szCs w:val="22"/>
      <w:lang w:eastAsia="zh-CN"/>
    </w:rPr>
  </w:style>
  <w:style w:type="character" w:styleId="Hyperlink">
    <w:name w:val="Hyperlink"/>
    <w:basedOn w:val="DefaultParagraphFont"/>
    <w:uiPriority w:val="99"/>
    <w:rsid w:val="00173234"/>
    <w:rPr>
      <w:color w:val="00ABE6" w:themeColor="hyperlink"/>
      <w:u w:val="single"/>
    </w:rPr>
  </w:style>
  <w:style w:type="paragraph" w:styleId="Index1">
    <w:name w:val="index 1"/>
    <w:basedOn w:val="Normal"/>
    <w:next w:val="Normal"/>
    <w:uiPriority w:val="99"/>
    <w:semiHidden/>
    <w:rsid w:val="00173234"/>
    <w:pPr>
      <w:ind w:left="220" w:hanging="220"/>
    </w:pPr>
  </w:style>
  <w:style w:type="paragraph" w:styleId="Index2">
    <w:name w:val="index 2"/>
    <w:basedOn w:val="Normal"/>
    <w:next w:val="Normal"/>
    <w:uiPriority w:val="99"/>
    <w:semiHidden/>
    <w:rsid w:val="00173234"/>
    <w:pPr>
      <w:ind w:left="440" w:hanging="220"/>
    </w:pPr>
  </w:style>
  <w:style w:type="paragraph" w:styleId="Index3">
    <w:name w:val="index 3"/>
    <w:basedOn w:val="Normal"/>
    <w:next w:val="Normal"/>
    <w:uiPriority w:val="99"/>
    <w:semiHidden/>
    <w:rsid w:val="00173234"/>
    <w:pPr>
      <w:ind w:left="660" w:hanging="220"/>
    </w:pPr>
  </w:style>
  <w:style w:type="paragraph" w:styleId="Index4">
    <w:name w:val="index 4"/>
    <w:basedOn w:val="Normal"/>
    <w:next w:val="Normal"/>
    <w:uiPriority w:val="99"/>
    <w:semiHidden/>
    <w:rsid w:val="00173234"/>
    <w:pPr>
      <w:ind w:left="880" w:hanging="220"/>
    </w:pPr>
  </w:style>
  <w:style w:type="paragraph" w:styleId="Index5">
    <w:name w:val="index 5"/>
    <w:basedOn w:val="Normal"/>
    <w:next w:val="Normal"/>
    <w:uiPriority w:val="99"/>
    <w:semiHidden/>
    <w:rsid w:val="00173234"/>
    <w:pPr>
      <w:ind w:left="1100" w:hanging="220"/>
    </w:pPr>
  </w:style>
  <w:style w:type="paragraph" w:styleId="Index6">
    <w:name w:val="index 6"/>
    <w:basedOn w:val="Normal"/>
    <w:next w:val="Normal"/>
    <w:uiPriority w:val="99"/>
    <w:semiHidden/>
    <w:rsid w:val="00173234"/>
    <w:pPr>
      <w:ind w:left="1320" w:hanging="220"/>
    </w:pPr>
  </w:style>
  <w:style w:type="paragraph" w:styleId="Index7">
    <w:name w:val="index 7"/>
    <w:basedOn w:val="Normal"/>
    <w:next w:val="Normal"/>
    <w:uiPriority w:val="99"/>
    <w:semiHidden/>
    <w:rsid w:val="00173234"/>
    <w:pPr>
      <w:ind w:left="1540" w:hanging="220"/>
    </w:pPr>
  </w:style>
  <w:style w:type="paragraph" w:styleId="Index8">
    <w:name w:val="index 8"/>
    <w:basedOn w:val="Normal"/>
    <w:next w:val="Normal"/>
    <w:uiPriority w:val="99"/>
    <w:semiHidden/>
    <w:rsid w:val="00173234"/>
    <w:pPr>
      <w:ind w:left="1760" w:hanging="220"/>
    </w:pPr>
  </w:style>
  <w:style w:type="paragraph" w:styleId="Index9">
    <w:name w:val="index 9"/>
    <w:basedOn w:val="Normal"/>
    <w:next w:val="Normal"/>
    <w:uiPriority w:val="99"/>
    <w:semiHidden/>
    <w:rsid w:val="00173234"/>
    <w:pPr>
      <w:ind w:left="1980" w:hanging="220"/>
    </w:pPr>
  </w:style>
  <w:style w:type="paragraph" w:customStyle="1" w:styleId="Introduction">
    <w:name w:val="Introduction"/>
    <w:next w:val="BodyText"/>
    <w:uiPriority w:val="5"/>
    <w:semiHidden/>
    <w:qFormat/>
    <w:rsid w:val="00173234"/>
    <w:pPr>
      <w:suppressAutoHyphens/>
      <w:spacing w:after="360"/>
      <w:contextualSpacing/>
    </w:pPr>
    <w:rPr>
      <w:rFonts w:asciiTheme="minorHAnsi" w:eastAsiaTheme="minorEastAsia" w:hAnsiTheme="minorHAnsi" w:cstheme="minorBidi"/>
      <w:color w:val="DBDBDB" w:themeColor="background2"/>
      <w:sz w:val="28"/>
      <w:szCs w:val="22"/>
      <w:lang w:eastAsia="zh-CN"/>
    </w:rPr>
  </w:style>
  <w:style w:type="paragraph" w:styleId="ListBullet">
    <w:name w:val="List Bullet"/>
    <w:uiPriority w:val="10"/>
    <w:semiHidden/>
    <w:qFormat/>
    <w:rsid w:val="00173234"/>
    <w:pPr>
      <w:numPr>
        <w:numId w:val="68"/>
      </w:numPr>
      <w:tabs>
        <w:tab w:val="num" w:pos="714"/>
      </w:tabs>
      <w:suppressAutoHyphens/>
      <w:spacing w:before="120"/>
      <w:ind w:left="714" w:hanging="357"/>
    </w:pPr>
    <w:rPr>
      <w:rFonts w:asciiTheme="minorHAnsi" w:eastAsia="Arial" w:hAnsiTheme="minorHAnsi" w:cs="Arial"/>
      <w:color w:val="000000" w:themeColor="text1"/>
      <w:sz w:val="22"/>
      <w:lang w:eastAsia="en-US"/>
    </w:rPr>
  </w:style>
  <w:style w:type="paragraph" w:styleId="ListBullet2">
    <w:name w:val="List Bullet 2"/>
    <w:uiPriority w:val="10"/>
    <w:semiHidden/>
    <w:qFormat/>
    <w:rsid w:val="00173234"/>
    <w:pPr>
      <w:numPr>
        <w:numId w:val="69"/>
      </w:numPr>
      <w:tabs>
        <w:tab w:val="clear" w:pos="714"/>
        <w:tab w:val="num" w:pos="1072"/>
      </w:tabs>
      <w:suppressAutoHyphens/>
      <w:spacing w:before="120"/>
      <w:ind w:left="1072" w:hanging="358"/>
    </w:pPr>
    <w:rPr>
      <w:rFonts w:asciiTheme="minorHAnsi" w:eastAsia="Arial" w:hAnsiTheme="minorHAnsi" w:cs="ArialMT"/>
      <w:color w:val="000000" w:themeColor="text1"/>
      <w:sz w:val="22"/>
      <w:szCs w:val="24"/>
      <w:lang w:eastAsia="en-US"/>
    </w:rPr>
  </w:style>
  <w:style w:type="paragraph" w:styleId="ListBullet3">
    <w:name w:val="List Bullet 3"/>
    <w:uiPriority w:val="10"/>
    <w:semiHidden/>
    <w:qFormat/>
    <w:rsid w:val="00173234"/>
    <w:pPr>
      <w:numPr>
        <w:numId w:val="70"/>
      </w:numPr>
      <w:tabs>
        <w:tab w:val="clear" w:pos="1072"/>
      </w:tabs>
      <w:suppressAutoHyphens/>
      <w:spacing w:before="120"/>
      <w:ind w:left="360" w:hanging="360"/>
    </w:pPr>
    <w:rPr>
      <w:rFonts w:asciiTheme="minorHAnsi" w:eastAsia="Arial" w:hAnsiTheme="minorHAnsi"/>
      <w:color w:val="000000" w:themeColor="text1"/>
      <w:sz w:val="22"/>
      <w:szCs w:val="24"/>
      <w:lang w:eastAsia="en-US"/>
    </w:rPr>
  </w:style>
  <w:style w:type="paragraph" w:styleId="ListNumber">
    <w:name w:val="List Number"/>
    <w:uiPriority w:val="10"/>
    <w:semiHidden/>
    <w:qFormat/>
    <w:rsid w:val="00173234"/>
    <w:pPr>
      <w:numPr>
        <w:numId w:val="71"/>
      </w:numPr>
      <w:tabs>
        <w:tab w:val="clear" w:pos="357"/>
      </w:tabs>
      <w:suppressAutoHyphens/>
      <w:spacing w:before="120"/>
      <w:ind w:left="360" w:hanging="360"/>
    </w:pPr>
    <w:rPr>
      <w:rFonts w:asciiTheme="minorHAnsi" w:eastAsiaTheme="minorEastAsia" w:hAnsiTheme="minorHAnsi" w:cstheme="minorBidi"/>
      <w:color w:val="000000" w:themeColor="text1"/>
      <w:sz w:val="22"/>
      <w:szCs w:val="22"/>
      <w:lang w:eastAsia="zh-CN"/>
    </w:rPr>
  </w:style>
  <w:style w:type="paragraph" w:styleId="ListNumber2">
    <w:name w:val="List Number 2"/>
    <w:uiPriority w:val="10"/>
    <w:semiHidden/>
    <w:qFormat/>
    <w:rsid w:val="00173234"/>
    <w:pPr>
      <w:numPr>
        <w:numId w:val="72"/>
      </w:numPr>
      <w:tabs>
        <w:tab w:val="clear" w:pos="714"/>
      </w:tabs>
      <w:suppressAutoHyphens/>
      <w:spacing w:before="120"/>
      <w:ind w:left="360" w:hanging="360"/>
    </w:pPr>
    <w:rPr>
      <w:rFonts w:asciiTheme="minorHAnsi" w:eastAsia="Arial" w:hAnsiTheme="minorHAnsi"/>
      <w:color w:val="000000" w:themeColor="text1"/>
      <w:sz w:val="22"/>
      <w:szCs w:val="24"/>
      <w:lang w:eastAsia="en-US"/>
    </w:rPr>
  </w:style>
  <w:style w:type="paragraph" w:styleId="ListNumber3">
    <w:name w:val="List Number 3"/>
    <w:uiPriority w:val="10"/>
    <w:semiHidden/>
    <w:qFormat/>
    <w:rsid w:val="00173234"/>
    <w:pPr>
      <w:numPr>
        <w:numId w:val="73"/>
      </w:numPr>
      <w:tabs>
        <w:tab w:val="clear" w:pos="1072"/>
      </w:tabs>
      <w:suppressAutoHyphens/>
      <w:spacing w:before="120"/>
      <w:ind w:left="360" w:hanging="360"/>
    </w:pPr>
    <w:rPr>
      <w:rFonts w:asciiTheme="minorHAnsi" w:eastAsia="Arial" w:hAnsiTheme="minorHAnsi"/>
      <w:color w:val="000000" w:themeColor="text1"/>
      <w:sz w:val="22"/>
      <w:szCs w:val="24"/>
      <w:lang w:eastAsia="en-US"/>
    </w:rPr>
  </w:style>
  <w:style w:type="paragraph" w:styleId="ListParagraph">
    <w:name w:val="List Paragraph"/>
    <w:basedOn w:val="Normal"/>
    <w:uiPriority w:val="34"/>
    <w:qFormat/>
    <w:rsid w:val="00173234"/>
    <w:pPr>
      <w:ind w:left="720"/>
      <w:contextualSpacing/>
    </w:pPr>
  </w:style>
  <w:style w:type="table" w:styleId="ListTable3-Accent2">
    <w:name w:val="List Table 3 Accent 2"/>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blBorders>
    </w:tblPr>
    <w:tblStylePr w:type="firstRow">
      <w:rPr>
        <w:b/>
        <w:bCs/>
        <w:color w:val="FFFFFF" w:themeColor="background1"/>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8CE0FF" w:themeFill="accent2"/>
      </w:tcPr>
    </w:tblStylePr>
    <w:tblStylePr w:type="lastRow">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fir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la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band1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1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style>
  <w:style w:type="table" w:styleId="ListTable3-Accent3">
    <w:name w:val="List Table 3 Accent 3"/>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CBEDFD"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blBorders>
    </w:tblPr>
    <w:tblStylePr w:type="firstRow">
      <w:rPr>
        <w:b/>
        <w:bCs/>
        <w:color w:val="FFFFFF" w:themeColor="background1"/>
      </w:rPr>
      <w:tblPr/>
      <w:trPr>
        <w:tblHeader/>
      </w:tr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E5E5E5" w:themeFill="accent5" w:themeFillTint="66"/>
      </w:tcPr>
    </w:tblStylePr>
    <w:tblStylePr w:type="lastRow">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fir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la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band1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1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style>
  <w:style w:type="table" w:styleId="ListTable3-Accent6">
    <w:name w:val="List Table 3 Accent 6"/>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blBorders>
    </w:tblPr>
    <w:tblStylePr w:type="firstRow">
      <w:rPr>
        <w:b/>
        <w:bCs/>
        <w:color w:val="FFFFFF" w:themeColor="background1"/>
      </w:rPr>
      <w:tblPr/>
      <w:trPr>
        <w:tblHeader/>
      </w:trPr>
      <w:tcPr>
        <w:shd w:val="clear" w:color="auto" w:fill="495054" w:themeFill="accent6"/>
      </w:tcPr>
    </w:tblStylePr>
    <w:tblStylePr w:type="lastRow">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fir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la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band1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1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style>
  <w:style w:type="table" w:styleId="ListTable5Dark-Accent4">
    <w:name w:val="List Table 5 Dark Accent 4"/>
    <w:basedOn w:val="TableNormal"/>
    <w:uiPriority w:val="50"/>
    <w:rsid w:val="00173234"/>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Shading2-Accent5">
    <w:name w:val="Medium Shading 2 Accent 5"/>
    <w:basedOn w:val="TableNormal"/>
    <w:uiPriority w:val="64"/>
    <w:rsid w:val="0017323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5"/>
      </w:tcPr>
    </w:tblStylePr>
    <w:tblStylePr w:type="lastCol">
      <w:rPr>
        <w:b/>
        <w:bCs/>
        <w:color w:val="FFFFFF" w:themeColor="background1"/>
      </w:rPr>
      <w:tblPr/>
      <w:tcPr>
        <w:tcBorders>
          <w:left w:val="nil"/>
          <w:right w:val="nil"/>
          <w:insideH w:val="nil"/>
          <w:insideV w:val="nil"/>
        </w:tcBorders>
        <w:shd w:val="clear" w:color="auto" w:fill="BFBF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173234"/>
    <w:pPr>
      <w:spacing w:before="100" w:beforeAutospacing="1" w:after="100" w:afterAutospacing="1"/>
    </w:pPr>
    <w:rPr>
      <w:sz w:val="24"/>
      <w:szCs w:val="24"/>
      <w:lang w:eastAsia="en-GB"/>
    </w:rPr>
  </w:style>
  <w:style w:type="character" w:styleId="PageNumber">
    <w:name w:val="page number"/>
    <w:basedOn w:val="DefaultParagraphFont"/>
    <w:uiPriority w:val="99"/>
    <w:semiHidden/>
    <w:rsid w:val="00173234"/>
  </w:style>
  <w:style w:type="character" w:styleId="PlaceholderText">
    <w:name w:val="Placeholder Text"/>
    <w:basedOn w:val="DefaultParagraphFont"/>
    <w:uiPriority w:val="99"/>
    <w:semiHidden/>
    <w:rsid w:val="00173234"/>
    <w:rPr>
      <w:color w:val="808080"/>
    </w:rPr>
  </w:style>
  <w:style w:type="paragraph" w:customStyle="1" w:styleId="Pulloutquote">
    <w:name w:val="Pull out quote"/>
    <w:uiPriority w:val="35"/>
    <w:semiHidden/>
    <w:qFormat/>
    <w:rsid w:val="00173234"/>
    <w:pPr>
      <w:pBdr>
        <w:left w:val="single" w:sz="4" w:space="8" w:color="FFFFFF" w:themeColor="text2"/>
      </w:pBdr>
      <w:suppressAutoHyphens/>
      <w:spacing w:before="120"/>
      <w:ind w:left="227" w:right="57"/>
    </w:pPr>
    <w:rPr>
      <w:rFonts w:asciiTheme="minorHAnsi" w:eastAsiaTheme="minorEastAsia" w:hAnsiTheme="minorHAnsi" w:cstheme="minorBidi"/>
      <w:color w:val="002664" w:themeColor="accent1"/>
      <w:sz w:val="28"/>
      <w:szCs w:val="22"/>
      <w:lang w:eastAsia="zh-CN"/>
    </w:rPr>
  </w:style>
  <w:style w:type="character" w:styleId="Strong">
    <w:name w:val="Strong"/>
    <w:aliases w:val="Bold"/>
    <w:basedOn w:val="DefaultParagraphFont"/>
    <w:uiPriority w:val="22"/>
    <w:semiHidden/>
    <w:qFormat/>
    <w:rsid w:val="00173234"/>
    <w:rPr>
      <w:b/>
      <w:bCs/>
    </w:rPr>
  </w:style>
  <w:style w:type="paragraph" w:customStyle="1" w:styleId="Style211HeadingBold">
    <w:name w:val="Style 2.1.1 Heading + Bold"/>
    <w:basedOn w:val="Normal"/>
    <w:semiHidden/>
    <w:rsid w:val="00173234"/>
    <w:rPr>
      <w:b/>
      <w:bCs/>
      <w:i/>
      <w:iCs/>
    </w:rPr>
  </w:style>
  <w:style w:type="paragraph" w:customStyle="1" w:styleId="StyleBoxHeadingLeft0Firstline0">
    <w:name w:val="Style Box Heading + Left:  0&quot; First line:  0&quot;"/>
    <w:basedOn w:val="Normal"/>
    <w:autoRedefine/>
    <w:semiHidden/>
    <w:rsid w:val="00173234"/>
    <w:pPr>
      <w:keepLines/>
      <w:tabs>
        <w:tab w:val="left" w:pos="567"/>
        <w:tab w:val="num" w:pos="1276"/>
      </w:tabs>
      <w:spacing w:before="120"/>
    </w:pPr>
    <w:rPr>
      <w:rFonts w:ascii="Arial Bold" w:hAnsi="Arial Bold" w:cs="Arial"/>
      <w:b/>
      <w:bCs/>
      <w:color w:val="000000"/>
      <w:sz w:val="23"/>
      <w:lang w:eastAsia="en-AU"/>
    </w:rPr>
  </w:style>
  <w:style w:type="paragraph" w:styleId="Subtitle">
    <w:name w:val="Subtitle"/>
    <w:next w:val="BodyText"/>
    <w:link w:val="SubtitleChar"/>
    <w:uiPriority w:val="2"/>
    <w:semiHidden/>
    <w:rsid w:val="00173234"/>
    <w:pPr>
      <w:numPr>
        <w:ilvl w:val="1"/>
      </w:numPr>
      <w:pBdr>
        <w:top w:val="single" w:sz="4" w:space="4" w:color="FFFFFF" w:themeColor="background1"/>
      </w:pBdr>
      <w:suppressAutoHyphens/>
      <w:ind w:left="851" w:hanging="851"/>
    </w:pPr>
    <w:rPr>
      <w:rFonts w:asciiTheme="majorHAnsi" w:eastAsiaTheme="minorEastAsia" w:hAnsiTheme="majorHAnsi" w:cstheme="minorBidi"/>
      <w:color w:val="FFFFFF" w:themeColor="background1"/>
      <w:sz w:val="36"/>
      <w:szCs w:val="22"/>
      <w:lang w:eastAsia="en-US"/>
    </w:rPr>
  </w:style>
  <w:style w:type="character" w:customStyle="1" w:styleId="SubtitleChar">
    <w:name w:val="Subtitle Char"/>
    <w:basedOn w:val="DefaultParagraphFont"/>
    <w:link w:val="Subtitle"/>
    <w:uiPriority w:val="2"/>
    <w:semiHidden/>
    <w:rsid w:val="005E013C"/>
    <w:rPr>
      <w:rFonts w:asciiTheme="majorHAnsi" w:eastAsiaTheme="minorEastAsia" w:hAnsiTheme="majorHAnsi" w:cstheme="minorBidi"/>
      <w:color w:val="FFFFFF" w:themeColor="background1"/>
      <w:sz w:val="36"/>
      <w:szCs w:val="22"/>
      <w:lang w:eastAsia="en-US"/>
    </w:rPr>
  </w:style>
  <w:style w:type="character" w:styleId="SubtleEmphasis">
    <w:name w:val="Subtle Emphasis"/>
    <w:basedOn w:val="DefaultParagraphFont"/>
    <w:uiPriority w:val="19"/>
    <w:semiHidden/>
    <w:qFormat/>
    <w:rsid w:val="00173234"/>
    <w:rPr>
      <w:i/>
      <w:iCs/>
    </w:rPr>
  </w:style>
  <w:style w:type="table" w:styleId="TableGridLight">
    <w:name w:val="Grid Table Light"/>
    <w:basedOn w:val="TableNormal"/>
    <w:uiPriority w:val="40"/>
    <w:rsid w:val="00173234"/>
    <w:rPr>
      <w:rFonts w:asciiTheme="minorHAnsi" w:eastAsiaTheme="minorEastAsia" w:hAnsiTheme="minorHAnsi" w:cstheme="minorBidi"/>
      <w:sz w:val="22"/>
      <w:szCs w:val="22"/>
      <w:lang w:eastAsia="zh-CN"/>
    </w:rPr>
    <w:tblPr>
      <w:tblCellMar>
        <w:top w:w="113" w:type="dxa"/>
        <w:left w:w="0" w:type="dxa"/>
        <w:bottom w:w="57" w:type="dxa"/>
        <w:right w:w="57" w:type="dxa"/>
      </w:tblCellMar>
    </w:tblPr>
    <w:tblStylePr w:type="firstRow">
      <w:tblPr/>
      <w:trPr>
        <w:tblHeader/>
      </w:trPr>
    </w:tblStylePr>
  </w:style>
  <w:style w:type="paragraph" w:styleId="TableofFigures">
    <w:name w:val="table of figures"/>
    <w:next w:val="BodyText"/>
    <w:uiPriority w:val="99"/>
    <w:semiHidden/>
    <w:rsid w:val="00173234"/>
    <w:pPr>
      <w:tabs>
        <w:tab w:val="right" w:leader="dot" w:pos="10206"/>
      </w:tabs>
      <w:spacing w:before="120"/>
    </w:pPr>
    <w:rPr>
      <w:rFonts w:asciiTheme="minorHAnsi" w:eastAsia="Calibri" w:hAnsiTheme="minorHAnsi" w:cs="Calibri"/>
      <w:color w:val="002664" w:themeColor="accent1"/>
      <w:lang w:eastAsia="zh-CN"/>
    </w:rPr>
  </w:style>
  <w:style w:type="paragraph" w:styleId="Title">
    <w:name w:val="Title"/>
    <w:next w:val="Subtitle"/>
    <w:link w:val="TitleChar"/>
    <w:uiPriority w:val="1"/>
    <w:semiHidden/>
    <w:rsid w:val="00173234"/>
    <w:pPr>
      <w:spacing w:before="1800"/>
    </w:pPr>
    <w:rPr>
      <w:rFonts w:asciiTheme="majorHAnsi" w:eastAsiaTheme="majorEastAsia" w:hAnsiTheme="majorHAnsi"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semiHidden/>
    <w:rsid w:val="005E013C"/>
    <w:rPr>
      <w:rFonts w:asciiTheme="majorHAnsi" w:eastAsiaTheme="majorEastAsia" w:hAnsiTheme="majorHAnsi" w:cstheme="majorBidi"/>
      <w:color w:val="FFFFFF" w:themeColor="background1"/>
      <w:kern w:val="28"/>
      <w:position w:val="4"/>
      <w:sz w:val="80"/>
      <w:szCs w:val="56"/>
      <w:lang w:eastAsia="en-US"/>
    </w:rPr>
  </w:style>
  <w:style w:type="paragraph" w:styleId="TOC1">
    <w:name w:val="toc 1"/>
    <w:basedOn w:val="Normal"/>
    <w:next w:val="Normal"/>
    <w:autoRedefine/>
    <w:uiPriority w:val="39"/>
    <w:semiHidden/>
    <w:qFormat/>
    <w:rsid w:val="00173234"/>
    <w:pPr>
      <w:spacing w:after="100"/>
    </w:pPr>
  </w:style>
  <w:style w:type="paragraph" w:styleId="TOC2">
    <w:name w:val="toc 2"/>
    <w:next w:val="BodyText"/>
    <w:uiPriority w:val="39"/>
    <w:semiHidden/>
    <w:rsid w:val="00173234"/>
    <w:pPr>
      <w:tabs>
        <w:tab w:val="left" w:pos="1134"/>
        <w:tab w:val="right" w:leader="dot" w:pos="10206"/>
      </w:tabs>
      <w:suppressAutoHyphens/>
      <w:spacing w:before="120"/>
      <w:ind w:left="1134" w:hanging="567"/>
    </w:pPr>
    <w:rPr>
      <w:rFonts w:asciiTheme="minorHAnsi" w:eastAsia="Calibri" w:hAnsiTheme="minorHAnsi" w:cs="Calibri"/>
      <w:color w:val="002664" w:themeColor="accent1"/>
      <w:sz w:val="22"/>
      <w:lang w:eastAsia="zh-CN"/>
    </w:rPr>
  </w:style>
  <w:style w:type="paragraph" w:styleId="TOC3">
    <w:name w:val="toc 3"/>
    <w:basedOn w:val="Normal"/>
    <w:next w:val="Normal"/>
    <w:autoRedefine/>
    <w:uiPriority w:val="39"/>
    <w:semiHidden/>
    <w:rsid w:val="00173234"/>
    <w:pPr>
      <w:spacing w:after="100"/>
      <w:ind w:left="400"/>
    </w:pPr>
  </w:style>
  <w:style w:type="paragraph" w:styleId="TOC4">
    <w:name w:val="toc 4"/>
    <w:basedOn w:val="Normal"/>
    <w:next w:val="Normal"/>
    <w:uiPriority w:val="39"/>
    <w:semiHidden/>
    <w:rsid w:val="00173234"/>
    <w:pPr>
      <w:spacing w:after="100"/>
      <w:ind w:left="660"/>
    </w:pPr>
  </w:style>
  <w:style w:type="paragraph" w:styleId="TOC5">
    <w:name w:val="toc 5"/>
    <w:basedOn w:val="Normal"/>
    <w:next w:val="Normal"/>
    <w:uiPriority w:val="39"/>
    <w:semiHidden/>
    <w:rsid w:val="00173234"/>
    <w:pPr>
      <w:spacing w:after="100"/>
      <w:ind w:left="880"/>
    </w:pPr>
  </w:style>
  <w:style w:type="paragraph" w:styleId="TOC6">
    <w:name w:val="toc 6"/>
    <w:basedOn w:val="Normal"/>
    <w:next w:val="Normal"/>
    <w:uiPriority w:val="39"/>
    <w:semiHidden/>
    <w:rsid w:val="00173234"/>
    <w:pPr>
      <w:spacing w:after="100"/>
      <w:ind w:left="1100"/>
    </w:pPr>
  </w:style>
  <w:style w:type="paragraph" w:styleId="TOC7">
    <w:name w:val="toc 7"/>
    <w:basedOn w:val="Normal"/>
    <w:next w:val="Normal"/>
    <w:uiPriority w:val="39"/>
    <w:semiHidden/>
    <w:rsid w:val="00173234"/>
    <w:pPr>
      <w:spacing w:after="100"/>
      <w:ind w:left="1320"/>
    </w:pPr>
  </w:style>
  <w:style w:type="paragraph" w:styleId="TOC8">
    <w:name w:val="toc 8"/>
    <w:basedOn w:val="Normal"/>
    <w:next w:val="Normal"/>
    <w:uiPriority w:val="39"/>
    <w:semiHidden/>
    <w:rsid w:val="00173234"/>
    <w:pPr>
      <w:spacing w:after="100"/>
      <w:ind w:left="1540"/>
    </w:pPr>
  </w:style>
  <w:style w:type="paragraph" w:styleId="TOC9">
    <w:name w:val="toc 9"/>
    <w:basedOn w:val="Normal"/>
    <w:next w:val="Normal"/>
    <w:uiPriority w:val="39"/>
    <w:semiHidden/>
    <w:rsid w:val="00173234"/>
    <w:pPr>
      <w:spacing w:after="100"/>
      <w:ind w:left="1600"/>
    </w:pPr>
  </w:style>
  <w:style w:type="paragraph" w:styleId="TOCHeading">
    <w:name w:val="TOC Heading"/>
    <w:next w:val="BodyText"/>
    <w:uiPriority w:val="39"/>
    <w:semiHidden/>
    <w:rsid w:val="00173234"/>
    <w:pPr>
      <w:pageBreakBefore/>
      <w:suppressAutoHyphens/>
    </w:pPr>
    <w:rPr>
      <w:rFonts w:asciiTheme="minorHAnsi" w:eastAsiaTheme="minorEastAsia" w:hAnsiTheme="minorHAnsi" w:cstheme="minorBidi"/>
      <w:color w:val="002664" w:themeColor="accent1"/>
      <w:sz w:val="32"/>
      <w:szCs w:val="22"/>
      <w:lang w:eastAsia="zh-CN"/>
    </w:rPr>
  </w:style>
  <w:style w:type="character" w:styleId="UnresolvedMention">
    <w:name w:val="Unresolved Mention"/>
    <w:basedOn w:val="DefaultParagraphFont"/>
    <w:uiPriority w:val="99"/>
    <w:semiHidden/>
    <w:unhideWhenUsed/>
    <w:rsid w:val="00173234"/>
    <w:rPr>
      <w:color w:val="605E5C"/>
      <w:shd w:val="clear" w:color="auto" w:fill="E1DFDD"/>
    </w:rPr>
  </w:style>
  <w:style w:type="paragraph" w:customStyle="1" w:styleId="101Heading2">
    <w:name w:val="10.1 Heading 2"/>
    <w:basedOn w:val="Normal"/>
    <w:qFormat/>
    <w:rsid w:val="00242667"/>
    <w:pPr>
      <w:numPr>
        <w:numId w:val="93"/>
      </w:numPr>
      <w:pBdr>
        <w:bottom w:val="single" w:sz="4" w:space="4" w:color="22272B"/>
      </w:pBdr>
      <w:spacing w:before="360" w:after="120"/>
      <w:ind w:left="851" w:hanging="851"/>
    </w:pPr>
    <w:rPr>
      <w:rFonts w:ascii="Public Sans SemiBold" w:hAnsi="Public Sans SemiBold"/>
      <w:b/>
      <w:color w:val="000000" w:themeColor="text1"/>
      <w:sz w:val="28"/>
    </w:rPr>
  </w:style>
  <w:style w:type="paragraph" w:customStyle="1" w:styleId="Box10XBoxHeading">
    <w:name w:val="Box 10.X: Box Heading"/>
    <w:basedOn w:val="Box7XBoxHeading"/>
    <w:qFormat/>
    <w:rsid w:val="00A2745D"/>
    <w:pPr>
      <w:numPr>
        <w:numId w:val="94"/>
      </w:numPr>
      <w:ind w:left="1134" w:hanging="1134"/>
    </w:pPr>
  </w:style>
  <w:style w:type="paragraph" w:customStyle="1" w:styleId="Chart10X">
    <w:name w:val="Chart 10.X"/>
    <w:basedOn w:val="Chart7X"/>
    <w:qFormat/>
    <w:rsid w:val="00A2745D"/>
    <w:pPr>
      <w:numPr>
        <w:numId w:val="95"/>
      </w:numPr>
      <w:ind w:left="1418" w:hanging="1418"/>
    </w:pPr>
  </w:style>
  <w:style w:type="paragraph" w:customStyle="1" w:styleId="Figure10X">
    <w:name w:val="Figure 10.X"/>
    <w:basedOn w:val="Figure7X"/>
    <w:qFormat/>
    <w:rsid w:val="00A2745D"/>
    <w:pPr>
      <w:numPr>
        <w:numId w:val="96"/>
      </w:numPr>
      <w:ind w:left="1418" w:hanging="1418"/>
    </w:pPr>
  </w:style>
  <w:style w:type="paragraph" w:customStyle="1" w:styleId="Table10X">
    <w:name w:val="Table 10.X"/>
    <w:basedOn w:val="Table7X"/>
    <w:qFormat/>
    <w:rsid w:val="00A2745D"/>
    <w:pPr>
      <w:numPr>
        <w:numId w:val="97"/>
      </w:numPr>
      <w:ind w:left="1418" w:hanging="1418"/>
    </w:pPr>
  </w:style>
  <w:style w:type="table" w:customStyle="1" w:styleId="TableGrid2">
    <w:name w:val="Table Grid2"/>
    <w:basedOn w:val="TableNormal"/>
    <w:next w:val="TableGrid"/>
    <w:uiPriority w:val="39"/>
    <w:rsid w:val="00631E6D"/>
    <w:pPr>
      <w:spacing w:before="0" w:after="0"/>
      <w:ind w:left="0" w:firstLine="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1E6D"/>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6E92"/>
    <w:pPr>
      <w:spacing w:before="0" w:after="0"/>
      <w:ind w:left="0" w:firstLine="0"/>
    </w:pPr>
    <w:rPr>
      <w:lang w:val="en-US" w:eastAsia="en-US"/>
    </w:rPr>
  </w:style>
  <w:style w:type="table" w:customStyle="1" w:styleId="TableGrid1">
    <w:name w:val="Table Grid1"/>
    <w:basedOn w:val="TableNormal"/>
    <w:next w:val="TableGrid"/>
    <w:uiPriority w:val="39"/>
    <w:rsid w:val="003D4365"/>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81BD4"/>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XHeading2">
    <w:name w:val="9.X Heading 2"/>
    <w:basedOn w:val="101Heading2"/>
    <w:qFormat/>
    <w:rsid w:val="008B754D"/>
    <w:pPr>
      <w:numPr>
        <w:numId w:val="101"/>
      </w:numPr>
      <w:ind w:left="851" w:hanging="851"/>
    </w:pPr>
  </w:style>
  <w:style w:type="paragraph" w:customStyle="1" w:styleId="Box9XBoxHeading">
    <w:name w:val="Box 9.X: Box Heading"/>
    <w:basedOn w:val="Box10XBoxHeading"/>
    <w:qFormat/>
    <w:rsid w:val="003B3604"/>
    <w:pPr>
      <w:numPr>
        <w:numId w:val="102"/>
      </w:numPr>
      <w:ind w:left="1134" w:hanging="1134"/>
    </w:pPr>
  </w:style>
  <w:style w:type="paragraph" w:customStyle="1" w:styleId="Table9X">
    <w:name w:val="Table 9.X"/>
    <w:basedOn w:val="Table10X"/>
    <w:qFormat/>
    <w:rsid w:val="005B2604"/>
    <w:pPr>
      <w:numPr>
        <w:numId w:val="103"/>
      </w:numPr>
      <w:ind w:left="1418" w:hanging="1418"/>
    </w:pPr>
    <w:rPr>
      <w:rFonts w:eastAsiaTheme="minorEastAsia"/>
    </w:rPr>
  </w:style>
  <w:style w:type="paragraph" w:customStyle="1" w:styleId="Chart9X">
    <w:name w:val="Chart 9.X"/>
    <w:basedOn w:val="Chart10X"/>
    <w:qFormat/>
    <w:rsid w:val="005B2604"/>
    <w:pPr>
      <w:numPr>
        <w:numId w:val="104"/>
      </w:numPr>
      <w:ind w:left="1418"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CommercialAssets/Shared%20Documents/General/6.%20HYR%20&amp;%20Budget/2025-26%20Budget/Financials/25-26%20Budget%20Capital%20Expenditu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10.%20Ch%2010%20-%20Government%20businesses/Budget%20Papers%20-%20Charts%20and%20Table%20template_Chapter%2010_18%20Jun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spPr>
            <a:solidFill>
              <a:srgbClr val="0B3F47"/>
            </a:solidFill>
            <a:ln>
              <a:noFill/>
            </a:ln>
            <a:effectLst/>
          </c:spPr>
          <c:invertIfNegative val="0"/>
          <c:cat>
            <c:strRef>
              <c:f>'Capital Expenditure'!$P$18:$T$18</c:f>
              <c:strCache>
                <c:ptCount val="5"/>
                <c:pt idx="0">
                  <c:v>2024-25</c:v>
                </c:pt>
                <c:pt idx="1">
                  <c:v>2025-26</c:v>
                </c:pt>
                <c:pt idx="2">
                  <c:v>2026-27</c:v>
                </c:pt>
                <c:pt idx="3">
                  <c:v>2027-28</c:v>
                </c:pt>
                <c:pt idx="4">
                  <c:v>2028-29</c:v>
                </c:pt>
              </c:strCache>
            </c:strRef>
          </c:cat>
          <c:val>
            <c:numRef>
              <c:f>'Capital Expenditure'!$I$75:$M$75</c:f>
              <c:numCache>
                <c:formatCode>#,##0;[Red]\(#,##0\)</c:formatCode>
                <c:ptCount val="5"/>
                <c:pt idx="0">
                  <c:v>6893939.8683167836</c:v>
                </c:pt>
                <c:pt idx="1">
                  <c:v>8562744.8386700004</c:v>
                </c:pt>
                <c:pt idx="2">
                  <c:v>8280869.77874</c:v>
                </c:pt>
                <c:pt idx="3">
                  <c:v>7855888.5982499998</c:v>
                </c:pt>
                <c:pt idx="4">
                  <c:v>7895930.1059699999</c:v>
                </c:pt>
              </c:numCache>
            </c:numRef>
          </c:val>
          <c:extLst>
            <c:ext xmlns:c16="http://schemas.microsoft.com/office/drawing/2014/chart" uri="{C3380CC4-5D6E-409C-BE32-E72D297353CC}">
              <c16:uniqueId val="{00000000-4847-4214-8818-5F1CC5D43E28}"/>
            </c:ext>
          </c:extLst>
        </c:ser>
        <c:dLbls>
          <c:showLegendKey val="0"/>
          <c:showVal val="0"/>
          <c:showCatName val="0"/>
          <c:showSerName val="0"/>
          <c:showPercent val="0"/>
          <c:showBubbleSize val="0"/>
        </c:dLbls>
        <c:gapWidth val="110"/>
        <c:overlap val="-27"/>
        <c:axId val="1061356560"/>
        <c:axId val="1067160176"/>
      </c:barChart>
      <c:catAx>
        <c:axId val="106135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067160176"/>
        <c:crossesAt val="0"/>
        <c:auto val="1"/>
        <c:lblAlgn val="ctr"/>
        <c:lblOffset val="100"/>
        <c:noMultiLvlLbl val="0"/>
      </c:catAx>
      <c:valAx>
        <c:axId val="1067160176"/>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US"/>
                  <a:t>$ millions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Red]\(#,##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061356560"/>
        <c:crosses val="autoZero"/>
        <c:crossBetween val="between"/>
        <c:dispUnits>
          <c:builtInUnit val="thousand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a:ln>
              <a:solidFill>
                <a:schemeClr val="bg1">
                  <a:alpha val="96000"/>
                </a:schemeClr>
              </a:solidFill>
            </a:ln>
          </c:spPr>
          <c:dPt>
            <c:idx val="0"/>
            <c:bubble3D val="0"/>
            <c:spPr>
              <a:solidFill>
                <a:srgbClr val="0B3F47"/>
              </a:solidFill>
              <a:ln>
                <a:solidFill>
                  <a:schemeClr val="bg1">
                    <a:alpha val="96000"/>
                  </a:schemeClr>
                </a:solidFill>
              </a:ln>
              <a:effectLst/>
            </c:spPr>
            <c:extLst>
              <c:ext xmlns:c16="http://schemas.microsoft.com/office/drawing/2014/chart" uri="{C3380CC4-5D6E-409C-BE32-E72D297353CC}">
                <c16:uniqueId val="{00000001-F95C-43BE-B503-7A741DF8F2F6}"/>
              </c:ext>
            </c:extLst>
          </c:dPt>
          <c:dPt>
            <c:idx val="1"/>
            <c:bubble3D val="0"/>
            <c:spPr>
              <a:solidFill>
                <a:srgbClr val="2E808E"/>
              </a:solidFill>
              <a:ln>
                <a:solidFill>
                  <a:schemeClr val="bg1">
                    <a:alpha val="96000"/>
                  </a:schemeClr>
                </a:solidFill>
              </a:ln>
              <a:effectLst/>
            </c:spPr>
            <c:extLst>
              <c:ext xmlns:c16="http://schemas.microsoft.com/office/drawing/2014/chart" uri="{C3380CC4-5D6E-409C-BE32-E72D297353CC}">
                <c16:uniqueId val="{00000003-F95C-43BE-B503-7A741DF8F2F6}"/>
              </c:ext>
            </c:extLst>
          </c:dPt>
          <c:dPt>
            <c:idx val="2"/>
            <c:bubble3D val="0"/>
            <c:spPr>
              <a:solidFill>
                <a:srgbClr val="F3631B"/>
              </a:solidFill>
              <a:ln>
                <a:solidFill>
                  <a:schemeClr val="bg1">
                    <a:alpha val="96000"/>
                  </a:schemeClr>
                </a:solidFill>
              </a:ln>
              <a:effectLst/>
            </c:spPr>
            <c:extLst>
              <c:ext xmlns:c16="http://schemas.microsoft.com/office/drawing/2014/chart" uri="{C3380CC4-5D6E-409C-BE32-E72D297353CC}">
                <c16:uniqueId val="{00000005-F95C-43BE-B503-7A741DF8F2F6}"/>
              </c:ext>
            </c:extLst>
          </c:dPt>
          <c:dPt>
            <c:idx val="3"/>
            <c:bubble3D val="0"/>
            <c:spPr>
              <a:solidFill>
                <a:srgbClr val="441170"/>
              </a:solidFill>
              <a:ln>
                <a:solidFill>
                  <a:schemeClr val="bg1">
                    <a:alpha val="96000"/>
                  </a:schemeClr>
                </a:solidFill>
              </a:ln>
              <a:effectLst/>
            </c:spPr>
            <c:extLst>
              <c:ext xmlns:c16="http://schemas.microsoft.com/office/drawing/2014/chart" uri="{C3380CC4-5D6E-409C-BE32-E72D297353CC}">
                <c16:uniqueId val="{00000007-F95C-43BE-B503-7A741DF8F2F6}"/>
              </c:ext>
            </c:extLst>
          </c:dPt>
          <c:dPt>
            <c:idx val="4"/>
            <c:bubble3D val="0"/>
            <c:spPr>
              <a:solidFill>
                <a:srgbClr val="002664"/>
              </a:solidFill>
              <a:ln>
                <a:solidFill>
                  <a:schemeClr val="bg1">
                    <a:alpha val="96000"/>
                  </a:schemeClr>
                </a:solidFill>
              </a:ln>
              <a:effectLst/>
            </c:spPr>
            <c:extLst>
              <c:ext xmlns:c16="http://schemas.microsoft.com/office/drawing/2014/chart" uri="{C3380CC4-5D6E-409C-BE32-E72D297353CC}">
                <c16:uniqueId val="{00000009-F95C-43BE-B503-7A741DF8F2F6}"/>
              </c:ext>
            </c:extLst>
          </c:dPt>
          <c:dPt>
            <c:idx val="5"/>
            <c:bubble3D val="0"/>
            <c:spPr>
              <a:solidFill>
                <a:srgbClr val="146CFD"/>
              </a:solidFill>
              <a:ln>
                <a:solidFill>
                  <a:schemeClr val="bg1">
                    <a:alpha val="96000"/>
                  </a:schemeClr>
                </a:solidFill>
              </a:ln>
              <a:effectLst/>
            </c:spPr>
            <c:extLst>
              <c:ext xmlns:c16="http://schemas.microsoft.com/office/drawing/2014/chart" uri="{C3380CC4-5D6E-409C-BE32-E72D297353CC}">
                <c16:uniqueId val="{0000000B-F95C-43BE-B503-7A741DF8F2F6}"/>
              </c:ext>
            </c:extLst>
          </c:dPt>
          <c:dPt>
            <c:idx val="6"/>
            <c:bubble3D val="0"/>
            <c:spPr>
              <a:solidFill>
                <a:srgbClr val="495054"/>
              </a:solidFill>
              <a:ln>
                <a:solidFill>
                  <a:schemeClr val="bg1">
                    <a:alpha val="96000"/>
                  </a:schemeClr>
                </a:solidFill>
              </a:ln>
              <a:effectLst/>
            </c:spPr>
            <c:extLst>
              <c:ext xmlns:c16="http://schemas.microsoft.com/office/drawing/2014/chart" uri="{C3380CC4-5D6E-409C-BE32-E72D297353CC}">
                <c16:uniqueId val="{0000000D-F95C-43BE-B503-7A741DF8F2F6}"/>
              </c:ext>
            </c:extLst>
          </c:dPt>
          <c:dPt>
            <c:idx val="7"/>
            <c:bubble3D val="0"/>
            <c:spPr>
              <a:solidFill>
                <a:srgbClr val="25272B"/>
              </a:solidFill>
              <a:ln>
                <a:solidFill>
                  <a:schemeClr val="bg1">
                    <a:alpha val="96000"/>
                  </a:schemeClr>
                </a:solidFill>
              </a:ln>
              <a:effectLst/>
            </c:spPr>
            <c:extLst>
              <c:ext xmlns:c16="http://schemas.microsoft.com/office/drawing/2014/chart" uri="{C3380CC4-5D6E-409C-BE32-E72D297353CC}">
                <c16:uniqueId val="{0000000F-F95C-43BE-B503-7A741DF8F2F6}"/>
              </c:ext>
            </c:extLst>
          </c:dPt>
          <c:dPt>
            <c:idx val="8"/>
            <c:bubble3D val="0"/>
            <c:spPr>
              <a:solidFill>
                <a:schemeClr val="bg1">
                  <a:lumMod val="75000"/>
                </a:schemeClr>
              </a:solidFill>
              <a:ln>
                <a:solidFill>
                  <a:schemeClr val="bg1">
                    <a:alpha val="96000"/>
                  </a:schemeClr>
                </a:solidFill>
              </a:ln>
              <a:effectLst/>
            </c:spPr>
            <c:extLst>
              <c:ext xmlns:c16="http://schemas.microsoft.com/office/drawing/2014/chart" uri="{C3380CC4-5D6E-409C-BE32-E72D297353CC}">
                <c16:uniqueId val="{00000011-F95C-43BE-B503-7A741DF8F2F6}"/>
              </c:ext>
            </c:extLst>
          </c:dPt>
          <c:dPt>
            <c:idx val="9"/>
            <c:bubble3D val="0"/>
            <c:spPr>
              <a:solidFill>
                <a:srgbClr val="EBEBEB"/>
              </a:solidFill>
              <a:ln>
                <a:solidFill>
                  <a:schemeClr val="bg1">
                    <a:alpha val="96000"/>
                  </a:schemeClr>
                </a:solidFill>
              </a:ln>
              <a:effectLst/>
            </c:spPr>
            <c:extLst>
              <c:ext xmlns:c16="http://schemas.microsoft.com/office/drawing/2014/chart" uri="{C3380CC4-5D6E-409C-BE32-E72D297353CC}">
                <c16:uniqueId val="{00000013-F95C-43BE-B503-7A741DF8F2F6}"/>
              </c:ext>
            </c:extLst>
          </c:dPt>
          <c:dLbls>
            <c:dLbl>
              <c:idx val="0"/>
              <c:layout>
                <c:manualLayout>
                  <c:x val="-0.13963067857818587"/>
                  <c:y val="9.4781664837703936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F95C-43BE-B503-7A741DF8F2F6}"/>
                </c:ext>
              </c:extLst>
            </c:dLbl>
            <c:dLbl>
              <c:idx val="1"/>
              <c:layout>
                <c:manualLayout>
                  <c:x val="-9.5865839023829141E-2"/>
                  <c:y val="-0.1061554646182284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F95C-43BE-B503-7A741DF8F2F6}"/>
                </c:ext>
              </c:extLst>
            </c:dLbl>
            <c:dLbl>
              <c:idx val="2"/>
              <c:layout>
                <c:manualLayout>
                  <c:x val="0.21956929961073055"/>
                  <c:y val="-7.961659846367132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973337483141405"/>
                      <c:h val="0.13434485131106186"/>
                    </c:manualLayout>
                  </c15:layout>
                </c:ext>
                <c:ext xmlns:c16="http://schemas.microsoft.com/office/drawing/2014/chart" uri="{C3380CC4-5D6E-409C-BE32-E72D297353CC}">
                  <c16:uniqueId val="{00000005-F95C-43BE-B503-7A741DF8F2F6}"/>
                </c:ext>
              </c:extLst>
            </c:dLbl>
            <c:dLbl>
              <c:idx val="3"/>
              <c:layout>
                <c:manualLayout>
                  <c:x val="0.19878371548148496"/>
                  <c:y val="-3.7912665935081573E-3"/>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30400448309974332"/>
                      <c:h val="0.13434485131106186"/>
                    </c:manualLayout>
                  </c15:layout>
                </c:ext>
                <c:ext xmlns:c16="http://schemas.microsoft.com/office/drawing/2014/chart" uri="{C3380CC4-5D6E-409C-BE32-E72D297353CC}">
                  <c16:uniqueId val="{00000007-F95C-43BE-B503-7A741DF8F2F6}"/>
                </c:ext>
              </c:extLst>
            </c:dLbl>
            <c:dLbl>
              <c:idx val="4"/>
              <c:layout>
                <c:manualLayout>
                  <c:x val="0.17506152829119737"/>
                  <c:y val="1.5165124749305746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5207692858122882"/>
                      <c:h val="0.10558689191998452"/>
                    </c:manualLayout>
                  </c15:layout>
                </c:ext>
                <c:ext xmlns:c16="http://schemas.microsoft.com/office/drawing/2014/chart" uri="{C3380CC4-5D6E-409C-BE32-E72D297353CC}">
                  <c16:uniqueId val="{00000009-F95C-43BE-B503-7A741DF8F2F6}"/>
                </c:ext>
              </c:extLst>
            </c:dLbl>
            <c:dLbl>
              <c:idx val="5"/>
              <c:layout>
                <c:manualLayout>
                  <c:x val="0.17691354863468323"/>
                  <c:y val="5.6773160904554136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6387583904953055"/>
                      <c:h val="0.13434485131106186"/>
                    </c:manualLayout>
                  </c15:layout>
                </c:ext>
                <c:ext xmlns:c16="http://schemas.microsoft.com/office/drawing/2014/chart" uri="{C3380CC4-5D6E-409C-BE32-E72D297353CC}">
                  <c16:uniqueId val="{0000000B-F95C-43BE-B503-7A741DF8F2F6}"/>
                </c:ext>
              </c:extLst>
            </c:dLbl>
            <c:dLbl>
              <c:idx val="6"/>
              <c:layout>
                <c:manualLayout>
                  <c:x val="0.17819136365337226"/>
                  <c:y val="9.4565957973489059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963894430647489"/>
                      <c:h val="0.10558689191998452"/>
                    </c:manualLayout>
                  </c15:layout>
                </c:ext>
                <c:ext xmlns:c16="http://schemas.microsoft.com/office/drawing/2014/chart" uri="{C3380CC4-5D6E-409C-BE32-E72D297353CC}">
                  <c16:uniqueId val="{0000000D-F95C-43BE-B503-7A741DF8F2F6}"/>
                </c:ext>
              </c:extLst>
            </c:dLbl>
            <c:dLbl>
              <c:idx val="7"/>
              <c:layout>
                <c:manualLayout>
                  <c:x val="0.15214466057850043"/>
                  <c:y val="0.13255041823431923"/>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5182681090775644"/>
                      <c:h val="0.10558689191998452"/>
                    </c:manualLayout>
                  </c15:layout>
                </c:ext>
                <c:ext xmlns:c16="http://schemas.microsoft.com/office/drawing/2014/chart" uri="{C3380CC4-5D6E-409C-BE32-E72D297353CC}">
                  <c16:uniqueId val="{0000000F-F95C-43BE-B503-7A741DF8F2F6}"/>
                </c:ext>
              </c:extLst>
            </c:dLbl>
            <c:dLbl>
              <c:idx val="8"/>
              <c:layout>
                <c:manualLayout>
                  <c:x val="3.9601964966457237E-2"/>
                  <c:y val="0.14402016849537785"/>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1-F95C-43BE-B503-7A741DF8F2F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Public Sans" pitchFamily="2" charset="0"/>
                    <a:ea typeface="+mn-ea"/>
                    <a:cs typeface="+mn-cs"/>
                  </a:defRPr>
                </a:pPr>
                <a:endParaRPr lang="en-US"/>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'In Chapter 10'!$A$8:$A$16</c:f>
              <c:strCache>
                <c:ptCount val="9"/>
                <c:pt idx="0">
                  <c:v>Treasury Managed Fund</c:v>
                </c:pt>
                <c:pt idx="1">
                  <c:v>NSW Generation Fund</c:v>
                </c:pt>
                <c:pt idx="2">
                  <c:v>Lifetime Care Support Authority Fund</c:v>
                </c:pt>
                <c:pt idx="3">
                  <c:v>NSW Infrastructure Future Fund</c:v>
                </c:pt>
                <c:pt idx="4">
                  <c:v>Long Service Corporation</c:v>
                </c:pt>
                <c:pt idx="5">
                  <c:v>Social and Affordable Housing Fund</c:v>
                </c:pt>
                <c:pt idx="6">
                  <c:v>Snowy Hydro Legacy Fund</c:v>
                </c:pt>
                <c:pt idx="7">
                  <c:v>Dust Diseases Authority Fund</c:v>
                </c:pt>
                <c:pt idx="8">
                  <c:v>Other</c:v>
                </c:pt>
              </c:strCache>
            </c:strRef>
          </c:cat>
          <c:val>
            <c:numRef>
              <c:f>'In Chapter 10'!$E$8:$E$16</c:f>
              <c:numCache>
                <c:formatCode>0%</c:formatCode>
                <c:ptCount val="9"/>
                <c:pt idx="0">
                  <c:v>0.31846570249535588</c:v>
                </c:pt>
                <c:pt idx="1">
                  <c:v>0.29132957441550733</c:v>
                </c:pt>
                <c:pt idx="2">
                  <c:v>0.17432955333223663</c:v>
                </c:pt>
                <c:pt idx="3">
                  <c:v>7.5380537967539782E-2</c:v>
                </c:pt>
                <c:pt idx="4">
                  <c:v>4.0503818456554277E-2</c:v>
                </c:pt>
                <c:pt idx="5">
                  <c:v>2.6801857373271953E-2</c:v>
                </c:pt>
                <c:pt idx="6">
                  <c:v>2.9656151121844412E-2</c:v>
                </c:pt>
                <c:pt idx="7">
                  <c:v>1.5833123421732612E-2</c:v>
                </c:pt>
                <c:pt idx="8">
                  <c:v>2.7699681415957172E-2</c:v>
                </c:pt>
              </c:numCache>
            </c:numRef>
          </c:val>
          <c:extLst>
            <c:ext xmlns:c16="http://schemas.microsoft.com/office/drawing/2014/chart" uri="{C3380CC4-5D6E-409C-BE32-E72D297353CC}">
              <c16:uniqueId val="{00000014-F95C-43BE-B503-7A741DF8F2F6}"/>
            </c:ext>
          </c:extLst>
        </c:ser>
        <c:dLbls>
          <c:showLegendKey val="0"/>
          <c:showVal val="1"/>
          <c:showCatName val="0"/>
          <c:showSerName val="0"/>
          <c:showPercent val="0"/>
          <c:showBubbleSize val="0"/>
          <c:showLeaderLines val="0"/>
        </c:dLbls>
        <c:firstSliceAng val="150"/>
        <c:holeSize val="60"/>
      </c:doughnutChart>
      <c:spPr>
        <a:noFill/>
        <a:ln>
          <a:noFill/>
        </a:ln>
        <a:effectLst/>
      </c:spPr>
    </c:plotArea>
    <c:plotVisOnly val="1"/>
    <c:dispBlanksAs val="gap"/>
    <c:showDLblsOverMax val="0"/>
  </c:chart>
  <c:spPr>
    <a:noFill/>
    <a:ln w="6350" cap="flat" cmpd="sng" algn="ctr">
      <a:noFill/>
      <a:prstDash val="solid"/>
      <a:round/>
    </a:ln>
    <a:effectLst/>
  </c:spPr>
  <c:txPr>
    <a:bodyPr/>
    <a:lstStyle/>
    <a:p>
      <a:pPr>
        <a:defRPr sz="700">
          <a:latin typeface="Public Sans"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Budget Paper">
      <a:dk1>
        <a:sysClr val="windowText" lastClr="000000"/>
      </a:dk1>
      <a:lt1>
        <a:srgbClr val="FFFFFF"/>
      </a:lt1>
      <a:dk2>
        <a:srgbClr val="FFFFFF"/>
      </a:dk2>
      <a:lt2>
        <a:srgbClr val="DBDBDB"/>
      </a:lt2>
      <a:accent1>
        <a:srgbClr val="002664"/>
      </a:accent1>
      <a:accent2>
        <a:srgbClr val="8CE0FF"/>
      </a:accent2>
      <a:accent3>
        <a:srgbClr val="146CFD"/>
      </a:accent3>
      <a:accent4>
        <a:srgbClr val="CBEDFD"/>
      </a:accent4>
      <a:accent5>
        <a:srgbClr val="BFBFBF"/>
      </a:accent5>
      <a:accent6>
        <a:srgbClr val="495054"/>
      </a:accent6>
      <a:hlink>
        <a:srgbClr val="00ABE6"/>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E9FD7-6E6C-41F1-AB66-B4A654C66101}">
  <ds:schemaRefs>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9f0ac7ce-5f57-4ea0-9af7-01d4f3f1ccae"/>
    <ds:schemaRef ds:uri="1c478e85-8130-4c67-8ee4-8bdf1c0e6049"/>
    <ds:schemaRef ds:uri="801a5968-9419-4033-b9de-7ffe8168468e"/>
  </ds:schemaRefs>
</ds:datastoreItem>
</file>

<file path=customXml/itemProps2.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3.xml><?xml version="1.0" encoding="utf-8"?>
<ds:datastoreItem xmlns:ds="http://schemas.openxmlformats.org/officeDocument/2006/customXml" ds:itemID="{C4178A99-804C-44A8-B642-3BC0753CE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0486F-5120-4F67-BA1E-2BAF7098B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3527</Words>
  <Characters>20104</Characters>
  <Application>Microsoft Office Word</Application>
  <DocSecurity>0</DocSecurity>
  <Lines>167</Lines>
  <Paragraphs>47</Paragraphs>
  <ScaleCrop>false</ScaleCrop>
  <Company>NSW Treasury</Company>
  <LinksUpToDate>false</LinksUpToDate>
  <CharactersWithSpaces>23584</CharactersWithSpaces>
  <SharedDoc>false</SharedDoc>
  <HLinks>
    <vt:vector size="90" baseType="variant">
      <vt:variant>
        <vt:i4>3932284</vt:i4>
      </vt:variant>
      <vt:variant>
        <vt:i4>42</vt:i4>
      </vt:variant>
      <vt:variant>
        <vt:i4>0</vt:i4>
      </vt:variant>
      <vt:variant>
        <vt:i4>5</vt:i4>
      </vt:variant>
      <vt:variant>
        <vt:lpwstr>https://nswgov.sharepoint.com/sites/Policy-Budget/Shared Documents/2025-26 Budget/Useful information for budget paper authors - 2025-26 Budget.pdf</vt:lpwstr>
      </vt:variant>
      <vt:variant>
        <vt:lpwstr/>
      </vt:variant>
      <vt:variant>
        <vt:i4>8061031</vt:i4>
      </vt:variant>
      <vt:variant>
        <vt:i4>39</vt:i4>
      </vt:variant>
      <vt:variant>
        <vt:i4>0</vt:i4>
      </vt:variant>
      <vt:variant>
        <vt:i4>5</vt:i4>
      </vt:variant>
      <vt:variant>
        <vt:lpwstr>https://nswgov.sharepoint.com/sites/Policy-Budget/Shared Documents/Forms/AllItems.aspx?id=%2Fsites%2FPolicy%2DBudget%2FShared%20Documents%2F2025%2D26%20Budget%2F2025%2D26%20Production%20timetable%2Epdf&amp;parent=%2Fsites%2FPolicy%2DBudget%2FShared%20Documents%2F2025%2D26%20Budget</vt:lpwstr>
      </vt:variant>
      <vt:variant>
        <vt:lpwstr/>
      </vt:variant>
      <vt:variant>
        <vt:i4>655446</vt:i4>
      </vt:variant>
      <vt:variant>
        <vt:i4>36</vt:i4>
      </vt:variant>
      <vt:variant>
        <vt:i4>0</vt:i4>
      </vt:variant>
      <vt:variant>
        <vt:i4>5</vt:i4>
      </vt:variant>
      <vt:variant>
        <vt:lpwstr>https://nswgov.sharepoint.com/sites/Policy-Budget/Shared Documents/2025-26 Budget/Useful information for budget paper authors - 2025-26 Budget.pdf</vt:lpwstr>
      </vt:variant>
      <vt:variant>
        <vt:lpwstr>page=24</vt:lpwstr>
      </vt:variant>
      <vt:variant>
        <vt:i4>655446</vt:i4>
      </vt:variant>
      <vt:variant>
        <vt:i4>33</vt:i4>
      </vt:variant>
      <vt:variant>
        <vt:i4>0</vt:i4>
      </vt:variant>
      <vt:variant>
        <vt:i4>5</vt:i4>
      </vt:variant>
      <vt:variant>
        <vt:lpwstr>https://nswgov.sharepoint.com/sites/Policy-Budget/Shared Documents/2025-26 Budget/Useful information for budget paper authors - 2025-26 Budget.pdf</vt:lpwstr>
      </vt:variant>
      <vt:variant>
        <vt:lpwstr>page=23</vt:lpwstr>
      </vt:variant>
      <vt:variant>
        <vt:i4>655446</vt:i4>
      </vt:variant>
      <vt:variant>
        <vt:i4>30</vt:i4>
      </vt:variant>
      <vt:variant>
        <vt:i4>0</vt:i4>
      </vt:variant>
      <vt:variant>
        <vt:i4>5</vt:i4>
      </vt:variant>
      <vt:variant>
        <vt:lpwstr>https://nswgov.sharepoint.com/sites/Policy-Budget/Shared Documents/2025-26 Budget/Useful information for budget paper authors - 2025-26 Budget.pdf</vt:lpwstr>
      </vt:variant>
      <vt:variant>
        <vt:lpwstr>page=22</vt:lpwstr>
      </vt:variant>
      <vt:variant>
        <vt:i4>589910</vt:i4>
      </vt:variant>
      <vt:variant>
        <vt:i4>27</vt:i4>
      </vt:variant>
      <vt:variant>
        <vt:i4>0</vt:i4>
      </vt:variant>
      <vt:variant>
        <vt:i4>5</vt:i4>
      </vt:variant>
      <vt:variant>
        <vt:lpwstr>https://nswgov.sharepoint.com/sites/Policy-Budget/Shared Documents/2025-26 Budget/Useful information for budget paper authors - 2025-26 Budget.pdf</vt:lpwstr>
      </vt:variant>
      <vt:variant>
        <vt:lpwstr>page=19</vt:lpwstr>
      </vt:variant>
      <vt:variant>
        <vt:i4>589910</vt:i4>
      </vt:variant>
      <vt:variant>
        <vt:i4>24</vt:i4>
      </vt:variant>
      <vt:variant>
        <vt:i4>0</vt:i4>
      </vt:variant>
      <vt:variant>
        <vt:i4>5</vt:i4>
      </vt:variant>
      <vt:variant>
        <vt:lpwstr>https://nswgov.sharepoint.com/sites/Policy-Budget/Shared Documents/2025-26 Budget/Useful information for budget paper authors - 2025-26 Budget.pdf</vt:lpwstr>
      </vt:variant>
      <vt:variant>
        <vt:lpwstr>page=15</vt:lpwstr>
      </vt:variant>
      <vt:variant>
        <vt:i4>589910</vt:i4>
      </vt:variant>
      <vt:variant>
        <vt:i4>21</vt:i4>
      </vt:variant>
      <vt:variant>
        <vt:i4>0</vt:i4>
      </vt:variant>
      <vt:variant>
        <vt:i4>5</vt:i4>
      </vt:variant>
      <vt:variant>
        <vt:lpwstr>https://nswgov.sharepoint.com/sites/Policy-Budget/Shared Documents/2025-26 Budget/Useful information for budget paper authors - 2025-26 Budget.pdf</vt:lpwstr>
      </vt:variant>
      <vt:variant>
        <vt:lpwstr>page=16</vt:lpwstr>
      </vt:variant>
      <vt:variant>
        <vt:i4>655446</vt:i4>
      </vt:variant>
      <vt:variant>
        <vt:i4>18</vt:i4>
      </vt:variant>
      <vt:variant>
        <vt:i4>0</vt:i4>
      </vt:variant>
      <vt:variant>
        <vt:i4>5</vt:i4>
      </vt:variant>
      <vt:variant>
        <vt:lpwstr>https://nswgov.sharepoint.com/sites/Policy-Budget/Shared Documents/2025-26 Budget/Useful information for budget paper authors - 2025-26 Budget.pdf</vt:lpwstr>
      </vt:variant>
      <vt:variant>
        <vt:lpwstr>page=20</vt:lpwstr>
      </vt:variant>
      <vt:variant>
        <vt:i4>589910</vt:i4>
      </vt:variant>
      <vt:variant>
        <vt:i4>15</vt:i4>
      </vt:variant>
      <vt:variant>
        <vt:i4>0</vt:i4>
      </vt:variant>
      <vt:variant>
        <vt:i4>5</vt:i4>
      </vt:variant>
      <vt:variant>
        <vt:lpwstr>https://nswgov.sharepoint.com/sites/Policy-Budget/Shared Documents/2025-26 Budget/Useful information for budget paper authors - 2025-26 Budget.pdf</vt:lpwstr>
      </vt:variant>
      <vt:variant>
        <vt:lpwstr>page=12</vt:lpwstr>
      </vt:variant>
      <vt:variant>
        <vt:i4>589910</vt:i4>
      </vt:variant>
      <vt:variant>
        <vt:i4>12</vt:i4>
      </vt:variant>
      <vt:variant>
        <vt:i4>0</vt:i4>
      </vt:variant>
      <vt:variant>
        <vt:i4>5</vt:i4>
      </vt:variant>
      <vt:variant>
        <vt:lpwstr>https://nswgov.sharepoint.com/sites/Policy-Budget/Shared Documents/2025-26 Budget/Useful information for budget paper authors - 2025-26 Budget.pdf</vt:lpwstr>
      </vt:variant>
      <vt:variant>
        <vt:lpwstr>page=19</vt:lpwstr>
      </vt:variant>
      <vt:variant>
        <vt:i4>589910</vt:i4>
      </vt:variant>
      <vt:variant>
        <vt:i4>9</vt:i4>
      </vt:variant>
      <vt:variant>
        <vt:i4>0</vt:i4>
      </vt:variant>
      <vt:variant>
        <vt:i4>5</vt:i4>
      </vt:variant>
      <vt:variant>
        <vt:lpwstr>https://nswgov.sharepoint.com/sites/Policy-Budget/Shared Documents/2025-26 Budget/Useful information for budget paper authors - 2025-26 Budget.pdf</vt:lpwstr>
      </vt:variant>
      <vt:variant>
        <vt:lpwstr>page=15</vt:lpwstr>
      </vt:variant>
      <vt:variant>
        <vt:i4>589910</vt:i4>
      </vt:variant>
      <vt:variant>
        <vt:i4>6</vt:i4>
      </vt:variant>
      <vt:variant>
        <vt:i4>0</vt:i4>
      </vt:variant>
      <vt:variant>
        <vt:i4>5</vt:i4>
      </vt:variant>
      <vt:variant>
        <vt:lpwstr>https://nswgov.sharepoint.com/sites/Policy-Budget/Shared Documents/2025-26 Budget/Useful information for budget paper authors - 2025-26 Budget.pdf</vt:lpwstr>
      </vt:variant>
      <vt:variant>
        <vt:lpwstr>page=19</vt:lpwstr>
      </vt:variant>
      <vt:variant>
        <vt:i4>589910</vt:i4>
      </vt:variant>
      <vt:variant>
        <vt:i4>3</vt:i4>
      </vt:variant>
      <vt:variant>
        <vt:i4>0</vt:i4>
      </vt:variant>
      <vt:variant>
        <vt:i4>5</vt:i4>
      </vt:variant>
      <vt:variant>
        <vt:lpwstr>https://nswgov.sharepoint.com/sites/Policy-Budget/Shared Documents/2025-26 Budget/Useful information for budget paper authors - 2025-26 Budget.pdf</vt:lpwstr>
      </vt:variant>
      <vt:variant>
        <vt:lpwstr>page=19</vt:lpwstr>
      </vt:variant>
      <vt:variant>
        <vt:i4>589910</vt:i4>
      </vt:variant>
      <vt:variant>
        <vt:i4>0</vt:i4>
      </vt:variant>
      <vt:variant>
        <vt:i4>0</vt:i4>
      </vt:variant>
      <vt:variant>
        <vt:i4>5</vt:i4>
      </vt:variant>
      <vt:variant>
        <vt:lpwstr>https://nswgov.sharepoint.com/sites/Policy-Budget/Shared Documents/2025-26 Budget/Useful information for budget paper authors - 2025-26 Budget.pdf</vt:lpwstr>
      </vt:variant>
      <vt:variant>
        <vt:lpwstr>page=16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 1 - Budget Statement - Chapter 9: Government businesses</dc:title>
  <dc:subject/>
  <dc:creator>F Lavorato</dc:creator>
  <cp:keywords/>
  <cp:lastModifiedBy>Amany Tahir</cp:lastModifiedBy>
  <cp:revision>2</cp:revision>
  <cp:lastPrinted>2025-06-20T12:18:00Z</cp:lastPrinted>
  <dcterms:created xsi:type="dcterms:W3CDTF">2025-06-22T07:25:00Z</dcterms:created>
  <dcterms:modified xsi:type="dcterms:W3CDTF">2025-06-22T07:25:00Z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y fmtid="{D5CDD505-2E9C-101B-9397-08002B2CF9AE}" pid="39" name="Order">
    <vt:r8>8728300</vt:r8>
  </property>
  <property fmtid="{D5CDD505-2E9C-101B-9397-08002B2CF9AE}" pid="40" name="xd_ProgID">
    <vt:lpwstr/>
  </property>
  <property fmtid="{D5CDD505-2E9C-101B-9397-08002B2CF9AE}" pid="41" name="ComplianceAssetId">
    <vt:lpwstr/>
  </property>
  <property fmtid="{D5CDD505-2E9C-101B-9397-08002B2CF9AE}" pid="42" name="TemplateUrl">
    <vt:lpwstr/>
  </property>
  <property fmtid="{D5CDD505-2E9C-101B-9397-08002B2CF9AE}" pid="43" name="_ExtendedDescription">
    <vt:lpwstr/>
  </property>
  <property fmtid="{D5CDD505-2E9C-101B-9397-08002B2CF9AE}" pid="44" name="TriggerFlowInfo">
    <vt:lpwstr/>
  </property>
  <property fmtid="{D5CDD505-2E9C-101B-9397-08002B2CF9AE}" pid="45" name="xd_Signature">
    <vt:bool>false</vt:bool>
  </property>
</Properties>
</file>