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6761" w14:textId="36A37F9E" w:rsidR="008B4055" w:rsidRPr="00925CCD" w:rsidRDefault="00B203DD" w:rsidP="00B203DD">
      <w:pPr>
        <w:pStyle w:val="BP3Heading1"/>
        <w:numPr>
          <w:ilvl w:val="0"/>
          <w:numId w:val="93"/>
        </w:numPr>
        <w:ind w:left="851" w:hanging="851"/>
      </w:pPr>
      <w:r>
        <w:t>OVERVIEW</w:t>
      </w:r>
    </w:p>
    <w:tbl>
      <w:tblPr>
        <w:tblW w:w="9629" w:type="dxa"/>
        <w:tblInd w:w="5" w:type="dxa"/>
        <w:shd w:val="clear" w:color="auto" w:fill="F2F2F2" w:themeFill="background1" w:themeFillShade="F2"/>
        <w:tblLook w:val="04A0" w:firstRow="1" w:lastRow="0" w:firstColumn="1" w:lastColumn="0" w:noHBand="0" w:noVBand="1"/>
        <w:tblCaption w:val="Box 1.5: Parramatta Light Rail Stage 2"/>
        <w:tblDescription w:val="Box 1.5: Parramatta Light Rail Stage 2"/>
      </w:tblPr>
      <w:tblGrid>
        <w:gridCol w:w="9629"/>
      </w:tblGrid>
      <w:tr w:rsidR="00604D7B" w:rsidRPr="00925CCD" w14:paraId="625FAA93" w14:textId="77777777" w:rsidTr="0028499E">
        <w:trPr>
          <w:trHeight w:val="4393"/>
        </w:trPr>
        <w:tc>
          <w:tcPr>
            <w:tcW w:w="9629" w:type="dxa"/>
            <w:tcBorders>
              <w:top w:val="nil"/>
              <w:left w:val="nil"/>
              <w:bottom w:val="nil"/>
              <w:right w:val="nil"/>
            </w:tcBorders>
            <w:shd w:val="clear" w:color="auto" w:fill="F2F2F2" w:themeFill="accent5" w:themeFillTint="33"/>
          </w:tcPr>
          <w:p w14:paraId="6B90608B" w14:textId="0CB9A934" w:rsidR="00F65B79" w:rsidRDefault="0011127B" w:rsidP="003F21C3">
            <w:pPr>
              <w:pStyle w:val="Bullet1"/>
              <w:rPr>
                <w:lang w:val="en-AU"/>
              </w:rPr>
            </w:pPr>
            <w:r w:rsidRPr="006A2614">
              <w:rPr>
                <w:lang w:val="en-AU"/>
              </w:rPr>
              <w:t>The 2025-26 Budget includes $</w:t>
            </w:r>
            <w:r w:rsidR="00D343DD" w:rsidRPr="006A2614">
              <w:rPr>
                <w:lang w:val="en-AU"/>
              </w:rPr>
              <w:t>118.</w:t>
            </w:r>
            <w:r w:rsidR="002C539A" w:rsidRPr="006A2614">
              <w:rPr>
                <w:lang w:val="en-AU"/>
              </w:rPr>
              <w:t>3</w:t>
            </w:r>
            <w:r w:rsidRPr="006A2614">
              <w:rPr>
                <w:lang w:val="en-AU"/>
              </w:rPr>
              <w:t xml:space="preserve"> billion investment over the four years to 2028-29</w:t>
            </w:r>
            <w:r w:rsidR="00301939" w:rsidRPr="006A2614">
              <w:rPr>
                <w:lang w:val="en-AU"/>
              </w:rPr>
              <w:t xml:space="preserve">, </w:t>
            </w:r>
            <w:r w:rsidR="00C74F9B">
              <w:rPr>
                <w:lang w:val="en-AU"/>
              </w:rPr>
              <w:t>towards</w:t>
            </w:r>
            <w:r w:rsidR="00AA0BFA">
              <w:rPr>
                <w:lang w:val="en-AU"/>
              </w:rPr>
              <w:t xml:space="preserve"> the </w:t>
            </w:r>
            <w:r w:rsidR="00B70593">
              <w:rPr>
                <w:lang w:val="en-AU"/>
              </w:rPr>
              <w:t xml:space="preserve">State’s </w:t>
            </w:r>
            <w:r w:rsidR="00AA0BFA">
              <w:rPr>
                <w:lang w:val="en-AU"/>
              </w:rPr>
              <w:t>essential infrastructure</w:t>
            </w:r>
            <w:r w:rsidR="00A505A2">
              <w:rPr>
                <w:lang w:val="en-AU"/>
              </w:rPr>
              <w:t>, with investment prioritised in schools</w:t>
            </w:r>
            <w:r w:rsidR="000D4A72">
              <w:rPr>
                <w:lang w:val="en-AU"/>
              </w:rPr>
              <w:t xml:space="preserve">, </w:t>
            </w:r>
            <w:r w:rsidR="00D71241">
              <w:rPr>
                <w:lang w:val="en-AU"/>
              </w:rPr>
              <w:t>hospitals,</w:t>
            </w:r>
            <w:r w:rsidR="004F1A16">
              <w:rPr>
                <w:lang w:val="en-AU"/>
              </w:rPr>
              <w:t xml:space="preserve"> </w:t>
            </w:r>
            <w:r w:rsidRPr="006A2614">
              <w:rPr>
                <w:lang w:val="en-AU"/>
              </w:rPr>
              <w:t>housing</w:t>
            </w:r>
            <w:r w:rsidR="002847F5" w:rsidRPr="006A2614">
              <w:rPr>
                <w:lang w:val="en-AU"/>
              </w:rPr>
              <w:t xml:space="preserve"> and critical </w:t>
            </w:r>
            <w:r w:rsidR="00301939" w:rsidRPr="006A2614">
              <w:rPr>
                <w:lang w:val="en-AU"/>
              </w:rPr>
              <w:t>services like water and energy</w:t>
            </w:r>
            <w:r w:rsidR="002847F5" w:rsidRPr="006A2614">
              <w:rPr>
                <w:lang w:val="en-AU"/>
              </w:rPr>
              <w:t>.</w:t>
            </w:r>
            <w:r w:rsidR="006F6827">
              <w:rPr>
                <w:lang w:val="en-AU"/>
              </w:rPr>
              <w:t xml:space="preserve"> </w:t>
            </w:r>
          </w:p>
          <w:p w14:paraId="0FAE07A5" w14:textId="5A5AE1AC" w:rsidR="0011127B" w:rsidRPr="006A2614" w:rsidRDefault="006F6827" w:rsidP="003F21C3">
            <w:pPr>
              <w:pStyle w:val="Bullet1"/>
              <w:rPr>
                <w:lang w:val="en-AU"/>
              </w:rPr>
            </w:pPr>
            <w:r>
              <w:rPr>
                <w:lang w:val="en-AU"/>
              </w:rPr>
              <w:t>Investment in infrastructure is expected to exceed $30 billion in 2025-26 – $84.4 million per day</w:t>
            </w:r>
            <w:r w:rsidR="00EB1322">
              <w:rPr>
                <w:lang w:val="en-AU"/>
              </w:rPr>
              <w:t>.</w:t>
            </w:r>
          </w:p>
          <w:p w14:paraId="14CD2474" w14:textId="69A89BAC" w:rsidR="00CE7AF9" w:rsidRPr="006A2614" w:rsidRDefault="00CE7AF9" w:rsidP="003F21C3">
            <w:pPr>
              <w:pStyle w:val="Bullet1"/>
              <w:rPr>
                <w:lang w:val="en-AU"/>
              </w:rPr>
            </w:pPr>
            <w:r w:rsidRPr="006A2614">
              <w:rPr>
                <w:lang w:val="en-AU"/>
              </w:rPr>
              <w:t>The Essential Infrastructure Plan will prioritise investment in:</w:t>
            </w:r>
          </w:p>
          <w:p w14:paraId="3F284D54" w14:textId="6A404C8A" w:rsidR="00CE7AF9" w:rsidRPr="006A2614" w:rsidRDefault="00215847" w:rsidP="003F21C3">
            <w:pPr>
              <w:pStyle w:val="Bullet2"/>
              <w:rPr>
                <w:lang w:val="en-AU"/>
              </w:rPr>
            </w:pPr>
            <w:r w:rsidRPr="006A2614">
              <w:rPr>
                <w:lang w:val="en-AU"/>
              </w:rPr>
              <w:t>schools</w:t>
            </w:r>
            <w:r w:rsidR="00E37EB5" w:rsidRPr="006A2614">
              <w:rPr>
                <w:lang w:val="en-AU"/>
              </w:rPr>
              <w:t>,</w:t>
            </w:r>
            <w:r w:rsidRPr="006A2614">
              <w:rPr>
                <w:lang w:val="en-AU"/>
              </w:rPr>
              <w:t xml:space="preserve"> with</w:t>
            </w:r>
            <w:r w:rsidR="00CE7AF9" w:rsidRPr="006A2614">
              <w:rPr>
                <w:lang w:val="en-AU"/>
              </w:rPr>
              <w:t xml:space="preserve"> $</w:t>
            </w:r>
            <w:r w:rsidR="2AF3DF03" w:rsidRPr="006A2614">
              <w:rPr>
                <w:lang w:val="en-AU"/>
              </w:rPr>
              <w:t>9.0</w:t>
            </w:r>
            <w:r w:rsidR="00CE7AF9" w:rsidRPr="006A2614">
              <w:rPr>
                <w:lang w:val="en-AU"/>
              </w:rPr>
              <w:t xml:space="preserve"> billion over four years to support the planning and delivery of </w:t>
            </w:r>
            <w:r w:rsidR="006D3046" w:rsidRPr="006A2614">
              <w:rPr>
                <w:lang w:val="en-AU"/>
              </w:rPr>
              <w:t xml:space="preserve">new and upgraded </w:t>
            </w:r>
            <w:r w:rsidR="00CE7AF9" w:rsidRPr="006A2614">
              <w:rPr>
                <w:lang w:val="en-AU"/>
              </w:rPr>
              <w:t>schools</w:t>
            </w:r>
          </w:p>
          <w:p w14:paraId="5E4088B9" w14:textId="7F2B3D9D" w:rsidR="007F2096" w:rsidRPr="006A2614" w:rsidRDefault="007F2096" w:rsidP="007F2096">
            <w:pPr>
              <w:pStyle w:val="Bullet2"/>
              <w:rPr>
                <w:lang w:val="en-AU"/>
              </w:rPr>
            </w:pPr>
            <w:r w:rsidRPr="006A2614">
              <w:rPr>
                <w:lang w:val="en-AU"/>
              </w:rPr>
              <w:t>the health system, which will benefit from $12.4 billion</w:t>
            </w:r>
            <w:r>
              <w:rPr>
                <w:rStyle w:val="FootnoteReference"/>
                <w:rFonts w:eastAsia="Arial"/>
                <w:lang w:val="en-AU"/>
              </w:rPr>
              <w:footnoteReference w:id="2"/>
            </w:r>
            <w:r w:rsidRPr="006A2614">
              <w:rPr>
                <w:lang w:val="en-AU"/>
              </w:rPr>
              <w:t xml:space="preserve"> over four years for health infrastructure to continue building a modern, resilient health system that meets both current needs and future demand</w:t>
            </w:r>
          </w:p>
          <w:p w14:paraId="1660C36D" w14:textId="45D9D5B0" w:rsidR="007A70C6" w:rsidRPr="00AC3BD3" w:rsidRDefault="006306BE" w:rsidP="00050995">
            <w:pPr>
              <w:pStyle w:val="Bullet2"/>
              <w:rPr>
                <w:lang w:val="en-AU"/>
              </w:rPr>
            </w:pPr>
            <w:r w:rsidRPr="006A2614">
              <w:rPr>
                <w:lang w:val="en-AU"/>
              </w:rPr>
              <w:t>transport projects, which will receive $</w:t>
            </w:r>
            <w:r w:rsidR="002D361C" w:rsidRPr="006A2614">
              <w:rPr>
                <w:lang w:val="en-AU"/>
              </w:rPr>
              <w:t>55.6</w:t>
            </w:r>
            <w:r w:rsidRPr="006A2614">
              <w:rPr>
                <w:lang w:val="en-AU"/>
              </w:rPr>
              <w:t xml:space="preserve"> billion over four years through 2028-29,</w:t>
            </w:r>
            <w:r w:rsidR="0004510F" w:rsidRPr="006A2614">
              <w:rPr>
                <w:lang w:val="en-AU"/>
              </w:rPr>
              <w:t xml:space="preserve"> including </w:t>
            </w:r>
            <w:r w:rsidR="00321057">
              <w:t>major investment in Sydney’s m</w:t>
            </w:r>
            <w:r w:rsidR="00321057" w:rsidRPr="6ACD4251">
              <w:t xml:space="preserve">etro </w:t>
            </w:r>
            <w:r w:rsidR="00321057">
              <w:t>p</w:t>
            </w:r>
            <w:r w:rsidR="00321057" w:rsidRPr="6ACD4251">
              <w:t xml:space="preserve">rojects and regional roads and rail </w:t>
            </w:r>
            <w:r w:rsidR="007274D8" w:rsidRPr="6ACD4251">
              <w:t>fleet</w:t>
            </w:r>
            <w:r w:rsidR="00050995">
              <w:t>.</w:t>
            </w:r>
            <w:r w:rsidR="00321057">
              <w:t xml:space="preserve"> </w:t>
            </w:r>
          </w:p>
          <w:p w14:paraId="0B6818C1" w14:textId="738B09B6" w:rsidR="00732801" w:rsidRPr="007E2FE1" w:rsidRDefault="00732801" w:rsidP="00441DDD">
            <w:pPr>
              <w:pStyle w:val="Bullet1"/>
              <w:rPr>
                <w:lang w:val="en-AU"/>
              </w:rPr>
            </w:pPr>
            <w:r w:rsidRPr="007E2FE1">
              <w:rPr>
                <w:lang w:val="en-AU"/>
              </w:rPr>
              <w:t>The growing communities of Western Sydney are supported with $5.5 billion roads package alongside</w:t>
            </w:r>
            <w:r w:rsidR="003B3FF2" w:rsidRPr="007E2FE1">
              <w:rPr>
                <w:lang w:val="en-AU"/>
              </w:rPr>
              <w:t xml:space="preserve"> </w:t>
            </w:r>
            <w:r w:rsidR="002952A4">
              <w:rPr>
                <w:lang w:val="en-AU"/>
              </w:rPr>
              <w:t>$</w:t>
            </w:r>
            <w:r w:rsidR="003B3FF2" w:rsidRPr="007E2FE1">
              <w:rPr>
                <w:lang w:val="en-AU"/>
              </w:rPr>
              <w:t>3.6 billion over four years for Sydney Metro - Western Sydney Airport</w:t>
            </w:r>
            <w:r w:rsidRPr="007E2FE1">
              <w:rPr>
                <w:lang w:val="en-AU"/>
              </w:rPr>
              <w:t xml:space="preserve"> to </w:t>
            </w:r>
            <w:r w:rsidR="00D016E0">
              <w:rPr>
                <w:lang w:val="en-AU"/>
              </w:rPr>
              <w:t>support</w:t>
            </w:r>
            <w:r w:rsidRPr="007E2FE1">
              <w:rPr>
                <w:lang w:val="en-AU"/>
              </w:rPr>
              <w:t xml:space="preserve"> the opening of the </w:t>
            </w:r>
            <w:r w:rsidR="007224C3" w:rsidRPr="007E2FE1">
              <w:rPr>
                <w:lang w:val="en-AU"/>
              </w:rPr>
              <w:t>Aerotropolis</w:t>
            </w:r>
            <w:r w:rsidR="00783ACA" w:rsidRPr="007E2FE1">
              <w:rPr>
                <w:lang w:val="en-AU"/>
              </w:rPr>
              <w:t>.</w:t>
            </w:r>
          </w:p>
          <w:p w14:paraId="4ABF12D2" w14:textId="3EC0A526" w:rsidR="00783ACA" w:rsidRDefault="00783ACA" w:rsidP="003F21C3">
            <w:pPr>
              <w:pStyle w:val="Bullet1"/>
              <w:rPr>
                <w:lang w:val="en-AU"/>
              </w:rPr>
            </w:pPr>
            <w:r>
              <w:rPr>
                <w:lang w:val="en-AU"/>
              </w:rPr>
              <w:t>Infrastructure supporting economic growth has been prioritised with</w:t>
            </w:r>
            <w:r w:rsidR="00296EAD">
              <w:rPr>
                <w:lang w:val="en-AU"/>
              </w:rPr>
              <w:t>:</w:t>
            </w:r>
          </w:p>
          <w:p w14:paraId="37E9BFDE" w14:textId="579546DC" w:rsidR="00AA6A39" w:rsidRPr="004A165D" w:rsidRDefault="00AA6A39" w:rsidP="00AA6A39">
            <w:pPr>
              <w:pStyle w:val="Bullet2"/>
              <w:rPr>
                <w:lang w:val="en-AU"/>
              </w:rPr>
            </w:pPr>
            <w:r w:rsidRPr="004A165D">
              <w:rPr>
                <w:lang w:val="en-AU"/>
              </w:rPr>
              <w:t>$8</w:t>
            </w:r>
            <w:r w:rsidR="0068746E">
              <w:rPr>
                <w:lang w:val="en-AU"/>
              </w:rPr>
              <w:t>4</w:t>
            </w:r>
            <w:r w:rsidRPr="004A165D">
              <w:rPr>
                <w:lang w:val="en-AU"/>
              </w:rPr>
              <w:t xml:space="preserve">4.3 million to procure new buses to support </w:t>
            </w:r>
            <w:r>
              <w:rPr>
                <w:lang w:val="en-AU"/>
              </w:rPr>
              <w:t xml:space="preserve">reliable services </w:t>
            </w:r>
            <w:r w:rsidRPr="004A165D">
              <w:rPr>
                <w:lang w:val="en-AU"/>
              </w:rPr>
              <w:t xml:space="preserve">across </w:t>
            </w:r>
            <w:r w:rsidR="002F45A1">
              <w:rPr>
                <w:lang w:val="en-AU"/>
              </w:rPr>
              <w:t>New South Wales</w:t>
            </w:r>
            <w:r w:rsidR="00EB18A7">
              <w:rPr>
                <w:lang w:val="en-AU"/>
              </w:rPr>
              <w:t xml:space="preserve"> to connect new communities with jobs and services</w:t>
            </w:r>
          </w:p>
          <w:p w14:paraId="2B4FB97B" w14:textId="612241B1" w:rsidR="00AA6A39" w:rsidRDefault="00BA1685" w:rsidP="00AA6A39">
            <w:pPr>
              <w:pStyle w:val="Bullet2"/>
              <w:rPr>
                <w:lang w:val="en-AU"/>
              </w:rPr>
            </w:pPr>
            <w:r>
              <w:rPr>
                <w:lang w:val="en-AU"/>
              </w:rPr>
              <w:t>i</w:t>
            </w:r>
            <w:r w:rsidR="00AA6A39" w:rsidRPr="006A2614">
              <w:rPr>
                <w:lang w:val="en-AU"/>
              </w:rPr>
              <w:t>nvestment of $644.1 million in the integrated stormwater and recycled water scheme needed to deliver 850 hectares of industrial land in the Mamre Road Precinct and support the 22,200 Western Sydney jobs</w:t>
            </w:r>
          </w:p>
          <w:p w14:paraId="3E33337E" w14:textId="1E626D9F" w:rsidR="00783ACA" w:rsidDel="00E206CA" w:rsidRDefault="00E206CA" w:rsidP="00A031DA">
            <w:pPr>
              <w:pStyle w:val="Bullet2"/>
              <w:rPr>
                <w:lang w:val="en-AU"/>
              </w:rPr>
            </w:pPr>
            <w:r w:rsidRPr="004747C2">
              <w:t>$336.1 million to continue the delivery of economic precincts in Parkes, Wagga Wagga, Moree and the Snowy Mountains to capitalise on the inherent strengths of these regions and drive job creation</w:t>
            </w:r>
            <w:r w:rsidDel="00E206CA">
              <w:rPr>
                <w:lang w:val="en-AU"/>
              </w:rPr>
              <w:t xml:space="preserve"> </w:t>
            </w:r>
          </w:p>
          <w:p w14:paraId="5EEBAFF3" w14:textId="79E9A540" w:rsidR="00D23CB7" w:rsidRDefault="00D23CB7" w:rsidP="000B7A8C">
            <w:pPr>
              <w:pStyle w:val="Bullet2"/>
              <w:rPr>
                <w:lang w:val="en-AU"/>
              </w:rPr>
            </w:pPr>
            <w:r w:rsidRPr="5111782A">
              <w:t xml:space="preserve">$115.5 million for a Logistics Precinct at Newcastle Port </w:t>
            </w:r>
            <w:r w:rsidR="00532B61">
              <w:t xml:space="preserve">to </w:t>
            </w:r>
            <w:r w:rsidR="00860055">
              <w:t>support</w:t>
            </w:r>
            <w:r w:rsidR="00532B61">
              <w:t xml:space="preserve"> the</w:t>
            </w:r>
            <w:r w:rsidRPr="5111782A">
              <w:t xml:space="preserve"> delivery of the Renewable Energy Zones</w:t>
            </w:r>
            <w:r w:rsidR="00860055">
              <w:t xml:space="preserve"> and creating jobs for Newcastle </w:t>
            </w:r>
          </w:p>
          <w:p w14:paraId="69DA0B03" w14:textId="699BF92F" w:rsidR="002C63DE" w:rsidRPr="00AC3BD3" w:rsidRDefault="002C63DE" w:rsidP="00AC3BD3">
            <w:pPr>
              <w:pStyle w:val="Bullet2"/>
              <w:rPr>
                <w:lang w:val="en-AU"/>
              </w:rPr>
            </w:pPr>
            <w:r w:rsidRPr="00AC3BD3">
              <w:rPr>
                <w:lang w:val="en-AU"/>
              </w:rPr>
              <w:t>$100</w:t>
            </w:r>
            <w:r w:rsidR="00BB2EE0">
              <w:rPr>
                <w:lang w:val="en-AU"/>
              </w:rPr>
              <w:t>.0</w:t>
            </w:r>
            <w:r w:rsidR="00FA4AAD" w:rsidRPr="00AC3BD3">
              <w:rPr>
                <w:lang w:val="en-AU"/>
              </w:rPr>
              <w:t xml:space="preserve"> million </w:t>
            </w:r>
            <w:r w:rsidRPr="00AC3BD3">
              <w:rPr>
                <w:lang w:val="en-AU"/>
              </w:rPr>
              <w:t>set aside for new screen infrastructure to support the growing creative economy</w:t>
            </w:r>
            <w:r w:rsidR="00141682">
              <w:rPr>
                <w:lang w:val="en-AU"/>
              </w:rPr>
              <w:t>.</w:t>
            </w:r>
          </w:p>
          <w:p w14:paraId="3B6DD137" w14:textId="5351FD1D" w:rsidR="00DC5754" w:rsidRPr="006A2614" w:rsidRDefault="00DC5754" w:rsidP="003F21C3">
            <w:pPr>
              <w:pStyle w:val="Bullet1"/>
              <w:rPr>
                <w:lang w:val="en-AU"/>
              </w:rPr>
            </w:pPr>
            <w:r w:rsidRPr="006A2614">
              <w:rPr>
                <w:lang w:val="en-AU"/>
              </w:rPr>
              <w:t xml:space="preserve">The Government is addressing </w:t>
            </w:r>
            <w:r w:rsidR="002132E3" w:rsidRPr="006A2614">
              <w:rPr>
                <w:lang w:val="en-AU"/>
              </w:rPr>
              <w:t>housing supply by:</w:t>
            </w:r>
          </w:p>
          <w:p w14:paraId="49262393" w14:textId="4E2EABB6" w:rsidR="002132E3" w:rsidRPr="006A2614" w:rsidRDefault="1BBE57A0" w:rsidP="003F21C3">
            <w:pPr>
              <w:pStyle w:val="Bullet2"/>
              <w:rPr>
                <w:lang w:val="en-AU"/>
              </w:rPr>
            </w:pPr>
            <w:r w:rsidRPr="006A2614">
              <w:rPr>
                <w:lang w:val="en-AU"/>
              </w:rPr>
              <w:t>continuing</w:t>
            </w:r>
            <w:r w:rsidR="002132E3" w:rsidRPr="006A2614">
              <w:rPr>
                <w:lang w:val="en-AU"/>
              </w:rPr>
              <w:t xml:space="preserve"> reforms to the planning system</w:t>
            </w:r>
          </w:p>
          <w:p w14:paraId="633A95BF" w14:textId="57158051" w:rsidR="002132E3" w:rsidRPr="006A2614" w:rsidRDefault="00BB2C81" w:rsidP="003F21C3">
            <w:pPr>
              <w:pStyle w:val="Bullet2"/>
              <w:rPr>
                <w:lang w:val="en-AU"/>
              </w:rPr>
            </w:pPr>
            <w:r w:rsidRPr="006A2614">
              <w:rPr>
                <w:lang w:val="en-AU"/>
              </w:rPr>
              <w:t>b</w:t>
            </w:r>
            <w:r w:rsidR="002132E3" w:rsidRPr="006A2614">
              <w:rPr>
                <w:lang w:val="en-AU"/>
              </w:rPr>
              <w:t>uilding homes near transport hubs</w:t>
            </w:r>
          </w:p>
          <w:p w14:paraId="4D7E93E8" w14:textId="591D5848" w:rsidR="002132E3" w:rsidRPr="006A2614" w:rsidRDefault="00FE3CB4" w:rsidP="003F21C3">
            <w:pPr>
              <w:pStyle w:val="Bullet2"/>
              <w:rPr>
                <w:lang w:val="en-AU"/>
              </w:rPr>
            </w:pPr>
            <w:r w:rsidRPr="006A2614">
              <w:rPr>
                <w:lang w:val="en-AU"/>
              </w:rPr>
              <w:t>tackling</w:t>
            </w:r>
            <w:r w:rsidR="00C26D47" w:rsidRPr="006A2614">
              <w:rPr>
                <w:lang w:val="en-AU"/>
              </w:rPr>
              <w:t xml:space="preserve"> regulat</w:t>
            </w:r>
            <w:r w:rsidR="002C0787" w:rsidRPr="006A2614">
              <w:rPr>
                <w:lang w:val="en-AU"/>
              </w:rPr>
              <w:t>ory barriers</w:t>
            </w:r>
            <w:r w:rsidR="006A3049" w:rsidRPr="006A2614">
              <w:rPr>
                <w:lang w:val="en-AU"/>
              </w:rPr>
              <w:t>.</w:t>
            </w:r>
          </w:p>
          <w:p w14:paraId="22459486" w14:textId="24B67A45" w:rsidR="00604D7B" w:rsidRPr="006A2614" w:rsidRDefault="005314DF" w:rsidP="003F21C3">
            <w:pPr>
              <w:pStyle w:val="Bullet1"/>
              <w:rPr>
                <w:lang w:val="en-AU"/>
              </w:rPr>
            </w:pPr>
            <w:r>
              <w:rPr>
                <w:lang w:val="en-AU"/>
              </w:rPr>
              <w:t>The Essential Infrastructure Plan prioritises investment in rebuilding essential services and laying the foundation for economic growth</w:t>
            </w:r>
            <w:r w:rsidR="00A201E9" w:rsidRPr="006A2614">
              <w:rPr>
                <w:lang w:val="en-AU"/>
              </w:rPr>
              <w:t xml:space="preserve">. </w:t>
            </w:r>
          </w:p>
        </w:tc>
      </w:tr>
    </w:tbl>
    <w:p w14:paraId="0B1FB7B3" w14:textId="77777777" w:rsidR="00604D7B" w:rsidRDefault="00604D7B" w:rsidP="00604D7B"/>
    <w:p w14:paraId="0476FF59" w14:textId="77777777" w:rsidR="002622CD" w:rsidRDefault="002622CD">
      <w:pPr>
        <w:spacing w:before="360" w:after="120"/>
        <w:ind w:left="851" w:hanging="851"/>
        <w:rPr>
          <w:rFonts w:ascii="Public Sans SemiBold" w:hAnsi="Public Sans SemiBold"/>
          <w:b/>
          <w:color w:val="000000" w:themeColor="text1"/>
          <w:sz w:val="28"/>
          <w:lang w:val="en-AU"/>
        </w:rPr>
      </w:pPr>
      <w:r>
        <w:br w:type="page"/>
      </w:r>
    </w:p>
    <w:p w14:paraId="23DEBC3F" w14:textId="4A178C87" w:rsidR="008B4055" w:rsidRPr="00925CCD" w:rsidRDefault="008B4055" w:rsidP="003C56BD">
      <w:pPr>
        <w:pStyle w:val="81Heading2"/>
        <w:ind w:left="851" w:hanging="851"/>
        <w:outlineLvl w:val="1"/>
      </w:pPr>
      <w:r w:rsidRPr="00925CCD">
        <w:lastRenderedPageBreak/>
        <w:t>Overview</w:t>
      </w:r>
      <w:bookmarkStart w:id="0" w:name="_Hlk193723207"/>
    </w:p>
    <w:p w14:paraId="32E885B8" w14:textId="32EB9BC5" w:rsidR="008B4055" w:rsidRPr="00A71D59" w:rsidRDefault="008B4055" w:rsidP="003F21C3">
      <w:pPr>
        <w:pStyle w:val="BodyText"/>
      </w:pPr>
      <w:r w:rsidRPr="5634E4A1">
        <w:rPr>
          <w:lang w:val="en-US"/>
        </w:rPr>
        <w:t>The 2025-26 Budget includes $</w:t>
      </w:r>
      <w:r w:rsidR="00EA4EBC" w:rsidRPr="5634E4A1">
        <w:rPr>
          <w:lang w:val="en-US"/>
        </w:rPr>
        <w:t>118.3</w:t>
      </w:r>
      <w:r w:rsidRPr="5634E4A1">
        <w:rPr>
          <w:lang w:val="en-US"/>
        </w:rPr>
        <w:t xml:space="preserve"> billion </w:t>
      </w:r>
      <w:r w:rsidR="038CD868" w:rsidRPr="5634E4A1">
        <w:rPr>
          <w:lang w:val="en-US"/>
        </w:rPr>
        <w:t xml:space="preserve">of </w:t>
      </w:r>
      <w:r w:rsidRPr="5634E4A1">
        <w:rPr>
          <w:lang w:val="en-US"/>
        </w:rPr>
        <w:t>investment over four years to drive economic growth, increase housing supply and support communities</w:t>
      </w:r>
      <w:r w:rsidR="00A21CC7">
        <w:rPr>
          <w:lang w:val="en-US"/>
        </w:rPr>
        <w:t xml:space="preserve"> by rebuilding essential services</w:t>
      </w:r>
      <w:r w:rsidRPr="5634E4A1">
        <w:rPr>
          <w:lang w:val="en-US"/>
        </w:rPr>
        <w:t xml:space="preserve">. </w:t>
      </w:r>
    </w:p>
    <w:p w14:paraId="27F1CBAD" w14:textId="768628A4" w:rsidR="003E22FA" w:rsidRPr="00A71D59" w:rsidRDefault="00FC3523" w:rsidP="003F21C3">
      <w:pPr>
        <w:pStyle w:val="BodyText"/>
      </w:pPr>
      <w:r w:rsidRPr="5634E4A1">
        <w:rPr>
          <w:lang w:val="en-US"/>
        </w:rPr>
        <w:t xml:space="preserve">The NSW </w:t>
      </w:r>
      <w:r w:rsidR="000A03BD" w:rsidRPr="5634E4A1">
        <w:rPr>
          <w:lang w:val="en-US"/>
        </w:rPr>
        <w:t xml:space="preserve">Government recognises the critical </w:t>
      </w:r>
      <w:r w:rsidR="000D08DC" w:rsidRPr="5634E4A1">
        <w:rPr>
          <w:lang w:val="en-US"/>
        </w:rPr>
        <w:t xml:space="preserve">role </w:t>
      </w:r>
      <w:r w:rsidR="000A03BD" w:rsidRPr="5634E4A1">
        <w:rPr>
          <w:lang w:val="en-US"/>
        </w:rPr>
        <w:t>of housing</w:t>
      </w:r>
      <w:r w:rsidR="00087488" w:rsidRPr="5634E4A1">
        <w:rPr>
          <w:lang w:val="en-US"/>
        </w:rPr>
        <w:t xml:space="preserve"> in supporting economic growth</w:t>
      </w:r>
      <w:r w:rsidR="00EE7549" w:rsidRPr="5634E4A1">
        <w:rPr>
          <w:lang w:val="en-US"/>
        </w:rPr>
        <w:t xml:space="preserve">, social stability </w:t>
      </w:r>
      <w:r w:rsidR="007823B1" w:rsidRPr="5634E4A1">
        <w:rPr>
          <w:lang w:val="en-US"/>
        </w:rPr>
        <w:t xml:space="preserve">and </w:t>
      </w:r>
      <w:r w:rsidR="006B7219" w:rsidRPr="5634E4A1">
        <w:rPr>
          <w:lang w:val="en-US"/>
        </w:rPr>
        <w:t xml:space="preserve">the </w:t>
      </w:r>
      <w:r w:rsidR="00B93E5E" w:rsidRPr="5634E4A1">
        <w:rPr>
          <w:lang w:val="en-US"/>
        </w:rPr>
        <w:t>wellbeing of NSW residents</w:t>
      </w:r>
      <w:r w:rsidR="002A003F" w:rsidRPr="5634E4A1">
        <w:rPr>
          <w:lang w:val="en-US"/>
        </w:rPr>
        <w:t xml:space="preserve">. </w:t>
      </w:r>
      <w:r w:rsidR="006C198C" w:rsidRPr="5634E4A1">
        <w:rPr>
          <w:lang w:val="en-US"/>
        </w:rPr>
        <w:t xml:space="preserve">Local, </w:t>
      </w:r>
      <w:r w:rsidR="009804F1" w:rsidRPr="5634E4A1">
        <w:rPr>
          <w:lang w:val="en-US"/>
        </w:rPr>
        <w:t>S</w:t>
      </w:r>
      <w:r w:rsidR="006C198C" w:rsidRPr="5634E4A1">
        <w:rPr>
          <w:lang w:val="en-US"/>
        </w:rPr>
        <w:t xml:space="preserve">tate, and </w:t>
      </w:r>
      <w:r w:rsidR="006241DA" w:rsidRPr="5634E4A1">
        <w:rPr>
          <w:lang w:val="en-US"/>
        </w:rPr>
        <w:t xml:space="preserve">Australian </w:t>
      </w:r>
      <w:r w:rsidR="006C198C" w:rsidRPr="5634E4A1">
        <w:rPr>
          <w:lang w:val="en-US"/>
        </w:rPr>
        <w:t>Government</w:t>
      </w:r>
      <w:r w:rsidR="00D13DF1" w:rsidRPr="5634E4A1">
        <w:rPr>
          <w:lang w:val="en-US"/>
        </w:rPr>
        <w:t>s</w:t>
      </w:r>
      <w:r w:rsidR="006C198C" w:rsidRPr="5634E4A1" w:rsidDel="00F57E38">
        <w:rPr>
          <w:lang w:val="en-US"/>
        </w:rPr>
        <w:t xml:space="preserve"> </w:t>
      </w:r>
      <w:r w:rsidR="006C198C" w:rsidRPr="5634E4A1">
        <w:rPr>
          <w:lang w:val="en-US"/>
        </w:rPr>
        <w:t>are working together to</w:t>
      </w:r>
      <w:r w:rsidR="00D57AA8">
        <w:rPr>
          <w:lang w:val="en-US"/>
        </w:rPr>
        <w:t xml:space="preserve"> </w:t>
      </w:r>
      <w:r w:rsidR="006C198C" w:rsidRPr="5634E4A1">
        <w:rPr>
          <w:lang w:val="en-US"/>
        </w:rPr>
        <w:t>respond to the national housing crisis. The targets prioritise more diverse and well-located homes</w:t>
      </w:r>
      <w:r w:rsidR="00786634" w:rsidRPr="5634E4A1">
        <w:rPr>
          <w:lang w:val="en-US"/>
        </w:rPr>
        <w:t>,</w:t>
      </w:r>
      <w:r w:rsidR="006C198C" w:rsidRPr="5634E4A1">
        <w:rPr>
          <w:lang w:val="en-US"/>
        </w:rPr>
        <w:t xml:space="preserve"> </w:t>
      </w:r>
      <w:r w:rsidR="006B3925" w:rsidRPr="5634E4A1">
        <w:rPr>
          <w:lang w:val="en-US"/>
        </w:rPr>
        <w:t xml:space="preserve">starting with </w:t>
      </w:r>
      <w:r w:rsidR="006C198C" w:rsidRPr="5634E4A1">
        <w:rPr>
          <w:lang w:val="en-US"/>
        </w:rPr>
        <w:t xml:space="preserve">areas </w:t>
      </w:r>
      <w:r w:rsidR="003A2B1D" w:rsidRPr="5634E4A1">
        <w:rPr>
          <w:lang w:val="en-US"/>
        </w:rPr>
        <w:t xml:space="preserve">that already have services </w:t>
      </w:r>
      <w:r w:rsidR="00683EE9" w:rsidRPr="5634E4A1">
        <w:rPr>
          <w:lang w:val="en-US"/>
        </w:rPr>
        <w:t xml:space="preserve">nearby </w:t>
      </w:r>
      <w:r w:rsidR="00BC5C13" w:rsidRPr="5634E4A1">
        <w:rPr>
          <w:lang w:val="en-US"/>
        </w:rPr>
        <w:t xml:space="preserve">or </w:t>
      </w:r>
      <w:r w:rsidR="00914D56" w:rsidRPr="5634E4A1">
        <w:rPr>
          <w:lang w:val="en-US"/>
        </w:rPr>
        <w:t>where</w:t>
      </w:r>
      <w:r w:rsidR="00DE0570" w:rsidRPr="5634E4A1">
        <w:rPr>
          <w:lang w:val="en-US"/>
        </w:rPr>
        <w:t xml:space="preserve"> </w:t>
      </w:r>
      <w:r w:rsidR="00683EE9" w:rsidRPr="5634E4A1">
        <w:rPr>
          <w:lang w:val="en-US"/>
        </w:rPr>
        <w:t>services</w:t>
      </w:r>
      <w:r w:rsidR="00914D56" w:rsidRPr="5634E4A1">
        <w:rPr>
          <w:lang w:val="en-US"/>
        </w:rPr>
        <w:t xml:space="preserve"> </w:t>
      </w:r>
      <w:r w:rsidR="00AB16F6" w:rsidRPr="5634E4A1">
        <w:rPr>
          <w:lang w:val="en-US"/>
        </w:rPr>
        <w:t>will soon be delivered</w:t>
      </w:r>
      <w:r w:rsidR="00260564" w:rsidRPr="5634E4A1">
        <w:rPr>
          <w:lang w:val="en-US"/>
        </w:rPr>
        <w:t>.</w:t>
      </w:r>
      <w:r w:rsidR="000F1CB2" w:rsidRPr="5634E4A1">
        <w:rPr>
          <w:lang w:val="en-US"/>
        </w:rPr>
        <w:t xml:space="preserve"> </w:t>
      </w:r>
      <w:r w:rsidR="00401892" w:rsidRPr="5634E4A1">
        <w:rPr>
          <w:lang w:val="en-US"/>
        </w:rPr>
        <w:t>E</w:t>
      </w:r>
      <w:r w:rsidR="006C198C" w:rsidRPr="5634E4A1">
        <w:rPr>
          <w:lang w:val="en-US"/>
        </w:rPr>
        <w:t>xisting infrastructure capacity – such as transport and water servicing – has been independently reviewed by Infrastructure NSW</w:t>
      </w:r>
      <w:r w:rsidR="463E0798" w:rsidRPr="5634E4A1">
        <w:rPr>
          <w:lang w:val="en-US"/>
        </w:rPr>
        <w:t xml:space="preserve"> to </w:t>
      </w:r>
      <w:r w:rsidR="7A2DEE9D" w:rsidRPr="5634E4A1">
        <w:rPr>
          <w:lang w:val="en-US"/>
        </w:rPr>
        <w:t>identify areas capable of supporting sustainable growth</w:t>
      </w:r>
      <w:r w:rsidR="006C198C" w:rsidRPr="5634E4A1">
        <w:rPr>
          <w:lang w:val="en-US"/>
        </w:rPr>
        <w:t xml:space="preserve">. </w:t>
      </w:r>
    </w:p>
    <w:p w14:paraId="0C2BA35A" w14:textId="13D20D06" w:rsidR="003C3F29" w:rsidRDefault="006C198C" w:rsidP="003F21C3">
      <w:pPr>
        <w:pStyle w:val="BodyText"/>
      </w:pPr>
      <w:r w:rsidRPr="5634E4A1">
        <w:rPr>
          <w:lang w:val="en-US"/>
        </w:rPr>
        <w:t>The Government is also tackling the housing crisis by reforming the planning system</w:t>
      </w:r>
      <w:r w:rsidR="00D22ECC" w:rsidRPr="5634E4A1">
        <w:rPr>
          <w:lang w:val="en-US"/>
        </w:rPr>
        <w:t xml:space="preserve"> to remove barriers </w:t>
      </w:r>
      <w:r w:rsidR="00EE1E77" w:rsidRPr="5634E4A1">
        <w:rPr>
          <w:lang w:val="en-US"/>
        </w:rPr>
        <w:t xml:space="preserve">that slow down </w:t>
      </w:r>
      <w:r w:rsidR="00E860BE">
        <w:rPr>
          <w:lang w:val="en-US"/>
        </w:rPr>
        <w:t>the construction of new homes</w:t>
      </w:r>
      <w:r w:rsidR="001944C8" w:rsidRPr="5634E4A1">
        <w:rPr>
          <w:lang w:val="en-US"/>
        </w:rPr>
        <w:t xml:space="preserve">. </w:t>
      </w:r>
      <w:r w:rsidR="004D14EC" w:rsidRPr="5634E4A1">
        <w:rPr>
          <w:lang w:val="en-US"/>
        </w:rPr>
        <w:t xml:space="preserve">This </w:t>
      </w:r>
      <w:r w:rsidR="007E7630" w:rsidRPr="5634E4A1">
        <w:rPr>
          <w:lang w:val="en-US"/>
        </w:rPr>
        <w:t>will</w:t>
      </w:r>
      <w:r w:rsidR="004D14EC" w:rsidRPr="5634E4A1">
        <w:rPr>
          <w:lang w:val="en-US"/>
        </w:rPr>
        <w:t xml:space="preserve"> </w:t>
      </w:r>
      <w:r w:rsidR="00673337" w:rsidRPr="5634E4A1">
        <w:rPr>
          <w:lang w:val="en-US"/>
        </w:rPr>
        <w:t>support</w:t>
      </w:r>
      <w:r w:rsidRPr="5634E4A1">
        <w:rPr>
          <w:lang w:val="en-US"/>
        </w:rPr>
        <w:t xml:space="preserve"> </w:t>
      </w:r>
      <w:r w:rsidR="00262B66" w:rsidRPr="5634E4A1">
        <w:rPr>
          <w:lang w:val="en-US"/>
        </w:rPr>
        <w:t>different types of dwellings</w:t>
      </w:r>
      <w:r w:rsidR="00E855A3" w:rsidRPr="5634E4A1">
        <w:rPr>
          <w:lang w:val="en-US"/>
        </w:rPr>
        <w:t xml:space="preserve"> near existing services</w:t>
      </w:r>
      <w:r w:rsidR="00262B66" w:rsidRPr="5634E4A1">
        <w:rPr>
          <w:lang w:val="en-US"/>
        </w:rPr>
        <w:t xml:space="preserve">, </w:t>
      </w:r>
      <w:r w:rsidR="004D14EC" w:rsidRPr="5634E4A1">
        <w:rPr>
          <w:lang w:val="en-US"/>
        </w:rPr>
        <w:t xml:space="preserve">with </w:t>
      </w:r>
      <w:r w:rsidRPr="5634E4A1">
        <w:rPr>
          <w:lang w:val="en-US"/>
        </w:rPr>
        <w:t xml:space="preserve">homes </w:t>
      </w:r>
      <w:r w:rsidR="00307813" w:rsidRPr="5634E4A1">
        <w:rPr>
          <w:lang w:val="en-US"/>
        </w:rPr>
        <w:t xml:space="preserve">to </w:t>
      </w:r>
      <w:r w:rsidR="0069397F" w:rsidRPr="5634E4A1">
        <w:rPr>
          <w:lang w:val="en-US"/>
        </w:rPr>
        <w:t>suit</w:t>
      </w:r>
      <w:r w:rsidRPr="5634E4A1">
        <w:rPr>
          <w:lang w:val="en-US"/>
        </w:rPr>
        <w:t xml:space="preserve"> </w:t>
      </w:r>
      <w:r w:rsidR="00E07E0E" w:rsidRPr="5634E4A1">
        <w:rPr>
          <w:lang w:val="en-US"/>
        </w:rPr>
        <w:t xml:space="preserve">a diverse </w:t>
      </w:r>
      <w:r w:rsidR="00582582" w:rsidRPr="5634E4A1">
        <w:rPr>
          <w:lang w:val="en-US"/>
        </w:rPr>
        <w:t>range of</w:t>
      </w:r>
      <w:r w:rsidRPr="5634E4A1">
        <w:rPr>
          <w:lang w:val="en-US"/>
        </w:rPr>
        <w:t xml:space="preserve"> lifestyles.</w:t>
      </w:r>
      <w:r w:rsidR="00335F86" w:rsidRPr="5634E4A1">
        <w:rPr>
          <w:lang w:val="en-US"/>
        </w:rPr>
        <w:t xml:space="preserve"> </w:t>
      </w:r>
    </w:p>
    <w:p w14:paraId="111C5F35" w14:textId="7C4A52F4" w:rsidR="008B4055" w:rsidRPr="00925CCD" w:rsidRDefault="0009442B" w:rsidP="003F21C3">
      <w:pPr>
        <w:pStyle w:val="BodyText"/>
      </w:pPr>
      <w:r w:rsidRPr="48000A47">
        <w:t>Reliable</w:t>
      </w:r>
      <w:r w:rsidR="00F937DB">
        <w:t xml:space="preserve"> </w:t>
      </w:r>
      <w:r w:rsidRPr="48000A47">
        <w:t xml:space="preserve">and affordable access to water and energy are cornerstones of the economy. </w:t>
      </w:r>
      <w:r w:rsidR="008B4055" w:rsidRPr="48000A47">
        <w:t xml:space="preserve">The State’s capital program </w:t>
      </w:r>
      <w:r w:rsidR="008B4055" w:rsidRPr="528CC707">
        <w:t>i</w:t>
      </w:r>
      <w:r w:rsidR="1FB6E093" w:rsidRPr="528CC707">
        <w:t>ncludes</w:t>
      </w:r>
      <w:r w:rsidR="008B4055" w:rsidRPr="48000A47">
        <w:t xml:space="preserve"> </w:t>
      </w:r>
      <w:r w:rsidR="00F64BE4">
        <w:t>subs</w:t>
      </w:r>
      <w:r w:rsidR="005E3A22">
        <w:t>tantial</w:t>
      </w:r>
      <w:r w:rsidR="00F64BE4" w:rsidRPr="48000A47">
        <w:t xml:space="preserve"> </w:t>
      </w:r>
      <w:r w:rsidR="008B4055" w:rsidRPr="48000A47">
        <w:t xml:space="preserve">investment </w:t>
      </w:r>
      <w:r w:rsidR="008B4055" w:rsidRPr="528CC707">
        <w:t>in</w:t>
      </w:r>
      <w:r w:rsidR="008B4055" w:rsidRPr="48000A47">
        <w:t xml:space="preserve"> water </w:t>
      </w:r>
      <w:r w:rsidR="008523AB" w:rsidRPr="48000A47">
        <w:t xml:space="preserve">infrastructure </w:t>
      </w:r>
      <w:r w:rsidR="008B4055" w:rsidRPr="48000A47">
        <w:t xml:space="preserve">and energy </w:t>
      </w:r>
      <w:r w:rsidR="000770B1">
        <w:t>transformation</w:t>
      </w:r>
      <w:r w:rsidR="008B4055" w:rsidRPr="48000A47">
        <w:t xml:space="preserve">. Water infrastructure underpins </w:t>
      </w:r>
      <w:r w:rsidR="005F0999" w:rsidRPr="48000A47">
        <w:t xml:space="preserve">the Government’s </w:t>
      </w:r>
      <w:r w:rsidR="008B4055" w:rsidRPr="48000A47">
        <w:t>housing plans</w:t>
      </w:r>
      <w:r w:rsidR="00B656FE">
        <w:t>,</w:t>
      </w:r>
      <w:r w:rsidR="00691481">
        <w:t xml:space="preserve"> with</w:t>
      </w:r>
      <w:r w:rsidR="72536030" w:rsidRPr="459FBB50">
        <w:t xml:space="preserve"> large</w:t>
      </w:r>
      <w:r w:rsidR="008B4055" w:rsidRPr="48000A47">
        <w:t xml:space="preserve"> investment</w:t>
      </w:r>
      <w:r w:rsidR="00D13DF1" w:rsidRPr="48000A47">
        <w:t>s</w:t>
      </w:r>
      <w:r w:rsidR="008B4055" w:rsidRPr="48000A47">
        <w:t xml:space="preserve"> needed to support the homes and industries growing communit</w:t>
      </w:r>
      <w:r w:rsidR="00DE281C" w:rsidRPr="48000A47">
        <w:t>ies</w:t>
      </w:r>
      <w:r w:rsidR="008B4055" w:rsidRPr="48000A47">
        <w:t xml:space="preserve"> will require. </w:t>
      </w:r>
    </w:p>
    <w:p w14:paraId="697139E4" w14:textId="29802D39" w:rsidR="0067156F" w:rsidRPr="00A71D59" w:rsidRDefault="0067156F" w:rsidP="003F21C3">
      <w:pPr>
        <w:pStyle w:val="BodyText"/>
      </w:pPr>
      <w:r w:rsidRPr="4B4332BE">
        <w:rPr>
          <w:lang w:val="en-US"/>
        </w:rPr>
        <w:t>Investment in schools and hospitals is expected to rise to record levels over the forward estimates. $9 billion of investment in new and upgraded schools accompanied by $12.4 billion in hospitals over four years will help address the historic neglect of these public services</w:t>
      </w:r>
      <w:r w:rsidR="00B35D9A">
        <w:rPr>
          <w:lang w:val="en-US"/>
        </w:rPr>
        <w:t>.</w:t>
      </w:r>
    </w:p>
    <w:p w14:paraId="5CA541C0" w14:textId="4694E3D4" w:rsidR="6E2BCC91" w:rsidRPr="00A71D59" w:rsidRDefault="6E2BCC91" w:rsidP="007D65FC">
      <w:pPr>
        <w:pStyle w:val="BodyText"/>
      </w:pPr>
      <w:r w:rsidRPr="5634E4A1">
        <w:rPr>
          <w:lang w:val="en-US"/>
        </w:rPr>
        <w:t xml:space="preserve">This Budget includes the largest investment in NSW courts infrastructure in a decade, </w:t>
      </w:r>
      <w:r w:rsidR="001972B3" w:rsidRPr="5634E4A1">
        <w:rPr>
          <w:lang w:val="en-US"/>
        </w:rPr>
        <w:t>totaling</w:t>
      </w:r>
      <w:r w:rsidRPr="5634E4A1">
        <w:rPr>
          <w:lang w:val="en-US"/>
        </w:rPr>
        <w:t xml:space="preserve"> $83.9 million. This signals a new approach </w:t>
      </w:r>
      <w:r w:rsidR="00762357">
        <w:rPr>
          <w:lang w:val="en-US"/>
        </w:rPr>
        <w:t>for essential services that are under increasing pressure</w:t>
      </w:r>
      <w:r w:rsidRPr="5634E4A1">
        <w:rPr>
          <w:lang w:val="en-US"/>
        </w:rPr>
        <w:t>– delivering safer communities, stronger support for victim-survivors, and a modern justice system that puts people before process.</w:t>
      </w:r>
    </w:p>
    <w:p w14:paraId="30840F69" w14:textId="794EE3A2" w:rsidR="00E83703" w:rsidRDefault="00E83703" w:rsidP="00E83703">
      <w:pPr>
        <w:pStyle w:val="BodyText"/>
      </w:pPr>
      <w:r w:rsidRPr="5634E4A1">
        <w:rPr>
          <w:lang w:val="en-US"/>
        </w:rPr>
        <w:t xml:space="preserve">The 2025-26 Budget also includes record funding for TAFE NSW to support the delivery of high-quality education and training, and continued work to establish three Manufacturing Centres of Excellence across New South Wales.  </w:t>
      </w:r>
    </w:p>
    <w:p w14:paraId="3D49EA8F" w14:textId="60908D6A" w:rsidR="009B610C" w:rsidRDefault="009B610C" w:rsidP="007D65FC">
      <w:pPr>
        <w:pStyle w:val="BodyText"/>
      </w:pPr>
      <w:r w:rsidRPr="5634E4A1">
        <w:rPr>
          <w:lang w:val="en-US"/>
        </w:rPr>
        <w:t xml:space="preserve">Beyond 2025-26, the Government has committed consistent levels of capital funding </w:t>
      </w:r>
      <w:r w:rsidR="001C5FA6">
        <w:rPr>
          <w:lang w:val="en-US"/>
        </w:rPr>
        <w:t>over the forward estimates so that schools can be planned well in advance and delivered efficiently when they are needed</w:t>
      </w:r>
      <w:r w:rsidR="004A1613">
        <w:rPr>
          <w:lang w:val="en-US"/>
        </w:rPr>
        <w:t xml:space="preserve"> to support a growing NSW population</w:t>
      </w:r>
      <w:r w:rsidRPr="5634E4A1">
        <w:rPr>
          <w:lang w:val="en-US"/>
        </w:rPr>
        <w:t xml:space="preserve">. </w:t>
      </w:r>
    </w:p>
    <w:p w14:paraId="3A8F72E8" w14:textId="74CDCBB8" w:rsidR="00754543" w:rsidRDefault="00E46CB7" w:rsidP="007D65FC">
      <w:pPr>
        <w:pStyle w:val="BodyText"/>
      </w:pPr>
      <w:r w:rsidRPr="006A2614">
        <w:t xml:space="preserve">Charts </w:t>
      </w:r>
      <w:r w:rsidR="00CD0FA2" w:rsidRPr="006A2614">
        <w:t>1</w:t>
      </w:r>
      <w:r w:rsidRPr="006A2614">
        <w:t>.1 and</w:t>
      </w:r>
      <w:r w:rsidRPr="4DD6A0AF">
        <w:t xml:space="preserve"> </w:t>
      </w:r>
      <w:r w:rsidR="00CD0FA2">
        <w:t>1</w:t>
      </w:r>
      <w:r w:rsidRPr="4DD6A0AF">
        <w:t xml:space="preserve">.2 show </w:t>
      </w:r>
      <w:r w:rsidR="00572C73">
        <w:t>h</w:t>
      </w:r>
      <w:r w:rsidRPr="4DD6A0AF">
        <w:t xml:space="preserve">ealth and </w:t>
      </w:r>
      <w:r w:rsidR="00572C73">
        <w:t>e</w:t>
      </w:r>
      <w:r w:rsidRPr="4DD6A0AF">
        <w:t>ducation capital expenditure between 2016-17 and 202</w:t>
      </w:r>
      <w:r w:rsidR="5FF89A4F" w:rsidRPr="4DD6A0AF">
        <w:t>5</w:t>
      </w:r>
      <w:r w:rsidR="00F45846">
        <w:noBreakHyphen/>
      </w:r>
      <w:r w:rsidRPr="4DD6A0AF">
        <w:t>2</w:t>
      </w:r>
      <w:r w:rsidR="0EC68E00" w:rsidRPr="4DD6A0AF">
        <w:t>6</w:t>
      </w:r>
      <w:r w:rsidRPr="4DD6A0AF">
        <w:t>.</w:t>
      </w:r>
      <w:r w:rsidR="00754543" w:rsidRPr="6A5D8575">
        <w:t xml:space="preserve"> In line with the NSW Government’s commitment to support rapidly growing communities, </w:t>
      </w:r>
      <w:r w:rsidR="003424CF">
        <w:t>the Budget</w:t>
      </w:r>
      <w:r w:rsidR="003424CF" w:rsidRPr="6A5D8575">
        <w:t xml:space="preserve"> </w:t>
      </w:r>
      <w:r w:rsidR="00754543" w:rsidRPr="6A5D8575">
        <w:t xml:space="preserve">will continue to deliver upgrades and new schools in priority growth areas and precincts and invest in hospital upgrades and new health </w:t>
      </w:r>
      <w:r w:rsidR="00754543" w:rsidRPr="66F20C34">
        <w:t>facilities.</w:t>
      </w:r>
    </w:p>
    <w:bookmarkEnd w:id="0"/>
    <w:p w14:paraId="75960B4C" w14:textId="77777777" w:rsidR="002622CD" w:rsidRDefault="002622CD">
      <w:pPr>
        <w:spacing w:before="360" w:after="120"/>
        <w:ind w:left="851" w:hanging="851"/>
        <w:rPr>
          <w:rFonts w:ascii="Public Sans" w:hAnsi="Public Sans"/>
          <w:bCs/>
          <w:i/>
          <w:color w:val="000000" w:themeColor="text1"/>
          <w:kern w:val="28"/>
          <w:sz w:val="22"/>
          <w:szCs w:val="22"/>
          <w:lang w:val="en-AU"/>
        </w:rPr>
      </w:pPr>
      <w:r>
        <w:br w:type="page"/>
      </w:r>
    </w:p>
    <w:p w14:paraId="086F157C" w14:textId="11C960DF" w:rsidR="002D2C54" w:rsidRPr="00925CCD" w:rsidRDefault="002D2C54" w:rsidP="003C56BD">
      <w:pPr>
        <w:pStyle w:val="Chart8X"/>
      </w:pPr>
      <w:r w:rsidRPr="5BDD6865">
        <w:lastRenderedPageBreak/>
        <w:t>Health capital expenditure 2016-17 to 2025-26</w:t>
      </w:r>
    </w:p>
    <w:p w14:paraId="2897F2D1" w14:textId="4971BDA3" w:rsidR="002D2C54" w:rsidRDefault="00E21587" w:rsidP="002D2C54">
      <w:r>
        <w:rPr>
          <w:noProof/>
        </w:rPr>
        <w:drawing>
          <wp:inline distT="0" distB="0" distL="0" distR="0" wp14:anchorId="7BDEABC1" wp14:editId="2BCCAEB2">
            <wp:extent cx="6073140" cy="2809511"/>
            <wp:effectExtent l="0" t="0" r="3810" b="0"/>
            <wp:docPr id="622947095" name="Chart 1" descr="Chart 1.1: Health capital expenditure 2016-17 to 2025-26&#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4AFB50" w14:textId="5A31F149" w:rsidR="002D2C54" w:rsidRPr="00925CCD" w:rsidRDefault="002D2C54" w:rsidP="002D2C54">
      <w:pPr>
        <w:pStyle w:val="Chart8X"/>
      </w:pPr>
      <w:r w:rsidRPr="006A2614">
        <w:t>Education and skills capital expenditure 2016-17 to 2025-26</w:t>
      </w:r>
    </w:p>
    <w:p w14:paraId="1BC67C84" w14:textId="673F5B5F" w:rsidR="00E025F1" w:rsidRDefault="00AA5400" w:rsidP="002D2C54">
      <w:pPr>
        <w:rPr>
          <w:highlight w:val="yellow"/>
        </w:rPr>
      </w:pPr>
      <w:r>
        <w:rPr>
          <w:noProof/>
        </w:rPr>
        <w:drawing>
          <wp:inline distT="0" distB="0" distL="0" distR="0" wp14:anchorId="04A12EB9" wp14:editId="37B58B38">
            <wp:extent cx="6031865" cy="2948940"/>
            <wp:effectExtent l="0" t="0" r="6985" b="0"/>
            <wp:docPr id="942280780" name="Chart 1" descr="Chart 1.2: Education and skills capital expenditure 2016-17 to 2025-2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474FFD" w14:textId="43FEA436" w:rsidR="00476850" w:rsidRPr="006A2614" w:rsidRDefault="003B75B8" w:rsidP="003F21C3">
      <w:pPr>
        <w:pStyle w:val="BodyText"/>
      </w:pPr>
      <w:r w:rsidRPr="00A71D59">
        <w:t xml:space="preserve">Chart </w:t>
      </w:r>
      <w:r w:rsidR="000A4359" w:rsidRPr="00A71D59">
        <w:t>1</w:t>
      </w:r>
      <w:r w:rsidRPr="00A71D59">
        <w:t>.</w:t>
      </w:r>
      <w:r w:rsidR="00B72C11" w:rsidRPr="00A71D59">
        <w:t>3 show</w:t>
      </w:r>
      <w:r w:rsidR="00476850" w:rsidRPr="00A71D59">
        <w:t>s</w:t>
      </w:r>
      <w:r w:rsidR="00B72C11" w:rsidRPr="00A71D59">
        <w:t xml:space="preserve"> Sydney Metro capital expenditure between 201</w:t>
      </w:r>
      <w:r w:rsidR="0099186E" w:rsidRPr="00A71D59">
        <w:t>6</w:t>
      </w:r>
      <w:r w:rsidR="00B72C11" w:rsidRPr="00A71D59">
        <w:t>-1</w:t>
      </w:r>
      <w:r w:rsidR="0099186E" w:rsidRPr="00A71D59">
        <w:t>7</w:t>
      </w:r>
      <w:r w:rsidR="00B72C11" w:rsidRPr="00A71D59">
        <w:t xml:space="preserve"> and 202</w:t>
      </w:r>
      <w:r w:rsidR="004A2DA3" w:rsidRPr="00A71D59">
        <w:t>5</w:t>
      </w:r>
      <w:r w:rsidR="00B72C11" w:rsidRPr="00A71D59">
        <w:t>-2</w:t>
      </w:r>
      <w:r w:rsidR="004A2DA3" w:rsidRPr="00A71D59">
        <w:t>6</w:t>
      </w:r>
      <w:r w:rsidR="00B72C11" w:rsidRPr="00A71D59">
        <w:t>.</w:t>
      </w:r>
      <w:r w:rsidR="00EA323B" w:rsidRPr="00A71D59">
        <w:t xml:space="preserve"> </w:t>
      </w:r>
      <w:r w:rsidR="0099186E" w:rsidRPr="00A71D59">
        <w:t xml:space="preserve">Sydney </w:t>
      </w:r>
      <w:r w:rsidR="00EA323B" w:rsidRPr="00A71D59">
        <w:t xml:space="preserve">Metro was established in </w:t>
      </w:r>
      <w:r w:rsidR="00FA6801">
        <w:rPr>
          <w:lang w:val="en-US"/>
        </w:rPr>
        <w:t>July</w:t>
      </w:r>
      <w:r w:rsidR="00FA6801" w:rsidRPr="08D9195A">
        <w:rPr>
          <w:lang w:val="en-US"/>
        </w:rPr>
        <w:t xml:space="preserve"> </w:t>
      </w:r>
      <w:r w:rsidR="00EA323B" w:rsidRPr="00A71D59">
        <w:t>20</w:t>
      </w:r>
      <w:r w:rsidR="00DA7D27" w:rsidRPr="00A71D59">
        <w:t>18</w:t>
      </w:r>
      <w:r w:rsidR="00EE034C" w:rsidRPr="00A71D59">
        <w:t>.</w:t>
      </w:r>
      <w:r w:rsidR="00CF6DAA" w:rsidRPr="00A71D59">
        <w:t xml:space="preserve"> </w:t>
      </w:r>
      <w:r w:rsidR="00401EEE" w:rsidRPr="00A71D59">
        <w:t>P</w:t>
      </w:r>
      <w:r w:rsidR="00CF6DAA" w:rsidRPr="00A71D59">
        <w:t xml:space="preserve">rior </w:t>
      </w:r>
      <w:r w:rsidR="00D90C94" w:rsidRPr="00A71D59">
        <w:t>Metro</w:t>
      </w:r>
      <w:r w:rsidR="00CF6DAA" w:rsidRPr="00A71D59">
        <w:t xml:space="preserve"> expenditure </w:t>
      </w:r>
      <w:r w:rsidR="001B3AF6" w:rsidRPr="00A71D59">
        <w:t xml:space="preserve">was part of </w:t>
      </w:r>
      <w:r w:rsidR="271321F4" w:rsidRPr="00A71D59">
        <w:t>broader transport investment</w:t>
      </w:r>
      <w:r w:rsidR="001B3AF6" w:rsidRPr="00A71D59">
        <w:t>.</w:t>
      </w:r>
      <w:r w:rsidR="00764825" w:rsidRPr="00A71D59">
        <w:t xml:space="preserve"> </w:t>
      </w:r>
      <w:r w:rsidR="00E46BB2" w:rsidRPr="00A71D59">
        <w:t>Expenditures</w:t>
      </w:r>
      <w:r w:rsidR="00410873" w:rsidRPr="00A71D59">
        <w:t xml:space="preserve"> </w:t>
      </w:r>
      <w:r w:rsidR="00C87F61" w:rsidRPr="00A71D59">
        <w:t>reflect the progress</w:t>
      </w:r>
      <w:r w:rsidR="004C42EE" w:rsidRPr="00A71D59">
        <w:t xml:space="preserve"> and timing of works acros</w:t>
      </w:r>
      <w:r w:rsidR="00271378" w:rsidRPr="00A71D59">
        <w:t xml:space="preserve">s the </w:t>
      </w:r>
      <w:r w:rsidR="00C22D71" w:rsidRPr="00A71D59">
        <w:t xml:space="preserve">Metro </w:t>
      </w:r>
      <w:r w:rsidR="0059055D" w:rsidRPr="00A71D59">
        <w:t>projects</w:t>
      </w:r>
      <w:r w:rsidR="00C22D71" w:rsidRPr="00A71D59">
        <w:t>,</w:t>
      </w:r>
      <w:r w:rsidR="004C42EE" w:rsidRPr="00A71D59">
        <w:t xml:space="preserve"> </w:t>
      </w:r>
      <w:r w:rsidR="00FD6A67" w:rsidRPr="00A71D59">
        <w:t>including completion of the</w:t>
      </w:r>
      <w:r w:rsidR="004C42EE" w:rsidRPr="00A71D59">
        <w:t xml:space="preserve"> </w:t>
      </w:r>
      <w:r w:rsidR="00ED6EDF" w:rsidRPr="00A71D59">
        <w:t xml:space="preserve">North West </w:t>
      </w:r>
      <w:r w:rsidR="00D56ACD" w:rsidRPr="00A71D59">
        <w:t>(M1)</w:t>
      </w:r>
      <w:r w:rsidR="004C42EE" w:rsidRPr="00A71D59">
        <w:t xml:space="preserve"> </w:t>
      </w:r>
      <w:r w:rsidR="00033028" w:rsidRPr="00A71D59">
        <w:t xml:space="preserve">line </w:t>
      </w:r>
      <w:r w:rsidR="00FD6A67" w:rsidRPr="00A71D59">
        <w:t>(</w:t>
      </w:r>
      <w:r w:rsidR="00014753" w:rsidRPr="00A71D59">
        <w:t>opened</w:t>
      </w:r>
      <w:r w:rsidR="00033028" w:rsidRPr="00A71D59">
        <w:t xml:space="preserve"> in 2019</w:t>
      </w:r>
      <w:r w:rsidR="00FD6A67" w:rsidRPr="00A71D59">
        <w:t>)</w:t>
      </w:r>
      <w:r w:rsidR="007D31AC" w:rsidRPr="00A71D59">
        <w:t>,</w:t>
      </w:r>
      <w:r w:rsidR="0073155A" w:rsidRPr="00A71D59">
        <w:t xml:space="preserve"> </w:t>
      </w:r>
      <w:r w:rsidR="00D56ACD" w:rsidRPr="00A71D59">
        <w:t>the new section of the M1</w:t>
      </w:r>
      <w:r w:rsidR="003976BE" w:rsidRPr="00A71D59">
        <w:t xml:space="preserve"> line </w:t>
      </w:r>
      <w:r w:rsidR="005D7FA1" w:rsidRPr="00A71D59">
        <w:t>from Chatswood to Sydenham</w:t>
      </w:r>
      <w:r w:rsidR="00D90879" w:rsidRPr="00A71D59">
        <w:t xml:space="preserve"> </w:t>
      </w:r>
      <w:r w:rsidR="00FD6A67" w:rsidRPr="00A71D59">
        <w:t>(</w:t>
      </w:r>
      <w:r w:rsidR="003F172D" w:rsidRPr="00A71D59">
        <w:t>opened in August</w:t>
      </w:r>
      <w:r w:rsidR="003976BE" w:rsidRPr="00A71D59">
        <w:t xml:space="preserve"> 20</w:t>
      </w:r>
      <w:r w:rsidR="0073155A" w:rsidRPr="00A71D59">
        <w:t>24</w:t>
      </w:r>
      <w:r w:rsidR="00FD6A67" w:rsidRPr="00A71D59">
        <w:t>)</w:t>
      </w:r>
      <w:r w:rsidR="00C8194E" w:rsidRPr="00A71D59">
        <w:t xml:space="preserve"> </w:t>
      </w:r>
      <w:r w:rsidR="00FD6A67" w:rsidRPr="00A71D59">
        <w:t xml:space="preserve">and </w:t>
      </w:r>
      <w:r w:rsidR="00C871B5" w:rsidRPr="00A71D59">
        <w:t xml:space="preserve">the </w:t>
      </w:r>
      <w:r w:rsidR="00EC5B7B" w:rsidRPr="00A71D59">
        <w:t>Southwest</w:t>
      </w:r>
      <w:r w:rsidR="00D063B1">
        <w:rPr>
          <w:lang w:val="en-US"/>
        </w:rPr>
        <w:t>, West</w:t>
      </w:r>
      <w:r w:rsidR="00EC5B7B" w:rsidRPr="00A71D59">
        <w:t xml:space="preserve"> </w:t>
      </w:r>
      <w:r w:rsidR="0059055D" w:rsidRPr="00A71D59">
        <w:t>and Western Sydney Airport</w:t>
      </w:r>
      <w:r w:rsidR="00EC5B7B" w:rsidRPr="00A71D59">
        <w:t xml:space="preserve"> </w:t>
      </w:r>
      <w:r w:rsidR="00EB15E0" w:rsidRPr="00A71D59">
        <w:t>line</w:t>
      </w:r>
      <w:r w:rsidR="0059055D" w:rsidRPr="00A71D59">
        <w:t>s</w:t>
      </w:r>
      <w:r w:rsidR="00EB15E0" w:rsidRPr="00A71D59">
        <w:t xml:space="preserve"> </w:t>
      </w:r>
      <w:r w:rsidR="00046ED1" w:rsidRPr="00A71D59">
        <w:t>under construction</w:t>
      </w:r>
      <w:r w:rsidR="00EB15E0" w:rsidRPr="00A71D59">
        <w:t>.</w:t>
      </w:r>
    </w:p>
    <w:p w14:paraId="32347F38" w14:textId="7EF7A22E" w:rsidR="00770D9D" w:rsidRDefault="00770D9D">
      <w:pPr>
        <w:spacing w:before="360" w:after="120"/>
        <w:ind w:left="851" w:hanging="851"/>
        <w:rPr>
          <w:rFonts w:ascii="Public Sans" w:hAnsi="Public Sans"/>
          <w:bCs/>
          <w:i/>
          <w:color w:val="000000" w:themeColor="text1"/>
          <w:kern w:val="28"/>
          <w:sz w:val="22"/>
          <w:szCs w:val="22"/>
          <w:lang w:val="en-AU"/>
        </w:rPr>
      </w:pPr>
      <w:r>
        <w:br w:type="page"/>
      </w:r>
    </w:p>
    <w:p w14:paraId="41E1BBE1" w14:textId="45386B69" w:rsidR="000565CF" w:rsidRPr="00925CCD" w:rsidRDefault="000565CF" w:rsidP="00476850">
      <w:pPr>
        <w:pStyle w:val="Chart8X"/>
      </w:pPr>
      <w:r w:rsidRPr="00A71D59">
        <w:lastRenderedPageBreak/>
        <w:t>Sydney Metro capital expenditure 201</w:t>
      </w:r>
      <w:r w:rsidR="0099186E" w:rsidRPr="00A71D59">
        <w:t>6</w:t>
      </w:r>
      <w:r w:rsidRPr="00A71D59">
        <w:t>-1</w:t>
      </w:r>
      <w:r w:rsidR="0099186E" w:rsidRPr="00A71D59">
        <w:t>7</w:t>
      </w:r>
      <w:r w:rsidRPr="00A71D59">
        <w:t xml:space="preserve"> to 2025-</w:t>
      </w:r>
      <w:r w:rsidR="00260F17" w:rsidRPr="00A71D59">
        <w:t>26</w:t>
      </w:r>
    </w:p>
    <w:p w14:paraId="7B53357E" w14:textId="3156E69A" w:rsidR="005B68EB" w:rsidRDefault="008030E1" w:rsidP="004F13F7">
      <w:r>
        <w:rPr>
          <w:noProof/>
        </w:rPr>
        <w:drawing>
          <wp:inline distT="0" distB="0" distL="0" distR="0" wp14:anchorId="11F79DC1" wp14:editId="378AB347">
            <wp:extent cx="5862918" cy="2779058"/>
            <wp:effectExtent l="0" t="0" r="0" b="0"/>
            <wp:docPr id="167805057" name="Chart 1" descr="Chart 1.3: Sydney Metro capital expenditure 2016-17 to 2025-26&#10;">
              <a:extLst xmlns:a="http://schemas.openxmlformats.org/drawingml/2006/main">
                <a:ext uri="{FF2B5EF4-FFF2-40B4-BE49-F238E27FC236}">
                  <a16:creationId xmlns:a16="http://schemas.microsoft.com/office/drawing/2014/main" id="{5F891D8B-7B2E-46AA-828E-04EEA0756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9F74F8" w14:textId="720D83C4" w:rsidR="005B68EB" w:rsidRPr="002D2C54" w:rsidRDefault="005B68EB" w:rsidP="005B68EB">
      <w:pPr>
        <w:pStyle w:val="BodyText"/>
      </w:pPr>
      <w:r w:rsidRPr="5634E4A1">
        <w:rPr>
          <w:lang w:val="en-US"/>
        </w:rPr>
        <w:t>The Government recognises there are supply chain challenges impacting the delivery of infrastructure projects in New South Wales</w:t>
      </w:r>
      <w:r w:rsidR="002C0302" w:rsidRPr="5634E4A1">
        <w:rPr>
          <w:lang w:val="en-US"/>
        </w:rPr>
        <w:t>,</w:t>
      </w:r>
      <w:r w:rsidRPr="5634E4A1">
        <w:rPr>
          <w:lang w:val="en-US"/>
        </w:rPr>
        <w:t xml:space="preserve"> including skills and material shortages and cost escalation. </w:t>
      </w:r>
      <w:r w:rsidR="00756C17">
        <w:rPr>
          <w:lang w:val="en-US"/>
        </w:rPr>
        <w:t xml:space="preserve">A $1.2 billion </w:t>
      </w:r>
      <w:r w:rsidR="006D7D19">
        <w:rPr>
          <w:lang w:val="en-US"/>
        </w:rPr>
        <w:t>investment</w:t>
      </w:r>
      <w:r w:rsidR="00756C17">
        <w:rPr>
          <w:lang w:val="en-US"/>
        </w:rPr>
        <w:t xml:space="preserve"> to TAFE funding will accelerate the delivery of trades training, to help ease skills shortages.</w:t>
      </w:r>
      <w:r w:rsidRPr="5634E4A1">
        <w:rPr>
          <w:lang w:val="en-US"/>
        </w:rPr>
        <w:t xml:space="preserve">  </w:t>
      </w:r>
    </w:p>
    <w:p w14:paraId="7456FB7F" w14:textId="3E45D460" w:rsidR="005B68EB" w:rsidRDefault="005B68EB" w:rsidP="005B68EB">
      <w:pPr>
        <w:pStyle w:val="BodyText"/>
      </w:pPr>
      <w:r w:rsidRPr="5634E4A1">
        <w:rPr>
          <w:lang w:val="en-US"/>
        </w:rPr>
        <w:t xml:space="preserve">In addition to providing the </w:t>
      </w:r>
      <w:r w:rsidR="006E0B96" w:rsidRPr="5634E4A1">
        <w:rPr>
          <w:lang w:val="en-US"/>
        </w:rPr>
        <w:t>foundational</w:t>
      </w:r>
      <w:r w:rsidRPr="5634E4A1">
        <w:rPr>
          <w:lang w:val="en-US"/>
        </w:rPr>
        <w:t xml:space="preserve"> services that communities need, ongoing investment in infrastructure projects will support job creation, attract investment and boost economic activity. To bolster private investment in New South Wales, the Government is also creating a new Investment Delivery Authority to facilitate major projects delivered by the private sector and identify system</w:t>
      </w:r>
      <w:r>
        <w:noBreakHyphen/>
      </w:r>
      <w:r w:rsidRPr="5634E4A1">
        <w:rPr>
          <w:lang w:val="en-US"/>
        </w:rPr>
        <w:t>wide reforms that promote investment, competition and productivity.</w:t>
      </w:r>
    </w:p>
    <w:p w14:paraId="2AFE42C9" w14:textId="20098823" w:rsidR="008B4055" w:rsidRPr="00925CCD" w:rsidRDefault="008B4055" w:rsidP="003C56BD">
      <w:pPr>
        <w:pStyle w:val="81Heading2"/>
        <w:ind w:left="851" w:hanging="851"/>
        <w:outlineLvl w:val="1"/>
      </w:pPr>
      <w:r w:rsidRPr="00925CCD">
        <w:t>The $</w:t>
      </w:r>
      <w:r w:rsidR="00AC7EB2">
        <w:t>118.3</w:t>
      </w:r>
      <w:r w:rsidRPr="00925CCD">
        <w:t xml:space="preserve"> billion Essential Infrastructure Plan</w:t>
      </w:r>
      <w:r w:rsidR="007E3BF2">
        <w:t xml:space="preserve"> to build a better </w:t>
      </w:r>
      <w:r w:rsidR="00C33F31">
        <w:t>New South Wales</w:t>
      </w:r>
    </w:p>
    <w:p w14:paraId="7754E9DD" w14:textId="5AE1AA75" w:rsidR="008B4055" w:rsidRPr="00DB1D83" w:rsidRDefault="008B4055" w:rsidP="003F21C3">
      <w:pPr>
        <w:pStyle w:val="BodyText"/>
      </w:pPr>
      <w:r w:rsidRPr="5634E4A1">
        <w:rPr>
          <w:lang w:val="en-US"/>
        </w:rPr>
        <w:t>The 2025-26 Budget provides $</w:t>
      </w:r>
      <w:r w:rsidR="00DE5C34" w:rsidRPr="5634E4A1">
        <w:rPr>
          <w:lang w:val="en-US"/>
        </w:rPr>
        <w:t>118.3</w:t>
      </w:r>
      <w:r w:rsidRPr="5634E4A1">
        <w:rPr>
          <w:lang w:val="en-US"/>
        </w:rPr>
        <w:t xml:space="preserve"> billion in capital expenditure over four years to </w:t>
      </w:r>
      <w:r w:rsidRPr="00DB1D83">
        <w:br/>
      </w:r>
      <w:r w:rsidRPr="5634E4A1">
        <w:rPr>
          <w:lang w:val="en-US"/>
        </w:rPr>
        <w:t xml:space="preserve">2028-29 for investment in public infrastructure to tackle the housing crisis, build essential infrastructure, deliver major projects more efficiently, and invest in water and power systems. </w:t>
      </w:r>
    </w:p>
    <w:p w14:paraId="35553087" w14:textId="03B1EAC7" w:rsidR="008B4055" w:rsidRPr="006A2614" w:rsidRDefault="008B4055" w:rsidP="08D9195A">
      <w:pPr>
        <w:pStyle w:val="BodyText"/>
      </w:pPr>
      <w:r w:rsidRPr="5634E4A1">
        <w:rPr>
          <w:lang w:val="en-US"/>
        </w:rPr>
        <w:t>The average estimated infrastructure investment of $</w:t>
      </w:r>
      <w:r w:rsidR="005C72B3" w:rsidRPr="5634E4A1">
        <w:rPr>
          <w:lang w:val="en-US"/>
        </w:rPr>
        <w:t>29.6</w:t>
      </w:r>
      <w:r w:rsidRPr="5634E4A1">
        <w:rPr>
          <w:lang w:val="en-US"/>
        </w:rPr>
        <w:t xml:space="preserve"> billion per annum over four years is </w:t>
      </w:r>
      <w:r w:rsidR="00064CAB">
        <w:rPr>
          <w:lang w:val="en-US"/>
        </w:rPr>
        <w:t>4.2</w:t>
      </w:r>
      <w:r w:rsidRPr="5634E4A1">
        <w:rPr>
          <w:lang w:val="en-US"/>
        </w:rPr>
        <w:t xml:space="preserve"> per cent higher than the average four-year investment of $</w:t>
      </w:r>
      <w:r w:rsidR="002871D8" w:rsidRPr="5634E4A1">
        <w:rPr>
          <w:lang w:val="en-US"/>
        </w:rPr>
        <w:t xml:space="preserve"> </w:t>
      </w:r>
      <w:r w:rsidR="00EF7DFE" w:rsidRPr="5634E4A1">
        <w:rPr>
          <w:lang w:val="en-US"/>
        </w:rPr>
        <w:t>2</w:t>
      </w:r>
      <w:r w:rsidR="002B59BE" w:rsidRPr="5634E4A1">
        <w:rPr>
          <w:lang w:val="en-US"/>
        </w:rPr>
        <w:t>8</w:t>
      </w:r>
      <w:r w:rsidR="00EF7DFE" w:rsidRPr="5634E4A1">
        <w:rPr>
          <w:lang w:val="en-US"/>
        </w:rPr>
        <w:t>.</w:t>
      </w:r>
      <w:r w:rsidR="00064CAB">
        <w:rPr>
          <w:lang w:val="en-US"/>
        </w:rPr>
        <w:t>4</w:t>
      </w:r>
      <w:r w:rsidRPr="5634E4A1">
        <w:rPr>
          <w:lang w:val="en-US"/>
        </w:rPr>
        <w:t xml:space="preserve"> billion across the four years </w:t>
      </w:r>
      <w:r w:rsidR="001B0C92" w:rsidRPr="5634E4A1">
        <w:rPr>
          <w:lang w:val="en-US"/>
        </w:rPr>
        <w:t>2021</w:t>
      </w:r>
      <w:r w:rsidRPr="5634E4A1">
        <w:rPr>
          <w:lang w:val="en-US"/>
        </w:rPr>
        <w:t>-</w:t>
      </w:r>
      <w:r w:rsidR="001B0C92" w:rsidRPr="5634E4A1">
        <w:rPr>
          <w:lang w:val="en-US"/>
        </w:rPr>
        <w:t xml:space="preserve">22 </w:t>
      </w:r>
      <w:r w:rsidRPr="5634E4A1">
        <w:rPr>
          <w:lang w:val="en-US"/>
        </w:rPr>
        <w:t xml:space="preserve">to </w:t>
      </w:r>
      <w:r w:rsidR="001B0C92" w:rsidRPr="5634E4A1">
        <w:rPr>
          <w:lang w:val="en-US"/>
        </w:rPr>
        <w:t>2024</w:t>
      </w:r>
      <w:r w:rsidRPr="5634E4A1">
        <w:rPr>
          <w:lang w:val="en-US"/>
        </w:rPr>
        <w:t>-</w:t>
      </w:r>
      <w:r w:rsidR="001B0C92" w:rsidRPr="5634E4A1">
        <w:rPr>
          <w:lang w:val="en-US"/>
        </w:rPr>
        <w:t>25</w:t>
      </w:r>
      <w:r w:rsidRPr="5634E4A1">
        <w:rPr>
          <w:lang w:val="en-US"/>
        </w:rPr>
        <w:t xml:space="preserve">. Chart </w:t>
      </w:r>
      <w:r w:rsidR="00CD0FA2" w:rsidRPr="5634E4A1">
        <w:rPr>
          <w:lang w:val="en-US"/>
        </w:rPr>
        <w:t>1</w:t>
      </w:r>
      <w:r w:rsidRPr="5634E4A1">
        <w:rPr>
          <w:lang w:val="en-US"/>
        </w:rPr>
        <w:t>.</w:t>
      </w:r>
      <w:r w:rsidR="00FD0137" w:rsidRPr="5634E4A1">
        <w:rPr>
          <w:lang w:val="en-US"/>
        </w:rPr>
        <w:t>4</w:t>
      </w:r>
      <w:r w:rsidRPr="5634E4A1">
        <w:rPr>
          <w:lang w:val="en-US"/>
        </w:rPr>
        <w:t xml:space="preserve"> shows the projected growth in the State’s capital program from </w:t>
      </w:r>
      <w:r w:rsidR="00886223" w:rsidRPr="5634E4A1">
        <w:rPr>
          <w:lang w:val="en-US"/>
        </w:rPr>
        <w:t>2013</w:t>
      </w:r>
      <w:r w:rsidRPr="5634E4A1">
        <w:rPr>
          <w:lang w:val="en-US"/>
        </w:rPr>
        <w:t>-</w:t>
      </w:r>
      <w:r w:rsidR="00886223" w:rsidRPr="5634E4A1">
        <w:rPr>
          <w:lang w:val="en-US"/>
        </w:rPr>
        <w:t xml:space="preserve">14 </w:t>
      </w:r>
      <w:r w:rsidRPr="5634E4A1">
        <w:rPr>
          <w:lang w:val="en-US"/>
        </w:rPr>
        <w:t xml:space="preserve">to </w:t>
      </w:r>
      <w:r w:rsidR="00886223" w:rsidRPr="5634E4A1">
        <w:rPr>
          <w:lang w:val="en-US"/>
        </w:rPr>
        <w:t>2028</w:t>
      </w:r>
      <w:r w:rsidRPr="5634E4A1">
        <w:rPr>
          <w:lang w:val="en-US"/>
        </w:rPr>
        <w:t>-</w:t>
      </w:r>
      <w:r w:rsidR="00886223" w:rsidRPr="5634E4A1">
        <w:rPr>
          <w:lang w:val="en-US"/>
        </w:rPr>
        <w:t>29</w:t>
      </w:r>
      <w:r w:rsidR="00416131" w:rsidRPr="5634E4A1">
        <w:rPr>
          <w:lang w:val="en-US"/>
        </w:rPr>
        <w:t xml:space="preserve">.  </w:t>
      </w:r>
    </w:p>
    <w:p w14:paraId="15DE0453" w14:textId="77777777" w:rsidR="003F2D03" w:rsidRDefault="003F2D03">
      <w:pPr>
        <w:spacing w:before="360" w:after="120"/>
        <w:ind w:left="851" w:hanging="851"/>
        <w:rPr>
          <w:rFonts w:ascii="Public Sans" w:hAnsi="Public Sans"/>
          <w:bCs/>
          <w:i/>
          <w:color w:val="000000" w:themeColor="text1"/>
          <w:kern w:val="28"/>
          <w:sz w:val="22"/>
          <w:szCs w:val="22"/>
          <w:lang w:val="en-AU"/>
        </w:rPr>
      </w:pPr>
      <w:r>
        <w:br w:type="page"/>
      </w:r>
    </w:p>
    <w:p w14:paraId="720AD474" w14:textId="0DE0F9AD" w:rsidR="008B4055" w:rsidRDefault="008B4055" w:rsidP="009C163F">
      <w:pPr>
        <w:pStyle w:val="Chart8X"/>
      </w:pPr>
      <w:r w:rsidRPr="006A2614">
        <w:lastRenderedPageBreak/>
        <w:t xml:space="preserve">Infrastructure program from 2013-14 to 2028-29 </w:t>
      </w:r>
    </w:p>
    <w:p w14:paraId="283791CA" w14:textId="5B888BE3" w:rsidR="005361D5" w:rsidRDefault="00216E4A" w:rsidP="001F5BFB">
      <w:pPr>
        <w:ind w:left="-142"/>
      </w:pPr>
      <w:r>
        <w:rPr>
          <w:noProof/>
        </w:rPr>
        <w:drawing>
          <wp:inline distT="0" distB="0" distL="0" distR="0" wp14:anchorId="32F5D37A" wp14:editId="6E8798BF">
            <wp:extent cx="6371679" cy="3460750"/>
            <wp:effectExtent l="0" t="0" r="0" b="0"/>
            <wp:docPr id="1703873291" name="Chart 1" descr="Chart 1.4: Infrastructure program from 2013-14 to 2028-29 ">
              <a:extLst xmlns:a="http://schemas.openxmlformats.org/drawingml/2006/main">
                <a:ext uri="{FF2B5EF4-FFF2-40B4-BE49-F238E27FC236}">
                  <a16:creationId xmlns:a16="http://schemas.microsoft.com/office/drawing/2014/main" id="{251E49F7-6C63-4402-A4CA-F55447B92F47}"/>
                </a:ext>
                <a:ext uri="{147F2762-F138-4A5C-976F-8EAC2B608ADB}">
                  <a16:predDERef xmlns:a16="http://schemas.microsoft.com/office/drawing/2014/main" pred="{69D0DE27-ACFA-494C-8B27-A11176CFD2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5BCE48" w14:textId="1E2FC42E" w:rsidR="002D2C54" w:rsidRDefault="002D2C54" w:rsidP="003F21C3">
      <w:pPr>
        <w:pStyle w:val="BodyText"/>
      </w:pPr>
      <w:r w:rsidRPr="5634E4A1">
        <w:rPr>
          <w:lang w:val="en-US"/>
        </w:rPr>
        <w:t>Significant projects continuing or commencing delivery as part of the 2025-26 Budget are detailed below.</w:t>
      </w:r>
    </w:p>
    <w:p w14:paraId="09055D87" w14:textId="0299657D" w:rsidR="002D2C54" w:rsidRPr="00EA4F06" w:rsidRDefault="002D2C54" w:rsidP="009918E8">
      <w:pPr>
        <w:pStyle w:val="Bullet1"/>
      </w:pPr>
      <w:r w:rsidRPr="5634E4A1">
        <w:t>$</w:t>
      </w:r>
      <w:r w:rsidR="00815EBD" w:rsidRPr="5634E4A1">
        <w:t>55.6</w:t>
      </w:r>
      <w:r w:rsidRPr="5634E4A1">
        <w:t xml:space="preserve"> billion for transport infrastructure, including: </w:t>
      </w:r>
    </w:p>
    <w:p w14:paraId="2DE1AE74" w14:textId="4DB0A665" w:rsidR="002D2C54" w:rsidRPr="006A2614" w:rsidRDefault="002D2C54" w:rsidP="009918E8">
      <w:pPr>
        <w:pStyle w:val="Bullet2"/>
        <w:rPr>
          <w:lang w:val="en-AU"/>
        </w:rPr>
      </w:pPr>
      <w:r w:rsidRPr="006A2614">
        <w:rPr>
          <w:lang w:val="en-AU"/>
        </w:rPr>
        <w:t>$</w:t>
      </w:r>
      <w:r w:rsidR="0DBF9FED" w:rsidRPr="006A2614">
        <w:rPr>
          <w:lang w:val="en-AU"/>
        </w:rPr>
        <w:t>10</w:t>
      </w:r>
      <w:r w:rsidRPr="006A2614">
        <w:rPr>
          <w:lang w:val="en-AU"/>
        </w:rPr>
        <w:t>.</w:t>
      </w:r>
      <w:r w:rsidR="3E0FD21B" w:rsidRPr="006A2614">
        <w:rPr>
          <w:lang w:val="en-AU"/>
        </w:rPr>
        <w:t>8</w:t>
      </w:r>
      <w:r w:rsidRPr="006A2614">
        <w:rPr>
          <w:lang w:val="en-AU"/>
        </w:rPr>
        <w:t xml:space="preserve"> billion over four years for Sydney Metro West </w:t>
      </w:r>
    </w:p>
    <w:p w14:paraId="667DC887" w14:textId="5F55FC30" w:rsidR="002D2C54" w:rsidRPr="006A2614" w:rsidRDefault="002D2C54" w:rsidP="009918E8">
      <w:pPr>
        <w:pStyle w:val="Bullet2"/>
        <w:rPr>
          <w:lang w:val="en-AU"/>
        </w:rPr>
      </w:pPr>
      <w:r w:rsidRPr="006A2614">
        <w:rPr>
          <w:lang w:val="en-AU"/>
        </w:rPr>
        <w:t>$</w:t>
      </w:r>
      <w:r w:rsidR="090ED661" w:rsidRPr="006A2614">
        <w:rPr>
          <w:lang w:val="en-AU"/>
        </w:rPr>
        <w:t>3.8</w:t>
      </w:r>
      <w:r w:rsidRPr="006A2614">
        <w:rPr>
          <w:lang w:val="en-AU"/>
        </w:rPr>
        <w:t xml:space="preserve"> billion over four years for Western Sydney Harbour Tunnel Upgrade </w:t>
      </w:r>
    </w:p>
    <w:p w14:paraId="56C2E14A" w14:textId="22788F58" w:rsidR="17CA2400" w:rsidRPr="006A2614" w:rsidRDefault="17CA2400" w:rsidP="009918E8">
      <w:pPr>
        <w:pStyle w:val="Bullet2"/>
        <w:rPr>
          <w:lang w:val="en-AU"/>
        </w:rPr>
      </w:pPr>
      <w:r w:rsidRPr="006A2614">
        <w:rPr>
          <w:lang w:val="en-AU"/>
        </w:rPr>
        <w:t xml:space="preserve">$3.6 billion over four years for Sydney Metro-Western Sydney </w:t>
      </w:r>
      <w:r w:rsidR="003941DC" w:rsidRPr="006A2614">
        <w:rPr>
          <w:lang w:val="en-AU"/>
        </w:rPr>
        <w:t>Airport </w:t>
      </w:r>
    </w:p>
    <w:p w14:paraId="0282D0AB" w14:textId="00B8B9AC" w:rsidR="002D2C54" w:rsidRPr="006A2614" w:rsidRDefault="002D2C54" w:rsidP="009918E8">
      <w:pPr>
        <w:pStyle w:val="Bullet2"/>
        <w:rPr>
          <w:lang w:val="en-AU"/>
        </w:rPr>
      </w:pPr>
      <w:r w:rsidRPr="006A2614">
        <w:rPr>
          <w:lang w:val="en-AU"/>
        </w:rPr>
        <w:t>$</w:t>
      </w:r>
      <w:r w:rsidR="5DA83C12" w:rsidRPr="006A2614">
        <w:rPr>
          <w:lang w:val="en-AU"/>
        </w:rPr>
        <w:t>2.1</w:t>
      </w:r>
      <w:r w:rsidRPr="006A2614">
        <w:rPr>
          <w:lang w:val="en-AU"/>
        </w:rPr>
        <w:t xml:space="preserve"> billion over four years for Zero Emissions Buses Program </w:t>
      </w:r>
    </w:p>
    <w:p w14:paraId="382512CB" w14:textId="392A0EFC" w:rsidR="4517AFAD" w:rsidRPr="006A2614" w:rsidRDefault="002D2C54" w:rsidP="009918E8">
      <w:pPr>
        <w:pStyle w:val="Bullet2"/>
        <w:rPr>
          <w:lang w:val="en-AU"/>
        </w:rPr>
      </w:pPr>
      <w:r w:rsidRPr="006A2614">
        <w:rPr>
          <w:lang w:val="en-AU"/>
        </w:rPr>
        <w:t>$</w:t>
      </w:r>
      <w:r w:rsidR="363E3AF2" w:rsidRPr="006A2614">
        <w:rPr>
          <w:lang w:val="en-AU"/>
        </w:rPr>
        <w:t>1.</w:t>
      </w:r>
      <w:r w:rsidR="25F1A695" w:rsidRPr="006A2614">
        <w:rPr>
          <w:lang w:val="en-AU"/>
        </w:rPr>
        <w:t>2</w:t>
      </w:r>
      <w:r w:rsidRPr="006A2614">
        <w:rPr>
          <w:lang w:val="en-AU"/>
        </w:rPr>
        <w:t xml:space="preserve"> billion over four years for </w:t>
      </w:r>
      <w:r w:rsidR="507D7D21" w:rsidRPr="006A2614">
        <w:rPr>
          <w:lang w:val="en-AU"/>
        </w:rPr>
        <w:t xml:space="preserve">Road Safety Investment  </w:t>
      </w:r>
    </w:p>
    <w:p w14:paraId="751F834E" w14:textId="46D83DCA" w:rsidR="507D7D21" w:rsidRPr="006A2614" w:rsidRDefault="4BC0366F" w:rsidP="009918E8">
      <w:pPr>
        <w:pStyle w:val="Bullet2"/>
        <w:rPr>
          <w:lang w:val="en-AU"/>
        </w:rPr>
      </w:pPr>
      <w:r w:rsidRPr="006A2614">
        <w:rPr>
          <w:lang w:val="en-AU"/>
        </w:rPr>
        <w:t>$</w:t>
      </w:r>
      <w:r w:rsidR="5663E159" w:rsidRPr="006A2614">
        <w:rPr>
          <w:lang w:val="en-AU"/>
        </w:rPr>
        <w:t>8</w:t>
      </w:r>
      <w:r w:rsidR="2E41DAC9" w:rsidRPr="006A2614">
        <w:rPr>
          <w:lang w:val="en-AU"/>
        </w:rPr>
        <w:t>44.3 million over four years for</w:t>
      </w:r>
      <w:r w:rsidR="5663E159" w:rsidRPr="006A2614">
        <w:rPr>
          <w:lang w:val="en-AU"/>
        </w:rPr>
        <w:t xml:space="preserve"> </w:t>
      </w:r>
      <w:r w:rsidR="507D7D21" w:rsidRPr="006A2614">
        <w:rPr>
          <w:lang w:val="en-AU"/>
        </w:rPr>
        <w:t xml:space="preserve">New Buses to Cater for NSW Services  </w:t>
      </w:r>
    </w:p>
    <w:p w14:paraId="707F857A" w14:textId="73544590" w:rsidR="268C89A3" w:rsidRPr="006A2614" w:rsidRDefault="268C89A3" w:rsidP="009918E8">
      <w:pPr>
        <w:pStyle w:val="Bullet2"/>
        <w:rPr>
          <w:lang w:val="en-AU"/>
        </w:rPr>
      </w:pPr>
      <w:r w:rsidRPr="006A2614">
        <w:rPr>
          <w:lang w:val="en-AU"/>
        </w:rPr>
        <w:t xml:space="preserve">$843.1 million over four years for Regional Rail Fleet    </w:t>
      </w:r>
    </w:p>
    <w:p w14:paraId="6F8BD9A1" w14:textId="27AB9A70" w:rsidR="002D2C54" w:rsidRPr="006A2614" w:rsidRDefault="002D2C54" w:rsidP="009918E8">
      <w:pPr>
        <w:pStyle w:val="Bullet2"/>
        <w:rPr>
          <w:lang w:val="en-AU"/>
        </w:rPr>
      </w:pPr>
      <w:r w:rsidRPr="006A2614">
        <w:rPr>
          <w:lang w:val="en-AU"/>
        </w:rPr>
        <w:t>$</w:t>
      </w:r>
      <w:r w:rsidR="0A9BE245" w:rsidRPr="006A2614">
        <w:rPr>
          <w:lang w:val="en-AU"/>
        </w:rPr>
        <w:t>801.4</w:t>
      </w:r>
      <w:r w:rsidRPr="006A2614">
        <w:rPr>
          <w:lang w:val="en-AU"/>
        </w:rPr>
        <w:t xml:space="preserve"> </w:t>
      </w:r>
      <w:r w:rsidR="47014611" w:rsidRPr="006A2614">
        <w:rPr>
          <w:lang w:val="en-AU"/>
        </w:rPr>
        <w:t xml:space="preserve">million </w:t>
      </w:r>
      <w:r w:rsidRPr="006A2614">
        <w:rPr>
          <w:lang w:val="en-AU"/>
        </w:rPr>
        <w:t>over four years for Sydney Metro City and Southwest </w:t>
      </w:r>
    </w:p>
    <w:p w14:paraId="446606C2" w14:textId="2BFD4665" w:rsidR="064D04F7" w:rsidRPr="006A2614" w:rsidRDefault="568274B1" w:rsidP="009918E8">
      <w:pPr>
        <w:pStyle w:val="Bullet2"/>
        <w:rPr>
          <w:lang w:val="en-AU"/>
        </w:rPr>
      </w:pPr>
      <w:r w:rsidRPr="006A2614">
        <w:rPr>
          <w:lang w:val="en-AU"/>
        </w:rPr>
        <w:t>$</w:t>
      </w:r>
      <w:r w:rsidR="064D04F7" w:rsidRPr="006A2614">
        <w:rPr>
          <w:lang w:val="en-AU"/>
        </w:rPr>
        <w:t>741.7</w:t>
      </w:r>
      <w:r w:rsidR="37586A9E" w:rsidRPr="006A2614">
        <w:rPr>
          <w:lang w:val="en-AU"/>
        </w:rPr>
        <w:t xml:space="preserve"> million over four years for </w:t>
      </w:r>
      <w:r w:rsidR="064D04F7" w:rsidRPr="006A2614">
        <w:rPr>
          <w:lang w:val="en-AU"/>
        </w:rPr>
        <w:t xml:space="preserve">Pacific Highway Corridor - M1 to Raymond Terrace and Hexham Straight Widening  </w:t>
      </w:r>
    </w:p>
    <w:p w14:paraId="1D51C380" w14:textId="7F749E65" w:rsidR="064D04F7" w:rsidRPr="00A71D59" w:rsidRDefault="132C4035" w:rsidP="009918E8">
      <w:pPr>
        <w:pStyle w:val="Bullet2"/>
      </w:pPr>
      <w:r w:rsidRPr="5634E4A1">
        <w:t>$</w:t>
      </w:r>
      <w:r w:rsidR="064D04F7" w:rsidRPr="5634E4A1">
        <w:t xml:space="preserve">680.5 </w:t>
      </w:r>
      <w:r w:rsidR="16C66006" w:rsidRPr="5634E4A1">
        <w:t xml:space="preserve">million over four years for </w:t>
      </w:r>
      <w:r w:rsidR="064D04F7" w:rsidRPr="5634E4A1">
        <w:t>Princes Highway Corridor Upgrade</w:t>
      </w:r>
      <w:r w:rsidR="00905AB3" w:rsidRPr="5634E4A1">
        <w:t>.</w:t>
      </w:r>
      <w:r w:rsidR="064D04F7" w:rsidRPr="5634E4A1">
        <w:t xml:space="preserve">   </w:t>
      </w:r>
    </w:p>
    <w:p w14:paraId="6328E774" w14:textId="7DD5B87A" w:rsidR="002D2C54" w:rsidRPr="00F645D8" w:rsidRDefault="002D2C54" w:rsidP="009918E8">
      <w:pPr>
        <w:pStyle w:val="Bullet1"/>
      </w:pPr>
      <w:r w:rsidRPr="5634E4A1">
        <w:t>$</w:t>
      </w:r>
      <w:r w:rsidR="6FDB57B5" w:rsidRPr="5634E4A1">
        <w:t>12.4</w:t>
      </w:r>
      <w:r w:rsidRPr="5634E4A1">
        <w:t xml:space="preserve"> billion</w:t>
      </w:r>
      <w:r w:rsidR="742FAEF6" w:rsidRPr="5634E4A1">
        <w:t xml:space="preserve"> over four years</w:t>
      </w:r>
      <w:r w:rsidRPr="5634E4A1">
        <w:t xml:space="preserve"> for health infrastructure</w:t>
      </w:r>
      <w:r w:rsidRPr="5634E4A1">
        <w:rPr>
          <w:vertAlign w:val="superscript"/>
        </w:rPr>
        <w:t xml:space="preserve"> </w:t>
      </w:r>
      <w:r w:rsidRPr="5634E4A1">
        <w:t>to plan and deliver new and upgraded hospital</w:t>
      </w:r>
      <w:r w:rsidR="00034BF2" w:rsidRPr="5634E4A1">
        <w:t>s and health facilities</w:t>
      </w:r>
      <w:r w:rsidRPr="5634E4A1">
        <w:t xml:space="preserve"> (estimated total costs shown below), including: </w:t>
      </w:r>
    </w:p>
    <w:p w14:paraId="3344488C" w14:textId="0B131895" w:rsidR="002D2C54" w:rsidRPr="006A2614" w:rsidRDefault="002D2C54" w:rsidP="009918E8">
      <w:pPr>
        <w:pStyle w:val="Bullet2"/>
        <w:rPr>
          <w:lang w:val="en-AU"/>
        </w:rPr>
      </w:pPr>
      <w:r w:rsidRPr="006A2614">
        <w:rPr>
          <w:lang w:val="en-AU"/>
        </w:rPr>
        <w:t>$</w:t>
      </w:r>
      <w:r w:rsidR="71889086" w:rsidRPr="006A2614">
        <w:rPr>
          <w:lang w:val="en-AU"/>
        </w:rPr>
        <w:t>2.0</w:t>
      </w:r>
      <w:r w:rsidRPr="006A2614">
        <w:rPr>
          <w:lang w:val="en-AU"/>
        </w:rPr>
        <w:t xml:space="preserve"> billion for </w:t>
      </w:r>
      <w:r w:rsidR="00E1497E" w:rsidRPr="006A2614">
        <w:rPr>
          <w:lang w:val="en-AU"/>
        </w:rPr>
        <w:t>N</w:t>
      </w:r>
      <w:r w:rsidRPr="006A2614">
        <w:rPr>
          <w:lang w:val="en-AU"/>
        </w:rPr>
        <w:t>ew Bankstown Hospital </w:t>
      </w:r>
    </w:p>
    <w:p w14:paraId="5DA002EA" w14:textId="786AB139" w:rsidR="002D2C54" w:rsidRPr="006A2614" w:rsidRDefault="002D2C54" w:rsidP="009918E8">
      <w:pPr>
        <w:pStyle w:val="Bullet2"/>
        <w:rPr>
          <w:lang w:val="en-AU"/>
        </w:rPr>
      </w:pPr>
      <w:r w:rsidRPr="006A2614">
        <w:rPr>
          <w:lang w:val="en-AU"/>
        </w:rPr>
        <w:t>$</w:t>
      </w:r>
      <w:r w:rsidR="43F86202" w:rsidRPr="006A2614">
        <w:rPr>
          <w:lang w:val="en-AU"/>
        </w:rPr>
        <w:t>1.0</w:t>
      </w:r>
      <w:r w:rsidRPr="006A2614">
        <w:rPr>
          <w:lang w:val="en-AU"/>
        </w:rPr>
        <w:t xml:space="preserve"> billion for Nepean Hospital and Integrated Ambulatory Services Stage 1 and Stage</w:t>
      </w:r>
      <w:r w:rsidR="003D0717" w:rsidRPr="006A2614">
        <w:rPr>
          <w:lang w:val="en-AU"/>
        </w:rPr>
        <w:t> </w:t>
      </w:r>
      <w:r w:rsidRPr="006A2614">
        <w:rPr>
          <w:lang w:val="en-AU"/>
        </w:rPr>
        <w:t>2 </w:t>
      </w:r>
    </w:p>
    <w:p w14:paraId="5E9CC5F7" w14:textId="28096524" w:rsidR="002D2C54" w:rsidRPr="006A2614" w:rsidRDefault="002D2C54" w:rsidP="009918E8">
      <w:pPr>
        <w:pStyle w:val="Bullet2"/>
        <w:rPr>
          <w:lang w:val="en-AU"/>
        </w:rPr>
      </w:pPr>
      <w:r w:rsidRPr="006A2614">
        <w:rPr>
          <w:lang w:val="en-AU"/>
        </w:rPr>
        <w:t>$</w:t>
      </w:r>
      <w:r w:rsidR="4803748A" w:rsidRPr="006A2614">
        <w:rPr>
          <w:lang w:val="en-AU"/>
        </w:rPr>
        <w:t>940.0</w:t>
      </w:r>
      <w:r w:rsidRPr="006A2614">
        <w:rPr>
          <w:lang w:val="en-AU"/>
        </w:rPr>
        <w:t xml:space="preserve"> million for Royal Prince Alfred Hospital Redevelopment </w:t>
      </w:r>
    </w:p>
    <w:p w14:paraId="0C75F6DC" w14:textId="4960A49E" w:rsidR="085396EC" w:rsidRPr="006A2614" w:rsidRDefault="020CB62A" w:rsidP="009918E8">
      <w:pPr>
        <w:pStyle w:val="Bullet2"/>
        <w:rPr>
          <w:lang w:val="en-AU"/>
        </w:rPr>
      </w:pPr>
      <w:r w:rsidRPr="006A2614">
        <w:rPr>
          <w:lang w:val="en-AU"/>
        </w:rPr>
        <w:t xml:space="preserve">$835.0 million for John Hunter Health and Innovation Precinct  </w:t>
      </w:r>
    </w:p>
    <w:p w14:paraId="752CDA78" w14:textId="6C2B59E3" w:rsidR="2148AB9F" w:rsidRPr="006A2614" w:rsidRDefault="5FCF7339" w:rsidP="009918E8">
      <w:pPr>
        <w:pStyle w:val="Bullet2"/>
      </w:pPr>
      <w:r w:rsidRPr="7D341AC1">
        <w:t>$790.0 million for Rouse Hill Hospital</w:t>
      </w:r>
      <w:r w:rsidR="239728DE" w:rsidRPr="7D341AC1">
        <w:t xml:space="preserve"> ($910.0 million including $</w:t>
      </w:r>
      <w:r w:rsidR="00317EEF" w:rsidRPr="7D341AC1">
        <w:t>120.0</w:t>
      </w:r>
      <w:r w:rsidR="239728DE" w:rsidRPr="7D341AC1">
        <w:t xml:space="preserve"> million announced by the Australian Government)</w:t>
      </w:r>
      <w:r w:rsidR="009918E8" w:rsidRPr="7D341AC1">
        <w:t>.</w:t>
      </w:r>
      <w:r w:rsidRPr="7D341AC1">
        <w:t xml:space="preserve">  </w:t>
      </w:r>
    </w:p>
    <w:p w14:paraId="7153AC9A" w14:textId="77777777" w:rsidR="00CB3AA5" w:rsidRDefault="00CB3AA5">
      <w:pPr>
        <w:spacing w:before="360" w:after="120"/>
        <w:ind w:left="851" w:hanging="851"/>
        <w:rPr>
          <w:rFonts w:ascii="Public Sans" w:eastAsiaTheme="minorEastAsia" w:hAnsi="Public Sans" w:cs="Arial"/>
          <w:iCs/>
          <w:sz w:val="22"/>
          <w:szCs w:val="23"/>
          <w:lang w:eastAsia="en-AU"/>
        </w:rPr>
      </w:pPr>
      <w:r>
        <w:br w:type="page"/>
      </w:r>
    </w:p>
    <w:p w14:paraId="3F637158" w14:textId="4E646E57" w:rsidR="002D2C54" w:rsidRPr="00DB1D83" w:rsidRDefault="002D2C54" w:rsidP="009918E8">
      <w:pPr>
        <w:pStyle w:val="Bullet1"/>
      </w:pPr>
      <w:r w:rsidRPr="5634E4A1">
        <w:lastRenderedPageBreak/>
        <w:t>$</w:t>
      </w:r>
      <w:r w:rsidR="3B989FCF" w:rsidRPr="5634E4A1">
        <w:t>11.0</w:t>
      </w:r>
      <w:r w:rsidRPr="5634E4A1">
        <w:t xml:space="preserve"> billion for education and skills infrastructure, including: </w:t>
      </w:r>
    </w:p>
    <w:p w14:paraId="650003ED" w14:textId="0B8C3EA2" w:rsidR="002D2C54" w:rsidRPr="006A2614" w:rsidRDefault="002D2C54" w:rsidP="009918E8">
      <w:pPr>
        <w:pStyle w:val="Bullet2"/>
        <w:rPr>
          <w:lang w:val="en-AU"/>
        </w:rPr>
      </w:pPr>
      <w:r w:rsidRPr="006A2614">
        <w:rPr>
          <w:lang w:val="en-AU"/>
        </w:rPr>
        <w:t>$</w:t>
      </w:r>
      <w:r w:rsidR="6644C0E9" w:rsidRPr="006A2614">
        <w:rPr>
          <w:lang w:val="en-AU"/>
        </w:rPr>
        <w:t>9.0</w:t>
      </w:r>
      <w:r w:rsidRPr="006A2614">
        <w:rPr>
          <w:lang w:val="en-AU"/>
        </w:rPr>
        <w:t xml:space="preserve"> billion over four years to support the planning and delivery of new and upgraded schools. </w:t>
      </w:r>
    </w:p>
    <w:p w14:paraId="2952F4EA" w14:textId="5D2D63DE" w:rsidR="008B4055" w:rsidRPr="000126D7" w:rsidRDefault="006A213F" w:rsidP="000E5048">
      <w:pPr>
        <w:pStyle w:val="Heading3"/>
      </w:pPr>
      <w:r>
        <w:t>Tackling the housing crisis and r</w:t>
      </w:r>
      <w:r w:rsidR="008B4055" w:rsidRPr="000126D7">
        <w:t>educing the cost</w:t>
      </w:r>
      <w:r w:rsidR="0040720F">
        <w:t xml:space="preserve"> </w:t>
      </w:r>
      <w:r w:rsidR="008B4055" w:rsidRPr="000126D7">
        <w:t>of</w:t>
      </w:r>
      <w:r w:rsidR="0040720F">
        <w:t xml:space="preserve"> </w:t>
      </w:r>
      <w:r w:rsidR="008B4055" w:rsidRPr="000126D7">
        <w:t xml:space="preserve">living </w:t>
      </w:r>
    </w:p>
    <w:p w14:paraId="6E8A8AB9" w14:textId="68C37F30" w:rsidR="008B4055" w:rsidRPr="00925CCD" w:rsidRDefault="00670A2B" w:rsidP="003F21C3">
      <w:pPr>
        <w:pStyle w:val="BodyText"/>
      </w:pPr>
      <w:r w:rsidRPr="3985DBD2">
        <w:t>The k</w:t>
      </w:r>
      <w:r w:rsidR="008B4055" w:rsidRPr="3985DBD2">
        <w:t>ey to</w:t>
      </w:r>
      <w:r w:rsidRPr="3985DBD2">
        <w:t xml:space="preserve"> the</w:t>
      </w:r>
      <w:r w:rsidR="008B4055" w:rsidRPr="3985DBD2">
        <w:t xml:space="preserve"> Government’s commitment to reducing the cost</w:t>
      </w:r>
      <w:r w:rsidR="0040720F">
        <w:t xml:space="preserve"> </w:t>
      </w:r>
      <w:r w:rsidR="008B4055" w:rsidRPr="3985DBD2">
        <w:t>of</w:t>
      </w:r>
      <w:r w:rsidR="0040720F">
        <w:t xml:space="preserve"> </w:t>
      </w:r>
      <w:r w:rsidR="008B4055" w:rsidRPr="3985DBD2">
        <w:t>living</w:t>
      </w:r>
      <w:r w:rsidR="00B56A62">
        <w:t xml:space="preserve"> in the long term</w:t>
      </w:r>
      <w:r w:rsidR="008B4055" w:rsidRPr="3985DBD2">
        <w:t xml:space="preserve"> is tackling the housing crisis. </w:t>
      </w:r>
      <w:r w:rsidR="00BF3DCE">
        <w:t>R</w:t>
      </w:r>
      <w:r w:rsidR="008B4055" w:rsidRPr="3985DBD2">
        <w:t xml:space="preserve">ent </w:t>
      </w:r>
      <w:r w:rsidR="001F3AF3" w:rsidRPr="3985DBD2">
        <w:t>prices are</w:t>
      </w:r>
      <w:r w:rsidR="00DC41F2">
        <w:t xml:space="preserve"> a </w:t>
      </w:r>
      <w:r w:rsidR="00D50A83">
        <w:t>significant</w:t>
      </w:r>
      <w:r w:rsidR="008B4055" w:rsidRPr="3985DBD2">
        <w:t xml:space="preserve"> concern across all of Sydney. </w:t>
      </w:r>
    </w:p>
    <w:p w14:paraId="0BDB2A58" w14:textId="1D7CDABE" w:rsidR="008B4055" w:rsidRPr="0002173E" w:rsidRDefault="008B4055" w:rsidP="003F21C3">
      <w:pPr>
        <w:pStyle w:val="BodyText"/>
      </w:pPr>
      <w:r w:rsidRPr="5634E4A1">
        <w:rPr>
          <w:lang w:val="en-US"/>
        </w:rPr>
        <w:t xml:space="preserve">Housing provides shelter, but it also </w:t>
      </w:r>
      <w:r w:rsidR="00D13DF1" w:rsidRPr="5634E4A1">
        <w:rPr>
          <w:lang w:val="en-US"/>
        </w:rPr>
        <w:t>underpins</w:t>
      </w:r>
      <w:r w:rsidRPr="5634E4A1">
        <w:rPr>
          <w:lang w:val="en-US"/>
        </w:rPr>
        <w:t xml:space="preserve"> economic </w:t>
      </w:r>
      <w:r w:rsidR="00D13DF1" w:rsidRPr="5634E4A1">
        <w:rPr>
          <w:lang w:val="en-US"/>
        </w:rPr>
        <w:t>opportunity.</w:t>
      </w:r>
      <w:r w:rsidRPr="5634E4A1">
        <w:rPr>
          <w:lang w:val="en-US"/>
        </w:rPr>
        <w:t xml:space="preserve"> Housing </w:t>
      </w:r>
      <w:r w:rsidR="00D13DF1" w:rsidRPr="5634E4A1">
        <w:rPr>
          <w:lang w:val="en-US"/>
        </w:rPr>
        <w:t>influences</w:t>
      </w:r>
      <w:r w:rsidRPr="5634E4A1">
        <w:rPr>
          <w:lang w:val="en-US"/>
        </w:rPr>
        <w:t xml:space="preserve"> </w:t>
      </w:r>
      <w:r w:rsidR="47358423" w:rsidRPr="5634E4A1">
        <w:rPr>
          <w:lang w:val="en-US"/>
        </w:rPr>
        <w:t>access</w:t>
      </w:r>
      <w:r w:rsidR="00846AF6" w:rsidRPr="5634E4A1">
        <w:rPr>
          <w:lang w:val="en-US"/>
        </w:rPr>
        <w:t xml:space="preserve"> to jobs</w:t>
      </w:r>
      <w:r w:rsidRPr="5634E4A1">
        <w:rPr>
          <w:lang w:val="en-US"/>
        </w:rPr>
        <w:t xml:space="preserve">, and a person’s community. The NSW Government has taken steps to reform the planning system and </w:t>
      </w:r>
      <w:r w:rsidR="7EDB589A" w:rsidRPr="5634E4A1">
        <w:rPr>
          <w:lang w:val="en-US"/>
        </w:rPr>
        <w:t xml:space="preserve">is </w:t>
      </w:r>
      <w:r w:rsidR="000660F1" w:rsidRPr="5634E4A1">
        <w:rPr>
          <w:lang w:val="en-US"/>
        </w:rPr>
        <w:t xml:space="preserve">encouraging </w:t>
      </w:r>
      <w:r w:rsidRPr="5634E4A1">
        <w:rPr>
          <w:lang w:val="en-US"/>
        </w:rPr>
        <w:t xml:space="preserve">more homes </w:t>
      </w:r>
      <w:r w:rsidR="00DC6C53" w:rsidRPr="5634E4A1">
        <w:rPr>
          <w:lang w:val="en-US"/>
        </w:rPr>
        <w:t>to be</w:t>
      </w:r>
      <w:r w:rsidR="4C44515B" w:rsidRPr="5634E4A1">
        <w:rPr>
          <w:lang w:val="en-US"/>
        </w:rPr>
        <w:t xml:space="preserve"> built </w:t>
      </w:r>
      <w:r w:rsidRPr="5634E4A1">
        <w:rPr>
          <w:lang w:val="en-US"/>
        </w:rPr>
        <w:t>near existing infrastructure and services, including through</w:t>
      </w:r>
      <w:r w:rsidR="00EF63C5" w:rsidRPr="5634E4A1">
        <w:rPr>
          <w:lang w:val="en-US"/>
        </w:rPr>
        <w:t xml:space="preserve"> </w:t>
      </w:r>
      <w:r w:rsidRPr="5634E4A1">
        <w:rPr>
          <w:lang w:val="en-US"/>
        </w:rPr>
        <w:t>the Transport Oriented Development Program and Low and Mid-Rise housing policy</w:t>
      </w:r>
      <w:r w:rsidR="00EF63C5" w:rsidRPr="5634E4A1">
        <w:rPr>
          <w:lang w:val="en-US"/>
        </w:rPr>
        <w:t>.</w:t>
      </w:r>
    </w:p>
    <w:p w14:paraId="7CC72366" w14:textId="20A3EDC7" w:rsidR="6E4F294F" w:rsidRPr="000D1E30" w:rsidRDefault="6E4F294F" w:rsidP="003F21C3">
      <w:pPr>
        <w:pStyle w:val="BodyText"/>
      </w:pPr>
      <w:r w:rsidRPr="000D1E30">
        <w:t>Other initiatives include</w:t>
      </w:r>
      <w:r w:rsidR="00B608D8">
        <w:t>:</w:t>
      </w:r>
    </w:p>
    <w:p w14:paraId="71F4328E" w14:textId="56AB0BEA" w:rsidR="008B4055" w:rsidRPr="006A2614" w:rsidRDefault="008B4055" w:rsidP="003F21C3">
      <w:pPr>
        <w:pStyle w:val="Bullet1"/>
        <w:rPr>
          <w:lang w:val="en-AU"/>
        </w:rPr>
      </w:pPr>
      <w:r w:rsidRPr="006A2614">
        <w:rPr>
          <w:lang w:val="en-AU"/>
        </w:rPr>
        <w:t xml:space="preserve">the Housing Delivery Authority, </w:t>
      </w:r>
      <w:r w:rsidR="49CC34B2" w:rsidRPr="5DF4047A">
        <w:rPr>
          <w:lang w:val="en-AU"/>
        </w:rPr>
        <w:t xml:space="preserve">which has already </w:t>
      </w:r>
      <w:r w:rsidR="49CC34B2" w:rsidRPr="7618A465">
        <w:rPr>
          <w:lang w:val="en-AU"/>
        </w:rPr>
        <w:t xml:space="preserve">progressed </w:t>
      </w:r>
      <w:r w:rsidR="00385DF7" w:rsidRPr="006A2614">
        <w:rPr>
          <w:lang w:val="en-AU"/>
        </w:rPr>
        <w:t xml:space="preserve">53,500 potential </w:t>
      </w:r>
      <w:r w:rsidR="00385DF7" w:rsidRPr="66C47F75">
        <w:rPr>
          <w:lang w:val="en-AU"/>
        </w:rPr>
        <w:t>homes</w:t>
      </w:r>
      <w:r w:rsidR="406DFB29" w:rsidRPr="66C47F75">
        <w:rPr>
          <w:lang w:val="en-AU"/>
        </w:rPr>
        <w:t xml:space="preserve"> for approval through </w:t>
      </w:r>
      <w:r w:rsidR="406DFB29" w:rsidRPr="598A4EA9">
        <w:rPr>
          <w:lang w:val="en-AU"/>
        </w:rPr>
        <w:t>a</w:t>
      </w:r>
      <w:r w:rsidR="00385DF7" w:rsidRPr="598A4EA9">
        <w:rPr>
          <w:lang w:val="en-AU"/>
        </w:rPr>
        <w:t xml:space="preserve"> </w:t>
      </w:r>
      <w:r w:rsidR="391131A7" w:rsidRPr="598A4EA9">
        <w:rPr>
          <w:lang w:val="en-AU"/>
        </w:rPr>
        <w:t>new</w:t>
      </w:r>
      <w:r w:rsidR="00385DF7" w:rsidRPr="006A2614">
        <w:rPr>
          <w:lang w:val="en-AU"/>
        </w:rPr>
        <w:t xml:space="preserve"> streamlined state significant </w:t>
      </w:r>
      <w:r w:rsidR="05D292CF" w:rsidRPr="11461241">
        <w:rPr>
          <w:lang w:val="en-AU"/>
        </w:rPr>
        <w:t>development</w:t>
      </w:r>
      <w:r w:rsidR="0414D72F" w:rsidRPr="1FB51238">
        <w:rPr>
          <w:lang w:val="en-AU"/>
        </w:rPr>
        <w:t xml:space="preserve"> </w:t>
      </w:r>
      <w:r w:rsidR="00385DF7" w:rsidRPr="1FB51238">
        <w:rPr>
          <w:lang w:val="en-AU"/>
        </w:rPr>
        <w:t>pathway</w:t>
      </w:r>
    </w:p>
    <w:p w14:paraId="2ACE195F" w14:textId="0EDED877" w:rsidR="00722590" w:rsidRPr="006A2614" w:rsidRDefault="00722590" w:rsidP="003F21C3">
      <w:pPr>
        <w:pStyle w:val="Bullet1"/>
        <w:rPr>
          <w:lang w:val="en-AU"/>
        </w:rPr>
      </w:pPr>
      <w:r w:rsidRPr="006A2614">
        <w:rPr>
          <w:lang w:val="en-AU"/>
        </w:rPr>
        <w:t xml:space="preserve">the NSW Government </w:t>
      </w:r>
      <w:r w:rsidR="00D52A86" w:rsidRPr="006A2614">
        <w:rPr>
          <w:lang w:val="en-AU"/>
        </w:rPr>
        <w:t xml:space="preserve">pattern book </w:t>
      </w:r>
      <w:r w:rsidR="5B0354BB" w:rsidRPr="03F0AF5A">
        <w:rPr>
          <w:lang w:val="en-AU"/>
        </w:rPr>
        <w:t>to provide fast-track approval of</w:t>
      </w:r>
      <w:r w:rsidR="00D52A86" w:rsidRPr="006A2614">
        <w:rPr>
          <w:lang w:val="en-AU"/>
        </w:rPr>
        <w:t xml:space="preserve"> architect designed homes across the </w:t>
      </w:r>
      <w:r w:rsidR="00EE641B" w:rsidRPr="006A2614">
        <w:rPr>
          <w:lang w:val="en-AU"/>
        </w:rPr>
        <w:t>S</w:t>
      </w:r>
      <w:r w:rsidR="00D52A86" w:rsidRPr="006A2614">
        <w:rPr>
          <w:lang w:val="en-AU"/>
        </w:rPr>
        <w:t>tate</w:t>
      </w:r>
      <w:r w:rsidR="002C7225" w:rsidRPr="006A2614">
        <w:rPr>
          <w:lang w:val="en-AU"/>
        </w:rPr>
        <w:t>.</w:t>
      </w:r>
    </w:p>
    <w:p w14:paraId="212182EE" w14:textId="4F9AC4F4" w:rsidR="008B4055" w:rsidRPr="00925CCD" w:rsidRDefault="00BD6193" w:rsidP="003F21C3">
      <w:pPr>
        <w:pStyle w:val="BodyText"/>
      </w:pPr>
      <w:r w:rsidRPr="5634E4A1">
        <w:rPr>
          <w:lang w:val="en-US"/>
        </w:rPr>
        <w:t>T</w:t>
      </w:r>
      <w:r w:rsidR="00B305E4" w:rsidRPr="5634E4A1">
        <w:rPr>
          <w:lang w:val="en-US"/>
        </w:rPr>
        <w:t>h</w:t>
      </w:r>
      <w:r w:rsidR="000B2361" w:rsidRPr="5634E4A1">
        <w:rPr>
          <w:lang w:val="en-US"/>
        </w:rPr>
        <w:t>e</w:t>
      </w:r>
      <w:r w:rsidR="00B305E4" w:rsidRPr="5634E4A1">
        <w:rPr>
          <w:lang w:val="en-US"/>
        </w:rPr>
        <w:t xml:space="preserve"> Government has initiated </w:t>
      </w:r>
      <w:r w:rsidR="2DECA539" w:rsidRPr="5634E4A1">
        <w:rPr>
          <w:lang w:val="en-US"/>
        </w:rPr>
        <w:t xml:space="preserve">a </w:t>
      </w:r>
      <w:r w:rsidRPr="5634E4A1">
        <w:rPr>
          <w:lang w:val="en-US"/>
        </w:rPr>
        <w:t>number of projects</w:t>
      </w:r>
      <w:r w:rsidR="00B305E4" w:rsidRPr="5634E4A1">
        <w:rPr>
          <w:lang w:val="en-US"/>
        </w:rPr>
        <w:t xml:space="preserve"> that will </w:t>
      </w:r>
      <w:r w:rsidR="0063404B" w:rsidRPr="5634E4A1">
        <w:rPr>
          <w:lang w:val="en-US"/>
        </w:rPr>
        <w:t xml:space="preserve">provide </w:t>
      </w:r>
      <w:r w:rsidR="00B305E4" w:rsidRPr="5634E4A1">
        <w:rPr>
          <w:lang w:val="en-US"/>
        </w:rPr>
        <w:t>additional housing</w:t>
      </w:r>
      <w:r w:rsidR="00DD1830">
        <w:rPr>
          <w:lang w:val="en-US"/>
        </w:rPr>
        <w:t>.</w:t>
      </w:r>
    </w:p>
    <w:p w14:paraId="3831D93D" w14:textId="2922005F" w:rsidR="00B305E4" w:rsidRPr="006A2614" w:rsidRDefault="00824896" w:rsidP="003F21C3">
      <w:pPr>
        <w:pStyle w:val="Bullet1"/>
        <w:rPr>
          <w:lang w:val="en-AU"/>
        </w:rPr>
      </w:pPr>
      <w:r w:rsidRPr="006A2614">
        <w:rPr>
          <w:lang w:val="en-AU"/>
        </w:rPr>
        <w:t>T</w:t>
      </w:r>
      <w:r w:rsidR="00B305E4" w:rsidRPr="006A2614">
        <w:rPr>
          <w:lang w:val="en-AU"/>
        </w:rPr>
        <w:t>he redevelopment of the old Sydney Fish Market site at Blackwattle Bay is set to deliver more than 1</w:t>
      </w:r>
      <w:r w:rsidR="007B7187" w:rsidRPr="006A2614">
        <w:rPr>
          <w:lang w:val="en-AU"/>
        </w:rPr>
        <w:t>,</w:t>
      </w:r>
      <w:r w:rsidR="00B305E4" w:rsidRPr="006A2614">
        <w:rPr>
          <w:lang w:val="en-AU"/>
        </w:rPr>
        <w:t>500 homes, commercial spaces, retail and cultural experiences</w:t>
      </w:r>
      <w:r w:rsidR="00F022AC" w:rsidRPr="006A2614">
        <w:rPr>
          <w:lang w:val="en-AU"/>
        </w:rPr>
        <w:t>.</w:t>
      </w:r>
    </w:p>
    <w:p w14:paraId="63DC6EE8" w14:textId="19722B06" w:rsidR="00776FE9" w:rsidRPr="006A2614" w:rsidRDefault="00314AD7" w:rsidP="003F21C3">
      <w:pPr>
        <w:pStyle w:val="Bullet1"/>
        <w:rPr>
          <w:lang w:val="en-AU"/>
        </w:rPr>
      </w:pPr>
      <w:r w:rsidRPr="006A2614">
        <w:rPr>
          <w:lang w:val="en-AU"/>
        </w:rPr>
        <w:t>C</w:t>
      </w:r>
      <w:r w:rsidR="00073F97" w:rsidRPr="006A2614">
        <w:rPr>
          <w:lang w:val="en-AU"/>
        </w:rPr>
        <w:t>entral Barangaroo</w:t>
      </w:r>
      <w:r w:rsidR="00796F75" w:rsidRPr="006A2614">
        <w:rPr>
          <w:lang w:val="en-AU"/>
        </w:rPr>
        <w:t xml:space="preserve"> will be transformed to include residential, retail, hospitality and community uses together with a new entry to the Barangaroo metro station</w:t>
      </w:r>
      <w:r w:rsidR="00E30DAE" w:rsidRPr="006A2614">
        <w:rPr>
          <w:lang w:val="en-AU"/>
        </w:rPr>
        <w:t>.</w:t>
      </w:r>
      <w:r w:rsidR="00E30DAE" w:rsidRPr="006A2614">
        <w:rPr>
          <w:rFonts w:ascii="Arial" w:eastAsia="Times New Roman" w:hAnsi="Arial"/>
          <w:color w:val="3E4556"/>
          <w:sz w:val="20"/>
          <w:szCs w:val="20"/>
          <w:shd w:val="clear" w:color="auto" w:fill="FFFFFF"/>
          <w:lang w:val="en-AU" w:eastAsia="en-US"/>
        </w:rPr>
        <w:t xml:space="preserve"> </w:t>
      </w:r>
      <w:r w:rsidR="00E30DAE" w:rsidRPr="006A2614">
        <w:rPr>
          <w:lang w:val="en-AU"/>
        </w:rPr>
        <w:t>These will be set amongst civic spaces and connections, generous public parks and outdoor performance areas.</w:t>
      </w:r>
    </w:p>
    <w:p w14:paraId="43477884" w14:textId="0AA51E2A" w:rsidR="00443792" w:rsidRPr="006A2614" w:rsidRDefault="004445A6" w:rsidP="003F21C3">
      <w:pPr>
        <w:pStyle w:val="Bullet1"/>
        <w:rPr>
          <w:lang w:val="en-AU"/>
        </w:rPr>
      </w:pPr>
      <w:r w:rsidRPr="006A2614">
        <w:rPr>
          <w:lang w:val="en-AU"/>
        </w:rPr>
        <w:t>P</w:t>
      </w:r>
      <w:r w:rsidR="00CD75F8" w:rsidRPr="006A2614">
        <w:rPr>
          <w:lang w:val="en-AU"/>
        </w:rPr>
        <w:t>anorama in the Wilton Growth Area</w:t>
      </w:r>
      <w:r w:rsidR="003A19D4" w:rsidRPr="006A2614">
        <w:rPr>
          <w:lang w:val="en-AU"/>
        </w:rPr>
        <w:t xml:space="preserve"> will set a new benchmark for sustainability</w:t>
      </w:r>
      <w:r w:rsidR="0003157D" w:rsidRPr="006A2614">
        <w:rPr>
          <w:lang w:val="en-AU"/>
        </w:rPr>
        <w:t xml:space="preserve"> and be the first Lan</w:t>
      </w:r>
      <w:r w:rsidR="00193F52" w:rsidRPr="006A2614">
        <w:rPr>
          <w:lang w:val="en-AU"/>
        </w:rPr>
        <w:t>d</w:t>
      </w:r>
      <w:r w:rsidR="002B709E" w:rsidRPr="006A2614">
        <w:rPr>
          <w:lang w:val="en-AU"/>
        </w:rPr>
        <w:t>c</w:t>
      </w:r>
      <w:r w:rsidR="0003157D" w:rsidRPr="006A2614">
        <w:rPr>
          <w:lang w:val="en-AU"/>
        </w:rPr>
        <w:t>om</w:t>
      </w:r>
      <w:r w:rsidR="00035553" w:rsidRPr="006A2614">
        <w:rPr>
          <w:lang w:val="en-AU"/>
        </w:rPr>
        <w:t xml:space="preserve"> development to </w:t>
      </w:r>
      <w:r w:rsidR="00F8089D" w:rsidRPr="006A2614">
        <w:rPr>
          <w:lang w:val="en-AU"/>
        </w:rPr>
        <w:t xml:space="preserve">achieve a 6 Star </w:t>
      </w:r>
      <w:r w:rsidR="0091371A" w:rsidRPr="006A2614">
        <w:rPr>
          <w:lang w:val="en-AU"/>
        </w:rPr>
        <w:t xml:space="preserve">Green Star Communities </w:t>
      </w:r>
      <w:r w:rsidR="00F35F02" w:rsidRPr="006A2614">
        <w:rPr>
          <w:lang w:val="en-AU"/>
        </w:rPr>
        <w:t xml:space="preserve">rating. </w:t>
      </w:r>
      <w:r w:rsidR="003620BE" w:rsidRPr="006A2614">
        <w:rPr>
          <w:lang w:val="en-AU"/>
        </w:rPr>
        <w:t>Th</w:t>
      </w:r>
      <w:r w:rsidR="006E185C" w:rsidRPr="006A2614">
        <w:rPr>
          <w:lang w:val="en-AU"/>
        </w:rPr>
        <w:t>e area will provide</w:t>
      </w:r>
      <w:r w:rsidR="008058C3" w:rsidRPr="006A2614">
        <w:rPr>
          <w:lang w:val="en-AU"/>
        </w:rPr>
        <w:t xml:space="preserve"> around 5,600</w:t>
      </w:r>
      <w:r w:rsidR="00B66126" w:rsidRPr="006A2614">
        <w:rPr>
          <w:lang w:val="en-AU"/>
        </w:rPr>
        <w:t xml:space="preserve"> homes, </w:t>
      </w:r>
      <w:r w:rsidR="00AB26E1" w:rsidRPr="006A2614">
        <w:rPr>
          <w:lang w:val="en-AU"/>
        </w:rPr>
        <w:t xml:space="preserve">of which </w:t>
      </w:r>
      <w:r w:rsidR="00B66126" w:rsidRPr="006A2614">
        <w:rPr>
          <w:lang w:val="en-AU"/>
        </w:rPr>
        <w:t>10</w:t>
      </w:r>
      <w:r w:rsidR="00F022AC" w:rsidRPr="006A2614">
        <w:rPr>
          <w:lang w:val="en-AU"/>
        </w:rPr>
        <w:t xml:space="preserve"> per cent</w:t>
      </w:r>
      <w:r w:rsidR="00B157F7" w:rsidRPr="006A2614">
        <w:rPr>
          <w:lang w:val="en-AU"/>
        </w:rPr>
        <w:t xml:space="preserve"> will be a</w:t>
      </w:r>
      <w:r w:rsidR="00620EC8" w:rsidRPr="006A2614">
        <w:rPr>
          <w:lang w:val="en-AU"/>
        </w:rPr>
        <w:t xml:space="preserve">ffordable </w:t>
      </w:r>
      <w:r w:rsidR="00B157F7" w:rsidRPr="006A2614">
        <w:rPr>
          <w:lang w:val="en-AU"/>
        </w:rPr>
        <w:t>h</w:t>
      </w:r>
      <w:r w:rsidR="00620EC8" w:rsidRPr="006A2614">
        <w:rPr>
          <w:lang w:val="en-AU"/>
        </w:rPr>
        <w:t>ousing</w:t>
      </w:r>
      <w:r w:rsidR="00F022AC" w:rsidRPr="006A2614">
        <w:rPr>
          <w:lang w:val="en-AU"/>
        </w:rPr>
        <w:t>.</w:t>
      </w:r>
    </w:p>
    <w:p w14:paraId="58914328" w14:textId="7B82FAFC" w:rsidR="000B3370" w:rsidRPr="006A2614" w:rsidRDefault="003D2767" w:rsidP="003F21C3">
      <w:pPr>
        <w:pStyle w:val="Bullet1"/>
        <w:rPr>
          <w:lang w:val="en-AU"/>
        </w:rPr>
      </w:pPr>
      <w:r w:rsidRPr="006A2614">
        <w:rPr>
          <w:lang w:val="en-AU"/>
        </w:rPr>
        <w:t>G</w:t>
      </w:r>
      <w:r w:rsidR="004D79A6" w:rsidRPr="006A2614">
        <w:rPr>
          <w:lang w:val="en-AU"/>
        </w:rPr>
        <w:t>lenfield</w:t>
      </w:r>
      <w:r w:rsidR="00534B85" w:rsidRPr="006A2614">
        <w:rPr>
          <w:lang w:val="en-AU"/>
        </w:rPr>
        <w:t xml:space="preserve"> will be a new thriving</w:t>
      </w:r>
      <w:r w:rsidR="005C2EF1" w:rsidRPr="006A2614">
        <w:rPr>
          <w:lang w:val="en-AU"/>
        </w:rPr>
        <w:t>, sustainable</w:t>
      </w:r>
      <w:r w:rsidR="00051A2A" w:rsidRPr="006A2614">
        <w:rPr>
          <w:lang w:val="en-AU"/>
        </w:rPr>
        <w:t>, walkable and connected community.</w:t>
      </w:r>
      <w:r w:rsidR="00BB47FD" w:rsidRPr="006A2614">
        <w:rPr>
          <w:lang w:val="en-AU"/>
        </w:rPr>
        <w:t xml:space="preserve"> Delivering more than </w:t>
      </w:r>
      <w:r w:rsidR="00AC0099" w:rsidRPr="006A2614">
        <w:rPr>
          <w:lang w:val="en-AU"/>
        </w:rPr>
        <w:t>3,900 homes ove</w:t>
      </w:r>
      <w:r w:rsidR="00097BEE" w:rsidRPr="006A2614">
        <w:rPr>
          <w:lang w:val="en-AU"/>
        </w:rPr>
        <w:t>r</w:t>
      </w:r>
      <w:r w:rsidR="00AC0099" w:rsidRPr="006A2614">
        <w:rPr>
          <w:lang w:val="en-AU"/>
        </w:rPr>
        <w:t xml:space="preserve"> the next 15 years</w:t>
      </w:r>
      <w:r w:rsidR="008F4AA0" w:rsidRPr="006A2614">
        <w:rPr>
          <w:lang w:val="en-AU"/>
        </w:rPr>
        <w:t xml:space="preserve">, </w:t>
      </w:r>
      <w:r w:rsidR="00796340" w:rsidRPr="006A2614">
        <w:rPr>
          <w:lang w:val="en-AU"/>
        </w:rPr>
        <w:t>the</w:t>
      </w:r>
      <w:r w:rsidR="00A7340F" w:rsidRPr="006A2614">
        <w:rPr>
          <w:lang w:val="en-AU"/>
        </w:rPr>
        <w:t xml:space="preserve"> </w:t>
      </w:r>
      <w:r w:rsidR="008F4AA0" w:rsidRPr="006A2614">
        <w:rPr>
          <w:lang w:val="en-AU"/>
        </w:rPr>
        <w:t xml:space="preserve">housing will </w:t>
      </w:r>
      <w:r w:rsidR="00DE6BAB" w:rsidRPr="006A2614">
        <w:rPr>
          <w:lang w:val="en-AU"/>
        </w:rPr>
        <w:t>compris</w:t>
      </w:r>
      <w:r w:rsidR="008F4AA0" w:rsidRPr="006A2614">
        <w:rPr>
          <w:lang w:val="en-AU"/>
        </w:rPr>
        <w:t xml:space="preserve">e a </w:t>
      </w:r>
      <w:r w:rsidR="0005020B" w:rsidRPr="006A2614">
        <w:rPr>
          <w:lang w:val="en-AU"/>
        </w:rPr>
        <w:t>mix of detached houses, terraces</w:t>
      </w:r>
      <w:r w:rsidR="00A00388" w:rsidRPr="006A2614">
        <w:rPr>
          <w:lang w:val="en-AU"/>
        </w:rPr>
        <w:t>, townhouses and apartments</w:t>
      </w:r>
      <w:r w:rsidR="001D0114" w:rsidRPr="006A2614">
        <w:rPr>
          <w:lang w:val="en-AU"/>
        </w:rPr>
        <w:t>.</w:t>
      </w:r>
    </w:p>
    <w:p w14:paraId="2211DBD5" w14:textId="60A28D8C" w:rsidR="00132376" w:rsidRPr="006A2614" w:rsidRDefault="00EC7A39" w:rsidP="00F23496">
      <w:pPr>
        <w:pStyle w:val="BodyText"/>
      </w:pPr>
      <w:r>
        <w:t>These initiatives are on top of the multi-billion-dollar investment in social housing announced in the 2024-25 Budget.</w:t>
      </w:r>
    </w:p>
    <w:p w14:paraId="0AECFA1D" w14:textId="2FE0B7F4" w:rsidR="00785738" w:rsidRPr="00A71D59" w:rsidRDefault="004D3F43" w:rsidP="00785738">
      <w:pPr>
        <w:pStyle w:val="BodyText"/>
      </w:pPr>
      <w:r w:rsidRPr="006A2614">
        <w:t>Land</w:t>
      </w:r>
      <w:r w:rsidR="002B709E" w:rsidRPr="006A2614">
        <w:t>c</w:t>
      </w:r>
      <w:r w:rsidRPr="006A2614">
        <w:t>om and Sydney Metro</w:t>
      </w:r>
      <w:r w:rsidR="00326CBB" w:rsidRPr="006A2614">
        <w:t xml:space="preserve"> are working together on the long-term planning</w:t>
      </w:r>
      <w:r w:rsidR="006B35DE" w:rsidRPr="006A2614">
        <w:t xml:space="preserve"> and development of government owned land</w:t>
      </w:r>
      <w:r w:rsidR="00FA12CF" w:rsidRPr="006A2614">
        <w:t xml:space="preserve"> surrounding the Metro stations in Sydney’s </w:t>
      </w:r>
      <w:r w:rsidR="00627EEF" w:rsidRPr="006A2614">
        <w:t>N</w:t>
      </w:r>
      <w:r w:rsidR="00FA12CF" w:rsidRPr="006A2614">
        <w:t>orth</w:t>
      </w:r>
      <w:r w:rsidR="00DA3186" w:rsidRPr="006A2614">
        <w:t xml:space="preserve"> </w:t>
      </w:r>
      <w:r w:rsidR="00627EEF" w:rsidRPr="006A2614">
        <w:t>W</w:t>
      </w:r>
      <w:r w:rsidR="00DA3186" w:rsidRPr="006A2614">
        <w:t>est</w:t>
      </w:r>
      <w:r w:rsidR="003D0817" w:rsidRPr="006A2614">
        <w:t>. Places include</w:t>
      </w:r>
      <w:r w:rsidR="00D73308" w:rsidRPr="006A2614">
        <w:t xml:space="preserve"> Bella Vista</w:t>
      </w:r>
      <w:r w:rsidR="00E650EE" w:rsidRPr="006A2614">
        <w:t xml:space="preserve">, </w:t>
      </w:r>
      <w:r w:rsidR="00F92660" w:rsidRPr="006A2614">
        <w:t>C</w:t>
      </w:r>
      <w:r w:rsidR="00E650EE" w:rsidRPr="006A2614">
        <w:t>herrybrook,</w:t>
      </w:r>
      <w:r w:rsidR="00F92660" w:rsidRPr="006A2614">
        <w:t xml:space="preserve"> </w:t>
      </w:r>
      <w:r w:rsidR="007E0547" w:rsidRPr="006A2614">
        <w:t xml:space="preserve">Kellyville and Epping </w:t>
      </w:r>
      <w:r w:rsidR="009C3F50" w:rsidRPr="006A2614">
        <w:t xml:space="preserve">which </w:t>
      </w:r>
      <w:r w:rsidR="00626C17" w:rsidRPr="006A2614">
        <w:t>will all focus on cre</w:t>
      </w:r>
      <w:r w:rsidR="00A07C2D" w:rsidRPr="006A2614">
        <w:t>ating diverse</w:t>
      </w:r>
      <w:r w:rsidR="00F11103" w:rsidRPr="006A2614">
        <w:t>, well-designed places for current and future communities.</w:t>
      </w:r>
      <w:r w:rsidR="00785738" w:rsidRPr="00785738">
        <w:rPr>
          <w:lang w:val="en-US"/>
        </w:rPr>
        <w:t xml:space="preserve"> </w:t>
      </w:r>
      <w:r w:rsidR="00785738" w:rsidRPr="5634E4A1">
        <w:rPr>
          <w:lang w:val="en-US"/>
        </w:rPr>
        <w:t> </w:t>
      </w:r>
    </w:p>
    <w:p w14:paraId="1AB9ADFD" w14:textId="77777777" w:rsidR="00F40514" w:rsidRDefault="00F40514">
      <w:pPr>
        <w:spacing w:before="360" w:after="120"/>
        <w:ind w:left="851" w:hanging="851"/>
        <w:rPr>
          <w:rFonts w:ascii="Public Sans SemiBold" w:hAnsi="Public Sans SemiBold"/>
          <w:b/>
          <w:bCs/>
          <w:color w:val="000000" w:themeColor="text1"/>
          <w:kern w:val="28"/>
          <w:sz w:val="26"/>
          <w:szCs w:val="28"/>
          <w:lang w:val="en-AU"/>
        </w:rPr>
      </w:pPr>
      <w:r>
        <w:br w:type="page"/>
      </w:r>
    </w:p>
    <w:p w14:paraId="19B428EA" w14:textId="3E79AD44" w:rsidR="00B141C7" w:rsidRPr="000126D7" w:rsidRDefault="002627BD" w:rsidP="00E42530">
      <w:pPr>
        <w:pStyle w:val="Heading3"/>
      </w:pPr>
      <w:r>
        <w:lastRenderedPageBreak/>
        <w:t>W</w:t>
      </w:r>
      <w:r w:rsidR="00B141C7" w:rsidRPr="000126D7">
        <w:t xml:space="preserve">ater </w:t>
      </w:r>
      <w:r w:rsidR="00B704CD">
        <w:t>infrastructure</w:t>
      </w:r>
      <w:r w:rsidR="00B141C7" w:rsidRPr="000126D7">
        <w:t xml:space="preserve"> </w:t>
      </w:r>
      <w:r w:rsidR="005649D6">
        <w:t>to support new homes</w:t>
      </w:r>
    </w:p>
    <w:p w14:paraId="36EF36C7" w14:textId="028FC14F" w:rsidR="005C175B" w:rsidRDefault="00B141C7" w:rsidP="003F21C3">
      <w:pPr>
        <w:pStyle w:val="BodyText"/>
      </w:pPr>
      <w:r w:rsidRPr="5634E4A1">
        <w:rPr>
          <w:lang w:val="en-US"/>
        </w:rPr>
        <w:t xml:space="preserve">Water infrastructure underpins the Government’s housing plans. Large investment in water infrastructure is needed to support </w:t>
      </w:r>
      <w:r w:rsidR="00D9024C" w:rsidRPr="5634E4A1">
        <w:rPr>
          <w:lang w:val="en-US"/>
        </w:rPr>
        <w:t xml:space="preserve">growth in the State’s population </w:t>
      </w:r>
      <w:r w:rsidR="008C5A5E" w:rsidRPr="5634E4A1">
        <w:rPr>
          <w:lang w:val="en-US"/>
        </w:rPr>
        <w:t>through the delivery of additional</w:t>
      </w:r>
      <w:r w:rsidRPr="5634E4A1">
        <w:rPr>
          <w:lang w:val="en-US"/>
        </w:rPr>
        <w:t xml:space="preserve"> homes and </w:t>
      </w:r>
      <w:r w:rsidR="00CB03BD" w:rsidRPr="5634E4A1">
        <w:rPr>
          <w:lang w:val="en-US"/>
        </w:rPr>
        <w:t>employment precincts</w:t>
      </w:r>
      <w:r w:rsidRPr="5634E4A1">
        <w:rPr>
          <w:lang w:val="en-US"/>
        </w:rPr>
        <w:t xml:space="preserve">. </w:t>
      </w:r>
      <w:r w:rsidR="00A04621" w:rsidRPr="5634E4A1">
        <w:rPr>
          <w:lang w:val="en-US"/>
        </w:rPr>
        <w:t>Key projects currently underway include</w:t>
      </w:r>
      <w:r w:rsidR="006D33BB" w:rsidRPr="5634E4A1">
        <w:rPr>
          <w:lang w:val="en-US"/>
        </w:rPr>
        <w:t>:</w:t>
      </w:r>
    </w:p>
    <w:p w14:paraId="5CA4F206" w14:textId="6C4C5CF4" w:rsidR="003524C1" w:rsidRPr="006A2614" w:rsidRDefault="003524C1" w:rsidP="003F21C3">
      <w:pPr>
        <w:pStyle w:val="Bullet1"/>
        <w:rPr>
          <w:lang w:val="en-AU"/>
        </w:rPr>
      </w:pPr>
      <w:r w:rsidRPr="006A2614">
        <w:rPr>
          <w:lang w:val="en-AU"/>
        </w:rPr>
        <w:t>Upper South Creek Advanced Water Recycling Centre (Stage 1) is nearing completion and will support the opening of Western Sydney International Airport in 2026 and enable 130,000 new dwellings by 2056</w:t>
      </w:r>
    </w:p>
    <w:p w14:paraId="71CB929F" w14:textId="11FEE6D3" w:rsidR="00507F4F" w:rsidRPr="006A2614" w:rsidRDefault="0027181F" w:rsidP="003F21C3">
      <w:pPr>
        <w:pStyle w:val="Bullet1"/>
        <w:rPr>
          <w:lang w:val="en-AU"/>
        </w:rPr>
      </w:pPr>
      <w:r>
        <w:rPr>
          <w:lang w:val="en-AU"/>
        </w:rPr>
        <w:t>T</w:t>
      </w:r>
      <w:r w:rsidR="00507F4F" w:rsidRPr="006A2614">
        <w:rPr>
          <w:lang w:val="en-AU"/>
        </w:rPr>
        <w:t>he new $756.9 million Prospect Pretreatment Plant. This project will enable the continued supply of safe, secure and reliable drinking water to a growing population in Greater Sydney particularly during events that impact the quality of raw water</w:t>
      </w:r>
    </w:p>
    <w:p w14:paraId="29C4DDAA" w14:textId="5AFDCE1A" w:rsidR="00507F4F" w:rsidRPr="006A2614" w:rsidRDefault="0027181F" w:rsidP="003F21C3">
      <w:pPr>
        <w:pStyle w:val="Bullet1"/>
        <w:rPr>
          <w:lang w:val="en-AU"/>
        </w:rPr>
      </w:pPr>
      <w:r>
        <w:rPr>
          <w:lang w:val="en-AU"/>
        </w:rPr>
        <w:t>I</w:t>
      </w:r>
      <w:r w:rsidRPr="006A2614">
        <w:rPr>
          <w:lang w:val="en-AU"/>
        </w:rPr>
        <w:t>nvestment</w:t>
      </w:r>
      <w:r w:rsidR="00507F4F" w:rsidRPr="006A2614">
        <w:rPr>
          <w:lang w:val="en-AU"/>
        </w:rPr>
        <w:t xml:space="preserve"> of $644.1 million in the integrated stormwater and recycled water scheme needed to deliver 850 hectares of industrial land in the Mamre Road Precinct and support</w:t>
      </w:r>
      <w:r w:rsidR="00507F4F" w:rsidRPr="006A2614" w:rsidDel="00472B95">
        <w:rPr>
          <w:lang w:val="en-AU"/>
        </w:rPr>
        <w:t xml:space="preserve"> </w:t>
      </w:r>
      <w:r w:rsidR="00507F4F" w:rsidRPr="006A2614">
        <w:rPr>
          <w:lang w:val="en-AU"/>
        </w:rPr>
        <w:t xml:space="preserve">22,200 Western Sydney jobs alongside it. </w:t>
      </w:r>
    </w:p>
    <w:p w14:paraId="7027FB11" w14:textId="77777777" w:rsidR="0066625A" w:rsidRPr="001462FE" w:rsidRDefault="0066625A" w:rsidP="001462FE">
      <w:pPr>
        <w:pStyle w:val="Heading3"/>
      </w:pPr>
      <w:r>
        <w:t>Energy</w:t>
      </w:r>
      <w:r w:rsidRPr="000126D7">
        <w:t xml:space="preserve"> </w:t>
      </w:r>
      <w:r>
        <w:t>infrastructure</w:t>
      </w:r>
      <w:r w:rsidRPr="000126D7">
        <w:t xml:space="preserve"> </w:t>
      </w:r>
      <w:r>
        <w:t>for a more reliable, affordable electricity in a growing state</w:t>
      </w:r>
    </w:p>
    <w:p w14:paraId="43A20517" w14:textId="55D899B4" w:rsidR="7BD6A314" w:rsidRPr="00A71D59" w:rsidRDefault="7BD6A314" w:rsidP="1079CE3B">
      <w:pPr>
        <w:pStyle w:val="BodyText"/>
      </w:pPr>
      <w:r w:rsidRPr="5634E4A1">
        <w:rPr>
          <w:lang w:val="en-US"/>
        </w:rPr>
        <w:t xml:space="preserve">The Government is committed to the energy </w:t>
      </w:r>
      <w:r w:rsidR="000A50C4">
        <w:rPr>
          <w:lang w:val="en-US"/>
        </w:rPr>
        <w:t>transformation</w:t>
      </w:r>
      <w:r w:rsidRPr="5634E4A1">
        <w:rPr>
          <w:lang w:val="en-US"/>
        </w:rPr>
        <w:t xml:space="preserve">. Energy is both a constraint and a catalyst to improved productivity. Long wait times for grid connection, project risk and rising operating costs are slowing down investment and local industry growth. The Government is acting not only to build new power generation, but to build confidence in our energy future.  </w:t>
      </w:r>
    </w:p>
    <w:p w14:paraId="625BC470" w14:textId="719DA98C" w:rsidR="00415903" w:rsidRDefault="00415903" w:rsidP="003F21C3">
      <w:pPr>
        <w:pStyle w:val="BodyText"/>
        <w:rPr>
          <w:lang w:val="en-US"/>
        </w:rPr>
      </w:pPr>
      <w:r w:rsidRPr="5634E4A1">
        <w:rPr>
          <w:lang w:val="en-US"/>
        </w:rPr>
        <w:t>This Budget includes continued investment of $2.1 billion over the next four years in the Transmission Acceleration Facility, primarily to support the five Renewable Energy Zones - Central-West Orana, New England, Hunter-Central Coast, Illawarra and South West. This continued investment builds on the $1.1 billion invested to date on these mega-projects</w:t>
      </w:r>
      <w:r w:rsidR="00C91771">
        <w:rPr>
          <w:lang w:val="en-US"/>
        </w:rPr>
        <w:t>.</w:t>
      </w:r>
    </w:p>
    <w:p w14:paraId="59BE7B29" w14:textId="06E83112" w:rsidR="008E6FA2" w:rsidRPr="003E2180" w:rsidRDefault="00B141C7" w:rsidP="003F21C3">
      <w:pPr>
        <w:pStyle w:val="BodyText"/>
      </w:pPr>
      <w:r w:rsidRPr="5634E4A1">
        <w:rPr>
          <w:lang w:val="en-US"/>
        </w:rPr>
        <w:t>The 2025-26 Budget includes $115</w:t>
      </w:r>
      <w:r w:rsidR="008A2177" w:rsidRPr="5634E4A1">
        <w:rPr>
          <w:lang w:val="en-US"/>
        </w:rPr>
        <w:t>.</w:t>
      </w:r>
      <w:r w:rsidR="005D0E7F" w:rsidRPr="5634E4A1">
        <w:rPr>
          <w:lang w:val="en-US"/>
        </w:rPr>
        <w:t xml:space="preserve">5 </w:t>
      </w:r>
      <w:r w:rsidRPr="5634E4A1">
        <w:rPr>
          <w:lang w:val="en-US"/>
        </w:rPr>
        <w:t>million for a Logistics Precinct at Newcastle Port which will support the delivery of the Renewable Energy Zones, including the Central-West Orana Renewable Energy Zone — delivering 7.15 gigawatts of capacity, enough to power 2.7 million homes and cut 10 million tonnes of emissions each year.</w:t>
      </w:r>
    </w:p>
    <w:p w14:paraId="1CD57305" w14:textId="76EF8D55" w:rsidR="00B141C7" w:rsidRPr="00946BEB" w:rsidRDefault="00B141C7" w:rsidP="003F21C3">
      <w:pPr>
        <w:pStyle w:val="BodyText"/>
      </w:pPr>
      <w:r w:rsidRPr="5634E4A1">
        <w:rPr>
          <w:lang w:val="en-US"/>
        </w:rPr>
        <w:t>In 2024, the Government established the Energy Security Corporation which will co-invest with the private sector in renewable energy projects for the state</w:t>
      </w:r>
      <w:r w:rsidR="00B4396B" w:rsidRPr="5634E4A1">
        <w:rPr>
          <w:lang w:val="en-US"/>
        </w:rPr>
        <w:t xml:space="preserve"> to help build a more reliable energy system</w:t>
      </w:r>
      <w:r w:rsidRPr="5634E4A1">
        <w:rPr>
          <w:lang w:val="en-US"/>
        </w:rPr>
        <w:t>. The Energy Security Corporation is seeded with $1</w:t>
      </w:r>
      <w:r w:rsidR="00F67F1C" w:rsidRPr="5634E4A1">
        <w:rPr>
          <w:lang w:val="en-US"/>
        </w:rPr>
        <w:t>.0</w:t>
      </w:r>
      <w:r w:rsidR="00742A1F" w:rsidRPr="5634E4A1">
        <w:rPr>
          <w:lang w:val="en-US"/>
        </w:rPr>
        <w:t xml:space="preserve"> billion.</w:t>
      </w:r>
      <w:r w:rsidR="00694300" w:rsidRPr="5634E4A1">
        <w:rPr>
          <w:lang w:val="en-US"/>
        </w:rPr>
        <w:t xml:space="preserve"> </w:t>
      </w:r>
      <w:r w:rsidR="00742A1F" w:rsidRPr="5634E4A1">
        <w:rPr>
          <w:lang w:val="en-US"/>
        </w:rPr>
        <w:t xml:space="preserve">The key priorities for investment include short-to long-duration storage projects that capture excess renewable energy, to maximise </w:t>
      </w:r>
      <w:r w:rsidR="00656AB4" w:rsidRPr="5634E4A1">
        <w:rPr>
          <w:lang w:val="en-US"/>
        </w:rPr>
        <w:t xml:space="preserve">the </w:t>
      </w:r>
      <w:r w:rsidR="00742A1F" w:rsidRPr="5634E4A1">
        <w:rPr>
          <w:lang w:val="en-US"/>
        </w:rPr>
        <w:t>use of electricity generated from solar and wind.</w:t>
      </w:r>
    </w:p>
    <w:p w14:paraId="04BA4935" w14:textId="14AF3138" w:rsidR="008B4055" w:rsidRPr="000126D7" w:rsidRDefault="008B4055" w:rsidP="003C56BD">
      <w:pPr>
        <w:pStyle w:val="81Heading2"/>
        <w:ind w:left="851" w:hanging="851"/>
        <w:outlineLvl w:val="1"/>
      </w:pPr>
      <w:r w:rsidRPr="000126D7">
        <w:t xml:space="preserve">Delivery of </w:t>
      </w:r>
      <w:r w:rsidR="002B1114">
        <w:t>essential</w:t>
      </w:r>
      <w:r w:rsidR="002B1114" w:rsidRPr="000126D7">
        <w:t xml:space="preserve"> </w:t>
      </w:r>
      <w:r w:rsidRPr="000126D7">
        <w:t xml:space="preserve">school infrastructure, </w:t>
      </w:r>
      <w:r w:rsidR="005E31B4">
        <w:t xml:space="preserve">Sydney </w:t>
      </w:r>
      <w:r w:rsidR="008F65CC">
        <w:t>Metro,</w:t>
      </w:r>
      <w:r w:rsidRPr="000126D7">
        <w:t xml:space="preserve"> hospitals and roads</w:t>
      </w:r>
    </w:p>
    <w:p w14:paraId="34B5155D" w14:textId="5144490F" w:rsidR="004D5618" w:rsidRPr="009352AD" w:rsidRDefault="008B4055" w:rsidP="003F21C3">
      <w:pPr>
        <w:pStyle w:val="BodyText"/>
      </w:pPr>
      <w:r w:rsidRPr="5634E4A1">
        <w:rPr>
          <w:lang w:val="en-US"/>
        </w:rPr>
        <w:t xml:space="preserve">The Government is building essential infrastructure for communities to thrive, such as schools, </w:t>
      </w:r>
      <w:r w:rsidR="7D8F45A3" w:rsidRPr="5634E4A1">
        <w:rPr>
          <w:lang w:val="en-US"/>
        </w:rPr>
        <w:t xml:space="preserve">a new </w:t>
      </w:r>
      <w:r w:rsidR="54C375FA" w:rsidRPr="5634E4A1">
        <w:rPr>
          <w:lang w:val="en-US"/>
        </w:rPr>
        <w:t>metr</w:t>
      </w:r>
      <w:r w:rsidR="629BF276" w:rsidRPr="5634E4A1">
        <w:rPr>
          <w:lang w:val="en-US"/>
        </w:rPr>
        <w:t>o railway</w:t>
      </w:r>
      <w:r w:rsidR="0089191B" w:rsidRPr="5634E4A1">
        <w:rPr>
          <w:lang w:val="en-US"/>
        </w:rPr>
        <w:t xml:space="preserve">, </w:t>
      </w:r>
      <w:r w:rsidRPr="5634E4A1">
        <w:rPr>
          <w:lang w:val="en-US"/>
        </w:rPr>
        <w:t>roads and hospitals</w:t>
      </w:r>
      <w:r w:rsidR="00CA7D69" w:rsidRPr="5634E4A1">
        <w:rPr>
          <w:lang w:val="en-US"/>
        </w:rPr>
        <w:t xml:space="preserve"> to </w:t>
      </w:r>
      <w:r w:rsidR="00273956" w:rsidRPr="5634E4A1">
        <w:rPr>
          <w:lang w:val="en-US"/>
        </w:rPr>
        <w:t>ensure more homes are closer to transport, schools, services and jobs.</w:t>
      </w:r>
    </w:p>
    <w:p w14:paraId="5F56D8BB" w14:textId="7B887067" w:rsidR="002B6610" w:rsidRDefault="004D5618" w:rsidP="003F21C3">
      <w:pPr>
        <w:pStyle w:val="BodyText"/>
      </w:pPr>
      <w:r w:rsidRPr="5634E4A1">
        <w:rPr>
          <w:lang w:val="en-US"/>
        </w:rPr>
        <w:t>The commitment to building better communities includes investment in Western Sydney which is the fastest-growing region in the country</w:t>
      </w:r>
      <w:r w:rsidR="00E01EE6" w:rsidRPr="5634E4A1">
        <w:rPr>
          <w:lang w:val="en-US"/>
        </w:rPr>
        <w:t>, as well as the regions</w:t>
      </w:r>
      <w:r w:rsidR="002B6610" w:rsidRPr="5634E4A1">
        <w:rPr>
          <w:lang w:val="en-US"/>
        </w:rPr>
        <w:t>.</w:t>
      </w:r>
    </w:p>
    <w:p w14:paraId="3AE026F0" w14:textId="68714BF1" w:rsidR="00273956" w:rsidRDefault="002B6610" w:rsidP="003F21C3">
      <w:pPr>
        <w:pStyle w:val="BodyText"/>
      </w:pPr>
      <w:r w:rsidRPr="5634E4A1">
        <w:rPr>
          <w:lang w:val="en-US"/>
        </w:rPr>
        <w:t>This Budget includes $</w:t>
      </w:r>
      <w:r w:rsidR="00B104D6" w:rsidRPr="5634E4A1">
        <w:rPr>
          <w:lang w:val="en-US"/>
        </w:rPr>
        <w:t>12.4</w:t>
      </w:r>
      <w:r w:rsidRPr="5634E4A1">
        <w:rPr>
          <w:lang w:val="en-US"/>
        </w:rPr>
        <w:t xml:space="preserve"> billion</w:t>
      </w:r>
      <w:r w:rsidRPr="5634E4A1">
        <w:rPr>
          <w:vertAlign w:val="superscript"/>
          <w:lang w:val="en-US"/>
        </w:rPr>
        <w:t xml:space="preserve"> </w:t>
      </w:r>
      <w:r w:rsidRPr="5634E4A1">
        <w:rPr>
          <w:lang w:val="en-US"/>
        </w:rPr>
        <w:t xml:space="preserve">of capital investment over the four years to 2028-29 in health infrastructure, which includes both hospitals and health facilities as well as </w:t>
      </w:r>
      <w:r w:rsidR="00664CEF" w:rsidRPr="5634E4A1">
        <w:rPr>
          <w:lang w:val="en-US"/>
        </w:rPr>
        <w:t>several</w:t>
      </w:r>
      <w:r w:rsidRPr="5634E4A1">
        <w:rPr>
          <w:lang w:val="en-US"/>
        </w:rPr>
        <w:t xml:space="preserve"> health programs.</w:t>
      </w:r>
      <w:r w:rsidR="003F20BB" w:rsidRPr="5634E4A1">
        <w:rPr>
          <w:lang w:val="en-US"/>
        </w:rPr>
        <w:t xml:space="preserve"> This includes the followin</w:t>
      </w:r>
      <w:r w:rsidR="0023228C" w:rsidRPr="5634E4A1">
        <w:rPr>
          <w:lang w:val="en-US"/>
        </w:rPr>
        <w:t>g new and upgrade</w:t>
      </w:r>
      <w:r w:rsidR="00E36F86" w:rsidRPr="5634E4A1">
        <w:rPr>
          <w:lang w:val="en-US"/>
        </w:rPr>
        <w:t>d hospital and</w:t>
      </w:r>
      <w:r w:rsidR="0023228C" w:rsidRPr="5634E4A1">
        <w:rPr>
          <w:lang w:val="en-US"/>
        </w:rPr>
        <w:t xml:space="preserve"> </w:t>
      </w:r>
      <w:r w:rsidR="00CB26E4" w:rsidRPr="5634E4A1">
        <w:rPr>
          <w:lang w:val="en-US"/>
        </w:rPr>
        <w:t xml:space="preserve">health </w:t>
      </w:r>
      <w:r w:rsidR="007D4EF1" w:rsidRPr="5634E4A1">
        <w:rPr>
          <w:lang w:val="en-US"/>
        </w:rPr>
        <w:t>facilities</w:t>
      </w:r>
      <w:r w:rsidR="0023228C" w:rsidRPr="5634E4A1">
        <w:rPr>
          <w:lang w:val="en-US"/>
        </w:rPr>
        <w:t>:</w:t>
      </w:r>
    </w:p>
    <w:p w14:paraId="3C968929" w14:textId="1FFFF53B" w:rsidR="000C6C15" w:rsidRPr="00A71D59" w:rsidRDefault="00332A21" w:rsidP="003F21C3">
      <w:pPr>
        <w:pStyle w:val="Bullet1"/>
      </w:pPr>
      <w:r>
        <w:t>A</w:t>
      </w:r>
      <w:r w:rsidR="00AA4EE0" w:rsidRPr="5634E4A1">
        <w:t>dditional funding of $</w:t>
      </w:r>
      <w:r w:rsidR="51A8F728" w:rsidRPr="5634E4A1">
        <w:t>90</w:t>
      </w:r>
      <w:r w:rsidR="4C1A5B02" w:rsidRPr="5634E4A1">
        <w:t>.0</w:t>
      </w:r>
      <w:r w:rsidR="00AA4EE0" w:rsidRPr="5634E4A1">
        <w:t xml:space="preserve"> million for </w:t>
      </w:r>
      <w:r w:rsidR="00224211" w:rsidRPr="5634E4A1">
        <w:t>m</w:t>
      </w:r>
      <w:r w:rsidR="00AA4EE0" w:rsidRPr="5634E4A1">
        <w:t xml:space="preserve">aternity </w:t>
      </w:r>
      <w:r w:rsidR="00021597" w:rsidRPr="5634E4A1">
        <w:t>and b</w:t>
      </w:r>
      <w:r w:rsidR="00763816" w:rsidRPr="5634E4A1">
        <w:t xml:space="preserve">irthing </w:t>
      </w:r>
      <w:r w:rsidR="00224211" w:rsidRPr="5634E4A1">
        <w:t>s</w:t>
      </w:r>
      <w:r w:rsidR="00AA4EE0" w:rsidRPr="5634E4A1">
        <w:t>ervices at Rouse Hill Hospital</w:t>
      </w:r>
      <w:r w:rsidR="12ABB23B" w:rsidRPr="5634E4A1">
        <w:t xml:space="preserve">, with a further $120.0 million also announced </w:t>
      </w:r>
      <w:r w:rsidR="768FAE41" w:rsidRPr="5634E4A1">
        <w:t>by</w:t>
      </w:r>
      <w:r w:rsidR="12ABB23B" w:rsidRPr="5634E4A1">
        <w:t xml:space="preserve"> the </w:t>
      </w:r>
      <w:r w:rsidR="768FAE41" w:rsidRPr="5634E4A1">
        <w:t>Australian Government</w:t>
      </w:r>
      <w:r w:rsidR="003E4559" w:rsidRPr="5634E4A1">
        <w:t xml:space="preserve">. </w:t>
      </w:r>
      <w:r w:rsidR="0A29D5B8" w:rsidRPr="5634E4A1">
        <w:t xml:space="preserve"> </w:t>
      </w:r>
      <w:r w:rsidR="007E7E61" w:rsidRPr="5634E4A1">
        <w:t>These two funding commitments increase the</w:t>
      </w:r>
      <w:r w:rsidR="0A29D5B8" w:rsidRPr="5634E4A1">
        <w:t xml:space="preserve"> total investment for the project to $910.0</w:t>
      </w:r>
      <w:r w:rsidR="005F598C">
        <w:t> </w:t>
      </w:r>
      <w:r w:rsidR="0A29D5B8" w:rsidRPr="5634E4A1">
        <w:t>million</w:t>
      </w:r>
    </w:p>
    <w:p w14:paraId="465FE0AD" w14:textId="244F601C" w:rsidR="000C6C15" w:rsidRPr="006A2614" w:rsidRDefault="00332A21" w:rsidP="003F21C3">
      <w:pPr>
        <w:pStyle w:val="Bullet1"/>
        <w:rPr>
          <w:lang w:val="en-AU"/>
        </w:rPr>
      </w:pPr>
      <w:r>
        <w:rPr>
          <w:lang w:val="en-AU"/>
        </w:rPr>
        <w:lastRenderedPageBreak/>
        <w:t>A</w:t>
      </w:r>
      <w:r w:rsidRPr="006A2614">
        <w:rPr>
          <w:lang w:val="en-AU"/>
        </w:rPr>
        <w:t>dditional</w:t>
      </w:r>
      <w:r w:rsidR="000C6C15" w:rsidRPr="006A2614">
        <w:rPr>
          <w:lang w:val="en-AU"/>
        </w:rPr>
        <w:t xml:space="preserve"> funding of $700.0 million </w:t>
      </w:r>
      <w:r w:rsidR="0035112A">
        <w:rPr>
          <w:lang w:val="en-AU"/>
        </w:rPr>
        <w:t>to expand</w:t>
      </w:r>
      <w:r w:rsidR="0035112A" w:rsidRPr="006A2614">
        <w:rPr>
          <w:lang w:val="en-AU"/>
        </w:rPr>
        <w:t xml:space="preserve"> </w:t>
      </w:r>
      <w:r w:rsidR="000C6C15" w:rsidRPr="006A2614">
        <w:rPr>
          <w:lang w:val="en-AU"/>
        </w:rPr>
        <w:t xml:space="preserve">the New Bankstown Hospital </w:t>
      </w:r>
      <w:r w:rsidR="00990BAC">
        <w:rPr>
          <w:lang w:val="en-AU"/>
        </w:rPr>
        <w:t xml:space="preserve">development </w:t>
      </w:r>
      <w:r w:rsidR="000C6C15" w:rsidRPr="006A2614">
        <w:rPr>
          <w:lang w:val="en-AU"/>
        </w:rPr>
        <w:t>bringing total investment to $2.0 billion – the largest ever investment in a new hospital in New South Wales</w:t>
      </w:r>
    </w:p>
    <w:p w14:paraId="013D4195" w14:textId="6CFA21E5" w:rsidR="00AA4EE0" w:rsidRPr="006A2614" w:rsidRDefault="000C6C15" w:rsidP="003F21C3">
      <w:pPr>
        <w:pStyle w:val="Bullet1"/>
        <w:rPr>
          <w:lang w:val="en-AU"/>
        </w:rPr>
      </w:pPr>
      <w:r w:rsidRPr="006A2614">
        <w:rPr>
          <w:lang w:val="en-AU"/>
        </w:rPr>
        <w:t xml:space="preserve">$492.0 million to develop a Statewide Pathology Hub on the Westmead Health </w:t>
      </w:r>
      <w:r w:rsidR="00167029" w:rsidRPr="006A2614">
        <w:rPr>
          <w:lang w:val="en-AU"/>
        </w:rPr>
        <w:t>c</w:t>
      </w:r>
      <w:r w:rsidRPr="006A2614">
        <w:rPr>
          <w:lang w:val="en-AU"/>
        </w:rPr>
        <w:t>ampus</w:t>
      </w:r>
      <w:r w:rsidR="000A3B1D" w:rsidRPr="006A2614">
        <w:rPr>
          <w:lang w:val="en-AU"/>
        </w:rPr>
        <w:t>.</w:t>
      </w:r>
    </w:p>
    <w:p w14:paraId="6A06826D" w14:textId="1586401D" w:rsidR="001E326C" w:rsidRDefault="7589E1B3" w:rsidP="007D65FC">
      <w:pPr>
        <w:pStyle w:val="Table8X"/>
      </w:pPr>
      <w:r w:rsidRPr="7B19A436">
        <w:rPr>
          <w:rFonts w:eastAsia="Public Sans"/>
        </w:rPr>
        <w:t xml:space="preserve">Top 10 hospitals currently under </w:t>
      </w:r>
      <w:r w:rsidR="0046226A">
        <w:rPr>
          <w:rFonts w:eastAsia="Public Sans"/>
        </w:rPr>
        <w:t xml:space="preserve">planning and </w:t>
      </w:r>
      <w:r w:rsidRPr="7B19A436">
        <w:rPr>
          <w:rFonts w:eastAsia="Public Sans"/>
        </w:rPr>
        <w:t xml:space="preserve">construction  </w:t>
      </w:r>
    </w:p>
    <w:tbl>
      <w:tblPr>
        <w:tblW w:w="0" w:type="auto"/>
        <w:tblLayout w:type="fixed"/>
        <w:tblLook w:val="04A0" w:firstRow="1" w:lastRow="0" w:firstColumn="1" w:lastColumn="0" w:noHBand="0" w:noVBand="1"/>
        <w:tblCaption w:val="Table 1.1: Top 10 hospitals currently under planning and construction  "/>
      </w:tblPr>
      <w:tblGrid>
        <w:gridCol w:w="6946"/>
        <w:gridCol w:w="1134"/>
        <w:gridCol w:w="1559"/>
      </w:tblGrid>
      <w:tr w:rsidR="001E326C" w:rsidRPr="00A645CB" w14:paraId="114C4457" w14:textId="77777777" w:rsidTr="00224FC6">
        <w:trPr>
          <w:trHeight w:val="510"/>
        </w:trPr>
        <w:tc>
          <w:tcPr>
            <w:tcW w:w="6946" w:type="dxa"/>
            <w:shd w:val="clear" w:color="auto" w:fill="D9D9D9" w:themeFill="background1" w:themeFillShade="D9"/>
            <w:tcMar>
              <w:left w:w="105" w:type="dxa"/>
              <w:right w:w="105" w:type="dxa"/>
            </w:tcMar>
            <w:vAlign w:val="center"/>
          </w:tcPr>
          <w:p w14:paraId="16C672E1" w14:textId="1E7D8914" w:rsidR="001E326C" w:rsidRPr="006A2614" w:rsidRDefault="001E326C" w:rsidP="004F7547">
            <w:pPr>
              <w:jc w:val="center"/>
              <w:rPr>
                <w:rFonts w:ascii="Public Sans" w:eastAsia="Aptos" w:hAnsi="Public Sans" w:cs="Calibri"/>
                <w:sz w:val="17"/>
                <w:szCs w:val="17"/>
                <w:lang w:eastAsia="en-AU"/>
              </w:rPr>
            </w:pPr>
            <w:r w:rsidRPr="006A2614">
              <w:rPr>
                <w:rFonts w:ascii="Public Sans" w:eastAsia="Aptos" w:hAnsi="Public Sans" w:cs="Calibri"/>
                <w:sz w:val="17"/>
                <w:szCs w:val="17"/>
                <w:lang w:eastAsia="en-AU"/>
              </w:rPr>
              <w:t>Project name</w:t>
            </w:r>
          </w:p>
        </w:tc>
        <w:tc>
          <w:tcPr>
            <w:tcW w:w="1134" w:type="dxa"/>
            <w:shd w:val="clear" w:color="auto" w:fill="D9D9D9" w:themeFill="background1" w:themeFillShade="D9"/>
            <w:tcMar>
              <w:left w:w="105" w:type="dxa"/>
              <w:right w:w="105" w:type="dxa"/>
            </w:tcMar>
            <w:vAlign w:val="center"/>
          </w:tcPr>
          <w:p w14:paraId="5631EF10" w14:textId="51008899" w:rsidR="001E326C" w:rsidRPr="006A2614" w:rsidRDefault="001E326C" w:rsidP="004F7547">
            <w:pPr>
              <w:jc w:val="center"/>
              <w:rPr>
                <w:rFonts w:ascii="Public Sans" w:eastAsia="Aptos" w:hAnsi="Public Sans" w:cs="Calibri"/>
                <w:sz w:val="17"/>
                <w:szCs w:val="17"/>
                <w:lang w:eastAsia="en-AU"/>
              </w:rPr>
            </w:pPr>
            <w:r w:rsidRPr="006A2614">
              <w:rPr>
                <w:rFonts w:ascii="Public Sans" w:eastAsia="Aptos" w:hAnsi="Public Sans" w:cs="Calibri"/>
                <w:sz w:val="17"/>
                <w:szCs w:val="17"/>
                <w:lang w:eastAsia="en-AU"/>
              </w:rPr>
              <w:t>Year started</w:t>
            </w:r>
          </w:p>
        </w:tc>
        <w:tc>
          <w:tcPr>
            <w:tcW w:w="1559" w:type="dxa"/>
            <w:shd w:val="clear" w:color="auto" w:fill="D9D9D9" w:themeFill="background1" w:themeFillShade="D9"/>
            <w:tcMar>
              <w:left w:w="105" w:type="dxa"/>
              <w:right w:w="105" w:type="dxa"/>
            </w:tcMar>
            <w:vAlign w:val="center"/>
          </w:tcPr>
          <w:p w14:paraId="54AD2409" w14:textId="1C854899" w:rsidR="001E326C" w:rsidRPr="006A2614" w:rsidRDefault="001E326C" w:rsidP="004F7547">
            <w:pPr>
              <w:jc w:val="center"/>
              <w:rPr>
                <w:rFonts w:ascii="Public Sans" w:eastAsia="Aptos" w:hAnsi="Public Sans" w:cs="Calibri"/>
                <w:sz w:val="17"/>
                <w:szCs w:val="17"/>
                <w:lang w:eastAsia="en-AU"/>
              </w:rPr>
            </w:pPr>
            <w:r w:rsidRPr="006A2614">
              <w:rPr>
                <w:rFonts w:ascii="Public Sans" w:eastAsia="Aptos" w:hAnsi="Public Sans" w:cs="Calibri"/>
                <w:sz w:val="17"/>
                <w:szCs w:val="17"/>
                <w:lang w:eastAsia="en-AU"/>
              </w:rPr>
              <w:t>Latest Approved ETC $m</w:t>
            </w:r>
          </w:p>
        </w:tc>
      </w:tr>
      <w:tr w:rsidR="001E326C" w14:paraId="0C777FE8" w14:textId="77777777" w:rsidTr="00224FC6">
        <w:trPr>
          <w:trHeight w:val="300"/>
        </w:trPr>
        <w:tc>
          <w:tcPr>
            <w:tcW w:w="6946" w:type="dxa"/>
            <w:tcMar>
              <w:left w:w="105" w:type="dxa"/>
              <w:right w:w="105" w:type="dxa"/>
            </w:tcMar>
            <w:vAlign w:val="center"/>
          </w:tcPr>
          <w:p w14:paraId="35E673A1" w14:textId="52F33A63"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 xml:space="preserve">Bankstown Hospital (New) </w:t>
            </w:r>
          </w:p>
        </w:tc>
        <w:tc>
          <w:tcPr>
            <w:tcW w:w="1134" w:type="dxa"/>
            <w:tcMar>
              <w:left w:w="105" w:type="dxa"/>
              <w:right w:w="105" w:type="dxa"/>
            </w:tcMar>
            <w:vAlign w:val="center"/>
          </w:tcPr>
          <w:p w14:paraId="64EEBFE7" w14:textId="19901718"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2020</w:t>
            </w:r>
          </w:p>
        </w:tc>
        <w:tc>
          <w:tcPr>
            <w:tcW w:w="1559" w:type="dxa"/>
            <w:tcMar>
              <w:left w:w="105" w:type="dxa"/>
              <w:right w:w="105" w:type="dxa"/>
            </w:tcMar>
            <w:vAlign w:val="center"/>
          </w:tcPr>
          <w:p w14:paraId="3644E7A5" w14:textId="1DC6FAEC"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2,000</w:t>
            </w:r>
            <w:r w:rsidR="00DC6273" w:rsidRPr="006A2614">
              <w:rPr>
                <w:rFonts w:ascii="Public Sans" w:eastAsia="Aptos" w:hAnsi="Public Sans" w:cs="Calibri"/>
                <w:sz w:val="16"/>
                <w:szCs w:val="16"/>
                <w:lang w:eastAsia="en-AU"/>
              </w:rPr>
              <w:t>.0</w:t>
            </w:r>
          </w:p>
        </w:tc>
      </w:tr>
      <w:tr w:rsidR="001E326C" w14:paraId="4251E684" w14:textId="77777777" w:rsidTr="00224FC6">
        <w:trPr>
          <w:trHeight w:val="300"/>
        </w:trPr>
        <w:tc>
          <w:tcPr>
            <w:tcW w:w="6946" w:type="dxa"/>
            <w:tcMar>
              <w:left w:w="105" w:type="dxa"/>
              <w:right w:w="105" w:type="dxa"/>
            </w:tcMar>
            <w:vAlign w:val="center"/>
          </w:tcPr>
          <w:p w14:paraId="5F72AE63" w14:textId="1356F6E9"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Nepean Hospital and Integrated Ambulatory Services Stage</w:t>
            </w:r>
            <w:r w:rsidR="00D013B0" w:rsidRPr="006A2614">
              <w:rPr>
                <w:rFonts w:ascii="Public Sans" w:eastAsia="Aptos" w:hAnsi="Public Sans" w:cs="Calibri"/>
                <w:sz w:val="16"/>
                <w:szCs w:val="16"/>
                <w:lang w:eastAsia="en-AU"/>
              </w:rPr>
              <w:t>s</w:t>
            </w:r>
            <w:r w:rsidRPr="006A2614">
              <w:rPr>
                <w:rFonts w:ascii="Public Sans" w:eastAsia="Aptos" w:hAnsi="Public Sans" w:cs="Calibri"/>
                <w:sz w:val="16"/>
                <w:szCs w:val="16"/>
                <w:lang w:eastAsia="en-AU"/>
              </w:rPr>
              <w:t xml:space="preserve"> 1 and 2 </w:t>
            </w:r>
          </w:p>
        </w:tc>
        <w:tc>
          <w:tcPr>
            <w:tcW w:w="1134" w:type="dxa"/>
            <w:tcMar>
              <w:left w:w="105" w:type="dxa"/>
              <w:right w:w="105" w:type="dxa"/>
            </w:tcMar>
            <w:vAlign w:val="center"/>
          </w:tcPr>
          <w:p w14:paraId="4D98F444" w14:textId="77061F1A"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2017</w:t>
            </w:r>
          </w:p>
        </w:tc>
        <w:tc>
          <w:tcPr>
            <w:tcW w:w="1559" w:type="dxa"/>
            <w:tcMar>
              <w:left w:w="105" w:type="dxa"/>
              <w:right w:w="105" w:type="dxa"/>
            </w:tcMar>
            <w:vAlign w:val="center"/>
          </w:tcPr>
          <w:p w14:paraId="7FDFA88B" w14:textId="64CB7F63"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1,031</w:t>
            </w:r>
            <w:r w:rsidR="00DC6273" w:rsidRPr="006A2614">
              <w:rPr>
                <w:rFonts w:ascii="Public Sans" w:eastAsia="Aptos" w:hAnsi="Public Sans" w:cs="Calibri"/>
                <w:sz w:val="16"/>
                <w:szCs w:val="16"/>
                <w:lang w:eastAsia="en-AU"/>
              </w:rPr>
              <w:t>.0</w:t>
            </w:r>
          </w:p>
        </w:tc>
      </w:tr>
      <w:tr w:rsidR="001E326C" w14:paraId="57BC57A7" w14:textId="77777777" w:rsidTr="00224FC6">
        <w:trPr>
          <w:trHeight w:val="300"/>
        </w:trPr>
        <w:tc>
          <w:tcPr>
            <w:tcW w:w="6946" w:type="dxa"/>
            <w:tcMar>
              <w:left w:w="105" w:type="dxa"/>
              <w:right w:w="105" w:type="dxa"/>
            </w:tcMar>
            <w:vAlign w:val="center"/>
          </w:tcPr>
          <w:p w14:paraId="5B051FE8" w14:textId="77777777"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 xml:space="preserve">Royal Prince Alfred Hospital Redevelopment </w:t>
            </w:r>
          </w:p>
        </w:tc>
        <w:tc>
          <w:tcPr>
            <w:tcW w:w="1134" w:type="dxa"/>
            <w:tcMar>
              <w:left w:w="105" w:type="dxa"/>
              <w:right w:w="105" w:type="dxa"/>
            </w:tcMar>
            <w:vAlign w:val="center"/>
          </w:tcPr>
          <w:p w14:paraId="6EA5EBD5" w14:textId="094938E4"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2020</w:t>
            </w:r>
          </w:p>
        </w:tc>
        <w:tc>
          <w:tcPr>
            <w:tcW w:w="1559" w:type="dxa"/>
            <w:tcMar>
              <w:left w:w="105" w:type="dxa"/>
              <w:right w:w="105" w:type="dxa"/>
            </w:tcMar>
            <w:vAlign w:val="center"/>
          </w:tcPr>
          <w:p w14:paraId="6E554170" w14:textId="38BED076"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940</w:t>
            </w:r>
            <w:r w:rsidR="00DC6273" w:rsidRPr="006A2614">
              <w:rPr>
                <w:rFonts w:ascii="Public Sans" w:eastAsia="Aptos" w:hAnsi="Public Sans" w:cs="Calibri"/>
                <w:sz w:val="16"/>
                <w:szCs w:val="16"/>
                <w:lang w:eastAsia="en-AU"/>
              </w:rPr>
              <w:t>.0</w:t>
            </w:r>
          </w:p>
        </w:tc>
      </w:tr>
      <w:tr w:rsidR="001E326C" w14:paraId="348EB202" w14:textId="77777777" w:rsidTr="00224FC6">
        <w:trPr>
          <w:trHeight w:val="300"/>
        </w:trPr>
        <w:tc>
          <w:tcPr>
            <w:tcW w:w="6946" w:type="dxa"/>
            <w:tcMar>
              <w:left w:w="105" w:type="dxa"/>
              <w:right w:w="105" w:type="dxa"/>
            </w:tcMar>
            <w:vAlign w:val="center"/>
          </w:tcPr>
          <w:p w14:paraId="6F7B8625" w14:textId="77777777"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 xml:space="preserve">Randwick Campus Reconfiguration and Expansion Stage 1 </w:t>
            </w:r>
          </w:p>
        </w:tc>
        <w:tc>
          <w:tcPr>
            <w:tcW w:w="1134" w:type="dxa"/>
            <w:tcMar>
              <w:left w:w="105" w:type="dxa"/>
              <w:right w:w="105" w:type="dxa"/>
            </w:tcMar>
            <w:vAlign w:val="center"/>
          </w:tcPr>
          <w:p w14:paraId="70D62988" w14:textId="5813CCE4"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2017</w:t>
            </w:r>
          </w:p>
        </w:tc>
        <w:tc>
          <w:tcPr>
            <w:tcW w:w="1559" w:type="dxa"/>
            <w:tcMar>
              <w:left w:w="105" w:type="dxa"/>
              <w:right w:w="105" w:type="dxa"/>
            </w:tcMar>
            <w:vAlign w:val="center"/>
          </w:tcPr>
          <w:p w14:paraId="63043C6B" w14:textId="1913A5B8" w:rsidR="001E326C" w:rsidRPr="006A2614" w:rsidRDefault="00F843A9"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869.8</w:t>
            </w:r>
          </w:p>
        </w:tc>
      </w:tr>
      <w:tr w:rsidR="001E326C" w14:paraId="56812F85" w14:textId="77777777" w:rsidTr="00224FC6">
        <w:trPr>
          <w:trHeight w:val="300"/>
        </w:trPr>
        <w:tc>
          <w:tcPr>
            <w:tcW w:w="6946" w:type="dxa"/>
            <w:tcMar>
              <w:left w:w="105" w:type="dxa"/>
              <w:right w:w="105" w:type="dxa"/>
            </w:tcMar>
            <w:vAlign w:val="center"/>
          </w:tcPr>
          <w:p w14:paraId="614FC819" w14:textId="77777777"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 xml:space="preserve">John Hunter Health and Innovation Precinct </w:t>
            </w:r>
          </w:p>
        </w:tc>
        <w:tc>
          <w:tcPr>
            <w:tcW w:w="1134" w:type="dxa"/>
            <w:tcMar>
              <w:left w:w="105" w:type="dxa"/>
              <w:right w:w="105" w:type="dxa"/>
            </w:tcMar>
            <w:vAlign w:val="center"/>
          </w:tcPr>
          <w:p w14:paraId="4CBC4AF6" w14:textId="0EF6D662"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2019</w:t>
            </w:r>
          </w:p>
        </w:tc>
        <w:tc>
          <w:tcPr>
            <w:tcW w:w="1559" w:type="dxa"/>
            <w:tcMar>
              <w:left w:w="105" w:type="dxa"/>
              <w:right w:w="105" w:type="dxa"/>
            </w:tcMar>
            <w:vAlign w:val="center"/>
          </w:tcPr>
          <w:p w14:paraId="6E949E13" w14:textId="3D757C07"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835</w:t>
            </w:r>
            <w:r w:rsidR="00F843A9" w:rsidRPr="006A2614">
              <w:rPr>
                <w:rFonts w:ascii="Public Sans" w:eastAsia="Aptos" w:hAnsi="Public Sans" w:cs="Calibri"/>
                <w:sz w:val="16"/>
                <w:szCs w:val="16"/>
                <w:lang w:eastAsia="en-AU"/>
              </w:rPr>
              <w:t>.0</w:t>
            </w:r>
          </w:p>
        </w:tc>
      </w:tr>
      <w:tr w:rsidR="001E326C" w14:paraId="59BA0431" w14:textId="77777777" w:rsidTr="00224FC6">
        <w:trPr>
          <w:trHeight w:val="300"/>
        </w:trPr>
        <w:tc>
          <w:tcPr>
            <w:tcW w:w="6946" w:type="dxa"/>
            <w:tcMar>
              <w:left w:w="105" w:type="dxa"/>
              <w:right w:w="105" w:type="dxa"/>
            </w:tcMar>
            <w:vAlign w:val="center"/>
          </w:tcPr>
          <w:p w14:paraId="3508DB75" w14:textId="77777777"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 xml:space="preserve">Westmead Hospital Redevelopment Stage 1 </w:t>
            </w:r>
          </w:p>
        </w:tc>
        <w:tc>
          <w:tcPr>
            <w:tcW w:w="1134" w:type="dxa"/>
            <w:tcMar>
              <w:left w:w="105" w:type="dxa"/>
              <w:right w:w="105" w:type="dxa"/>
            </w:tcMar>
            <w:vAlign w:val="center"/>
          </w:tcPr>
          <w:p w14:paraId="2FD7DEB0" w14:textId="2E8B3708"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2014</w:t>
            </w:r>
          </w:p>
        </w:tc>
        <w:tc>
          <w:tcPr>
            <w:tcW w:w="1559" w:type="dxa"/>
            <w:tcMar>
              <w:left w:w="105" w:type="dxa"/>
              <w:right w:w="105" w:type="dxa"/>
            </w:tcMar>
            <w:vAlign w:val="center"/>
          </w:tcPr>
          <w:p w14:paraId="0786CED9" w14:textId="199336F4"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83</w:t>
            </w:r>
            <w:r w:rsidR="00056CB6" w:rsidRPr="006A2614">
              <w:rPr>
                <w:rFonts w:ascii="Public Sans" w:eastAsia="Aptos" w:hAnsi="Public Sans" w:cs="Calibri"/>
                <w:sz w:val="16"/>
                <w:szCs w:val="16"/>
                <w:lang w:eastAsia="en-AU"/>
              </w:rPr>
              <w:t>1.6</w:t>
            </w:r>
          </w:p>
        </w:tc>
      </w:tr>
      <w:tr w:rsidR="001E326C" w14:paraId="178A3362" w14:textId="77777777" w:rsidTr="00224FC6">
        <w:trPr>
          <w:trHeight w:val="300"/>
        </w:trPr>
        <w:tc>
          <w:tcPr>
            <w:tcW w:w="6946" w:type="dxa"/>
            <w:tcMar>
              <w:left w:w="105" w:type="dxa"/>
              <w:right w:w="105" w:type="dxa"/>
            </w:tcMar>
            <w:vAlign w:val="center"/>
          </w:tcPr>
          <w:p w14:paraId="503FAFD4" w14:textId="5A56474A"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Rouse Hill Hospital</w:t>
            </w:r>
            <w:r w:rsidR="0096065D" w:rsidRPr="006A2614">
              <w:rPr>
                <w:rFonts w:ascii="Public Sans" w:eastAsia="Aptos" w:hAnsi="Public Sans" w:cs="Calibri"/>
                <w:sz w:val="16"/>
                <w:szCs w:val="16"/>
                <w:vertAlign w:val="superscript"/>
                <w:lang w:eastAsia="en-AU"/>
              </w:rPr>
              <w:t>(a)</w:t>
            </w:r>
            <w:r w:rsidRPr="006A2614">
              <w:rPr>
                <w:rFonts w:ascii="Public Sans" w:eastAsia="Aptos" w:hAnsi="Public Sans" w:cs="Calibri"/>
                <w:sz w:val="16"/>
                <w:szCs w:val="16"/>
                <w:lang w:eastAsia="en-AU"/>
              </w:rPr>
              <w:t xml:space="preserve"> </w:t>
            </w:r>
          </w:p>
        </w:tc>
        <w:tc>
          <w:tcPr>
            <w:tcW w:w="1134" w:type="dxa"/>
            <w:tcMar>
              <w:left w:w="105" w:type="dxa"/>
              <w:right w:w="105" w:type="dxa"/>
            </w:tcMar>
            <w:vAlign w:val="center"/>
          </w:tcPr>
          <w:p w14:paraId="364944AA" w14:textId="2DCB080C"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2018</w:t>
            </w:r>
          </w:p>
        </w:tc>
        <w:tc>
          <w:tcPr>
            <w:tcW w:w="1559" w:type="dxa"/>
            <w:tcMar>
              <w:left w:w="105" w:type="dxa"/>
              <w:right w:w="105" w:type="dxa"/>
            </w:tcMar>
            <w:vAlign w:val="center"/>
          </w:tcPr>
          <w:p w14:paraId="33DBEFC5" w14:textId="2F861583"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790</w:t>
            </w:r>
            <w:r w:rsidR="00056CB6" w:rsidRPr="006A2614">
              <w:rPr>
                <w:rFonts w:ascii="Public Sans" w:eastAsia="Aptos" w:hAnsi="Public Sans" w:cs="Calibri"/>
                <w:sz w:val="16"/>
                <w:szCs w:val="16"/>
                <w:lang w:eastAsia="en-AU"/>
              </w:rPr>
              <w:t>.0</w:t>
            </w:r>
          </w:p>
        </w:tc>
      </w:tr>
      <w:tr w:rsidR="001E326C" w14:paraId="099A3D68" w14:textId="77777777" w:rsidTr="00224FC6">
        <w:trPr>
          <w:trHeight w:val="300"/>
        </w:trPr>
        <w:tc>
          <w:tcPr>
            <w:tcW w:w="6946" w:type="dxa"/>
            <w:tcMar>
              <w:left w:w="105" w:type="dxa"/>
              <w:right w:w="105" w:type="dxa"/>
            </w:tcMar>
            <w:vAlign w:val="center"/>
          </w:tcPr>
          <w:p w14:paraId="2BE1EFC6" w14:textId="336C4217"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New Shellharbour Hospital (</w:t>
            </w:r>
            <w:r w:rsidR="006C61E3">
              <w:rPr>
                <w:rFonts w:ascii="Public Sans" w:eastAsia="Aptos" w:hAnsi="Public Sans" w:cs="Calibri"/>
                <w:sz w:val="16"/>
                <w:szCs w:val="16"/>
                <w:lang w:eastAsia="en-AU"/>
              </w:rPr>
              <w:t>i</w:t>
            </w:r>
            <w:r w:rsidRPr="006A2614">
              <w:rPr>
                <w:rFonts w:ascii="Public Sans" w:eastAsia="Aptos" w:hAnsi="Public Sans" w:cs="Calibri"/>
                <w:sz w:val="16"/>
                <w:szCs w:val="16"/>
                <w:lang w:eastAsia="en-AU"/>
              </w:rPr>
              <w:t xml:space="preserve">ncluding </w:t>
            </w:r>
            <w:r w:rsidR="006C61E3">
              <w:rPr>
                <w:rFonts w:ascii="Public Sans" w:eastAsia="Aptos" w:hAnsi="Public Sans" w:cs="Calibri"/>
                <w:sz w:val="16"/>
                <w:szCs w:val="16"/>
                <w:lang w:eastAsia="en-AU"/>
              </w:rPr>
              <w:t>c</w:t>
            </w:r>
            <w:r w:rsidRPr="006A2614">
              <w:rPr>
                <w:rFonts w:ascii="Public Sans" w:eastAsia="Aptos" w:hAnsi="Public Sans" w:cs="Calibri"/>
                <w:sz w:val="16"/>
                <w:szCs w:val="16"/>
                <w:lang w:eastAsia="en-AU"/>
              </w:rPr>
              <w:t xml:space="preserve">ar </w:t>
            </w:r>
            <w:r w:rsidR="006C61E3">
              <w:rPr>
                <w:rFonts w:ascii="Public Sans" w:eastAsia="Aptos" w:hAnsi="Public Sans" w:cs="Calibri"/>
                <w:sz w:val="16"/>
                <w:szCs w:val="16"/>
                <w:lang w:eastAsia="en-AU"/>
              </w:rPr>
              <w:t>p</w:t>
            </w:r>
            <w:r w:rsidRPr="006A2614">
              <w:rPr>
                <w:rFonts w:ascii="Public Sans" w:eastAsia="Aptos" w:hAnsi="Public Sans" w:cs="Calibri"/>
                <w:sz w:val="16"/>
                <w:szCs w:val="16"/>
                <w:lang w:eastAsia="en-AU"/>
              </w:rPr>
              <w:t xml:space="preserve">ark) and Integrated Services </w:t>
            </w:r>
          </w:p>
        </w:tc>
        <w:tc>
          <w:tcPr>
            <w:tcW w:w="1134" w:type="dxa"/>
            <w:tcMar>
              <w:left w:w="105" w:type="dxa"/>
              <w:right w:w="105" w:type="dxa"/>
            </w:tcMar>
            <w:vAlign w:val="center"/>
          </w:tcPr>
          <w:p w14:paraId="15B8491D" w14:textId="6A904C66"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2017</w:t>
            </w:r>
          </w:p>
        </w:tc>
        <w:tc>
          <w:tcPr>
            <w:tcW w:w="1559" w:type="dxa"/>
            <w:tcMar>
              <w:left w:w="105" w:type="dxa"/>
              <w:right w:w="105" w:type="dxa"/>
            </w:tcMar>
            <w:vAlign w:val="center"/>
          </w:tcPr>
          <w:p w14:paraId="59D98A44" w14:textId="49CC7B3D"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78</w:t>
            </w:r>
            <w:r w:rsidR="00056CB6" w:rsidRPr="006A2614">
              <w:rPr>
                <w:rFonts w:ascii="Public Sans" w:eastAsia="Aptos" w:hAnsi="Public Sans" w:cs="Calibri"/>
                <w:sz w:val="16"/>
                <w:szCs w:val="16"/>
                <w:lang w:eastAsia="en-AU"/>
              </w:rPr>
              <w:t>1.9</w:t>
            </w:r>
          </w:p>
        </w:tc>
      </w:tr>
      <w:tr w:rsidR="001E326C" w14:paraId="3161A2F2" w14:textId="77777777" w:rsidTr="00224FC6">
        <w:trPr>
          <w:trHeight w:val="300"/>
        </w:trPr>
        <w:tc>
          <w:tcPr>
            <w:tcW w:w="6946" w:type="dxa"/>
            <w:tcMar>
              <w:left w:w="105" w:type="dxa"/>
              <w:right w:w="105" w:type="dxa"/>
            </w:tcMar>
            <w:vAlign w:val="center"/>
          </w:tcPr>
          <w:p w14:paraId="7D326511" w14:textId="77777777"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 xml:space="preserve">Liverpool Health and Academic Precinct </w:t>
            </w:r>
          </w:p>
        </w:tc>
        <w:tc>
          <w:tcPr>
            <w:tcW w:w="1134" w:type="dxa"/>
            <w:tcMar>
              <w:left w:w="105" w:type="dxa"/>
              <w:right w:w="105" w:type="dxa"/>
            </w:tcMar>
            <w:vAlign w:val="center"/>
          </w:tcPr>
          <w:p w14:paraId="115C366A" w14:textId="3CCFDB24"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2018</w:t>
            </w:r>
          </w:p>
        </w:tc>
        <w:tc>
          <w:tcPr>
            <w:tcW w:w="1559" w:type="dxa"/>
            <w:tcMar>
              <w:left w:w="105" w:type="dxa"/>
              <w:right w:w="105" w:type="dxa"/>
            </w:tcMar>
            <w:vAlign w:val="center"/>
          </w:tcPr>
          <w:p w14:paraId="19A03017" w14:textId="5F660C35"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780</w:t>
            </w:r>
            <w:r w:rsidR="00714F90" w:rsidRPr="006A2614">
              <w:rPr>
                <w:rFonts w:ascii="Public Sans" w:eastAsia="Aptos" w:hAnsi="Public Sans" w:cs="Calibri"/>
                <w:sz w:val="16"/>
                <w:szCs w:val="16"/>
                <w:lang w:eastAsia="en-AU"/>
              </w:rPr>
              <w:t>.0</w:t>
            </w:r>
          </w:p>
        </w:tc>
      </w:tr>
      <w:tr w:rsidR="001E326C" w14:paraId="595B8E3E" w14:textId="77777777" w:rsidTr="00224FC6">
        <w:trPr>
          <w:trHeight w:val="300"/>
        </w:trPr>
        <w:tc>
          <w:tcPr>
            <w:tcW w:w="6946" w:type="dxa"/>
            <w:tcMar>
              <w:left w:w="105" w:type="dxa"/>
              <w:right w:w="105" w:type="dxa"/>
            </w:tcMar>
            <w:vAlign w:val="center"/>
          </w:tcPr>
          <w:p w14:paraId="09B4E76C" w14:textId="77777777"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 xml:space="preserve">Tweed Hospital and Integrated Ambulatory Services Redevelopment </w:t>
            </w:r>
          </w:p>
        </w:tc>
        <w:tc>
          <w:tcPr>
            <w:tcW w:w="1134" w:type="dxa"/>
            <w:tcMar>
              <w:left w:w="105" w:type="dxa"/>
              <w:right w:w="105" w:type="dxa"/>
            </w:tcMar>
            <w:vAlign w:val="center"/>
          </w:tcPr>
          <w:p w14:paraId="7C1ED4FA" w14:textId="0D16D81C"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2016</w:t>
            </w:r>
          </w:p>
        </w:tc>
        <w:tc>
          <w:tcPr>
            <w:tcW w:w="1559" w:type="dxa"/>
            <w:tcMar>
              <w:left w:w="105" w:type="dxa"/>
              <w:right w:w="105" w:type="dxa"/>
            </w:tcMar>
            <w:vAlign w:val="center"/>
          </w:tcPr>
          <w:p w14:paraId="45DD643F" w14:textId="49DC44FE"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723</w:t>
            </w:r>
            <w:r w:rsidR="00AC4905" w:rsidRPr="006A2614">
              <w:rPr>
                <w:rFonts w:ascii="Public Sans" w:eastAsia="Aptos" w:hAnsi="Public Sans" w:cs="Calibri"/>
                <w:sz w:val="16"/>
                <w:szCs w:val="16"/>
                <w:lang w:eastAsia="en-AU"/>
              </w:rPr>
              <w:t>.3</w:t>
            </w:r>
          </w:p>
        </w:tc>
      </w:tr>
      <w:tr w:rsidR="001E326C" w14:paraId="6304A55E" w14:textId="77777777" w:rsidTr="00224FC6">
        <w:tc>
          <w:tcPr>
            <w:tcW w:w="6946" w:type="dxa"/>
            <w:tcMar>
              <w:left w:w="105" w:type="dxa"/>
              <w:right w:w="105" w:type="dxa"/>
            </w:tcMar>
            <w:vAlign w:val="center"/>
          </w:tcPr>
          <w:p w14:paraId="286CB3B2" w14:textId="0AA83A5F"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 xml:space="preserve">The Children’s Hospital at Westmead Stage 2 Redevelopment </w:t>
            </w:r>
          </w:p>
        </w:tc>
        <w:tc>
          <w:tcPr>
            <w:tcW w:w="1134" w:type="dxa"/>
            <w:tcMar>
              <w:left w:w="105" w:type="dxa"/>
              <w:right w:w="105" w:type="dxa"/>
            </w:tcMar>
            <w:vAlign w:val="center"/>
          </w:tcPr>
          <w:p w14:paraId="6D367EF7" w14:textId="417FFA84"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2019</w:t>
            </w:r>
          </w:p>
        </w:tc>
        <w:tc>
          <w:tcPr>
            <w:tcW w:w="1559" w:type="dxa"/>
            <w:tcMar>
              <w:left w:w="105" w:type="dxa"/>
              <w:right w:w="105" w:type="dxa"/>
            </w:tcMar>
            <w:vAlign w:val="center"/>
          </w:tcPr>
          <w:p w14:paraId="5EB1B89F" w14:textId="5A97087F"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659</w:t>
            </w:r>
            <w:r w:rsidR="00AC4905" w:rsidRPr="006A2614">
              <w:rPr>
                <w:rFonts w:ascii="Public Sans" w:eastAsia="Aptos" w:hAnsi="Public Sans" w:cs="Calibri"/>
                <w:sz w:val="16"/>
                <w:szCs w:val="16"/>
                <w:lang w:eastAsia="en-AU"/>
              </w:rPr>
              <w:t>.1</w:t>
            </w:r>
          </w:p>
        </w:tc>
      </w:tr>
      <w:tr w:rsidR="001E326C" w14:paraId="336B0BE1" w14:textId="77777777" w:rsidTr="00224FC6">
        <w:trPr>
          <w:trHeight w:val="300"/>
        </w:trPr>
        <w:tc>
          <w:tcPr>
            <w:tcW w:w="6946" w:type="dxa"/>
            <w:tcBorders>
              <w:bottom w:val="single" w:sz="4" w:space="0" w:color="auto"/>
            </w:tcBorders>
            <w:tcMar>
              <w:left w:w="105" w:type="dxa"/>
              <w:right w:w="105" w:type="dxa"/>
            </w:tcMar>
            <w:vAlign w:val="center"/>
          </w:tcPr>
          <w:p w14:paraId="4448FFC8" w14:textId="72D4056E" w:rsidR="001E326C" w:rsidRPr="006A2614" w:rsidRDefault="001E326C" w:rsidP="000E25E7">
            <w:pPr>
              <w:spacing w:before="40" w:after="40"/>
              <w:rPr>
                <w:rFonts w:ascii="Public Sans" w:eastAsia="Aptos" w:hAnsi="Public Sans" w:cs="Calibri"/>
                <w:sz w:val="16"/>
                <w:szCs w:val="16"/>
                <w:lang w:eastAsia="en-AU"/>
              </w:rPr>
            </w:pPr>
            <w:r w:rsidRPr="006A2614">
              <w:rPr>
                <w:rFonts w:ascii="Public Sans" w:eastAsia="Aptos" w:hAnsi="Public Sans" w:cs="Calibri"/>
                <w:sz w:val="16"/>
                <w:szCs w:val="16"/>
                <w:lang w:eastAsia="en-AU"/>
              </w:rPr>
              <w:t xml:space="preserve">Sydney Children’s Hospital, Randwick – Stage 1 Children’s Comprehensive Cancer Centre </w:t>
            </w:r>
          </w:p>
        </w:tc>
        <w:tc>
          <w:tcPr>
            <w:tcW w:w="1134" w:type="dxa"/>
            <w:tcBorders>
              <w:bottom w:val="single" w:sz="4" w:space="0" w:color="auto"/>
            </w:tcBorders>
            <w:tcMar>
              <w:left w:w="105" w:type="dxa"/>
              <w:right w:w="105" w:type="dxa"/>
            </w:tcMar>
            <w:vAlign w:val="center"/>
          </w:tcPr>
          <w:p w14:paraId="3F89866E" w14:textId="3D1E62BD"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2020</w:t>
            </w:r>
          </w:p>
        </w:tc>
        <w:tc>
          <w:tcPr>
            <w:tcW w:w="1559" w:type="dxa"/>
            <w:tcBorders>
              <w:bottom w:val="single" w:sz="4" w:space="0" w:color="auto"/>
            </w:tcBorders>
            <w:tcMar>
              <w:left w:w="105" w:type="dxa"/>
              <w:right w:w="105" w:type="dxa"/>
            </w:tcMar>
            <w:vAlign w:val="center"/>
          </w:tcPr>
          <w:p w14:paraId="19F6FD95" w14:textId="260672E6" w:rsidR="001E326C" w:rsidRPr="006A2614" w:rsidRDefault="001E326C" w:rsidP="000E25E7">
            <w:pPr>
              <w:spacing w:before="40" w:after="40"/>
              <w:jc w:val="center"/>
              <w:rPr>
                <w:rFonts w:ascii="Public Sans" w:eastAsia="Aptos" w:hAnsi="Public Sans" w:cs="Calibri"/>
                <w:sz w:val="16"/>
                <w:szCs w:val="16"/>
                <w:lang w:eastAsia="en-AU"/>
              </w:rPr>
            </w:pPr>
            <w:r w:rsidRPr="006A2614">
              <w:rPr>
                <w:rFonts w:ascii="Public Sans" w:eastAsia="Aptos" w:hAnsi="Public Sans" w:cs="Calibri"/>
                <w:sz w:val="16"/>
                <w:szCs w:val="16"/>
                <w:lang w:eastAsia="en-AU"/>
              </w:rPr>
              <w:t>658</w:t>
            </w:r>
            <w:r w:rsidR="00AC4905" w:rsidRPr="006A2614">
              <w:rPr>
                <w:rFonts w:ascii="Public Sans" w:eastAsia="Aptos" w:hAnsi="Public Sans" w:cs="Calibri"/>
                <w:sz w:val="16"/>
                <w:szCs w:val="16"/>
                <w:lang w:eastAsia="en-AU"/>
              </w:rPr>
              <w:t>.0</w:t>
            </w:r>
          </w:p>
        </w:tc>
      </w:tr>
    </w:tbl>
    <w:p w14:paraId="7F3EBBED" w14:textId="77777777" w:rsidR="0096065D" w:rsidRPr="007D65FC" w:rsidRDefault="0096065D" w:rsidP="0096065D">
      <w:pPr>
        <w:rPr>
          <w:rFonts w:eastAsia="Public Sans"/>
          <w:sz w:val="6"/>
          <w:szCs w:val="6"/>
        </w:rPr>
      </w:pPr>
    </w:p>
    <w:p w14:paraId="3F24B46A" w14:textId="78FB3595" w:rsidR="00A770C4" w:rsidRPr="007D65FC" w:rsidRDefault="0096065D" w:rsidP="00895409">
      <w:pPr>
        <w:pStyle w:val="NoSpacing"/>
        <w:widowControl w:val="0"/>
        <w:numPr>
          <w:ilvl w:val="0"/>
          <w:numId w:val="97"/>
        </w:numPr>
        <w:ind w:left="360"/>
        <w:rPr>
          <w:rFonts w:ascii="Public Sans" w:eastAsia="Public Sans" w:hAnsi="Public Sans"/>
          <w:sz w:val="17"/>
          <w:szCs w:val="17"/>
        </w:rPr>
      </w:pPr>
      <w:r w:rsidRPr="007D65FC">
        <w:rPr>
          <w:rFonts w:ascii="Public Sans" w:eastAsia="Public Sans" w:hAnsi="Public Sans"/>
          <w:sz w:val="17"/>
          <w:szCs w:val="17"/>
        </w:rPr>
        <w:t>E</w:t>
      </w:r>
      <w:r w:rsidR="00A770C4" w:rsidRPr="007D65FC">
        <w:rPr>
          <w:rFonts w:ascii="Public Sans" w:eastAsia="Public Sans" w:hAnsi="Public Sans"/>
          <w:sz w:val="17"/>
          <w:szCs w:val="17"/>
        </w:rPr>
        <w:t>xcludes $120</w:t>
      </w:r>
      <w:r w:rsidR="00263241">
        <w:rPr>
          <w:rFonts w:ascii="Public Sans" w:eastAsia="Public Sans" w:hAnsi="Public Sans"/>
          <w:sz w:val="17"/>
          <w:szCs w:val="17"/>
        </w:rPr>
        <w:t>.0</w:t>
      </w:r>
      <w:r w:rsidR="00A770C4" w:rsidRPr="007D65FC">
        <w:rPr>
          <w:rFonts w:ascii="Public Sans" w:eastAsia="Public Sans" w:hAnsi="Public Sans"/>
          <w:sz w:val="17"/>
          <w:szCs w:val="17"/>
        </w:rPr>
        <w:t xml:space="preserve"> million announced by the Australian Government. </w:t>
      </w:r>
    </w:p>
    <w:p w14:paraId="64A42887" w14:textId="77777777" w:rsidR="009E7E3E" w:rsidRDefault="009E7E3E" w:rsidP="009E7E3E"/>
    <w:p w14:paraId="4FB46647" w14:textId="49857238" w:rsidR="00BA3BF2" w:rsidRPr="00A9599B" w:rsidRDefault="00BA3BF2" w:rsidP="003F21C3">
      <w:pPr>
        <w:pStyle w:val="BodyText"/>
      </w:pPr>
      <w:r w:rsidRPr="5634E4A1">
        <w:rPr>
          <w:lang w:val="en-US"/>
        </w:rPr>
        <w:t xml:space="preserve">This Budget includes a </w:t>
      </w:r>
      <w:r w:rsidR="007348CD" w:rsidRPr="5634E4A1">
        <w:rPr>
          <w:lang w:val="en-US"/>
        </w:rPr>
        <w:t xml:space="preserve">record </w:t>
      </w:r>
      <w:r w:rsidRPr="5634E4A1">
        <w:rPr>
          <w:lang w:val="en-US"/>
        </w:rPr>
        <w:t>$9.</w:t>
      </w:r>
      <w:r w:rsidR="00F221A3" w:rsidRPr="5634E4A1">
        <w:rPr>
          <w:lang w:val="en-US"/>
        </w:rPr>
        <w:t>0</w:t>
      </w:r>
      <w:r w:rsidRPr="5634E4A1">
        <w:rPr>
          <w:lang w:val="en-US"/>
        </w:rPr>
        <w:t xml:space="preserve"> billion school infrastructure investment pipeline over four years. </w:t>
      </w:r>
      <w:r w:rsidR="00976C96">
        <w:rPr>
          <w:lang w:val="en-US"/>
        </w:rPr>
        <w:t>The program</w:t>
      </w:r>
      <w:r w:rsidR="4CAA959A" w:rsidRPr="5634E4A1">
        <w:rPr>
          <w:lang w:val="en-US"/>
        </w:rPr>
        <w:t xml:space="preserve"> ensure</w:t>
      </w:r>
      <w:r w:rsidR="23794600" w:rsidRPr="5634E4A1">
        <w:rPr>
          <w:lang w:val="en-US"/>
        </w:rPr>
        <w:t>s</w:t>
      </w:r>
      <w:r w:rsidR="001229B2" w:rsidRPr="5634E4A1">
        <w:rPr>
          <w:lang w:val="en-US"/>
        </w:rPr>
        <w:t xml:space="preserve"> schools are well-maintained with fit-for-purpose facilities and modern teaching technology so that teachers and students have the resources to achieve strong educational outcomes</w:t>
      </w:r>
      <w:r w:rsidR="00BF7607" w:rsidRPr="5634E4A1">
        <w:rPr>
          <w:lang w:val="en-US"/>
        </w:rPr>
        <w:t xml:space="preserve">. </w:t>
      </w:r>
      <w:r w:rsidRPr="5634E4A1">
        <w:rPr>
          <w:lang w:val="en-US"/>
        </w:rPr>
        <w:t xml:space="preserve">This includes the following new schools and upgrades: </w:t>
      </w:r>
    </w:p>
    <w:p w14:paraId="56C49A04" w14:textId="79228E57" w:rsidR="00BA3BF2" w:rsidRPr="006A2614" w:rsidRDefault="00BA3BF2" w:rsidP="007D65FC">
      <w:pPr>
        <w:pStyle w:val="Bullet1"/>
        <w:rPr>
          <w:szCs w:val="22"/>
          <w:lang w:val="en-AU"/>
        </w:rPr>
      </w:pPr>
      <w:r w:rsidRPr="006A2614">
        <w:rPr>
          <w:lang w:val="en-AU"/>
        </w:rPr>
        <w:t xml:space="preserve">Asquith </w:t>
      </w:r>
      <w:r w:rsidR="00443585">
        <w:rPr>
          <w:lang w:val="en-AU"/>
        </w:rPr>
        <w:t>h</w:t>
      </w:r>
      <w:r w:rsidRPr="006A2614">
        <w:rPr>
          <w:lang w:val="en-AU"/>
        </w:rPr>
        <w:t xml:space="preserve">igh </w:t>
      </w:r>
      <w:r w:rsidR="00443585">
        <w:rPr>
          <w:lang w:val="en-AU"/>
        </w:rPr>
        <w:t>s</w:t>
      </w:r>
      <w:r w:rsidR="0F3C8C26" w:rsidRPr="006A2614">
        <w:rPr>
          <w:lang w:val="en-AU"/>
        </w:rPr>
        <w:t>chool</w:t>
      </w:r>
      <w:r w:rsidR="00443585">
        <w:rPr>
          <w:lang w:val="en-AU"/>
        </w:rPr>
        <w:t>s</w:t>
      </w:r>
      <w:r w:rsidRPr="006A2614">
        <w:rPr>
          <w:lang w:val="en-AU"/>
        </w:rPr>
        <w:t xml:space="preserve"> </w:t>
      </w:r>
      <w:r w:rsidR="00443585">
        <w:rPr>
          <w:lang w:val="en-AU"/>
        </w:rPr>
        <w:t>U</w:t>
      </w:r>
      <w:r w:rsidRPr="006A2614">
        <w:rPr>
          <w:lang w:val="en-AU"/>
        </w:rPr>
        <w:t>pgrade</w:t>
      </w:r>
    </w:p>
    <w:p w14:paraId="4F557EB1" w14:textId="63A66615" w:rsidR="00BA3BF2" w:rsidRPr="006A2614" w:rsidRDefault="00BA3BF2" w:rsidP="007D65FC">
      <w:pPr>
        <w:pStyle w:val="Bullet1"/>
        <w:rPr>
          <w:szCs w:val="22"/>
          <w:lang w:val="en-AU"/>
        </w:rPr>
      </w:pPr>
      <w:r w:rsidRPr="006A2614">
        <w:rPr>
          <w:lang w:val="en-AU"/>
        </w:rPr>
        <w:t xml:space="preserve">Bayside High School (provisional name) </w:t>
      </w:r>
      <w:r w:rsidR="00443585">
        <w:rPr>
          <w:lang w:val="en-AU"/>
        </w:rPr>
        <w:t>U</w:t>
      </w:r>
      <w:r w:rsidRPr="006A2614">
        <w:rPr>
          <w:lang w:val="en-AU"/>
        </w:rPr>
        <w:t>pgrade</w:t>
      </w:r>
    </w:p>
    <w:p w14:paraId="78DA02CD" w14:textId="77777777" w:rsidR="00BA3BF2" w:rsidRPr="006A2614" w:rsidRDefault="00BA3BF2" w:rsidP="007D65FC">
      <w:pPr>
        <w:pStyle w:val="Bullet1"/>
        <w:rPr>
          <w:szCs w:val="22"/>
          <w:lang w:val="en-AU"/>
        </w:rPr>
      </w:pPr>
      <w:r w:rsidRPr="006A2614">
        <w:rPr>
          <w:lang w:val="en-AU"/>
        </w:rPr>
        <w:t>Emerald Hills new primary school, including a new preschool</w:t>
      </w:r>
    </w:p>
    <w:p w14:paraId="5EAA6004" w14:textId="03EA01AC" w:rsidR="52B74719" w:rsidRPr="006A2614" w:rsidRDefault="52B74719" w:rsidP="003F21C3">
      <w:pPr>
        <w:pStyle w:val="Bullet1"/>
        <w:rPr>
          <w:szCs w:val="22"/>
          <w:lang w:val="en-AU"/>
        </w:rPr>
      </w:pPr>
      <w:r w:rsidRPr="006A2614">
        <w:rPr>
          <w:lang w:val="en-AU"/>
        </w:rPr>
        <w:t>E</w:t>
      </w:r>
      <w:r w:rsidR="20550F5A" w:rsidRPr="006A2614">
        <w:rPr>
          <w:lang w:val="en-AU"/>
        </w:rPr>
        <w:t xml:space="preserve">rmington West Public School </w:t>
      </w:r>
      <w:r w:rsidR="00443585">
        <w:rPr>
          <w:lang w:val="en-AU"/>
        </w:rPr>
        <w:t>U</w:t>
      </w:r>
      <w:r w:rsidR="20550F5A" w:rsidRPr="006A2614">
        <w:rPr>
          <w:lang w:val="en-AU"/>
        </w:rPr>
        <w:t>pgrade</w:t>
      </w:r>
    </w:p>
    <w:p w14:paraId="493268DF" w14:textId="403AF3D3" w:rsidR="00BA3BF2" w:rsidRPr="006A2614" w:rsidRDefault="00BA3BF2" w:rsidP="007D65FC">
      <w:pPr>
        <w:pStyle w:val="Bullet1"/>
        <w:rPr>
          <w:szCs w:val="22"/>
          <w:lang w:val="en-AU"/>
        </w:rPr>
      </w:pPr>
      <w:r w:rsidRPr="006A2614">
        <w:rPr>
          <w:lang w:val="en-AU"/>
        </w:rPr>
        <w:t xml:space="preserve">Excelsior Public School </w:t>
      </w:r>
      <w:r w:rsidR="00443585">
        <w:rPr>
          <w:lang w:val="en-AU"/>
        </w:rPr>
        <w:t>U</w:t>
      </w:r>
      <w:r w:rsidRPr="006A2614">
        <w:rPr>
          <w:lang w:val="en-AU"/>
        </w:rPr>
        <w:t>pgrade</w:t>
      </w:r>
    </w:p>
    <w:p w14:paraId="2DEE10AC" w14:textId="77777777" w:rsidR="00BA3BF2" w:rsidRPr="006A2614" w:rsidRDefault="00BA3BF2" w:rsidP="007D65FC">
      <w:pPr>
        <w:pStyle w:val="Bullet1"/>
        <w:rPr>
          <w:szCs w:val="22"/>
          <w:lang w:val="en-AU"/>
        </w:rPr>
      </w:pPr>
      <w:r w:rsidRPr="006A2614">
        <w:rPr>
          <w:lang w:val="en-AU"/>
        </w:rPr>
        <w:t>Grantham Farm new primary school, including a new preschool</w:t>
      </w:r>
    </w:p>
    <w:p w14:paraId="21027246" w14:textId="538031DA" w:rsidR="007348CD" w:rsidRPr="006A2614" w:rsidRDefault="0571FB54" w:rsidP="007D65FC">
      <w:pPr>
        <w:pStyle w:val="Bullet1"/>
        <w:rPr>
          <w:szCs w:val="22"/>
          <w:lang w:val="en-AU"/>
        </w:rPr>
      </w:pPr>
      <w:r w:rsidRPr="006A2614">
        <w:rPr>
          <w:lang w:val="en-AU"/>
        </w:rPr>
        <w:t xml:space="preserve">Heathcote High School </w:t>
      </w:r>
      <w:r w:rsidR="00792284" w:rsidRPr="006A2614">
        <w:rPr>
          <w:lang w:val="en-AU"/>
        </w:rPr>
        <w:t>new</w:t>
      </w:r>
      <w:r w:rsidR="005D6638" w:rsidRPr="006A2614">
        <w:rPr>
          <w:lang w:val="en-AU"/>
        </w:rPr>
        <w:t xml:space="preserve"> multi-purpose</w:t>
      </w:r>
      <w:r w:rsidR="00F439F9" w:rsidRPr="006A2614">
        <w:rPr>
          <w:lang w:val="en-AU"/>
        </w:rPr>
        <w:t xml:space="preserve"> hall</w:t>
      </w:r>
    </w:p>
    <w:p w14:paraId="2DBFC633" w14:textId="53D8812E" w:rsidR="00BA3BF2" w:rsidRPr="006A2614" w:rsidRDefault="00BA3BF2" w:rsidP="007D65FC">
      <w:pPr>
        <w:pStyle w:val="Bullet1"/>
        <w:rPr>
          <w:szCs w:val="22"/>
          <w:lang w:val="en-AU"/>
        </w:rPr>
      </w:pPr>
      <w:r w:rsidRPr="006A2614">
        <w:rPr>
          <w:lang w:val="en-AU"/>
        </w:rPr>
        <w:t xml:space="preserve">Newington Public School </w:t>
      </w:r>
      <w:r w:rsidR="00443585">
        <w:rPr>
          <w:lang w:val="en-AU"/>
        </w:rPr>
        <w:t>U</w:t>
      </w:r>
      <w:r w:rsidRPr="006A2614">
        <w:rPr>
          <w:lang w:val="en-AU"/>
        </w:rPr>
        <w:t>pgrade</w:t>
      </w:r>
    </w:p>
    <w:p w14:paraId="4435D936" w14:textId="049795C1" w:rsidR="007417AF" w:rsidRPr="006A2614" w:rsidRDefault="00A304EE" w:rsidP="007D65FC">
      <w:pPr>
        <w:pStyle w:val="Bullet1"/>
        <w:rPr>
          <w:lang w:val="en-AU"/>
        </w:rPr>
      </w:pPr>
      <w:r w:rsidRPr="006A2614">
        <w:rPr>
          <w:lang w:val="en-AU"/>
        </w:rPr>
        <w:t xml:space="preserve">Northern Beaches Secondary College Freshwater Campus </w:t>
      </w:r>
      <w:r w:rsidR="00FA0BBB">
        <w:rPr>
          <w:lang w:val="en-AU"/>
        </w:rPr>
        <w:t>u</w:t>
      </w:r>
      <w:r w:rsidRPr="006A2614">
        <w:rPr>
          <w:lang w:val="en-AU"/>
        </w:rPr>
        <w:t>pgrad</w:t>
      </w:r>
      <w:r w:rsidR="00147C0D" w:rsidRPr="006A2614">
        <w:rPr>
          <w:lang w:val="en-AU"/>
        </w:rPr>
        <w:t>e</w:t>
      </w:r>
    </w:p>
    <w:p w14:paraId="36BC26ED" w14:textId="4A2F683B" w:rsidR="62A3DF7C" w:rsidRPr="006A2614" w:rsidRDefault="62A3DF7C" w:rsidP="003F21C3">
      <w:pPr>
        <w:pStyle w:val="Bullet1"/>
        <w:rPr>
          <w:szCs w:val="22"/>
          <w:lang w:val="en-AU"/>
        </w:rPr>
      </w:pPr>
      <w:r w:rsidRPr="006A2614">
        <w:rPr>
          <w:lang w:val="en-AU"/>
        </w:rPr>
        <w:t xml:space="preserve">Rydalmere East Public School </w:t>
      </w:r>
      <w:r w:rsidR="00443585">
        <w:rPr>
          <w:lang w:val="en-AU"/>
        </w:rPr>
        <w:t>U</w:t>
      </w:r>
      <w:r w:rsidRPr="006A2614">
        <w:rPr>
          <w:lang w:val="en-AU"/>
        </w:rPr>
        <w:t>pgrade</w:t>
      </w:r>
    </w:p>
    <w:p w14:paraId="5B6B3983" w14:textId="02B2136C" w:rsidR="00A01440" w:rsidRPr="006A2614" w:rsidRDefault="00A01440" w:rsidP="003F21C3">
      <w:pPr>
        <w:pStyle w:val="Bullet1"/>
        <w:rPr>
          <w:lang w:val="en-AU"/>
        </w:rPr>
      </w:pPr>
      <w:r w:rsidRPr="006A2614">
        <w:rPr>
          <w:lang w:val="en-AU"/>
        </w:rPr>
        <w:t xml:space="preserve">Rydalmere Public School </w:t>
      </w:r>
      <w:r w:rsidR="00443585">
        <w:rPr>
          <w:lang w:val="en-AU"/>
        </w:rPr>
        <w:t>U</w:t>
      </w:r>
      <w:r w:rsidRPr="006A2614">
        <w:rPr>
          <w:lang w:val="en-AU"/>
        </w:rPr>
        <w:t>pgrade</w:t>
      </w:r>
    </w:p>
    <w:p w14:paraId="6B2E1B4D" w14:textId="01CAB421" w:rsidR="00BA3BF2" w:rsidRPr="006A2614" w:rsidRDefault="00BA3BF2" w:rsidP="007D65FC">
      <w:pPr>
        <w:pStyle w:val="Bullet1"/>
        <w:rPr>
          <w:szCs w:val="22"/>
          <w:lang w:val="en-AU"/>
        </w:rPr>
      </w:pPr>
      <w:r w:rsidRPr="006A2614">
        <w:rPr>
          <w:lang w:val="en-AU"/>
        </w:rPr>
        <w:t xml:space="preserve">Thornton Public School </w:t>
      </w:r>
      <w:r w:rsidR="00443585">
        <w:rPr>
          <w:lang w:val="en-AU"/>
        </w:rPr>
        <w:t>U</w:t>
      </w:r>
      <w:r w:rsidRPr="006A2614">
        <w:rPr>
          <w:lang w:val="en-AU"/>
        </w:rPr>
        <w:t>pgrade</w:t>
      </w:r>
    </w:p>
    <w:p w14:paraId="62DA4491" w14:textId="604DC33F" w:rsidR="00BA3BF2" w:rsidRPr="006A2614" w:rsidRDefault="00BA3BF2" w:rsidP="007D65FC">
      <w:pPr>
        <w:pStyle w:val="Bullet1"/>
        <w:rPr>
          <w:szCs w:val="22"/>
          <w:lang w:val="en-AU"/>
        </w:rPr>
      </w:pPr>
      <w:r w:rsidRPr="006A2614">
        <w:rPr>
          <w:lang w:val="en-AU"/>
        </w:rPr>
        <w:t>West Dapto new primary school, including a new preschool</w:t>
      </w:r>
    </w:p>
    <w:p w14:paraId="1B0A0A47" w14:textId="6C4F760E" w:rsidR="00BA3BF2" w:rsidRPr="006A2614" w:rsidRDefault="00BA3BF2" w:rsidP="007D65FC">
      <w:pPr>
        <w:pStyle w:val="Bullet1"/>
        <w:rPr>
          <w:szCs w:val="22"/>
          <w:lang w:val="en-AU"/>
        </w:rPr>
      </w:pPr>
      <w:r w:rsidRPr="006A2614">
        <w:rPr>
          <w:lang w:val="en-AU"/>
        </w:rPr>
        <w:t xml:space="preserve">Willyama High School </w:t>
      </w:r>
      <w:r w:rsidR="00443585">
        <w:rPr>
          <w:lang w:val="en-AU"/>
        </w:rPr>
        <w:t>R</w:t>
      </w:r>
      <w:r w:rsidRPr="006A2614">
        <w:rPr>
          <w:lang w:val="en-AU"/>
        </w:rPr>
        <w:t>ebuild</w:t>
      </w:r>
    </w:p>
    <w:p w14:paraId="23006C98" w14:textId="0179D32D" w:rsidR="00450B21" w:rsidRPr="006A2614" w:rsidRDefault="00450B21" w:rsidP="007D65FC">
      <w:pPr>
        <w:pStyle w:val="Bullet1"/>
        <w:rPr>
          <w:szCs w:val="22"/>
          <w:lang w:val="en-AU"/>
        </w:rPr>
      </w:pPr>
      <w:r w:rsidRPr="006A2614">
        <w:rPr>
          <w:lang w:val="en-AU"/>
        </w:rPr>
        <w:t>Wilton new high school</w:t>
      </w:r>
      <w:r w:rsidR="00B83663" w:rsidRPr="006A2614">
        <w:rPr>
          <w:szCs w:val="22"/>
          <w:lang w:val="en-AU"/>
        </w:rPr>
        <w:t>.</w:t>
      </w:r>
    </w:p>
    <w:p w14:paraId="6B38F9B7" w14:textId="78A2F0BB" w:rsidR="00BA3BF2" w:rsidRPr="00A71D59" w:rsidRDefault="0039669C" w:rsidP="08D9195A">
      <w:pPr>
        <w:pStyle w:val="BodyText"/>
        <w:rPr>
          <w:color w:val="000000" w:themeColor="text1"/>
          <w:lang w:val="en-US"/>
        </w:rPr>
      </w:pPr>
      <w:r w:rsidRPr="5634E4A1">
        <w:rPr>
          <w:lang w:val="en-US"/>
        </w:rPr>
        <w:t>Further investment</w:t>
      </w:r>
      <w:r w:rsidR="00BA3BF2" w:rsidRPr="5634E4A1">
        <w:rPr>
          <w:lang w:val="en-US"/>
        </w:rPr>
        <w:t xml:space="preserve"> will expand high potential and gifted </w:t>
      </w:r>
      <w:r w:rsidR="002E5B43" w:rsidRPr="5634E4A1">
        <w:rPr>
          <w:lang w:val="en-US"/>
        </w:rPr>
        <w:t>student</w:t>
      </w:r>
      <w:r w:rsidR="00BA3BF2" w:rsidRPr="5634E4A1">
        <w:rPr>
          <w:lang w:val="en-US"/>
        </w:rPr>
        <w:t xml:space="preserve"> education opportunities </w:t>
      </w:r>
      <w:r w:rsidR="007348CD" w:rsidRPr="5634E4A1">
        <w:rPr>
          <w:lang w:val="en-US"/>
        </w:rPr>
        <w:t>at more</w:t>
      </w:r>
      <w:r w:rsidR="00BA3BF2" w:rsidRPr="5634E4A1">
        <w:rPr>
          <w:lang w:val="en-US"/>
        </w:rPr>
        <w:t xml:space="preserve"> public schools </w:t>
      </w:r>
      <w:r w:rsidR="007348CD" w:rsidRPr="5634E4A1">
        <w:rPr>
          <w:lang w:val="en-US"/>
        </w:rPr>
        <w:t xml:space="preserve">across the State. This program is already delivering specialist school facilities at </w:t>
      </w:r>
      <w:r w:rsidR="0032146F" w:rsidRPr="5634E4A1">
        <w:rPr>
          <w:lang w:val="en-US"/>
        </w:rPr>
        <w:t>six</w:t>
      </w:r>
      <w:r w:rsidR="007348CD" w:rsidRPr="5634E4A1">
        <w:rPr>
          <w:lang w:val="en-US"/>
        </w:rPr>
        <w:t xml:space="preserve"> metropolitan and </w:t>
      </w:r>
      <w:r w:rsidR="0032146F" w:rsidRPr="5634E4A1">
        <w:rPr>
          <w:lang w:val="en-US"/>
        </w:rPr>
        <w:t>seven</w:t>
      </w:r>
      <w:r w:rsidR="007348CD" w:rsidRPr="5634E4A1">
        <w:rPr>
          <w:lang w:val="en-US"/>
        </w:rPr>
        <w:t xml:space="preserve"> regional NSW schools.</w:t>
      </w:r>
      <w:r w:rsidR="007348CD" w:rsidRPr="5634E4A1">
        <w:rPr>
          <w:rFonts w:ascii="Times New Roman" w:hAnsi="Times New Roman" w:cs="Times New Roman"/>
          <w:lang w:val="en-US"/>
        </w:rPr>
        <w:t> </w:t>
      </w:r>
      <w:r w:rsidR="00BA3BF2" w:rsidRPr="5634E4A1">
        <w:rPr>
          <w:lang w:val="en-US"/>
        </w:rPr>
        <w:t xml:space="preserve"> </w:t>
      </w:r>
    </w:p>
    <w:p w14:paraId="195E99E6" w14:textId="7692EFDE" w:rsidR="00711968" w:rsidRPr="009352AD" w:rsidRDefault="009B04ED" w:rsidP="003F21C3">
      <w:pPr>
        <w:pStyle w:val="BodyText"/>
      </w:pPr>
      <w:r w:rsidRPr="5634E4A1">
        <w:rPr>
          <w:lang w:val="en-US"/>
        </w:rPr>
        <w:lastRenderedPageBreak/>
        <w:t xml:space="preserve">In line with the NSW Government’s commitment to support rapidly growing communities, the 2025-26 Budget will continue to deliver new </w:t>
      </w:r>
      <w:r w:rsidR="003526A9" w:rsidRPr="5634E4A1">
        <w:rPr>
          <w:lang w:val="en-US"/>
        </w:rPr>
        <w:t xml:space="preserve">and upgraded </w:t>
      </w:r>
      <w:r w:rsidRPr="5634E4A1">
        <w:rPr>
          <w:lang w:val="en-US"/>
        </w:rPr>
        <w:t>schools in priority growth areas and precincts</w:t>
      </w:r>
      <w:r w:rsidR="0012127B" w:rsidRPr="5634E4A1">
        <w:rPr>
          <w:lang w:val="en-US"/>
        </w:rPr>
        <w:t>.</w:t>
      </w:r>
      <w:r w:rsidR="00FB5801" w:rsidRPr="5634E4A1">
        <w:rPr>
          <w:lang w:val="en-US"/>
        </w:rPr>
        <w:t xml:space="preserve"> These </w:t>
      </w:r>
      <w:r w:rsidR="003D2753" w:rsidRPr="5634E4A1">
        <w:rPr>
          <w:lang w:val="en-US"/>
        </w:rPr>
        <w:t>investments will provide urgently needed school enrolment capacity</w:t>
      </w:r>
      <w:r w:rsidR="004A2297" w:rsidRPr="5634E4A1">
        <w:rPr>
          <w:lang w:val="en-US"/>
        </w:rPr>
        <w:t xml:space="preserve"> and ensure more students have access to world-class public education close to home.</w:t>
      </w:r>
    </w:p>
    <w:p w14:paraId="0B781FBD" w14:textId="51BCCDBF" w:rsidR="00FA5254" w:rsidRDefault="00602BE1" w:rsidP="003F21C3">
      <w:pPr>
        <w:pStyle w:val="BodyText"/>
      </w:pPr>
      <w:r w:rsidRPr="495CBDCC">
        <w:t xml:space="preserve">The NSW Government is supported </w:t>
      </w:r>
      <w:r w:rsidR="008E4421">
        <w:t>by</w:t>
      </w:r>
      <w:r w:rsidR="008E4421" w:rsidRPr="495CBDCC">
        <w:t xml:space="preserve"> </w:t>
      </w:r>
      <w:r w:rsidRPr="495CBDCC">
        <w:t>rigorous and independent advice from the Infrastructure Coordinator-General</w:t>
      </w:r>
      <w:r w:rsidR="00777A9F">
        <w:t xml:space="preserve">. The </w:t>
      </w:r>
      <w:r w:rsidR="008F35A9">
        <w:t>Infrastructure Coordinator-General</w:t>
      </w:r>
      <w:r w:rsidR="001109DE">
        <w:t xml:space="preserve"> coordinate</w:t>
      </w:r>
      <w:r w:rsidR="00F021E7">
        <w:t>s</w:t>
      </w:r>
      <w:r w:rsidR="001109DE">
        <w:t xml:space="preserve"> the government priorities of housing, energy infrastructure and jobs with a focus on Western Sydney around the Aerotropolis. </w:t>
      </w:r>
    </w:p>
    <w:p w14:paraId="532DEFAD" w14:textId="112DF533" w:rsidR="00FA5254" w:rsidRDefault="00FA5254" w:rsidP="00414BA7">
      <w:pPr>
        <w:rPr>
          <w:rFonts w:eastAsia="Public Sans"/>
          <w:lang w:val="en-AU"/>
        </w:rPr>
      </w:pPr>
    </w:p>
    <w:tbl>
      <w:tblPr>
        <w:tblW w:w="9629" w:type="dxa"/>
        <w:tblInd w:w="5" w:type="dxa"/>
        <w:shd w:val="pct5" w:color="auto" w:fill="auto"/>
        <w:tblLook w:val="04A0" w:firstRow="1" w:lastRow="0" w:firstColumn="1" w:lastColumn="0" w:noHBand="0" w:noVBand="1"/>
        <w:tblCaption w:val="Box 1.5: Parramatta Light Rail Stage 2"/>
        <w:tblDescription w:val="Box 1.5: Parramatta Light Rail Stage 2"/>
      </w:tblPr>
      <w:tblGrid>
        <w:gridCol w:w="9629"/>
      </w:tblGrid>
      <w:tr w:rsidR="00BF22C2" w:rsidRPr="00925CCD" w14:paraId="2772F3B7" w14:textId="77777777" w:rsidTr="00414BA7">
        <w:trPr>
          <w:trHeight w:val="1843"/>
        </w:trPr>
        <w:tc>
          <w:tcPr>
            <w:tcW w:w="9629" w:type="dxa"/>
            <w:shd w:val="pct5" w:color="auto" w:fill="auto"/>
          </w:tcPr>
          <w:p w14:paraId="76C03724" w14:textId="16B367C5" w:rsidR="00BF22C2" w:rsidRPr="00925CCD" w:rsidRDefault="00BF22C2" w:rsidP="000A56BD">
            <w:pPr>
              <w:pStyle w:val="Box8XBoxHeading"/>
              <w:ind w:left="1134" w:hanging="1134"/>
            </w:pPr>
            <w:r>
              <w:t xml:space="preserve">Sydney Metro driving greater economic productivity </w:t>
            </w:r>
          </w:p>
          <w:p w14:paraId="3B2AED08" w14:textId="1F7BAB55" w:rsidR="006E1283" w:rsidRDefault="006E1283" w:rsidP="003F21C3">
            <w:pPr>
              <w:pStyle w:val="BodyText"/>
            </w:pPr>
            <w:r w:rsidRPr="5634E4A1">
              <w:rPr>
                <w:lang w:val="en-US"/>
              </w:rPr>
              <w:t>The Sydney Metro is Australia’s biggest public transport project. With a Tallawong to Sydenham journey time of 5</w:t>
            </w:r>
            <w:r w:rsidR="00570390" w:rsidRPr="5634E4A1">
              <w:rPr>
                <w:lang w:val="en-US"/>
              </w:rPr>
              <w:t>9</w:t>
            </w:r>
            <w:r w:rsidRPr="5634E4A1">
              <w:rPr>
                <w:lang w:val="en-US"/>
              </w:rPr>
              <w:t xml:space="preserve"> minutes, the Sydney Metro is helping people get across Sydney quickly and easily and bringing workers home to their families faster. It is Australia’s most technologically advanced railway. Metro trains are now running from Sydney’s booming North West region, under Sydney Harbour, and through the underground stations in the Sydney CBD to Sydenham. </w:t>
            </w:r>
          </w:p>
          <w:p w14:paraId="78D4284A" w14:textId="7D099493" w:rsidR="006E1283" w:rsidRDefault="006E1283" w:rsidP="003F21C3">
            <w:pPr>
              <w:pStyle w:val="BodyText"/>
            </w:pPr>
            <w:r w:rsidRPr="5634E4A1">
              <w:rPr>
                <w:lang w:val="en-US"/>
              </w:rPr>
              <w:t xml:space="preserve">The Sydney Metro is essential to support </w:t>
            </w:r>
            <w:r w:rsidR="00F507AD" w:rsidRPr="5634E4A1">
              <w:rPr>
                <w:lang w:val="en-US"/>
              </w:rPr>
              <w:t>increased</w:t>
            </w:r>
            <w:r w:rsidRPr="5634E4A1">
              <w:rPr>
                <w:lang w:val="en-US"/>
              </w:rPr>
              <w:t xml:space="preserve"> housing supply and new employment and liveability opportunities, including serving as a transport spine for Greater Western Sydney. Sydney Metro-Western Sydney Airport provides a direct connection for the new Western Sydney International </w:t>
            </w:r>
            <w:r w:rsidR="00220D41" w:rsidRPr="5634E4A1">
              <w:rPr>
                <w:lang w:val="en-US"/>
              </w:rPr>
              <w:t>Airport and</w:t>
            </w:r>
            <w:r w:rsidRPr="5634E4A1">
              <w:rPr>
                <w:lang w:val="en-US"/>
              </w:rPr>
              <w:t xml:space="preserve"> is being jointly funded by the Australian and NSW</w:t>
            </w:r>
            <w:r w:rsidR="00F64217">
              <w:rPr>
                <w:lang w:val="en-US"/>
              </w:rPr>
              <w:t> </w:t>
            </w:r>
            <w:r w:rsidRPr="5634E4A1">
              <w:rPr>
                <w:lang w:val="en-US"/>
              </w:rPr>
              <w:t>Governments. </w:t>
            </w:r>
          </w:p>
          <w:p w14:paraId="7E1A9DA8" w14:textId="4EF6F419" w:rsidR="006E1283" w:rsidRPr="00384AA0" w:rsidRDefault="006E1283" w:rsidP="003F21C3">
            <w:pPr>
              <w:pStyle w:val="BodyText"/>
            </w:pPr>
            <w:r w:rsidRPr="5634E4A1">
              <w:rPr>
                <w:lang w:val="en-US"/>
              </w:rPr>
              <w:t>Sydney’s new metro lines include</w:t>
            </w:r>
            <w:r w:rsidR="00220D41" w:rsidRPr="5634E4A1">
              <w:rPr>
                <w:lang w:val="en-US"/>
              </w:rPr>
              <w:t xml:space="preserve"> </w:t>
            </w:r>
            <w:r w:rsidRPr="5634E4A1">
              <w:rPr>
                <w:lang w:val="en-US"/>
              </w:rPr>
              <w:t>the operational Northwest line and City line (now the M1</w:t>
            </w:r>
            <w:r w:rsidR="005F598C">
              <w:rPr>
                <w:lang w:val="en-US"/>
              </w:rPr>
              <w:t> </w:t>
            </w:r>
            <w:r w:rsidRPr="5634E4A1">
              <w:rPr>
                <w:lang w:val="en-US"/>
              </w:rPr>
              <w:t xml:space="preserve">Northwest </w:t>
            </w:r>
            <w:r w:rsidR="006A5E87">
              <w:rPr>
                <w:lang w:val="en-US"/>
              </w:rPr>
              <w:t>and</w:t>
            </w:r>
            <w:r w:rsidRPr="5634E4A1">
              <w:rPr>
                <w:lang w:val="en-US"/>
              </w:rPr>
              <w:t xml:space="preserve"> Bankstown Line), from Tallawong to Sydenham and three lines under construction: </w:t>
            </w:r>
          </w:p>
          <w:p w14:paraId="5E1F431F" w14:textId="15D76336" w:rsidR="006E1283" w:rsidRPr="006A2614" w:rsidRDefault="006E1283" w:rsidP="003F21C3">
            <w:pPr>
              <w:pStyle w:val="Bullet1"/>
              <w:rPr>
                <w:lang w:val="en-AU"/>
              </w:rPr>
            </w:pPr>
            <w:r w:rsidRPr="006A2614">
              <w:rPr>
                <w:lang w:val="en-AU"/>
              </w:rPr>
              <w:t>Southwest line (</w:t>
            </w:r>
            <w:r w:rsidR="00BA785E">
              <w:rPr>
                <w:lang w:val="en-AU"/>
              </w:rPr>
              <w:t>which</w:t>
            </w:r>
            <w:r w:rsidRPr="006A2614">
              <w:rPr>
                <w:lang w:val="en-AU"/>
              </w:rPr>
              <w:t xml:space="preserve"> will become part of the M1 Northwest &amp; Bankstown Line connecting Sydenham to Bankstown</w:t>
            </w:r>
            <w:r w:rsidR="005B0AB6" w:rsidRPr="006A2614">
              <w:rPr>
                <w:lang w:val="en-AU"/>
              </w:rPr>
              <w:t>)</w:t>
            </w:r>
          </w:p>
          <w:p w14:paraId="705ED74C" w14:textId="77777777" w:rsidR="006E1283" w:rsidRPr="006A2614" w:rsidRDefault="006E1283" w:rsidP="003F21C3">
            <w:pPr>
              <w:pStyle w:val="Bullet1"/>
              <w:rPr>
                <w:lang w:val="en-AU"/>
              </w:rPr>
            </w:pPr>
            <w:r w:rsidRPr="006A2614">
              <w:rPr>
                <w:lang w:val="en-AU"/>
              </w:rPr>
              <w:t>Sydney Metro West</w:t>
            </w:r>
          </w:p>
          <w:p w14:paraId="0176730D" w14:textId="0AD62829" w:rsidR="006E1283" w:rsidRPr="006A2614" w:rsidRDefault="006E1283" w:rsidP="003F21C3">
            <w:pPr>
              <w:pStyle w:val="Bullet1"/>
              <w:rPr>
                <w:lang w:val="en-AU"/>
              </w:rPr>
            </w:pPr>
            <w:r w:rsidRPr="006A2614">
              <w:rPr>
                <w:lang w:val="en-AU"/>
              </w:rPr>
              <w:t xml:space="preserve">Sydney Metro </w:t>
            </w:r>
            <w:r w:rsidR="00675A33" w:rsidRPr="006A2614">
              <w:rPr>
                <w:lang w:val="en-AU"/>
              </w:rPr>
              <w:t>–</w:t>
            </w:r>
            <w:r w:rsidRPr="006A2614">
              <w:rPr>
                <w:lang w:val="en-AU"/>
              </w:rPr>
              <w:t xml:space="preserve"> Western Sydney Airport. </w:t>
            </w:r>
          </w:p>
          <w:p w14:paraId="382877B0" w14:textId="18829105" w:rsidR="006E1283" w:rsidRPr="000E7F93" w:rsidRDefault="006E1283" w:rsidP="003F21C3">
            <w:pPr>
              <w:pStyle w:val="BodyText"/>
            </w:pPr>
            <w:r w:rsidRPr="5A55F963">
              <w:t xml:space="preserve">Construction of the Sydney Metro </w:t>
            </w:r>
            <w:r w:rsidR="71F2652E" w:rsidRPr="48B235BE">
              <w:t>lines</w:t>
            </w:r>
            <w:r w:rsidR="00220D41" w:rsidRPr="5A55F963">
              <w:t xml:space="preserve"> is</w:t>
            </w:r>
            <w:r w:rsidRPr="5A55F963">
              <w:t xml:space="preserve"> expected to create more than 160,000 direct or indirect jobs. </w:t>
            </w:r>
          </w:p>
          <w:p w14:paraId="03847D19" w14:textId="0A8605AC" w:rsidR="006E1283" w:rsidRPr="000E7F93" w:rsidRDefault="006E1283" w:rsidP="003F21C3">
            <w:pPr>
              <w:pStyle w:val="BodyText"/>
            </w:pPr>
            <w:r w:rsidRPr="5634E4A1">
              <w:rPr>
                <w:lang w:val="en-US"/>
              </w:rPr>
              <w:t xml:space="preserve">In August 2024, the NSW Government opened eight stations that are part of the City line, connecting Chatswood to Sydenham under </w:t>
            </w:r>
            <w:r w:rsidR="00A611D8" w:rsidRPr="5634E4A1">
              <w:rPr>
                <w:lang w:val="en-US"/>
              </w:rPr>
              <w:t xml:space="preserve">Sydney </w:t>
            </w:r>
            <w:r w:rsidR="005D1316" w:rsidRPr="5634E4A1">
              <w:rPr>
                <w:lang w:val="en-US"/>
              </w:rPr>
              <w:t>H</w:t>
            </w:r>
            <w:r w:rsidRPr="5634E4A1">
              <w:rPr>
                <w:lang w:val="en-US"/>
              </w:rPr>
              <w:t xml:space="preserve">arbour and through the Sydney CBD. An extension of Metro services to include 10 more stations on the </w:t>
            </w:r>
            <w:r w:rsidR="002D28AF" w:rsidRPr="5634E4A1">
              <w:rPr>
                <w:lang w:val="en-US"/>
              </w:rPr>
              <w:t xml:space="preserve">conversion of the Sydney Trains T3 Bankstown </w:t>
            </w:r>
            <w:r w:rsidRPr="5634E4A1">
              <w:rPr>
                <w:lang w:val="en-US"/>
              </w:rPr>
              <w:t>line between Sydenham and Bankstown is currently under construction</w:t>
            </w:r>
            <w:r w:rsidR="0022104B" w:rsidRPr="5634E4A1">
              <w:rPr>
                <w:lang w:val="en-US"/>
              </w:rPr>
              <w:t>. Progress</w:t>
            </w:r>
            <w:r w:rsidRPr="5634E4A1">
              <w:rPr>
                <w:lang w:val="en-US"/>
              </w:rPr>
              <w:t xml:space="preserve"> </w:t>
            </w:r>
            <w:r w:rsidR="00862055" w:rsidRPr="5634E4A1">
              <w:rPr>
                <w:lang w:val="en-US"/>
              </w:rPr>
              <w:t>is</w:t>
            </w:r>
            <w:r w:rsidRPr="5634E4A1">
              <w:rPr>
                <w:lang w:val="en-US"/>
              </w:rPr>
              <w:t xml:space="preserve"> being made on station upgrades and the testing and commissioning of the new line. </w:t>
            </w:r>
            <w:r w:rsidR="00016F47" w:rsidRPr="5634E4A1">
              <w:rPr>
                <w:lang w:val="en-US"/>
              </w:rPr>
              <w:t>All stations</w:t>
            </w:r>
            <w:r w:rsidR="00DC339F" w:rsidRPr="5634E4A1">
              <w:rPr>
                <w:lang w:val="en-US"/>
              </w:rPr>
              <w:t xml:space="preserve"> along the line </w:t>
            </w:r>
            <w:r w:rsidRPr="5634E4A1">
              <w:rPr>
                <w:lang w:val="en-US"/>
              </w:rPr>
              <w:t>will be fully accessible, with lifts and level access between platforms and trains. This conversion will address one of Sydney’s biggest rail bottlenecks, providing more reliable journeys for customers across Sydney.</w:t>
            </w:r>
          </w:p>
          <w:p w14:paraId="4DC20627" w14:textId="20655603" w:rsidR="00BF22C2" w:rsidRPr="00946BEB" w:rsidRDefault="006E1283" w:rsidP="003F21C3">
            <w:pPr>
              <w:pStyle w:val="BodyText"/>
            </w:pPr>
            <w:r w:rsidRPr="329D5472">
              <w:t>The Sydney Metro</w:t>
            </w:r>
            <w:r>
              <w:t>,</w:t>
            </w:r>
            <w:r w:rsidRPr="329D5472">
              <w:t xml:space="preserve"> with infrastructure upgrades across the existing </w:t>
            </w:r>
            <w:r w:rsidR="00D10EC1">
              <w:t xml:space="preserve">transport </w:t>
            </w:r>
            <w:r w:rsidRPr="329D5472">
              <w:t xml:space="preserve">network, will increase the capacity of train services across Sydney from 120 services an hour to 200 services an hour. The existing Sydney Metro network carries on average </w:t>
            </w:r>
            <w:r w:rsidR="00D10EC1" w:rsidRPr="329D5472">
              <w:t>2</w:t>
            </w:r>
            <w:r w:rsidR="00D10EC1">
              <w:t>4</w:t>
            </w:r>
            <w:r w:rsidR="00D10EC1" w:rsidRPr="329D5472">
              <w:t>0</w:t>
            </w:r>
            <w:r w:rsidRPr="329D5472">
              <w:t xml:space="preserve">,000 Metro trips per weekday. Metro services </w:t>
            </w:r>
            <w:r>
              <w:t>run</w:t>
            </w:r>
            <w:r w:rsidRPr="329D5472">
              <w:t xml:space="preserve"> every four minutes during peak times with </w:t>
            </w:r>
            <w:r w:rsidR="00CA6BB8">
              <w:t>99</w:t>
            </w:r>
            <w:r w:rsidRPr="329D5472">
              <w:t xml:space="preserve"> per cent of services running on time.</w:t>
            </w:r>
          </w:p>
        </w:tc>
      </w:tr>
    </w:tbl>
    <w:p w14:paraId="253404AE" w14:textId="77777777" w:rsidR="00E33FB6" w:rsidRDefault="00E33FB6"/>
    <w:p w14:paraId="778CE258" w14:textId="77777777" w:rsidR="007D1FD0" w:rsidRPr="006A2614" w:rsidRDefault="007D1FD0">
      <w:pPr>
        <w:spacing w:before="360" w:after="120"/>
        <w:ind w:left="851" w:hanging="851"/>
        <w:rPr>
          <w:rFonts w:ascii="Public Sans SemiBold" w:hAnsi="Public Sans SemiBold"/>
          <w:b/>
          <w:color w:val="000000" w:themeColor="text1"/>
          <w:kern w:val="28"/>
          <w:sz w:val="26"/>
          <w:szCs w:val="28"/>
        </w:rPr>
      </w:pPr>
      <w:r>
        <w:br w:type="page"/>
      </w:r>
    </w:p>
    <w:p w14:paraId="4FDDBDE3" w14:textId="6D97E72F" w:rsidR="004D2BFB" w:rsidRDefault="002D2650" w:rsidP="000E5048">
      <w:pPr>
        <w:pStyle w:val="Heading3"/>
      </w:pPr>
      <w:r w:rsidRPr="00C24B76">
        <w:lastRenderedPageBreak/>
        <w:t>Infrastructure for Western Sydney </w:t>
      </w:r>
    </w:p>
    <w:p w14:paraId="12972114" w14:textId="5FD2A80A" w:rsidR="00C24B76" w:rsidRPr="00C24B76" w:rsidRDefault="00C24B76" w:rsidP="003F21C3">
      <w:pPr>
        <w:pStyle w:val="BodyText"/>
      </w:pPr>
      <w:r w:rsidRPr="43430222">
        <w:t xml:space="preserve">The NSW Government is </w:t>
      </w:r>
      <w:r w:rsidR="00CA7D69" w:rsidRPr="43430222">
        <w:t>building</w:t>
      </w:r>
      <w:r w:rsidRPr="43430222">
        <w:t xml:space="preserve"> a stronger and prosperous Western Sydney by expanding access to new jobs around the new Western Sydney Airport. </w:t>
      </w:r>
    </w:p>
    <w:p w14:paraId="4ADCB30A" w14:textId="77777777" w:rsidR="00C24B76" w:rsidRDefault="00C24B76" w:rsidP="003F21C3">
      <w:pPr>
        <w:pStyle w:val="BodyText"/>
      </w:pPr>
      <w:r w:rsidRPr="00C24B76">
        <w:t>Western Sydney is the fastest-growing region in the country, with a population expected to grow from two million to three million people over the next two decades. </w:t>
      </w:r>
    </w:p>
    <w:p w14:paraId="0FCD5802" w14:textId="3BE0597C" w:rsidR="00C24B76" w:rsidRPr="00C24B76" w:rsidRDefault="00941100" w:rsidP="003F21C3">
      <w:pPr>
        <w:pStyle w:val="BodyText"/>
      </w:pPr>
      <w:r>
        <w:t>T</w:t>
      </w:r>
      <w:r w:rsidR="00C24B76" w:rsidRPr="00C24B76">
        <w:t>he 2025-26 Budget</w:t>
      </w:r>
      <w:r>
        <w:t xml:space="preserve"> will support the </w:t>
      </w:r>
      <w:r w:rsidR="00366516">
        <w:t xml:space="preserve">growth </w:t>
      </w:r>
      <w:r>
        <w:t>in Western Sydney through investments</w:t>
      </w:r>
      <w:r w:rsidR="00C24B76" w:rsidRPr="00C24B76">
        <w:t xml:space="preserve"> including:</w:t>
      </w:r>
    </w:p>
    <w:p w14:paraId="3F52550F" w14:textId="7DDEFD79" w:rsidR="007529A9" w:rsidRPr="006A2614" w:rsidRDefault="00780024" w:rsidP="003F21C3">
      <w:pPr>
        <w:pStyle w:val="Bullet1"/>
        <w:rPr>
          <w:lang w:val="en-AU"/>
        </w:rPr>
      </w:pPr>
      <w:r w:rsidRPr="006A2614">
        <w:rPr>
          <w:lang w:val="en-AU"/>
        </w:rPr>
        <w:t xml:space="preserve">$10.8 billion over four years for the </w:t>
      </w:r>
      <w:r w:rsidR="00F542D9" w:rsidRPr="006A2614">
        <w:rPr>
          <w:lang w:val="en-AU"/>
        </w:rPr>
        <w:t xml:space="preserve">Sydney Metro West </w:t>
      </w:r>
      <w:r w:rsidR="00B11C5E" w:rsidRPr="006A2614">
        <w:rPr>
          <w:lang w:val="en-AU"/>
        </w:rPr>
        <w:t>–</w:t>
      </w:r>
      <w:r w:rsidR="00F542D9" w:rsidRPr="006A2614">
        <w:rPr>
          <w:lang w:val="en-AU"/>
        </w:rPr>
        <w:t xml:space="preserve"> </w:t>
      </w:r>
      <w:r w:rsidR="00B11C5E" w:rsidRPr="006A2614">
        <w:rPr>
          <w:lang w:val="en-AU"/>
        </w:rPr>
        <w:t xml:space="preserve">connecting Greater </w:t>
      </w:r>
      <w:r w:rsidR="00231BB7" w:rsidRPr="006A2614">
        <w:rPr>
          <w:lang w:val="en-AU"/>
        </w:rPr>
        <w:t>P</w:t>
      </w:r>
      <w:r w:rsidR="00B11C5E" w:rsidRPr="006A2614">
        <w:rPr>
          <w:lang w:val="en-AU"/>
        </w:rPr>
        <w:t>arramatta with the Sydney CBD</w:t>
      </w:r>
    </w:p>
    <w:p w14:paraId="55104FDF" w14:textId="35ABE926" w:rsidR="00416030" w:rsidRPr="006A2614" w:rsidRDefault="00416030" w:rsidP="003F21C3">
      <w:pPr>
        <w:pStyle w:val="Bullet1"/>
        <w:rPr>
          <w:lang w:val="en-AU"/>
        </w:rPr>
      </w:pPr>
      <w:r w:rsidRPr="006A2614">
        <w:rPr>
          <w:lang w:val="en-AU"/>
        </w:rPr>
        <w:t>$</w:t>
      </w:r>
      <w:r w:rsidR="00125F32" w:rsidRPr="006A2614">
        <w:rPr>
          <w:lang w:val="en-AU"/>
        </w:rPr>
        <w:t>5.5</w:t>
      </w:r>
      <w:r w:rsidRPr="006A2614">
        <w:rPr>
          <w:lang w:val="en-AU"/>
        </w:rPr>
        <w:t xml:space="preserve"> billion for roads in Western Sydney for four years </w:t>
      </w:r>
    </w:p>
    <w:p w14:paraId="3B153B91" w14:textId="07ED48BE" w:rsidR="002463FC" w:rsidRPr="006A2614" w:rsidRDefault="002463FC" w:rsidP="003F21C3">
      <w:pPr>
        <w:pStyle w:val="Bullet1"/>
        <w:rPr>
          <w:lang w:val="en-AU"/>
        </w:rPr>
      </w:pPr>
      <w:r w:rsidRPr="006A2614">
        <w:rPr>
          <w:lang w:val="en-AU"/>
        </w:rPr>
        <w:t xml:space="preserve">$3.9 billion over four years to maintain, upgrade and build new schools across Western Sydney </w:t>
      </w:r>
    </w:p>
    <w:p w14:paraId="7487879F" w14:textId="166426A5" w:rsidR="00F21757" w:rsidRPr="006A2614" w:rsidRDefault="00F21757" w:rsidP="003F21C3">
      <w:pPr>
        <w:pStyle w:val="Bullet1"/>
        <w:rPr>
          <w:lang w:val="en-AU"/>
        </w:rPr>
      </w:pPr>
      <w:r>
        <w:rPr>
          <w:lang w:val="en-AU"/>
        </w:rPr>
        <w:t>$3.6</w:t>
      </w:r>
      <w:r w:rsidR="003D5906">
        <w:rPr>
          <w:lang w:val="en-AU"/>
        </w:rPr>
        <w:t xml:space="preserve"> billion over four years for Sydney Metro</w:t>
      </w:r>
      <w:r w:rsidR="00103583">
        <w:rPr>
          <w:lang w:val="en-AU"/>
        </w:rPr>
        <w:t xml:space="preserve"> </w:t>
      </w:r>
      <w:r w:rsidR="003D5906">
        <w:rPr>
          <w:lang w:val="en-AU"/>
        </w:rPr>
        <w:t>-</w:t>
      </w:r>
      <w:r w:rsidR="00103583">
        <w:rPr>
          <w:lang w:val="en-AU"/>
        </w:rPr>
        <w:t xml:space="preserve"> </w:t>
      </w:r>
      <w:r w:rsidR="003D5906">
        <w:rPr>
          <w:lang w:val="en-AU"/>
        </w:rPr>
        <w:t>Western Sydney Airport</w:t>
      </w:r>
    </w:p>
    <w:p w14:paraId="162F8E05" w14:textId="6AA1792B" w:rsidR="00CD7083" w:rsidRPr="006A2614" w:rsidRDefault="00176F4B" w:rsidP="007D65FC">
      <w:pPr>
        <w:pStyle w:val="Bullet1"/>
        <w:rPr>
          <w:lang w:val="en-AU"/>
        </w:rPr>
      </w:pPr>
      <w:r w:rsidRPr="006A2614">
        <w:rPr>
          <w:lang w:val="en-AU"/>
        </w:rPr>
        <w:t>$3.</w:t>
      </w:r>
      <w:r w:rsidR="009E7A66" w:rsidRPr="006A2614">
        <w:rPr>
          <w:lang w:val="en-AU"/>
        </w:rPr>
        <w:t>4 billion</w:t>
      </w:r>
      <w:r w:rsidR="00127B10" w:rsidRPr="006A2614">
        <w:rPr>
          <w:lang w:val="en-AU"/>
        </w:rPr>
        <w:t xml:space="preserve"> o</w:t>
      </w:r>
      <w:r w:rsidR="00541C86" w:rsidRPr="006A2614">
        <w:rPr>
          <w:lang w:val="en-AU"/>
        </w:rPr>
        <w:t>ver four years</w:t>
      </w:r>
      <w:r w:rsidR="009F54A0" w:rsidRPr="006A2614">
        <w:rPr>
          <w:lang w:val="en-AU"/>
        </w:rPr>
        <w:t xml:space="preserve"> for new and upgraded hospitals</w:t>
      </w:r>
      <w:r w:rsidR="001E3FFF" w:rsidRPr="006A2614">
        <w:rPr>
          <w:lang w:val="en-AU"/>
        </w:rPr>
        <w:t>.</w:t>
      </w:r>
      <w:r w:rsidR="009E7A66" w:rsidRPr="006A2614">
        <w:rPr>
          <w:lang w:val="en-AU"/>
        </w:rPr>
        <w:t xml:space="preserve"> </w:t>
      </w:r>
    </w:p>
    <w:p w14:paraId="345C1AE7" w14:textId="0140D6FD" w:rsidR="00106FF5" w:rsidRDefault="00484AA2" w:rsidP="00106FF5">
      <w:pPr>
        <w:pStyle w:val="Chart8X"/>
      </w:pPr>
      <w:r>
        <w:rPr>
          <w:noProof/>
        </w:rPr>
        <w:drawing>
          <wp:anchor distT="0" distB="0" distL="114300" distR="114300" simplePos="0" relativeHeight="251658240" behindDoc="1" locked="0" layoutInCell="1" allowOverlap="1" wp14:anchorId="1ADEF812" wp14:editId="0C9C897C">
            <wp:simplePos x="0" y="0"/>
            <wp:positionH relativeFrom="column">
              <wp:posOffset>0</wp:posOffset>
            </wp:positionH>
            <wp:positionV relativeFrom="paragraph">
              <wp:posOffset>509393</wp:posOffset>
            </wp:positionV>
            <wp:extent cx="6120765" cy="3267075"/>
            <wp:effectExtent l="0" t="0" r="0" b="0"/>
            <wp:wrapSquare wrapText="bothSides"/>
            <wp:docPr id="1839333809" name="Chart 1" descr="Chart 1.5: Capital expenditure on Western Sydney roads, including Aerotropolis capital expenditure 2019-20 to 2028-29">
              <a:extLst xmlns:a="http://schemas.openxmlformats.org/drawingml/2006/main">
                <a:ext uri="{FF2B5EF4-FFF2-40B4-BE49-F238E27FC236}">
                  <a16:creationId xmlns:a16="http://schemas.microsoft.com/office/drawing/2014/main" id="{C1893222-658F-55A6-8C96-B375A47926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5159F8" w:rsidRPr="006A2614">
        <w:t>C</w:t>
      </w:r>
      <w:r w:rsidR="00805CEC" w:rsidRPr="006A2614">
        <w:t xml:space="preserve">apital expenditure </w:t>
      </w:r>
      <w:r w:rsidR="005159F8" w:rsidRPr="006A2614">
        <w:t xml:space="preserve">on </w:t>
      </w:r>
      <w:r w:rsidR="00106FF5" w:rsidRPr="006A2614">
        <w:t>Western Sydney</w:t>
      </w:r>
      <w:r w:rsidR="002267CA" w:rsidRPr="006A2614">
        <w:t xml:space="preserve"> roads</w:t>
      </w:r>
      <w:r w:rsidR="00106FF5" w:rsidRPr="006A2614">
        <w:t xml:space="preserve">, including Aerotropolis </w:t>
      </w:r>
      <w:r w:rsidR="0017131E" w:rsidRPr="006A2614">
        <w:t>capital expenditure</w:t>
      </w:r>
      <w:r w:rsidR="00106FF5" w:rsidRPr="006A2614">
        <w:t xml:space="preserve"> 20</w:t>
      </w:r>
      <w:r w:rsidR="00462CA5">
        <w:t>19</w:t>
      </w:r>
      <w:r w:rsidR="00106FF5" w:rsidRPr="006A2614">
        <w:t>-</w:t>
      </w:r>
      <w:r w:rsidR="0017131E" w:rsidRPr="006A2614">
        <w:t>2</w:t>
      </w:r>
      <w:r w:rsidR="00462CA5">
        <w:t>0</w:t>
      </w:r>
      <w:r w:rsidR="00106FF5" w:rsidRPr="006A2614">
        <w:t xml:space="preserve"> to 2028-29</w:t>
      </w:r>
    </w:p>
    <w:p w14:paraId="5B5D1F5F" w14:textId="7DD5BB95" w:rsidR="007D1FD0" w:rsidRDefault="007D1FD0" w:rsidP="00540112">
      <w:r>
        <w:br w:type="page"/>
      </w:r>
    </w:p>
    <w:p w14:paraId="59A5DCB7" w14:textId="77777777" w:rsidR="003F7F2E" w:rsidRDefault="003F7F2E"/>
    <w:tbl>
      <w:tblPr>
        <w:tblW w:w="9715" w:type="dxa"/>
        <w:shd w:val="pct5" w:color="auto" w:fill="auto"/>
        <w:tblLayout w:type="fixed"/>
        <w:tblCellMar>
          <w:left w:w="0" w:type="dxa"/>
          <w:right w:w="0" w:type="dxa"/>
        </w:tblCellMar>
        <w:tblLook w:val="04A0" w:firstRow="1" w:lastRow="0" w:firstColumn="1" w:lastColumn="0" w:noHBand="0" w:noVBand="1"/>
        <w:tblCaption w:val="Box 1.2: $22.9 billion building better schools and hospitals "/>
        <w:tblDescription w:val="Box 1.2: $22.9 billion building better schools and hospitals "/>
      </w:tblPr>
      <w:tblGrid>
        <w:gridCol w:w="9715"/>
      </w:tblGrid>
      <w:tr w:rsidR="008B4055" w:rsidRPr="00A1397D" w14:paraId="45F1F361" w14:textId="77777777" w:rsidTr="003627D0">
        <w:trPr>
          <w:trHeight w:val="707"/>
        </w:trPr>
        <w:tc>
          <w:tcPr>
            <w:tcW w:w="9715" w:type="dxa"/>
            <w:shd w:val="pct5" w:color="auto" w:fill="auto"/>
            <w:tcMar>
              <w:top w:w="0" w:type="dxa"/>
              <w:left w:w="108" w:type="dxa"/>
              <w:bottom w:w="0" w:type="dxa"/>
              <w:right w:w="108" w:type="dxa"/>
            </w:tcMar>
          </w:tcPr>
          <w:p w14:paraId="53DFAFAD" w14:textId="057C2FBF" w:rsidR="008B4055" w:rsidRPr="00461E1C" w:rsidRDefault="008B4055" w:rsidP="000A56BD">
            <w:pPr>
              <w:pStyle w:val="Box8XBoxHeading"/>
              <w:ind w:left="1134" w:hanging="1134"/>
            </w:pPr>
            <w:r w:rsidRPr="32B3554B">
              <w:rPr>
                <w:highlight w:val="yellow"/>
              </w:rPr>
              <w:br w:type="page"/>
            </w:r>
            <w:r w:rsidR="00E4348E">
              <w:t xml:space="preserve">Delivering major road upgrade and transport linkages for the </w:t>
            </w:r>
            <w:r w:rsidR="00E4348E" w:rsidRPr="00140F84">
              <w:t>Western Sydney Aerotropolis</w:t>
            </w:r>
          </w:p>
          <w:p w14:paraId="47636A52" w14:textId="2EF51A8D" w:rsidR="008B4055" w:rsidRPr="000E7F93" w:rsidRDefault="008B4055" w:rsidP="003F21C3">
            <w:pPr>
              <w:pStyle w:val="BodyText"/>
            </w:pPr>
            <w:r w:rsidRPr="5634E4A1">
              <w:rPr>
                <w:lang w:val="en-US"/>
              </w:rPr>
              <w:t>The 2025-26 Budget will deliver significant investment to connect Western Sydney to the world, with</w:t>
            </w:r>
            <w:r w:rsidRPr="5634E4A1" w:rsidDel="00A43054">
              <w:rPr>
                <w:lang w:val="en-US"/>
              </w:rPr>
              <w:t xml:space="preserve"> </w:t>
            </w:r>
            <w:r w:rsidRPr="002026D9">
              <w:rPr>
                <w:lang w:val="en-US"/>
              </w:rPr>
              <w:t>$</w:t>
            </w:r>
            <w:r w:rsidR="00984D96" w:rsidRPr="00AC3BD3">
              <w:rPr>
                <w:lang w:val="en-US"/>
              </w:rPr>
              <w:t>2.7</w:t>
            </w:r>
            <w:r w:rsidR="00D11E49" w:rsidRPr="00AC3BD3">
              <w:rPr>
                <w:lang w:val="en-US"/>
              </w:rPr>
              <w:t xml:space="preserve"> </w:t>
            </w:r>
            <w:r w:rsidRPr="00AC3BD3">
              <w:rPr>
                <w:lang w:val="en-US"/>
              </w:rPr>
              <w:t>billion</w:t>
            </w:r>
            <w:r w:rsidR="00984D96" w:rsidRPr="002026D9">
              <w:rPr>
                <w:lang w:val="en-US"/>
              </w:rPr>
              <w:t xml:space="preserve"> over</w:t>
            </w:r>
            <w:r w:rsidR="00984D96" w:rsidRPr="5634E4A1">
              <w:rPr>
                <w:lang w:val="en-US"/>
              </w:rPr>
              <w:t xml:space="preserve"> four years</w:t>
            </w:r>
            <w:r w:rsidRPr="5634E4A1">
              <w:rPr>
                <w:lang w:val="en-US"/>
              </w:rPr>
              <w:t xml:space="preserve"> for major roads upgrade</w:t>
            </w:r>
            <w:r w:rsidR="00FB2268" w:rsidRPr="5634E4A1">
              <w:rPr>
                <w:lang w:val="en-US"/>
              </w:rPr>
              <w:t>s</w:t>
            </w:r>
            <w:r w:rsidRPr="5634E4A1">
              <w:rPr>
                <w:lang w:val="en-US"/>
              </w:rPr>
              <w:t xml:space="preserve"> and transport linkages to leverage delivery of the new International Airport and Bradfield City Centre.</w:t>
            </w:r>
          </w:p>
          <w:p w14:paraId="4BF2A9E6" w14:textId="5DFB7A5E" w:rsidR="008B4055" w:rsidRPr="000E7F93" w:rsidRDefault="008B4055" w:rsidP="003F21C3">
            <w:pPr>
              <w:pStyle w:val="BodyText"/>
            </w:pPr>
            <w:r w:rsidRPr="5634E4A1">
              <w:rPr>
                <w:lang w:val="en-US"/>
              </w:rPr>
              <w:t>The Western Sydney International Airport, Sydney’s first 24-hour airport is expected to open in late</w:t>
            </w:r>
            <w:r w:rsidR="00F3111A" w:rsidRPr="5634E4A1">
              <w:rPr>
                <w:lang w:val="en-US"/>
              </w:rPr>
              <w:t xml:space="preserve"> </w:t>
            </w:r>
            <w:r w:rsidRPr="5634E4A1">
              <w:rPr>
                <w:lang w:val="en-US"/>
              </w:rPr>
              <w:t>2026.</w:t>
            </w:r>
          </w:p>
          <w:p w14:paraId="376CBBCA" w14:textId="0541D20B" w:rsidR="008B4055" w:rsidRPr="000E7F93" w:rsidRDefault="008B4055" w:rsidP="003F21C3">
            <w:pPr>
              <w:pStyle w:val="BodyText"/>
            </w:pPr>
            <w:r w:rsidRPr="5634E4A1">
              <w:rPr>
                <w:lang w:val="en-US"/>
              </w:rPr>
              <w:t xml:space="preserve">The Western Sydney Aerotropolis is set to become a thriving economic centre, creating new jobs and opportunities for the people of Western Sydney. Located around the new Western Sydney International Airport at Badgerys Creek, the Aerotropolis will </w:t>
            </w:r>
            <w:r w:rsidR="1EAB4412" w:rsidRPr="5634E4A1">
              <w:rPr>
                <w:lang w:val="en-US"/>
              </w:rPr>
              <w:t>host</w:t>
            </w:r>
            <w:r w:rsidRPr="5634E4A1">
              <w:rPr>
                <w:lang w:val="en-US"/>
              </w:rPr>
              <w:t xml:space="preserve"> advanced manufacturing, technology, research, training and education, freight and logistics, agribusiness, and mixed-use development. At its heart will be Australia's newest city</w:t>
            </w:r>
            <w:r w:rsidR="00A447D3" w:rsidRPr="5634E4A1">
              <w:rPr>
                <w:lang w:val="en-US"/>
              </w:rPr>
              <w:t xml:space="preserve"> </w:t>
            </w:r>
            <w:r w:rsidRPr="5634E4A1">
              <w:rPr>
                <w:lang w:val="en-US"/>
              </w:rPr>
              <w:t>— Bradfield City Centre.</w:t>
            </w:r>
          </w:p>
          <w:p w14:paraId="616D090D" w14:textId="7F56D934" w:rsidR="008B4055" w:rsidRPr="000E7F93" w:rsidRDefault="008B4055" w:rsidP="003F21C3">
            <w:pPr>
              <w:pStyle w:val="BodyText"/>
            </w:pPr>
            <w:r w:rsidRPr="5634E4A1">
              <w:rPr>
                <w:lang w:val="en-US"/>
              </w:rPr>
              <w:t>Connecting Western Sydney International Airport to communities is a key priority of this Budget.</w:t>
            </w:r>
          </w:p>
          <w:p w14:paraId="2F011B4E" w14:textId="0C557350" w:rsidR="008B4055" w:rsidRPr="000E7F93" w:rsidRDefault="00984D96" w:rsidP="003F21C3">
            <w:pPr>
              <w:pStyle w:val="BodyText"/>
            </w:pPr>
            <w:r>
              <w:t>New and ongoing projects</w:t>
            </w:r>
            <w:r w:rsidR="00DB63CD">
              <w:t xml:space="preserve"> in this Budget includes</w:t>
            </w:r>
            <w:r w:rsidR="008B4055" w:rsidRPr="000E7F93">
              <w:t>:</w:t>
            </w:r>
          </w:p>
          <w:p w14:paraId="5881422C" w14:textId="6B68F6C1" w:rsidR="008B4055" w:rsidRPr="006A2614" w:rsidRDefault="008B4055" w:rsidP="003F21C3">
            <w:pPr>
              <w:pStyle w:val="Bullet1"/>
              <w:rPr>
                <w:lang w:val="en-AU"/>
              </w:rPr>
            </w:pPr>
            <w:r w:rsidRPr="006A2614">
              <w:rPr>
                <w:lang w:val="en-AU"/>
              </w:rPr>
              <w:t>$500</w:t>
            </w:r>
            <w:r w:rsidR="00CF781E" w:rsidRPr="006A2614">
              <w:rPr>
                <w:lang w:val="en-AU"/>
              </w:rPr>
              <w:t>.0</w:t>
            </w:r>
            <w:r w:rsidRPr="006A2614">
              <w:rPr>
                <w:lang w:val="en-AU"/>
              </w:rPr>
              <w:t xml:space="preserve"> million to upgrade Fifteenth Avenue</w:t>
            </w:r>
            <w:r w:rsidR="006D6486" w:rsidRPr="006A2614">
              <w:rPr>
                <w:lang w:val="en-AU"/>
              </w:rPr>
              <w:t>. This</w:t>
            </w:r>
            <w:r w:rsidRPr="006A2614">
              <w:rPr>
                <w:lang w:val="en-AU"/>
              </w:rPr>
              <w:t xml:space="preserve"> was announced in January 2025 to create a critical transit corridor from Liverpool to the new Western Sydney International Airport. This takes total Federal-State funding </w:t>
            </w:r>
            <w:r w:rsidR="151518C3" w:rsidRPr="006A2614">
              <w:rPr>
                <w:lang w:val="en-AU"/>
              </w:rPr>
              <w:t>for</w:t>
            </w:r>
            <w:r w:rsidRPr="006A2614">
              <w:rPr>
                <w:lang w:val="en-AU"/>
              </w:rPr>
              <w:t xml:space="preserve"> Fifteenth Avenue to $1</w:t>
            </w:r>
            <w:r w:rsidR="006037FB">
              <w:rPr>
                <w:lang w:val="en-AU"/>
              </w:rPr>
              <w:t>.0</w:t>
            </w:r>
            <w:r w:rsidRPr="006A2614">
              <w:rPr>
                <w:lang w:val="en-AU"/>
              </w:rPr>
              <w:t xml:space="preserve"> billion</w:t>
            </w:r>
            <w:r w:rsidR="009C578A" w:rsidRPr="006A2614">
              <w:rPr>
                <w:lang w:val="en-AU"/>
              </w:rPr>
              <w:t>.</w:t>
            </w:r>
          </w:p>
          <w:p w14:paraId="6A474BBC" w14:textId="3BAEAC2D" w:rsidR="00A219D7" w:rsidRPr="006A2614" w:rsidRDefault="00A219D7" w:rsidP="007D65FC">
            <w:pPr>
              <w:pStyle w:val="Bullet1"/>
              <w:rPr>
                <w:lang w:val="en-AU"/>
              </w:rPr>
            </w:pPr>
            <w:r w:rsidRPr="006A2614">
              <w:rPr>
                <w:lang w:val="en-AU"/>
              </w:rPr>
              <w:t>$500.0 million for the widening and upgrade of Mamre Road between Erskine Park and Kemps Creek, a key freight route and zone for commercial development. This takes total Federal-State funding of Mamre Road to $1</w:t>
            </w:r>
            <w:r w:rsidR="00106924" w:rsidRPr="006A2614">
              <w:rPr>
                <w:lang w:val="en-AU"/>
              </w:rPr>
              <w:t>.0</w:t>
            </w:r>
            <w:r w:rsidRPr="006A2614">
              <w:rPr>
                <w:lang w:val="en-AU"/>
              </w:rPr>
              <w:t xml:space="preserve"> billion</w:t>
            </w:r>
            <w:r w:rsidR="007D3570">
              <w:rPr>
                <w:lang w:val="en-AU"/>
              </w:rPr>
              <w:t>.</w:t>
            </w:r>
          </w:p>
          <w:p w14:paraId="6C2D660C" w14:textId="34746B49" w:rsidR="00A219D7" w:rsidRPr="006A2614" w:rsidRDefault="00A219D7" w:rsidP="007D65FC">
            <w:pPr>
              <w:pStyle w:val="Bullet1"/>
              <w:rPr>
                <w:lang w:val="en-AU"/>
              </w:rPr>
            </w:pPr>
            <w:r w:rsidRPr="006A2614">
              <w:rPr>
                <w:lang w:val="en-AU"/>
              </w:rPr>
              <w:t>$400.0 million to upgrade Elizabeth Drive which will link people directly to the new airport and connect major arteries of Mamre and Northern Roads. This takes the total funding for Elizabeth Drive to $</w:t>
            </w:r>
            <w:r w:rsidR="00106924" w:rsidRPr="006A2614">
              <w:rPr>
                <w:lang w:val="en-AU"/>
              </w:rPr>
              <w:t>800.0</w:t>
            </w:r>
            <w:r w:rsidRPr="006A2614">
              <w:rPr>
                <w:lang w:val="en-AU"/>
              </w:rPr>
              <w:t xml:space="preserve"> million in partnership with the Australian Government.</w:t>
            </w:r>
          </w:p>
          <w:p w14:paraId="0AFD8470" w14:textId="77777777" w:rsidR="008B4055" w:rsidRPr="006A2614" w:rsidRDefault="00E1448A" w:rsidP="003F21C3">
            <w:pPr>
              <w:pStyle w:val="Bullet1"/>
              <w:rPr>
                <w:lang w:val="en-AU"/>
              </w:rPr>
            </w:pPr>
            <w:r w:rsidRPr="006A2614">
              <w:rPr>
                <w:lang w:val="en-AU"/>
              </w:rPr>
              <w:t>$30</w:t>
            </w:r>
            <w:r w:rsidR="003622BB" w:rsidRPr="006A2614">
              <w:rPr>
                <w:lang w:val="en-AU"/>
              </w:rPr>
              <w:t xml:space="preserve">.0 million </w:t>
            </w:r>
            <w:r w:rsidR="00E7133A" w:rsidRPr="006A2614">
              <w:rPr>
                <w:lang w:val="en-AU"/>
              </w:rPr>
              <w:t xml:space="preserve">for Wayfinding to </w:t>
            </w:r>
            <w:r w:rsidR="0090129E" w:rsidRPr="006A2614">
              <w:rPr>
                <w:lang w:val="en-AU"/>
              </w:rPr>
              <w:t xml:space="preserve">improve </w:t>
            </w:r>
            <w:r w:rsidR="33DFF8C5" w:rsidRPr="006A2614">
              <w:rPr>
                <w:lang w:val="en-AU"/>
              </w:rPr>
              <w:t>signage and ease of access</w:t>
            </w:r>
            <w:r w:rsidR="0090129E" w:rsidRPr="006A2614">
              <w:rPr>
                <w:lang w:val="en-AU"/>
              </w:rPr>
              <w:t xml:space="preserve"> to</w:t>
            </w:r>
            <w:r w:rsidR="00D37BCB" w:rsidRPr="006A2614">
              <w:rPr>
                <w:lang w:val="en-AU"/>
              </w:rPr>
              <w:t>, from and within</w:t>
            </w:r>
            <w:r w:rsidR="0090129E" w:rsidRPr="006A2614">
              <w:rPr>
                <w:lang w:val="en-AU"/>
              </w:rPr>
              <w:t xml:space="preserve"> the </w:t>
            </w:r>
            <w:r w:rsidR="00D37BCB" w:rsidRPr="006A2614">
              <w:rPr>
                <w:lang w:val="en-AU"/>
              </w:rPr>
              <w:t>Western Sydney Airport preci</w:t>
            </w:r>
            <w:r w:rsidR="00462A67" w:rsidRPr="006A2614">
              <w:rPr>
                <w:lang w:val="en-AU"/>
              </w:rPr>
              <w:t xml:space="preserve">nct. </w:t>
            </w:r>
          </w:p>
          <w:p w14:paraId="7D5BCDC5" w14:textId="0C086A85" w:rsidR="008B4055" w:rsidRPr="006D2C0F" w:rsidRDefault="00A36E93" w:rsidP="003F21C3">
            <w:pPr>
              <w:pStyle w:val="BodyText"/>
            </w:pPr>
            <w:r w:rsidRPr="5634E4A1">
              <w:rPr>
                <w:lang w:val="en-US"/>
              </w:rPr>
              <w:t xml:space="preserve">This Government is also investing $15.4 million for a new </w:t>
            </w:r>
            <w:r w:rsidR="007E40A5" w:rsidRPr="5634E4A1">
              <w:rPr>
                <w:lang w:val="en-US"/>
              </w:rPr>
              <w:t>Badgerys Creek</w:t>
            </w:r>
            <w:r w:rsidRPr="5634E4A1">
              <w:rPr>
                <w:lang w:val="en-US"/>
              </w:rPr>
              <w:t xml:space="preserve"> fire station which is the first step to ensuring the airport and neighbouring industrial and commercial centres have essential safety services.</w:t>
            </w:r>
          </w:p>
        </w:tc>
      </w:tr>
    </w:tbl>
    <w:p w14:paraId="6409FBBE" w14:textId="77777777" w:rsidR="00662027" w:rsidRDefault="00662027"/>
    <w:p w14:paraId="1C9B893D" w14:textId="24A4973D" w:rsidR="007D1FD0" w:rsidRDefault="007D1FD0">
      <w:pPr>
        <w:spacing w:before="360" w:after="120"/>
        <w:ind w:left="851" w:hanging="851"/>
      </w:pPr>
      <w:r>
        <w:br w:type="page"/>
      </w:r>
    </w:p>
    <w:p w14:paraId="594AD5C7" w14:textId="77777777" w:rsidR="00662027" w:rsidRDefault="00662027"/>
    <w:tbl>
      <w:tblPr>
        <w:tblW w:w="9715" w:type="dxa"/>
        <w:shd w:val="pct5" w:color="auto" w:fill="auto"/>
        <w:tblLayout w:type="fixed"/>
        <w:tblCellMar>
          <w:left w:w="0" w:type="dxa"/>
          <w:right w:w="0" w:type="dxa"/>
        </w:tblCellMar>
        <w:tblLook w:val="04A0" w:firstRow="1" w:lastRow="0" w:firstColumn="1" w:lastColumn="0" w:noHBand="0" w:noVBand="1"/>
        <w:tblCaption w:val="Box 1.2: $22.9 billion building better schools and hospitals "/>
        <w:tblDescription w:val="Box 1.2: $22.9 billion building better schools and hospitals "/>
      </w:tblPr>
      <w:tblGrid>
        <w:gridCol w:w="9715"/>
      </w:tblGrid>
      <w:tr w:rsidR="008B4055" w:rsidRPr="00A1397D" w14:paraId="4C37E01E" w14:textId="77777777" w:rsidTr="003627D0">
        <w:trPr>
          <w:trHeight w:val="707"/>
        </w:trPr>
        <w:tc>
          <w:tcPr>
            <w:tcW w:w="9715" w:type="dxa"/>
            <w:shd w:val="pct5" w:color="auto" w:fill="auto"/>
            <w:tcMar>
              <w:top w:w="0" w:type="dxa"/>
              <w:left w:w="108" w:type="dxa"/>
              <w:bottom w:w="0" w:type="dxa"/>
              <w:right w:w="108" w:type="dxa"/>
            </w:tcMar>
          </w:tcPr>
          <w:p w14:paraId="5E1C070A" w14:textId="78E53B9A" w:rsidR="008B4055" w:rsidRPr="00461E1C" w:rsidRDefault="008B4055" w:rsidP="000A56BD">
            <w:pPr>
              <w:pStyle w:val="Box8XBoxHeading"/>
              <w:ind w:left="1134" w:hanging="1134"/>
            </w:pPr>
            <w:r w:rsidRPr="122AF5EE">
              <w:rPr>
                <w:highlight w:val="yellow"/>
              </w:rPr>
              <w:br w:type="page"/>
            </w:r>
            <w:r w:rsidR="009A4B6A" w:rsidRPr="00755B0D">
              <w:t>More than $3.</w:t>
            </w:r>
            <w:r w:rsidR="009A4B6A">
              <w:t>4</w:t>
            </w:r>
            <w:r w:rsidR="009A4B6A" w:rsidRPr="00755B0D">
              <w:t xml:space="preserve"> billion </w:t>
            </w:r>
            <w:r w:rsidR="009A4B6A">
              <w:t xml:space="preserve">over four years </w:t>
            </w:r>
            <w:r w:rsidR="009A4B6A" w:rsidRPr="00755B0D">
              <w:t>to deliver vital health services for the growing population in Western Sydney</w:t>
            </w:r>
          </w:p>
          <w:p w14:paraId="4763C804" w14:textId="5B993604" w:rsidR="00D24DC6" w:rsidRPr="000A56BD" w:rsidRDefault="00D24DC6" w:rsidP="003E2B99">
            <w:pPr>
              <w:spacing w:before="120" w:after="120" w:line="259" w:lineRule="auto"/>
              <w:rPr>
                <w:color w:val="000000" w:themeColor="text1"/>
              </w:rPr>
            </w:pPr>
            <w:r w:rsidRPr="024868CD">
              <w:rPr>
                <w:rFonts w:ascii="Public Sans" w:hAnsi="Public Sans" w:cs="Arial"/>
                <w:color w:val="000000" w:themeColor="text1"/>
                <w:sz w:val="22"/>
                <w:szCs w:val="22"/>
              </w:rPr>
              <w:t>The NSW Government is continuing to invest in health infrastructure to ensure communities across the State have access to high-quality healthcare closer to where they live.</w:t>
            </w:r>
            <w:r w:rsidR="00D11C59" w:rsidRPr="024868CD">
              <w:rPr>
                <w:rFonts w:ascii="Public Sans" w:hAnsi="Public Sans" w:cs="Arial"/>
                <w:color w:val="000000" w:themeColor="text1"/>
                <w:sz w:val="22"/>
                <w:szCs w:val="22"/>
              </w:rPr>
              <w:t xml:space="preserve"> </w:t>
            </w:r>
            <w:r w:rsidRPr="000A56BD">
              <w:rPr>
                <w:rFonts w:ascii="Public Sans" w:hAnsi="Public Sans" w:cs="Arial"/>
                <w:color w:val="000000" w:themeColor="text1"/>
                <w:sz w:val="22"/>
              </w:rPr>
              <w:t>This Budget will provide funding to deliver much-needed new and upgraded contemporary healthcare facilities for the growing North West and South West Sydney communities.</w:t>
            </w:r>
          </w:p>
          <w:p w14:paraId="64D3DECE" w14:textId="77777777" w:rsidR="001C435B" w:rsidRPr="009640A2" w:rsidRDefault="001C435B" w:rsidP="003E2B99">
            <w:pPr>
              <w:spacing w:before="120" w:after="120" w:line="259" w:lineRule="auto"/>
              <w:rPr>
                <w:rFonts w:ascii="Public Sans" w:hAnsi="Public Sans" w:cs="Arial"/>
                <w:color w:val="000000" w:themeColor="text1"/>
                <w:sz w:val="22"/>
              </w:rPr>
            </w:pPr>
            <w:r w:rsidRPr="009640A2">
              <w:rPr>
                <w:rFonts w:ascii="Public Sans" w:hAnsi="Public Sans" w:cs="Arial"/>
                <w:color w:val="000000" w:themeColor="text1"/>
                <w:sz w:val="22"/>
              </w:rPr>
              <w:t xml:space="preserve">The 2025-26 Budget continues to invest in building the hospitals and health infrastructure Western Sydney needs to support a growing population. This Budget includes </w:t>
            </w:r>
            <w:r w:rsidRPr="004F7547">
              <w:rPr>
                <w:rFonts w:ascii="Public Sans" w:hAnsi="Public Sans" w:cs="Arial"/>
                <w:color w:val="000000" w:themeColor="text1"/>
                <w:sz w:val="22"/>
              </w:rPr>
              <w:t>$1.3 billion</w:t>
            </w:r>
            <w:r w:rsidRPr="009640A2">
              <w:rPr>
                <w:rFonts w:ascii="Public Sans" w:hAnsi="Public Sans" w:cs="Arial"/>
                <w:color w:val="000000" w:themeColor="text1"/>
                <w:sz w:val="22"/>
              </w:rPr>
              <w:t xml:space="preserve"> of additional funding to support the delivery of health facilities across Western Sydney including </w:t>
            </w:r>
          </w:p>
          <w:p w14:paraId="2F1761AC" w14:textId="66689F50" w:rsidR="001C435B" w:rsidRPr="006A2614" w:rsidRDefault="001C435B" w:rsidP="007D65FC">
            <w:pPr>
              <w:pStyle w:val="Bullet1"/>
              <w:rPr>
                <w:lang w:val="en-AU"/>
              </w:rPr>
            </w:pPr>
            <w:r w:rsidRPr="006A2614">
              <w:rPr>
                <w:lang w:val="en-AU"/>
              </w:rPr>
              <w:t>an additional $700.0 million for the New Bankstown Hospital to effectively integrate hospital inpatient services on the one site in the centre of Bankstown. This increases the total investment in the New Bankstown Hospital to $2.0 billion.</w:t>
            </w:r>
          </w:p>
          <w:p w14:paraId="2F0ADF59" w14:textId="77777777" w:rsidR="001C435B" w:rsidRPr="006A2614" w:rsidRDefault="001C435B" w:rsidP="007D65FC">
            <w:pPr>
              <w:pStyle w:val="Bullet1"/>
              <w:rPr>
                <w:lang w:val="en-AU"/>
              </w:rPr>
            </w:pPr>
            <w:r w:rsidRPr="006A2614">
              <w:rPr>
                <w:lang w:val="en-AU"/>
              </w:rPr>
              <w:t>$492.0 million to develop a Statewide Pathology Hub on the Westmead campus that will support the delivery of local and statewide clinical pathology, public health, medical research, and essential specialised support services.</w:t>
            </w:r>
          </w:p>
          <w:p w14:paraId="4F272755" w14:textId="1FBA2E37" w:rsidR="00E518A3" w:rsidRPr="006A2614" w:rsidRDefault="001C435B" w:rsidP="003F21C3">
            <w:pPr>
              <w:pStyle w:val="Bullet1"/>
              <w:rPr>
                <w:lang w:val="en-AU"/>
              </w:rPr>
            </w:pPr>
            <w:r w:rsidRPr="006A2614">
              <w:rPr>
                <w:lang w:val="en-AU"/>
              </w:rPr>
              <w:t xml:space="preserve">additional State funding of $90.0 million to provide the full range of maternity and birthing services as part of the new Rouse Hill </w:t>
            </w:r>
            <w:r w:rsidR="0038516B" w:rsidRPr="006A2614">
              <w:rPr>
                <w:lang w:val="en-AU"/>
              </w:rPr>
              <w:t>H</w:t>
            </w:r>
            <w:r w:rsidRPr="006A2614">
              <w:rPr>
                <w:lang w:val="en-AU"/>
              </w:rPr>
              <w:t xml:space="preserve">ospital, with a further $120.0 million also announced by the Australian Government. These two funding commitments increase the total investment for the new hospital project to $910.0 million. </w:t>
            </w:r>
          </w:p>
          <w:p w14:paraId="05A1BD89" w14:textId="448BCA00" w:rsidR="001C435B" w:rsidRPr="006A2614" w:rsidRDefault="001C435B" w:rsidP="007D65FC">
            <w:pPr>
              <w:pStyle w:val="Bullet1"/>
              <w:rPr>
                <w:lang w:val="en-AU"/>
              </w:rPr>
            </w:pPr>
            <w:r w:rsidRPr="006A2614">
              <w:rPr>
                <w:lang w:val="en-AU"/>
              </w:rPr>
              <w:t xml:space="preserve">$40.1 million to fit out level 13 of the new Paediatric Services Building at Westmead in partnership with the Sydney Children’s Hospitals Foundation. This will house the Kookaburra Centre and offer a multidisciplinary model of care specifically designed to cater for young patients with chronic, complex and rare health conditions. This increases the estimated total cost of the redevelopment of </w:t>
            </w:r>
            <w:r w:rsidR="00911CF7" w:rsidRPr="006A2614">
              <w:rPr>
                <w:lang w:val="en-AU"/>
              </w:rPr>
              <w:t>T</w:t>
            </w:r>
            <w:r w:rsidRPr="006A2614">
              <w:rPr>
                <w:lang w:val="en-AU"/>
              </w:rPr>
              <w:t>he Children’s Hospital at Westmead (Stage 2) to $659.1 million.</w:t>
            </w:r>
          </w:p>
          <w:p w14:paraId="64953C51" w14:textId="61DBCDC9" w:rsidR="008B4055" w:rsidRPr="006D2C0F" w:rsidRDefault="00235CC6" w:rsidP="003F21C3">
            <w:pPr>
              <w:pStyle w:val="BodyText"/>
            </w:pPr>
            <w:r w:rsidRPr="5634E4A1">
              <w:rPr>
                <w:lang w:val="en-US"/>
              </w:rPr>
              <w:t xml:space="preserve">Other projects in the Western Sydney region include upgrades at </w:t>
            </w:r>
            <w:r w:rsidR="009646CD" w:rsidRPr="5634E4A1">
              <w:rPr>
                <w:lang w:val="en-US"/>
              </w:rPr>
              <w:t xml:space="preserve">Nepean, </w:t>
            </w:r>
            <w:r w:rsidRPr="5634E4A1">
              <w:rPr>
                <w:lang w:val="en-US"/>
              </w:rPr>
              <w:t xml:space="preserve">Canterbury, Fairfield, Blacktown and Mount Druitt </w:t>
            </w:r>
            <w:r w:rsidR="00791306" w:rsidRPr="5634E4A1">
              <w:rPr>
                <w:lang w:val="en-US"/>
              </w:rPr>
              <w:t>hospitals</w:t>
            </w:r>
            <w:r w:rsidRPr="5634E4A1">
              <w:rPr>
                <w:lang w:val="en-US"/>
              </w:rPr>
              <w:t>.</w:t>
            </w:r>
          </w:p>
        </w:tc>
      </w:tr>
    </w:tbl>
    <w:p w14:paraId="4F122EE6" w14:textId="77777777" w:rsidR="003627D0" w:rsidRDefault="003627D0" w:rsidP="003627D0"/>
    <w:p w14:paraId="604D5E41" w14:textId="6A65664B" w:rsidR="0077286F" w:rsidRPr="00D9267F" w:rsidRDefault="0077286F" w:rsidP="003F21C3">
      <w:pPr>
        <w:pStyle w:val="BodyText"/>
        <w:rPr>
          <w:iCs w:val="0"/>
        </w:rPr>
      </w:pPr>
      <w:r w:rsidRPr="007D2400">
        <w:t>More detail</w:t>
      </w:r>
      <w:r w:rsidR="00CA7D69">
        <w:t>s</w:t>
      </w:r>
      <w:r w:rsidRPr="007D2400">
        <w:t xml:space="preserve"> o</w:t>
      </w:r>
      <w:r w:rsidR="00CA7D69">
        <w:t>f</w:t>
      </w:r>
      <w:r w:rsidRPr="007D2400">
        <w:t xml:space="preserve"> this investment can be found in </w:t>
      </w:r>
      <w:r w:rsidRPr="00D9267F">
        <w:t xml:space="preserve">the </w:t>
      </w:r>
      <w:r w:rsidRPr="00D9267F">
        <w:rPr>
          <w:i/>
        </w:rPr>
        <w:t xml:space="preserve">Our plan for Western Sydney </w:t>
      </w:r>
      <w:r w:rsidRPr="00D9267F">
        <w:rPr>
          <w:iCs w:val="0"/>
        </w:rPr>
        <w:t>Budget publication.  </w:t>
      </w:r>
    </w:p>
    <w:p w14:paraId="11DF2256" w14:textId="77777777" w:rsidR="008D2C8B" w:rsidRDefault="008D2C8B">
      <w:pPr>
        <w:spacing w:before="360" w:after="120"/>
        <w:ind w:left="851" w:hanging="851"/>
        <w:rPr>
          <w:rFonts w:ascii="Public Sans SemiBold" w:hAnsi="Public Sans SemiBold"/>
          <w:b/>
          <w:bCs/>
          <w:color w:val="000000" w:themeColor="text1"/>
          <w:kern w:val="28"/>
          <w:sz w:val="26"/>
          <w:szCs w:val="28"/>
          <w:lang w:val="en-AU"/>
        </w:rPr>
      </w:pPr>
      <w:bookmarkStart w:id="1" w:name="_Hlk8719257"/>
      <w:bookmarkStart w:id="2" w:name="_Hlk8754325"/>
      <w:bookmarkStart w:id="3" w:name="_Hlk516526617"/>
      <w:r>
        <w:br w:type="page"/>
      </w:r>
    </w:p>
    <w:p w14:paraId="74E38286" w14:textId="44896A7C" w:rsidR="007513C5" w:rsidRPr="000126D7" w:rsidRDefault="007513C5" w:rsidP="000E5048">
      <w:pPr>
        <w:pStyle w:val="Heading3"/>
      </w:pPr>
      <w:r w:rsidRPr="000126D7">
        <w:lastRenderedPageBreak/>
        <w:t xml:space="preserve">Delivering for regional </w:t>
      </w:r>
      <w:bookmarkEnd w:id="1"/>
      <w:r w:rsidRPr="000126D7">
        <w:t>communities</w:t>
      </w:r>
    </w:p>
    <w:p w14:paraId="57134238" w14:textId="41D1298F" w:rsidR="007513C5" w:rsidRPr="00EA3CFF" w:rsidRDefault="007513C5" w:rsidP="003F21C3">
      <w:pPr>
        <w:pStyle w:val="BodyText"/>
      </w:pPr>
      <w:r>
        <w:t>The 202</w:t>
      </w:r>
      <w:r w:rsidR="006B0A39">
        <w:t>5</w:t>
      </w:r>
      <w:r>
        <w:t>-2</w:t>
      </w:r>
      <w:r w:rsidR="006B0A39">
        <w:t>6</w:t>
      </w:r>
      <w:r>
        <w:t xml:space="preserve"> Budget delivers infrastructure in regional and rural N</w:t>
      </w:r>
      <w:r w:rsidR="00F22A32">
        <w:t xml:space="preserve">ew </w:t>
      </w:r>
      <w:r>
        <w:t>S</w:t>
      </w:r>
      <w:r w:rsidR="00F22A32">
        <w:t xml:space="preserve">outh </w:t>
      </w:r>
      <w:r>
        <w:t>W</w:t>
      </w:r>
      <w:r w:rsidR="00F22A32">
        <w:t>ales</w:t>
      </w:r>
      <w:r>
        <w:t>. Important projects being delivered for regional communities include:</w:t>
      </w:r>
    </w:p>
    <w:p w14:paraId="6B22B6CA" w14:textId="10341856" w:rsidR="001B5D3D" w:rsidRPr="006A2614" w:rsidRDefault="001B5D3D" w:rsidP="003F21C3">
      <w:pPr>
        <w:pStyle w:val="Bullet1"/>
        <w:rPr>
          <w:rFonts w:eastAsia="Public Sans" w:cs="Public Sans"/>
          <w:lang w:val="en-AU"/>
        </w:rPr>
      </w:pPr>
      <w:r w:rsidRPr="006A2614">
        <w:rPr>
          <w:lang w:val="en-AU"/>
        </w:rPr>
        <w:t xml:space="preserve">Over the next </w:t>
      </w:r>
      <w:r w:rsidR="00C73B52" w:rsidRPr="006A2614">
        <w:rPr>
          <w:lang w:val="en-AU"/>
        </w:rPr>
        <w:t xml:space="preserve">four </w:t>
      </w:r>
      <w:r w:rsidRPr="006A2614">
        <w:rPr>
          <w:lang w:val="en-AU"/>
        </w:rPr>
        <w:t>years, over $3.5 billion will be invested in health capital works throughout rural and regional communities across N</w:t>
      </w:r>
      <w:r w:rsidR="007B68E2" w:rsidRPr="006A2614">
        <w:rPr>
          <w:lang w:val="en-AU"/>
        </w:rPr>
        <w:t xml:space="preserve">ew </w:t>
      </w:r>
      <w:r w:rsidRPr="006A2614">
        <w:rPr>
          <w:lang w:val="en-AU"/>
        </w:rPr>
        <w:t>S</w:t>
      </w:r>
      <w:r w:rsidR="007B68E2" w:rsidRPr="006A2614">
        <w:rPr>
          <w:lang w:val="en-AU"/>
        </w:rPr>
        <w:t xml:space="preserve">outh </w:t>
      </w:r>
      <w:r w:rsidRPr="006A2614">
        <w:rPr>
          <w:lang w:val="en-AU"/>
        </w:rPr>
        <w:t>W</w:t>
      </w:r>
      <w:r w:rsidR="007B68E2" w:rsidRPr="006A2614">
        <w:rPr>
          <w:lang w:val="en-AU"/>
        </w:rPr>
        <w:t>ales</w:t>
      </w:r>
    </w:p>
    <w:p w14:paraId="3A6BB95F" w14:textId="3996565D" w:rsidR="001B5D3D" w:rsidRPr="00426798" w:rsidRDefault="001B5D3D" w:rsidP="003F21C3">
      <w:pPr>
        <w:pStyle w:val="Bullet1"/>
      </w:pPr>
      <w:r w:rsidRPr="006A2614">
        <w:rPr>
          <w:lang w:val="en-AU"/>
        </w:rPr>
        <w:t>Over $1.1 billion will be allocated in 2025-26 towards rural and regional health capital works projects (over 19 per cent increase on last year)</w:t>
      </w:r>
    </w:p>
    <w:p w14:paraId="17AC7E73" w14:textId="577BED53" w:rsidR="005B0EEF" w:rsidRPr="006A2614" w:rsidRDefault="005B0EEF" w:rsidP="003F21C3">
      <w:pPr>
        <w:pStyle w:val="Bullet1"/>
        <w:rPr>
          <w:lang w:val="en-AU"/>
        </w:rPr>
      </w:pPr>
      <w:r w:rsidRPr="006A2614">
        <w:rPr>
          <w:lang w:val="en-AU"/>
        </w:rPr>
        <w:t>$372.6 million ($741.7 million over four years) to continue construction of the M1 to Raymond Terrace extension and Hexham Straight widening projects (NSW and Australian Government funded)</w:t>
      </w:r>
    </w:p>
    <w:p w14:paraId="1E026C8B" w14:textId="484C6431" w:rsidR="005A0C5C" w:rsidRPr="006A2614" w:rsidRDefault="005A0C5C" w:rsidP="003F21C3">
      <w:pPr>
        <w:pStyle w:val="Bullet1"/>
        <w:rPr>
          <w:lang w:val="en-AU"/>
        </w:rPr>
      </w:pPr>
      <w:r w:rsidRPr="006A2614">
        <w:rPr>
          <w:lang w:val="en-AU"/>
        </w:rPr>
        <w:t>$317.2 million ($548.5 million over four years) to continue construction of the Coffs Harbour bypass (NSW and Australian Government funded)</w:t>
      </w:r>
    </w:p>
    <w:p w14:paraId="60653E26" w14:textId="35AC79E1" w:rsidR="005A0C5C" w:rsidRPr="006A2614" w:rsidRDefault="005A0C5C" w:rsidP="003F21C3">
      <w:pPr>
        <w:pStyle w:val="Bullet1"/>
        <w:rPr>
          <w:lang w:val="en-AU"/>
        </w:rPr>
      </w:pPr>
      <w:r w:rsidRPr="006A2614">
        <w:rPr>
          <w:lang w:val="en-AU"/>
        </w:rPr>
        <w:t>$179.5 million ($294.9 million over four years) to continue construction of the Singleton Bypass – New England Highway Corridor (NSW and Australian Government funded)</w:t>
      </w:r>
    </w:p>
    <w:p w14:paraId="5A21568C" w14:textId="34CC6A8E" w:rsidR="005B0EEF" w:rsidRPr="006A2614" w:rsidRDefault="005B0EEF" w:rsidP="003F21C3">
      <w:pPr>
        <w:pStyle w:val="Bullet1"/>
        <w:rPr>
          <w:lang w:val="en-AU"/>
        </w:rPr>
      </w:pPr>
      <w:r w:rsidRPr="006A2614">
        <w:rPr>
          <w:lang w:val="en-AU"/>
        </w:rPr>
        <w:t>$57.3 million ($600.5 million over four years) to continue Princes Highway projects including construction of Jervis Bay Road intersection upgrade and Jervis Bay Road to Hawken Road upgrade and the Milton Ulladulla bypass (NSW and Australian Government funded)</w:t>
      </w:r>
    </w:p>
    <w:p w14:paraId="7C7F9332" w14:textId="77794602" w:rsidR="00233056" w:rsidRPr="00A71D59" w:rsidRDefault="00460C01" w:rsidP="003F21C3">
      <w:pPr>
        <w:pStyle w:val="Bullet1"/>
      </w:pPr>
      <w:r w:rsidRPr="5634E4A1">
        <w:t xml:space="preserve">This budget also includes </w:t>
      </w:r>
      <w:r w:rsidR="00233056" w:rsidRPr="5634E4A1">
        <w:t>$2.3 billion recurrent expenses over four years from 2025-26 to 2028-29, including Australian Government co-contributions, for restoration works to repair local and State roads damaged in major flood events, including in the Northern Rivers</w:t>
      </w:r>
      <w:r w:rsidR="006D33A0" w:rsidRPr="5634E4A1">
        <w:t>.</w:t>
      </w:r>
      <w:r w:rsidR="00233056" w:rsidRPr="5634E4A1">
        <w:t xml:space="preserve">  </w:t>
      </w:r>
    </w:p>
    <w:bookmarkEnd w:id="2"/>
    <w:bookmarkEnd w:id="3"/>
    <w:p w14:paraId="6B2943BF" w14:textId="4172907B" w:rsidR="008B4055" w:rsidRDefault="007513C5" w:rsidP="003F21C3">
      <w:pPr>
        <w:pStyle w:val="BodyText"/>
      </w:pPr>
      <w:r w:rsidRPr="5634E4A1">
        <w:rPr>
          <w:lang w:val="en-US"/>
        </w:rPr>
        <w:t xml:space="preserve">For more detailed information on the Government’s investment in regional areas, see the </w:t>
      </w:r>
      <w:r w:rsidRPr="5634E4A1">
        <w:rPr>
          <w:i/>
          <w:lang w:val="en-US"/>
        </w:rPr>
        <w:t>Our plan for Regional New South Wales</w:t>
      </w:r>
      <w:r w:rsidRPr="5634E4A1">
        <w:rPr>
          <w:lang w:val="en-US"/>
        </w:rPr>
        <w:t xml:space="preserve"> budget publication.</w:t>
      </w:r>
    </w:p>
    <w:p w14:paraId="0DE29FCD" w14:textId="4EC4FCD1" w:rsidR="008B4055" w:rsidRPr="00925CCD" w:rsidRDefault="008B4055" w:rsidP="003E2B99">
      <w:pPr>
        <w:pStyle w:val="81Heading2"/>
        <w:ind w:left="851" w:hanging="851"/>
        <w:outlineLvl w:val="1"/>
      </w:pPr>
      <w:r w:rsidRPr="00925CCD">
        <w:t>Four-year capital program</w:t>
      </w:r>
    </w:p>
    <w:p w14:paraId="7105EE4A" w14:textId="29D9F77F" w:rsidR="00600282" w:rsidRPr="006A2614" w:rsidRDefault="00600282" w:rsidP="00600282">
      <w:pPr>
        <w:pStyle w:val="BodyText"/>
      </w:pPr>
      <w:r w:rsidRPr="5634E4A1">
        <w:rPr>
          <w:lang w:val="en-US"/>
        </w:rPr>
        <w:t xml:space="preserve">The average estimated infrastructure investment of $29.6 billion per annum over four years is </w:t>
      </w:r>
      <w:r w:rsidR="00396D1A">
        <w:rPr>
          <w:lang w:val="en-US"/>
        </w:rPr>
        <w:t>4.</w:t>
      </w:r>
      <w:r w:rsidRPr="5634E4A1">
        <w:rPr>
          <w:lang w:val="en-US"/>
        </w:rPr>
        <w:t>2 per cent higher than the average four-year investment of $28.</w:t>
      </w:r>
      <w:r w:rsidR="00104C83">
        <w:rPr>
          <w:lang w:val="en-US"/>
        </w:rPr>
        <w:t>4</w:t>
      </w:r>
      <w:r w:rsidRPr="5634E4A1">
        <w:rPr>
          <w:lang w:val="en-US"/>
        </w:rPr>
        <w:t xml:space="preserve"> billion across the four years 2021-22 to 2024-25. </w:t>
      </w:r>
    </w:p>
    <w:p w14:paraId="06EA05AB" w14:textId="43CCE5CC" w:rsidR="008B4055" w:rsidRPr="00925CCD" w:rsidRDefault="008B4055" w:rsidP="002648D5">
      <w:pPr>
        <w:pStyle w:val="Table8X"/>
      </w:pPr>
      <w:bookmarkStart w:id="4" w:name="_Hlk198888545"/>
      <w:r w:rsidRPr="006A2614">
        <w:t xml:space="preserve">Capital expenditure reconciliation </w:t>
      </w:r>
      <w:bookmarkEnd w:id="4"/>
      <w:r w:rsidRPr="006A2614">
        <w:t xml:space="preserve"> </w:t>
      </w:r>
    </w:p>
    <w:tbl>
      <w:tblPr>
        <w:tblW w:w="9639" w:type="dxa"/>
        <w:tblLayout w:type="fixed"/>
        <w:tblLook w:val="04A0" w:firstRow="1" w:lastRow="0" w:firstColumn="1" w:lastColumn="0" w:noHBand="0" w:noVBand="1"/>
        <w:tblCaption w:val="Table 1.2: Capital expenditure reconciliation  "/>
      </w:tblPr>
      <w:tblGrid>
        <w:gridCol w:w="4395"/>
        <w:gridCol w:w="1134"/>
        <w:gridCol w:w="1134"/>
        <w:gridCol w:w="1051"/>
        <w:gridCol w:w="933"/>
        <w:gridCol w:w="992"/>
      </w:tblGrid>
      <w:tr w:rsidR="00A3077B" w:rsidRPr="00A00F87" w14:paraId="54F5F184" w14:textId="77777777" w:rsidTr="00A3077B">
        <w:trPr>
          <w:trHeight w:val="286"/>
        </w:trPr>
        <w:tc>
          <w:tcPr>
            <w:tcW w:w="4395" w:type="dxa"/>
            <w:tcBorders>
              <w:top w:val="nil"/>
              <w:left w:val="nil"/>
              <w:bottom w:val="nil"/>
              <w:right w:val="nil"/>
            </w:tcBorders>
            <w:shd w:val="clear" w:color="auto" w:fill="EBEBEB"/>
            <w:noWrap/>
            <w:vAlign w:val="bottom"/>
            <w:hideMark/>
          </w:tcPr>
          <w:p w14:paraId="5AE82798" w14:textId="53332391" w:rsidR="008B4055" w:rsidRPr="003E2B99" w:rsidRDefault="008B4055" w:rsidP="003E2B99">
            <w:pPr>
              <w:pStyle w:val="BodyText"/>
              <w:spacing w:before="40" w:after="40"/>
              <w:rPr>
                <w:rFonts w:cs="Calibri"/>
                <w:sz w:val="17"/>
                <w:szCs w:val="17"/>
                <w:lang w:eastAsia="en-AU"/>
              </w:rPr>
            </w:pPr>
            <w:r w:rsidRPr="003E2B99">
              <w:rPr>
                <w:rFonts w:cs="Calibri"/>
                <w:sz w:val="17"/>
                <w:szCs w:val="17"/>
                <w:lang w:eastAsia="en-AU"/>
              </w:rPr>
              <w:t> </w:t>
            </w:r>
          </w:p>
        </w:tc>
        <w:tc>
          <w:tcPr>
            <w:tcW w:w="1134" w:type="dxa"/>
            <w:tcBorders>
              <w:top w:val="nil"/>
              <w:left w:val="nil"/>
              <w:bottom w:val="nil"/>
              <w:right w:val="nil"/>
            </w:tcBorders>
            <w:shd w:val="clear" w:color="auto" w:fill="EBEBEB"/>
            <w:noWrap/>
            <w:vAlign w:val="bottom"/>
            <w:hideMark/>
          </w:tcPr>
          <w:p w14:paraId="1743CE15" w14:textId="73A45B3D"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202</w:t>
            </w:r>
            <w:r w:rsidR="00F1616A" w:rsidRPr="003E2B99">
              <w:rPr>
                <w:rFonts w:cs="Calibri"/>
                <w:sz w:val="17"/>
                <w:szCs w:val="17"/>
                <w:lang w:eastAsia="en-AU"/>
              </w:rPr>
              <w:t>4</w:t>
            </w:r>
            <w:r w:rsidRPr="003E2B99">
              <w:rPr>
                <w:rFonts w:cs="Calibri"/>
                <w:sz w:val="17"/>
                <w:szCs w:val="17"/>
                <w:lang w:eastAsia="en-AU"/>
              </w:rPr>
              <w:t>-2</w:t>
            </w:r>
            <w:r w:rsidR="00F1616A" w:rsidRPr="003E2B99">
              <w:rPr>
                <w:rFonts w:cs="Calibri"/>
                <w:sz w:val="17"/>
                <w:szCs w:val="17"/>
                <w:lang w:eastAsia="en-AU"/>
              </w:rPr>
              <w:t>5</w:t>
            </w:r>
          </w:p>
        </w:tc>
        <w:tc>
          <w:tcPr>
            <w:tcW w:w="1134" w:type="dxa"/>
            <w:tcBorders>
              <w:top w:val="nil"/>
              <w:left w:val="nil"/>
              <w:bottom w:val="nil"/>
              <w:right w:val="nil"/>
            </w:tcBorders>
            <w:shd w:val="clear" w:color="auto" w:fill="EBEBEB"/>
            <w:noWrap/>
            <w:vAlign w:val="bottom"/>
            <w:hideMark/>
          </w:tcPr>
          <w:p w14:paraId="1F45C9A2" w14:textId="4F849903"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202</w:t>
            </w:r>
            <w:r w:rsidR="00F1616A" w:rsidRPr="003E2B99">
              <w:rPr>
                <w:rFonts w:cs="Calibri"/>
                <w:sz w:val="17"/>
                <w:szCs w:val="17"/>
                <w:lang w:eastAsia="en-AU"/>
              </w:rPr>
              <w:t>5</w:t>
            </w:r>
            <w:r w:rsidRPr="003E2B99">
              <w:rPr>
                <w:rFonts w:cs="Calibri"/>
                <w:sz w:val="17"/>
                <w:szCs w:val="17"/>
                <w:lang w:eastAsia="en-AU"/>
              </w:rPr>
              <w:t>-2</w:t>
            </w:r>
            <w:r w:rsidR="00F1616A" w:rsidRPr="003E2B99">
              <w:rPr>
                <w:rFonts w:cs="Calibri"/>
                <w:sz w:val="17"/>
                <w:szCs w:val="17"/>
                <w:lang w:eastAsia="en-AU"/>
              </w:rPr>
              <w:t>6</w:t>
            </w:r>
          </w:p>
        </w:tc>
        <w:tc>
          <w:tcPr>
            <w:tcW w:w="1051" w:type="dxa"/>
            <w:tcBorders>
              <w:top w:val="nil"/>
              <w:left w:val="nil"/>
              <w:bottom w:val="nil"/>
              <w:right w:val="nil"/>
            </w:tcBorders>
            <w:shd w:val="clear" w:color="auto" w:fill="EBEBEB"/>
            <w:noWrap/>
            <w:vAlign w:val="bottom"/>
            <w:hideMark/>
          </w:tcPr>
          <w:p w14:paraId="535502B3" w14:textId="262C33FA"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202</w:t>
            </w:r>
            <w:r w:rsidR="00F1616A" w:rsidRPr="003E2B99">
              <w:rPr>
                <w:rFonts w:cs="Calibri"/>
                <w:sz w:val="17"/>
                <w:szCs w:val="17"/>
                <w:lang w:eastAsia="en-AU"/>
              </w:rPr>
              <w:t>6</w:t>
            </w:r>
            <w:r w:rsidRPr="003E2B99">
              <w:rPr>
                <w:rFonts w:cs="Calibri"/>
                <w:sz w:val="17"/>
                <w:szCs w:val="17"/>
                <w:lang w:eastAsia="en-AU"/>
              </w:rPr>
              <w:t>-2</w:t>
            </w:r>
            <w:r w:rsidR="00F1616A" w:rsidRPr="003E2B99">
              <w:rPr>
                <w:rFonts w:cs="Calibri"/>
                <w:sz w:val="17"/>
                <w:szCs w:val="17"/>
                <w:lang w:eastAsia="en-AU"/>
              </w:rPr>
              <w:t>7</w:t>
            </w:r>
          </w:p>
        </w:tc>
        <w:tc>
          <w:tcPr>
            <w:tcW w:w="933" w:type="dxa"/>
            <w:tcBorders>
              <w:top w:val="nil"/>
              <w:left w:val="nil"/>
              <w:bottom w:val="nil"/>
              <w:right w:val="nil"/>
            </w:tcBorders>
            <w:shd w:val="clear" w:color="auto" w:fill="EBEBEB"/>
            <w:noWrap/>
            <w:vAlign w:val="bottom"/>
            <w:hideMark/>
          </w:tcPr>
          <w:p w14:paraId="7F55655D" w14:textId="01CE2899"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202</w:t>
            </w:r>
            <w:r w:rsidR="00F1616A" w:rsidRPr="003E2B99">
              <w:rPr>
                <w:rFonts w:cs="Calibri"/>
                <w:sz w:val="17"/>
                <w:szCs w:val="17"/>
                <w:lang w:eastAsia="en-AU"/>
              </w:rPr>
              <w:t>7</w:t>
            </w:r>
            <w:r w:rsidRPr="003E2B99">
              <w:rPr>
                <w:rFonts w:cs="Calibri"/>
                <w:sz w:val="17"/>
                <w:szCs w:val="17"/>
                <w:lang w:eastAsia="en-AU"/>
              </w:rPr>
              <w:t>-2</w:t>
            </w:r>
            <w:r w:rsidR="00F1616A" w:rsidRPr="003E2B99">
              <w:rPr>
                <w:rFonts w:cs="Calibri"/>
                <w:sz w:val="17"/>
                <w:szCs w:val="17"/>
                <w:lang w:eastAsia="en-AU"/>
              </w:rPr>
              <w:t>8</w:t>
            </w:r>
          </w:p>
        </w:tc>
        <w:tc>
          <w:tcPr>
            <w:tcW w:w="992" w:type="dxa"/>
            <w:tcBorders>
              <w:top w:val="nil"/>
              <w:left w:val="nil"/>
              <w:bottom w:val="nil"/>
              <w:right w:val="nil"/>
            </w:tcBorders>
            <w:shd w:val="clear" w:color="auto" w:fill="EBEBEB"/>
            <w:noWrap/>
            <w:vAlign w:val="bottom"/>
            <w:hideMark/>
          </w:tcPr>
          <w:p w14:paraId="0A1EA6E9" w14:textId="3CD25E80"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202</w:t>
            </w:r>
            <w:r w:rsidR="00F1616A" w:rsidRPr="003E2B99">
              <w:rPr>
                <w:rFonts w:cs="Calibri"/>
                <w:sz w:val="17"/>
                <w:szCs w:val="17"/>
                <w:lang w:eastAsia="en-AU"/>
              </w:rPr>
              <w:t>8</w:t>
            </w:r>
            <w:r w:rsidRPr="003E2B99">
              <w:rPr>
                <w:rFonts w:cs="Calibri"/>
                <w:sz w:val="17"/>
                <w:szCs w:val="17"/>
                <w:lang w:eastAsia="en-AU"/>
              </w:rPr>
              <w:t>-2</w:t>
            </w:r>
            <w:r w:rsidR="00F1616A" w:rsidRPr="003E2B99">
              <w:rPr>
                <w:rFonts w:cs="Calibri"/>
                <w:sz w:val="17"/>
                <w:szCs w:val="17"/>
                <w:lang w:eastAsia="en-AU"/>
              </w:rPr>
              <w:t>9</w:t>
            </w:r>
          </w:p>
        </w:tc>
      </w:tr>
      <w:tr w:rsidR="00A3077B" w:rsidRPr="00A00F87" w14:paraId="45898CDC" w14:textId="77777777" w:rsidTr="00B01F6A">
        <w:trPr>
          <w:trHeight w:val="286"/>
        </w:trPr>
        <w:tc>
          <w:tcPr>
            <w:tcW w:w="4395" w:type="dxa"/>
            <w:tcBorders>
              <w:top w:val="nil"/>
              <w:left w:val="nil"/>
              <w:bottom w:val="nil"/>
              <w:right w:val="nil"/>
            </w:tcBorders>
            <w:shd w:val="clear" w:color="auto" w:fill="EBEBEB"/>
            <w:noWrap/>
            <w:vAlign w:val="bottom"/>
            <w:hideMark/>
          </w:tcPr>
          <w:p w14:paraId="4D8BF6F1" w14:textId="4DDA3723" w:rsidR="00F8291A" w:rsidRPr="003E2B99" w:rsidRDefault="009831EB" w:rsidP="003E2B99">
            <w:pPr>
              <w:pStyle w:val="BodyText"/>
              <w:spacing w:before="40" w:after="40"/>
              <w:rPr>
                <w:rFonts w:cs="Calibri"/>
                <w:sz w:val="17"/>
                <w:szCs w:val="17"/>
                <w:lang w:eastAsia="en-AU"/>
              </w:rPr>
            </w:pPr>
            <w:r w:rsidRPr="003E2B99">
              <w:rPr>
                <w:rFonts w:cs="Calibri"/>
                <w:sz w:val="17"/>
                <w:szCs w:val="17"/>
                <w:lang w:eastAsia="en-AU"/>
              </w:rPr>
              <w:t> </w:t>
            </w:r>
          </w:p>
        </w:tc>
        <w:tc>
          <w:tcPr>
            <w:tcW w:w="1134" w:type="dxa"/>
            <w:tcBorders>
              <w:top w:val="nil"/>
              <w:left w:val="nil"/>
              <w:bottom w:val="nil"/>
              <w:right w:val="nil"/>
            </w:tcBorders>
            <w:shd w:val="clear" w:color="auto" w:fill="EBEBEB"/>
            <w:noWrap/>
            <w:vAlign w:val="bottom"/>
            <w:hideMark/>
          </w:tcPr>
          <w:p w14:paraId="02403B59" w14:textId="62D92FE8" w:rsidR="009831EB" w:rsidRPr="003E2B99" w:rsidRDefault="009831EB" w:rsidP="003E2B99">
            <w:pPr>
              <w:pStyle w:val="BodyText"/>
              <w:spacing w:before="40" w:after="40"/>
              <w:jc w:val="center"/>
              <w:rPr>
                <w:rFonts w:cs="Calibri"/>
                <w:sz w:val="17"/>
                <w:szCs w:val="17"/>
                <w:lang w:eastAsia="en-AU"/>
              </w:rPr>
            </w:pPr>
            <w:r w:rsidRPr="003E2B99">
              <w:rPr>
                <w:rFonts w:cs="Calibri"/>
                <w:sz w:val="17"/>
                <w:szCs w:val="17"/>
                <w:lang w:eastAsia="en-AU"/>
              </w:rPr>
              <w:t>Revised</w:t>
            </w:r>
          </w:p>
        </w:tc>
        <w:tc>
          <w:tcPr>
            <w:tcW w:w="1134" w:type="dxa"/>
            <w:tcBorders>
              <w:top w:val="nil"/>
              <w:left w:val="nil"/>
              <w:bottom w:val="nil"/>
              <w:right w:val="nil"/>
            </w:tcBorders>
            <w:shd w:val="clear" w:color="auto" w:fill="EBEBEB"/>
            <w:noWrap/>
            <w:vAlign w:val="bottom"/>
            <w:hideMark/>
          </w:tcPr>
          <w:p w14:paraId="1775A5B7" w14:textId="11F6A4D8" w:rsidR="00161740" w:rsidRPr="003E2B99" w:rsidRDefault="00161740" w:rsidP="003E2B99">
            <w:pPr>
              <w:pStyle w:val="BodyText"/>
              <w:spacing w:before="40" w:after="40"/>
              <w:jc w:val="center"/>
              <w:rPr>
                <w:rFonts w:cs="Calibri"/>
                <w:sz w:val="17"/>
                <w:szCs w:val="17"/>
                <w:lang w:eastAsia="en-AU"/>
              </w:rPr>
            </w:pPr>
            <w:r w:rsidRPr="003E2B99">
              <w:rPr>
                <w:rFonts w:cs="Calibri"/>
                <w:sz w:val="17"/>
                <w:szCs w:val="17"/>
                <w:lang w:eastAsia="en-AU"/>
              </w:rPr>
              <w:t>Budget</w:t>
            </w:r>
          </w:p>
        </w:tc>
        <w:tc>
          <w:tcPr>
            <w:tcW w:w="2976" w:type="dxa"/>
            <w:gridSpan w:val="3"/>
            <w:tcBorders>
              <w:top w:val="nil"/>
              <w:left w:val="nil"/>
              <w:bottom w:val="nil"/>
              <w:right w:val="nil"/>
            </w:tcBorders>
            <w:shd w:val="clear" w:color="auto" w:fill="EBEBEB"/>
            <w:vAlign w:val="bottom"/>
          </w:tcPr>
          <w:p w14:paraId="47B9FF72" w14:textId="3752B7C9"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Forward Estimates</w:t>
            </w:r>
          </w:p>
        </w:tc>
      </w:tr>
      <w:tr w:rsidR="00A3077B" w:rsidRPr="00A00F87" w14:paraId="6F729946" w14:textId="77777777" w:rsidTr="00A3077B">
        <w:trPr>
          <w:trHeight w:val="286"/>
        </w:trPr>
        <w:tc>
          <w:tcPr>
            <w:tcW w:w="4395" w:type="dxa"/>
            <w:tcBorders>
              <w:top w:val="nil"/>
              <w:left w:val="nil"/>
              <w:bottom w:val="nil"/>
              <w:right w:val="nil"/>
            </w:tcBorders>
            <w:shd w:val="clear" w:color="auto" w:fill="EBEBEB"/>
            <w:noWrap/>
            <w:vAlign w:val="bottom"/>
            <w:hideMark/>
          </w:tcPr>
          <w:p w14:paraId="48EDA299" w14:textId="21CE4345" w:rsidR="008B4055" w:rsidRPr="003E2B99" w:rsidRDefault="008B4055" w:rsidP="003E2B99">
            <w:pPr>
              <w:pStyle w:val="BodyText"/>
              <w:spacing w:before="40" w:after="40"/>
              <w:rPr>
                <w:rFonts w:cs="Calibri"/>
                <w:sz w:val="17"/>
                <w:szCs w:val="17"/>
                <w:lang w:eastAsia="en-AU"/>
              </w:rPr>
            </w:pPr>
            <w:r w:rsidRPr="003E2B99">
              <w:rPr>
                <w:rFonts w:cs="Calibri"/>
                <w:sz w:val="17"/>
                <w:szCs w:val="17"/>
                <w:lang w:eastAsia="en-AU"/>
              </w:rPr>
              <w:t> </w:t>
            </w:r>
          </w:p>
        </w:tc>
        <w:tc>
          <w:tcPr>
            <w:tcW w:w="1134" w:type="dxa"/>
            <w:tcBorders>
              <w:top w:val="nil"/>
              <w:left w:val="nil"/>
              <w:bottom w:val="nil"/>
              <w:right w:val="nil"/>
            </w:tcBorders>
            <w:shd w:val="clear" w:color="auto" w:fill="EBEBEB"/>
            <w:noWrap/>
            <w:vAlign w:val="bottom"/>
            <w:hideMark/>
          </w:tcPr>
          <w:p w14:paraId="5F8396C8" w14:textId="2EDE723A"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$m</w:t>
            </w:r>
          </w:p>
        </w:tc>
        <w:tc>
          <w:tcPr>
            <w:tcW w:w="1134" w:type="dxa"/>
            <w:tcBorders>
              <w:top w:val="nil"/>
              <w:left w:val="nil"/>
              <w:bottom w:val="nil"/>
              <w:right w:val="nil"/>
            </w:tcBorders>
            <w:shd w:val="clear" w:color="auto" w:fill="EBEBEB"/>
            <w:noWrap/>
            <w:vAlign w:val="bottom"/>
            <w:hideMark/>
          </w:tcPr>
          <w:p w14:paraId="563C5045" w14:textId="38D4D161"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$m</w:t>
            </w:r>
          </w:p>
        </w:tc>
        <w:tc>
          <w:tcPr>
            <w:tcW w:w="1051" w:type="dxa"/>
            <w:tcBorders>
              <w:top w:val="nil"/>
              <w:left w:val="nil"/>
              <w:bottom w:val="nil"/>
              <w:right w:val="nil"/>
            </w:tcBorders>
            <w:shd w:val="clear" w:color="auto" w:fill="EBEBEB"/>
            <w:noWrap/>
            <w:vAlign w:val="bottom"/>
            <w:hideMark/>
          </w:tcPr>
          <w:p w14:paraId="62E04A32" w14:textId="310A11B0"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$m</w:t>
            </w:r>
          </w:p>
        </w:tc>
        <w:tc>
          <w:tcPr>
            <w:tcW w:w="933" w:type="dxa"/>
            <w:tcBorders>
              <w:top w:val="nil"/>
              <w:left w:val="nil"/>
              <w:bottom w:val="nil"/>
              <w:right w:val="nil"/>
            </w:tcBorders>
            <w:shd w:val="clear" w:color="auto" w:fill="EBEBEB"/>
            <w:noWrap/>
            <w:vAlign w:val="bottom"/>
            <w:hideMark/>
          </w:tcPr>
          <w:p w14:paraId="518B45EA" w14:textId="676EE7D2"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$m</w:t>
            </w:r>
          </w:p>
        </w:tc>
        <w:tc>
          <w:tcPr>
            <w:tcW w:w="992" w:type="dxa"/>
            <w:tcBorders>
              <w:top w:val="nil"/>
              <w:left w:val="nil"/>
              <w:bottom w:val="nil"/>
              <w:right w:val="nil"/>
            </w:tcBorders>
            <w:shd w:val="clear" w:color="auto" w:fill="EBEBEB"/>
            <w:noWrap/>
            <w:vAlign w:val="bottom"/>
            <w:hideMark/>
          </w:tcPr>
          <w:p w14:paraId="67061578" w14:textId="7EC7C337" w:rsidR="008B4055" w:rsidRPr="003E2B99" w:rsidRDefault="008B4055" w:rsidP="003E2B99">
            <w:pPr>
              <w:pStyle w:val="BodyText"/>
              <w:spacing w:before="40" w:after="40"/>
              <w:jc w:val="center"/>
              <w:rPr>
                <w:rFonts w:cs="Calibri"/>
                <w:sz w:val="17"/>
                <w:szCs w:val="17"/>
                <w:lang w:eastAsia="en-AU"/>
              </w:rPr>
            </w:pPr>
            <w:r w:rsidRPr="003E2B99">
              <w:rPr>
                <w:rFonts w:cs="Calibri"/>
                <w:sz w:val="17"/>
                <w:szCs w:val="17"/>
                <w:lang w:eastAsia="en-AU"/>
              </w:rPr>
              <w:t>$m</w:t>
            </w:r>
          </w:p>
        </w:tc>
      </w:tr>
      <w:tr w:rsidR="00A3077B" w:rsidRPr="00741D04" w14:paraId="6F3F81A9" w14:textId="77777777" w:rsidTr="00A3077B">
        <w:trPr>
          <w:trHeight w:val="342"/>
        </w:trPr>
        <w:tc>
          <w:tcPr>
            <w:tcW w:w="4395" w:type="dxa"/>
            <w:tcBorders>
              <w:top w:val="nil"/>
              <w:left w:val="nil"/>
              <w:bottom w:val="nil"/>
              <w:right w:val="nil"/>
            </w:tcBorders>
            <w:noWrap/>
            <w:vAlign w:val="center"/>
            <w:hideMark/>
          </w:tcPr>
          <w:p w14:paraId="1A6EF5DD" w14:textId="79BF11E4" w:rsidR="008B4055" w:rsidRPr="002B4863" w:rsidRDefault="008B4055" w:rsidP="00B01F6A">
            <w:pPr>
              <w:pStyle w:val="BodyText"/>
              <w:spacing w:before="40" w:after="40"/>
              <w:rPr>
                <w:rFonts w:cs="Calibri"/>
                <w:b/>
                <w:sz w:val="16"/>
                <w:szCs w:val="16"/>
                <w:lang w:eastAsia="en-AU"/>
              </w:rPr>
            </w:pPr>
            <w:r w:rsidRPr="002B4863">
              <w:rPr>
                <w:rFonts w:cs="Calibri"/>
                <w:b/>
                <w:sz w:val="16"/>
                <w:szCs w:val="16"/>
                <w:lang w:eastAsia="en-AU"/>
              </w:rPr>
              <w:t>Capital – 2024-25 Half</w:t>
            </w:r>
            <w:r w:rsidR="00C3753E" w:rsidRPr="002B4863">
              <w:rPr>
                <w:rFonts w:cs="Calibri"/>
                <w:b/>
                <w:sz w:val="16"/>
                <w:szCs w:val="16"/>
                <w:lang w:eastAsia="en-AU"/>
              </w:rPr>
              <w:t>-</w:t>
            </w:r>
            <w:r w:rsidRPr="002B4863">
              <w:rPr>
                <w:rFonts w:cs="Calibri"/>
                <w:b/>
                <w:sz w:val="16"/>
                <w:szCs w:val="16"/>
                <w:lang w:eastAsia="en-AU"/>
              </w:rPr>
              <w:t>Yearly Review</w:t>
            </w:r>
          </w:p>
        </w:tc>
        <w:tc>
          <w:tcPr>
            <w:tcW w:w="1134" w:type="dxa"/>
            <w:tcBorders>
              <w:top w:val="nil"/>
              <w:left w:val="nil"/>
              <w:bottom w:val="nil"/>
              <w:right w:val="nil"/>
            </w:tcBorders>
            <w:noWrap/>
            <w:vAlign w:val="center"/>
            <w:hideMark/>
          </w:tcPr>
          <w:p w14:paraId="2DDAD443" w14:textId="216B011F" w:rsidR="008B4055" w:rsidRPr="002B4863" w:rsidRDefault="0009220C" w:rsidP="00B01F6A">
            <w:pPr>
              <w:pStyle w:val="BodyText"/>
              <w:spacing w:before="40" w:after="40"/>
              <w:jc w:val="right"/>
              <w:rPr>
                <w:rFonts w:cs="Calibri"/>
                <w:b/>
                <w:sz w:val="16"/>
                <w:szCs w:val="16"/>
                <w:lang w:eastAsia="en-AU"/>
              </w:rPr>
            </w:pPr>
            <w:r w:rsidRPr="00B01F6A">
              <w:rPr>
                <w:rFonts w:cs="Calibri"/>
                <w:color w:val="000000"/>
                <w:sz w:val="16"/>
                <w:szCs w:val="16"/>
              </w:rPr>
              <w:t>30</w:t>
            </w:r>
            <w:r w:rsidR="00CA37ED" w:rsidRPr="00B01F6A">
              <w:rPr>
                <w:rFonts w:cs="Calibri"/>
                <w:color w:val="000000"/>
                <w:sz w:val="16"/>
                <w:szCs w:val="16"/>
              </w:rPr>
              <w:t>,</w:t>
            </w:r>
            <w:r w:rsidR="00FD4E6C" w:rsidRPr="00B01F6A">
              <w:rPr>
                <w:rFonts w:cs="Calibri"/>
                <w:color w:val="000000"/>
                <w:sz w:val="16"/>
                <w:szCs w:val="16"/>
              </w:rPr>
              <w:t>350</w:t>
            </w:r>
          </w:p>
        </w:tc>
        <w:tc>
          <w:tcPr>
            <w:tcW w:w="1134" w:type="dxa"/>
            <w:tcBorders>
              <w:top w:val="nil"/>
              <w:left w:val="nil"/>
              <w:bottom w:val="nil"/>
              <w:right w:val="nil"/>
            </w:tcBorders>
            <w:noWrap/>
            <w:vAlign w:val="center"/>
            <w:hideMark/>
          </w:tcPr>
          <w:p w14:paraId="3F0DD1ED" w14:textId="197F620B" w:rsidR="008B4055" w:rsidRPr="002B4863" w:rsidRDefault="00D03E7B" w:rsidP="00B01F6A">
            <w:pPr>
              <w:pStyle w:val="BodyText"/>
              <w:spacing w:before="40" w:after="40"/>
              <w:jc w:val="right"/>
              <w:rPr>
                <w:rFonts w:cs="Calibri"/>
                <w:b/>
                <w:sz w:val="16"/>
                <w:szCs w:val="16"/>
                <w:lang w:eastAsia="en-AU"/>
              </w:rPr>
            </w:pPr>
            <w:r w:rsidRPr="00B01F6A">
              <w:rPr>
                <w:rFonts w:cs="Calibri"/>
                <w:color w:val="000000"/>
                <w:sz w:val="16"/>
                <w:szCs w:val="16"/>
              </w:rPr>
              <w:t>30,917</w:t>
            </w:r>
          </w:p>
        </w:tc>
        <w:tc>
          <w:tcPr>
            <w:tcW w:w="1051" w:type="dxa"/>
            <w:tcBorders>
              <w:top w:val="nil"/>
              <w:left w:val="nil"/>
              <w:bottom w:val="nil"/>
              <w:right w:val="nil"/>
            </w:tcBorders>
            <w:noWrap/>
            <w:vAlign w:val="center"/>
            <w:hideMark/>
          </w:tcPr>
          <w:p w14:paraId="103B44CC" w14:textId="7114D10F" w:rsidR="008B4055" w:rsidRPr="002B4863" w:rsidRDefault="00D03E7B" w:rsidP="00B01F6A">
            <w:pPr>
              <w:pStyle w:val="BodyText"/>
              <w:spacing w:before="40" w:after="40"/>
              <w:jc w:val="right"/>
              <w:rPr>
                <w:rFonts w:cs="Calibri"/>
                <w:b/>
                <w:sz w:val="16"/>
                <w:szCs w:val="16"/>
                <w:lang w:eastAsia="en-AU"/>
              </w:rPr>
            </w:pPr>
            <w:r w:rsidRPr="00B01F6A">
              <w:rPr>
                <w:rFonts w:cs="Calibri"/>
                <w:color w:val="000000"/>
                <w:sz w:val="16"/>
                <w:szCs w:val="16"/>
              </w:rPr>
              <w:t>29,443</w:t>
            </w:r>
          </w:p>
        </w:tc>
        <w:tc>
          <w:tcPr>
            <w:tcW w:w="933" w:type="dxa"/>
            <w:tcBorders>
              <w:top w:val="nil"/>
              <w:left w:val="nil"/>
              <w:bottom w:val="nil"/>
              <w:right w:val="nil"/>
            </w:tcBorders>
            <w:noWrap/>
            <w:vAlign w:val="center"/>
            <w:hideMark/>
          </w:tcPr>
          <w:p w14:paraId="4CCAF577" w14:textId="604CC3C0" w:rsidR="008B4055" w:rsidRPr="002B4863" w:rsidRDefault="00862AD3" w:rsidP="00B01F6A">
            <w:pPr>
              <w:pStyle w:val="BodyText"/>
              <w:spacing w:before="40" w:after="40"/>
              <w:jc w:val="right"/>
              <w:rPr>
                <w:rFonts w:cs="Calibri"/>
                <w:b/>
                <w:sz w:val="16"/>
                <w:szCs w:val="16"/>
                <w:lang w:eastAsia="en-AU"/>
              </w:rPr>
            </w:pPr>
            <w:r w:rsidRPr="00B01F6A">
              <w:rPr>
                <w:rFonts w:cs="Calibri"/>
                <w:color w:val="000000"/>
                <w:sz w:val="16"/>
                <w:szCs w:val="16"/>
              </w:rPr>
              <w:t>27,576</w:t>
            </w:r>
          </w:p>
        </w:tc>
        <w:tc>
          <w:tcPr>
            <w:tcW w:w="992" w:type="dxa"/>
            <w:tcBorders>
              <w:top w:val="nil"/>
              <w:left w:val="nil"/>
              <w:bottom w:val="nil"/>
              <w:right w:val="nil"/>
            </w:tcBorders>
            <w:noWrap/>
            <w:vAlign w:val="center"/>
            <w:hideMark/>
          </w:tcPr>
          <w:p w14:paraId="2137A847" w14:textId="1BAB0523" w:rsidR="008B4055" w:rsidRPr="002B4863" w:rsidRDefault="00541DCA" w:rsidP="00B01F6A">
            <w:pPr>
              <w:pStyle w:val="BodyText"/>
              <w:spacing w:before="40" w:after="40"/>
              <w:jc w:val="right"/>
              <w:rPr>
                <w:rFonts w:cs="Calibri"/>
                <w:sz w:val="16"/>
                <w:szCs w:val="16"/>
                <w:lang w:val="en-US" w:eastAsia="en-AU"/>
              </w:rPr>
            </w:pPr>
            <w:r w:rsidRPr="5634E4A1">
              <w:rPr>
                <w:rFonts w:cs="Calibri"/>
                <w:sz w:val="16"/>
                <w:szCs w:val="16"/>
                <w:lang w:val="en-US" w:eastAsia="en-AU"/>
              </w:rPr>
              <w:t>n.a.</w:t>
            </w:r>
          </w:p>
        </w:tc>
      </w:tr>
      <w:tr w:rsidR="00A3077B" w:rsidRPr="00741D04" w14:paraId="18C8D339" w14:textId="77777777" w:rsidTr="00A3077B">
        <w:trPr>
          <w:trHeight w:val="342"/>
        </w:trPr>
        <w:tc>
          <w:tcPr>
            <w:tcW w:w="4395" w:type="dxa"/>
            <w:tcBorders>
              <w:top w:val="nil"/>
              <w:left w:val="nil"/>
              <w:bottom w:val="nil"/>
              <w:right w:val="nil"/>
            </w:tcBorders>
            <w:noWrap/>
            <w:vAlign w:val="center"/>
            <w:hideMark/>
          </w:tcPr>
          <w:p w14:paraId="4955AED3" w14:textId="00F6664D" w:rsidR="008B4055" w:rsidRPr="002B4863" w:rsidRDefault="6CDE7FDE" w:rsidP="00B01F6A">
            <w:pPr>
              <w:pStyle w:val="BodyText"/>
              <w:spacing w:before="40" w:after="40"/>
              <w:rPr>
                <w:rFonts w:cs="Calibri"/>
                <w:color w:val="000000"/>
                <w:sz w:val="16"/>
                <w:szCs w:val="16"/>
                <w:lang w:eastAsia="en-AU"/>
              </w:rPr>
            </w:pPr>
            <w:r w:rsidRPr="002B4863">
              <w:rPr>
                <w:rFonts w:cs="Calibri"/>
                <w:color w:val="000000" w:themeColor="text1"/>
                <w:sz w:val="16"/>
                <w:szCs w:val="16"/>
                <w:vertAlign w:val="superscript"/>
                <w:lang w:eastAsia="en-AU"/>
              </w:rPr>
              <w:t xml:space="preserve"> </w:t>
            </w:r>
            <w:r w:rsidR="005A732E" w:rsidRPr="002B4863">
              <w:rPr>
                <w:rFonts w:cs="Calibri"/>
                <w:color w:val="000000"/>
                <w:sz w:val="16"/>
                <w:szCs w:val="16"/>
                <w:lang w:eastAsia="en-AU"/>
              </w:rPr>
              <w:t xml:space="preserve">Variations since </w:t>
            </w:r>
            <w:r w:rsidR="00F8291A" w:rsidRPr="002B4863">
              <w:rPr>
                <w:rFonts w:cs="Calibri"/>
                <w:color w:val="000000"/>
                <w:sz w:val="16"/>
                <w:szCs w:val="16"/>
                <w:lang w:eastAsia="en-AU"/>
              </w:rPr>
              <w:t>2024-25</w:t>
            </w:r>
            <w:r w:rsidR="005A732E" w:rsidRPr="002B4863">
              <w:rPr>
                <w:rFonts w:cs="Calibri"/>
                <w:color w:val="000000"/>
                <w:sz w:val="16"/>
                <w:szCs w:val="16"/>
                <w:lang w:eastAsia="en-AU"/>
              </w:rPr>
              <w:t xml:space="preserve"> Half-Yearly Review</w:t>
            </w:r>
          </w:p>
        </w:tc>
        <w:tc>
          <w:tcPr>
            <w:tcW w:w="1134" w:type="dxa"/>
            <w:tcBorders>
              <w:top w:val="nil"/>
              <w:left w:val="nil"/>
              <w:bottom w:val="nil"/>
              <w:right w:val="nil"/>
            </w:tcBorders>
            <w:noWrap/>
            <w:vAlign w:val="center"/>
            <w:hideMark/>
          </w:tcPr>
          <w:p w14:paraId="7720B070" w14:textId="05EDDD74" w:rsidR="008B4055" w:rsidRPr="002B4863" w:rsidRDefault="00A65158" w:rsidP="00B01F6A">
            <w:pPr>
              <w:pStyle w:val="BodyText"/>
              <w:spacing w:before="40" w:after="40"/>
              <w:jc w:val="right"/>
              <w:rPr>
                <w:rFonts w:cs="Calibri"/>
                <w:color w:val="000000"/>
                <w:sz w:val="16"/>
                <w:szCs w:val="16"/>
                <w:lang w:eastAsia="en-AU"/>
              </w:rPr>
            </w:pPr>
            <w:r w:rsidRPr="00B01F6A">
              <w:rPr>
                <w:rFonts w:cs="Calibri"/>
                <w:color w:val="000000"/>
                <w:sz w:val="16"/>
                <w:szCs w:val="16"/>
              </w:rPr>
              <w:t>(</w:t>
            </w:r>
            <w:r w:rsidR="00862AD3" w:rsidRPr="00B01F6A">
              <w:rPr>
                <w:rFonts w:cs="Calibri"/>
                <w:color w:val="000000"/>
                <w:sz w:val="16"/>
                <w:szCs w:val="16"/>
              </w:rPr>
              <w:t>1,704</w:t>
            </w:r>
            <w:r w:rsidRPr="00B01F6A">
              <w:rPr>
                <w:rFonts w:cs="Calibri"/>
                <w:color w:val="000000"/>
                <w:sz w:val="16"/>
                <w:szCs w:val="16"/>
              </w:rPr>
              <w:t>)</w:t>
            </w:r>
          </w:p>
        </w:tc>
        <w:tc>
          <w:tcPr>
            <w:tcW w:w="1134" w:type="dxa"/>
            <w:tcBorders>
              <w:top w:val="nil"/>
              <w:left w:val="nil"/>
              <w:bottom w:val="nil"/>
              <w:right w:val="nil"/>
            </w:tcBorders>
            <w:noWrap/>
            <w:vAlign w:val="center"/>
            <w:hideMark/>
          </w:tcPr>
          <w:p w14:paraId="3C1DA615" w14:textId="0692E6AB" w:rsidR="008B4055" w:rsidRPr="002B4863" w:rsidRDefault="00862AD3" w:rsidP="00B01F6A">
            <w:pPr>
              <w:pStyle w:val="BodyText"/>
              <w:spacing w:before="40" w:after="40"/>
              <w:jc w:val="right"/>
              <w:rPr>
                <w:rFonts w:cs="Calibri"/>
                <w:color w:val="000000"/>
                <w:sz w:val="16"/>
                <w:szCs w:val="16"/>
                <w:lang w:eastAsia="en-AU"/>
              </w:rPr>
            </w:pPr>
            <w:r w:rsidRPr="00B01F6A">
              <w:rPr>
                <w:rFonts w:cs="Calibri"/>
                <w:color w:val="000000"/>
                <w:sz w:val="16"/>
                <w:szCs w:val="16"/>
              </w:rPr>
              <w:t>(101)</w:t>
            </w:r>
          </w:p>
        </w:tc>
        <w:tc>
          <w:tcPr>
            <w:tcW w:w="1051" w:type="dxa"/>
            <w:tcBorders>
              <w:top w:val="nil"/>
              <w:left w:val="nil"/>
              <w:bottom w:val="nil"/>
              <w:right w:val="nil"/>
            </w:tcBorders>
            <w:noWrap/>
            <w:vAlign w:val="center"/>
            <w:hideMark/>
          </w:tcPr>
          <w:p w14:paraId="587954F6" w14:textId="6CCFEC0F" w:rsidR="008B4055" w:rsidRPr="002B4863" w:rsidRDefault="00862AD3" w:rsidP="00B01F6A">
            <w:pPr>
              <w:pStyle w:val="BodyText"/>
              <w:spacing w:before="40" w:after="40"/>
              <w:jc w:val="right"/>
              <w:rPr>
                <w:rFonts w:cs="Calibri"/>
                <w:color w:val="000000"/>
                <w:sz w:val="16"/>
                <w:szCs w:val="16"/>
                <w:lang w:eastAsia="en-AU"/>
              </w:rPr>
            </w:pPr>
            <w:r w:rsidRPr="00B01F6A">
              <w:rPr>
                <w:rFonts w:cs="Calibri"/>
                <w:color w:val="000000"/>
                <w:sz w:val="16"/>
                <w:szCs w:val="16"/>
              </w:rPr>
              <w:t>910</w:t>
            </w:r>
          </w:p>
        </w:tc>
        <w:tc>
          <w:tcPr>
            <w:tcW w:w="933" w:type="dxa"/>
            <w:tcBorders>
              <w:top w:val="nil"/>
              <w:left w:val="nil"/>
              <w:bottom w:val="nil"/>
              <w:right w:val="nil"/>
            </w:tcBorders>
            <w:noWrap/>
            <w:vAlign w:val="center"/>
            <w:hideMark/>
          </w:tcPr>
          <w:p w14:paraId="41BD3955" w14:textId="155B6133" w:rsidR="008B4055" w:rsidRPr="002B4863" w:rsidRDefault="00862AD3" w:rsidP="00B01F6A">
            <w:pPr>
              <w:pStyle w:val="BodyText"/>
              <w:spacing w:before="40" w:after="40"/>
              <w:jc w:val="right"/>
              <w:rPr>
                <w:rFonts w:cs="Calibri"/>
                <w:color w:val="000000"/>
                <w:sz w:val="16"/>
                <w:szCs w:val="16"/>
                <w:lang w:eastAsia="en-AU"/>
              </w:rPr>
            </w:pPr>
            <w:r w:rsidRPr="00B01F6A">
              <w:rPr>
                <w:rFonts w:cs="Calibri"/>
                <w:color w:val="000000"/>
                <w:sz w:val="16"/>
                <w:szCs w:val="16"/>
              </w:rPr>
              <w:t>1760</w:t>
            </w:r>
          </w:p>
        </w:tc>
        <w:tc>
          <w:tcPr>
            <w:tcW w:w="992" w:type="dxa"/>
            <w:tcBorders>
              <w:top w:val="nil"/>
              <w:left w:val="nil"/>
              <w:bottom w:val="nil"/>
              <w:right w:val="nil"/>
            </w:tcBorders>
            <w:noWrap/>
            <w:vAlign w:val="center"/>
            <w:hideMark/>
          </w:tcPr>
          <w:p w14:paraId="134D5529" w14:textId="4C8319E4" w:rsidR="008B4055" w:rsidRPr="002B4863" w:rsidRDefault="008B4055" w:rsidP="00B01F6A">
            <w:pPr>
              <w:pStyle w:val="BodyText"/>
              <w:spacing w:before="40" w:after="40"/>
              <w:jc w:val="right"/>
              <w:rPr>
                <w:rFonts w:cs="Calibri"/>
                <w:color w:val="000000"/>
                <w:sz w:val="16"/>
                <w:szCs w:val="16"/>
                <w:lang w:val="en-US" w:eastAsia="en-AU"/>
              </w:rPr>
            </w:pPr>
            <w:r w:rsidRPr="5634E4A1">
              <w:rPr>
                <w:rFonts w:cs="Calibri"/>
                <w:color w:val="000000" w:themeColor="text1"/>
                <w:sz w:val="16"/>
                <w:szCs w:val="16"/>
                <w:lang w:val="en-US" w:eastAsia="en-AU"/>
              </w:rPr>
              <w:t>n.a.</w:t>
            </w:r>
          </w:p>
        </w:tc>
      </w:tr>
      <w:tr w:rsidR="00A3077B" w:rsidRPr="00741D04" w14:paraId="6F7D6C68" w14:textId="77777777" w:rsidTr="00A3077B">
        <w:trPr>
          <w:trHeight w:val="342"/>
        </w:trPr>
        <w:tc>
          <w:tcPr>
            <w:tcW w:w="4395" w:type="dxa"/>
            <w:tcBorders>
              <w:top w:val="single" w:sz="4" w:space="0" w:color="auto"/>
              <w:left w:val="nil"/>
              <w:bottom w:val="single" w:sz="4" w:space="0" w:color="auto"/>
              <w:right w:val="nil"/>
            </w:tcBorders>
            <w:noWrap/>
            <w:vAlign w:val="center"/>
            <w:hideMark/>
          </w:tcPr>
          <w:p w14:paraId="6B5BF690" w14:textId="1B66BD29" w:rsidR="008B4055" w:rsidRPr="00741D04" w:rsidRDefault="008B4055" w:rsidP="00B01F6A">
            <w:pPr>
              <w:pStyle w:val="BodyText"/>
              <w:spacing w:before="80" w:after="80"/>
              <w:rPr>
                <w:rFonts w:cs="Calibri"/>
                <w:b/>
                <w:sz w:val="16"/>
                <w:szCs w:val="16"/>
                <w:lang w:eastAsia="en-AU"/>
              </w:rPr>
            </w:pPr>
            <w:r w:rsidRPr="00741D04">
              <w:rPr>
                <w:rFonts w:cs="Calibri"/>
                <w:b/>
                <w:sz w:val="16"/>
                <w:szCs w:val="16"/>
                <w:lang w:eastAsia="en-AU"/>
              </w:rPr>
              <w:t>Capital – 202</w:t>
            </w:r>
            <w:r>
              <w:rPr>
                <w:rFonts w:cs="Calibri"/>
                <w:b/>
                <w:sz w:val="16"/>
                <w:szCs w:val="16"/>
                <w:lang w:eastAsia="en-AU"/>
              </w:rPr>
              <w:t>5</w:t>
            </w:r>
            <w:r w:rsidRPr="00741D04">
              <w:rPr>
                <w:rFonts w:cs="Calibri"/>
                <w:b/>
                <w:sz w:val="16"/>
                <w:szCs w:val="16"/>
                <w:lang w:eastAsia="en-AU"/>
              </w:rPr>
              <w:t>-2</w:t>
            </w:r>
            <w:r>
              <w:rPr>
                <w:rFonts w:cs="Calibri"/>
                <w:b/>
                <w:sz w:val="16"/>
                <w:szCs w:val="16"/>
                <w:lang w:eastAsia="en-AU"/>
              </w:rPr>
              <w:t>6</w:t>
            </w:r>
            <w:r w:rsidR="007A3932">
              <w:rPr>
                <w:rFonts w:cs="Calibri"/>
                <w:b/>
                <w:sz w:val="16"/>
                <w:szCs w:val="16"/>
                <w:lang w:eastAsia="en-AU"/>
              </w:rPr>
              <w:t xml:space="preserve"> </w:t>
            </w:r>
            <w:r w:rsidRPr="00741D04">
              <w:rPr>
                <w:rFonts w:cs="Calibri"/>
                <w:b/>
                <w:sz w:val="16"/>
                <w:szCs w:val="16"/>
                <w:lang w:eastAsia="en-AU"/>
              </w:rPr>
              <w:t>Budget</w:t>
            </w:r>
          </w:p>
        </w:tc>
        <w:tc>
          <w:tcPr>
            <w:tcW w:w="1134" w:type="dxa"/>
            <w:tcBorders>
              <w:top w:val="single" w:sz="4" w:space="0" w:color="auto"/>
              <w:left w:val="nil"/>
              <w:bottom w:val="single" w:sz="4" w:space="0" w:color="auto"/>
              <w:right w:val="nil"/>
            </w:tcBorders>
            <w:noWrap/>
            <w:vAlign w:val="center"/>
            <w:hideMark/>
          </w:tcPr>
          <w:p w14:paraId="420EEFBE" w14:textId="1DF6F3CD" w:rsidR="008B4055" w:rsidRPr="00741D04" w:rsidRDefault="00862AD3" w:rsidP="00B01F6A">
            <w:pPr>
              <w:pStyle w:val="BodyText"/>
              <w:spacing w:before="80" w:after="80"/>
              <w:jc w:val="right"/>
              <w:rPr>
                <w:rFonts w:cs="Calibri"/>
                <w:b/>
                <w:sz w:val="16"/>
                <w:szCs w:val="16"/>
                <w:lang w:eastAsia="en-AU"/>
              </w:rPr>
            </w:pPr>
            <w:r>
              <w:rPr>
                <w:rFonts w:cs="Calibri"/>
                <w:b/>
                <w:sz w:val="16"/>
                <w:szCs w:val="16"/>
                <w:lang w:eastAsia="en-AU"/>
              </w:rPr>
              <w:t>28,646</w:t>
            </w:r>
          </w:p>
        </w:tc>
        <w:tc>
          <w:tcPr>
            <w:tcW w:w="1134" w:type="dxa"/>
            <w:tcBorders>
              <w:top w:val="single" w:sz="4" w:space="0" w:color="auto"/>
              <w:left w:val="nil"/>
              <w:bottom w:val="single" w:sz="4" w:space="0" w:color="auto"/>
              <w:right w:val="nil"/>
            </w:tcBorders>
            <w:noWrap/>
            <w:vAlign w:val="center"/>
            <w:hideMark/>
          </w:tcPr>
          <w:p w14:paraId="5210288F" w14:textId="7723B01E" w:rsidR="008B4055" w:rsidRPr="00741D04" w:rsidRDefault="002D76C5" w:rsidP="00B01F6A">
            <w:pPr>
              <w:pStyle w:val="BodyText"/>
              <w:spacing w:before="80" w:after="80"/>
              <w:jc w:val="right"/>
              <w:rPr>
                <w:rFonts w:cs="Calibri"/>
                <w:b/>
                <w:sz w:val="16"/>
                <w:szCs w:val="16"/>
                <w:lang w:eastAsia="en-AU"/>
              </w:rPr>
            </w:pPr>
            <w:r>
              <w:rPr>
                <w:rFonts w:cs="Calibri"/>
                <w:b/>
                <w:sz w:val="16"/>
                <w:szCs w:val="16"/>
                <w:lang w:eastAsia="en-AU"/>
              </w:rPr>
              <w:t>30,816</w:t>
            </w:r>
          </w:p>
        </w:tc>
        <w:tc>
          <w:tcPr>
            <w:tcW w:w="1051" w:type="dxa"/>
            <w:tcBorders>
              <w:top w:val="single" w:sz="4" w:space="0" w:color="auto"/>
              <w:left w:val="nil"/>
              <w:bottom w:val="single" w:sz="4" w:space="0" w:color="auto"/>
              <w:right w:val="nil"/>
            </w:tcBorders>
            <w:noWrap/>
            <w:vAlign w:val="center"/>
            <w:hideMark/>
          </w:tcPr>
          <w:p w14:paraId="50F0DC4D" w14:textId="2BBA9700" w:rsidR="008B4055" w:rsidRPr="00741D04" w:rsidRDefault="002D76C5" w:rsidP="00B01F6A">
            <w:pPr>
              <w:pStyle w:val="BodyText"/>
              <w:spacing w:before="80" w:after="80"/>
              <w:jc w:val="right"/>
              <w:rPr>
                <w:rFonts w:cs="Calibri"/>
                <w:b/>
                <w:sz w:val="16"/>
                <w:szCs w:val="16"/>
                <w:lang w:eastAsia="en-AU"/>
              </w:rPr>
            </w:pPr>
            <w:r>
              <w:rPr>
                <w:rFonts w:cs="Calibri"/>
                <w:b/>
                <w:sz w:val="16"/>
                <w:szCs w:val="16"/>
                <w:lang w:eastAsia="en-AU"/>
              </w:rPr>
              <w:t>30,353</w:t>
            </w:r>
          </w:p>
        </w:tc>
        <w:tc>
          <w:tcPr>
            <w:tcW w:w="933" w:type="dxa"/>
            <w:tcBorders>
              <w:top w:val="single" w:sz="4" w:space="0" w:color="auto"/>
              <w:left w:val="nil"/>
              <w:bottom w:val="single" w:sz="4" w:space="0" w:color="auto"/>
              <w:right w:val="nil"/>
            </w:tcBorders>
            <w:noWrap/>
            <w:vAlign w:val="center"/>
            <w:hideMark/>
          </w:tcPr>
          <w:p w14:paraId="43405475" w14:textId="0759D27F" w:rsidR="008B4055" w:rsidRPr="00741D04" w:rsidRDefault="002D76C5" w:rsidP="00B01F6A">
            <w:pPr>
              <w:pStyle w:val="BodyText"/>
              <w:spacing w:before="80" w:after="80"/>
              <w:jc w:val="right"/>
              <w:rPr>
                <w:rFonts w:cs="Calibri"/>
                <w:b/>
                <w:sz w:val="16"/>
                <w:szCs w:val="16"/>
                <w:lang w:eastAsia="en-AU"/>
              </w:rPr>
            </w:pPr>
            <w:r>
              <w:rPr>
                <w:rFonts w:cs="Calibri"/>
                <w:b/>
                <w:sz w:val="16"/>
                <w:szCs w:val="16"/>
                <w:lang w:eastAsia="en-AU"/>
              </w:rPr>
              <w:t>29,336</w:t>
            </w:r>
          </w:p>
        </w:tc>
        <w:tc>
          <w:tcPr>
            <w:tcW w:w="992" w:type="dxa"/>
            <w:tcBorders>
              <w:top w:val="single" w:sz="4" w:space="0" w:color="auto"/>
              <w:left w:val="nil"/>
              <w:bottom w:val="single" w:sz="4" w:space="0" w:color="auto"/>
              <w:right w:val="nil"/>
            </w:tcBorders>
            <w:noWrap/>
            <w:vAlign w:val="center"/>
            <w:hideMark/>
          </w:tcPr>
          <w:p w14:paraId="15F4E838" w14:textId="3CBDB186" w:rsidR="008B4055" w:rsidRPr="00741D04" w:rsidRDefault="002D76C5" w:rsidP="00B01F6A">
            <w:pPr>
              <w:pStyle w:val="BodyText"/>
              <w:spacing w:before="80" w:after="80"/>
              <w:jc w:val="right"/>
              <w:rPr>
                <w:rFonts w:cs="Calibri"/>
                <w:b/>
                <w:sz w:val="16"/>
                <w:szCs w:val="16"/>
                <w:lang w:eastAsia="en-AU"/>
              </w:rPr>
            </w:pPr>
            <w:r>
              <w:rPr>
                <w:rFonts w:cs="Calibri"/>
                <w:b/>
                <w:sz w:val="16"/>
                <w:szCs w:val="16"/>
                <w:lang w:eastAsia="en-AU"/>
              </w:rPr>
              <w:t>27</w:t>
            </w:r>
            <w:r w:rsidR="00E31914">
              <w:rPr>
                <w:rFonts w:cs="Calibri"/>
                <w:b/>
                <w:sz w:val="16"/>
                <w:szCs w:val="16"/>
                <w:lang w:eastAsia="en-AU"/>
              </w:rPr>
              <w:t>,829</w:t>
            </w:r>
          </w:p>
        </w:tc>
      </w:tr>
    </w:tbl>
    <w:p w14:paraId="5A07C255" w14:textId="77777777" w:rsidR="002B48B8" w:rsidRDefault="002B48B8" w:rsidP="002B48B8"/>
    <w:p w14:paraId="6A5F199D" w14:textId="77777777" w:rsidR="002B48B8" w:rsidRDefault="002B48B8" w:rsidP="002B48B8">
      <w:pPr>
        <w:rPr>
          <w:rFonts w:ascii="Public Sans" w:hAnsi="Public Sans"/>
          <w:bCs/>
          <w:i/>
          <w:color w:val="000000" w:themeColor="text1"/>
          <w:kern w:val="28"/>
          <w:sz w:val="22"/>
          <w:szCs w:val="22"/>
          <w:lang w:val="en-AU"/>
        </w:rPr>
      </w:pPr>
      <w:r>
        <w:br w:type="page"/>
      </w:r>
    </w:p>
    <w:p w14:paraId="71D1F510" w14:textId="56B4AC2F" w:rsidR="000F46AE" w:rsidRPr="000862BC" w:rsidRDefault="000F46AE" w:rsidP="007D65FC">
      <w:pPr>
        <w:pStyle w:val="Table8X"/>
        <w:rPr>
          <w:rFonts w:ascii="Times New Roman" w:hAnsi="Times New Roman"/>
          <w:sz w:val="20"/>
          <w:lang w:eastAsia="en-AU"/>
        </w:rPr>
      </w:pPr>
      <w:r w:rsidRPr="006A2614">
        <w:lastRenderedPageBreak/>
        <w:t>Non-financial public sector capital spending by Agency group</w:t>
      </w:r>
      <w:r w:rsidRPr="00925CCD">
        <w:rPr>
          <w:vertAlign w:val="superscript"/>
        </w:rPr>
        <w:t>(</w:t>
      </w:r>
      <w:r w:rsidRPr="006A2614">
        <w:rPr>
          <w:vertAlign w:val="superscript"/>
        </w:rPr>
        <w:t xml:space="preserve">a) </w:t>
      </w:r>
      <w:r>
        <w:fldChar w:fldCharType="begin"/>
      </w:r>
      <w:r>
        <w:instrText xml:space="preserve"> LINK Excel.Sheet.12 "https://nswgov.sharepoint.com/sites/BP3InfrastructureStatement/Shared%20Documents/General/2025-26%20Budget/Ch1%20-%20Investment%20Program/Copy%20of%20Capital%20Expenditure%20tables%20and%20charts%202024-25%20Budget%20952%20am%2011_06%20version1.xlsx" "Tabe 1.2 Portfolio Spending!R7C2:R22C8" \a \f 4 \h  \* MERGEFORMAT </w:instrText>
      </w:r>
      <w:r>
        <w:fldChar w:fldCharType="separate"/>
      </w:r>
    </w:p>
    <w:tbl>
      <w:tblPr>
        <w:tblW w:w="5000" w:type="pct"/>
        <w:tblLayout w:type="fixed"/>
        <w:tblLook w:val="04A0" w:firstRow="1" w:lastRow="0" w:firstColumn="1" w:lastColumn="0" w:noHBand="0" w:noVBand="1"/>
        <w:tblCaption w:val="Table 1.3: Non-financial public sector capital spending by Agency group"/>
      </w:tblPr>
      <w:tblGrid>
        <w:gridCol w:w="4537"/>
        <w:gridCol w:w="850"/>
        <w:gridCol w:w="850"/>
        <w:gridCol w:w="852"/>
        <w:gridCol w:w="850"/>
        <w:gridCol w:w="850"/>
        <w:gridCol w:w="850"/>
      </w:tblGrid>
      <w:tr w:rsidR="0038481B" w:rsidRPr="00E355A3" w14:paraId="0120CF8D" w14:textId="77777777" w:rsidTr="00F23496">
        <w:trPr>
          <w:trHeight w:val="283"/>
        </w:trPr>
        <w:tc>
          <w:tcPr>
            <w:tcW w:w="2353" w:type="pct"/>
            <w:tcBorders>
              <w:top w:val="nil"/>
              <w:left w:val="nil"/>
              <w:bottom w:val="nil"/>
              <w:right w:val="nil"/>
            </w:tcBorders>
            <w:shd w:val="clear" w:color="auto" w:fill="EBEBEB"/>
            <w:noWrap/>
            <w:vAlign w:val="bottom"/>
            <w:hideMark/>
          </w:tcPr>
          <w:p w14:paraId="1EB35509" w14:textId="77777777" w:rsidR="007D6472" w:rsidRPr="006A2614" w:rsidRDefault="007D6472" w:rsidP="007D6472">
            <w:pPr>
              <w:jc w:val="center"/>
              <w:rPr>
                <w:rFonts w:ascii="Public Sans" w:hAnsi="Public Sans" w:cs="Calibri"/>
                <w:sz w:val="18"/>
                <w:szCs w:val="18"/>
                <w:lang w:eastAsia="en-AU"/>
              </w:rPr>
            </w:pPr>
            <w:r w:rsidRPr="006A2614">
              <w:rPr>
                <w:rFonts w:ascii="Public Sans" w:hAnsi="Public Sans" w:cs="Calibri"/>
                <w:sz w:val="18"/>
                <w:szCs w:val="18"/>
                <w:lang w:eastAsia="en-AU"/>
              </w:rPr>
              <w:t> </w:t>
            </w:r>
          </w:p>
        </w:tc>
        <w:tc>
          <w:tcPr>
            <w:tcW w:w="441" w:type="pct"/>
            <w:tcBorders>
              <w:top w:val="nil"/>
              <w:left w:val="nil"/>
              <w:bottom w:val="nil"/>
              <w:right w:val="nil"/>
            </w:tcBorders>
            <w:shd w:val="clear" w:color="auto" w:fill="EBEBEB"/>
            <w:noWrap/>
            <w:tcMar>
              <w:left w:w="28" w:type="dxa"/>
              <w:right w:w="28" w:type="dxa"/>
            </w:tcMar>
            <w:vAlign w:val="bottom"/>
            <w:hideMark/>
          </w:tcPr>
          <w:p w14:paraId="60D1F53D" w14:textId="77777777" w:rsidR="007D6472" w:rsidRPr="006A2614" w:rsidRDefault="007D6472" w:rsidP="007D6472">
            <w:pPr>
              <w:jc w:val="center"/>
              <w:rPr>
                <w:rFonts w:ascii="Public Sans" w:hAnsi="Public Sans" w:cs="Calibri"/>
                <w:sz w:val="18"/>
                <w:szCs w:val="18"/>
                <w:lang w:eastAsia="en-AU"/>
              </w:rPr>
            </w:pPr>
            <w:r>
              <w:rPr>
                <w:rFonts w:ascii="Public Sans" w:hAnsi="Public Sans" w:cs="Calibri"/>
                <w:sz w:val="18"/>
                <w:szCs w:val="18"/>
              </w:rPr>
              <w:t>2025-26</w:t>
            </w:r>
          </w:p>
        </w:tc>
        <w:tc>
          <w:tcPr>
            <w:tcW w:w="441" w:type="pct"/>
            <w:tcBorders>
              <w:top w:val="nil"/>
              <w:left w:val="nil"/>
              <w:bottom w:val="nil"/>
              <w:right w:val="nil"/>
            </w:tcBorders>
            <w:shd w:val="clear" w:color="auto" w:fill="EBEBEB"/>
            <w:noWrap/>
            <w:tcMar>
              <w:left w:w="28" w:type="dxa"/>
              <w:right w:w="28" w:type="dxa"/>
            </w:tcMar>
            <w:vAlign w:val="bottom"/>
            <w:hideMark/>
          </w:tcPr>
          <w:p w14:paraId="71B9FD20" w14:textId="77777777" w:rsidR="007D6472" w:rsidRPr="006A2614" w:rsidRDefault="007D6472" w:rsidP="007D6472">
            <w:pPr>
              <w:jc w:val="center"/>
              <w:rPr>
                <w:rFonts w:ascii="Public Sans" w:hAnsi="Public Sans" w:cs="Calibri"/>
                <w:sz w:val="18"/>
                <w:szCs w:val="18"/>
                <w:lang w:eastAsia="en-AU"/>
              </w:rPr>
            </w:pPr>
            <w:r>
              <w:rPr>
                <w:rFonts w:ascii="Public Sans" w:hAnsi="Public Sans" w:cs="Calibri"/>
                <w:sz w:val="18"/>
                <w:szCs w:val="18"/>
              </w:rPr>
              <w:t>2026-27</w:t>
            </w:r>
          </w:p>
        </w:tc>
        <w:tc>
          <w:tcPr>
            <w:tcW w:w="442" w:type="pct"/>
            <w:tcBorders>
              <w:top w:val="nil"/>
              <w:left w:val="nil"/>
              <w:bottom w:val="nil"/>
              <w:right w:val="nil"/>
            </w:tcBorders>
            <w:shd w:val="clear" w:color="auto" w:fill="EBEBEB"/>
            <w:noWrap/>
            <w:tcMar>
              <w:left w:w="28" w:type="dxa"/>
              <w:right w:w="28" w:type="dxa"/>
            </w:tcMar>
            <w:vAlign w:val="bottom"/>
            <w:hideMark/>
          </w:tcPr>
          <w:p w14:paraId="073097E9" w14:textId="77777777" w:rsidR="007D6472" w:rsidRPr="006A2614" w:rsidRDefault="007D6472" w:rsidP="007D6472">
            <w:pPr>
              <w:jc w:val="center"/>
              <w:rPr>
                <w:rFonts w:ascii="Public Sans" w:hAnsi="Public Sans" w:cs="Calibri"/>
                <w:sz w:val="18"/>
                <w:szCs w:val="18"/>
                <w:lang w:eastAsia="en-AU"/>
              </w:rPr>
            </w:pPr>
            <w:r>
              <w:rPr>
                <w:rFonts w:ascii="Public Sans" w:hAnsi="Public Sans" w:cs="Calibri"/>
                <w:sz w:val="18"/>
                <w:szCs w:val="18"/>
              </w:rPr>
              <w:t>2027-28</w:t>
            </w:r>
          </w:p>
        </w:tc>
        <w:tc>
          <w:tcPr>
            <w:tcW w:w="441" w:type="pct"/>
            <w:tcBorders>
              <w:top w:val="nil"/>
              <w:left w:val="nil"/>
              <w:bottom w:val="nil"/>
              <w:right w:val="nil"/>
            </w:tcBorders>
            <w:shd w:val="clear" w:color="auto" w:fill="EBEBEB"/>
            <w:noWrap/>
            <w:tcMar>
              <w:left w:w="28" w:type="dxa"/>
              <w:right w:w="28" w:type="dxa"/>
            </w:tcMar>
            <w:vAlign w:val="bottom"/>
            <w:hideMark/>
          </w:tcPr>
          <w:p w14:paraId="6E406CAE" w14:textId="77777777" w:rsidR="007D6472" w:rsidRPr="006A2614" w:rsidRDefault="007D6472" w:rsidP="007D6472">
            <w:pPr>
              <w:jc w:val="center"/>
              <w:rPr>
                <w:rFonts w:ascii="Public Sans" w:hAnsi="Public Sans" w:cs="Calibri"/>
                <w:sz w:val="18"/>
                <w:szCs w:val="18"/>
                <w:lang w:eastAsia="en-AU"/>
              </w:rPr>
            </w:pPr>
            <w:r>
              <w:rPr>
                <w:rFonts w:ascii="Public Sans" w:hAnsi="Public Sans" w:cs="Calibri"/>
                <w:sz w:val="18"/>
                <w:szCs w:val="18"/>
              </w:rPr>
              <w:t>2028-29</w:t>
            </w:r>
          </w:p>
        </w:tc>
        <w:tc>
          <w:tcPr>
            <w:tcW w:w="882" w:type="pct"/>
            <w:gridSpan w:val="2"/>
            <w:vMerge w:val="restart"/>
            <w:tcBorders>
              <w:top w:val="nil"/>
              <w:left w:val="nil"/>
              <w:right w:val="nil"/>
            </w:tcBorders>
            <w:shd w:val="clear" w:color="auto" w:fill="EBEBEB"/>
            <w:tcMar>
              <w:left w:w="28" w:type="dxa"/>
              <w:right w:w="28" w:type="dxa"/>
            </w:tcMar>
            <w:vAlign w:val="bottom"/>
            <w:hideMark/>
          </w:tcPr>
          <w:p w14:paraId="7757DF5C" w14:textId="3C9835B2" w:rsidR="007D6472" w:rsidRPr="006A2614" w:rsidRDefault="002E6ED5" w:rsidP="007D6472">
            <w:pPr>
              <w:jc w:val="center"/>
              <w:rPr>
                <w:rFonts w:ascii="Public Sans" w:hAnsi="Public Sans" w:cs="Calibri"/>
                <w:sz w:val="18"/>
                <w:szCs w:val="18"/>
                <w:lang w:eastAsia="en-AU"/>
              </w:rPr>
            </w:pPr>
            <w:r w:rsidRPr="006A2614">
              <w:rPr>
                <w:rFonts w:ascii="Public Sans" w:hAnsi="Public Sans" w:cs="Calibri"/>
                <w:sz w:val="18"/>
                <w:szCs w:val="18"/>
                <w:lang w:eastAsia="en-AU"/>
              </w:rPr>
              <w:t>Four-year total</w:t>
            </w:r>
          </w:p>
        </w:tc>
      </w:tr>
      <w:tr w:rsidR="0038481B" w:rsidRPr="00E355A3" w14:paraId="06FACA3C" w14:textId="77777777" w:rsidTr="002E6ED5">
        <w:trPr>
          <w:trHeight w:val="283"/>
        </w:trPr>
        <w:tc>
          <w:tcPr>
            <w:tcW w:w="2353" w:type="pct"/>
            <w:tcBorders>
              <w:top w:val="nil"/>
              <w:left w:val="nil"/>
              <w:bottom w:val="nil"/>
              <w:right w:val="nil"/>
            </w:tcBorders>
            <w:shd w:val="clear" w:color="auto" w:fill="EBEBEB"/>
            <w:noWrap/>
            <w:vAlign w:val="bottom"/>
            <w:hideMark/>
          </w:tcPr>
          <w:p w14:paraId="62C702E7"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 </w:t>
            </w:r>
          </w:p>
        </w:tc>
        <w:tc>
          <w:tcPr>
            <w:tcW w:w="441" w:type="pct"/>
            <w:tcBorders>
              <w:top w:val="nil"/>
              <w:left w:val="nil"/>
              <w:bottom w:val="nil"/>
              <w:right w:val="nil"/>
            </w:tcBorders>
            <w:shd w:val="clear" w:color="auto" w:fill="EBEBEB"/>
            <w:noWrap/>
            <w:tcMar>
              <w:left w:w="28" w:type="dxa"/>
              <w:right w:w="28" w:type="dxa"/>
            </w:tcMar>
            <w:vAlign w:val="bottom"/>
            <w:hideMark/>
          </w:tcPr>
          <w:p w14:paraId="07C737FB"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Budget</w:t>
            </w:r>
          </w:p>
        </w:tc>
        <w:tc>
          <w:tcPr>
            <w:tcW w:w="1324" w:type="pct"/>
            <w:gridSpan w:val="3"/>
            <w:tcBorders>
              <w:top w:val="nil"/>
              <w:left w:val="nil"/>
              <w:bottom w:val="nil"/>
              <w:right w:val="nil"/>
            </w:tcBorders>
            <w:shd w:val="clear" w:color="auto" w:fill="EBEBEB"/>
            <w:noWrap/>
            <w:tcMar>
              <w:left w:w="28" w:type="dxa"/>
              <w:right w:w="28" w:type="dxa"/>
            </w:tcMar>
            <w:vAlign w:val="bottom"/>
            <w:hideMark/>
          </w:tcPr>
          <w:p w14:paraId="00BB51E2"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Forward Estimates</w:t>
            </w:r>
          </w:p>
        </w:tc>
        <w:tc>
          <w:tcPr>
            <w:tcW w:w="882" w:type="pct"/>
            <w:gridSpan w:val="2"/>
            <w:vMerge/>
            <w:tcMar>
              <w:left w:w="28" w:type="dxa"/>
              <w:right w:w="28" w:type="dxa"/>
            </w:tcMar>
            <w:vAlign w:val="center"/>
            <w:hideMark/>
          </w:tcPr>
          <w:p w14:paraId="30AA0E7E" w14:textId="17BC92B3" w:rsidR="000F46AE" w:rsidRPr="006A2614" w:rsidRDefault="000F46AE">
            <w:pPr>
              <w:jc w:val="center"/>
              <w:rPr>
                <w:rFonts w:ascii="Public Sans" w:hAnsi="Public Sans" w:cs="Calibri"/>
                <w:sz w:val="18"/>
                <w:szCs w:val="18"/>
                <w:lang w:eastAsia="en-AU"/>
              </w:rPr>
            </w:pPr>
          </w:p>
        </w:tc>
      </w:tr>
      <w:tr w:rsidR="004D3AD4" w:rsidRPr="00E355A3" w14:paraId="19AEC688" w14:textId="77777777" w:rsidTr="00F23496">
        <w:trPr>
          <w:trHeight w:val="283"/>
        </w:trPr>
        <w:tc>
          <w:tcPr>
            <w:tcW w:w="2353" w:type="pct"/>
            <w:tcBorders>
              <w:top w:val="nil"/>
              <w:left w:val="nil"/>
              <w:bottom w:val="nil"/>
              <w:right w:val="nil"/>
            </w:tcBorders>
            <w:shd w:val="clear" w:color="auto" w:fill="EBEBEB"/>
            <w:noWrap/>
            <w:vAlign w:val="bottom"/>
            <w:hideMark/>
          </w:tcPr>
          <w:p w14:paraId="5E2D2272"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 </w:t>
            </w:r>
          </w:p>
        </w:tc>
        <w:tc>
          <w:tcPr>
            <w:tcW w:w="441" w:type="pct"/>
            <w:tcBorders>
              <w:top w:val="nil"/>
              <w:left w:val="nil"/>
              <w:bottom w:val="nil"/>
              <w:right w:val="nil"/>
            </w:tcBorders>
            <w:shd w:val="clear" w:color="auto" w:fill="EBEBEB"/>
            <w:noWrap/>
            <w:tcMar>
              <w:left w:w="28" w:type="dxa"/>
              <w:right w:w="28" w:type="dxa"/>
            </w:tcMar>
            <w:vAlign w:val="bottom"/>
            <w:hideMark/>
          </w:tcPr>
          <w:p w14:paraId="048F4BEB"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441" w:type="pct"/>
            <w:tcBorders>
              <w:top w:val="nil"/>
              <w:left w:val="nil"/>
              <w:bottom w:val="nil"/>
              <w:right w:val="nil"/>
            </w:tcBorders>
            <w:shd w:val="clear" w:color="auto" w:fill="EBEBEB"/>
            <w:noWrap/>
            <w:tcMar>
              <w:left w:w="28" w:type="dxa"/>
              <w:right w:w="28" w:type="dxa"/>
            </w:tcMar>
            <w:vAlign w:val="bottom"/>
            <w:hideMark/>
          </w:tcPr>
          <w:p w14:paraId="08601FBC"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442" w:type="pct"/>
            <w:tcBorders>
              <w:top w:val="nil"/>
              <w:left w:val="nil"/>
              <w:bottom w:val="nil"/>
              <w:right w:val="nil"/>
            </w:tcBorders>
            <w:shd w:val="clear" w:color="auto" w:fill="EBEBEB"/>
            <w:noWrap/>
            <w:tcMar>
              <w:left w:w="28" w:type="dxa"/>
              <w:right w:w="28" w:type="dxa"/>
            </w:tcMar>
            <w:vAlign w:val="bottom"/>
            <w:hideMark/>
          </w:tcPr>
          <w:p w14:paraId="6AAE2CF6"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441" w:type="pct"/>
            <w:tcBorders>
              <w:top w:val="nil"/>
              <w:left w:val="nil"/>
              <w:bottom w:val="nil"/>
              <w:right w:val="nil"/>
            </w:tcBorders>
            <w:shd w:val="clear" w:color="auto" w:fill="EBEBEB"/>
            <w:noWrap/>
            <w:tcMar>
              <w:left w:w="28" w:type="dxa"/>
              <w:right w:w="28" w:type="dxa"/>
            </w:tcMar>
            <w:vAlign w:val="bottom"/>
            <w:hideMark/>
          </w:tcPr>
          <w:p w14:paraId="36FFC604"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441" w:type="pct"/>
            <w:tcBorders>
              <w:top w:val="nil"/>
              <w:left w:val="nil"/>
              <w:bottom w:val="nil"/>
              <w:right w:val="nil"/>
            </w:tcBorders>
            <w:shd w:val="clear" w:color="auto" w:fill="EBEBEB"/>
            <w:noWrap/>
            <w:tcMar>
              <w:left w:w="28" w:type="dxa"/>
              <w:right w:w="28" w:type="dxa"/>
            </w:tcMar>
            <w:vAlign w:val="bottom"/>
            <w:hideMark/>
          </w:tcPr>
          <w:p w14:paraId="0D5C4978"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441" w:type="pct"/>
            <w:tcBorders>
              <w:top w:val="nil"/>
              <w:left w:val="nil"/>
              <w:bottom w:val="nil"/>
              <w:right w:val="nil"/>
            </w:tcBorders>
            <w:shd w:val="clear" w:color="auto" w:fill="EBEBEB"/>
            <w:noWrap/>
            <w:vAlign w:val="bottom"/>
            <w:hideMark/>
          </w:tcPr>
          <w:p w14:paraId="287B350C" w14:textId="77777777" w:rsidR="000F46AE" w:rsidRPr="006A2614" w:rsidRDefault="000F46AE">
            <w:pPr>
              <w:jc w:val="center"/>
              <w:rPr>
                <w:rFonts w:ascii="Public Sans" w:hAnsi="Public Sans" w:cs="Calibri"/>
                <w:sz w:val="18"/>
                <w:szCs w:val="18"/>
                <w:lang w:eastAsia="en-AU"/>
              </w:rPr>
            </w:pPr>
            <w:r w:rsidRPr="006A2614">
              <w:rPr>
                <w:rFonts w:ascii="Public Sans" w:hAnsi="Public Sans" w:cs="Calibri"/>
                <w:sz w:val="18"/>
                <w:szCs w:val="18"/>
                <w:lang w:eastAsia="en-AU"/>
              </w:rPr>
              <w:t>%</w:t>
            </w:r>
          </w:p>
        </w:tc>
      </w:tr>
      <w:tr w:rsidR="00623BDD" w:rsidRPr="00E355A3" w14:paraId="142DA794" w14:textId="77777777" w:rsidTr="00F23496">
        <w:trPr>
          <w:trHeight w:val="283"/>
        </w:trPr>
        <w:tc>
          <w:tcPr>
            <w:tcW w:w="2353" w:type="pct"/>
            <w:tcBorders>
              <w:top w:val="nil"/>
              <w:left w:val="nil"/>
              <w:bottom w:val="nil"/>
              <w:right w:val="nil"/>
            </w:tcBorders>
            <w:vAlign w:val="bottom"/>
            <w:hideMark/>
          </w:tcPr>
          <w:p w14:paraId="61031995" w14:textId="77777777" w:rsidR="00623BDD" w:rsidRPr="006A2614" w:rsidRDefault="00623BDD" w:rsidP="00F23496">
            <w:pPr>
              <w:spacing w:before="40" w:after="40"/>
              <w:rPr>
                <w:rFonts w:ascii="Public Sans" w:hAnsi="Public Sans" w:cs="Calibri"/>
                <w:sz w:val="16"/>
                <w:szCs w:val="16"/>
                <w:lang w:eastAsia="en-AU"/>
              </w:rPr>
            </w:pPr>
            <w:r w:rsidRPr="006A2614">
              <w:rPr>
                <w:rFonts w:ascii="Public Sans" w:hAnsi="Public Sans" w:cs="Calibri"/>
                <w:sz w:val="16"/>
                <w:szCs w:val="16"/>
                <w:lang w:eastAsia="en-AU"/>
              </w:rPr>
              <w:t>Transport</w:t>
            </w:r>
            <w:r w:rsidRPr="006A2614">
              <w:rPr>
                <w:rFonts w:ascii="Arial" w:hAnsi="Arial" w:cs="Arial"/>
                <w:color w:val="000000"/>
                <w:sz w:val="18"/>
                <w:szCs w:val="18"/>
                <w:vertAlign w:val="superscript"/>
                <w:lang w:eastAsia="en-AU"/>
              </w:rPr>
              <w:t>(b)</w:t>
            </w:r>
          </w:p>
        </w:tc>
        <w:tc>
          <w:tcPr>
            <w:tcW w:w="441" w:type="pct"/>
            <w:tcBorders>
              <w:top w:val="nil"/>
              <w:left w:val="nil"/>
              <w:bottom w:val="nil"/>
              <w:right w:val="nil"/>
            </w:tcBorders>
            <w:tcMar>
              <w:left w:w="28" w:type="dxa"/>
              <w:right w:w="28" w:type="dxa"/>
            </w:tcMar>
            <w:vAlign w:val="bottom"/>
            <w:hideMark/>
          </w:tcPr>
          <w:p w14:paraId="4EF96296" w14:textId="3F43C429"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14,359</w:t>
            </w:r>
          </w:p>
        </w:tc>
        <w:tc>
          <w:tcPr>
            <w:tcW w:w="441" w:type="pct"/>
            <w:tcBorders>
              <w:top w:val="nil"/>
              <w:left w:val="nil"/>
              <w:bottom w:val="nil"/>
              <w:right w:val="nil"/>
            </w:tcBorders>
            <w:tcMar>
              <w:left w:w="28" w:type="dxa"/>
              <w:right w:w="28" w:type="dxa"/>
            </w:tcMar>
            <w:vAlign w:val="bottom"/>
            <w:hideMark/>
          </w:tcPr>
          <w:p w14:paraId="5047FF30" w14:textId="33DCDA43"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14,008</w:t>
            </w:r>
          </w:p>
        </w:tc>
        <w:tc>
          <w:tcPr>
            <w:tcW w:w="442" w:type="pct"/>
            <w:tcBorders>
              <w:top w:val="nil"/>
              <w:left w:val="nil"/>
              <w:bottom w:val="nil"/>
              <w:right w:val="nil"/>
            </w:tcBorders>
            <w:tcMar>
              <w:left w:w="28" w:type="dxa"/>
              <w:right w:w="28" w:type="dxa"/>
            </w:tcMar>
            <w:vAlign w:val="bottom"/>
            <w:hideMark/>
          </w:tcPr>
          <w:p w14:paraId="7515C773" w14:textId="414B4EC4"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14,494</w:t>
            </w:r>
          </w:p>
        </w:tc>
        <w:tc>
          <w:tcPr>
            <w:tcW w:w="441" w:type="pct"/>
            <w:tcBorders>
              <w:top w:val="nil"/>
              <w:left w:val="nil"/>
              <w:bottom w:val="nil"/>
              <w:right w:val="nil"/>
            </w:tcBorders>
            <w:tcMar>
              <w:left w:w="28" w:type="dxa"/>
              <w:right w:w="28" w:type="dxa"/>
            </w:tcMar>
            <w:vAlign w:val="bottom"/>
            <w:hideMark/>
          </w:tcPr>
          <w:p w14:paraId="5F918002" w14:textId="4C01B122"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12,700</w:t>
            </w:r>
          </w:p>
        </w:tc>
        <w:tc>
          <w:tcPr>
            <w:tcW w:w="441" w:type="pct"/>
            <w:tcBorders>
              <w:top w:val="nil"/>
              <w:left w:val="nil"/>
              <w:bottom w:val="nil"/>
              <w:right w:val="nil"/>
            </w:tcBorders>
            <w:tcMar>
              <w:left w:w="28" w:type="dxa"/>
              <w:right w:w="28" w:type="dxa"/>
            </w:tcMar>
            <w:vAlign w:val="bottom"/>
            <w:hideMark/>
          </w:tcPr>
          <w:p w14:paraId="6BE8C908" w14:textId="18970025"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55,561</w:t>
            </w:r>
          </w:p>
        </w:tc>
        <w:tc>
          <w:tcPr>
            <w:tcW w:w="441" w:type="pct"/>
            <w:tcBorders>
              <w:top w:val="nil"/>
              <w:left w:val="nil"/>
              <w:bottom w:val="nil"/>
              <w:right w:val="nil"/>
            </w:tcBorders>
            <w:vAlign w:val="bottom"/>
            <w:hideMark/>
          </w:tcPr>
          <w:p w14:paraId="5C751EDB" w14:textId="6FAA8E01"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47.0</w:t>
            </w:r>
          </w:p>
        </w:tc>
      </w:tr>
      <w:tr w:rsidR="00623BDD" w:rsidRPr="00E355A3" w14:paraId="2343D99A" w14:textId="77777777" w:rsidTr="00F23496">
        <w:trPr>
          <w:trHeight w:val="283"/>
        </w:trPr>
        <w:tc>
          <w:tcPr>
            <w:tcW w:w="2353" w:type="pct"/>
            <w:tcBorders>
              <w:top w:val="nil"/>
              <w:left w:val="nil"/>
              <w:bottom w:val="nil"/>
              <w:right w:val="nil"/>
            </w:tcBorders>
            <w:vAlign w:val="bottom"/>
            <w:hideMark/>
          </w:tcPr>
          <w:p w14:paraId="3682A172" w14:textId="7F50C5A2" w:rsidR="00623BDD" w:rsidRPr="006A2614" w:rsidRDefault="00623BDD" w:rsidP="00F23496">
            <w:pPr>
              <w:spacing w:before="40" w:after="40"/>
              <w:rPr>
                <w:rFonts w:ascii="Public Sans" w:hAnsi="Public Sans" w:cs="Calibri"/>
                <w:sz w:val="16"/>
                <w:szCs w:val="16"/>
                <w:lang w:eastAsia="en-AU"/>
              </w:rPr>
            </w:pPr>
            <w:r w:rsidRPr="006A2614">
              <w:rPr>
                <w:rFonts w:ascii="Public Sans" w:hAnsi="Public Sans" w:cs="Calibri"/>
                <w:sz w:val="16"/>
                <w:szCs w:val="16"/>
                <w:lang w:eastAsia="en-AU"/>
              </w:rPr>
              <w:t>Health</w:t>
            </w:r>
            <w:r w:rsidRPr="006A2614">
              <w:rPr>
                <w:rFonts w:ascii="Arial" w:hAnsi="Arial" w:cs="Arial"/>
                <w:color w:val="000000"/>
                <w:sz w:val="18"/>
                <w:szCs w:val="18"/>
                <w:vertAlign w:val="superscript"/>
                <w:lang w:eastAsia="en-AU"/>
              </w:rPr>
              <w:t>(c)</w:t>
            </w:r>
          </w:p>
        </w:tc>
        <w:tc>
          <w:tcPr>
            <w:tcW w:w="441" w:type="pct"/>
            <w:tcBorders>
              <w:top w:val="nil"/>
              <w:left w:val="nil"/>
              <w:bottom w:val="nil"/>
              <w:right w:val="nil"/>
            </w:tcBorders>
            <w:tcMar>
              <w:left w:w="28" w:type="dxa"/>
              <w:right w:w="28" w:type="dxa"/>
            </w:tcMar>
            <w:vAlign w:val="bottom"/>
            <w:hideMark/>
          </w:tcPr>
          <w:p w14:paraId="4C787398" w14:textId="6D104FA0"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3,154</w:t>
            </w:r>
          </w:p>
        </w:tc>
        <w:tc>
          <w:tcPr>
            <w:tcW w:w="441" w:type="pct"/>
            <w:tcBorders>
              <w:top w:val="nil"/>
              <w:left w:val="nil"/>
              <w:bottom w:val="nil"/>
              <w:right w:val="nil"/>
            </w:tcBorders>
            <w:tcMar>
              <w:left w:w="28" w:type="dxa"/>
              <w:right w:w="28" w:type="dxa"/>
            </w:tcMar>
            <w:vAlign w:val="bottom"/>
            <w:hideMark/>
          </w:tcPr>
          <w:p w14:paraId="43F77E9C" w14:textId="1101CA0F"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3,525</w:t>
            </w:r>
          </w:p>
        </w:tc>
        <w:tc>
          <w:tcPr>
            <w:tcW w:w="442" w:type="pct"/>
            <w:tcBorders>
              <w:top w:val="nil"/>
              <w:left w:val="nil"/>
              <w:bottom w:val="nil"/>
              <w:right w:val="nil"/>
            </w:tcBorders>
            <w:tcMar>
              <w:left w:w="28" w:type="dxa"/>
              <w:right w:w="28" w:type="dxa"/>
            </w:tcMar>
            <w:vAlign w:val="bottom"/>
            <w:hideMark/>
          </w:tcPr>
          <w:p w14:paraId="08C11233" w14:textId="0CCE5A59"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2,968</w:t>
            </w:r>
          </w:p>
        </w:tc>
        <w:tc>
          <w:tcPr>
            <w:tcW w:w="441" w:type="pct"/>
            <w:tcBorders>
              <w:top w:val="nil"/>
              <w:left w:val="nil"/>
              <w:bottom w:val="nil"/>
              <w:right w:val="nil"/>
            </w:tcBorders>
            <w:tcMar>
              <w:left w:w="28" w:type="dxa"/>
              <w:right w:w="28" w:type="dxa"/>
            </w:tcMar>
            <w:vAlign w:val="bottom"/>
            <w:hideMark/>
          </w:tcPr>
          <w:p w14:paraId="71E3D4BD" w14:textId="3650BF1D"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w:t>
            </w:r>
            <w:r w:rsidR="00947F16">
              <w:rPr>
                <w:rFonts w:ascii="Public Sans" w:hAnsi="Public Sans" w:cs="Calibri"/>
                <w:sz w:val="16"/>
                <w:szCs w:val="16"/>
              </w:rPr>
              <w:t>,</w:t>
            </w:r>
            <w:r w:rsidR="00A70D5E">
              <w:rPr>
                <w:rFonts w:ascii="Public Sans" w:hAnsi="Public Sans" w:cs="Calibri"/>
                <w:sz w:val="16"/>
                <w:szCs w:val="16"/>
              </w:rPr>
              <w:t>221</w:t>
            </w:r>
          </w:p>
        </w:tc>
        <w:tc>
          <w:tcPr>
            <w:tcW w:w="441" w:type="pct"/>
            <w:tcBorders>
              <w:top w:val="nil"/>
              <w:left w:val="nil"/>
              <w:bottom w:val="nil"/>
              <w:right w:val="nil"/>
            </w:tcBorders>
            <w:tcMar>
              <w:left w:w="28" w:type="dxa"/>
              <w:right w:w="28" w:type="dxa"/>
            </w:tcMar>
            <w:vAlign w:val="bottom"/>
            <w:hideMark/>
          </w:tcPr>
          <w:p w14:paraId="4C6548ED" w14:textId="76BC9F98"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11,8</w:t>
            </w:r>
            <w:r w:rsidR="00676865">
              <w:rPr>
                <w:rFonts w:ascii="Public Sans" w:hAnsi="Public Sans" w:cs="Calibri"/>
                <w:sz w:val="16"/>
                <w:szCs w:val="16"/>
              </w:rPr>
              <w:t>68</w:t>
            </w:r>
          </w:p>
        </w:tc>
        <w:tc>
          <w:tcPr>
            <w:tcW w:w="441" w:type="pct"/>
            <w:tcBorders>
              <w:top w:val="nil"/>
              <w:left w:val="nil"/>
              <w:bottom w:val="nil"/>
              <w:right w:val="nil"/>
            </w:tcBorders>
            <w:vAlign w:val="bottom"/>
            <w:hideMark/>
          </w:tcPr>
          <w:p w14:paraId="64AB8616" w14:textId="49154C1B"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10.0</w:t>
            </w:r>
          </w:p>
        </w:tc>
      </w:tr>
      <w:tr w:rsidR="00623BDD" w:rsidRPr="00E355A3" w14:paraId="31DA30FF" w14:textId="77777777" w:rsidTr="00F23496">
        <w:trPr>
          <w:trHeight w:val="283"/>
        </w:trPr>
        <w:tc>
          <w:tcPr>
            <w:tcW w:w="2353" w:type="pct"/>
            <w:tcBorders>
              <w:top w:val="nil"/>
              <w:left w:val="nil"/>
              <w:bottom w:val="nil"/>
              <w:right w:val="nil"/>
            </w:tcBorders>
            <w:vAlign w:val="bottom"/>
            <w:hideMark/>
          </w:tcPr>
          <w:p w14:paraId="7CFFBA17" w14:textId="3D439357" w:rsidR="00623BDD" w:rsidRPr="006A2614" w:rsidRDefault="00623BDD" w:rsidP="00F23496">
            <w:pPr>
              <w:spacing w:before="40" w:after="40"/>
              <w:rPr>
                <w:rFonts w:ascii="Public Sans" w:hAnsi="Public Sans" w:cs="Calibri"/>
                <w:sz w:val="16"/>
                <w:szCs w:val="16"/>
                <w:lang w:eastAsia="en-AU"/>
              </w:rPr>
            </w:pPr>
            <w:r w:rsidRPr="006A2614">
              <w:rPr>
                <w:rFonts w:ascii="Public Sans" w:hAnsi="Public Sans" w:cs="Calibri"/>
                <w:sz w:val="16"/>
                <w:szCs w:val="16"/>
                <w:lang w:eastAsia="en-AU"/>
              </w:rPr>
              <w:t xml:space="preserve">Education </w:t>
            </w:r>
          </w:p>
        </w:tc>
        <w:tc>
          <w:tcPr>
            <w:tcW w:w="441" w:type="pct"/>
            <w:tcBorders>
              <w:top w:val="nil"/>
              <w:left w:val="nil"/>
              <w:bottom w:val="nil"/>
              <w:right w:val="nil"/>
            </w:tcBorders>
            <w:tcMar>
              <w:left w:w="28" w:type="dxa"/>
              <w:right w:w="28" w:type="dxa"/>
            </w:tcMar>
            <w:vAlign w:val="bottom"/>
            <w:hideMark/>
          </w:tcPr>
          <w:p w14:paraId="7992F9B1" w14:textId="43465604"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2,958</w:t>
            </w:r>
          </w:p>
        </w:tc>
        <w:tc>
          <w:tcPr>
            <w:tcW w:w="441" w:type="pct"/>
            <w:tcBorders>
              <w:top w:val="nil"/>
              <w:left w:val="nil"/>
              <w:bottom w:val="nil"/>
              <w:right w:val="nil"/>
            </w:tcBorders>
            <w:tcMar>
              <w:left w:w="28" w:type="dxa"/>
              <w:right w:w="28" w:type="dxa"/>
            </w:tcMar>
            <w:vAlign w:val="bottom"/>
            <w:hideMark/>
          </w:tcPr>
          <w:p w14:paraId="1681E687" w14:textId="593CEAFA"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2,666</w:t>
            </w:r>
          </w:p>
        </w:tc>
        <w:tc>
          <w:tcPr>
            <w:tcW w:w="442" w:type="pct"/>
            <w:tcBorders>
              <w:top w:val="nil"/>
              <w:left w:val="nil"/>
              <w:bottom w:val="nil"/>
              <w:right w:val="nil"/>
            </w:tcBorders>
            <w:tcMar>
              <w:left w:w="28" w:type="dxa"/>
              <w:right w:w="28" w:type="dxa"/>
            </w:tcMar>
            <w:vAlign w:val="bottom"/>
            <w:hideMark/>
          </w:tcPr>
          <w:p w14:paraId="107579D3" w14:textId="136A3480"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2,735</w:t>
            </w:r>
          </w:p>
        </w:tc>
        <w:tc>
          <w:tcPr>
            <w:tcW w:w="441" w:type="pct"/>
            <w:tcBorders>
              <w:top w:val="nil"/>
              <w:left w:val="nil"/>
              <w:bottom w:val="nil"/>
              <w:right w:val="nil"/>
            </w:tcBorders>
            <w:tcMar>
              <w:left w:w="28" w:type="dxa"/>
              <w:right w:w="28" w:type="dxa"/>
            </w:tcMar>
            <w:vAlign w:val="bottom"/>
            <w:hideMark/>
          </w:tcPr>
          <w:p w14:paraId="05CF50A6" w14:textId="26D3B863"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2,683</w:t>
            </w:r>
          </w:p>
        </w:tc>
        <w:tc>
          <w:tcPr>
            <w:tcW w:w="441" w:type="pct"/>
            <w:tcBorders>
              <w:top w:val="nil"/>
              <w:left w:val="nil"/>
              <w:bottom w:val="nil"/>
              <w:right w:val="nil"/>
            </w:tcBorders>
            <w:tcMar>
              <w:left w:w="28" w:type="dxa"/>
              <w:right w:w="28" w:type="dxa"/>
            </w:tcMar>
            <w:vAlign w:val="bottom"/>
            <w:hideMark/>
          </w:tcPr>
          <w:p w14:paraId="7D559E3B" w14:textId="205C5D22"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11,043</w:t>
            </w:r>
          </w:p>
        </w:tc>
        <w:tc>
          <w:tcPr>
            <w:tcW w:w="441" w:type="pct"/>
            <w:tcBorders>
              <w:top w:val="nil"/>
              <w:left w:val="nil"/>
              <w:bottom w:val="nil"/>
              <w:right w:val="nil"/>
            </w:tcBorders>
            <w:vAlign w:val="bottom"/>
            <w:hideMark/>
          </w:tcPr>
          <w:p w14:paraId="58A44AE6" w14:textId="583153F0"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9.3</w:t>
            </w:r>
          </w:p>
        </w:tc>
      </w:tr>
      <w:tr w:rsidR="00623BDD" w:rsidRPr="00E355A3" w14:paraId="746EE59D" w14:textId="77777777" w:rsidTr="00F23496">
        <w:trPr>
          <w:trHeight w:val="283"/>
        </w:trPr>
        <w:tc>
          <w:tcPr>
            <w:tcW w:w="2353" w:type="pct"/>
            <w:tcBorders>
              <w:top w:val="nil"/>
              <w:left w:val="nil"/>
              <w:bottom w:val="nil"/>
              <w:right w:val="nil"/>
            </w:tcBorders>
            <w:vAlign w:val="bottom"/>
            <w:hideMark/>
          </w:tcPr>
          <w:p w14:paraId="1A967F81" w14:textId="7AD01C11" w:rsidR="00623BDD" w:rsidRPr="006A2614" w:rsidRDefault="00623BDD" w:rsidP="00F23496">
            <w:pPr>
              <w:spacing w:before="40" w:after="40"/>
              <w:rPr>
                <w:rFonts w:ascii="Public Sans" w:hAnsi="Public Sans" w:cs="Calibri"/>
                <w:sz w:val="16"/>
                <w:szCs w:val="16"/>
                <w:lang w:eastAsia="en-AU"/>
              </w:rPr>
            </w:pPr>
            <w:r w:rsidRPr="006A2614">
              <w:rPr>
                <w:rFonts w:ascii="Public Sans" w:hAnsi="Public Sans" w:cs="Calibri"/>
                <w:sz w:val="16"/>
                <w:szCs w:val="16"/>
                <w:lang w:eastAsia="en-AU"/>
              </w:rPr>
              <w:t xml:space="preserve">Planning, Housing and Infrastructure </w:t>
            </w:r>
            <w:r w:rsidR="00802BE0" w:rsidRPr="006A2614">
              <w:rPr>
                <w:rFonts w:ascii="Public Sans" w:hAnsi="Public Sans" w:cs="Calibri"/>
                <w:sz w:val="16"/>
                <w:szCs w:val="16"/>
                <w:lang w:eastAsia="en-AU"/>
              </w:rPr>
              <w:t>`</w:t>
            </w:r>
          </w:p>
        </w:tc>
        <w:tc>
          <w:tcPr>
            <w:tcW w:w="441" w:type="pct"/>
            <w:tcBorders>
              <w:top w:val="nil"/>
              <w:left w:val="nil"/>
              <w:bottom w:val="nil"/>
              <w:right w:val="nil"/>
            </w:tcBorders>
            <w:tcMar>
              <w:left w:w="28" w:type="dxa"/>
              <w:right w:w="28" w:type="dxa"/>
            </w:tcMar>
            <w:vAlign w:val="bottom"/>
            <w:hideMark/>
          </w:tcPr>
          <w:p w14:paraId="1AA63BAD" w14:textId="52778334"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1,158</w:t>
            </w:r>
          </w:p>
        </w:tc>
        <w:tc>
          <w:tcPr>
            <w:tcW w:w="441" w:type="pct"/>
            <w:tcBorders>
              <w:top w:val="nil"/>
              <w:left w:val="nil"/>
              <w:bottom w:val="nil"/>
              <w:right w:val="nil"/>
            </w:tcBorders>
            <w:tcMar>
              <w:left w:w="28" w:type="dxa"/>
              <w:right w:w="28" w:type="dxa"/>
            </w:tcMar>
            <w:vAlign w:val="bottom"/>
            <w:hideMark/>
          </w:tcPr>
          <w:p w14:paraId="764C1E15" w14:textId="3BB2796A"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698</w:t>
            </w:r>
          </w:p>
        </w:tc>
        <w:tc>
          <w:tcPr>
            <w:tcW w:w="442" w:type="pct"/>
            <w:tcBorders>
              <w:top w:val="nil"/>
              <w:left w:val="nil"/>
              <w:bottom w:val="nil"/>
              <w:right w:val="nil"/>
            </w:tcBorders>
            <w:tcMar>
              <w:left w:w="28" w:type="dxa"/>
              <w:right w:w="28" w:type="dxa"/>
            </w:tcMar>
            <w:vAlign w:val="bottom"/>
            <w:hideMark/>
          </w:tcPr>
          <w:p w14:paraId="612AFB58" w14:textId="221672F0"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685</w:t>
            </w:r>
          </w:p>
        </w:tc>
        <w:tc>
          <w:tcPr>
            <w:tcW w:w="441" w:type="pct"/>
            <w:tcBorders>
              <w:top w:val="nil"/>
              <w:left w:val="nil"/>
              <w:bottom w:val="nil"/>
              <w:right w:val="nil"/>
            </w:tcBorders>
            <w:tcMar>
              <w:left w:w="28" w:type="dxa"/>
              <w:right w:w="28" w:type="dxa"/>
            </w:tcMar>
            <w:vAlign w:val="bottom"/>
            <w:hideMark/>
          </w:tcPr>
          <w:p w14:paraId="48F95894" w14:textId="1A663D96"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498</w:t>
            </w:r>
          </w:p>
        </w:tc>
        <w:tc>
          <w:tcPr>
            <w:tcW w:w="441" w:type="pct"/>
            <w:tcBorders>
              <w:top w:val="nil"/>
              <w:left w:val="nil"/>
              <w:bottom w:val="nil"/>
              <w:right w:val="nil"/>
            </w:tcBorders>
            <w:tcMar>
              <w:left w:w="28" w:type="dxa"/>
              <w:right w:w="28" w:type="dxa"/>
            </w:tcMar>
            <w:vAlign w:val="bottom"/>
            <w:hideMark/>
          </w:tcPr>
          <w:p w14:paraId="20C7F80A" w14:textId="68E7AEE6"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3,039</w:t>
            </w:r>
          </w:p>
        </w:tc>
        <w:tc>
          <w:tcPr>
            <w:tcW w:w="441" w:type="pct"/>
            <w:tcBorders>
              <w:top w:val="nil"/>
              <w:left w:val="nil"/>
              <w:bottom w:val="nil"/>
              <w:right w:val="nil"/>
            </w:tcBorders>
            <w:vAlign w:val="bottom"/>
            <w:hideMark/>
          </w:tcPr>
          <w:p w14:paraId="32835C0B" w14:textId="423BFF7A"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2.6</w:t>
            </w:r>
          </w:p>
        </w:tc>
      </w:tr>
      <w:tr w:rsidR="00623BDD" w:rsidRPr="00E355A3" w14:paraId="3B25E4F2" w14:textId="77777777" w:rsidTr="00F23496">
        <w:trPr>
          <w:trHeight w:val="283"/>
        </w:trPr>
        <w:tc>
          <w:tcPr>
            <w:tcW w:w="2353" w:type="pct"/>
            <w:tcBorders>
              <w:top w:val="nil"/>
              <w:left w:val="nil"/>
              <w:bottom w:val="nil"/>
              <w:right w:val="nil"/>
            </w:tcBorders>
            <w:vAlign w:val="bottom"/>
            <w:hideMark/>
          </w:tcPr>
          <w:p w14:paraId="5D6BAD26" w14:textId="77777777" w:rsidR="00623BDD" w:rsidRPr="006A2614" w:rsidRDefault="00623BDD" w:rsidP="00F23496">
            <w:pPr>
              <w:spacing w:before="40" w:after="40"/>
              <w:rPr>
                <w:rFonts w:ascii="Public Sans" w:hAnsi="Public Sans" w:cs="Calibri"/>
                <w:sz w:val="16"/>
                <w:szCs w:val="16"/>
                <w:lang w:eastAsia="en-AU"/>
              </w:rPr>
            </w:pPr>
            <w:r w:rsidRPr="006A2614">
              <w:rPr>
                <w:rFonts w:ascii="Public Sans" w:hAnsi="Public Sans" w:cs="Calibri"/>
                <w:sz w:val="16"/>
                <w:szCs w:val="16"/>
                <w:lang w:eastAsia="en-AU"/>
              </w:rPr>
              <w:t>Communities and Justice</w:t>
            </w:r>
          </w:p>
        </w:tc>
        <w:tc>
          <w:tcPr>
            <w:tcW w:w="441" w:type="pct"/>
            <w:tcBorders>
              <w:top w:val="nil"/>
              <w:left w:val="nil"/>
              <w:bottom w:val="nil"/>
              <w:right w:val="nil"/>
            </w:tcBorders>
            <w:tcMar>
              <w:left w:w="28" w:type="dxa"/>
              <w:right w:w="28" w:type="dxa"/>
            </w:tcMar>
            <w:vAlign w:val="bottom"/>
            <w:hideMark/>
          </w:tcPr>
          <w:p w14:paraId="06DE610D" w14:textId="21598CBE"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2,009</w:t>
            </w:r>
          </w:p>
        </w:tc>
        <w:tc>
          <w:tcPr>
            <w:tcW w:w="441" w:type="pct"/>
            <w:tcBorders>
              <w:top w:val="nil"/>
              <w:left w:val="nil"/>
              <w:bottom w:val="nil"/>
              <w:right w:val="nil"/>
            </w:tcBorders>
            <w:tcMar>
              <w:left w:w="28" w:type="dxa"/>
              <w:right w:w="28" w:type="dxa"/>
            </w:tcMar>
            <w:vAlign w:val="bottom"/>
            <w:hideMark/>
          </w:tcPr>
          <w:p w14:paraId="1C3DE5D3" w14:textId="56EB954A"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1,974</w:t>
            </w:r>
          </w:p>
        </w:tc>
        <w:tc>
          <w:tcPr>
            <w:tcW w:w="442" w:type="pct"/>
            <w:tcBorders>
              <w:top w:val="nil"/>
              <w:left w:val="nil"/>
              <w:bottom w:val="nil"/>
              <w:right w:val="nil"/>
            </w:tcBorders>
            <w:tcMar>
              <w:left w:w="28" w:type="dxa"/>
              <w:right w:w="28" w:type="dxa"/>
            </w:tcMar>
            <w:vAlign w:val="bottom"/>
            <w:hideMark/>
          </w:tcPr>
          <w:p w14:paraId="0DA688AD" w14:textId="593423B4"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1,648</w:t>
            </w:r>
          </w:p>
        </w:tc>
        <w:tc>
          <w:tcPr>
            <w:tcW w:w="441" w:type="pct"/>
            <w:tcBorders>
              <w:top w:val="nil"/>
              <w:left w:val="nil"/>
              <w:bottom w:val="nil"/>
              <w:right w:val="nil"/>
            </w:tcBorders>
            <w:tcMar>
              <w:left w:w="28" w:type="dxa"/>
              <w:right w:w="28" w:type="dxa"/>
            </w:tcMar>
            <w:vAlign w:val="bottom"/>
            <w:hideMark/>
          </w:tcPr>
          <w:p w14:paraId="48D61117" w14:textId="07F8FBD9"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1,515</w:t>
            </w:r>
          </w:p>
        </w:tc>
        <w:tc>
          <w:tcPr>
            <w:tcW w:w="441" w:type="pct"/>
            <w:tcBorders>
              <w:top w:val="nil"/>
              <w:left w:val="nil"/>
              <w:bottom w:val="nil"/>
              <w:right w:val="nil"/>
            </w:tcBorders>
            <w:tcMar>
              <w:left w:w="28" w:type="dxa"/>
              <w:right w:w="28" w:type="dxa"/>
            </w:tcMar>
            <w:vAlign w:val="bottom"/>
            <w:hideMark/>
          </w:tcPr>
          <w:p w14:paraId="575A7AB1" w14:textId="0B6DFEAF"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7,146</w:t>
            </w:r>
          </w:p>
        </w:tc>
        <w:tc>
          <w:tcPr>
            <w:tcW w:w="441" w:type="pct"/>
            <w:tcBorders>
              <w:top w:val="nil"/>
              <w:left w:val="nil"/>
              <w:bottom w:val="nil"/>
              <w:right w:val="nil"/>
            </w:tcBorders>
            <w:vAlign w:val="bottom"/>
            <w:hideMark/>
          </w:tcPr>
          <w:p w14:paraId="4521C240" w14:textId="6E23D853"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6.0</w:t>
            </w:r>
          </w:p>
        </w:tc>
      </w:tr>
      <w:tr w:rsidR="008A02A3" w:rsidRPr="00E355A3" w14:paraId="099DBCD2" w14:textId="77777777" w:rsidTr="00F23496">
        <w:tc>
          <w:tcPr>
            <w:tcW w:w="2353" w:type="pct"/>
            <w:tcBorders>
              <w:top w:val="nil"/>
              <w:left w:val="nil"/>
              <w:bottom w:val="nil"/>
              <w:right w:val="nil"/>
            </w:tcBorders>
            <w:vAlign w:val="bottom"/>
            <w:hideMark/>
          </w:tcPr>
          <w:p w14:paraId="35CB5E79" w14:textId="77777777" w:rsidR="008A02A3" w:rsidRPr="002D653E" w:rsidRDefault="008A02A3" w:rsidP="00F23496">
            <w:pPr>
              <w:spacing w:before="40" w:after="40"/>
              <w:rPr>
                <w:rFonts w:ascii="Public Sans" w:hAnsi="Public Sans" w:cs="Calibri"/>
                <w:sz w:val="16"/>
                <w:szCs w:val="16"/>
                <w:lang w:eastAsia="en-AU"/>
              </w:rPr>
            </w:pPr>
            <w:r w:rsidRPr="002D653E">
              <w:rPr>
                <w:rFonts w:ascii="Public Sans" w:hAnsi="Public Sans" w:cs="Calibri"/>
                <w:sz w:val="16"/>
                <w:szCs w:val="16"/>
                <w:lang w:eastAsia="en-AU"/>
              </w:rPr>
              <w:t>Climate Change, Energy, the Environment and Water</w:t>
            </w:r>
          </w:p>
        </w:tc>
        <w:tc>
          <w:tcPr>
            <w:tcW w:w="441" w:type="pct"/>
            <w:tcBorders>
              <w:top w:val="nil"/>
              <w:left w:val="nil"/>
              <w:bottom w:val="nil"/>
              <w:right w:val="nil"/>
            </w:tcBorders>
            <w:tcMar>
              <w:left w:w="28" w:type="dxa"/>
              <w:right w:w="28" w:type="dxa"/>
            </w:tcMar>
            <w:vAlign w:val="bottom"/>
            <w:hideMark/>
          </w:tcPr>
          <w:p w14:paraId="55F40685"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1,659</w:t>
            </w:r>
          </w:p>
        </w:tc>
        <w:tc>
          <w:tcPr>
            <w:tcW w:w="441" w:type="pct"/>
            <w:tcBorders>
              <w:top w:val="nil"/>
              <w:left w:val="nil"/>
              <w:bottom w:val="nil"/>
              <w:right w:val="nil"/>
            </w:tcBorders>
            <w:tcMar>
              <w:left w:w="28" w:type="dxa"/>
              <w:right w:w="28" w:type="dxa"/>
            </w:tcMar>
            <w:vAlign w:val="bottom"/>
            <w:hideMark/>
          </w:tcPr>
          <w:p w14:paraId="0DAB0FDC"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1,812</w:t>
            </w:r>
          </w:p>
        </w:tc>
        <w:tc>
          <w:tcPr>
            <w:tcW w:w="442" w:type="pct"/>
            <w:tcBorders>
              <w:top w:val="nil"/>
              <w:left w:val="nil"/>
              <w:bottom w:val="nil"/>
              <w:right w:val="nil"/>
            </w:tcBorders>
            <w:tcMar>
              <w:left w:w="28" w:type="dxa"/>
              <w:right w:w="28" w:type="dxa"/>
            </w:tcMar>
            <w:vAlign w:val="bottom"/>
            <w:hideMark/>
          </w:tcPr>
          <w:p w14:paraId="768C21D7"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405</w:t>
            </w:r>
          </w:p>
        </w:tc>
        <w:tc>
          <w:tcPr>
            <w:tcW w:w="441" w:type="pct"/>
            <w:tcBorders>
              <w:top w:val="nil"/>
              <w:left w:val="nil"/>
              <w:bottom w:val="nil"/>
              <w:right w:val="nil"/>
            </w:tcBorders>
            <w:tcMar>
              <w:left w:w="28" w:type="dxa"/>
              <w:right w:w="28" w:type="dxa"/>
            </w:tcMar>
            <w:vAlign w:val="bottom"/>
            <w:hideMark/>
          </w:tcPr>
          <w:p w14:paraId="78FB3AC6"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287</w:t>
            </w:r>
          </w:p>
        </w:tc>
        <w:tc>
          <w:tcPr>
            <w:tcW w:w="441" w:type="pct"/>
            <w:tcBorders>
              <w:top w:val="nil"/>
              <w:left w:val="nil"/>
              <w:bottom w:val="nil"/>
              <w:right w:val="nil"/>
            </w:tcBorders>
            <w:tcMar>
              <w:left w:w="28" w:type="dxa"/>
              <w:right w:w="28" w:type="dxa"/>
            </w:tcMar>
            <w:vAlign w:val="bottom"/>
            <w:hideMark/>
          </w:tcPr>
          <w:p w14:paraId="590ABFEE"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4,162</w:t>
            </w:r>
          </w:p>
        </w:tc>
        <w:tc>
          <w:tcPr>
            <w:tcW w:w="441" w:type="pct"/>
            <w:tcBorders>
              <w:top w:val="nil"/>
              <w:left w:val="nil"/>
              <w:bottom w:val="nil"/>
              <w:right w:val="nil"/>
            </w:tcBorders>
            <w:vAlign w:val="bottom"/>
            <w:hideMark/>
          </w:tcPr>
          <w:p w14:paraId="0C71ECFF"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3.5</w:t>
            </w:r>
          </w:p>
        </w:tc>
      </w:tr>
      <w:tr w:rsidR="008A02A3" w:rsidRPr="00E355A3" w14:paraId="610704B4" w14:textId="77777777" w:rsidTr="00F23496">
        <w:tc>
          <w:tcPr>
            <w:tcW w:w="2353" w:type="pct"/>
            <w:tcBorders>
              <w:top w:val="nil"/>
              <w:left w:val="nil"/>
              <w:bottom w:val="nil"/>
              <w:right w:val="nil"/>
            </w:tcBorders>
            <w:vAlign w:val="bottom"/>
            <w:hideMark/>
          </w:tcPr>
          <w:p w14:paraId="26202ECC" w14:textId="77777777" w:rsidR="008A02A3" w:rsidRPr="002D653E" w:rsidRDefault="008A02A3" w:rsidP="00F23496">
            <w:pPr>
              <w:spacing w:before="40" w:after="40"/>
              <w:rPr>
                <w:rFonts w:ascii="Public Sans" w:hAnsi="Public Sans" w:cs="Calibri"/>
                <w:sz w:val="16"/>
                <w:szCs w:val="16"/>
                <w:lang w:eastAsia="en-AU"/>
              </w:rPr>
            </w:pPr>
            <w:r w:rsidRPr="002D653E">
              <w:rPr>
                <w:rFonts w:ascii="Public Sans" w:hAnsi="Public Sans" w:cs="Calibri"/>
                <w:sz w:val="16"/>
                <w:szCs w:val="16"/>
                <w:lang w:eastAsia="en-AU"/>
              </w:rPr>
              <w:t>Customer Service</w:t>
            </w:r>
          </w:p>
        </w:tc>
        <w:tc>
          <w:tcPr>
            <w:tcW w:w="441" w:type="pct"/>
            <w:tcBorders>
              <w:top w:val="nil"/>
              <w:left w:val="nil"/>
              <w:bottom w:val="nil"/>
              <w:right w:val="nil"/>
            </w:tcBorders>
            <w:tcMar>
              <w:left w:w="28" w:type="dxa"/>
              <w:right w:w="28" w:type="dxa"/>
            </w:tcMar>
            <w:vAlign w:val="bottom"/>
            <w:hideMark/>
          </w:tcPr>
          <w:p w14:paraId="3BB000D5"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375</w:t>
            </w:r>
          </w:p>
        </w:tc>
        <w:tc>
          <w:tcPr>
            <w:tcW w:w="441" w:type="pct"/>
            <w:tcBorders>
              <w:top w:val="nil"/>
              <w:left w:val="nil"/>
              <w:bottom w:val="nil"/>
              <w:right w:val="nil"/>
            </w:tcBorders>
            <w:tcMar>
              <w:left w:w="28" w:type="dxa"/>
              <w:right w:w="28" w:type="dxa"/>
            </w:tcMar>
            <w:vAlign w:val="bottom"/>
            <w:hideMark/>
          </w:tcPr>
          <w:p w14:paraId="6A1CB21C"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283</w:t>
            </w:r>
          </w:p>
        </w:tc>
        <w:tc>
          <w:tcPr>
            <w:tcW w:w="442" w:type="pct"/>
            <w:tcBorders>
              <w:top w:val="nil"/>
              <w:left w:val="nil"/>
              <w:bottom w:val="nil"/>
              <w:right w:val="nil"/>
            </w:tcBorders>
            <w:tcMar>
              <w:left w:w="28" w:type="dxa"/>
              <w:right w:w="28" w:type="dxa"/>
            </w:tcMar>
            <w:vAlign w:val="bottom"/>
            <w:hideMark/>
          </w:tcPr>
          <w:p w14:paraId="69E9C7FE"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165</w:t>
            </w:r>
          </w:p>
        </w:tc>
        <w:tc>
          <w:tcPr>
            <w:tcW w:w="441" w:type="pct"/>
            <w:tcBorders>
              <w:top w:val="nil"/>
              <w:left w:val="nil"/>
              <w:bottom w:val="nil"/>
              <w:right w:val="nil"/>
            </w:tcBorders>
            <w:tcMar>
              <w:left w:w="28" w:type="dxa"/>
              <w:right w:w="28" w:type="dxa"/>
            </w:tcMar>
            <w:vAlign w:val="bottom"/>
            <w:hideMark/>
          </w:tcPr>
          <w:p w14:paraId="48AA43B9"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95</w:t>
            </w:r>
          </w:p>
        </w:tc>
        <w:tc>
          <w:tcPr>
            <w:tcW w:w="441" w:type="pct"/>
            <w:tcBorders>
              <w:top w:val="nil"/>
              <w:left w:val="nil"/>
              <w:bottom w:val="nil"/>
              <w:right w:val="nil"/>
            </w:tcBorders>
            <w:tcMar>
              <w:left w:w="28" w:type="dxa"/>
              <w:right w:w="28" w:type="dxa"/>
            </w:tcMar>
            <w:vAlign w:val="bottom"/>
            <w:hideMark/>
          </w:tcPr>
          <w:p w14:paraId="46F4F1FD"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918</w:t>
            </w:r>
          </w:p>
        </w:tc>
        <w:tc>
          <w:tcPr>
            <w:tcW w:w="441" w:type="pct"/>
            <w:tcBorders>
              <w:top w:val="nil"/>
              <w:left w:val="nil"/>
              <w:bottom w:val="nil"/>
              <w:right w:val="nil"/>
            </w:tcBorders>
            <w:vAlign w:val="bottom"/>
            <w:hideMark/>
          </w:tcPr>
          <w:p w14:paraId="3DF45253"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0.8</w:t>
            </w:r>
          </w:p>
        </w:tc>
      </w:tr>
      <w:tr w:rsidR="008A02A3" w:rsidRPr="00E355A3" w14:paraId="5136E876" w14:textId="77777777" w:rsidTr="00F23496">
        <w:tc>
          <w:tcPr>
            <w:tcW w:w="2353" w:type="pct"/>
            <w:tcBorders>
              <w:top w:val="nil"/>
              <w:left w:val="nil"/>
              <w:bottom w:val="nil"/>
              <w:right w:val="nil"/>
            </w:tcBorders>
            <w:vAlign w:val="bottom"/>
            <w:hideMark/>
          </w:tcPr>
          <w:p w14:paraId="0386C049" w14:textId="647833AA" w:rsidR="008A02A3" w:rsidRPr="002D653E" w:rsidRDefault="007F3AB7" w:rsidP="00F23496">
            <w:pPr>
              <w:spacing w:before="40" w:after="40"/>
              <w:rPr>
                <w:rFonts w:ascii="Public Sans" w:hAnsi="Public Sans" w:cs="Calibri"/>
                <w:sz w:val="16"/>
                <w:szCs w:val="16"/>
                <w:lang w:eastAsia="en-AU"/>
              </w:rPr>
            </w:pPr>
            <w:r>
              <w:rPr>
                <w:rFonts w:ascii="Public Sans" w:hAnsi="Public Sans" w:cs="Calibri"/>
                <w:sz w:val="16"/>
                <w:szCs w:val="16"/>
                <w:lang w:eastAsia="en-AU"/>
              </w:rPr>
              <w:t xml:space="preserve">Creative </w:t>
            </w:r>
            <w:r w:rsidR="00773F71">
              <w:rPr>
                <w:rFonts w:ascii="Public Sans" w:hAnsi="Public Sans" w:cs="Calibri"/>
                <w:sz w:val="16"/>
                <w:szCs w:val="16"/>
                <w:lang w:eastAsia="en-AU"/>
              </w:rPr>
              <w:t>Industries</w:t>
            </w:r>
            <w:r>
              <w:rPr>
                <w:rFonts w:ascii="Public Sans" w:hAnsi="Public Sans" w:cs="Calibri"/>
                <w:sz w:val="16"/>
                <w:szCs w:val="16"/>
                <w:lang w:eastAsia="en-AU"/>
              </w:rPr>
              <w:t>, Tourism , Hospitality and Sport</w:t>
            </w:r>
          </w:p>
        </w:tc>
        <w:tc>
          <w:tcPr>
            <w:tcW w:w="441" w:type="pct"/>
            <w:tcBorders>
              <w:top w:val="nil"/>
              <w:left w:val="nil"/>
              <w:bottom w:val="nil"/>
              <w:right w:val="nil"/>
            </w:tcBorders>
            <w:tcMar>
              <w:left w:w="28" w:type="dxa"/>
              <w:right w:w="28" w:type="dxa"/>
            </w:tcMar>
            <w:vAlign w:val="bottom"/>
            <w:hideMark/>
          </w:tcPr>
          <w:p w14:paraId="638B71A1"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404</w:t>
            </w:r>
          </w:p>
        </w:tc>
        <w:tc>
          <w:tcPr>
            <w:tcW w:w="441" w:type="pct"/>
            <w:tcBorders>
              <w:top w:val="nil"/>
              <w:left w:val="nil"/>
              <w:bottom w:val="nil"/>
              <w:right w:val="nil"/>
            </w:tcBorders>
            <w:tcMar>
              <w:left w:w="28" w:type="dxa"/>
              <w:right w:w="28" w:type="dxa"/>
            </w:tcMar>
            <w:vAlign w:val="bottom"/>
            <w:hideMark/>
          </w:tcPr>
          <w:p w14:paraId="779327C5"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169</w:t>
            </w:r>
          </w:p>
        </w:tc>
        <w:tc>
          <w:tcPr>
            <w:tcW w:w="442" w:type="pct"/>
            <w:tcBorders>
              <w:top w:val="nil"/>
              <w:left w:val="nil"/>
              <w:bottom w:val="nil"/>
              <w:right w:val="nil"/>
            </w:tcBorders>
            <w:tcMar>
              <w:left w:w="28" w:type="dxa"/>
              <w:right w:w="28" w:type="dxa"/>
            </w:tcMar>
            <w:vAlign w:val="bottom"/>
            <w:hideMark/>
          </w:tcPr>
          <w:p w14:paraId="63699B30"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59</w:t>
            </w:r>
          </w:p>
        </w:tc>
        <w:tc>
          <w:tcPr>
            <w:tcW w:w="441" w:type="pct"/>
            <w:tcBorders>
              <w:top w:val="nil"/>
              <w:left w:val="nil"/>
              <w:bottom w:val="nil"/>
              <w:right w:val="nil"/>
            </w:tcBorders>
            <w:tcMar>
              <w:left w:w="28" w:type="dxa"/>
              <w:right w:w="28" w:type="dxa"/>
            </w:tcMar>
            <w:vAlign w:val="bottom"/>
            <w:hideMark/>
          </w:tcPr>
          <w:p w14:paraId="65736C8F"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69</w:t>
            </w:r>
          </w:p>
        </w:tc>
        <w:tc>
          <w:tcPr>
            <w:tcW w:w="441" w:type="pct"/>
            <w:tcBorders>
              <w:top w:val="nil"/>
              <w:left w:val="nil"/>
              <w:bottom w:val="nil"/>
              <w:right w:val="nil"/>
            </w:tcBorders>
            <w:tcMar>
              <w:left w:w="28" w:type="dxa"/>
              <w:right w:w="28" w:type="dxa"/>
            </w:tcMar>
            <w:vAlign w:val="bottom"/>
            <w:hideMark/>
          </w:tcPr>
          <w:p w14:paraId="181887E9"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701</w:t>
            </w:r>
          </w:p>
        </w:tc>
        <w:tc>
          <w:tcPr>
            <w:tcW w:w="441" w:type="pct"/>
            <w:tcBorders>
              <w:top w:val="nil"/>
              <w:left w:val="nil"/>
              <w:bottom w:val="nil"/>
              <w:right w:val="nil"/>
            </w:tcBorders>
            <w:vAlign w:val="bottom"/>
            <w:hideMark/>
          </w:tcPr>
          <w:p w14:paraId="0022C6F2" w14:textId="77777777" w:rsidR="008A02A3" w:rsidRPr="006A2614" w:rsidRDefault="008A02A3" w:rsidP="00F23496">
            <w:pPr>
              <w:spacing w:before="40" w:after="40"/>
              <w:jc w:val="right"/>
              <w:rPr>
                <w:rFonts w:ascii="Public Sans" w:hAnsi="Public Sans" w:cs="Calibri"/>
                <w:sz w:val="16"/>
                <w:szCs w:val="16"/>
                <w:lang w:eastAsia="en-AU"/>
              </w:rPr>
            </w:pPr>
            <w:r>
              <w:rPr>
                <w:rFonts w:ascii="Public Sans" w:hAnsi="Public Sans" w:cs="Calibri"/>
                <w:sz w:val="16"/>
                <w:szCs w:val="16"/>
              </w:rPr>
              <w:t>0.6</w:t>
            </w:r>
          </w:p>
        </w:tc>
      </w:tr>
      <w:tr w:rsidR="00623BDD" w:rsidRPr="00E355A3" w14:paraId="557C6A77" w14:textId="77777777" w:rsidTr="00F23496">
        <w:tc>
          <w:tcPr>
            <w:tcW w:w="2353" w:type="pct"/>
            <w:tcBorders>
              <w:top w:val="nil"/>
              <w:left w:val="nil"/>
              <w:bottom w:val="nil"/>
              <w:right w:val="nil"/>
            </w:tcBorders>
            <w:vAlign w:val="bottom"/>
            <w:hideMark/>
          </w:tcPr>
          <w:p w14:paraId="37CCEDA2" w14:textId="77777777" w:rsidR="00623BDD" w:rsidRPr="002D653E" w:rsidRDefault="00623BDD" w:rsidP="00F23496">
            <w:pPr>
              <w:spacing w:before="40" w:after="40"/>
              <w:rPr>
                <w:rFonts w:ascii="Public Sans" w:hAnsi="Public Sans" w:cs="Calibri"/>
                <w:sz w:val="16"/>
                <w:szCs w:val="16"/>
                <w:lang w:eastAsia="en-AU"/>
              </w:rPr>
            </w:pPr>
            <w:r w:rsidRPr="002D653E">
              <w:rPr>
                <w:rFonts w:ascii="Public Sans" w:hAnsi="Public Sans" w:cs="Calibri"/>
                <w:sz w:val="16"/>
                <w:szCs w:val="16"/>
                <w:lang w:eastAsia="en-AU"/>
              </w:rPr>
              <w:t>Treasury</w:t>
            </w:r>
          </w:p>
        </w:tc>
        <w:tc>
          <w:tcPr>
            <w:tcW w:w="441" w:type="pct"/>
            <w:tcBorders>
              <w:top w:val="nil"/>
              <w:left w:val="nil"/>
              <w:bottom w:val="nil"/>
              <w:right w:val="nil"/>
            </w:tcBorders>
            <w:tcMar>
              <w:left w:w="28" w:type="dxa"/>
              <w:right w:w="28" w:type="dxa"/>
            </w:tcMar>
            <w:vAlign w:val="bottom"/>
            <w:hideMark/>
          </w:tcPr>
          <w:p w14:paraId="4BC531E6" w14:textId="51080EA7"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62</w:t>
            </w:r>
          </w:p>
        </w:tc>
        <w:tc>
          <w:tcPr>
            <w:tcW w:w="441" w:type="pct"/>
            <w:tcBorders>
              <w:top w:val="nil"/>
              <w:left w:val="nil"/>
              <w:bottom w:val="nil"/>
              <w:right w:val="nil"/>
            </w:tcBorders>
            <w:tcMar>
              <w:left w:w="28" w:type="dxa"/>
              <w:right w:w="28" w:type="dxa"/>
            </w:tcMar>
            <w:vAlign w:val="bottom"/>
            <w:hideMark/>
          </w:tcPr>
          <w:p w14:paraId="67181A6C" w14:textId="1AC5EB29"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102</w:t>
            </w:r>
          </w:p>
        </w:tc>
        <w:tc>
          <w:tcPr>
            <w:tcW w:w="442" w:type="pct"/>
            <w:tcBorders>
              <w:top w:val="nil"/>
              <w:left w:val="nil"/>
              <w:bottom w:val="nil"/>
              <w:right w:val="nil"/>
            </w:tcBorders>
            <w:tcMar>
              <w:left w:w="28" w:type="dxa"/>
              <w:right w:w="28" w:type="dxa"/>
            </w:tcMar>
            <w:vAlign w:val="bottom"/>
            <w:hideMark/>
          </w:tcPr>
          <w:p w14:paraId="22BA8138" w14:textId="3712FBBC"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42</w:t>
            </w:r>
          </w:p>
        </w:tc>
        <w:tc>
          <w:tcPr>
            <w:tcW w:w="441" w:type="pct"/>
            <w:tcBorders>
              <w:top w:val="nil"/>
              <w:left w:val="nil"/>
              <w:bottom w:val="nil"/>
              <w:right w:val="nil"/>
            </w:tcBorders>
            <w:tcMar>
              <w:left w:w="28" w:type="dxa"/>
              <w:right w:w="28" w:type="dxa"/>
            </w:tcMar>
            <w:vAlign w:val="bottom"/>
            <w:hideMark/>
          </w:tcPr>
          <w:p w14:paraId="67FC0EF8" w14:textId="15051D8C"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22</w:t>
            </w:r>
          </w:p>
        </w:tc>
        <w:tc>
          <w:tcPr>
            <w:tcW w:w="441" w:type="pct"/>
            <w:tcBorders>
              <w:top w:val="nil"/>
              <w:left w:val="nil"/>
              <w:bottom w:val="nil"/>
              <w:right w:val="nil"/>
            </w:tcBorders>
            <w:tcMar>
              <w:left w:w="28" w:type="dxa"/>
              <w:right w:w="28" w:type="dxa"/>
            </w:tcMar>
            <w:vAlign w:val="bottom"/>
            <w:hideMark/>
          </w:tcPr>
          <w:p w14:paraId="4BD720D3" w14:textId="61152A39"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229</w:t>
            </w:r>
          </w:p>
        </w:tc>
        <w:tc>
          <w:tcPr>
            <w:tcW w:w="441" w:type="pct"/>
            <w:tcBorders>
              <w:top w:val="nil"/>
              <w:left w:val="nil"/>
              <w:bottom w:val="nil"/>
              <w:right w:val="nil"/>
            </w:tcBorders>
            <w:vAlign w:val="bottom"/>
            <w:hideMark/>
          </w:tcPr>
          <w:p w14:paraId="17132B9A" w14:textId="4FE05796"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0.2</w:t>
            </w:r>
          </w:p>
        </w:tc>
      </w:tr>
      <w:tr w:rsidR="00623BDD" w:rsidRPr="00E355A3" w14:paraId="52B04FFC" w14:textId="77777777" w:rsidTr="00F23496">
        <w:tc>
          <w:tcPr>
            <w:tcW w:w="2353" w:type="pct"/>
            <w:tcBorders>
              <w:top w:val="nil"/>
              <w:left w:val="nil"/>
              <w:bottom w:val="nil"/>
              <w:right w:val="nil"/>
            </w:tcBorders>
            <w:vAlign w:val="bottom"/>
            <w:hideMark/>
          </w:tcPr>
          <w:p w14:paraId="511D9210" w14:textId="1D70CE71" w:rsidR="00623BDD" w:rsidRPr="006A2614" w:rsidRDefault="00402A92" w:rsidP="00F23496">
            <w:pPr>
              <w:spacing w:before="40" w:after="40"/>
              <w:rPr>
                <w:rFonts w:ascii="Public Sans" w:hAnsi="Public Sans" w:cs="Calibri"/>
                <w:sz w:val="16"/>
                <w:szCs w:val="16"/>
                <w:lang w:eastAsia="en-AU"/>
              </w:rPr>
            </w:pPr>
            <w:r>
              <w:rPr>
                <w:rFonts w:ascii="Public Sans" w:hAnsi="Public Sans" w:cs="Calibri"/>
                <w:sz w:val="16"/>
                <w:szCs w:val="16"/>
                <w:lang w:eastAsia="en-AU"/>
              </w:rPr>
              <w:t xml:space="preserve">Primary Industries and Regional </w:t>
            </w:r>
            <w:r w:rsidR="00871C90">
              <w:rPr>
                <w:rFonts w:ascii="Public Sans" w:hAnsi="Public Sans" w:cs="Calibri"/>
                <w:sz w:val="16"/>
                <w:szCs w:val="16"/>
                <w:lang w:eastAsia="en-AU"/>
              </w:rPr>
              <w:t>Development</w:t>
            </w:r>
          </w:p>
        </w:tc>
        <w:tc>
          <w:tcPr>
            <w:tcW w:w="441" w:type="pct"/>
            <w:tcBorders>
              <w:top w:val="nil"/>
              <w:left w:val="nil"/>
              <w:bottom w:val="nil"/>
              <w:right w:val="nil"/>
            </w:tcBorders>
            <w:tcMar>
              <w:left w:w="28" w:type="dxa"/>
              <w:right w:w="28" w:type="dxa"/>
            </w:tcMar>
            <w:vAlign w:val="bottom"/>
            <w:hideMark/>
          </w:tcPr>
          <w:p w14:paraId="76794CCC" w14:textId="52DA1D80"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80</w:t>
            </w:r>
          </w:p>
        </w:tc>
        <w:tc>
          <w:tcPr>
            <w:tcW w:w="441" w:type="pct"/>
            <w:tcBorders>
              <w:top w:val="nil"/>
              <w:left w:val="nil"/>
              <w:bottom w:val="nil"/>
              <w:right w:val="nil"/>
            </w:tcBorders>
            <w:tcMar>
              <w:left w:w="28" w:type="dxa"/>
              <w:right w:w="28" w:type="dxa"/>
            </w:tcMar>
            <w:vAlign w:val="bottom"/>
            <w:hideMark/>
          </w:tcPr>
          <w:p w14:paraId="268417E9" w14:textId="6FAD5BBB"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61</w:t>
            </w:r>
          </w:p>
        </w:tc>
        <w:tc>
          <w:tcPr>
            <w:tcW w:w="442" w:type="pct"/>
            <w:tcBorders>
              <w:top w:val="nil"/>
              <w:left w:val="nil"/>
              <w:bottom w:val="nil"/>
              <w:right w:val="nil"/>
            </w:tcBorders>
            <w:tcMar>
              <w:left w:w="28" w:type="dxa"/>
              <w:right w:w="28" w:type="dxa"/>
            </w:tcMar>
            <w:vAlign w:val="bottom"/>
            <w:hideMark/>
          </w:tcPr>
          <w:p w14:paraId="34960B67" w14:textId="1DAD6E1F"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39</w:t>
            </w:r>
          </w:p>
        </w:tc>
        <w:tc>
          <w:tcPr>
            <w:tcW w:w="441" w:type="pct"/>
            <w:tcBorders>
              <w:top w:val="nil"/>
              <w:left w:val="nil"/>
              <w:bottom w:val="nil"/>
              <w:right w:val="nil"/>
            </w:tcBorders>
            <w:tcMar>
              <w:left w:w="28" w:type="dxa"/>
              <w:right w:w="28" w:type="dxa"/>
            </w:tcMar>
            <w:vAlign w:val="bottom"/>
            <w:hideMark/>
          </w:tcPr>
          <w:p w14:paraId="7B404C60" w14:textId="6D6E9440"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34</w:t>
            </w:r>
          </w:p>
        </w:tc>
        <w:tc>
          <w:tcPr>
            <w:tcW w:w="441" w:type="pct"/>
            <w:tcBorders>
              <w:top w:val="nil"/>
              <w:left w:val="nil"/>
              <w:bottom w:val="nil"/>
              <w:right w:val="nil"/>
            </w:tcBorders>
            <w:tcMar>
              <w:left w:w="28" w:type="dxa"/>
              <w:right w:w="28" w:type="dxa"/>
            </w:tcMar>
            <w:vAlign w:val="bottom"/>
            <w:hideMark/>
          </w:tcPr>
          <w:p w14:paraId="6CBEF688" w14:textId="477A26D2"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214</w:t>
            </w:r>
          </w:p>
        </w:tc>
        <w:tc>
          <w:tcPr>
            <w:tcW w:w="441" w:type="pct"/>
            <w:tcBorders>
              <w:top w:val="nil"/>
              <w:left w:val="nil"/>
              <w:bottom w:val="nil"/>
              <w:right w:val="nil"/>
            </w:tcBorders>
            <w:vAlign w:val="bottom"/>
            <w:hideMark/>
          </w:tcPr>
          <w:p w14:paraId="7504C2C1" w14:textId="3721EE95"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0.2</w:t>
            </w:r>
          </w:p>
        </w:tc>
      </w:tr>
      <w:tr w:rsidR="00623BDD" w:rsidRPr="00E355A3" w14:paraId="0A43ACD6" w14:textId="77777777" w:rsidTr="00F23496">
        <w:tc>
          <w:tcPr>
            <w:tcW w:w="2353" w:type="pct"/>
            <w:tcBorders>
              <w:top w:val="nil"/>
              <w:left w:val="nil"/>
              <w:bottom w:val="nil"/>
              <w:right w:val="nil"/>
            </w:tcBorders>
            <w:vAlign w:val="bottom"/>
            <w:hideMark/>
          </w:tcPr>
          <w:p w14:paraId="50F969B6" w14:textId="58BAD8CD" w:rsidR="00623BDD" w:rsidRPr="006A2614" w:rsidRDefault="00623BDD" w:rsidP="00F23496">
            <w:pPr>
              <w:spacing w:before="40" w:after="40"/>
              <w:rPr>
                <w:rFonts w:ascii="Public Sans" w:hAnsi="Public Sans" w:cs="Calibri"/>
                <w:sz w:val="16"/>
                <w:szCs w:val="16"/>
                <w:lang w:eastAsia="en-AU"/>
              </w:rPr>
            </w:pPr>
            <w:r w:rsidRPr="006A2614">
              <w:rPr>
                <w:rFonts w:ascii="Public Sans" w:hAnsi="Public Sans" w:cs="Calibri"/>
                <w:sz w:val="16"/>
                <w:szCs w:val="16"/>
                <w:lang w:eastAsia="en-AU"/>
              </w:rPr>
              <w:t>Water Entities (State-owned Corporations)</w:t>
            </w:r>
            <w:r w:rsidRPr="006A2614">
              <w:rPr>
                <w:rFonts w:ascii="Arial" w:hAnsi="Arial" w:cs="Arial"/>
                <w:color w:val="000000"/>
                <w:sz w:val="18"/>
                <w:szCs w:val="18"/>
                <w:vertAlign w:val="superscript"/>
                <w:lang w:eastAsia="en-AU"/>
              </w:rPr>
              <w:t>(d,e)</w:t>
            </w:r>
          </w:p>
        </w:tc>
        <w:tc>
          <w:tcPr>
            <w:tcW w:w="441" w:type="pct"/>
            <w:tcBorders>
              <w:top w:val="nil"/>
              <w:left w:val="nil"/>
              <w:bottom w:val="nil"/>
              <w:right w:val="nil"/>
            </w:tcBorders>
            <w:tcMar>
              <w:left w:w="28" w:type="dxa"/>
              <w:right w:w="28" w:type="dxa"/>
            </w:tcMar>
            <w:vAlign w:val="bottom"/>
            <w:hideMark/>
          </w:tcPr>
          <w:p w14:paraId="0B594BEE" w14:textId="1DAEF2C4"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4,</w:t>
            </w:r>
            <w:r w:rsidR="1E147428" w:rsidRPr="439453DE">
              <w:rPr>
                <w:rFonts w:ascii="Public Sans" w:hAnsi="Public Sans" w:cs="Calibri"/>
                <w:sz w:val="16"/>
                <w:szCs w:val="16"/>
              </w:rPr>
              <w:t>280</w:t>
            </w:r>
          </w:p>
        </w:tc>
        <w:tc>
          <w:tcPr>
            <w:tcW w:w="441" w:type="pct"/>
            <w:tcBorders>
              <w:top w:val="nil"/>
              <w:left w:val="nil"/>
              <w:bottom w:val="nil"/>
              <w:right w:val="nil"/>
            </w:tcBorders>
            <w:tcMar>
              <w:left w:w="28" w:type="dxa"/>
              <w:right w:w="28" w:type="dxa"/>
            </w:tcMar>
            <w:vAlign w:val="bottom"/>
            <w:hideMark/>
          </w:tcPr>
          <w:p w14:paraId="7BC290A5" w14:textId="7F6B0887"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4,</w:t>
            </w:r>
            <w:r w:rsidR="1E147428" w:rsidRPr="439453DE">
              <w:rPr>
                <w:rFonts w:ascii="Public Sans" w:hAnsi="Public Sans" w:cs="Calibri"/>
                <w:sz w:val="16"/>
                <w:szCs w:val="16"/>
              </w:rPr>
              <w:t>671</w:t>
            </w:r>
          </w:p>
        </w:tc>
        <w:tc>
          <w:tcPr>
            <w:tcW w:w="442" w:type="pct"/>
            <w:tcBorders>
              <w:top w:val="nil"/>
              <w:left w:val="nil"/>
              <w:bottom w:val="nil"/>
              <w:right w:val="nil"/>
            </w:tcBorders>
            <w:tcMar>
              <w:left w:w="28" w:type="dxa"/>
              <w:right w:w="28" w:type="dxa"/>
            </w:tcMar>
            <w:vAlign w:val="bottom"/>
            <w:hideMark/>
          </w:tcPr>
          <w:p w14:paraId="72340A11" w14:textId="0F3E408C"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4,</w:t>
            </w:r>
            <w:r w:rsidR="1E147428" w:rsidRPr="439453DE">
              <w:rPr>
                <w:rFonts w:ascii="Public Sans" w:hAnsi="Public Sans" w:cs="Calibri"/>
                <w:sz w:val="16"/>
                <w:szCs w:val="16"/>
              </w:rPr>
              <w:t>542</w:t>
            </w:r>
          </w:p>
        </w:tc>
        <w:tc>
          <w:tcPr>
            <w:tcW w:w="441" w:type="pct"/>
            <w:tcBorders>
              <w:top w:val="nil"/>
              <w:left w:val="nil"/>
              <w:bottom w:val="nil"/>
              <w:right w:val="nil"/>
            </w:tcBorders>
            <w:tcMar>
              <w:left w:w="28" w:type="dxa"/>
              <w:right w:w="28" w:type="dxa"/>
            </w:tcMar>
            <w:vAlign w:val="bottom"/>
            <w:hideMark/>
          </w:tcPr>
          <w:p w14:paraId="51731F64" w14:textId="58F13842"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4,</w:t>
            </w:r>
            <w:r w:rsidR="1E147428" w:rsidRPr="439453DE">
              <w:rPr>
                <w:rFonts w:ascii="Public Sans" w:hAnsi="Public Sans" w:cs="Calibri"/>
                <w:sz w:val="16"/>
                <w:szCs w:val="16"/>
              </w:rPr>
              <w:t>772</w:t>
            </w:r>
          </w:p>
        </w:tc>
        <w:tc>
          <w:tcPr>
            <w:tcW w:w="441" w:type="pct"/>
            <w:tcBorders>
              <w:top w:val="nil"/>
              <w:left w:val="nil"/>
              <w:bottom w:val="nil"/>
              <w:right w:val="nil"/>
            </w:tcBorders>
            <w:tcMar>
              <w:left w:w="28" w:type="dxa"/>
              <w:right w:w="28" w:type="dxa"/>
            </w:tcMar>
            <w:vAlign w:val="bottom"/>
            <w:hideMark/>
          </w:tcPr>
          <w:p w14:paraId="48882ADA" w14:textId="4813A79B"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18,264</w:t>
            </w:r>
          </w:p>
        </w:tc>
        <w:tc>
          <w:tcPr>
            <w:tcW w:w="441" w:type="pct"/>
            <w:tcBorders>
              <w:top w:val="nil"/>
              <w:left w:val="nil"/>
              <w:bottom w:val="nil"/>
              <w:right w:val="nil"/>
            </w:tcBorders>
            <w:vAlign w:val="bottom"/>
            <w:hideMark/>
          </w:tcPr>
          <w:p w14:paraId="2AE0B9C6" w14:textId="7CB22BCF"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15.4</w:t>
            </w:r>
          </w:p>
        </w:tc>
      </w:tr>
      <w:tr w:rsidR="00623BDD" w:rsidRPr="00E355A3" w14:paraId="2B7C0A88" w14:textId="77777777" w:rsidTr="00F23496">
        <w:tc>
          <w:tcPr>
            <w:tcW w:w="2353" w:type="pct"/>
            <w:tcBorders>
              <w:top w:val="nil"/>
              <w:left w:val="nil"/>
              <w:bottom w:val="nil"/>
              <w:right w:val="nil"/>
            </w:tcBorders>
            <w:vAlign w:val="bottom"/>
            <w:hideMark/>
          </w:tcPr>
          <w:p w14:paraId="614A414B" w14:textId="77777777" w:rsidR="00623BDD" w:rsidRPr="006A2614" w:rsidRDefault="00623BDD" w:rsidP="00F23496">
            <w:pPr>
              <w:spacing w:before="40" w:after="40"/>
              <w:rPr>
                <w:rFonts w:ascii="Public Sans" w:hAnsi="Public Sans" w:cs="Calibri"/>
                <w:sz w:val="16"/>
                <w:szCs w:val="16"/>
                <w:lang w:eastAsia="en-AU"/>
              </w:rPr>
            </w:pPr>
            <w:r w:rsidRPr="006A2614">
              <w:rPr>
                <w:rFonts w:ascii="Public Sans" w:hAnsi="Public Sans" w:cs="Calibri"/>
                <w:sz w:val="16"/>
                <w:szCs w:val="16"/>
                <w:lang w:eastAsia="en-AU"/>
              </w:rPr>
              <w:t>Other</w:t>
            </w:r>
            <w:r w:rsidRPr="006A2614">
              <w:rPr>
                <w:rFonts w:ascii="Arial" w:hAnsi="Arial" w:cs="Arial"/>
                <w:color w:val="000000"/>
                <w:sz w:val="18"/>
                <w:szCs w:val="18"/>
                <w:vertAlign w:val="superscript"/>
                <w:lang w:eastAsia="en-AU"/>
              </w:rPr>
              <w:t>(f)</w:t>
            </w:r>
          </w:p>
        </w:tc>
        <w:tc>
          <w:tcPr>
            <w:tcW w:w="441" w:type="pct"/>
            <w:tcBorders>
              <w:top w:val="nil"/>
              <w:left w:val="nil"/>
              <w:bottom w:val="nil"/>
              <w:right w:val="nil"/>
            </w:tcBorders>
            <w:tcMar>
              <w:left w:w="28" w:type="dxa"/>
              <w:right w:w="28" w:type="dxa"/>
            </w:tcMar>
            <w:vAlign w:val="bottom"/>
            <w:hideMark/>
          </w:tcPr>
          <w:p w14:paraId="78B7B2E2" w14:textId="0B1022DC"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318</w:t>
            </w:r>
          </w:p>
        </w:tc>
        <w:tc>
          <w:tcPr>
            <w:tcW w:w="441" w:type="pct"/>
            <w:tcBorders>
              <w:top w:val="nil"/>
              <w:left w:val="nil"/>
              <w:bottom w:val="nil"/>
              <w:right w:val="nil"/>
            </w:tcBorders>
            <w:tcMar>
              <w:left w:w="28" w:type="dxa"/>
              <w:right w:w="28" w:type="dxa"/>
            </w:tcMar>
            <w:vAlign w:val="bottom"/>
            <w:hideMark/>
          </w:tcPr>
          <w:p w14:paraId="3A5683BC" w14:textId="37F11634"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383</w:t>
            </w:r>
          </w:p>
        </w:tc>
        <w:tc>
          <w:tcPr>
            <w:tcW w:w="442" w:type="pct"/>
            <w:tcBorders>
              <w:top w:val="nil"/>
              <w:left w:val="nil"/>
              <w:bottom w:val="nil"/>
              <w:right w:val="nil"/>
            </w:tcBorders>
            <w:tcMar>
              <w:left w:w="28" w:type="dxa"/>
              <w:right w:w="28" w:type="dxa"/>
            </w:tcMar>
            <w:vAlign w:val="bottom"/>
            <w:hideMark/>
          </w:tcPr>
          <w:p w14:paraId="2408920C" w14:textId="53BFA62B"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1,554</w:t>
            </w:r>
          </w:p>
        </w:tc>
        <w:tc>
          <w:tcPr>
            <w:tcW w:w="441" w:type="pct"/>
            <w:tcBorders>
              <w:top w:val="nil"/>
              <w:left w:val="nil"/>
              <w:bottom w:val="nil"/>
              <w:right w:val="nil"/>
            </w:tcBorders>
            <w:tcMar>
              <w:left w:w="28" w:type="dxa"/>
              <w:right w:w="28" w:type="dxa"/>
            </w:tcMar>
            <w:vAlign w:val="bottom"/>
            <w:hideMark/>
          </w:tcPr>
          <w:p w14:paraId="77D7AC86" w14:textId="67AEB103"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2,934</w:t>
            </w:r>
          </w:p>
        </w:tc>
        <w:tc>
          <w:tcPr>
            <w:tcW w:w="441" w:type="pct"/>
            <w:tcBorders>
              <w:top w:val="nil"/>
              <w:left w:val="nil"/>
              <w:bottom w:val="nil"/>
              <w:right w:val="nil"/>
            </w:tcBorders>
            <w:tcMar>
              <w:left w:w="28" w:type="dxa"/>
              <w:right w:w="28" w:type="dxa"/>
            </w:tcMar>
            <w:vAlign w:val="bottom"/>
            <w:hideMark/>
          </w:tcPr>
          <w:p w14:paraId="28028C8A" w14:textId="597641DF"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5,189</w:t>
            </w:r>
          </w:p>
        </w:tc>
        <w:tc>
          <w:tcPr>
            <w:tcW w:w="441" w:type="pct"/>
            <w:tcBorders>
              <w:top w:val="nil"/>
              <w:left w:val="nil"/>
              <w:bottom w:val="nil"/>
              <w:right w:val="nil"/>
            </w:tcBorders>
            <w:vAlign w:val="bottom"/>
            <w:hideMark/>
          </w:tcPr>
          <w:p w14:paraId="04D6475A" w14:textId="65B6252C" w:rsidR="00623BDD" w:rsidRPr="006A2614" w:rsidRDefault="00623BDD" w:rsidP="00F23496">
            <w:pPr>
              <w:spacing w:before="40" w:after="40"/>
              <w:jc w:val="right"/>
              <w:rPr>
                <w:rFonts w:ascii="Public Sans" w:hAnsi="Public Sans" w:cs="Calibri"/>
                <w:sz w:val="16"/>
                <w:szCs w:val="16"/>
                <w:lang w:eastAsia="en-AU"/>
              </w:rPr>
            </w:pPr>
            <w:r>
              <w:rPr>
                <w:rFonts w:ascii="Public Sans" w:hAnsi="Public Sans" w:cs="Calibri"/>
                <w:sz w:val="16"/>
                <w:szCs w:val="16"/>
              </w:rPr>
              <w:t>4.4</w:t>
            </w:r>
          </w:p>
        </w:tc>
      </w:tr>
      <w:tr w:rsidR="00623BDD" w:rsidRPr="00E355A3" w14:paraId="79E7498A" w14:textId="77777777" w:rsidTr="00F23496">
        <w:tc>
          <w:tcPr>
            <w:tcW w:w="2353" w:type="pct"/>
            <w:tcBorders>
              <w:top w:val="single" w:sz="4" w:space="0" w:color="auto"/>
              <w:left w:val="nil"/>
              <w:bottom w:val="single" w:sz="4" w:space="0" w:color="auto"/>
              <w:right w:val="nil"/>
            </w:tcBorders>
            <w:noWrap/>
            <w:vAlign w:val="center"/>
            <w:hideMark/>
          </w:tcPr>
          <w:p w14:paraId="50ACDE25" w14:textId="77777777" w:rsidR="00623BDD" w:rsidRPr="006A2614" w:rsidRDefault="00623BDD" w:rsidP="00F23496">
            <w:pPr>
              <w:spacing w:before="40" w:after="40"/>
              <w:rPr>
                <w:rFonts w:ascii="Public Sans" w:hAnsi="Public Sans" w:cs="Calibri"/>
                <w:b/>
                <w:sz w:val="16"/>
                <w:szCs w:val="16"/>
                <w:lang w:eastAsia="en-AU"/>
              </w:rPr>
            </w:pPr>
            <w:r w:rsidRPr="006A2614">
              <w:rPr>
                <w:rFonts w:ascii="Public Sans" w:hAnsi="Public Sans" w:cs="Calibri"/>
                <w:b/>
                <w:sz w:val="16"/>
                <w:szCs w:val="16"/>
                <w:lang w:eastAsia="en-AU"/>
              </w:rPr>
              <w:t>Total</w:t>
            </w:r>
          </w:p>
        </w:tc>
        <w:tc>
          <w:tcPr>
            <w:tcW w:w="441" w:type="pct"/>
            <w:tcBorders>
              <w:top w:val="single" w:sz="4" w:space="0" w:color="auto"/>
              <w:left w:val="nil"/>
              <w:bottom w:val="single" w:sz="4" w:space="0" w:color="auto"/>
              <w:right w:val="nil"/>
            </w:tcBorders>
            <w:noWrap/>
            <w:tcMar>
              <w:left w:w="28" w:type="dxa"/>
              <w:right w:w="28" w:type="dxa"/>
            </w:tcMar>
            <w:vAlign w:val="center"/>
            <w:hideMark/>
          </w:tcPr>
          <w:p w14:paraId="12D30A02" w14:textId="48F1154D" w:rsidR="00623BDD" w:rsidRPr="006A2614" w:rsidRDefault="00623BDD" w:rsidP="00F23496">
            <w:pPr>
              <w:spacing w:before="40" w:after="40"/>
              <w:jc w:val="right"/>
              <w:rPr>
                <w:rFonts w:ascii="Public Sans" w:hAnsi="Public Sans" w:cs="Calibri"/>
                <w:b/>
                <w:sz w:val="16"/>
                <w:szCs w:val="16"/>
                <w:lang w:eastAsia="en-AU"/>
              </w:rPr>
            </w:pPr>
            <w:r>
              <w:rPr>
                <w:rFonts w:ascii="Public Sans" w:hAnsi="Public Sans" w:cs="Calibri"/>
                <w:b/>
                <w:bCs/>
                <w:sz w:val="16"/>
                <w:szCs w:val="16"/>
              </w:rPr>
              <w:t>30,816</w:t>
            </w:r>
          </w:p>
        </w:tc>
        <w:tc>
          <w:tcPr>
            <w:tcW w:w="441" w:type="pct"/>
            <w:tcBorders>
              <w:top w:val="single" w:sz="4" w:space="0" w:color="auto"/>
              <w:left w:val="nil"/>
              <w:bottom w:val="single" w:sz="4" w:space="0" w:color="auto"/>
              <w:right w:val="nil"/>
            </w:tcBorders>
            <w:noWrap/>
            <w:tcMar>
              <w:left w:w="28" w:type="dxa"/>
              <w:right w:w="28" w:type="dxa"/>
            </w:tcMar>
            <w:vAlign w:val="center"/>
            <w:hideMark/>
          </w:tcPr>
          <w:p w14:paraId="4533BD07" w14:textId="7E33F4DA" w:rsidR="00623BDD" w:rsidRPr="006A2614" w:rsidRDefault="00623BDD" w:rsidP="00F23496">
            <w:pPr>
              <w:spacing w:before="40" w:after="40"/>
              <w:jc w:val="right"/>
              <w:rPr>
                <w:rFonts w:ascii="Public Sans" w:hAnsi="Public Sans" w:cs="Calibri"/>
                <w:b/>
                <w:sz w:val="16"/>
                <w:szCs w:val="16"/>
                <w:lang w:eastAsia="en-AU"/>
              </w:rPr>
            </w:pPr>
            <w:r>
              <w:rPr>
                <w:rFonts w:ascii="Public Sans" w:hAnsi="Public Sans" w:cs="Calibri"/>
                <w:b/>
                <w:bCs/>
                <w:sz w:val="16"/>
                <w:szCs w:val="16"/>
              </w:rPr>
              <w:t>30,353</w:t>
            </w:r>
          </w:p>
        </w:tc>
        <w:tc>
          <w:tcPr>
            <w:tcW w:w="442" w:type="pct"/>
            <w:tcBorders>
              <w:top w:val="single" w:sz="4" w:space="0" w:color="auto"/>
              <w:left w:val="nil"/>
              <w:bottom w:val="single" w:sz="4" w:space="0" w:color="auto"/>
              <w:right w:val="nil"/>
            </w:tcBorders>
            <w:noWrap/>
            <w:tcMar>
              <w:left w:w="28" w:type="dxa"/>
              <w:right w:w="28" w:type="dxa"/>
            </w:tcMar>
            <w:vAlign w:val="center"/>
            <w:hideMark/>
          </w:tcPr>
          <w:p w14:paraId="6CE78843" w14:textId="3FFE0E0F" w:rsidR="00623BDD" w:rsidRPr="006A2614" w:rsidRDefault="00623BDD" w:rsidP="00F23496">
            <w:pPr>
              <w:spacing w:before="40" w:after="40"/>
              <w:jc w:val="right"/>
              <w:rPr>
                <w:rFonts w:ascii="Public Sans" w:hAnsi="Public Sans" w:cs="Calibri"/>
                <w:b/>
                <w:sz w:val="16"/>
                <w:szCs w:val="16"/>
                <w:lang w:eastAsia="en-AU"/>
              </w:rPr>
            </w:pPr>
            <w:r>
              <w:rPr>
                <w:rFonts w:ascii="Public Sans" w:hAnsi="Public Sans" w:cs="Calibri"/>
                <w:b/>
                <w:bCs/>
                <w:sz w:val="16"/>
                <w:szCs w:val="16"/>
              </w:rPr>
              <w:t>29,336</w:t>
            </w:r>
          </w:p>
        </w:tc>
        <w:tc>
          <w:tcPr>
            <w:tcW w:w="441" w:type="pct"/>
            <w:tcBorders>
              <w:top w:val="single" w:sz="4" w:space="0" w:color="auto"/>
              <w:left w:val="nil"/>
              <w:bottom w:val="single" w:sz="4" w:space="0" w:color="auto"/>
              <w:right w:val="nil"/>
            </w:tcBorders>
            <w:noWrap/>
            <w:tcMar>
              <w:left w:w="28" w:type="dxa"/>
              <w:right w:w="28" w:type="dxa"/>
            </w:tcMar>
            <w:vAlign w:val="center"/>
            <w:hideMark/>
          </w:tcPr>
          <w:p w14:paraId="09636090" w14:textId="704F4213" w:rsidR="00623BDD" w:rsidRPr="006A2614" w:rsidRDefault="00623BDD" w:rsidP="00F23496">
            <w:pPr>
              <w:spacing w:before="40" w:after="40"/>
              <w:jc w:val="right"/>
              <w:rPr>
                <w:rFonts w:ascii="Public Sans" w:hAnsi="Public Sans" w:cs="Calibri"/>
                <w:b/>
                <w:sz w:val="16"/>
                <w:szCs w:val="16"/>
                <w:lang w:eastAsia="en-AU"/>
              </w:rPr>
            </w:pPr>
            <w:r>
              <w:rPr>
                <w:rFonts w:ascii="Public Sans" w:hAnsi="Public Sans" w:cs="Calibri"/>
                <w:b/>
                <w:bCs/>
                <w:sz w:val="16"/>
                <w:szCs w:val="16"/>
              </w:rPr>
              <w:t>27,829</w:t>
            </w:r>
          </w:p>
        </w:tc>
        <w:tc>
          <w:tcPr>
            <w:tcW w:w="441" w:type="pct"/>
            <w:tcBorders>
              <w:top w:val="single" w:sz="4" w:space="0" w:color="auto"/>
              <w:left w:val="nil"/>
              <w:bottom w:val="single" w:sz="4" w:space="0" w:color="auto"/>
              <w:right w:val="nil"/>
            </w:tcBorders>
            <w:noWrap/>
            <w:tcMar>
              <w:left w:w="28" w:type="dxa"/>
              <w:right w:w="28" w:type="dxa"/>
            </w:tcMar>
            <w:vAlign w:val="center"/>
            <w:hideMark/>
          </w:tcPr>
          <w:p w14:paraId="447C2F48" w14:textId="7FFFCC38" w:rsidR="00623BDD" w:rsidRPr="006A2614" w:rsidRDefault="00623BDD" w:rsidP="00F23496">
            <w:pPr>
              <w:spacing w:before="40" w:after="40"/>
              <w:jc w:val="right"/>
              <w:rPr>
                <w:rFonts w:ascii="Public Sans" w:hAnsi="Public Sans" w:cs="Calibri"/>
                <w:b/>
                <w:sz w:val="16"/>
                <w:szCs w:val="16"/>
                <w:lang w:eastAsia="en-AU"/>
              </w:rPr>
            </w:pPr>
            <w:r>
              <w:rPr>
                <w:rFonts w:ascii="Public Sans" w:hAnsi="Public Sans" w:cs="Calibri"/>
                <w:b/>
                <w:bCs/>
                <w:sz w:val="16"/>
                <w:szCs w:val="16"/>
              </w:rPr>
              <w:t>118,333</w:t>
            </w:r>
          </w:p>
        </w:tc>
        <w:tc>
          <w:tcPr>
            <w:tcW w:w="441" w:type="pct"/>
            <w:tcBorders>
              <w:top w:val="single" w:sz="4" w:space="0" w:color="auto"/>
              <w:left w:val="nil"/>
              <w:bottom w:val="single" w:sz="4" w:space="0" w:color="auto"/>
              <w:right w:val="nil"/>
            </w:tcBorders>
            <w:noWrap/>
            <w:vAlign w:val="center"/>
            <w:hideMark/>
          </w:tcPr>
          <w:p w14:paraId="6B2EB51F" w14:textId="7FA264DC" w:rsidR="00623BDD" w:rsidRPr="006A2614" w:rsidRDefault="00623BDD" w:rsidP="00F23496">
            <w:pPr>
              <w:spacing w:before="40" w:after="40"/>
              <w:jc w:val="right"/>
              <w:rPr>
                <w:rFonts w:ascii="Public Sans" w:hAnsi="Public Sans" w:cs="Calibri"/>
                <w:b/>
                <w:sz w:val="16"/>
                <w:szCs w:val="16"/>
                <w:lang w:eastAsia="en-AU"/>
              </w:rPr>
            </w:pPr>
            <w:r>
              <w:rPr>
                <w:rFonts w:ascii="Public Sans" w:hAnsi="Public Sans" w:cs="Calibri"/>
                <w:b/>
                <w:bCs/>
                <w:sz w:val="16"/>
                <w:szCs w:val="16"/>
              </w:rPr>
              <w:t>100.0</w:t>
            </w:r>
          </w:p>
        </w:tc>
      </w:tr>
    </w:tbl>
    <w:p w14:paraId="77D6F0BC" w14:textId="423E9743" w:rsidR="008B4055" w:rsidRPr="009C163F" w:rsidRDefault="000F46AE" w:rsidP="009C163F">
      <w:pPr>
        <w:rPr>
          <w:sz w:val="6"/>
          <w:szCs w:val="6"/>
        </w:rPr>
      </w:pPr>
      <w:r>
        <w:fldChar w:fldCharType="end"/>
      </w:r>
    </w:p>
    <w:p w14:paraId="0BDE5948" w14:textId="3DFC1A68" w:rsidR="008B4055" w:rsidRPr="00925CCD" w:rsidRDefault="008B4055" w:rsidP="00AC2C90">
      <w:pPr>
        <w:pStyle w:val="BP3Footnote"/>
        <w:numPr>
          <w:ilvl w:val="0"/>
          <w:numId w:val="94"/>
        </w:numPr>
        <w:spacing w:before="20" w:after="20"/>
        <w:ind w:left="363" w:hanging="357"/>
        <w:rPr>
          <w:i/>
          <w:szCs w:val="16"/>
        </w:rPr>
      </w:pPr>
      <w:r w:rsidRPr="00925CCD">
        <w:t xml:space="preserve">Numbers represented in the table are on an eliminated </w:t>
      </w:r>
      <w:r w:rsidR="001B7CCF">
        <w:t>p</w:t>
      </w:r>
      <w:r w:rsidR="0096589C">
        <w:t>ortfolio</w:t>
      </w:r>
      <w:r w:rsidRPr="00925CCD">
        <w:t xml:space="preserve"> basis. This table does not </w:t>
      </w:r>
      <w:r w:rsidRPr="00925CCD">
        <w:rPr>
          <w:szCs w:val="16"/>
        </w:rPr>
        <w:t>align with individual agency reporting elsewhere in these Budget Papers which is done on an uneliminated basis.</w:t>
      </w:r>
    </w:p>
    <w:p w14:paraId="6C13D1BB" w14:textId="77777777" w:rsidR="008B4055" w:rsidRPr="00925CCD" w:rsidRDefault="008B4055" w:rsidP="00AC2C90">
      <w:pPr>
        <w:pStyle w:val="BP3Footnote"/>
        <w:numPr>
          <w:ilvl w:val="0"/>
          <w:numId w:val="94"/>
        </w:numPr>
        <w:spacing w:before="20" w:after="20"/>
        <w:ind w:left="363" w:hanging="357"/>
      </w:pPr>
      <w:r w:rsidRPr="00925CCD">
        <w:t xml:space="preserve">Includes Transport </w:t>
      </w:r>
      <w:r w:rsidRPr="00925CCD">
        <w:rPr>
          <w:szCs w:val="16"/>
        </w:rPr>
        <w:t>PNFC agencies</w:t>
      </w:r>
      <w:r w:rsidRPr="00925CCD">
        <w:t>.</w:t>
      </w:r>
    </w:p>
    <w:p w14:paraId="3E622654" w14:textId="0258FDB3" w:rsidR="00812953" w:rsidRPr="00DE600F" w:rsidRDefault="00812953" w:rsidP="00812953">
      <w:pPr>
        <w:pStyle w:val="BP3Footnote"/>
        <w:numPr>
          <w:ilvl w:val="0"/>
          <w:numId w:val="94"/>
        </w:numPr>
        <w:spacing w:before="20" w:after="20"/>
        <w:ind w:left="363" w:hanging="357"/>
      </w:pPr>
      <w:bookmarkStart w:id="5" w:name="_Hlk515907559"/>
      <w:r w:rsidRPr="00DE600F">
        <w:rPr>
          <w:rStyle w:val="ui-provider"/>
        </w:rPr>
        <w:t xml:space="preserve">Health uneliminated spending on capital is forecast to total </w:t>
      </w:r>
      <w:r w:rsidRPr="009640A2">
        <w:rPr>
          <w:rStyle w:val="ui-provider"/>
        </w:rPr>
        <w:t>$12.4 billion</w:t>
      </w:r>
      <w:r w:rsidRPr="00DE600F">
        <w:rPr>
          <w:rStyle w:val="ui-provider"/>
        </w:rPr>
        <w:t xml:space="preserve"> over the four years to 2028-29</w:t>
      </w:r>
      <w:r w:rsidR="00B013D4">
        <w:rPr>
          <w:rStyle w:val="ui-provider"/>
        </w:rPr>
        <w:t xml:space="preserve">, which includes </w:t>
      </w:r>
      <w:r w:rsidR="000C15EC">
        <w:rPr>
          <w:rStyle w:val="ui-provider"/>
        </w:rPr>
        <w:t>capital expensing</w:t>
      </w:r>
      <w:r w:rsidR="006359A8">
        <w:rPr>
          <w:rStyle w:val="ui-provider"/>
        </w:rPr>
        <w:t>.</w:t>
      </w:r>
      <w:r w:rsidRPr="00DE600F">
        <w:rPr>
          <w:rStyle w:val="ui-provider"/>
        </w:rPr>
        <w:t xml:space="preserve"> Table 1.</w:t>
      </w:r>
      <w:r w:rsidR="006359A8">
        <w:rPr>
          <w:rStyle w:val="ui-provider"/>
        </w:rPr>
        <w:t>3</w:t>
      </w:r>
      <w:r w:rsidRPr="00DE600F">
        <w:rPr>
          <w:rStyle w:val="ui-provider"/>
        </w:rPr>
        <w:t xml:space="preserve"> does not include </w:t>
      </w:r>
      <w:r w:rsidRPr="009640A2">
        <w:rPr>
          <w:rStyle w:val="ui-provider"/>
        </w:rPr>
        <w:t>$141.0 million</w:t>
      </w:r>
      <w:r w:rsidRPr="00DE600F">
        <w:rPr>
          <w:rStyle w:val="ui-provider"/>
        </w:rPr>
        <w:t xml:space="preserve"> in 2025-26, </w:t>
      </w:r>
      <w:r w:rsidRPr="009640A2">
        <w:rPr>
          <w:rStyle w:val="ui-provider"/>
        </w:rPr>
        <w:t>$117.1 million</w:t>
      </w:r>
      <w:r w:rsidRPr="00DE600F">
        <w:rPr>
          <w:rStyle w:val="ui-provider"/>
        </w:rPr>
        <w:t xml:space="preserve"> in 2026-27, </w:t>
      </w:r>
      <w:r w:rsidRPr="009640A2">
        <w:rPr>
          <w:rStyle w:val="ui-provider"/>
        </w:rPr>
        <w:t>$117.1 million</w:t>
      </w:r>
      <w:r w:rsidRPr="00DE600F">
        <w:rPr>
          <w:rStyle w:val="ui-provider"/>
        </w:rPr>
        <w:t xml:space="preserve"> in 2027-28 and </w:t>
      </w:r>
      <w:r w:rsidRPr="009640A2">
        <w:rPr>
          <w:rStyle w:val="ui-provider"/>
        </w:rPr>
        <w:t>$117.1 million</w:t>
      </w:r>
      <w:r w:rsidRPr="00DE600F">
        <w:rPr>
          <w:rStyle w:val="ui-provider"/>
        </w:rPr>
        <w:t xml:space="preserve"> in 2028-29 for minor capital spending for the construction of health capital projects which fall below a capitalisation threshold and are not reported as capital expenditure</w:t>
      </w:r>
      <w:r w:rsidRPr="00DE600F">
        <w:t xml:space="preserve">. </w:t>
      </w:r>
    </w:p>
    <w:p w14:paraId="79779187" w14:textId="35C561DE" w:rsidR="008B4055" w:rsidRPr="00925CCD" w:rsidRDefault="008B4055" w:rsidP="00AC2C90">
      <w:pPr>
        <w:pStyle w:val="BP3Footnote"/>
        <w:numPr>
          <w:ilvl w:val="0"/>
          <w:numId w:val="94"/>
        </w:numPr>
        <w:spacing w:before="20" w:after="20"/>
        <w:ind w:left="363" w:hanging="357"/>
        <w:rPr>
          <w:szCs w:val="16"/>
        </w:rPr>
      </w:pPr>
      <w:r w:rsidRPr="00925CCD">
        <w:rPr>
          <w:szCs w:val="16"/>
        </w:rPr>
        <w:t>Comprise</w:t>
      </w:r>
      <w:r w:rsidR="00F30B3F">
        <w:rPr>
          <w:szCs w:val="16"/>
        </w:rPr>
        <w:t>d of</w:t>
      </w:r>
      <w:r w:rsidRPr="00925CCD">
        <w:rPr>
          <w:szCs w:val="16"/>
        </w:rPr>
        <w:t xml:space="preserve"> Water</w:t>
      </w:r>
      <w:r w:rsidR="00881C34">
        <w:rPr>
          <w:szCs w:val="16"/>
        </w:rPr>
        <w:t>NSW</w:t>
      </w:r>
      <w:r w:rsidRPr="00925CCD">
        <w:rPr>
          <w:szCs w:val="16"/>
        </w:rPr>
        <w:t xml:space="preserve">, Sydney Water </w:t>
      </w:r>
      <w:r w:rsidR="009166FC">
        <w:rPr>
          <w:szCs w:val="16"/>
        </w:rPr>
        <w:t>Corporation</w:t>
      </w:r>
      <w:r w:rsidRPr="00925CCD">
        <w:rPr>
          <w:szCs w:val="16"/>
        </w:rPr>
        <w:t xml:space="preserve"> and Hunter Water Corporation.</w:t>
      </w:r>
    </w:p>
    <w:p w14:paraId="1F2D9136" w14:textId="263A14FB" w:rsidR="009908A0" w:rsidRPr="00925CCD" w:rsidRDefault="00E3518C" w:rsidP="00B77333">
      <w:pPr>
        <w:pStyle w:val="BP3Footnote"/>
        <w:numPr>
          <w:ilvl w:val="0"/>
          <w:numId w:val="94"/>
        </w:numPr>
        <w:spacing w:before="20" w:after="20"/>
        <w:ind w:left="363" w:hanging="357"/>
        <w:rPr>
          <w:szCs w:val="16"/>
        </w:rPr>
      </w:pPr>
      <w:r>
        <w:rPr>
          <w:szCs w:val="16"/>
        </w:rPr>
        <w:t xml:space="preserve">The capital expenditure profiles for WaterNSW and Sydney Water are based </w:t>
      </w:r>
      <w:r w:rsidR="008F4DD4">
        <w:rPr>
          <w:szCs w:val="16"/>
        </w:rPr>
        <w:t>on</w:t>
      </w:r>
      <w:r w:rsidR="004625BB">
        <w:rPr>
          <w:szCs w:val="16"/>
        </w:rPr>
        <w:t xml:space="preserve"> </w:t>
      </w:r>
      <w:r w:rsidR="00A23D1B">
        <w:rPr>
          <w:szCs w:val="16"/>
        </w:rPr>
        <w:t>the</w:t>
      </w:r>
      <w:r w:rsidR="0036530C">
        <w:rPr>
          <w:szCs w:val="16"/>
        </w:rPr>
        <w:t>ir respective pricing proposals submitted to IPART in September 2024. T</w:t>
      </w:r>
      <w:r w:rsidR="006C54F2">
        <w:rPr>
          <w:szCs w:val="16"/>
        </w:rPr>
        <w:t>hese profiles</w:t>
      </w:r>
      <w:r w:rsidR="00CC6577">
        <w:rPr>
          <w:szCs w:val="16"/>
        </w:rPr>
        <w:t xml:space="preserve"> </w:t>
      </w:r>
      <w:r w:rsidR="00A47A8C">
        <w:rPr>
          <w:szCs w:val="16"/>
        </w:rPr>
        <w:t>will</w:t>
      </w:r>
      <w:r w:rsidR="00187697">
        <w:rPr>
          <w:szCs w:val="16"/>
        </w:rPr>
        <w:t xml:space="preserve"> be</w:t>
      </w:r>
      <w:r w:rsidR="00A47A8C">
        <w:rPr>
          <w:szCs w:val="16"/>
        </w:rPr>
        <w:t xml:space="preserve"> </w:t>
      </w:r>
      <w:r w:rsidR="009E5138">
        <w:rPr>
          <w:szCs w:val="16"/>
        </w:rPr>
        <w:t xml:space="preserve">reviewed </w:t>
      </w:r>
      <w:r w:rsidR="00214FEE">
        <w:rPr>
          <w:szCs w:val="16"/>
        </w:rPr>
        <w:t>following IPART’s final price determinations.</w:t>
      </w:r>
    </w:p>
    <w:p w14:paraId="7B16E612" w14:textId="6D1180D9" w:rsidR="008B4055" w:rsidRPr="00925CCD" w:rsidRDefault="008B4055" w:rsidP="00AC2C90">
      <w:pPr>
        <w:pStyle w:val="BP3Footnote"/>
        <w:numPr>
          <w:ilvl w:val="0"/>
          <w:numId w:val="94"/>
        </w:numPr>
        <w:spacing w:before="20" w:after="20"/>
        <w:ind w:left="363" w:hanging="357"/>
      </w:pPr>
      <w:r w:rsidRPr="00925CCD">
        <w:t>C</w:t>
      </w:r>
      <w:r>
        <w:t xml:space="preserve">omprises </w:t>
      </w:r>
      <w:r w:rsidR="00B11DC8">
        <w:t xml:space="preserve">Premier, </w:t>
      </w:r>
      <w:r w:rsidR="003C361C">
        <w:t>Cabinet, Integrity agencies, The Legislature,</w:t>
      </w:r>
      <w:r>
        <w:t xml:space="preserve"> energy and property PNFC agencies. 2025-26 budgets are set out in Chapter 5. Also includes provisions and slippage forecasts not allocated to an agency. </w:t>
      </w:r>
    </w:p>
    <w:bookmarkEnd w:id="5"/>
    <w:p w14:paraId="79490B09" w14:textId="378ED3E5" w:rsidR="008B4055" w:rsidRPr="00925CCD" w:rsidRDefault="005B046E" w:rsidP="00802BE0">
      <w:pPr>
        <w:pStyle w:val="81Heading2"/>
        <w:ind w:left="851" w:hanging="851"/>
        <w:outlineLvl w:val="1"/>
      </w:pPr>
      <w:r>
        <w:t xml:space="preserve">Australian Government </w:t>
      </w:r>
      <w:r w:rsidR="00E926EF">
        <w:t>contributions to the State capital program</w:t>
      </w:r>
    </w:p>
    <w:p w14:paraId="3FDC4D0E" w14:textId="77777777" w:rsidR="008B4055" w:rsidRPr="00925CCD" w:rsidRDefault="008B4055" w:rsidP="000E5048">
      <w:pPr>
        <w:pStyle w:val="Heading3"/>
      </w:pPr>
      <w:r w:rsidRPr="00925CCD">
        <w:t>Australian Government funding</w:t>
      </w:r>
    </w:p>
    <w:p w14:paraId="44A99515" w14:textId="50AF2DCE" w:rsidR="00087F48" w:rsidRPr="004F7547" w:rsidRDefault="008B4055" w:rsidP="003F21C3">
      <w:pPr>
        <w:pStyle w:val="BodyText"/>
      </w:pPr>
      <w:r w:rsidRPr="5634E4A1">
        <w:rPr>
          <w:lang w:val="en-US"/>
        </w:rPr>
        <w:t>The Australian Government co-funds selected infrastructure projects across New South Wales and is forecast to contribute $</w:t>
      </w:r>
      <w:r w:rsidR="0073079E" w:rsidRPr="5634E4A1">
        <w:rPr>
          <w:lang w:val="en-US"/>
        </w:rPr>
        <w:t>11.1</w:t>
      </w:r>
      <w:r w:rsidRPr="5634E4A1">
        <w:rPr>
          <w:lang w:val="en-US"/>
        </w:rPr>
        <w:t xml:space="preserve"> billion to N</w:t>
      </w:r>
      <w:r w:rsidR="00287E78" w:rsidRPr="5634E4A1">
        <w:rPr>
          <w:lang w:val="en-US"/>
        </w:rPr>
        <w:t xml:space="preserve">ew </w:t>
      </w:r>
      <w:r w:rsidRPr="5634E4A1">
        <w:rPr>
          <w:lang w:val="en-US"/>
        </w:rPr>
        <w:t>S</w:t>
      </w:r>
      <w:r w:rsidR="00287E78" w:rsidRPr="5634E4A1">
        <w:rPr>
          <w:lang w:val="en-US"/>
        </w:rPr>
        <w:t xml:space="preserve">outh </w:t>
      </w:r>
      <w:r w:rsidRPr="5634E4A1">
        <w:rPr>
          <w:lang w:val="en-US"/>
        </w:rPr>
        <w:t>W</w:t>
      </w:r>
      <w:r w:rsidR="00287E78" w:rsidRPr="5634E4A1">
        <w:rPr>
          <w:lang w:val="en-US"/>
        </w:rPr>
        <w:t>ales</w:t>
      </w:r>
      <w:r w:rsidRPr="5634E4A1">
        <w:rPr>
          <w:lang w:val="en-US"/>
        </w:rPr>
        <w:t>’ infrastructure program over the four years to 2028-29.</w:t>
      </w:r>
    </w:p>
    <w:p w14:paraId="634A758B" w14:textId="77777777" w:rsidR="008B4055" w:rsidRDefault="008B4055" w:rsidP="003F21C3">
      <w:pPr>
        <w:pStyle w:val="BodyText"/>
      </w:pPr>
      <w:r w:rsidRPr="000E7F93">
        <w:t>Key project funding details include:</w:t>
      </w:r>
    </w:p>
    <w:p w14:paraId="48C266DF" w14:textId="7262F066" w:rsidR="009D2A35" w:rsidRPr="006A2614" w:rsidRDefault="004D7A26" w:rsidP="003F21C3">
      <w:pPr>
        <w:pStyle w:val="Bullet1"/>
        <w:rPr>
          <w:lang w:val="en-AU"/>
        </w:rPr>
      </w:pPr>
      <w:r w:rsidRPr="006A2614">
        <w:rPr>
          <w:lang w:val="en-AU"/>
        </w:rPr>
        <w:t>$500</w:t>
      </w:r>
      <w:r w:rsidR="00522DD9" w:rsidRPr="006A2614">
        <w:rPr>
          <w:lang w:val="en-AU"/>
        </w:rPr>
        <w:t>.0</w:t>
      </w:r>
      <w:r w:rsidRPr="006A2614">
        <w:rPr>
          <w:lang w:val="en-AU"/>
        </w:rPr>
        <w:t xml:space="preserve"> million to upgrade Fifteenth Avenue</w:t>
      </w:r>
      <w:r w:rsidR="001951F2" w:rsidRPr="006A2614">
        <w:rPr>
          <w:lang w:val="en-AU"/>
        </w:rPr>
        <w:t xml:space="preserve"> in Western Sydney, connecting Western Sydney International Airport, the Aerotropolis, Bradfield City Centre and Liverpool</w:t>
      </w:r>
      <w:r w:rsidR="009A21C0" w:rsidRPr="006A2614">
        <w:rPr>
          <w:lang w:val="en-AU"/>
        </w:rPr>
        <w:t xml:space="preserve">. This will </w:t>
      </w:r>
      <w:r w:rsidR="001951F2" w:rsidRPr="006A2614">
        <w:rPr>
          <w:lang w:val="en-AU"/>
        </w:rPr>
        <w:t xml:space="preserve">enable faster and easier travel and improve </w:t>
      </w:r>
      <w:r w:rsidR="0002173E" w:rsidRPr="006A2614">
        <w:rPr>
          <w:lang w:val="en-AU"/>
        </w:rPr>
        <w:t>liveability</w:t>
      </w:r>
      <w:r w:rsidR="001951F2" w:rsidRPr="006A2614">
        <w:rPr>
          <w:lang w:val="en-AU"/>
        </w:rPr>
        <w:t xml:space="preserve"> for people living in Liverpool and nearby areas</w:t>
      </w:r>
    </w:p>
    <w:p w14:paraId="7201A845" w14:textId="58AD6B9E" w:rsidR="005E4F36" w:rsidRPr="006A2614" w:rsidRDefault="005E4F36" w:rsidP="003F21C3">
      <w:pPr>
        <w:pStyle w:val="Bullet1"/>
        <w:rPr>
          <w:lang w:val="en-AU"/>
        </w:rPr>
      </w:pPr>
      <w:r w:rsidRPr="006A2614">
        <w:rPr>
          <w:lang w:val="en-AU"/>
        </w:rPr>
        <w:t>$250</w:t>
      </w:r>
      <w:r w:rsidR="00522DD9" w:rsidRPr="006A2614">
        <w:rPr>
          <w:lang w:val="en-AU"/>
        </w:rPr>
        <w:t>.0</w:t>
      </w:r>
      <w:r w:rsidRPr="006A2614">
        <w:rPr>
          <w:lang w:val="en-AU"/>
        </w:rPr>
        <w:t xml:space="preserve"> million for </w:t>
      </w:r>
      <w:r w:rsidR="001951F2" w:rsidRPr="006A2614">
        <w:rPr>
          <w:lang w:val="en-AU"/>
        </w:rPr>
        <w:t>Mona Vale Road</w:t>
      </w:r>
      <w:r w:rsidRPr="006A2614">
        <w:rPr>
          <w:lang w:val="en-AU"/>
        </w:rPr>
        <w:t xml:space="preserve"> </w:t>
      </w:r>
      <w:r w:rsidR="001A2E22" w:rsidRPr="006A2614">
        <w:rPr>
          <w:lang w:val="en-AU"/>
        </w:rPr>
        <w:t>upgrade</w:t>
      </w:r>
    </w:p>
    <w:p w14:paraId="5F9DB5A3" w14:textId="64C01376" w:rsidR="00001066" w:rsidRPr="006A2614" w:rsidRDefault="0017184E" w:rsidP="003F21C3">
      <w:pPr>
        <w:pStyle w:val="Bullet1"/>
        <w:rPr>
          <w:lang w:val="en-AU"/>
        </w:rPr>
      </w:pPr>
      <w:r w:rsidRPr="006A2614">
        <w:rPr>
          <w:lang w:val="en-AU"/>
        </w:rPr>
        <w:t>$</w:t>
      </w:r>
      <w:r w:rsidR="00001066" w:rsidRPr="006A2614">
        <w:rPr>
          <w:lang w:val="en-AU"/>
        </w:rPr>
        <w:t>115</w:t>
      </w:r>
      <w:r w:rsidR="00522DD9" w:rsidRPr="006A2614">
        <w:rPr>
          <w:lang w:val="en-AU"/>
        </w:rPr>
        <w:t>.0</w:t>
      </w:r>
      <w:r w:rsidR="00001066" w:rsidRPr="006A2614">
        <w:rPr>
          <w:lang w:val="en-AU"/>
        </w:rPr>
        <w:t xml:space="preserve"> million to upgrade Terrigal Drive</w:t>
      </w:r>
    </w:p>
    <w:p w14:paraId="17F8F76D" w14:textId="37B78EE1" w:rsidR="0070688C" w:rsidRPr="006A2614" w:rsidRDefault="0070688C" w:rsidP="003F21C3">
      <w:pPr>
        <w:pStyle w:val="Bullet1"/>
        <w:rPr>
          <w:lang w:val="en-AU"/>
        </w:rPr>
      </w:pPr>
      <w:r w:rsidRPr="006A2614">
        <w:rPr>
          <w:lang w:val="en-AU"/>
        </w:rPr>
        <w:t>$110</w:t>
      </w:r>
      <w:r w:rsidR="0009742B" w:rsidRPr="006A2614">
        <w:rPr>
          <w:lang w:val="en-AU"/>
        </w:rPr>
        <w:t>.0</w:t>
      </w:r>
      <w:r w:rsidRPr="006A2614">
        <w:rPr>
          <w:lang w:val="en-AU"/>
        </w:rPr>
        <w:t xml:space="preserve"> million to progress the next stage of upgrades to Henry Lawson Drive</w:t>
      </w:r>
    </w:p>
    <w:p w14:paraId="03953E39" w14:textId="5B34C6BA" w:rsidR="0009742B" w:rsidRPr="006A2614" w:rsidRDefault="0009742B" w:rsidP="003F21C3">
      <w:pPr>
        <w:pStyle w:val="Bullet1"/>
        <w:rPr>
          <w:lang w:val="en-AU"/>
        </w:rPr>
      </w:pPr>
      <w:r w:rsidRPr="006A2614">
        <w:rPr>
          <w:lang w:val="en-AU"/>
        </w:rPr>
        <w:t xml:space="preserve">$100.0 million to deliver a </w:t>
      </w:r>
      <w:r w:rsidR="00CF781E" w:rsidRPr="006A2614">
        <w:rPr>
          <w:lang w:val="en-AU"/>
        </w:rPr>
        <w:t>W</w:t>
      </w:r>
      <w:r w:rsidRPr="006A2614">
        <w:rPr>
          <w:lang w:val="en-AU"/>
        </w:rPr>
        <w:t xml:space="preserve">estbound </w:t>
      </w:r>
      <w:r w:rsidR="00CF781E" w:rsidRPr="006A2614">
        <w:rPr>
          <w:lang w:val="en-AU"/>
        </w:rPr>
        <w:t>O</w:t>
      </w:r>
      <w:r w:rsidRPr="006A2614">
        <w:rPr>
          <w:lang w:val="en-AU"/>
        </w:rPr>
        <w:t xml:space="preserve">verpass </w:t>
      </w:r>
      <w:r w:rsidR="00427C68" w:rsidRPr="006A2614">
        <w:rPr>
          <w:lang w:val="en-AU"/>
        </w:rPr>
        <w:t xml:space="preserve">on the New England Highway at Maitland Station. </w:t>
      </w:r>
    </w:p>
    <w:p w14:paraId="4A697B2E" w14:textId="77777777" w:rsidR="00D428A6" w:rsidRDefault="00D428A6">
      <w:pPr>
        <w:spacing w:before="360" w:after="120"/>
        <w:ind w:left="851" w:hanging="851"/>
        <w:rPr>
          <w:rFonts w:ascii="Public Sans" w:hAnsi="Public Sans"/>
          <w:bCs/>
          <w:i/>
          <w:color w:val="000000" w:themeColor="text1"/>
          <w:kern w:val="28"/>
          <w:sz w:val="22"/>
          <w:szCs w:val="22"/>
          <w:lang w:val="en-AU"/>
        </w:rPr>
      </w:pPr>
      <w:r>
        <w:br w:type="page"/>
      </w:r>
    </w:p>
    <w:p w14:paraId="32A4297A" w14:textId="586C363C" w:rsidR="008B4055" w:rsidRPr="00925CCD" w:rsidRDefault="008B4055" w:rsidP="009C163F">
      <w:pPr>
        <w:pStyle w:val="Chart8X"/>
      </w:pPr>
      <w:r>
        <w:lastRenderedPageBreak/>
        <w:t xml:space="preserve">Australian Government </w:t>
      </w:r>
      <w:r w:rsidR="47F12B52">
        <w:t>c</w:t>
      </w:r>
      <w:r>
        <w:t xml:space="preserve">ontribution to the State </w:t>
      </w:r>
      <w:r w:rsidR="7BBB30A2">
        <w:t>c</w:t>
      </w:r>
      <w:r>
        <w:t xml:space="preserve">apital </w:t>
      </w:r>
      <w:r w:rsidR="61403BDD">
        <w:t>p</w:t>
      </w:r>
      <w:r>
        <w:t>rogram</w:t>
      </w:r>
      <w:r w:rsidR="3A3C087C">
        <w:t>,</w:t>
      </w:r>
      <w:r>
        <w:t xml:space="preserve"> 2017-18 to </w:t>
      </w:r>
      <w:r w:rsidR="009F0E28">
        <w:t>2028</w:t>
      </w:r>
      <w:r w:rsidR="005A0239">
        <w:noBreakHyphen/>
      </w:r>
      <w:r>
        <w:t xml:space="preserve">29 </w:t>
      </w:r>
    </w:p>
    <w:p w14:paraId="256BB46C" w14:textId="4E0DD641" w:rsidR="001851AF" w:rsidRPr="00925CCD" w:rsidRDefault="008779CB" w:rsidP="003343AF">
      <w:pPr>
        <w:pStyle w:val="Chart8X"/>
        <w:numPr>
          <w:ilvl w:val="0"/>
          <w:numId w:val="0"/>
        </w:numPr>
        <w:ind w:left="360" w:hanging="360"/>
      </w:pPr>
      <w:r>
        <w:rPr>
          <w:noProof/>
        </w:rPr>
        <w:drawing>
          <wp:inline distT="0" distB="0" distL="0" distR="0" wp14:anchorId="03E153F5" wp14:editId="116A80E4">
            <wp:extent cx="6120765" cy="2653665"/>
            <wp:effectExtent l="0" t="0" r="0" b="0"/>
            <wp:docPr id="1625000896" name="Chart 1" descr="Chart 1.6: Australian Government contribution to the State capital program, 2017-18 to 2028 29 ">
              <a:extLst xmlns:a="http://schemas.openxmlformats.org/drawingml/2006/main">
                <a:ext uri="{FF2B5EF4-FFF2-40B4-BE49-F238E27FC236}">
                  <a16:creationId xmlns:a16="http://schemas.microsoft.com/office/drawing/2014/main" id="{4D8E0592-11A7-1292-C35F-F025D62517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E854C4" w14:textId="77777777" w:rsidR="008B4055" w:rsidRPr="00925CCD" w:rsidRDefault="008B4055" w:rsidP="003343AF">
      <w:pPr>
        <w:pStyle w:val="81Heading2"/>
        <w:ind w:left="851" w:hanging="851"/>
        <w:outlineLvl w:val="1"/>
      </w:pPr>
      <w:bookmarkStart w:id="6" w:name="_Toc481587894"/>
      <w:bookmarkStart w:id="7" w:name="_Toc481587890"/>
      <w:r w:rsidRPr="00925CCD">
        <w:t>Existing assets and maintenance program</w:t>
      </w:r>
      <w:bookmarkEnd w:id="6"/>
    </w:p>
    <w:p w14:paraId="7508B65F" w14:textId="77777777" w:rsidR="008B4055" w:rsidRDefault="008B4055" w:rsidP="000E5048">
      <w:pPr>
        <w:pStyle w:val="Heading3"/>
      </w:pPr>
      <w:r w:rsidRPr="00925CCD">
        <w:t xml:space="preserve">Existing assets </w:t>
      </w:r>
    </w:p>
    <w:p w14:paraId="7493E3CF" w14:textId="4352B896" w:rsidR="00C0298A" w:rsidRDefault="00BA1EF0" w:rsidP="003F21C3">
      <w:pPr>
        <w:pStyle w:val="BodyText"/>
      </w:pPr>
      <w:r w:rsidRPr="5634E4A1">
        <w:rPr>
          <w:lang w:val="en-US"/>
        </w:rPr>
        <w:t>Government i</w:t>
      </w:r>
      <w:r w:rsidR="00C0298A" w:rsidRPr="5634E4A1">
        <w:rPr>
          <w:lang w:val="en-US"/>
        </w:rPr>
        <w:t xml:space="preserve">nfrastructure </w:t>
      </w:r>
      <w:r w:rsidRPr="5634E4A1">
        <w:rPr>
          <w:lang w:val="en-US"/>
        </w:rPr>
        <w:t>includes</w:t>
      </w:r>
      <w:r w:rsidR="00C0298A" w:rsidRPr="5634E4A1">
        <w:rPr>
          <w:lang w:val="en-US"/>
        </w:rPr>
        <w:t xml:space="preserve"> the roads, bridges, energy networks, schools, hospitals, water and emergency services, wharves and boating facilities that modern communities in cities and towns across N</w:t>
      </w:r>
      <w:r w:rsidR="000C01B9" w:rsidRPr="5634E4A1">
        <w:rPr>
          <w:lang w:val="en-US"/>
        </w:rPr>
        <w:t>ew South Wales</w:t>
      </w:r>
      <w:r w:rsidR="00C0298A" w:rsidRPr="5634E4A1">
        <w:rPr>
          <w:lang w:val="en-US"/>
        </w:rPr>
        <w:t xml:space="preserve"> need to function. Infrastructure also covers parks, community facilities, local footpaths, stormwater drainage and traffic management. </w:t>
      </w:r>
    </w:p>
    <w:p w14:paraId="65967FAF" w14:textId="2CFCE02A" w:rsidR="00BE7B42" w:rsidRDefault="00BE7B42" w:rsidP="003F21C3">
      <w:pPr>
        <w:pStyle w:val="BodyText"/>
      </w:pPr>
      <w:r w:rsidRPr="5634E4A1">
        <w:rPr>
          <w:lang w:val="en-US"/>
        </w:rPr>
        <w:t xml:space="preserve">The Government’s asset base plays a critical role in the provision of high-quality services. Asset management by agencies is the cornerstone of a sustainable infrastructure portfolio. It enhances the reliability, efficiency, resilience and longevity of critical infrastructure, equipment and systems necessary for services provided to the community. </w:t>
      </w:r>
    </w:p>
    <w:p w14:paraId="447C40F8" w14:textId="70062E10" w:rsidR="00C0298A" w:rsidRDefault="00C0298A" w:rsidP="003F21C3">
      <w:pPr>
        <w:pStyle w:val="BodyText"/>
      </w:pPr>
      <w:r w:rsidRPr="5634E4A1">
        <w:rPr>
          <w:lang w:val="en-US"/>
        </w:rPr>
        <w:t>The Government continues to support and maintain the existing asset base to ensure critical infrastructure is reliable, safe and efficient for the people of New South Wales. This includes:</w:t>
      </w:r>
    </w:p>
    <w:p w14:paraId="2B5F4532" w14:textId="556C638A" w:rsidR="00C0298A" w:rsidRPr="006A2614" w:rsidRDefault="00C0298A" w:rsidP="003F21C3">
      <w:pPr>
        <w:pStyle w:val="Bullet1"/>
        <w:rPr>
          <w:lang w:val="en-AU"/>
        </w:rPr>
      </w:pPr>
      <w:r w:rsidRPr="006A2614">
        <w:rPr>
          <w:lang w:val="en-AU"/>
        </w:rPr>
        <w:t>$</w:t>
      </w:r>
      <w:r w:rsidR="00E57473">
        <w:rPr>
          <w:lang w:val="en-AU"/>
        </w:rPr>
        <w:t>58</w:t>
      </w:r>
      <w:r w:rsidRPr="006A2614">
        <w:rPr>
          <w:lang w:val="en-AU"/>
        </w:rPr>
        <w:t xml:space="preserve">.9 million </w:t>
      </w:r>
      <w:r w:rsidR="50BA706E" w:rsidRPr="006A2614">
        <w:rPr>
          <w:lang w:val="en-AU"/>
        </w:rPr>
        <w:t>over four years</w:t>
      </w:r>
      <w:r w:rsidRPr="006A2614">
        <w:rPr>
          <w:lang w:val="en-AU"/>
        </w:rPr>
        <w:t xml:space="preserve"> for essential infrastructure upgrades to the historic Pyrmont Bridge</w:t>
      </w:r>
    </w:p>
    <w:p w14:paraId="11302D66" w14:textId="3B34B858" w:rsidR="5C535582" w:rsidRPr="006A2614" w:rsidRDefault="5C535582" w:rsidP="007D65FC">
      <w:pPr>
        <w:pStyle w:val="Bullet1"/>
        <w:rPr>
          <w:rFonts w:eastAsia="Public Sans" w:cs="Public Sans"/>
          <w:szCs w:val="22"/>
          <w:lang w:val="en-AU"/>
        </w:rPr>
      </w:pPr>
      <w:r w:rsidRPr="006A2614">
        <w:rPr>
          <w:lang w:val="en-AU"/>
        </w:rPr>
        <w:t>$34.5 million for upgrades to the Downing Centre and John Maddison Tower</w:t>
      </w:r>
      <w:r w:rsidR="008A2348" w:rsidRPr="006A2614">
        <w:rPr>
          <w:lang w:val="en-AU"/>
        </w:rPr>
        <w:t>.</w:t>
      </w:r>
    </w:p>
    <w:p w14:paraId="18FC4952" w14:textId="6E414153" w:rsidR="008B4055" w:rsidRDefault="008B4055" w:rsidP="003F21C3">
      <w:pPr>
        <w:pStyle w:val="BodyText"/>
        <w:rPr>
          <w:rFonts w:eastAsiaTheme="minorEastAsia"/>
        </w:rPr>
      </w:pPr>
      <w:r w:rsidRPr="2C1BA5D6">
        <w:t xml:space="preserve">Table </w:t>
      </w:r>
      <w:r w:rsidR="00CD0FA2">
        <w:t>1</w:t>
      </w:r>
      <w:r w:rsidRPr="2C1BA5D6">
        <w:t>.</w:t>
      </w:r>
      <w:r w:rsidR="000D4D48">
        <w:t>4</w:t>
      </w:r>
      <w:r w:rsidR="000D4D48" w:rsidRPr="2C1BA5D6">
        <w:t xml:space="preserve"> </w:t>
      </w:r>
      <w:r w:rsidRPr="2C1BA5D6">
        <w:t xml:space="preserve">shows </w:t>
      </w:r>
      <w:r w:rsidR="00A604C8">
        <w:t>how</w:t>
      </w:r>
      <w:r w:rsidRPr="2C1BA5D6">
        <w:t xml:space="preserve"> the State’s asset base will grow </w:t>
      </w:r>
      <w:r w:rsidR="00881A3C">
        <w:t>from</w:t>
      </w:r>
      <w:r w:rsidRPr="2C1BA5D6">
        <w:t xml:space="preserve"> the Government’s </w:t>
      </w:r>
      <w:r w:rsidR="00755094">
        <w:t>i</w:t>
      </w:r>
      <w:r w:rsidRPr="2C1BA5D6">
        <w:t xml:space="preserve">nfrastructure </w:t>
      </w:r>
      <w:r w:rsidR="32C3E13E" w:rsidRPr="44592693">
        <w:t>investment</w:t>
      </w:r>
      <w:r w:rsidRPr="2C1BA5D6">
        <w:t>.</w:t>
      </w:r>
    </w:p>
    <w:p w14:paraId="7FC19BBA" w14:textId="1320302F" w:rsidR="008B4055" w:rsidRDefault="008B4055" w:rsidP="008B4055">
      <w:pPr>
        <w:pStyle w:val="Table8X"/>
      </w:pPr>
      <w:r w:rsidRPr="00925CCD">
        <w:t>State owned physical assets: value by sector</w:t>
      </w:r>
      <w:r w:rsidRPr="00C613B0">
        <w:rPr>
          <w:vertAlign w:val="superscript"/>
        </w:rPr>
        <w:t>(a)(b)</w:t>
      </w:r>
      <w:r w:rsidRPr="00C613B0">
        <w:rPr>
          <w:highlight w:val="yellow"/>
          <w:vertAlign w:val="superscript"/>
        </w:rPr>
        <w:t xml:space="preserve"> </w:t>
      </w:r>
    </w:p>
    <w:tbl>
      <w:tblPr>
        <w:tblW w:w="9655" w:type="dxa"/>
        <w:tblLayout w:type="fixed"/>
        <w:tblLook w:val="04A0" w:firstRow="1" w:lastRow="0" w:firstColumn="1" w:lastColumn="0" w:noHBand="0" w:noVBand="1"/>
        <w:tblCaption w:val="Table 1.4: State owned physical assets: value by sector"/>
      </w:tblPr>
      <w:tblGrid>
        <w:gridCol w:w="4111"/>
        <w:gridCol w:w="1108"/>
        <w:gridCol w:w="1109"/>
        <w:gridCol w:w="1109"/>
        <w:gridCol w:w="1109"/>
        <w:gridCol w:w="1109"/>
      </w:tblGrid>
      <w:tr w:rsidR="00984D96" w:rsidRPr="00D3550E" w14:paraId="433C13FE" w14:textId="77777777">
        <w:trPr>
          <w:trHeight w:val="283"/>
        </w:trPr>
        <w:tc>
          <w:tcPr>
            <w:tcW w:w="4111" w:type="dxa"/>
            <w:tcBorders>
              <w:top w:val="nil"/>
              <w:left w:val="nil"/>
              <w:bottom w:val="nil"/>
              <w:right w:val="nil"/>
            </w:tcBorders>
            <w:shd w:val="clear" w:color="auto" w:fill="EBEBEB"/>
            <w:vAlign w:val="bottom"/>
          </w:tcPr>
          <w:p w14:paraId="418019B8"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 </w:t>
            </w:r>
          </w:p>
        </w:tc>
        <w:tc>
          <w:tcPr>
            <w:tcW w:w="1108" w:type="dxa"/>
            <w:tcBorders>
              <w:top w:val="nil"/>
              <w:left w:val="nil"/>
              <w:bottom w:val="nil"/>
              <w:right w:val="nil"/>
            </w:tcBorders>
            <w:shd w:val="clear" w:color="auto" w:fill="EBEBEB"/>
          </w:tcPr>
          <w:p w14:paraId="6A677817" w14:textId="567FF1FA" w:rsidR="008B4055" w:rsidRPr="006A2614" w:rsidRDefault="008661EB">
            <w:pPr>
              <w:jc w:val="center"/>
              <w:rPr>
                <w:rFonts w:ascii="Arial" w:hAnsi="Arial" w:cs="Arial"/>
                <w:sz w:val="18"/>
                <w:szCs w:val="18"/>
                <w:lang w:eastAsia="en-AU"/>
              </w:rPr>
            </w:pPr>
            <w:r>
              <w:rPr>
                <w:rFonts w:ascii="Public Sans" w:hAnsi="Public Sans" w:cs="Calibri"/>
                <w:sz w:val="18"/>
                <w:szCs w:val="18"/>
              </w:rPr>
              <w:t>2022</w:t>
            </w:r>
          </w:p>
        </w:tc>
        <w:tc>
          <w:tcPr>
            <w:tcW w:w="1109" w:type="dxa"/>
            <w:tcBorders>
              <w:top w:val="nil"/>
              <w:left w:val="nil"/>
              <w:bottom w:val="nil"/>
              <w:right w:val="nil"/>
            </w:tcBorders>
            <w:shd w:val="clear" w:color="auto" w:fill="EBEBEB"/>
          </w:tcPr>
          <w:p w14:paraId="1E76F8CD" w14:textId="0572DA5E" w:rsidR="008B4055" w:rsidRPr="006A2614" w:rsidRDefault="008661EB">
            <w:pPr>
              <w:jc w:val="center"/>
              <w:rPr>
                <w:rFonts w:ascii="Arial" w:hAnsi="Arial" w:cs="Arial"/>
                <w:sz w:val="18"/>
                <w:szCs w:val="18"/>
                <w:lang w:eastAsia="en-AU"/>
              </w:rPr>
            </w:pPr>
            <w:r>
              <w:rPr>
                <w:rFonts w:ascii="Public Sans" w:hAnsi="Public Sans" w:cs="Calibri"/>
                <w:sz w:val="18"/>
                <w:szCs w:val="18"/>
              </w:rPr>
              <w:t>2023</w:t>
            </w:r>
          </w:p>
        </w:tc>
        <w:tc>
          <w:tcPr>
            <w:tcW w:w="1109" w:type="dxa"/>
            <w:tcBorders>
              <w:top w:val="nil"/>
              <w:left w:val="nil"/>
              <w:right w:val="nil"/>
            </w:tcBorders>
            <w:shd w:val="clear" w:color="auto" w:fill="EBEBEB"/>
          </w:tcPr>
          <w:p w14:paraId="5533A045" w14:textId="222FF3C2" w:rsidR="008B4055" w:rsidRPr="006A2614" w:rsidRDefault="008661EB">
            <w:pPr>
              <w:jc w:val="center"/>
              <w:rPr>
                <w:rFonts w:ascii="Arial" w:hAnsi="Arial" w:cs="Arial"/>
                <w:sz w:val="18"/>
                <w:szCs w:val="18"/>
                <w:lang w:eastAsia="en-AU"/>
              </w:rPr>
            </w:pPr>
            <w:r>
              <w:rPr>
                <w:rFonts w:ascii="Public Sans" w:hAnsi="Public Sans" w:cs="Calibri"/>
                <w:sz w:val="18"/>
                <w:szCs w:val="18"/>
              </w:rPr>
              <w:t>2024</w:t>
            </w:r>
          </w:p>
        </w:tc>
        <w:tc>
          <w:tcPr>
            <w:tcW w:w="1109" w:type="dxa"/>
            <w:tcBorders>
              <w:top w:val="nil"/>
              <w:left w:val="nil"/>
              <w:right w:val="nil"/>
            </w:tcBorders>
            <w:shd w:val="clear" w:color="auto" w:fill="EBEBEB"/>
          </w:tcPr>
          <w:p w14:paraId="38986211" w14:textId="24A72861" w:rsidR="008B4055" w:rsidRPr="006A2614" w:rsidRDefault="008661EB">
            <w:pPr>
              <w:jc w:val="center"/>
              <w:rPr>
                <w:rFonts w:ascii="Arial" w:hAnsi="Arial" w:cs="Arial"/>
                <w:sz w:val="18"/>
                <w:szCs w:val="18"/>
                <w:lang w:eastAsia="en-AU"/>
              </w:rPr>
            </w:pPr>
            <w:r>
              <w:rPr>
                <w:rFonts w:ascii="Public Sans" w:hAnsi="Public Sans" w:cs="Calibri"/>
                <w:sz w:val="18"/>
                <w:szCs w:val="18"/>
              </w:rPr>
              <w:t>2025</w:t>
            </w:r>
          </w:p>
        </w:tc>
        <w:tc>
          <w:tcPr>
            <w:tcW w:w="1109" w:type="dxa"/>
            <w:tcBorders>
              <w:top w:val="nil"/>
              <w:left w:val="nil"/>
              <w:right w:val="nil"/>
            </w:tcBorders>
            <w:shd w:val="clear" w:color="auto" w:fill="EBEBEB"/>
          </w:tcPr>
          <w:p w14:paraId="48F6E856" w14:textId="3BC4CEFB" w:rsidR="008B4055" w:rsidRPr="006A2614" w:rsidRDefault="008661EB">
            <w:pPr>
              <w:jc w:val="center"/>
              <w:rPr>
                <w:rFonts w:ascii="Arial" w:hAnsi="Arial" w:cs="Arial"/>
                <w:sz w:val="18"/>
                <w:szCs w:val="18"/>
                <w:lang w:eastAsia="en-AU"/>
              </w:rPr>
            </w:pPr>
            <w:r>
              <w:rPr>
                <w:rFonts w:ascii="Public Sans" w:hAnsi="Public Sans" w:cs="Calibri"/>
                <w:sz w:val="18"/>
                <w:szCs w:val="18"/>
              </w:rPr>
              <w:t>2026</w:t>
            </w:r>
          </w:p>
        </w:tc>
      </w:tr>
      <w:tr w:rsidR="008B4055" w:rsidRPr="00D3550E" w14:paraId="24205EB3" w14:textId="77777777">
        <w:trPr>
          <w:trHeight w:val="283"/>
        </w:trPr>
        <w:tc>
          <w:tcPr>
            <w:tcW w:w="4111" w:type="dxa"/>
            <w:tcBorders>
              <w:top w:val="nil"/>
              <w:left w:val="nil"/>
              <w:bottom w:val="nil"/>
              <w:right w:val="nil"/>
            </w:tcBorders>
            <w:shd w:val="clear" w:color="auto" w:fill="EBEBEB"/>
            <w:vAlign w:val="bottom"/>
          </w:tcPr>
          <w:p w14:paraId="72D7CE90"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As at 30 June</w:t>
            </w:r>
          </w:p>
        </w:tc>
        <w:tc>
          <w:tcPr>
            <w:tcW w:w="1108" w:type="dxa"/>
            <w:tcBorders>
              <w:top w:val="nil"/>
              <w:left w:val="nil"/>
              <w:bottom w:val="nil"/>
              <w:right w:val="nil"/>
            </w:tcBorders>
            <w:shd w:val="clear" w:color="auto" w:fill="EBEBEB"/>
            <w:vAlign w:val="bottom"/>
          </w:tcPr>
          <w:p w14:paraId="5C1C5B9A"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Actual</w:t>
            </w:r>
          </w:p>
        </w:tc>
        <w:tc>
          <w:tcPr>
            <w:tcW w:w="1109" w:type="dxa"/>
            <w:tcBorders>
              <w:top w:val="nil"/>
              <w:left w:val="nil"/>
              <w:bottom w:val="nil"/>
              <w:right w:val="nil"/>
            </w:tcBorders>
            <w:shd w:val="clear" w:color="auto" w:fill="EBEBEB"/>
            <w:vAlign w:val="bottom"/>
          </w:tcPr>
          <w:p w14:paraId="46F3155C"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Actual</w:t>
            </w:r>
          </w:p>
        </w:tc>
        <w:tc>
          <w:tcPr>
            <w:tcW w:w="1109" w:type="dxa"/>
            <w:tcBorders>
              <w:top w:val="nil"/>
              <w:left w:val="nil"/>
              <w:right w:val="nil"/>
            </w:tcBorders>
            <w:shd w:val="clear" w:color="auto" w:fill="EBEBEB"/>
            <w:vAlign w:val="bottom"/>
          </w:tcPr>
          <w:p w14:paraId="76875245"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Actual</w:t>
            </w:r>
          </w:p>
        </w:tc>
        <w:tc>
          <w:tcPr>
            <w:tcW w:w="1109" w:type="dxa"/>
            <w:tcBorders>
              <w:top w:val="nil"/>
              <w:left w:val="nil"/>
              <w:right w:val="nil"/>
            </w:tcBorders>
            <w:shd w:val="clear" w:color="auto" w:fill="EBEBEB"/>
            <w:vAlign w:val="bottom"/>
          </w:tcPr>
          <w:p w14:paraId="406C17D4"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Revised</w:t>
            </w:r>
          </w:p>
        </w:tc>
        <w:tc>
          <w:tcPr>
            <w:tcW w:w="1109" w:type="dxa"/>
            <w:tcBorders>
              <w:top w:val="nil"/>
              <w:left w:val="nil"/>
              <w:right w:val="nil"/>
            </w:tcBorders>
            <w:shd w:val="clear" w:color="auto" w:fill="EBEBEB"/>
            <w:vAlign w:val="bottom"/>
          </w:tcPr>
          <w:p w14:paraId="0DDAF61D"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Budget</w:t>
            </w:r>
          </w:p>
        </w:tc>
      </w:tr>
      <w:tr w:rsidR="008B4055" w:rsidRPr="00D3550E" w14:paraId="0790CD44" w14:textId="77777777">
        <w:trPr>
          <w:trHeight w:val="283"/>
        </w:trPr>
        <w:tc>
          <w:tcPr>
            <w:tcW w:w="4111" w:type="dxa"/>
            <w:tcBorders>
              <w:top w:val="nil"/>
              <w:left w:val="nil"/>
              <w:bottom w:val="nil"/>
              <w:right w:val="nil"/>
            </w:tcBorders>
            <w:shd w:val="clear" w:color="auto" w:fill="EBEBEB"/>
            <w:vAlign w:val="bottom"/>
            <w:hideMark/>
          </w:tcPr>
          <w:p w14:paraId="08DDBA4B"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 </w:t>
            </w:r>
          </w:p>
        </w:tc>
        <w:tc>
          <w:tcPr>
            <w:tcW w:w="1108" w:type="dxa"/>
            <w:tcBorders>
              <w:top w:val="nil"/>
              <w:left w:val="nil"/>
              <w:bottom w:val="nil"/>
              <w:right w:val="nil"/>
            </w:tcBorders>
            <w:shd w:val="clear" w:color="auto" w:fill="EBEBEB"/>
            <w:vAlign w:val="bottom"/>
            <w:hideMark/>
          </w:tcPr>
          <w:p w14:paraId="3D408ABD"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$m</w:t>
            </w:r>
          </w:p>
        </w:tc>
        <w:tc>
          <w:tcPr>
            <w:tcW w:w="1109" w:type="dxa"/>
            <w:tcBorders>
              <w:top w:val="nil"/>
              <w:left w:val="nil"/>
              <w:bottom w:val="nil"/>
              <w:right w:val="nil"/>
            </w:tcBorders>
            <w:shd w:val="clear" w:color="auto" w:fill="EBEBEB"/>
            <w:vAlign w:val="bottom"/>
            <w:hideMark/>
          </w:tcPr>
          <w:p w14:paraId="7017570A"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$m</w:t>
            </w:r>
          </w:p>
        </w:tc>
        <w:tc>
          <w:tcPr>
            <w:tcW w:w="1109" w:type="dxa"/>
            <w:tcBorders>
              <w:top w:val="nil"/>
              <w:left w:val="nil"/>
              <w:right w:val="nil"/>
            </w:tcBorders>
            <w:shd w:val="clear" w:color="auto" w:fill="EBEBEB"/>
            <w:vAlign w:val="bottom"/>
            <w:hideMark/>
          </w:tcPr>
          <w:p w14:paraId="4A73076E"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$m</w:t>
            </w:r>
          </w:p>
        </w:tc>
        <w:tc>
          <w:tcPr>
            <w:tcW w:w="1109" w:type="dxa"/>
            <w:tcBorders>
              <w:top w:val="nil"/>
              <w:left w:val="nil"/>
              <w:right w:val="nil"/>
            </w:tcBorders>
            <w:shd w:val="clear" w:color="auto" w:fill="EBEBEB"/>
            <w:vAlign w:val="bottom"/>
            <w:hideMark/>
          </w:tcPr>
          <w:p w14:paraId="39F0D6E9"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$m</w:t>
            </w:r>
          </w:p>
        </w:tc>
        <w:tc>
          <w:tcPr>
            <w:tcW w:w="1109" w:type="dxa"/>
            <w:tcBorders>
              <w:top w:val="nil"/>
              <w:left w:val="nil"/>
              <w:right w:val="nil"/>
            </w:tcBorders>
            <w:shd w:val="clear" w:color="auto" w:fill="EBEBEB"/>
            <w:vAlign w:val="bottom"/>
            <w:hideMark/>
          </w:tcPr>
          <w:p w14:paraId="67717B37" w14:textId="77777777" w:rsidR="008B4055" w:rsidRPr="006A2614" w:rsidRDefault="008B4055">
            <w:pPr>
              <w:jc w:val="center"/>
              <w:rPr>
                <w:rFonts w:ascii="Arial" w:hAnsi="Arial" w:cs="Arial"/>
                <w:sz w:val="18"/>
                <w:szCs w:val="18"/>
                <w:lang w:eastAsia="en-AU"/>
              </w:rPr>
            </w:pPr>
            <w:r w:rsidRPr="00D3550E">
              <w:rPr>
                <w:rFonts w:ascii="Public Sans" w:hAnsi="Public Sans" w:cs="Calibri"/>
                <w:sz w:val="18"/>
                <w:szCs w:val="18"/>
              </w:rPr>
              <w:t>$m</w:t>
            </w:r>
          </w:p>
        </w:tc>
      </w:tr>
      <w:tr w:rsidR="008B4055" w:rsidRPr="00D3550E" w14:paraId="686F6218" w14:textId="77777777">
        <w:trPr>
          <w:trHeight w:val="283"/>
        </w:trPr>
        <w:tc>
          <w:tcPr>
            <w:tcW w:w="4111" w:type="dxa"/>
            <w:tcBorders>
              <w:top w:val="nil"/>
              <w:left w:val="nil"/>
              <w:bottom w:val="nil"/>
              <w:right w:val="nil"/>
            </w:tcBorders>
            <w:noWrap/>
            <w:vAlign w:val="center"/>
            <w:hideMark/>
          </w:tcPr>
          <w:p w14:paraId="591F6CD6" w14:textId="77777777" w:rsidR="008B4055" w:rsidRPr="006A2614" w:rsidRDefault="008B4055">
            <w:pPr>
              <w:rPr>
                <w:rFonts w:ascii="Arial" w:hAnsi="Arial" w:cs="Arial"/>
                <w:sz w:val="18"/>
                <w:szCs w:val="18"/>
                <w:lang w:eastAsia="en-AU"/>
              </w:rPr>
            </w:pPr>
            <w:r w:rsidRPr="00D3550E">
              <w:rPr>
                <w:rFonts w:ascii="Public Sans" w:hAnsi="Public Sans" w:cs="Calibri"/>
                <w:sz w:val="16"/>
                <w:szCs w:val="16"/>
              </w:rPr>
              <w:t>General Government Sector</w:t>
            </w:r>
          </w:p>
        </w:tc>
        <w:tc>
          <w:tcPr>
            <w:tcW w:w="1108" w:type="dxa"/>
            <w:tcBorders>
              <w:top w:val="nil"/>
              <w:left w:val="nil"/>
              <w:bottom w:val="nil"/>
              <w:right w:val="nil"/>
            </w:tcBorders>
            <w:noWrap/>
            <w:vAlign w:val="bottom"/>
            <w:hideMark/>
          </w:tcPr>
          <w:p w14:paraId="259F445B" w14:textId="32B3106A"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30</w:t>
            </w:r>
            <w:r w:rsidR="00FB32F7">
              <w:rPr>
                <w:rFonts w:ascii="Public Sans" w:hAnsi="Public Sans" w:cs="Calibri"/>
                <w:sz w:val="16"/>
                <w:szCs w:val="16"/>
              </w:rPr>
              <w:t>1</w:t>
            </w:r>
            <w:r>
              <w:rPr>
                <w:rFonts w:ascii="Public Sans" w:hAnsi="Public Sans" w:cs="Calibri"/>
                <w:sz w:val="16"/>
                <w:szCs w:val="16"/>
              </w:rPr>
              <w:t>,</w:t>
            </w:r>
            <w:r w:rsidR="00FB32F7">
              <w:rPr>
                <w:rFonts w:ascii="Public Sans" w:hAnsi="Public Sans" w:cs="Calibri"/>
                <w:sz w:val="16"/>
                <w:szCs w:val="16"/>
              </w:rPr>
              <w:t>420</w:t>
            </w:r>
          </w:p>
        </w:tc>
        <w:tc>
          <w:tcPr>
            <w:tcW w:w="1109" w:type="dxa"/>
            <w:tcBorders>
              <w:top w:val="nil"/>
              <w:left w:val="nil"/>
              <w:bottom w:val="nil"/>
              <w:right w:val="nil"/>
            </w:tcBorders>
            <w:noWrap/>
            <w:vAlign w:val="bottom"/>
            <w:hideMark/>
          </w:tcPr>
          <w:p w14:paraId="6A0E1F23" w14:textId="7DAFAF3C"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349,717</w:t>
            </w:r>
          </w:p>
        </w:tc>
        <w:tc>
          <w:tcPr>
            <w:tcW w:w="1109" w:type="dxa"/>
            <w:tcBorders>
              <w:top w:val="nil"/>
              <w:left w:val="nil"/>
              <w:bottom w:val="nil"/>
              <w:right w:val="nil"/>
            </w:tcBorders>
            <w:shd w:val="clear" w:color="auto" w:fill="FFFFFF"/>
            <w:noWrap/>
            <w:vAlign w:val="bottom"/>
            <w:hideMark/>
          </w:tcPr>
          <w:p w14:paraId="3ACD77E1" w14:textId="29ECFE3B"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378,870</w:t>
            </w:r>
          </w:p>
        </w:tc>
        <w:tc>
          <w:tcPr>
            <w:tcW w:w="1109" w:type="dxa"/>
            <w:tcBorders>
              <w:top w:val="nil"/>
              <w:left w:val="nil"/>
              <w:bottom w:val="nil"/>
              <w:right w:val="nil"/>
            </w:tcBorders>
            <w:shd w:val="clear" w:color="auto" w:fill="FFFFFF"/>
            <w:noWrap/>
            <w:vAlign w:val="bottom"/>
            <w:hideMark/>
          </w:tcPr>
          <w:p w14:paraId="777CB75F" w14:textId="0D59BB4E"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399,072</w:t>
            </w:r>
          </w:p>
        </w:tc>
        <w:tc>
          <w:tcPr>
            <w:tcW w:w="1109" w:type="dxa"/>
            <w:tcBorders>
              <w:top w:val="nil"/>
              <w:left w:val="nil"/>
              <w:bottom w:val="nil"/>
              <w:right w:val="nil"/>
            </w:tcBorders>
            <w:shd w:val="clear" w:color="auto" w:fill="F2F2F2"/>
            <w:noWrap/>
            <w:vAlign w:val="bottom"/>
            <w:hideMark/>
          </w:tcPr>
          <w:p w14:paraId="0693A00A" w14:textId="52D21500"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413,234</w:t>
            </w:r>
          </w:p>
        </w:tc>
      </w:tr>
      <w:tr w:rsidR="008B4055" w:rsidRPr="00D3550E" w14:paraId="73FC7B23" w14:textId="77777777">
        <w:trPr>
          <w:trHeight w:val="283"/>
        </w:trPr>
        <w:tc>
          <w:tcPr>
            <w:tcW w:w="4111" w:type="dxa"/>
            <w:tcBorders>
              <w:top w:val="nil"/>
              <w:left w:val="nil"/>
              <w:bottom w:val="single" w:sz="4" w:space="0" w:color="auto"/>
              <w:right w:val="nil"/>
            </w:tcBorders>
            <w:noWrap/>
            <w:vAlign w:val="center"/>
            <w:hideMark/>
          </w:tcPr>
          <w:p w14:paraId="141310FB" w14:textId="77777777" w:rsidR="008B4055" w:rsidRPr="006A2614" w:rsidRDefault="008B4055">
            <w:pPr>
              <w:rPr>
                <w:rFonts w:ascii="Arial" w:hAnsi="Arial" w:cs="Arial"/>
                <w:sz w:val="18"/>
                <w:szCs w:val="18"/>
                <w:lang w:eastAsia="en-AU"/>
              </w:rPr>
            </w:pPr>
            <w:r w:rsidRPr="00D3550E">
              <w:rPr>
                <w:rFonts w:ascii="Public Sans" w:hAnsi="Public Sans" w:cs="Calibri"/>
                <w:sz w:val="16"/>
                <w:szCs w:val="16"/>
              </w:rPr>
              <w:t>Public Non-Financial Corporations</w:t>
            </w:r>
          </w:p>
        </w:tc>
        <w:tc>
          <w:tcPr>
            <w:tcW w:w="1108" w:type="dxa"/>
            <w:tcBorders>
              <w:top w:val="nil"/>
              <w:left w:val="nil"/>
              <w:bottom w:val="single" w:sz="4" w:space="0" w:color="auto"/>
              <w:right w:val="nil"/>
            </w:tcBorders>
            <w:noWrap/>
            <w:vAlign w:val="bottom"/>
            <w:hideMark/>
          </w:tcPr>
          <w:p w14:paraId="3A7F33FE" w14:textId="21988641"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134,465</w:t>
            </w:r>
          </w:p>
        </w:tc>
        <w:tc>
          <w:tcPr>
            <w:tcW w:w="1109" w:type="dxa"/>
            <w:tcBorders>
              <w:top w:val="nil"/>
              <w:left w:val="nil"/>
              <w:bottom w:val="single" w:sz="4" w:space="0" w:color="auto"/>
              <w:right w:val="nil"/>
            </w:tcBorders>
            <w:noWrap/>
            <w:vAlign w:val="bottom"/>
            <w:hideMark/>
          </w:tcPr>
          <w:p w14:paraId="3CFA63B3" w14:textId="40A33960"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138,836</w:t>
            </w:r>
          </w:p>
        </w:tc>
        <w:tc>
          <w:tcPr>
            <w:tcW w:w="1109" w:type="dxa"/>
            <w:tcBorders>
              <w:top w:val="nil"/>
              <w:left w:val="nil"/>
              <w:bottom w:val="single" w:sz="4" w:space="0" w:color="auto"/>
              <w:right w:val="nil"/>
            </w:tcBorders>
            <w:shd w:val="clear" w:color="auto" w:fill="FFFFFF"/>
            <w:noWrap/>
            <w:vAlign w:val="bottom"/>
            <w:hideMark/>
          </w:tcPr>
          <w:p w14:paraId="6CCFAE5B" w14:textId="4799467F"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174,373</w:t>
            </w:r>
          </w:p>
        </w:tc>
        <w:tc>
          <w:tcPr>
            <w:tcW w:w="1109" w:type="dxa"/>
            <w:tcBorders>
              <w:top w:val="nil"/>
              <w:left w:val="nil"/>
              <w:bottom w:val="single" w:sz="4" w:space="0" w:color="auto"/>
              <w:right w:val="nil"/>
            </w:tcBorders>
            <w:shd w:val="clear" w:color="auto" w:fill="FFFFFF"/>
            <w:noWrap/>
            <w:vAlign w:val="bottom"/>
            <w:hideMark/>
          </w:tcPr>
          <w:p w14:paraId="7660BB36" w14:textId="4BE53379"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179,014</w:t>
            </w:r>
          </w:p>
        </w:tc>
        <w:tc>
          <w:tcPr>
            <w:tcW w:w="1109" w:type="dxa"/>
            <w:tcBorders>
              <w:top w:val="nil"/>
              <w:left w:val="nil"/>
              <w:bottom w:val="single" w:sz="4" w:space="0" w:color="auto"/>
              <w:right w:val="nil"/>
            </w:tcBorders>
            <w:shd w:val="clear" w:color="auto" w:fill="F2F2F2"/>
            <w:noWrap/>
            <w:vAlign w:val="bottom"/>
            <w:hideMark/>
          </w:tcPr>
          <w:p w14:paraId="77FB0505" w14:textId="6B2D880D" w:rsidR="008B4055" w:rsidRPr="006A2614" w:rsidRDefault="009B50FD">
            <w:pPr>
              <w:ind w:right="13"/>
              <w:jc w:val="right"/>
              <w:rPr>
                <w:rFonts w:ascii="Arial" w:hAnsi="Arial" w:cs="Arial"/>
                <w:sz w:val="18"/>
                <w:szCs w:val="18"/>
                <w:lang w:eastAsia="en-AU"/>
              </w:rPr>
            </w:pPr>
            <w:r>
              <w:rPr>
                <w:rFonts w:ascii="Public Sans" w:hAnsi="Public Sans" w:cs="Calibri"/>
                <w:sz w:val="16"/>
                <w:szCs w:val="16"/>
              </w:rPr>
              <w:t>186,395</w:t>
            </w:r>
          </w:p>
        </w:tc>
      </w:tr>
      <w:tr w:rsidR="008B4055" w:rsidRPr="00D3550E" w14:paraId="43826355" w14:textId="77777777">
        <w:trPr>
          <w:trHeight w:val="340"/>
        </w:trPr>
        <w:tc>
          <w:tcPr>
            <w:tcW w:w="4111" w:type="dxa"/>
            <w:tcBorders>
              <w:top w:val="single" w:sz="4" w:space="0" w:color="auto"/>
              <w:left w:val="nil"/>
              <w:bottom w:val="single" w:sz="4" w:space="0" w:color="auto"/>
              <w:right w:val="nil"/>
            </w:tcBorders>
            <w:noWrap/>
            <w:vAlign w:val="center"/>
            <w:hideMark/>
          </w:tcPr>
          <w:p w14:paraId="380CE454" w14:textId="77777777" w:rsidR="008B4055" w:rsidRPr="006A2614" w:rsidRDefault="008B4055">
            <w:pPr>
              <w:rPr>
                <w:rFonts w:ascii="Arial" w:hAnsi="Arial" w:cs="Arial"/>
                <w:b/>
                <w:sz w:val="18"/>
                <w:szCs w:val="18"/>
                <w:lang w:eastAsia="en-AU"/>
              </w:rPr>
            </w:pPr>
            <w:r w:rsidRPr="00D3550E">
              <w:rPr>
                <w:rFonts w:ascii="Public Sans" w:hAnsi="Public Sans" w:cs="Calibri"/>
                <w:b/>
                <w:bCs/>
                <w:sz w:val="16"/>
                <w:szCs w:val="16"/>
              </w:rPr>
              <w:t>Total</w:t>
            </w:r>
            <w:r w:rsidRPr="00D3550E">
              <w:rPr>
                <w:rFonts w:ascii="Public Sans" w:hAnsi="Public Sans" w:cs="Calibri"/>
                <w:b/>
                <w:bCs/>
                <w:sz w:val="18"/>
                <w:szCs w:val="18"/>
                <w:vertAlign w:val="superscript"/>
              </w:rPr>
              <w:t>(c)</w:t>
            </w:r>
          </w:p>
        </w:tc>
        <w:tc>
          <w:tcPr>
            <w:tcW w:w="1108" w:type="dxa"/>
            <w:tcBorders>
              <w:top w:val="single" w:sz="4" w:space="0" w:color="auto"/>
              <w:left w:val="nil"/>
              <w:bottom w:val="single" w:sz="4" w:space="0" w:color="auto"/>
              <w:right w:val="nil"/>
            </w:tcBorders>
            <w:noWrap/>
            <w:vAlign w:val="bottom"/>
            <w:hideMark/>
          </w:tcPr>
          <w:p w14:paraId="61A032AB" w14:textId="3F760316" w:rsidR="008B4055" w:rsidRPr="006A2614" w:rsidRDefault="009B50FD">
            <w:pPr>
              <w:ind w:right="13"/>
              <w:jc w:val="right"/>
              <w:rPr>
                <w:rFonts w:ascii="Arial" w:hAnsi="Arial" w:cs="Arial"/>
                <w:b/>
                <w:sz w:val="18"/>
                <w:szCs w:val="18"/>
                <w:lang w:eastAsia="en-AU"/>
              </w:rPr>
            </w:pPr>
            <w:r>
              <w:rPr>
                <w:rFonts w:ascii="Public Sans" w:hAnsi="Public Sans" w:cs="Calibri"/>
                <w:b/>
                <w:bCs/>
                <w:sz w:val="16"/>
                <w:szCs w:val="16"/>
              </w:rPr>
              <w:t>43</w:t>
            </w:r>
            <w:r w:rsidR="00381C16">
              <w:rPr>
                <w:rFonts w:ascii="Public Sans" w:hAnsi="Public Sans" w:cs="Calibri"/>
                <w:b/>
                <w:bCs/>
                <w:sz w:val="16"/>
                <w:szCs w:val="16"/>
              </w:rPr>
              <w:t>5</w:t>
            </w:r>
            <w:r>
              <w:rPr>
                <w:rFonts w:ascii="Public Sans" w:hAnsi="Public Sans" w:cs="Calibri"/>
                <w:b/>
                <w:bCs/>
                <w:sz w:val="16"/>
                <w:szCs w:val="16"/>
              </w:rPr>
              <w:t>,</w:t>
            </w:r>
            <w:r w:rsidR="00381C16">
              <w:rPr>
                <w:rFonts w:ascii="Public Sans" w:hAnsi="Public Sans" w:cs="Calibri"/>
                <w:b/>
                <w:bCs/>
                <w:sz w:val="16"/>
                <w:szCs w:val="16"/>
              </w:rPr>
              <w:t>8</w:t>
            </w:r>
            <w:r>
              <w:rPr>
                <w:rFonts w:ascii="Public Sans" w:hAnsi="Public Sans" w:cs="Calibri"/>
                <w:b/>
                <w:bCs/>
                <w:sz w:val="16"/>
                <w:szCs w:val="16"/>
              </w:rPr>
              <w:t>85</w:t>
            </w:r>
          </w:p>
        </w:tc>
        <w:tc>
          <w:tcPr>
            <w:tcW w:w="1109" w:type="dxa"/>
            <w:tcBorders>
              <w:top w:val="single" w:sz="4" w:space="0" w:color="auto"/>
              <w:left w:val="nil"/>
              <w:bottom w:val="single" w:sz="4" w:space="0" w:color="auto"/>
              <w:right w:val="nil"/>
            </w:tcBorders>
            <w:noWrap/>
            <w:vAlign w:val="bottom"/>
            <w:hideMark/>
          </w:tcPr>
          <w:p w14:paraId="59C4C740" w14:textId="3DD12E0A" w:rsidR="008B4055" w:rsidRPr="006A2614" w:rsidRDefault="009B50FD">
            <w:pPr>
              <w:ind w:right="13"/>
              <w:jc w:val="right"/>
              <w:rPr>
                <w:rFonts w:ascii="Arial" w:hAnsi="Arial" w:cs="Arial"/>
                <w:b/>
                <w:sz w:val="18"/>
                <w:szCs w:val="18"/>
                <w:lang w:eastAsia="en-AU"/>
              </w:rPr>
            </w:pPr>
            <w:r>
              <w:rPr>
                <w:rFonts w:ascii="Public Sans" w:hAnsi="Public Sans" w:cs="Calibri"/>
                <w:b/>
                <w:bCs/>
                <w:sz w:val="16"/>
                <w:szCs w:val="16"/>
              </w:rPr>
              <w:t>488,600</w:t>
            </w:r>
          </w:p>
        </w:tc>
        <w:tc>
          <w:tcPr>
            <w:tcW w:w="1109" w:type="dxa"/>
            <w:tcBorders>
              <w:top w:val="single" w:sz="4" w:space="0" w:color="auto"/>
              <w:left w:val="nil"/>
              <w:bottom w:val="single" w:sz="4" w:space="0" w:color="auto"/>
              <w:right w:val="nil"/>
            </w:tcBorders>
            <w:noWrap/>
            <w:vAlign w:val="bottom"/>
            <w:hideMark/>
          </w:tcPr>
          <w:p w14:paraId="6D1CC920" w14:textId="57462E97" w:rsidR="008B4055" w:rsidRPr="006A2614" w:rsidRDefault="009B50FD">
            <w:pPr>
              <w:ind w:right="13"/>
              <w:jc w:val="right"/>
              <w:rPr>
                <w:rFonts w:ascii="Arial" w:hAnsi="Arial" w:cs="Arial"/>
                <w:b/>
                <w:sz w:val="18"/>
                <w:szCs w:val="18"/>
                <w:lang w:eastAsia="en-AU"/>
              </w:rPr>
            </w:pPr>
            <w:r>
              <w:rPr>
                <w:rFonts w:ascii="Public Sans" w:hAnsi="Public Sans" w:cs="Calibri"/>
                <w:b/>
                <w:bCs/>
                <w:sz w:val="16"/>
                <w:szCs w:val="16"/>
              </w:rPr>
              <w:t>553,765</w:t>
            </w:r>
          </w:p>
        </w:tc>
        <w:tc>
          <w:tcPr>
            <w:tcW w:w="1109" w:type="dxa"/>
            <w:tcBorders>
              <w:top w:val="single" w:sz="4" w:space="0" w:color="auto"/>
              <w:left w:val="nil"/>
              <w:bottom w:val="single" w:sz="4" w:space="0" w:color="auto"/>
              <w:right w:val="nil"/>
            </w:tcBorders>
            <w:shd w:val="clear" w:color="auto" w:fill="FFFFFF"/>
            <w:noWrap/>
            <w:vAlign w:val="bottom"/>
            <w:hideMark/>
          </w:tcPr>
          <w:p w14:paraId="045CB987" w14:textId="6442424F" w:rsidR="008B4055" w:rsidRPr="006A2614" w:rsidRDefault="009B50FD">
            <w:pPr>
              <w:ind w:right="13"/>
              <w:jc w:val="right"/>
              <w:rPr>
                <w:rFonts w:ascii="Arial" w:hAnsi="Arial" w:cs="Arial"/>
                <w:b/>
                <w:sz w:val="18"/>
                <w:szCs w:val="18"/>
                <w:lang w:eastAsia="en-AU"/>
              </w:rPr>
            </w:pPr>
            <w:r>
              <w:rPr>
                <w:rFonts w:ascii="Public Sans" w:hAnsi="Public Sans" w:cs="Calibri"/>
                <w:b/>
                <w:bCs/>
                <w:sz w:val="16"/>
                <w:szCs w:val="16"/>
              </w:rPr>
              <w:t>578,827</w:t>
            </w:r>
          </w:p>
        </w:tc>
        <w:tc>
          <w:tcPr>
            <w:tcW w:w="1109" w:type="dxa"/>
            <w:tcBorders>
              <w:top w:val="single" w:sz="4" w:space="0" w:color="auto"/>
              <w:left w:val="nil"/>
              <w:bottom w:val="single" w:sz="4" w:space="0" w:color="auto"/>
              <w:right w:val="nil"/>
            </w:tcBorders>
            <w:shd w:val="clear" w:color="auto" w:fill="F2F2F2"/>
            <w:noWrap/>
            <w:vAlign w:val="bottom"/>
            <w:hideMark/>
          </w:tcPr>
          <w:p w14:paraId="74462EE8" w14:textId="7DF661EE" w:rsidR="008B4055" w:rsidRPr="006A2614" w:rsidRDefault="009B50FD">
            <w:pPr>
              <w:ind w:right="13"/>
              <w:jc w:val="right"/>
              <w:rPr>
                <w:rFonts w:ascii="Arial" w:hAnsi="Arial" w:cs="Arial"/>
                <w:b/>
                <w:sz w:val="18"/>
                <w:szCs w:val="18"/>
                <w:lang w:eastAsia="en-AU"/>
              </w:rPr>
            </w:pPr>
            <w:r>
              <w:rPr>
                <w:rFonts w:ascii="Public Sans" w:hAnsi="Public Sans" w:cs="Calibri"/>
                <w:b/>
                <w:bCs/>
                <w:sz w:val="16"/>
                <w:szCs w:val="16"/>
              </w:rPr>
              <w:t>600,354</w:t>
            </w:r>
          </w:p>
        </w:tc>
      </w:tr>
    </w:tbl>
    <w:p w14:paraId="4E3D6303" w14:textId="77777777" w:rsidR="00D11083" w:rsidRPr="000D55A6" w:rsidRDefault="00D11083" w:rsidP="000D55A6">
      <w:pPr>
        <w:rPr>
          <w:sz w:val="6"/>
          <w:szCs w:val="6"/>
        </w:rPr>
      </w:pPr>
    </w:p>
    <w:p w14:paraId="7C2980D4" w14:textId="77777777" w:rsidR="008B4055" w:rsidRPr="007B7AA6" w:rsidRDefault="008B4055" w:rsidP="00AC2C90">
      <w:pPr>
        <w:pStyle w:val="BP3Footnote"/>
        <w:numPr>
          <w:ilvl w:val="0"/>
          <w:numId w:val="95"/>
        </w:numPr>
        <w:spacing w:before="0"/>
      </w:pPr>
      <w:r w:rsidRPr="00C074DC">
        <w:t xml:space="preserve">Net of </w:t>
      </w:r>
      <w:r w:rsidRPr="007B7AA6">
        <w:t>accumulated depreciation.</w:t>
      </w:r>
    </w:p>
    <w:p w14:paraId="5F4033C2" w14:textId="77777777" w:rsidR="008B4055" w:rsidRPr="007B7AA6" w:rsidRDefault="008B4055" w:rsidP="00AC2C90">
      <w:pPr>
        <w:pStyle w:val="BP3Footnote"/>
        <w:numPr>
          <w:ilvl w:val="0"/>
          <w:numId w:val="94"/>
        </w:numPr>
      </w:pPr>
      <w:r w:rsidRPr="00C074DC">
        <w:t>Includes investment properties.</w:t>
      </w:r>
    </w:p>
    <w:p w14:paraId="3D0E854D" w14:textId="77777777" w:rsidR="008B4055" w:rsidRPr="007B7AA6" w:rsidRDefault="008B4055" w:rsidP="00AC2C90">
      <w:pPr>
        <w:pStyle w:val="BP3Footnote"/>
        <w:numPr>
          <w:ilvl w:val="0"/>
          <w:numId w:val="94"/>
        </w:numPr>
      </w:pPr>
      <w:r w:rsidRPr="00C074DC">
        <w:t xml:space="preserve">Consolidated total may not </w:t>
      </w:r>
      <w:r w:rsidRPr="007B7AA6">
        <w:t>equal the sum of the individual sectors due to differences in classification between the individual sectors and the consolidated sector.</w:t>
      </w:r>
    </w:p>
    <w:p w14:paraId="67E680E2" w14:textId="77777777" w:rsidR="002547CA" w:rsidRDefault="002547CA">
      <w:pPr>
        <w:spacing w:before="360" w:after="120"/>
        <w:ind w:left="851" w:hanging="851"/>
        <w:rPr>
          <w:rFonts w:ascii="Public Sans" w:eastAsia="Public Sans" w:hAnsi="Public Sans" w:cs="Arial"/>
          <w:iCs/>
          <w:sz w:val="22"/>
        </w:rPr>
      </w:pPr>
      <w:r>
        <w:br w:type="page"/>
      </w:r>
    </w:p>
    <w:p w14:paraId="40A2364D" w14:textId="2972A92F" w:rsidR="008B4055" w:rsidRPr="00A71D59" w:rsidRDefault="008B4055" w:rsidP="009C163F">
      <w:pPr>
        <w:pStyle w:val="Chart8X"/>
      </w:pPr>
      <w:r w:rsidRPr="5634E4A1">
        <w:rPr>
          <w:lang w:val="en-US"/>
        </w:rPr>
        <w:lastRenderedPageBreak/>
        <w:t>State owned physical assets: value by type, as at 30 June 2024</w:t>
      </w:r>
      <w:r w:rsidR="00C87713" w:rsidRPr="5634E4A1">
        <w:rPr>
          <w:lang w:val="en-US"/>
        </w:rPr>
        <w:t xml:space="preserve"> </w:t>
      </w:r>
    </w:p>
    <w:p w14:paraId="536CC60F" w14:textId="216983BC" w:rsidR="00B91D8E" w:rsidRPr="006A2614" w:rsidRDefault="004B21BC" w:rsidP="003F21C3">
      <w:pPr>
        <w:pStyle w:val="BodyText"/>
      </w:pPr>
      <w:r>
        <w:rPr>
          <w:noProof/>
        </w:rPr>
        <w:drawing>
          <wp:inline distT="0" distB="0" distL="0" distR="0" wp14:anchorId="67EF9604" wp14:editId="79A2BE46">
            <wp:extent cx="6120765" cy="3004820"/>
            <wp:effectExtent l="0" t="0" r="0" b="0"/>
            <wp:docPr id="1498291279" name="Chart 1" descr="Chart 1.7: State owned physical assets: value by type, as at 30 June 2024 ">
              <a:extLst xmlns:a="http://schemas.openxmlformats.org/drawingml/2006/main">
                <a:ext uri="{FF2B5EF4-FFF2-40B4-BE49-F238E27FC236}">
                  <a16:creationId xmlns:a16="http://schemas.microsoft.com/office/drawing/2014/main" id="{8EED54D9-6871-47A7-B566-A6043D6E4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D4E72A" w14:textId="2EBB0755" w:rsidR="008B4055" w:rsidRPr="00925CCD" w:rsidRDefault="008B4055" w:rsidP="003F21C3">
      <w:pPr>
        <w:pStyle w:val="BodyText"/>
      </w:pPr>
      <w:r w:rsidRPr="5634E4A1">
        <w:rPr>
          <w:lang w:val="en-US"/>
        </w:rPr>
        <w:t xml:space="preserve">Infrastructure </w:t>
      </w:r>
      <w:r w:rsidR="008A2348" w:rsidRPr="5634E4A1">
        <w:rPr>
          <w:lang w:val="en-US"/>
        </w:rPr>
        <w:t>s</w:t>
      </w:r>
      <w:r w:rsidRPr="5634E4A1">
        <w:rPr>
          <w:lang w:val="en-US"/>
        </w:rPr>
        <w:t xml:space="preserve">ystems are assets that comprise public facilities and provide essential services. They also enhance the productive capacity of the economy, including roads, bridges, and water infrastructure and distribution works. </w:t>
      </w:r>
    </w:p>
    <w:p w14:paraId="6E6A7062" w14:textId="687E5019" w:rsidR="008B4055" w:rsidRPr="00925CCD" w:rsidRDefault="008B4055" w:rsidP="000E5048">
      <w:pPr>
        <w:pStyle w:val="Heading3"/>
      </w:pPr>
      <w:r w:rsidRPr="00925CCD">
        <w:t>Infrastructure maintenance</w:t>
      </w:r>
    </w:p>
    <w:bookmarkEnd w:id="7"/>
    <w:p w14:paraId="65623FFF" w14:textId="32DF204D" w:rsidR="008B4055" w:rsidRDefault="008B4055" w:rsidP="003F21C3">
      <w:pPr>
        <w:pStyle w:val="BodyText"/>
      </w:pPr>
      <w:r w:rsidRPr="5634E4A1">
        <w:rPr>
          <w:lang w:val="en-US"/>
        </w:rPr>
        <w:t xml:space="preserve">Agencies maintain their physical assets to support the delivery of high-quality services. Ongoing investment in maintenance is vital to ensure the State’s asset base </w:t>
      </w:r>
      <w:r w:rsidR="0080141D" w:rsidRPr="5634E4A1">
        <w:rPr>
          <w:lang w:val="en-US"/>
        </w:rPr>
        <w:t>can</w:t>
      </w:r>
      <w:r w:rsidRPr="5634E4A1">
        <w:rPr>
          <w:lang w:val="en-US"/>
        </w:rPr>
        <w:t xml:space="preserve"> provide the services people need. </w:t>
      </w:r>
    </w:p>
    <w:p w14:paraId="053E05FD" w14:textId="1AFD7150" w:rsidR="008B4055" w:rsidRDefault="008B4055" w:rsidP="003F21C3">
      <w:pPr>
        <w:pStyle w:val="BodyText"/>
      </w:pPr>
      <w:r w:rsidRPr="5634E4A1">
        <w:rPr>
          <w:lang w:val="en-US"/>
        </w:rPr>
        <w:t xml:space="preserve">Table </w:t>
      </w:r>
      <w:r w:rsidR="00CD0FA2" w:rsidRPr="5634E4A1">
        <w:rPr>
          <w:lang w:val="en-US"/>
        </w:rPr>
        <w:t>1</w:t>
      </w:r>
      <w:r w:rsidRPr="5634E4A1">
        <w:rPr>
          <w:lang w:val="en-US"/>
        </w:rPr>
        <w:t>.</w:t>
      </w:r>
      <w:r w:rsidR="00B23178" w:rsidRPr="5634E4A1">
        <w:rPr>
          <w:lang w:val="en-US"/>
        </w:rPr>
        <w:t xml:space="preserve">5 </w:t>
      </w:r>
      <w:r w:rsidRPr="5634E4A1">
        <w:rPr>
          <w:lang w:val="en-US"/>
        </w:rPr>
        <w:t>shows the forecast maintenance expenditure estimates for the general government and public non</w:t>
      </w:r>
      <w:r w:rsidR="0063306B" w:rsidRPr="5634E4A1">
        <w:rPr>
          <w:lang w:val="en-US"/>
        </w:rPr>
        <w:t>-financial</w:t>
      </w:r>
      <w:r w:rsidRPr="5634E4A1">
        <w:rPr>
          <w:lang w:val="en-US"/>
        </w:rPr>
        <w:t xml:space="preserve"> corporations sectors across the four years to 2028-29. </w:t>
      </w:r>
    </w:p>
    <w:p w14:paraId="3778610D" w14:textId="3F546A95" w:rsidR="008B4055" w:rsidRPr="00642369" w:rsidRDefault="008B4055" w:rsidP="008B4055">
      <w:pPr>
        <w:pStyle w:val="Table8X"/>
      </w:pPr>
      <w:r w:rsidRPr="00642369">
        <w:t>Maintenance expenses</w:t>
      </w:r>
      <w:r w:rsidRPr="00C613B0">
        <w:rPr>
          <w:vertAlign w:val="superscript"/>
        </w:rPr>
        <w:t>(a)</w:t>
      </w:r>
      <w:r w:rsidRPr="00C613B0">
        <w:rPr>
          <w:highlight w:val="yellow"/>
          <w:vertAlign w:val="superscript"/>
        </w:rPr>
        <w:t xml:space="preserve"> </w:t>
      </w:r>
    </w:p>
    <w:tbl>
      <w:tblPr>
        <w:tblW w:w="9659" w:type="dxa"/>
        <w:tblInd w:w="-20" w:type="dxa"/>
        <w:tblLook w:val="04A0" w:firstRow="1" w:lastRow="0" w:firstColumn="1" w:lastColumn="0" w:noHBand="0" w:noVBand="1"/>
        <w:tblCaption w:val="Table 1.5: Maintenance expenses"/>
      </w:tblPr>
      <w:tblGrid>
        <w:gridCol w:w="3564"/>
        <w:gridCol w:w="971"/>
        <w:gridCol w:w="972"/>
        <w:gridCol w:w="978"/>
        <w:gridCol w:w="1048"/>
        <w:gridCol w:w="1134"/>
        <w:gridCol w:w="992"/>
      </w:tblGrid>
      <w:tr w:rsidR="00D61F95" w:rsidRPr="00B535B5" w14:paraId="42305BD6" w14:textId="77777777" w:rsidTr="003540E0">
        <w:trPr>
          <w:trHeight w:val="299"/>
        </w:trPr>
        <w:tc>
          <w:tcPr>
            <w:tcW w:w="3564" w:type="dxa"/>
            <w:tcBorders>
              <w:top w:val="nil"/>
              <w:left w:val="nil"/>
              <w:bottom w:val="nil"/>
              <w:right w:val="nil"/>
            </w:tcBorders>
            <w:shd w:val="clear" w:color="000000" w:fill="EBEBEB"/>
            <w:noWrap/>
            <w:vAlign w:val="bottom"/>
            <w:hideMark/>
          </w:tcPr>
          <w:p w14:paraId="117F2B22"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 </w:t>
            </w:r>
          </w:p>
        </w:tc>
        <w:tc>
          <w:tcPr>
            <w:tcW w:w="1943" w:type="dxa"/>
            <w:gridSpan w:val="2"/>
            <w:tcBorders>
              <w:top w:val="nil"/>
              <w:left w:val="nil"/>
              <w:bottom w:val="nil"/>
              <w:right w:val="nil"/>
            </w:tcBorders>
            <w:shd w:val="clear" w:color="000000" w:fill="EBEBEB"/>
            <w:noWrap/>
            <w:vAlign w:val="bottom"/>
            <w:hideMark/>
          </w:tcPr>
          <w:p w14:paraId="56A68401"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2024-25</w:t>
            </w:r>
          </w:p>
        </w:tc>
        <w:tc>
          <w:tcPr>
            <w:tcW w:w="978" w:type="dxa"/>
            <w:tcBorders>
              <w:top w:val="nil"/>
              <w:left w:val="nil"/>
              <w:bottom w:val="nil"/>
              <w:right w:val="nil"/>
            </w:tcBorders>
            <w:shd w:val="clear" w:color="000000" w:fill="EBEBEB"/>
            <w:noWrap/>
            <w:vAlign w:val="bottom"/>
            <w:hideMark/>
          </w:tcPr>
          <w:p w14:paraId="4D22ED3C"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2025-26</w:t>
            </w:r>
          </w:p>
        </w:tc>
        <w:tc>
          <w:tcPr>
            <w:tcW w:w="1048" w:type="dxa"/>
            <w:tcBorders>
              <w:top w:val="nil"/>
              <w:left w:val="nil"/>
              <w:bottom w:val="nil"/>
              <w:right w:val="nil"/>
            </w:tcBorders>
            <w:shd w:val="clear" w:color="000000" w:fill="EBEBEB"/>
            <w:noWrap/>
            <w:vAlign w:val="bottom"/>
            <w:hideMark/>
          </w:tcPr>
          <w:p w14:paraId="4FF3EC97"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2026-27</w:t>
            </w:r>
          </w:p>
        </w:tc>
        <w:tc>
          <w:tcPr>
            <w:tcW w:w="1134" w:type="dxa"/>
            <w:tcBorders>
              <w:top w:val="nil"/>
              <w:left w:val="nil"/>
              <w:bottom w:val="nil"/>
              <w:right w:val="nil"/>
            </w:tcBorders>
            <w:shd w:val="clear" w:color="000000" w:fill="EBEBEB"/>
            <w:noWrap/>
            <w:vAlign w:val="bottom"/>
            <w:hideMark/>
          </w:tcPr>
          <w:p w14:paraId="5BC835DE"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2027-28</w:t>
            </w:r>
          </w:p>
        </w:tc>
        <w:tc>
          <w:tcPr>
            <w:tcW w:w="992" w:type="dxa"/>
            <w:tcBorders>
              <w:top w:val="nil"/>
              <w:left w:val="nil"/>
              <w:bottom w:val="nil"/>
              <w:right w:val="nil"/>
            </w:tcBorders>
            <w:shd w:val="clear" w:color="000000" w:fill="EBEBEB"/>
            <w:noWrap/>
            <w:vAlign w:val="bottom"/>
            <w:hideMark/>
          </w:tcPr>
          <w:p w14:paraId="2AC77DC3"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2028-29</w:t>
            </w:r>
          </w:p>
        </w:tc>
      </w:tr>
      <w:tr w:rsidR="00D61F95" w:rsidRPr="00B535B5" w14:paraId="1AFF7A99" w14:textId="77777777" w:rsidTr="00B77F72">
        <w:trPr>
          <w:trHeight w:val="299"/>
        </w:trPr>
        <w:tc>
          <w:tcPr>
            <w:tcW w:w="3564" w:type="dxa"/>
            <w:tcBorders>
              <w:top w:val="nil"/>
              <w:left w:val="nil"/>
              <w:bottom w:val="nil"/>
              <w:right w:val="nil"/>
            </w:tcBorders>
            <w:shd w:val="clear" w:color="000000" w:fill="EBEBEB"/>
            <w:noWrap/>
            <w:vAlign w:val="bottom"/>
            <w:hideMark/>
          </w:tcPr>
          <w:p w14:paraId="543FEAD8"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 </w:t>
            </w:r>
          </w:p>
        </w:tc>
        <w:tc>
          <w:tcPr>
            <w:tcW w:w="971" w:type="dxa"/>
            <w:tcBorders>
              <w:top w:val="nil"/>
              <w:left w:val="nil"/>
              <w:bottom w:val="nil"/>
              <w:right w:val="nil"/>
            </w:tcBorders>
            <w:shd w:val="clear" w:color="000000" w:fill="EBEBEB"/>
            <w:noWrap/>
            <w:vAlign w:val="bottom"/>
            <w:hideMark/>
          </w:tcPr>
          <w:p w14:paraId="332152F6"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Budget</w:t>
            </w:r>
          </w:p>
        </w:tc>
        <w:tc>
          <w:tcPr>
            <w:tcW w:w="972" w:type="dxa"/>
            <w:tcBorders>
              <w:top w:val="nil"/>
              <w:left w:val="nil"/>
              <w:bottom w:val="nil"/>
              <w:right w:val="nil"/>
            </w:tcBorders>
            <w:shd w:val="clear" w:color="000000" w:fill="EBEBEB"/>
            <w:noWrap/>
            <w:vAlign w:val="bottom"/>
            <w:hideMark/>
          </w:tcPr>
          <w:p w14:paraId="20786FD3"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Actual</w:t>
            </w:r>
          </w:p>
        </w:tc>
        <w:tc>
          <w:tcPr>
            <w:tcW w:w="978" w:type="dxa"/>
            <w:tcBorders>
              <w:top w:val="nil"/>
              <w:left w:val="nil"/>
              <w:bottom w:val="nil"/>
              <w:right w:val="nil"/>
            </w:tcBorders>
            <w:shd w:val="clear" w:color="000000" w:fill="EBEBEB"/>
            <w:noWrap/>
            <w:vAlign w:val="bottom"/>
            <w:hideMark/>
          </w:tcPr>
          <w:p w14:paraId="4766BDEE"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Budget</w:t>
            </w:r>
          </w:p>
        </w:tc>
        <w:tc>
          <w:tcPr>
            <w:tcW w:w="3174" w:type="dxa"/>
            <w:gridSpan w:val="3"/>
            <w:tcBorders>
              <w:top w:val="nil"/>
              <w:left w:val="nil"/>
              <w:bottom w:val="nil"/>
              <w:right w:val="nil"/>
            </w:tcBorders>
            <w:shd w:val="clear" w:color="000000" w:fill="EBEBEB"/>
            <w:noWrap/>
            <w:vAlign w:val="bottom"/>
            <w:hideMark/>
          </w:tcPr>
          <w:p w14:paraId="4B9129DA"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Forward estimates</w:t>
            </w:r>
          </w:p>
        </w:tc>
      </w:tr>
      <w:tr w:rsidR="00D61F95" w:rsidRPr="00B535B5" w14:paraId="66776D67" w14:textId="77777777" w:rsidTr="003540E0">
        <w:trPr>
          <w:trHeight w:val="299"/>
        </w:trPr>
        <w:tc>
          <w:tcPr>
            <w:tcW w:w="3564" w:type="dxa"/>
            <w:tcBorders>
              <w:top w:val="nil"/>
              <w:left w:val="nil"/>
              <w:bottom w:val="nil"/>
              <w:right w:val="nil"/>
            </w:tcBorders>
            <w:shd w:val="clear" w:color="000000" w:fill="EBEBEB"/>
            <w:noWrap/>
            <w:vAlign w:val="bottom"/>
            <w:hideMark/>
          </w:tcPr>
          <w:p w14:paraId="560EF05C"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 </w:t>
            </w:r>
          </w:p>
        </w:tc>
        <w:tc>
          <w:tcPr>
            <w:tcW w:w="971" w:type="dxa"/>
            <w:tcBorders>
              <w:top w:val="nil"/>
              <w:left w:val="nil"/>
              <w:bottom w:val="nil"/>
              <w:right w:val="nil"/>
            </w:tcBorders>
            <w:shd w:val="clear" w:color="000000" w:fill="EBEBEB"/>
            <w:noWrap/>
            <w:vAlign w:val="bottom"/>
            <w:hideMark/>
          </w:tcPr>
          <w:p w14:paraId="1627DCC8"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972" w:type="dxa"/>
            <w:tcBorders>
              <w:top w:val="nil"/>
              <w:left w:val="nil"/>
              <w:bottom w:val="nil"/>
              <w:right w:val="nil"/>
            </w:tcBorders>
            <w:shd w:val="clear" w:color="000000" w:fill="EBEBEB"/>
            <w:noWrap/>
            <w:vAlign w:val="bottom"/>
            <w:hideMark/>
          </w:tcPr>
          <w:p w14:paraId="124D9297"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978" w:type="dxa"/>
            <w:tcBorders>
              <w:top w:val="nil"/>
              <w:left w:val="nil"/>
              <w:bottom w:val="nil"/>
              <w:right w:val="nil"/>
            </w:tcBorders>
            <w:shd w:val="clear" w:color="000000" w:fill="EBEBEB"/>
            <w:noWrap/>
            <w:vAlign w:val="bottom"/>
            <w:hideMark/>
          </w:tcPr>
          <w:p w14:paraId="44FD6B98"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1048" w:type="dxa"/>
            <w:tcBorders>
              <w:top w:val="nil"/>
              <w:left w:val="nil"/>
              <w:bottom w:val="nil"/>
              <w:right w:val="nil"/>
            </w:tcBorders>
            <w:shd w:val="clear" w:color="000000" w:fill="EBEBEB"/>
            <w:noWrap/>
            <w:vAlign w:val="bottom"/>
            <w:hideMark/>
          </w:tcPr>
          <w:p w14:paraId="49157DA9"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1134" w:type="dxa"/>
            <w:tcBorders>
              <w:top w:val="nil"/>
              <w:left w:val="nil"/>
              <w:bottom w:val="nil"/>
              <w:right w:val="nil"/>
            </w:tcBorders>
            <w:shd w:val="clear" w:color="000000" w:fill="EBEBEB"/>
            <w:noWrap/>
            <w:vAlign w:val="bottom"/>
            <w:hideMark/>
          </w:tcPr>
          <w:p w14:paraId="58829542"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c>
          <w:tcPr>
            <w:tcW w:w="992" w:type="dxa"/>
            <w:tcBorders>
              <w:top w:val="nil"/>
              <w:left w:val="nil"/>
              <w:bottom w:val="nil"/>
              <w:right w:val="nil"/>
            </w:tcBorders>
            <w:shd w:val="clear" w:color="000000" w:fill="EBEBEB"/>
            <w:noWrap/>
            <w:vAlign w:val="bottom"/>
            <w:hideMark/>
          </w:tcPr>
          <w:p w14:paraId="24A4EF27" w14:textId="77777777" w:rsidR="00B535B5" w:rsidRPr="006A2614" w:rsidRDefault="00B535B5" w:rsidP="00B535B5">
            <w:pPr>
              <w:jc w:val="center"/>
              <w:rPr>
                <w:rFonts w:ascii="Public Sans" w:hAnsi="Public Sans" w:cs="Calibri"/>
                <w:sz w:val="18"/>
                <w:szCs w:val="18"/>
                <w:lang w:eastAsia="en-AU"/>
              </w:rPr>
            </w:pPr>
            <w:r w:rsidRPr="006A2614">
              <w:rPr>
                <w:rFonts w:ascii="Public Sans" w:hAnsi="Public Sans" w:cs="Calibri"/>
                <w:sz w:val="18"/>
                <w:szCs w:val="18"/>
                <w:lang w:eastAsia="en-AU"/>
              </w:rPr>
              <w:t>$m</w:t>
            </w:r>
          </w:p>
        </w:tc>
      </w:tr>
      <w:tr w:rsidR="00D61F95" w:rsidRPr="00B535B5" w14:paraId="38D2585E" w14:textId="77777777" w:rsidTr="003540E0">
        <w:trPr>
          <w:trHeight w:val="339"/>
        </w:trPr>
        <w:tc>
          <w:tcPr>
            <w:tcW w:w="3564" w:type="dxa"/>
            <w:tcBorders>
              <w:top w:val="nil"/>
              <w:left w:val="nil"/>
              <w:bottom w:val="nil"/>
              <w:right w:val="nil"/>
            </w:tcBorders>
            <w:noWrap/>
            <w:vAlign w:val="bottom"/>
            <w:hideMark/>
          </w:tcPr>
          <w:p w14:paraId="0EACF824" w14:textId="77777777" w:rsidR="00B535B5" w:rsidRPr="006A2614" w:rsidRDefault="00B535B5" w:rsidP="00B535B5">
            <w:pPr>
              <w:rPr>
                <w:rFonts w:ascii="Public Sans" w:hAnsi="Public Sans" w:cs="Calibri"/>
                <w:sz w:val="16"/>
                <w:szCs w:val="16"/>
                <w:lang w:eastAsia="en-AU"/>
              </w:rPr>
            </w:pPr>
            <w:r w:rsidRPr="006A2614">
              <w:rPr>
                <w:rFonts w:ascii="Public Sans" w:hAnsi="Public Sans" w:cs="Calibri"/>
                <w:sz w:val="16"/>
                <w:szCs w:val="16"/>
                <w:lang w:eastAsia="en-AU"/>
              </w:rPr>
              <w:t>General Government Sector</w:t>
            </w:r>
          </w:p>
        </w:tc>
        <w:tc>
          <w:tcPr>
            <w:tcW w:w="971" w:type="dxa"/>
            <w:tcBorders>
              <w:top w:val="nil"/>
              <w:left w:val="nil"/>
              <w:bottom w:val="nil"/>
              <w:right w:val="nil"/>
            </w:tcBorders>
            <w:shd w:val="clear" w:color="000000" w:fill="FFFFFF"/>
            <w:noWrap/>
            <w:vAlign w:val="bottom"/>
            <w:hideMark/>
          </w:tcPr>
          <w:p w14:paraId="1CB829E3"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2,526</w:t>
            </w:r>
          </w:p>
        </w:tc>
        <w:tc>
          <w:tcPr>
            <w:tcW w:w="972" w:type="dxa"/>
            <w:tcBorders>
              <w:top w:val="nil"/>
              <w:left w:val="nil"/>
              <w:bottom w:val="nil"/>
              <w:right w:val="nil"/>
            </w:tcBorders>
            <w:shd w:val="clear" w:color="000000" w:fill="FFFFFF"/>
            <w:noWrap/>
            <w:vAlign w:val="bottom"/>
            <w:hideMark/>
          </w:tcPr>
          <w:p w14:paraId="602BB4C4"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2,631</w:t>
            </w:r>
          </w:p>
        </w:tc>
        <w:tc>
          <w:tcPr>
            <w:tcW w:w="978" w:type="dxa"/>
            <w:tcBorders>
              <w:top w:val="nil"/>
              <w:left w:val="nil"/>
              <w:bottom w:val="nil"/>
              <w:right w:val="nil"/>
            </w:tcBorders>
            <w:shd w:val="clear" w:color="000000" w:fill="FFFFFF"/>
            <w:noWrap/>
            <w:vAlign w:val="bottom"/>
            <w:hideMark/>
          </w:tcPr>
          <w:p w14:paraId="07C2B21A"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2,886</w:t>
            </w:r>
          </w:p>
        </w:tc>
        <w:tc>
          <w:tcPr>
            <w:tcW w:w="1048" w:type="dxa"/>
            <w:tcBorders>
              <w:top w:val="nil"/>
              <w:left w:val="nil"/>
              <w:bottom w:val="nil"/>
              <w:right w:val="nil"/>
            </w:tcBorders>
            <w:shd w:val="clear" w:color="000000" w:fill="FFFFFF"/>
            <w:noWrap/>
            <w:vAlign w:val="bottom"/>
            <w:hideMark/>
          </w:tcPr>
          <w:p w14:paraId="53373C54"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2,948</w:t>
            </w:r>
          </w:p>
        </w:tc>
        <w:tc>
          <w:tcPr>
            <w:tcW w:w="1134" w:type="dxa"/>
            <w:tcBorders>
              <w:top w:val="nil"/>
              <w:left w:val="nil"/>
              <w:bottom w:val="nil"/>
              <w:right w:val="nil"/>
            </w:tcBorders>
            <w:shd w:val="clear" w:color="000000" w:fill="FFFFFF"/>
            <w:noWrap/>
            <w:vAlign w:val="bottom"/>
            <w:hideMark/>
          </w:tcPr>
          <w:p w14:paraId="091234CA"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2,998</w:t>
            </w:r>
          </w:p>
        </w:tc>
        <w:tc>
          <w:tcPr>
            <w:tcW w:w="992" w:type="dxa"/>
            <w:tcBorders>
              <w:top w:val="nil"/>
              <w:left w:val="nil"/>
              <w:bottom w:val="nil"/>
              <w:right w:val="nil"/>
            </w:tcBorders>
            <w:shd w:val="clear" w:color="000000" w:fill="FFFFFF"/>
            <w:noWrap/>
            <w:vAlign w:val="bottom"/>
            <w:hideMark/>
          </w:tcPr>
          <w:p w14:paraId="1A7FEDCC"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3,111</w:t>
            </w:r>
          </w:p>
        </w:tc>
      </w:tr>
      <w:tr w:rsidR="00D61F95" w:rsidRPr="00B535B5" w14:paraId="557F03C0" w14:textId="77777777" w:rsidTr="003540E0">
        <w:trPr>
          <w:trHeight w:val="339"/>
        </w:trPr>
        <w:tc>
          <w:tcPr>
            <w:tcW w:w="3564" w:type="dxa"/>
            <w:tcBorders>
              <w:top w:val="nil"/>
              <w:left w:val="nil"/>
              <w:bottom w:val="nil"/>
              <w:right w:val="nil"/>
            </w:tcBorders>
            <w:noWrap/>
            <w:vAlign w:val="bottom"/>
            <w:hideMark/>
          </w:tcPr>
          <w:p w14:paraId="7894DCE5" w14:textId="77777777" w:rsidR="00B535B5" w:rsidRPr="006A2614" w:rsidRDefault="00B535B5" w:rsidP="00B535B5">
            <w:pPr>
              <w:rPr>
                <w:rFonts w:ascii="Public Sans" w:hAnsi="Public Sans" w:cs="Calibri"/>
                <w:sz w:val="16"/>
                <w:szCs w:val="16"/>
                <w:lang w:eastAsia="en-AU"/>
              </w:rPr>
            </w:pPr>
            <w:r w:rsidRPr="006A2614">
              <w:rPr>
                <w:rFonts w:ascii="Public Sans" w:hAnsi="Public Sans" w:cs="Calibri"/>
                <w:sz w:val="16"/>
                <w:szCs w:val="16"/>
                <w:lang w:eastAsia="en-AU"/>
              </w:rPr>
              <w:t>Public Non-Financial Corporation Sector</w:t>
            </w:r>
          </w:p>
        </w:tc>
        <w:tc>
          <w:tcPr>
            <w:tcW w:w="971" w:type="dxa"/>
            <w:tcBorders>
              <w:top w:val="nil"/>
              <w:left w:val="nil"/>
              <w:bottom w:val="nil"/>
              <w:right w:val="nil"/>
            </w:tcBorders>
            <w:shd w:val="clear" w:color="000000" w:fill="FFFFFF"/>
            <w:noWrap/>
            <w:vAlign w:val="bottom"/>
            <w:hideMark/>
          </w:tcPr>
          <w:p w14:paraId="01EB39BA"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2,894</w:t>
            </w:r>
          </w:p>
        </w:tc>
        <w:tc>
          <w:tcPr>
            <w:tcW w:w="972" w:type="dxa"/>
            <w:tcBorders>
              <w:top w:val="nil"/>
              <w:left w:val="nil"/>
              <w:bottom w:val="nil"/>
              <w:right w:val="nil"/>
            </w:tcBorders>
            <w:shd w:val="clear" w:color="000000" w:fill="FFFFFF"/>
            <w:noWrap/>
            <w:vAlign w:val="bottom"/>
            <w:hideMark/>
          </w:tcPr>
          <w:p w14:paraId="381243DA"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2,835</w:t>
            </w:r>
          </w:p>
        </w:tc>
        <w:tc>
          <w:tcPr>
            <w:tcW w:w="978" w:type="dxa"/>
            <w:tcBorders>
              <w:top w:val="nil"/>
              <w:left w:val="nil"/>
              <w:bottom w:val="nil"/>
              <w:right w:val="nil"/>
            </w:tcBorders>
            <w:shd w:val="clear" w:color="000000" w:fill="FFFFFF"/>
            <w:noWrap/>
            <w:vAlign w:val="bottom"/>
            <w:hideMark/>
          </w:tcPr>
          <w:p w14:paraId="2FC1CD47"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3,011</w:t>
            </w:r>
          </w:p>
        </w:tc>
        <w:tc>
          <w:tcPr>
            <w:tcW w:w="1048" w:type="dxa"/>
            <w:tcBorders>
              <w:top w:val="nil"/>
              <w:left w:val="nil"/>
              <w:bottom w:val="nil"/>
              <w:right w:val="nil"/>
            </w:tcBorders>
            <w:shd w:val="clear" w:color="000000" w:fill="FFFFFF"/>
            <w:noWrap/>
            <w:vAlign w:val="bottom"/>
            <w:hideMark/>
          </w:tcPr>
          <w:p w14:paraId="38ECE76C"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3,021</w:t>
            </w:r>
          </w:p>
        </w:tc>
        <w:tc>
          <w:tcPr>
            <w:tcW w:w="1134" w:type="dxa"/>
            <w:tcBorders>
              <w:top w:val="nil"/>
              <w:left w:val="nil"/>
              <w:bottom w:val="nil"/>
              <w:right w:val="nil"/>
            </w:tcBorders>
            <w:shd w:val="clear" w:color="000000" w:fill="FFFFFF"/>
            <w:noWrap/>
            <w:vAlign w:val="bottom"/>
            <w:hideMark/>
          </w:tcPr>
          <w:p w14:paraId="7376F0C6"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3,012</w:t>
            </w:r>
          </w:p>
        </w:tc>
        <w:tc>
          <w:tcPr>
            <w:tcW w:w="992" w:type="dxa"/>
            <w:tcBorders>
              <w:top w:val="nil"/>
              <w:left w:val="nil"/>
              <w:bottom w:val="nil"/>
              <w:right w:val="nil"/>
            </w:tcBorders>
            <w:shd w:val="clear" w:color="000000" w:fill="FFFFFF"/>
            <w:noWrap/>
            <w:vAlign w:val="bottom"/>
            <w:hideMark/>
          </w:tcPr>
          <w:p w14:paraId="34FFD444" w14:textId="77777777" w:rsidR="00B535B5" w:rsidRPr="006A2614" w:rsidRDefault="00B535B5" w:rsidP="00B535B5">
            <w:pPr>
              <w:ind w:firstLineChars="100" w:firstLine="160"/>
              <w:jc w:val="right"/>
              <w:rPr>
                <w:rFonts w:ascii="Public Sans" w:hAnsi="Public Sans" w:cs="Calibri"/>
                <w:sz w:val="16"/>
                <w:szCs w:val="16"/>
                <w:lang w:eastAsia="en-AU"/>
              </w:rPr>
            </w:pPr>
            <w:r w:rsidRPr="006A2614">
              <w:rPr>
                <w:rFonts w:ascii="Public Sans" w:hAnsi="Public Sans" w:cs="Calibri"/>
                <w:sz w:val="16"/>
                <w:szCs w:val="16"/>
                <w:lang w:eastAsia="en-AU"/>
              </w:rPr>
              <w:t>2,996</w:t>
            </w:r>
          </w:p>
        </w:tc>
      </w:tr>
      <w:tr w:rsidR="004D3AD4" w:rsidRPr="00B535B5" w14:paraId="72D6C2BC" w14:textId="77777777" w:rsidTr="003540E0">
        <w:trPr>
          <w:trHeight w:val="339"/>
        </w:trPr>
        <w:tc>
          <w:tcPr>
            <w:tcW w:w="3564" w:type="dxa"/>
            <w:tcBorders>
              <w:top w:val="single" w:sz="4" w:space="0" w:color="auto"/>
              <w:left w:val="nil"/>
              <w:bottom w:val="single" w:sz="4" w:space="0" w:color="auto"/>
              <w:right w:val="nil"/>
            </w:tcBorders>
            <w:shd w:val="clear" w:color="000000" w:fill="FFFFFF"/>
            <w:noWrap/>
            <w:vAlign w:val="center"/>
            <w:hideMark/>
          </w:tcPr>
          <w:p w14:paraId="04BFCECB" w14:textId="77777777" w:rsidR="00B535B5" w:rsidRPr="006A2614" w:rsidRDefault="00B535B5" w:rsidP="00B535B5">
            <w:pPr>
              <w:rPr>
                <w:rFonts w:ascii="Public Sans" w:hAnsi="Public Sans" w:cs="Calibri"/>
                <w:b/>
                <w:sz w:val="16"/>
                <w:szCs w:val="16"/>
                <w:lang w:eastAsia="en-AU"/>
              </w:rPr>
            </w:pPr>
            <w:r w:rsidRPr="006A2614">
              <w:rPr>
                <w:rFonts w:ascii="Public Sans" w:hAnsi="Public Sans" w:cs="Calibri"/>
                <w:b/>
                <w:sz w:val="16"/>
                <w:szCs w:val="16"/>
                <w:lang w:eastAsia="en-AU"/>
              </w:rPr>
              <w:t>Total</w:t>
            </w:r>
          </w:p>
        </w:tc>
        <w:tc>
          <w:tcPr>
            <w:tcW w:w="971" w:type="dxa"/>
            <w:tcBorders>
              <w:top w:val="single" w:sz="4" w:space="0" w:color="auto"/>
              <w:left w:val="nil"/>
              <w:bottom w:val="single" w:sz="4" w:space="0" w:color="auto"/>
              <w:right w:val="nil"/>
            </w:tcBorders>
            <w:shd w:val="clear" w:color="000000" w:fill="FFFFFF"/>
            <w:noWrap/>
            <w:vAlign w:val="bottom"/>
            <w:hideMark/>
          </w:tcPr>
          <w:p w14:paraId="4D6D06C1" w14:textId="77777777" w:rsidR="00B535B5" w:rsidRPr="006A2614" w:rsidRDefault="00B535B5" w:rsidP="00B535B5">
            <w:pPr>
              <w:ind w:firstLineChars="100" w:firstLine="161"/>
              <w:jc w:val="right"/>
              <w:rPr>
                <w:rFonts w:ascii="Public Sans" w:hAnsi="Public Sans" w:cs="Calibri"/>
                <w:b/>
                <w:sz w:val="16"/>
                <w:szCs w:val="16"/>
                <w:lang w:eastAsia="en-AU"/>
              </w:rPr>
            </w:pPr>
            <w:r w:rsidRPr="006A2614">
              <w:rPr>
                <w:rFonts w:ascii="Public Sans" w:hAnsi="Public Sans" w:cs="Calibri"/>
                <w:b/>
                <w:sz w:val="16"/>
                <w:szCs w:val="16"/>
                <w:lang w:eastAsia="en-AU"/>
              </w:rPr>
              <w:t>5,405</w:t>
            </w:r>
          </w:p>
        </w:tc>
        <w:tc>
          <w:tcPr>
            <w:tcW w:w="972" w:type="dxa"/>
            <w:tcBorders>
              <w:top w:val="single" w:sz="4" w:space="0" w:color="auto"/>
              <w:left w:val="nil"/>
              <w:bottom w:val="single" w:sz="4" w:space="0" w:color="auto"/>
              <w:right w:val="nil"/>
            </w:tcBorders>
            <w:shd w:val="clear" w:color="000000" w:fill="FFFFFF"/>
            <w:noWrap/>
            <w:vAlign w:val="bottom"/>
            <w:hideMark/>
          </w:tcPr>
          <w:p w14:paraId="6AA8FF1D" w14:textId="77777777" w:rsidR="00B535B5" w:rsidRPr="006A2614" w:rsidRDefault="00B535B5" w:rsidP="00B535B5">
            <w:pPr>
              <w:ind w:firstLineChars="100" w:firstLine="161"/>
              <w:jc w:val="right"/>
              <w:rPr>
                <w:rFonts w:ascii="Public Sans" w:hAnsi="Public Sans" w:cs="Calibri"/>
                <w:b/>
                <w:sz w:val="16"/>
                <w:szCs w:val="16"/>
                <w:lang w:eastAsia="en-AU"/>
              </w:rPr>
            </w:pPr>
            <w:r w:rsidRPr="006A2614">
              <w:rPr>
                <w:rFonts w:ascii="Public Sans" w:hAnsi="Public Sans" w:cs="Calibri"/>
                <w:b/>
                <w:sz w:val="16"/>
                <w:szCs w:val="16"/>
                <w:lang w:eastAsia="en-AU"/>
              </w:rPr>
              <w:t>5,468</w:t>
            </w:r>
          </w:p>
        </w:tc>
        <w:tc>
          <w:tcPr>
            <w:tcW w:w="978" w:type="dxa"/>
            <w:tcBorders>
              <w:top w:val="single" w:sz="4" w:space="0" w:color="auto"/>
              <w:left w:val="nil"/>
              <w:bottom w:val="single" w:sz="4" w:space="0" w:color="auto"/>
              <w:right w:val="nil"/>
            </w:tcBorders>
            <w:shd w:val="clear" w:color="000000" w:fill="FFFFFF"/>
            <w:noWrap/>
            <w:vAlign w:val="bottom"/>
            <w:hideMark/>
          </w:tcPr>
          <w:p w14:paraId="704FF60A" w14:textId="77777777" w:rsidR="00B535B5" w:rsidRPr="006A2614" w:rsidRDefault="00B535B5" w:rsidP="00B535B5">
            <w:pPr>
              <w:ind w:firstLineChars="100" w:firstLine="161"/>
              <w:jc w:val="right"/>
              <w:rPr>
                <w:rFonts w:ascii="Public Sans" w:hAnsi="Public Sans" w:cs="Calibri"/>
                <w:b/>
                <w:sz w:val="16"/>
                <w:szCs w:val="16"/>
                <w:lang w:eastAsia="en-AU"/>
              </w:rPr>
            </w:pPr>
            <w:r w:rsidRPr="006A2614">
              <w:rPr>
                <w:rFonts w:ascii="Public Sans" w:hAnsi="Public Sans" w:cs="Calibri"/>
                <w:b/>
                <w:sz w:val="16"/>
                <w:szCs w:val="16"/>
                <w:lang w:eastAsia="en-AU"/>
              </w:rPr>
              <w:t>5,916</w:t>
            </w:r>
          </w:p>
        </w:tc>
        <w:tc>
          <w:tcPr>
            <w:tcW w:w="1048" w:type="dxa"/>
            <w:tcBorders>
              <w:top w:val="single" w:sz="4" w:space="0" w:color="auto"/>
              <w:left w:val="nil"/>
              <w:bottom w:val="single" w:sz="4" w:space="0" w:color="auto"/>
              <w:right w:val="nil"/>
            </w:tcBorders>
            <w:shd w:val="clear" w:color="000000" w:fill="FFFFFF"/>
            <w:noWrap/>
            <w:vAlign w:val="bottom"/>
            <w:hideMark/>
          </w:tcPr>
          <w:p w14:paraId="469EDD29" w14:textId="77777777" w:rsidR="00B535B5" w:rsidRPr="006A2614" w:rsidRDefault="00B535B5" w:rsidP="00B535B5">
            <w:pPr>
              <w:ind w:firstLineChars="100" w:firstLine="161"/>
              <w:jc w:val="right"/>
              <w:rPr>
                <w:rFonts w:ascii="Public Sans" w:hAnsi="Public Sans" w:cs="Calibri"/>
                <w:b/>
                <w:sz w:val="16"/>
                <w:szCs w:val="16"/>
                <w:lang w:eastAsia="en-AU"/>
              </w:rPr>
            </w:pPr>
            <w:r w:rsidRPr="006A2614">
              <w:rPr>
                <w:rFonts w:ascii="Public Sans" w:hAnsi="Public Sans" w:cs="Calibri"/>
                <w:b/>
                <w:sz w:val="16"/>
                <w:szCs w:val="16"/>
                <w:lang w:eastAsia="en-AU"/>
              </w:rPr>
              <w:t>5,983</w:t>
            </w:r>
          </w:p>
        </w:tc>
        <w:tc>
          <w:tcPr>
            <w:tcW w:w="1134" w:type="dxa"/>
            <w:tcBorders>
              <w:top w:val="single" w:sz="4" w:space="0" w:color="auto"/>
              <w:left w:val="nil"/>
              <w:bottom w:val="single" w:sz="4" w:space="0" w:color="auto"/>
              <w:right w:val="nil"/>
            </w:tcBorders>
            <w:shd w:val="clear" w:color="000000" w:fill="FFFFFF"/>
            <w:noWrap/>
            <w:vAlign w:val="bottom"/>
            <w:hideMark/>
          </w:tcPr>
          <w:p w14:paraId="57974DBA" w14:textId="77777777" w:rsidR="00B535B5" w:rsidRPr="006A2614" w:rsidRDefault="00B535B5" w:rsidP="00B535B5">
            <w:pPr>
              <w:ind w:firstLineChars="100" w:firstLine="161"/>
              <w:jc w:val="right"/>
              <w:rPr>
                <w:rFonts w:ascii="Public Sans" w:hAnsi="Public Sans" w:cs="Calibri"/>
                <w:b/>
                <w:sz w:val="16"/>
                <w:szCs w:val="16"/>
                <w:lang w:eastAsia="en-AU"/>
              </w:rPr>
            </w:pPr>
            <w:r w:rsidRPr="006A2614">
              <w:rPr>
                <w:rFonts w:ascii="Public Sans" w:hAnsi="Public Sans" w:cs="Calibri"/>
                <w:b/>
                <w:sz w:val="16"/>
                <w:szCs w:val="16"/>
                <w:lang w:eastAsia="en-AU"/>
              </w:rPr>
              <w:t>6,023</w:t>
            </w:r>
          </w:p>
        </w:tc>
        <w:tc>
          <w:tcPr>
            <w:tcW w:w="992" w:type="dxa"/>
            <w:tcBorders>
              <w:top w:val="single" w:sz="4" w:space="0" w:color="auto"/>
              <w:left w:val="nil"/>
              <w:bottom w:val="single" w:sz="4" w:space="0" w:color="auto"/>
              <w:right w:val="nil"/>
            </w:tcBorders>
            <w:shd w:val="clear" w:color="000000" w:fill="FFFFFF"/>
            <w:noWrap/>
            <w:vAlign w:val="bottom"/>
            <w:hideMark/>
          </w:tcPr>
          <w:p w14:paraId="628DBE9F" w14:textId="77777777" w:rsidR="00B535B5" w:rsidRPr="006A2614" w:rsidRDefault="00B535B5" w:rsidP="00B535B5">
            <w:pPr>
              <w:ind w:firstLineChars="100" w:firstLine="161"/>
              <w:jc w:val="right"/>
              <w:rPr>
                <w:rFonts w:ascii="Public Sans" w:hAnsi="Public Sans" w:cs="Calibri"/>
                <w:b/>
                <w:sz w:val="16"/>
                <w:szCs w:val="16"/>
                <w:lang w:eastAsia="en-AU"/>
              </w:rPr>
            </w:pPr>
            <w:r w:rsidRPr="006A2614">
              <w:rPr>
                <w:rFonts w:ascii="Public Sans" w:hAnsi="Public Sans" w:cs="Calibri"/>
                <w:b/>
                <w:sz w:val="16"/>
                <w:szCs w:val="16"/>
                <w:lang w:eastAsia="en-AU"/>
              </w:rPr>
              <w:t>6,115</w:t>
            </w:r>
          </w:p>
        </w:tc>
      </w:tr>
    </w:tbl>
    <w:p w14:paraId="5ED5A85C" w14:textId="77777777" w:rsidR="008B4055" w:rsidRPr="00E0583B" w:rsidRDefault="008B4055" w:rsidP="008B4055">
      <w:pPr>
        <w:rPr>
          <w:sz w:val="6"/>
          <w:szCs w:val="6"/>
        </w:rPr>
      </w:pPr>
    </w:p>
    <w:p w14:paraId="45A8AF3B" w14:textId="77777777" w:rsidR="008B4055" w:rsidRDefault="008B4055" w:rsidP="00AC2C90">
      <w:pPr>
        <w:pStyle w:val="BP3Footnote"/>
        <w:numPr>
          <w:ilvl w:val="0"/>
          <w:numId w:val="96"/>
        </w:numPr>
        <w:spacing w:before="0"/>
        <w:rPr>
          <w:rFonts w:ascii="Arial" w:hAnsi="Arial"/>
        </w:rPr>
      </w:pPr>
      <w:r w:rsidRPr="00E0583B">
        <w:t xml:space="preserve">Total spending may not equal the total of general government and PNFC </w:t>
      </w:r>
      <w:r w:rsidRPr="00A1397D">
        <w:rPr>
          <w:rFonts w:ascii="Arial" w:hAnsi="Arial"/>
        </w:rPr>
        <w:t>expenditure due to intra-sector purchases.</w:t>
      </w:r>
    </w:p>
    <w:p w14:paraId="734A86CD" w14:textId="7FCB246A" w:rsidR="008B4055" w:rsidRDefault="008B4055" w:rsidP="00FA5254"/>
    <w:sectPr w:rsidR="008B4055" w:rsidSect="00020DE7">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B32A1" w14:textId="77777777" w:rsidR="0054476B" w:rsidRDefault="0054476B">
      <w:r>
        <w:separator/>
      </w:r>
    </w:p>
  </w:endnote>
  <w:endnote w:type="continuationSeparator" w:id="0">
    <w:p w14:paraId="78DB6C9C" w14:textId="77777777" w:rsidR="0054476B" w:rsidRDefault="0054476B">
      <w:r>
        <w:continuationSeparator/>
      </w:r>
    </w:p>
  </w:endnote>
  <w:endnote w:type="continuationNotice" w:id="1">
    <w:p w14:paraId="5289C7A3" w14:textId="77777777" w:rsidR="0054476B" w:rsidRDefault="00544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F909" w14:textId="30A529D7" w:rsidR="00ED364A" w:rsidRPr="00050995" w:rsidRDefault="00CC0674" w:rsidP="00050995">
    <w:pPr>
      <w:pBdr>
        <w:top w:val="single" w:sz="4" w:space="4" w:color="auto"/>
      </w:pBdr>
      <w:tabs>
        <w:tab w:val="right" w:pos="9639"/>
      </w:tabs>
      <w:rPr>
        <w:rFonts w:ascii="Public Sans" w:hAnsi="Public Sans" w:cs="Arial"/>
        <w:sz w:val="18"/>
        <w:szCs w:val="18"/>
      </w:rPr>
    </w:pPr>
    <w:r>
      <w:rPr>
        <w:rFonts w:ascii="Public Sans" w:hAnsi="Public Sans" w:cs="Arial"/>
        <w:sz w:val="18"/>
        <w:szCs w:val="18"/>
      </w:rPr>
      <w:t>1</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2</w:t>
    </w:r>
    <w:r w:rsidR="009E5213" w:rsidRPr="006243DB">
      <w:rPr>
        <w:rFonts w:ascii="Public Sans" w:hAnsi="Public Sans" w:cs="Arial"/>
        <w:noProof/>
        <w:sz w:val="18"/>
        <w:szCs w:val="18"/>
      </w:rPr>
      <w:fldChar w:fldCharType="end"/>
    </w:r>
    <w:r w:rsidR="009E5213" w:rsidRPr="006243DB">
      <w:rPr>
        <w:rFonts w:ascii="Public Sans" w:hAnsi="Public Sans" w:cs="Arial"/>
        <w:noProof/>
        <w:sz w:val="18"/>
        <w:szCs w:val="18"/>
      </w:rPr>
      <w:tab/>
    </w:r>
    <w:r w:rsidR="00050995" w:rsidRPr="006243DB">
      <w:rPr>
        <w:rFonts w:ascii="Public Sans" w:hAnsi="Public Sans" w:cs="Arial"/>
        <w:sz w:val="18"/>
        <w:szCs w:val="18"/>
      </w:rPr>
      <w:t>202</w:t>
    </w:r>
    <w:r w:rsidR="00050995">
      <w:rPr>
        <w:rFonts w:ascii="Public Sans" w:hAnsi="Public Sans" w:cs="Arial"/>
        <w:sz w:val="18"/>
        <w:szCs w:val="18"/>
      </w:rPr>
      <w:t>5</w:t>
    </w:r>
    <w:r w:rsidR="00050995" w:rsidRPr="006243DB">
      <w:rPr>
        <w:rFonts w:ascii="Public Sans" w:hAnsi="Public Sans" w:cs="Arial"/>
        <w:sz w:val="18"/>
        <w:szCs w:val="18"/>
      </w:rPr>
      <w:t>-2</w:t>
    </w:r>
    <w:r w:rsidR="00050995">
      <w:rPr>
        <w:rFonts w:ascii="Public Sans" w:hAnsi="Public Sans" w:cs="Arial"/>
        <w:sz w:val="18"/>
        <w:szCs w:val="18"/>
      </w:rPr>
      <w:t xml:space="preserve">6 </w:t>
    </w:r>
    <w:r>
      <w:rPr>
        <w:rFonts w:ascii="Public Sans" w:hAnsi="Public Sans" w:cs="Arial"/>
        <w:sz w:val="18"/>
        <w:szCs w:val="18"/>
      </w:rPr>
      <w:t xml:space="preserve">Infrastructure </w:t>
    </w:r>
    <w:r w:rsidR="00146230">
      <w:rPr>
        <w:rFonts w:ascii="Public Sans" w:hAnsi="Public Sans" w:cs="Arial"/>
        <w:sz w:val="18"/>
        <w:szCs w:val="18"/>
      </w:rPr>
      <w:t>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C151" w14:textId="48C310CB" w:rsidR="009E5213" w:rsidRPr="00050995" w:rsidRDefault="00050995" w:rsidP="00050995">
    <w:pPr>
      <w:pBdr>
        <w:top w:val="single" w:sz="4" w:space="4" w:color="auto"/>
      </w:pBdr>
      <w:tabs>
        <w:tab w:val="right" w:pos="9639"/>
      </w:tabs>
      <w:rPr>
        <w:rFonts w:ascii="Public Sans" w:hAnsi="Public Sans" w:cs="Arial"/>
        <w:sz w:val="18"/>
        <w:szCs w:val="18"/>
      </w:rPr>
    </w:pPr>
    <w:r w:rsidRPr="00EB397B">
      <w:rPr>
        <w:rFonts w:ascii="Public Sans" w:hAnsi="Public Sans" w:cs="Arial"/>
        <w:sz w:val="18"/>
        <w:szCs w:val="18"/>
      </w:rPr>
      <w:t>202</w:t>
    </w:r>
    <w:r>
      <w:rPr>
        <w:rFonts w:ascii="Public Sans" w:hAnsi="Public Sans" w:cs="Arial"/>
        <w:sz w:val="18"/>
        <w:szCs w:val="18"/>
      </w:rPr>
      <w:t>5</w:t>
    </w:r>
    <w:r w:rsidRPr="00EB397B">
      <w:rPr>
        <w:rFonts w:ascii="Public Sans" w:hAnsi="Public Sans" w:cs="Arial"/>
        <w:sz w:val="18"/>
        <w:szCs w:val="18"/>
      </w:rPr>
      <w:t>-2</w:t>
    </w:r>
    <w:r>
      <w:rPr>
        <w:rFonts w:ascii="Public Sans" w:hAnsi="Public Sans" w:cs="Arial"/>
        <w:sz w:val="18"/>
        <w:szCs w:val="18"/>
      </w:rPr>
      <w:t xml:space="preserve">6 </w:t>
    </w:r>
    <w:r w:rsidR="00CC0674">
      <w:rPr>
        <w:rFonts w:ascii="Public Sans" w:hAnsi="Public Sans" w:cs="Arial"/>
        <w:sz w:val="18"/>
        <w:szCs w:val="18"/>
      </w:rPr>
      <w:t>Infrastructure</w:t>
    </w:r>
    <w:r w:rsidR="00CC0674" w:rsidRPr="00EB397B">
      <w:rPr>
        <w:rFonts w:ascii="Public Sans" w:hAnsi="Public Sans" w:cs="Arial"/>
        <w:sz w:val="18"/>
        <w:szCs w:val="18"/>
      </w:rPr>
      <w:t xml:space="preserve"> </w:t>
    </w:r>
    <w:r w:rsidR="009E5213" w:rsidRPr="00EB397B">
      <w:rPr>
        <w:rFonts w:ascii="Public Sans" w:hAnsi="Public Sans" w:cs="Arial"/>
        <w:sz w:val="18"/>
        <w:szCs w:val="18"/>
      </w:rPr>
      <w:t>Statement</w:t>
    </w:r>
    <w:r w:rsidR="009E5213" w:rsidRPr="00EB397B">
      <w:rPr>
        <w:rFonts w:ascii="Public Sans" w:hAnsi="Public Sans" w:cs="Arial"/>
        <w:sz w:val="18"/>
        <w:szCs w:val="18"/>
      </w:rPr>
      <w:tab/>
    </w:r>
    <w:r w:rsidR="00CC0674">
      <w:rPr>
        <w:rFonts w:ascii="Public Sans" w:hAnsi="Public Sans" w:cs="Arial"/>
        <w:sz w:val="18"/>
        <w:szCs w:val="18"/>
      </w:rPr>
      <w:t>1</w:t>
    </w:r>
    <w:r w:rsidR="009E5213" w:rsidRPr="00EB397B">
      <w:rPr>
        <w:rFonts w:ascii="Public Sans" w:hAnsi="Public Sans" w:cs="Arial"/>
        <w:sz w:val="18"/>
        <w:szCs w:val="18"/>
      </w:rPr>
      <w:t xml:space="preserve"> - </w:t>
    </w:r>
    <w:r w:rsidR="009E5213" w:rsidRPr="00EB397B">
      <w:rPr>
        <w:rFonts w:ascii="Public Sans" w:hAnsi="Public Sans" w:cs="Arial"/>
        <w:sz w:val="18"/>
        <w:szCs w:val="18"/>
      </w:rPr>
      <w:fldChar w:fldCharType="begin"/>
    </w:r>
    <w:r w:rsidR="009E5213" w:rsidRPr="00EB397B">
      <w:rPr>
        <w:rFonts w:ascii="Public Sans" w:hAnsi="Public Sans" w:cs="Arial"/>
        <w:sz w:val="18"/>
        <w:szCs w:val="18"/>
      </w:rPr>
      <w:instrText xml:space="preserve"> PAGE   \* MERGEFORMAT </w:instrText>
    </w:r>
    <w:r w:rsidR="009E5213" w:rsidRPr="00EB397B">
      <w:rPr>
        <w:rFonts w:ascii="Public Sans" w:hAnsi="Public Sans" w:cs="Arial"/>
        <w:sz w:val="18"/>
        <w:szCs w:val="18"/>
      </w:rPr>
      <w:fldChar w:fldCharType="separate"/>
    </w:r>
    <w:r w:rsidR="009E5213" w:rsidRPr="00EB397B">
      <w:rPr>
        <w:rFonts w:ascii="Public Sans" w:hAnsi="Public Sans" w:cs="Arial"/>
        <w:sz w:val="18"/>
        <w:szCs w:val="18"/>
      </w:rPr>
      <w:t>1</w:t>
    </w:r>
    <w:r w:rsidR="009E5213" w:rsidRPr="00EB397B">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1745" w14:textId="65B2FDE1" w:rsidR="00AB2DCE" w:rsidRPr="00050995" w:rsidRDefault="00050995" w:rsidP="00050995">
    <w:pPr>
      <w:pBdr>
        <w:top w:val="single" w:sz="4" w:space="4" w:color="auto"/>
      </w:pBdr>
      <w:tabs>
        <w:tab w:val="right" w:pos="9639"/>
      </w:tabs>
      <w:rPr>
        <w:rFonts w:ascii="Public Sans" w:hAnsi="Public Sans" w:cs="Arial"/>
        <w:sz w:val="18"/>
        <w:szCs w:val="18"/>
      </w:rPr>
    </w:pPr>
    <w:r>
      <w:rPr>
        <w:rFonts w:ascii="Public Sans" w:hAnsi="Public Sans" w:cs="Arial"/>
        <w:sz w:val="18"/>
        <w:szCs w:val="18"/>
      </w:rPr>
      <w:t>2025-26 Infrastructure</w:t>
    </w:r>
    <w:r w:rsidR="00146230">
      <w:rPr>
        <w:rFonts w:ascii="Public Sans" w:hAnsi="Public Sans" w:cs="Arial"/>
        <w:sz w:val="18"/>
        <w:szCs w:val="18"/>
      </w:rPr>
      <w:t xml:space="preserve"> Statement</w:t>
    </w:r>
    <w:r w:rsidR="009E5213" w:rsidRPr="006243DB">
      <w:rPr>
        <w:rFonts w:ascii="Public Sans" w:hAnsi="Public Sans" w:cs="Arial"/>
        <w:sz w:val="18"/>
        <w:szCs w:val="18"/>
      </w:rPr>
      <w:tab/>
    </w:r>
    <w:r w:rsidR="00914A12">
      <w:rPr>
        <w:rFonts w:ascii="Public Sans" w:hAnsi="Public Sans" w:cs="Arial"/>
        <w:sz w:val="18"/>
        <w:szCs w:val="18"/>
      </w:rPr>
      <w:t>1</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5</w:t>
    </w:r>
    <w:r w:rsidR="009E5213" w:rsidRPr="006243DB">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92099" w14:textId="77777777" w:rsidR="0054476B" w:rsidRDefault="0054476B">
      <w:pPr>
        <w:spacing w:before="120"/>
      </w:pPr>
      <w:r>
        <w:separator/>
      </w:r>
    </w:p>
  </w:footnote>
  <w:footnote w:type="continuationSeparator" w:id="0">
    <w:p w14:paraId="79236CE2" w14:textId="77777777" w:rsidR="0054476B" w:rsidRDefault="0054476B">
      <w:pPr>
        <w:spacing w:before="120"/>
      </w:pPr>
      <w:r>
        <w:continuationSeparator/>
      </w:r>
    </w:p>
  </w:footnote>
  <w:footnote w:type="continuationNotice" w:id="1">
    <w:p w14:paraId="440FBD27" w14:textId="77777777" w:rsidR="0054476B" w:rsidRDefault="0054476B">
      <w:pPr>
        <w:rPr>
          <w:sz w:val="16"/>
        </w:rPr>
      </w:pPr>
    </w:p>
  </w:footnote>
  <w:footnote w:id="2">
    <w:p w14:paraId="1FF6D833" w14:textId="59A32384" w:rsidR="007F2096" w:rsidRPr="002C0842" w:rsidRDefault="007F2096" w:rsidP="00CB3AA5">
      <w:pPr>
        <w:spacing w:before="20" w:after="20"/>
        <w:ind w:left="709" w:hanging="284"/>
        <w:rPr>
          <w:rFonts w:ascii="Public Sans" w:hAnsi="Public Sans"/>
          <w:sz w:val="16"/>
          <w:szCs w:val="16"/>
        </w:rPr>
      </w:pPr>
      <w:r w:rsidRPr="002C0842">
        <w:rPr>
          <w:rStyle w:val="FootnoteReference"/>
          <w:rFonts w:ascii="Public Sans" w:hAnsi="Public Sans"/>
          <w:sz w:val="16"/>
          <w:szCs w:val="16"/>
        </w:rPr>
        <w:footnoteRef/>
      </w:r>
      <w:r w:rsidR="0027623F" w:rsidRPr="00CB3AA5">
        <w:rPr>
          <w:rFonts w:ascii="Public Sans" w:hAnsi="Public Sans"/>
          <w:sz w:val="16"/>
          <w:szCs w:val="16"/>
        </w:rPr>
        <w:t xml:space="preserve"> </w:t>
      </w:r>
      <w:r w:rsidR="00361CD2">
        <w:tab/>
      </w:r>
      <w:r w:rsidR="00361CD2" w:rsidRPr="002C0842">
        <w:rPr>
          <w:rFonts w:ascii="Public Sans" w:hAnsi="Public Sans"/>
          <w:sz w:val="16"/>
          <w:szCs w:val="16"/>
        </w:rPr>
        <w:t>Health Capital Expenditure includes capital expensing amounts. Further information is provided at footnote (c) of Table</w:t>
      </w:r>
      <w:r w:rsidR="00361CD2">
        <w:rPr>
          <w:rFonts w:ascii="Public Sans" w:hAnsi="Public Sans"/>
          <w:sz w:val="16"/>
          <w:szCs w:val="16"/>
        </w:rPr>
        <w: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44E8" w14:textId="773558CE" w:rsidR="009E5213" w:rsidRPr="007C60AE" w:rsidRDefault="00050995" w:rsidP="009E5213">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Pr>
        <w:rFonts w:ascii="Public Sans" w:eastAsia="Calibri" w:hAnsi="Public Sans" w:cs="Arial"/>
        <w:sz w:val="18"/>
        <w:szCs w:val="18"/>
      </w:rPr>
      <w:t>Overview</w:t>
    </w:r>
  </w:p>
  <w:p w14:paraId="05BB59B1"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B12D" w14:textId="3DF888DC" w:rsidR="009E5213" w:rsidRPr="009E5213" w:rsidRDefault="00050995" w:rsidP="009E5213">
    <w:pPr>
      <w:pBdr>
        <w:bottom w:val="single" w:sz="4" w:space="4" w:color="auto"/>
      </w:pBdr>
      <w:tabs>
        <w:tab w:val="center" w:pos="4153"/>
        <w:tab w:val="right" w:pos="8306"/>
      </w:tabs>
      <w:spacing w:line="192" w:lineRule="auto"/>
      <w:contextualSpacing/>
      <w:jc w:val="right"/>
      <w:rPr>
        <w:rFonts w:ascii="Arial" w:eastAsia="Calibri" w:hAnsi="Arial" w:cs="Arial"/>
        <w:sz w:val="18"/>
        <w:szCs w:val="18"/>
      </w:rPr>
    </w:pPr>
    <w:r>
      <w:rPr>
        <w:rFonts w:ascii="Arial" w:eastAsia="Calibri" w:hAnsi="Arial" w:cs="Arial"/>
        <w:sz w:val="18"/>
        <w:szCs w:val="18"/>
      </w:rPr>
      <w:t>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DE04" w14:textId="47178752" w:rsidR="00AB2DCE" w:rsidRDefault="00AB2D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79A"/>
    <w:multiLevelType w:val="hybridMultilevel"/>
    <w:tmpl w:val="DCE4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7"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76B42EC"/>
    <w:multiLevelType w:val="hybridMultilevel"/>
    <w:tmpl w:val="37EEF0C4"/>
    <w:styleLink w:val="BulletPoints"/>
    <w:lvl w:ilvl="0" w:tplc="46FA620C">
      <w:start w:val="1"/>
      <w:numFmt w:val="bullet"/>
      <w:lvlText w:val=""/>
      <w:lvlJc w:val="left"/>
      <w:pPr>
        <w:ind w:left="360" w:hanging="360"/>
      </w:pPr>
      <w:rPr>
        <w:rFonts w:ascii="Wingdings" w:hAnsi="Wingdings" w:hint="default"/>
      </w:rPr>
    </w:lvl>
    <w:lvl w:ilvl="1" w:tplc="FFFFFFFF">
      <w:start w:val="1"/>
      <w:numFmt w:val="bullet"/>
      <w:lvlText w:val="o"/>
      <w:lvlJc w:val="left"/>
      <w:pPr>
        <w:ind w:left="81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851C06"/>
    <w:multiLevelType w:val="multilevel"/>
    <w:tmpl w:val="37EEF0C4"/>
    <w:numStyleLink w:val="BulletPoints"/>
  </w:abstractNum>
  <w:abstractNum w:abstractNumId="12"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900A5F"/>
    <w:multiLevelType w:val="multilevel"/>
    <w:tmpl w:val="3466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855A3C"/>
    <w:multiLevelType w:val="hybridMultilevel"/>
    <w:tmpl w:val="71DC754E"/>
    <w:lvl w:ilvl="0" w:tplc="8B06C622">
      <w:start w:val="1"/>
      <w:numFmt w:val="lowerLetter"/>
      <w:lvlText w:val="(%1)"/>
      <w:lvlJc w:val="left"/>
      <w:pPr>
        <w:ind w:left="366" w:hanging="360"/>
      </w:pPr>
      <w:rPr>
        <w:rFonts w:ascii="Public Sans" w:hAnsi="Public Sans" w:cs="Arial" w:hint="default"/>
        <w:b w:val="0"/>
        <w:i w:val="0"/>
        <w:sz w:val="17"/>
        <w:szCs w:val="17"/>
        <w:vertAlign w:val="baseline"/>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3"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F6E45E1"/>
    <w:multiLevelType w:val="hybridMultilevel"/>
    <w:tmpl w:val="1EEED1DA"/>
    <w:lvl w:ilvl="0" w:tplc="789A1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2B327C4"/>
    <w:multiLevelType w:val="hybridMultilevel"/>
    <w:tmpl w:val="22545F56"/>
    <w:lvl w:ilvl="0" w:tplc="C57484DA">
      <w:start w:val="1"/>
      <w:numFmt w:val="decimal"/>
      <w:pStyle w:val="81Heading2"/>
      <w:lvlText w:val="1.%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32C5725"/>
    <w:multiLevelType w:val="multilevel"/>
    <w:tmpl w:val="DB9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0"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4" w15:restartNumberingAfterBreak="0">
    <w:nsid w:val="3F765FA8"/>
    <w:multiLevelType w:val="hybridMultilevel"/>
    <w:tmpl w:val="4516DB3A"/>
    <w:lvl w:ilvl="0" w:tplc="222E937A">
      <w:start w:val="1"/>
      <w:numFmt w:val="decimal"/>
      <w:pStyle w:val="Box8XBoxHeading"/>
      <w:lvlText w:val="Box 1.%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9"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71D5FA0"/>
    <w:multiLevelType w:val="hybridMultilevel"/>
    <w:tmpl w:val="9D78B3C6"/>
    <w:lvl w:ilvl="0" w:tplc="22325B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8495C78"/>
    <w:multiLevelType w:val="multilevel"/>
    <w:tmpl w:val="824C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60" w15:restartNumberingAfterBreak="0">
    <w:nsid w:val="4D0508E7"/>
    <w:multiLevelType w:val="hybridMultilevel"/>
    <w:tmpl w:val="6700F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D2973F3"/>
    <w:multiLevelType w:val="hybridMultilevel"/>
    <w:tmpl w:val="0694AB42"/>
    <w:lvl w:ilvl="0" w:tplc="83920A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4FEF5222"/>
    <w:multiLevelType w:val="hybridMultilevel"/>
    <w:tmpl w:val="67DE3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0D77E45"/>
    <w:multiLevelType w:val="multilevel"/>
    <w:tmpl w:val="BC5E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8"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5D6282E"/>
    <w:multiLevelType w:val="hybridMultilevel"/>
    <w:tmpl w:val="2208DE68"/>
    <w:lvl w:ilvl="0" w:tplc="CA4449FE">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71" w15:restartNumberingAfterBreak="0">
    <w:nsid w:val="578D0EA4"/>
    <w:multiLevelType w:val="hybridMultilevel"/>
    <w:tmpl w:val="C874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8620356"/>
    <w:multiLevelType w:val="multilevel"/>
    <w:tmpl w:val="38F6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9D174D9"/>
    <w:multiLevelType w:val="hybridMultilevel"/>
    <w:tmpl w:val="677EAC0A"/>
    <w:lvl w:ilvl="0" w:tplc="2E12C772">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6A5C9F"/>
    <w:multiLevelType w:val="hybridMultilevel"/>
    <w:tmpl w:val="1F98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D95168"/>
    <w:multiLevelType w:val="multilevel"/>
    <w:tmpl w:val="9DA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0F5C82C"/>
    <w:multiLevelType w:val="hybridMultilevel"/>
    <w:tmpl w:val="FFFFFFFF"/>
    <w:lvl w:ilvl="0" w:tplc="3A5C2822">
      <w:start w:val="1"/>
      <w:numFmt w:val="bullet"/>
      <w:lvlText w:val=""/>
      <w:lvlJc w:val="left"/>
      <w:pPr>
        <w:ind w:left="720" w:hanging="360"/>
      </w:pPr>
      <w:rPr>
        <w:rFonts w:ascii="Symbol" w:hAnsi="Symbol" w:hint="default"/>
      </w:rPr>
    </w:lvl>
    <w:lvl w:ilvl="1" w:tplc="F770209E">
      <w:start w:val="1"/>
      <w:numFmt w:val="bullet"/>
      <w:lvlText w:val="o"/>
      <w:lvlJc w:val="left"/>
      <w:pPr>
        <w:ind w:left="1440" w:hanging="360"/>
      </w:pPr>
      <w:rPr>
        <w:rFonts w:ascii="Courier New" w:hAnsi="Courier New" w:hint="default"/>
      </w:rPr>
    </w:lvl>
    <w:lvl w:ilvl="2" w:tplc="9866F7CA">
      <w:start w:val="1"/>
      <w:numFmt w:val="bullet"/>
      <w:lvlText w:val=""/>
      <w:lvlJc w:val="left"/>
      <w:pPr>
        <w:ind w:left="2160" w:hanging="360"/>
      </w:pPr>
      <w:rPr>
        <w:rFonts w:ascii="Wingdings" w:hAnsi="Wingdings" w:hint="default"/>
      </w:rPr>
    </w:lvl>
    <w:lvl w:ilvl="3" w:tplc="C60A1E6C">
      <w:start w:val="1"/>
      <w:numFmt w:val="bullet"/>
      <w:lvlText w:val=""/>
      <w:lvlJc w:val="left"/>
      <w:pPr>
        <w:ind w:left="2880" w:hanging="360"/>
      </w:pPr>
      <w:rPr>
        <w:rFonts w:ascii="Symbol" w:hAnsi="Symbol" w:hint="default"/>
      </w:rPr>
    </w:lvl>
    <w:lvl w:ilvl="4" w:tplc="59DA96A2">
      <w:start w:val="1"/>
      <w:numFmt w:val="bullet"/>
      <w:lvlText w:val="o"/>
      <w:lvlJc w:val="left"/>
      <w:pPr>
        <w:ind w:left="3600" w:hanging="360"/>
      </w:pPr>
      <w:rPr>
        <w:rFonts w:ascii="Courier New" w:hAnsi="Courier New" w:hint="default"/>
      </w:rPr>
    </w:lvl>
    <w:lvl w:ilvl="5" w:tplc="54D03986">
      <w:start w:val="1"/>
      <w:numFmt w:val="bullet"/>
      <w:lvlText w:val=""/>
      <w:lvlJc w:val="left"/>
      <w:pPr>
        <w:ind w:left="4320" w:hanging="360"/>
      </w:pPr>
      <w:rPr>
        <w:rFonts w:ascii="Wingdings" w:hAnsi="Wingdings" w:hint="default"/>
      </w:rPr>
    </w:lvl>
    <w:lvl w:ilvl="6" w:tplc="35BAA86A">
      <w:start w:val="1"/>
      <w:numFmt w:val="bullet"/>
      <w:lvlText w:val=""/>
      <w:lvlJc w:val="left"/>
      <w:pPr>
        <w:ind w:left="5040" w:hanging="360"/>
      </w:pPr>
      <w:rPr>
        <w:rFonts w:ascii="Symbol" w:hAnsi="Symbol" w:hint="default"/>
      </w:rPr>
    </w:lvl>
    <w:lvl w:ilvl="7" w:tplc="65C00A54">
      <w:start w:val="1"/>
      <w:numFmt w:val="bullet"/>
      <w:lvlText w:val="o"/>
      <w:lvlJc w:val="left"/>
      <w:pPr>
        <w:ind w:left="5760" w:hanging="360"/>
      </w:pPr>
      <w:rPr>
        <w:rFonts w:ascii="Courier New" w:hAnsi="Courier New" w:hint="default"/>
      </w:rPr>
    </w:lvl>
    <w:lvl w:ilvl="8" w:tplc="87A8E264">
      <w:start w:val="1"/>
      <w:numFmt w:val="bullet"/>
      <w:lvlText w:val=""/>
      <w:lvlJc w:val="left"/>
      <w:pPr>
        <w:ind w:left="6480" w:hanging="360"/>
      </w:pPr>
      <w:rPr>
        <w:rFonts w:ascii="Wingdings" w:hAnsi="Wingdings" w:hint="default"/>
      </w:rPr>
    </w:lvl>
  </w:abstractNum>
  <w:abstractNum w:abstractNumId="83"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25578F"/>
    <w:multiLevelType w:val="hybridMultilevel"/>
    <w:tmpl w:val="89B41E3C"/>
    <w:lvl w:ilvl="0" w:tplc="63B49040">
      <w:start w:val="1"/>
      <w:numFmt w:val="decimal"/>
      <w:pStyle w:val="Chart8X"/>
      <w:lvlText w:val="Chart 1.%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608000C"/>
    <w:multiLevelType w:val="hybridMultilevel"/>
    <w:tmpl w:val="66BA659C"/>
    <w:lvl w:ilvl="0" w:tplc="948AFD6A">
      <w:start w:val="1"/>
      <w:numFmt w:val="bullet"/>
      <w:pStyle w:val="Bullet1"/>
      <w:lvlText w:val=""/>
      <w:lvlJc w:val="left"/>
      <w:pPr>
        <w:ind w:left="501"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0" w15:restartNumberingAfterBreak="0">
    <w:nsid w:val="68095C94"/>
    <w:multiLevelType w:val="hybridMultilevel"/>
    <w:tmpl w:val="C0249E82"/>
    <w:lvl w:ilvl="0" w:tplc="8A7EA626">
      <w:start w:val="1"/>
      <w:numFmt w:val="decimal"/>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89B5113"/>
    <w:multiLevelType w:val="hybridMultilevel"/>
    <w:tmpl w:val="2ADA5DD4"/>
    <w:lvl w:ilvl="0" w:tplc="464E7C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9996C1D"/>
    <w:multiLevelType w:val="multilevel"/>
    <w:tmpl w:val="E210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AD94A0C"/>
    <w:multiLevelType w:val="hybridMultilevel"/>
    <w:tmpl w:val="71DC754E"/>
    <w:lvl w:ilvl="0" w:tplc="FFFFFFFF">
      <w:start w:val="1"/>
      <w:numFmt w:val="lowerLetter"/>
      <w:lvlText w:val="(%1)"/>
      <w:lvlJc w:val="left"/>
      <w:pPr>
        <w:ind w:left="366" w:hanging="360"/>
      </w:pPr>
      <w:rPr>
        <w:rFonts w:ascii="Public Sans" w:hAnsi="Public Sans" w:cs="Arial" w:hint="default"/>
        <w:b w:val="0"/>
        <w:i w:val="0"/>
        <w:sz w:val="17"/>
        <w:szCs w:val="17"/>
        <w:vertAlign w:val="baseline"/>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95" w15:restartNumberingAfterBreak="0">
    <w:nsid w:val="6B916E13"/>
    <w:multiLevelType w:val="multilevel"/>
    <w:tmpl w:val="268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D0A6408"/>
    <w:multiLevelType w:val="hybridMultilevel"/>
    <w:tmpl w:val="9CFA8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E7D70B9"/>
    <w:multiLevelType w:val="hybridMultilevel"/>
    <w:tmpl w:val="92E4C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1C5615C"/>
    <w:multiLevelType w:val="multilevel"/>
    <w:tmpl w:val="B7C4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5"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4AC412F"/>
    <w:multiLevelType w:val="hybridMultilevel"/>
    <w:tmpl w:val="0DAE469C"/>
    <w:lvl w:ilvl="0" w:tplc="E6F6E97C">
      <w:start w:val="1"/>
      <w:numFmt w:val="decimal"/>
      <w:pStyle w:val="Table8X"/>
      <w:lvlText w:val="Table 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9685634"/>
    <w:multiLevelType w:val="multilevel"/>
    <w:tmpl w:val="85CE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DF046E0"/>
    <w:multiLevelType w:val="hybridMultilevel"/>
    <w:tmpl w:val="A3543BE0"/>
    <w:lvl w:ilvl="0" w:tplc="908A86D4">
      <w:start w:val="1"/>
      <w:numFmt w:val="lowerLetter"/>
      <w:lvlText w:val="(%1)"/>
      <w:lvlJc w:val="left"/>
      <w:pPr>
        <w:ind w:left="366" w:hanging="360"/>
      </w:pPr>
      <w:rPr>
        <w:rFonts w:ascii="Public Sans" w:hAnsi="Public Sans" w:cs="Arial" w:hint="default"/>
        <w:b w:val="0"/>
        <w:i w:val="0"/>
        <w:sz w:val="17"/>
        <w:szCs w:val="17"/>
        <w:vertAlign w:val="baseline"/>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17"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6"/>
  </w:num>
  <w:num w:numId="2" w16cid:durableId="255671717">
    <w:abstractNumId w:val="34"/>
  </w:num>
  <w:num w:numId="3" w16cid:durableId="944921910">
    <w:abstractNumId w:val="99"/>
  </w:num>
  <w:num w:numId="4" w16cid:durableId="138966501">
    <w:abstractNumId w:val="55"/>
  </w:num>
  <w:num w:numId="5" w16cid:durableId="656809923">
    <w:abstractNumId w:val="33"/>
  </w:num>
  <w:num w:numId="6" w16cid:durableId="569657645">
    <w:abstractNumId w:val="48"/>
  </w:num>
  <w:num w:numId="7" w16cid:durableId="245574238">
    <w:abstractNumId w:val="47"/>
  </w:num>
  <w:num w:numId="8" w16cid:durableId="188878145">
    <w:abstractNumId w:val="73"/>
  </w:num>
  <w:num w:numId="9" w16cid:durableId="391320423">
    <w:abstractNumId w:val="36"/>
  </w:num>
  <w:num w:numId="10" w16cid:durableId="742064803">
    <w:abstractNumId w:val="3"/>
  </w:num>
  <w:num w:numId="11" w16cid:durableId="1393775218">
    <w:abstractNumId w:val="51"/>
  </w:num>
  <w:num w:numId="12" w16cid:durableId="411241496">
    <w:abstractNumId w:val="96"/>
  </w:num>
  <w:num w:numId="13" w16cid:durableId="394359246">
    <w:abstractNumId w:val="27"/>
  </w:num>
  <w:num w:numId="14" w16cid:durableId="850683154">
    <w:abstractNumId w:val="98"/>
  </w:num>
  <w:num w:numId="15" w16cid:durableId="1868331908">
    <w:abstractNumId w:val="59"/>
  </w:num>
  <w:num w:numId="16" w16cid:durableId="1290091537">
    <w:abstractNumId w:val="114"/>
  </w:num>
  <w:num w:numId="17" w16cid:durableId="542593098">
    <w:abstractNumId w:val="64"/>
  </w:num>
  <w:num w:numId="18" w16cid:durableId="1553082212">
    <w:abstractNumId w:val="100"/>
  </w:num>
  <w:num w:numId="19" w16cid:durableId="1807233844">
    <w:abstractNumId w:val="1"/>
  </w:num>
  <w:num w:numId="20" w16cid:durableId="520625010">
    <w:abstractNumId w:val="56"/>
  </w:num>
  <w:num w:numId="21" w16cid:durableId="604308429">
    <w:abstractNumId w:val="44"/>
  </w:num>
  <w:num w:numId="22" w16cid:durableId="158927636">
    <w:abstractNumId w:val="89"/>
  </w:num>
  <w:num w:numId="23" w16cid:durableId="999962685">
    <w:abstractNumId w:val="66"/>
  </w:num>
  <w:num w:numId="24" w16cid:durableId="950090191">
    <w:abstractNumId w:val="86"/>
  </w:num>
  <w:num w:numId="25" w16cid:durableId="87895317">
    <w:abstractNumId w:val="43"/>
  </w:num>
  <w:num w:numId="26" w16cid:durableId="727800497">
    <w:abstractNumId w:val="45"/>
  </w:num>
  <w:num w:numId="27" w16cid:durableId="613026023">
    <w:abstractNumId w:val="104"/>
  </w:num>
  <w:num w:numId="28" w16cid:durableId="1229460431">
    <w:abstractNumId w:val="40"/>
  </w:num>
  <w:num w:numId="29" w16cid:durableId="1433208727">
    <w:abstractNumId w:val="54"/>
  </w:num>
  <w:num w:numId="30" w16cid:durableId="1765496755">
    <w:abstractNumId w:val="113"/>
  </w:num>
  <w:num w:numId="31" w16cid:durableId="1055085254">
    <w:abstractNumId w:val="76"/>
  </w:num>
  <w:num w:numId="32" w16cid:durableId="761806013">
    <w:abstractNumId w:val="69"/>
  </w:num>
  <w:num w:numId="33" w16cid:durableId="1453789243">
    <w:abstractNumId w:val="2"/>
  </w:num>
  <w:num w:numId="34" w16cid:durableId="1617979971">
    <w:abstractNumId w:val="42"/>
  </w:num>
  <w:num w:numId="35" w16cid:durableId="1270621810">
    <w:abstractNumId w:val="58"/>
  </w:num>
  <w:num w:numId="36" w16cid:durableId="783966971">
    <w:abstractNumId w:val="28"/>
  </w:num>
  <w:num w:numId="37" w16cid:durableId="2135782715">
    <w:abstractNumId w:val="23"/>
  </w:num>
  <w:num w:numId="38" w16cid:durableId="447046910">
    <w:abstractNumId w:val="12"/>
  </w:num>
  <w:num w:numId="39" w16cid:durableId="735393617">
    <w:abstractNumId w:val="68"/>
  </w:num>
  <w:num w:numId="40" w16cid:durableId="1570767065">
    <w:abstractNumId w:val="107"/>
  </w:num>
  <w:num w:numId="41" w16cid:durableId="899943030">
    <w:abstractNumId w:val="119"/>
  </w:num>
  <w:num w:numId="42" w16cid:durableId="1962877264">
    <w:abstractNumId w:val="70"/>
  </w:num>
  <w:num w:numId="43" w16cid:durableId="796332572">
    <w:abstractNumId w:val="75"/>
  </w:num>
  <w:num w:numId="44" w16cid:durableId="1708682187">
    <w:abstractNumId w:val="18"/>
  </w:num>
  <w:num w:numId="45" w16cid:durableId="220410582">
    <w:abstractNumId w:val="115"/>
  </w:num>
  <w:num w:numId="46" w16cid:durableId="62527521">
    <w:abstractNumId w:val="110"/>
  </w:num>
  <w:num w:numId="47" w16cid:durableId="1686518500">
    <w:abstractNumId w:val="78"/>
  </w:num>
  <w:num w:numId="48" w16cid:durableId="2107460047">
    <w:abstractNumId w:val="17"/>
  </w:num>
  <w:num w:numId="49" w16cid:durableId="1140463078">
    <w:abstractNumId w:val="31"/>
  </w:num>
  <w:num w:numId="50" w16cid:durableId="1289124565">
    <w:abstractNumId w:val="49"/>
  </w:num>
  <w:num w:numId="51" w16cid:durableId="402918949">
    <w:abstractNumId w:val="83"/>
  </w:num>
  <w:num w:numId="52" w16cid:durableId="1399593453">
    <w:abstractNumId w:val="14"/>
  </w:num>
  <w:num w:numId="53" w16cid:durableId="1239706779">
    <w:abstractNumId w:val="88"/>
  </w:num>
  <w:num w:numId="54" w16cid:durableId="1147436578">
    <w:abstractNumId w:val="112"/>
  </w:num>
  <w:num w:numId="55" w16cid:durableId="1048645305">
    <w:abstractNumId w:val="35"/>
  </w:num>
  <w:num w:numId="56" w16cid:durableId="1953248666">
    <w:abstractNumId w:val="29"/>
  </w:num>
  <w:num w:numId="57" w16cid:durableId="46493347">
    <w:abstractNumId w:val="24"/>
  </w:num>
  <w:num w:numId="58" w16cid:durableId="825900618">
    <w:abstractNumId w:val="105"/>
  </w:num>
  <w:num w:numId="59" w16cid:durableId="1707755831">
    <w:abstractNumId w:val="5"/>
  </w:num>
  <w:num w:numId="60" w16cid:durableId="85998868">
    <w:abstractNumId w:val="117"/>
  </w:num>
  <w:num w:numId="61" w16cid:durableId="1601452920">
    <w:abstractNumId w:val="91"/>
  </w:num>
  <w:num w:numId="62" w16cid:durableId="401414469">
    <w:abstractNumId w:val="50"/>
  </w:num>
  <w:num w:numId="63" w16cid:durableId="878476084">
    <w:abstractNumId w:val="80"/>
  </w:num>
  <w:num w:numId="64" w16cid:durableId="1251505890">
    <w:abstractNumId w:val="87"/>
  </w:num>
  <w:num w:numId="65" w16cid:durableId="103232878">
    <w:abstractNumId w:val="74"/>
  </w:num>
  <w:num w:numId="66" w16cid:durableId="2057580741">
    <w:abstractNumId w:val="7"/>
  </w:num>
  <w:num w:numId="67" w16cid:durableId="1207178984">
    <w:abstractNumId w:val="6"/>
  </w:num>
  <w:num w:numId="68" w16cid:durableId="1444154533">
    <w:abstractNumId w:val="67"/>
  </w:num>
  <w:num w:numId="69" w16cid:durableId="517892986">
    <w:abstractNumId w:val="39"/>
  </w:num>
  <w:num w:numId="70" w16cid:durableId="836968643">
    <w:abstractNumId w:val="19"/>
  </w:num>
  <w:num w:numId="71" w16cid:durableId="695280043">
    <w:abstractNumId w:val="16"/>
  </w:num>
  <w:num w:numId="72" w16cid:durableId="599413421">
    <w:abstractNumId w:val="22"/>
  </w:num>
  <w:num w:numId="73" w16cid:durableId="183373765">
    <w:abstractNumId w:val="62"/>
  </w:num>
  <w:num w:numId="74" w16cid:durableId="824593350">
    <w:abstractNumId w:val="108"/>
  </w:num>
  <w:num w:numId="75" w16cid:durableId="803278928">
    <w:abstractNumId w:val="37"/>
  </w:num>
  <w:num w:numId="76" w16cid:durableId="32929676">
    <w:abstractNumId w:val="15"/>
  </w:num>
  <w:num w:numId="77" w16cid:durableId="443156701">
    <w:abstractNumId w:val="30"/>
  </w:num>
  <w:num w:numId="78" w16cid:durableId="1209486655">
    <w:abstractNumId w:val="8"/>
  </w:num>
  <w:num w:numId="79" w16cid:durableId="929509220">
    <w:abstractNumId w:val="106"/>
  </w:num>
  <w:num w:numId="80" w16cid:durableId="1173184454">
    <w:abstractNumId w:val="25"/>
  </w:num>
  <w:num w:numId="81" w16cid:durableId="140195891">
    <w:abstractNumId w:val="41"/>
  </w:num>
  <w:num w:numId="82" w16cid:durableId="865796964">
    <w:abstractNumId w:val="4"/>
  </w:num>
  <w:num w:numId="83" w16cid:durableId="916743036">
    <w:abstractNumId w:val="10"/>
  </w:num>
  <w:num w:numId="84" w16cid:durableId="1447115474">
    <w:abstractNumId w:val="118"/>
  </w:num>
  <w:num w:numId="85" w16cid:durableId="1041975083">
    <w:abstractNumId w:val="20"/>
  </w:num>
  <w:num w:numId="86" w16cid:durableId="123891229">
    <w:abstractNumId w:val="102"/>
  </w:num>
  <w:num w:numId="87" w16cid:durableId="641009776">
    <w:abstractNumId w:val="81"/>
  </w:num>
  <w:num w:numId="88" w16cid:durableId="1940676276">
    <w:abstractNumId w:val="109"/>
  </w:num>
  <w:num w:numId="89" w16cid:durableId="2109690733">
    <w:abstractNumId w:val="46"/>
  </w:num>
  <w:num w:numId="90" w16cid:durableId="92363650">
    <w:abstractNumId w:val="57"/>
  </w:num>
  <w:num w:numId="91" w16cid:durableId="844783594">
    <w:abstractNumId w:val="85"/>
  </w:num>
  <w:num w:numId="92" w16cid:durableId="1503007527">
    <w:abstractNumId w:val="84"/>
  </w:num>
  <w:num w:numId="93" w16cid:durableId="1568417079">
    <w:abstractNumId w:val="92"/>
  </w:num>
  <w:num w:numId="94" w16cid:durableId="1730956283">
    <w:abstractNumId w:val="21"/>
    <w:lvlOverride w:ilvl="0">
      <w:startOverride w:val="1"/>
    </w:lvlOverride>
  </w:num>
  <w:num w:numId="95" w16cid:durableId="274793720">
    <w:abstractNumId w:val="21"/>
    <w:lvlOverride w:ilvl="0">
      <w:startOverride w:val="1"/>
    </w:lvlOverride>
  </w:num>
  <w:num w:numId="96" w16cid:durableId="1988852123">
    <w:abstractNumId w:val="94"/>
  </w:num>
  <w:num w:numId="97" w16cid:durableId="149101913">
    <w:abstractNumId w:val="52"/>
  </w:num>
  <w:num w:numId="98" w16cid:durableId="665741339">
    <w:abstractNumId w:val="9"/>
  </w:num>
  <w:num w:numId="99" w16cid:durableId="1463771304">
    <w:abstractNumId w:val="66"/>
  </w:num>
  <w:num w:numId="100" w16cid:durableId="693845111">
    <w:abstractNumId w:val="66"/>
  </w:num>
  <w:num w:numId="101" w16cid:durableId="1269003158">
    <w:abstractNumId w:val="66"/>
  </w:num>
  <w:num w:numId="102" w16cid:durableId="754018053">
    <w:abstractNumId w:val="13"/>
  </w:num>
  <w:num w:numId="103" w16cid:durableId="1464233483">
    <w:abstractNumId w:val="95"/>
  </w:num>
  <w:num w:numId="104" w16cid:durableId="1856915372">
    <w:abstractNumId w:val="103"/>
  </w:num>
  <w:num w:numId="105" w16cid:durableId="2022195585">
    <w:abstractNumId w:val="65"/>
  </w:num>
  <w:num w:numId="106" w16cid:durableId="670833398">
    <w:abstractNumId w:val="38"/>
  </w:num>
  <w:num w:numId="107" w16cid:durableId="2013295476">
    <w:abstractNumId w:val="53"/>
  </w:num>
  <w:num w:numId="108" w16cid:durableId="940531079">
    <w:abstractNumId w:val="93"/>
  </w:num>
  <w:num w:numId="109" w16cid:durableId="564801419">
    <w:abstractNumId w:val="72"/>
  </w:num>
  <w:num w:numId="110" w16cid:durableId="1603420599">
    <w:abstractNumId w:val="111"/>
  </w:num>
  <w:num w:numId="111" w16cid:durableId="398749236">
    <w:abstractNumId w:val="90"/>
  </w:num>
  <w:num w:numId="112" w16cid:durableId="611714784">
    <w:abstractNumId w:val="21"/>
  </w:num>
  <w:num w:numId="113" w16cid:durableId="188154117">
    <w:abstractNumId w:val="71"/>
  </w:num>
  <w:num w:numId="114" w16cid:durableId="1055159065">
    <w:abstractNumId w:val="77"/>
  </w:num>
  <w:num w:numId="115" w16cid:durableId="821123750">
    <w:abstractNumId w:val="97"/>
  </w:num>
  <w:num w:numId="116" w16cid:durableId="1245262722">
    <w:abstractNumId w:val="116"/>
  </w:num>
  <w:num w:numId="117" w16cid:durableId="1815751978">
    <w:abstractNumId w:val="60"/>
  </w:num>
  <w:num w:numId="118" w16cid:durableId="1767656258">
    <w:abstractNumId w:val="101"/>
  </w:num>
  <w:num w:numId="119" w16cid:durableId="1909028005">
    <w:abstractNumId w:val="32"/>
  </w:num>
  <w:num w:numId="120" w16cid:durableId="2009212922">
    <w:abstractNumId w:val="61"/>
  </w:num>
  <w:num w:numId="121" w16cid:durableId="30351011">
    <w:abstractNumId w:val="0"/>
  </w:num>
  <w:num w:numId="122" w16cid:durableId="394938356">
    <w:abstractNumId w:val="63"/>
  </w:num>
  <w:num w:numId="123" w16cid:durableId="1738892838">
    <w:abstractNumId w:val="11"/>
  </w:num>
  <w:num w:numId="124" w16cid:durableId="1167011628">
    <w:abstractNumId w:val="82"/>
  </w:num>
  <w:num w:numId="125" w16cid:durableId="1102530739">
    <w:abstractNumId w:val="7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59"/>
    <w:rsid w:val="000002CA"/>
    <w:rsid w:val="0000091A"/>
    <w:rsid w:val="00000CF1"/>
    <w:rsid w:val="00000D14"/>
    <w:rsid w:val="00001066"/>
    <w:rsid w:val="00001820"/>
    <w:rsid w:val="00002020"/>
    <w:rsid w:val="00002786"/>
    <w:rsid w:val="00002813"/>
    <w:rsid w:val="00002AD9"/>
    <w:rsid w:val="00003099"/>
    <w:rsid w:val="000032FE"/>
    <w:rsid w:val="000034FD"/>
    <w:rsid w:val="00003500"/>
    <w:rsid w:val="0000383D"/>
    <w:rsid w:val="00003A91"/>
    <w:rsid w:val="000045BA"/>
    <w:rsid w:val="00004B34"/>
    <w:rsid w:val="00004CD5"/>
    <w:rsid w:val="00004E41"/>
    <w:rsid w:val="00004FF3"/>
    <w:rsid w:val="000055F3"/>
    <w:rsid w:val="00005A08"/>
    <w:rsid w:val="000065C4"/>
    <w:rsid w:val="0000691A"/>
    <w:rsid w:val="00006A00"/>
    <w:rsid w:val="00006EFB"/>
    <w:rsid w:val="000070D8"/>
    <w:rsid w:val="000076FD"/>
    <w:rsid w:val="00007A80"/>
    <w:rsid w:val="00007A9E"/>
    <w:rsid w:val="00007B39"/>
    <w:rsid w:val="00007C92"/>
    <w:rsid w:val="0001055B"/>
    <w:rsid w:val="00010640"/>
    <w:rsid w:val="00010846"/>
    <w:rsid w:val="00010A4C"/>
    <w:rsid w:val="00011339"/>
    <w:rsid w:val="00011A3A"/>
    <w:rsid w:val="00011F78"/>
    <w:rsid w:val="000121A1"/>
    <w:rsid w:val="000126D7"/>
    <w:rsid w:val="00012F71"/>
    <w:rsid w:val="00012F80"/>
    <w:rsid w:val="00012FB0"/>
    <w:rsid w:val="000132C9"/>
    <w:rsid w:val="00013697"/>
    <w:rsid w:val="00013B59"/>
    <w:rsid w:val="00013BFF"/>
    <w:rsid w:val="00013CBA"/>
    <w:rsid w:val="00014753"/>
    <w:rsid w:val="00014C30"/>
    <w:rsid w:val="00014ED1"/>
    <w:rsid w:val="00014FA7"/>
    <w:rsid w:val="000150B3"/>
    <w:rsid w:val="00015398"/>
    <w:rsid w:val="000155DC"/>
    <w:rsid w:val="0001573E"/>
    <w:rsid w:val="00015B70"/>
    <w:rsid w:val="00016175"/>
    <w:rsid w:val="00016F47"/>
    <w:rsid w:val="000171AC"/>
    <w:rsid w:val="0001720D"/>
    <w:rsid w:val="00017AC2"/>
    <w:rsid w:val="00017BF0"/>
    <w:rsid w:val="00017CE6"/>
    <w:rsid w:val="000200AE"/>
    <w:rsid w:val="0002019A"/>
    <w:rsid w:val="000207A5"/>
    <w:rsid w:val="00020C04"/>
    <w:rsid w:val="00020DE7"/>
    <w:rsid w:val="0002104B"/>
    <w:rsid w:val="00021597"/>
    <w:rsid w:val="00021736"/>
    <w:rsid w:val="0002173E"/>
    <w:rsid w:val="00021778"/>
    <w:rsid w:val="000217CC"/>
    <w:rsid w:val="00021DDE"/>
    <w:rsid w:val="0002241E"/>
    <w:rsid w:val="000230B7"/>
    <w:rsid w:val="00023387"/>
    <w:rsid w:val="000238B8"/>
    <w:rsid w:val="000239DC"/>
    <w:rsid w:val="00024AF2"/>
    <w:rsid w:val="00024C7E"/>
    <w:rsid w:val="00026048"/>
    <w:rsid w:val="000268E6"/>
    <w:rsid w:val="00026F09"/>
    <w:rsid w:val="00026F26"/>
    <w:rsid w:val="00026F56"/>
    <w:rsid w:val="00027068"/>
    <w:rsid w:val="0002734B"/>
    <w:rsid w:val="000273CD"/>
    <w:rsid w:val="00027555"/>
    <w:rsid w:val="00027F54"/>
    <w:rsid w:val="000307C2"/>
    <w:rsid w:val="0003088E"/>
    <w:rsid w:val="00030A67"/>
    <w:rsid w:val="0003157D"/>
    <w:rsid w:val="000315D4"/>
    <w:rsid w:val="0003163C"/>
    <w:rsid w:val="0003188C"/>
    <w:rsid w:val="00031986"/>
    <w:rsid w:val="00031C96"/>
    <w:rsid w:val="00031D19"/>
    <w:rsid w:val="000323EF"/>
    <w:rsid w:val="00032DF2"/>
    <w:rsid w:val="00033028"/>
    <w:rsid w:val="00033283"/>
    <w:rsid w:val="00033DFC"/>
    <w:rsid w:val="000340EE"/>
    <w:rsid w:val="000345C2"/>
    <w:rsid w:val="0003474E"/>
    <w:rsid w:val="00034907"/>
    <w:rsid w:val="00034BF2"/>
    <w:rsid w:val="00034D62"/>
    <w:rsid w:val="00034DD1"/>
    <w:rsid w:val="00035553"/>
    <w:rsid w:val="00035EB0"/>
    <w:rsid w:val="00035FC6"/>
    <w:rsid w:val="000370E4"/>
    <w:rsid w:val="000372DF"/>
    <w:rsid w:val="000378A7"/>
    <w:rsid w:val="00040D37"/>
    <w:rsid w:val="00040DFE"/>
    <w:rsid w:val="00041092"/>
    <w:rsid w:val="00041337"/>
    <w:rsid w:val="000416F3"/>
    <w:rsid w:val="00041926"/>
    <w:rsid w:val="0004193E"/>
    <w:rsid w:val="00041D55"/>
    <w:rsid w:val="000425AF"/>
    <w:rsid w:val="000426E4"/>
    <w:rsid w:val="00042AA6"/>
    <w:rsid w:val="00043D12"/>
    <w:rsid w:val="00043D7E"/>
    <w:rsid w:val="00043D92"/>
    <w:rsid w:val="00043F7A"/>
    <w:rsid w:val="00043FED"/>
    <w:rsid w:val="000441CA"/>
    <w:rsid w:val="000446E5"/>
    <w:rsid w:val="0004510F"/>
    <w:rsid w:val="00045651"/>
    <w:rsid w:val="0004568F"/>
    <w:rsid w:val="00045729"/>
    <w:rsid w:val="0004627D"/>
    <w:rsid w:val="000466E2"/>
    <w:rsid w:val="00046ED1"/>
    <w:rsid w:val="000470CF"/>
    <w:rsid w:val="00047648"/>
    <w:rsid w:val="00047B10"/>
    <w:rsid w:val="00047F99"/>
    <w:rsid w:val="0005020B"/>
    <w:rsid w:val="00050304"/>
    <w:rsid w:val="00050995"/>
    <w:rsid w:val="00050BFF"/>
    <w:rsid w:val="000516D5"/>
    <w:rsid w:val="000516F7"/>
    <w:rsid w:val="0005185E"/>
    <w:rsid w:val="00051A2A"/>
    <w:rsid w:val="00051EC9"/>
    <w:rsid w:val="0005206B"/>
    <w:rsid w:val="000523D2"/>
    <w:rsid w:val="00052A66"/>
    <w:rsid w:val="00052B33"/>
    <w:rsid w:val="00052C31"/>
    <w:rsid w:val="00052F66"/>
    <w:rsid w:val="00053186"/>
    <w:rsid w:val="000535AD"/>
    <w:rsid w:val="00053A96"/>
    <w:rsid w:val="00053C3B"/>
    <w:rsid w:val="00054138"/>
    <w:rsid w:val="0005460F"/>
    <w:rsid w:val="00055144"/>
    <w:rsid w:val="00055259"/>
    <w:rsid w:val="00055861"/>
    <w:rsid w:val="00055B0A"/>
    <w:rsid w:val="00055FE5"/>
    <w:rsid w:val="000560ED"/>
    <w:rsid w:val="000564EE"/>
    <w:rsid w:val="000565CF"/>
    <w:rsid w:val="000566C7"/>
    <w:rsid w:val="000569F5"/>
    <w:rsid w:val="00056CB6"/>
    <w:rsid w:val="00056FE1"/>
    <w:rsid w:val="00057875"/>
    <w:rsid w:val="00057A6F"/>
    <w:rsid w:val="00060CF8"/>
    <w:rsid w:val="00060E0C"/>
    <w:rsid w:val="00061146"/>
    <w:rsid w:val="00061DC8"/>
    <w:rsid w:val="000624A6"/>
    <w:rsid w:val="00062D6C"/>
    <w:rsid w:val="00062F05"/>
    <w:rsid w:val="000634D7"/>
    <w:rsid w:val="00063B8A"/>
    <w:rsid w:val="00063C3D"/>
    <w:rsid w:val="000641EC"/>
    <w:rsid w:val="00064398"/>
    <w:rsid w:val="000644A6"/>
    <w:rsid w:val="000645FE"/>
    <w:rsid w:val="00064704"/>
    <w:rsid w:val="00064C2F"/>
    <w:rsid w:val="00064C35"/>
    <w:rsid w:val="00064CAB"/>
    <w:rsid w:val="00064DAA"/>
    <w:rsid w:val="00065759"/>
    <w:rsid w:val="00065761"/>
    <w:rsid w:val="00065CF3"/>
    <w:rsid w:val="000660F1"/>
    <w:rsid w:val="000667DE"/>
    <w:rsid w:val="00066E41"/>
    <w:rsid w:val="00067570"/>
    <w:rsid w:val="00067761"/>
    <w:rsid w:val="00067A7B"/>
    <w:rsid w:val="00070139"/>
    <w:rsid w:val="000702A7"/>
    <w:rsid w:val="000709D6"/>
    <w:rsid w:val="00070A3C"/>
    <w:rsid w:val="00071646"/>
    <w:rsid w:val="00071955"/>
    <w:rsid w:val="00071ED1"/>
    <w:rsid w:val="00072288"/>
    <w:rsid w:val="000725B7"/>
    <w:rsid w:val="0007263D"/>
    <w:rsid w:val="0007264D"/>
    <w:rsid w:val="00072C35"/>
    <w:rsid w:val="00072E0E"/>
    <w:rsid w:val="00073221"/>
    <w:rsid w:val="000735B2"/>
    <w:rsid w:val="00073F97"/>
    <w:rsid w:val="00073FAD"/>
    <w:rsid w:val="000743FD"/>
    <w:rsid w:val="00074697"/>
    <w:rsid w:val="000746AA"/>
    <w:rsid w:val="00074F3D"/>
    <w:rsid w:val="000756E3"/>
    <w:rsid w:val="00075BFE"/>
    <w:rsid w:val="0007634E"/>
    <w:rsid w:val="000765FD"/>
    <w:rsid w:val="000770B1"/>
    <w:rsid w:val="000770C6"/>
    <w:rsid w:val="0008097F"/>
    <w:rsid w:val="00081315"/>
    <w:rsid w:val="00081673"/>
    <w:rsid w:val="0008176D"/>
    <w:rsid w:val="0008183D"/>
    <w:rsid w:val="00081DE3"/>
    <w:rsid w:val="00082B9E"/>
    <w:rsid w:val="000833E0"/>
    <w:rsid w:val="0008345F"/>
    <w:rsid w:val="00083BB8"/>
    <w:rsid w:val="0008499E"/>
    <w:rsid w:val="00085577"/>
    <w:rsid w:val="00085A7E"/>
    <w:rsid w:val="00085ABF"/>
    <w:rsid w:val="00085ACA"/>
    <w:rsid w:val="00085CA2"/>
    <w:rsid w:val="00085DC0"/>
    <w:rsid w:val="00086250"/>
    <w:rsid w:val="0008629A"/>
    <w:rsid w:val="000862BC"/>
    <w:rsid w:val="000864B4"/>
    <w:rsid w:val="000867D1"/>
    <w:rsid w:val="00086D4D"/>
    <w:rsid w:val="00086D70"/>
    <w:rsid w:val="00086EB2"/>
    <w:rsid w:val="0008721F"/>
    <w:rsid w:val="00087488"/>
    <w:rsid w:val="00087661"/>
    <w:rsid w:val="00087F48"/>
    <w:rsid w:val="0009026B"/>
    <w:rsid w:val="000903D0"/>
    <w:rsid w:val="00090476"/>
    <w:rsid w:val="0009061B"/>
    <w:rsid w:val="000907AF"/>
    <w:rsid w:val="00090E3F"/>
    <w:rsid w:val="00091105"/>
    <w:rsid w:val="00091CDF"/>
    <w:rsid w:val="00091E3E"/>
    <w:rsid w:val="0009220C"/>
    <w:rsid w:val="00092586"/>
    <w:rsid w:val="00092CA7"/>
    <w:rsid w:val="00092DB5"/>
    <w:rsid w:val="0009314C"/>
    <w:rsid w:val="0009331A"/>
    <w:rsid w:val="000933ED"/>
    <w:rsid w:val="00093720"/>
    <w:rsid w:val="00093CDE"/>
    <w:rsid w:val="0009415E"/>
    <w:rsid w:val="00094247"/>
    <w:rsid w:val="000943DC"/>
    <w:rsid w:val="0009442B"/>
    <w:rsid w:val="000947A2"/>
    <w:rsid w:val="0009500E"/>
    <w:rsid w:val="000957CB"/>
    <w:rsid w:val="00095C87"/>
    <w:rsid w:val="00095E35"/>
    <w:rsid w:val="00096B3F"/>
    <w:rsid w:val="00096D3B"/>
    <w:rsid w:val="00096E05"/>
    <w:rsid w:val="0009712A"/>
    <w:rsid w:val="0009742B"/>
    <w:rsid w:val="00097BEE"/>
    <w:rsid w:val="000A02DE"/>
    <w:rsid w:val="000A03BD"/>
    <w:rsid w:val="000A03D5"/>
    <w:rsid w:val="000A07D8"/>
    <w:rsid w:val="000A0AF6"/>
    <w:rsid w:val="000A0C41"/>
    <w:rsid w:val="000A12D9"/>
    <w:rsid w:val="000A14F4"/>
    <w:rsid w:val="000A2D93"/>
    <w:rsid w:val="000A30B4"/>
    <w:rsid w:val="000A3B1D"/>
    <w:rsid w:val="000A3DC7"/>
    <w:rsid w:val="000A3F46"/>
    <w:rsid w:val="000A4359"/>
    <w:rsid w:val="000A4D04"/>
    <w:rsid w:val="000A4E83"/>
    <w:rsid w:val="000A4EF3"/>
    <w:rsid w:val="000A50C4"/>
    <w:rsid w:val="000A51D5"/>
    <w:rsid w:val="000A52B2"/>
    <w:rsid w:val="000A52ED"/>
    <w:rsid w:val="000A5408"/>
    <w:rsid w:val="000A56BD"/>
    <w:rsid w:val="000A57E5"/>
    <w:rsid w:val="000A5D64"/>
    <w:rsid w:val="000A5F0C"/>
    <w:rsid w:val="000A62B7"/>
    <w:rsid w:val="000A6793"/>
    <w:rsid w:val="000A6821"/>
    <w:rsid w:val="000A6A34"/>
    <w:rsid w:val="000A6CDF"/>
    <w:rsid w:val="000A6EAD"/>
    <w:rsid w:val="000A6F9C"/>
    <w:rsid w:val="000A725E"/>
    <w:rsid w:val="000A7456"/>
    <w:rsid w:val="000A7937"/>
    <w:rsid w:val="000A7AD0"/>
    <w:rsid w:val="000A7C19"/>
    <w:rsid w:val="000B0489"/>
    <w:rsid w:val="000B0659"/>
    <w:rsid w:val="000B0ADC"/>
    <w:rsid w:val="000B1570"/>
    <w:rsid w:val="000B167B"/>
    <w:rsid w:val="000B170C"/>
    <w:rsid w:val="000B17A3"/>
    <w:rsid w:val="000B1983"/>
    <w:rsid w:val="000B2155"/>
    <w:rsid w:val="000B21E9"/>
    <w:rsid w:val="000B2241"/>
    <w:rsid w:val="000B2351"/>
    <w:rsid w:val="000B2361"/>
    <w:rsid w:val="000B32C5"/>
    <w:rsid w:val="000B3370"/>
    <w:rsid w:val="000B345B"/>
    <w:rsid w:val="000B3811"/>
    <w:rsid w:val="000B3915"/>
    <w:rsid w:val="000B3E9C"/>
    <w:rsid w:val="000B3EB5"/>
    <w:rsid w:val="000B43F8"/>
    <w:rsid w:val="000B47C7"/>
    <w:rsid w:val="000B4A94"/>
    <w:rsid w:val="000B53B6"/>
    <w:rsid w:val="000B5573"/>
    <w:rsid w:val="000B5BB4"/>
    <w:rsid w:val="000B5C0D"/>
    <w:rsid w:val="000B5D24"/>
    <w:rsid w:val="000B5F71"/>
    <w:rsid w:val="000B600F"/>
    <w:rsid w:val="000B6268"/>
    <w:rsid w:val="000B6D9F"/>
    <w:rsid w:val="000B716E"/>
    <w:rsid w:val="000B71ED"/>
    <w:rsid w:val="000B74E0"/>
    <w:rsid w:val="000B7896"/>
    <w:rsid w:val="000B7A8C"/>
    <w:rsid w:val="000C01B9"/>
    <w:rsid w:val="000C071C"/>
    <w:rsid w:val="000C0CF5"/>
    <w:rsid w:val="000C15EC"/>
    <w:rsid w:val="000C1AEC"/>
    <w:rsid w:val="000C1B5B"/>
    <w:rsid w:val="000C1BE4"/>
    <w:rsid w:val="000C1DAC"/>
    <w:rsid w:val="000C213D"/>
    <w:rsid w:val="000C28AF"/>
    <w:rsid w:val="000C2E0E"/>
    <w:rsid w:val="000C2E6A"/>
    <w:rsid w:val="000C2F10"/>
    <w:rsid w:val="000C32A1"/>
    <w:rsid w:val="000C346E"/>
    <w:rsid w:val="000C3E40"/>
    <w:rsid w:val="000C402E"/>
    <w:rsid w:val="000C45D0"/>
    <w:rsid w:val="000C49C3"/>
    <w:rsid w:val="000C4B19"/>
    <w:rsid w:val="000C4E61"/>
    <w:rsid w:val="000C507E"/>
    <w:rsid w:val="000C52AA"/>
    <w:rsid w:val="000C58DA"/>
    <w:rsid w:val="000C5A95"/>
    <w:rsid w:val="000C5B10"/>
    <w:rsid w:val="000C5D46"/>
    <w:rsid w:val="000C6664"/>
    <w:rsid w:val="000C673C"/>
    <w:rsid w:val="000C6C15"/>
    <w:rsid w:val="000C6ED7"/>
    <w:rsid w:val="000C730E"/>
    <w:rsid w:val="000C7473"/>
    <w:rsid w:val="000C75AF"/>
    <w:rsid w:val="000C77F0"/>
    <w:rsid w:val="000C7860"/>
    <w:rsid w:val="000C7B52"/>
    <w:rsid w:val="000C7BBA"/>
    <w:rsid w:val="000CDDC9"/>
    <w:rsid w:val="000D06E0"/>
    <w:rsid w:val="000D08DC"/>
    <w:rsid w:val="000D123C"/>
    <w:rsid w:val="000D1437"/>
    <w:rsid w:val="000D1685"/>
    <w:rsid w:val="000D1E30"/>
    <w:rsid w:val="000D2018"/>
    <w:rsid w:val="000D224A"/>
    <w:rsid w:val="000D299F"/>
    <w:rsid w:val="000D3588"/>
    <w:rsid w:val="000D4A72"/>
    <w:rsid w:val="000D4D48"/>
    <w:rsid w:val="000D55A6"/>
    <w:rsid w:val="000D5649"/>
    <w:rsid w:val="000D5881"/>
    <w:rsid w:val="000D5B11"/>
    <w:rsid w:val="000D67E5"/>
    <w:rsid w:val="000D6F93"/>
    <w:rsid w:val="000D75D2"/>
    <w:rsid w:val="000D7900"/>
    <w:rsid w:val="000D7EC1"/>
    <w:rsid w:val="000E05B0"/>
    <w:rsid w:val="000E09BB"/>
    <w:rsid w:val="000E0BDD"/>
    <w:rsid w:val="000E0BEF"/>
    <w:rsid w:val="000E0F95"/>
    <w:rsid w:val="000E1233"/>
    <w:rsid w:val="000E1355"/>
    <w:rsid w:val="000E17B8"/>
    <w:rsid w:val="000E1ACB"/>
    <w:rsid w:val="000E212E"/>
    <w:rsid w:val="000E25E7"/>
    <w:rsid w:val="000E2B09"/>
    <w:rsid w:val="000E2D2D"/>
    <w:rsid w:val="000E303E"/>
    <w:rsid w:val="000E3320"/>
    <w:rsid w:val="000E3608"/>
    <w:rsid w:val="000E3876"/>
    <w:rsid w:val="000E437E"/>
    <w:rsid w:val="000E4B3A"/>
    <w:rsid w:val="000E5048"/>
    <w:rsid w:val="000E5165"/>
    <w:rsid w:val="000E532F"/>
    <w:rsid w:val="000E549F"/>
    <w:rsid w:val="000E56A8"/>
    <w:rsid w:val="000E5C20"/>
    <w:rsid w:val="000E5FBB"/>
    <w:rsid w:val="000E6105"/>
    <w:rsid w:val="000E78E4"/>
    <w:rsid w:val="000E7F3F"/>
    <w:rsid w:val="000F0225"/>
    <w:rsid w:val="000F0381"/>
    <w:rsid w:val="000F0610"/>
    <w:rsid w:val="000F099C"/>
    <w:rsid w:val="000F0D89"/>
    <w:rsid w:val="000F0EFC"/>
    <w:rsid w:val="000F1212"/>
    <w:rsid w:val="000F1CB2"/>
    <w:rsid w:val="000F1EA6"/>
    <w:rsid w:val="000F2343"/>
    <w:rsid w:val="000F2A71"/>
    <w:rsid w:val="000F2BD6"/>
    <w:rsid w:val="000F2D2E"/>
    <w:rsid w:val="000F2F12"/>
    <w:rsid w:val="000F310F"/>
    <w:rsid w:val="000F3274"/>
    <w:rsid w:val="000F34C8"/>
    <w:rsid w:val="000F3EC6"/>
    <w:rsid w:val="000F3F78"/>
    <w:rsid w:val="000F41FA"/>
    <w:rsid w:val="000F4260"/>
    <w:rsid w:val="000F46AE"/>
    <w:rsid w:val="000F4BC7"/>
    <w:rsid w:val="000F51FB"/>
    <w:rsid w:val="000F5253"/>
    <w:rsid w:val="000F549E"/>
    <w:rsid w:val="000F5648"/>
    <w:rsid w:val="000F5A71"/>
    <w:rsid w:val="000F5AE8"/>
    <w:rsid w:val="000F6831"/>
    <w:rsid w:val="000F6C4D"/>
    <w:rsid w:val="000F6CC6"/>
    <w:rsid w:val="000F70C5"/>
    <w:rsid w:val="000F73C7"/>
    <w:rsid w:val="000F7688"/>
    <w:rsid w:val="000F7E49"/>
    <w:rsid w:val="000F7EB5"/>
    <w:rsid w:val="001004AC"/>
    <w:rsid w:val="00100B0A"/>
    <w:rsid w:val="00100C7F"/>
    <w:rsid w:val="00101216"/>
    <w:rsid w:val="00101684"/>
    <w:rsid w:val="00101810"/>
    <w:rsid w:val="00101817"/>
    <w:rsid w:val="00101A98"/>
    <w:rsid w:val="00101EBE"/>
    <w:rsid w:val="00102521"/>
    <w:rsid w:val="00103583"/>
    <w:rsid w:val="00103E00"/>
    <w:rsid w:val="00104292"/>
    <w:rsid w:val="00104C83"/>
    <w:rsid w:val="00104CF7"/>
    <w:rsid w:val="00104DDA"/>
    <w:rsid w:val="00105267"/>
    <w:rsid w:val="001052D8"/>
    <w:rsid w:val="001052DE"/>
    <w:rsid w:val="0010584F"/>
    <w:rsid w:val="00105E3D"/>
    <w:rsid w:val="001066C4"/>
    <w:rsid w:val="00106748"/>
    <w:rsid w:val="00106924"/>
    <w:rsid w:val="001069AD"/>
    <w:rsid w:val="001069DB"/>
    <w:rsid w:val="00106A93"/>
    <w:rsid w:val="00106FF5"/>
    <w:rsid w:val="0010785A"/>
    <w:rsid w:val="00110564"/>
    <w:rsid w:val="001109DE"/>
    <w:rsid w:val="00110CFE"/>
    <w:rsid w:val="00110F0E"/>
    <w:rsid w:val="0011127B"/>
    <w:rsid w:val="00111570"/>
    <w:rsid w:val="001118A3"/>
    <w:rsid w:val="00111B77"/>
    <w:rsid w:val="00111BF6"/>
    <w:rsid w:val="00111F4A"/>
    <w:rsid w:val="00111FD0"/>
    <w:rsid w:val="00112434"/>
    <w:rsid w:val="00112804"/>
    <w:rsid w:val="00113814"/>
    <w:rsid w:val="001138AC"/>
    <w:rsid w:val="00113DBA"/>
    <w:rsid w:val="00113E46"/>
    <w:rsid w:val="00115517"/>
    <w:rsid w:val="0011613F"/>
    <w:rsid w:val="001162C9"/>
    <w:rsid w:val="00116BCE"/>
    <w:rsid w:val="00117462"/>
    <w:rsid w:val="00117756"/>
    <w:rsid w:val="001179FB"/>
    <w:rsid w:val="00117A87"/>
    <w:rsid w:val="00120663"/>
    <w:rsid w:val="00120718"/>
    <w:rsid w:val="00120892"/>
    <w:rsid w:val="001211FD"/>
    <w:rsid w:val="0012127B"/>
    <w:rsid w:val="0012157A"/>
    <w:rsid w:val="00121667"/>
    <w:rsid w:val="001216C8"/>
    <w:rsid w:val="0012188B"/>
    <w:rsid w:val="00122080"/>
    <w:rsid w:val="00122700"/>
    <w:rsid w:val="001228C6"/>
    <w:rsid w:val="001229B2"/>
    <w:rsid w:val="001230C9"/>
    <w:rsid w:val="0012391D"/>
    <w:rsid w:val="00124140"/>
    <w:rsid w:val="00124772"/>
    <w:rsid w:val="00124853"/>
    <w:rsid w:val="00124ED3"/>
    <w:rsid w:val="001256C7"/>
    <w:rsid w:val="00125A3C"/>
    <w:rsid w:val="00125F32"/>
    <w:rsid w:val="00126255"/>
    <w:rsid w:val="00126547"/>
    <w:rsid w:val="001268D7"/>
    <w:rsid w:val="00126943"/>
    <w:rsid w:val="00126962"/>
    <w:rsid w:val="00126968"/>
    <w:rsid w:val="001271A5"/>
    <w:rsid w:val="00127B10"/>
    <w:rsid w:val="001301E3"/>
    <w:rsid w:val="00130351"/>
    <w:rsid w:val="0013073F"/>
    <w:rsid w:val="00131390"/>
    <w:rsid w:val="00131EFB"/>
    <w:rsid w:val="0013211A"/>
    <w:rsid w:val="00132376"/>
    <w:rsid w:val="001324FE"/>
    <w:rsid w:val="00132782"/>
    <w:rsid w:val="00132972"/>
    <w:rsid w:val="00132BE5"/>
    <w:rsid w:val="00132C8D"/>
    <w:rsid w:val="00133745"/>
    <w:rsid w:val="00133E4F"/>
    <w:rsid w:val="00134153"/>
    <w:rsid w:val="0013447F"/>
    <w:rsid w:val="00135806"/>
    <w:rsid w:val="00135B81"/>
    <w:rsid w:val="0013613C"/>
    <w:rsid w:val="001361FF"/>
    <w:rsid w:val="00136271"/>
    <w:rsid w:val="0013637D"/>
    <w:rsid w:val="00136751"/>
    <w:rsid w:val="0013682D"/>
    <w:rsid w:val="00136D0B"/>
    <w:rsid w:val="00136FC7"/>
    <w:rsid w:val="00137413"/>
    <w:rsid w:val="001376A3"/>
    <w:rsid w:val="001378BC"/>
    <w:rsid w:val="00137A5B"/>
    <w:rsid w:val="00137BA9"/>
    <w:rsid w:val="00137FCA"/>
    <w:rsid w:val="00140068"/>
    <w:rsid w:val="00140085"/>
    <w:rsid w:val="00140160"/>
    <w:rsid w:val="0014041A"/>
    <w:rsid w:val="00140795"/>
    <w:rsid w:val="00141682"/>
    <w:rsid w:val="00141FA9"/>
    <w:rsid w:val="00142055"/>
    <w:rsid w:val="00142230"/>
    <w:rsid w:val="00142622"/>
    <w:rsid w:val="001426EC"/>
    <w:rsid w:val="001433EF"/>
    <w:rsid w:val="001442C0"/>
    <w:rsid w:val="001443D9"/>
    <w:rsid w:val="00144BA5"/>
    <w:rsid w:val="00144FFB"/>
    <w:rsid w:val="0014548E"/>
    <w:rsid w:val="0014572B"/>
    <w:rsid w:val="00145977"/>
    <w:rsid w:val="00146230"/>
    <w:rsid w:val="001462FE"/>
    <w:rsid w:val="0014656B"/>
    <w:rsid w:val="00146C2E"/>
    <w:rsid w:val="00147138"/>
    <w:rsid w:val="0014723F"/>
    <w:rsid w:val="00147C0D"/>
    <w:rsid w:val="0015013F"/>
    <w:rsid w:val="00150690"/>
    <w:rsid w:val="00150898"/>
    <w:rsid w:val="00150CF8"/>
    <w:rsid w:val="00150DB1"/>
    <w:rsid w:val="001514AF"/>
    <w:rsid w:val="001514B9"/>
    <w:rsid w:val="00151B20"/>
    <w:rsid w:val="00152133"/>
    <w:rsid w:val="001525E9"/>
    <w:rsid w:val="00152C79"/>
    <w:rsid w:val="00152FDC"/>
    <w:rsid w:val="0015303D"/>
    <w:rsid w:val="00153777"/>
    <w:rsid w:val="00153828"/>
    <w:rsid w:val="00153D41"/>
    <w:rsid w:val="0015472E"/>
    <w:rsid w:val="00154A09"/>
    <w:rsid w:val="00155075"/>
    <w:rsid w:val="0015531A"/>
    <w:rsid w:val="0015577E"/>
    <w:rsid w:val="00155B01"/>
    <w:rsid w:val="00156440"/>
    <w:rsid w:val="00156642"/>
    <w:rsid w:val="00157693"/>
    <w:rsid w:val="001576DB"/>
    <w:rsid w:val="0016013A"/>
    <w:rsid w:val="0016014F"/>
    <w:rsid w:val="001602C6"/>
    <w:rsid w:val="001603D0"/>
    <w:rsid w:val="0016041D"/>
    <w:rsid w:val="001605B3"/>
    <w:rsid w:val="00161740"/>
    <w:rsid w:val="00161981"/>
    <w:rsid w:val="00161ADF"/>
    <w:rsid w:val="0016218F"/>
    <w:rsid w:val="0016248C"/>
    <w:rsid w:val="001625BF"/>
    <w:rsid w:val="001639D2"/>
    <w:rsid w:val="00163BDE"/>
    <w:rsid w:val="00163C39"/>
    <w:rsid w:val="00163C89"/>
    <w:rsid w:val="00163C8D"/>
    <w:rsid w:val="00163EF5"/>
    <w:rsid w:val="00163FC9"/>
    <w:rsid w:val="00164FF6"/>
    <w:rsid w:val="001652C5"/>
    <w:rsid w:val="00165E4A"/>
    <w:rsid w:val="001661BA"/>
    <w:rsid w:val="001662A0"/>
    <w:rsid w:val="00166605"/>
    <w:rsid w:val="00166DD1"/>
    <w:rsid w:val="00167029"/>
    <w:rsid w:val="0016718D"/>
    <w:rsid w:val="00167378"/>
    <w:rsid w:val="00167436"/>
    <w:rsid w:val="0016743F"/>
    <w:rsid w:val="0016757B"/>
    <w:rsid w:val="001677EE"/>
    <w:rsid w:val="00167E67"/>
    <w:rsid w:val="0017026C"/>
    <w:rsid w:val="00170436"/>
    <w:rsid w:val="00170837"/>
    <w:rsid w:val="00170B58"/>
    <w:rsid w:val="00171018"/>
    <w:rsid w:val="0017131E"/>
    <w:rsid w:val="0017135E"/>
    <w:rsid w:val="0017184E"/>
    <w:rsid w:val="00171CDD"/>
    <w:rsid w:val="00172265"/>
    <w:rsid w:val="00172288"/>
    <w:rsid w:val="00172A27"/>
    <w:rsid w:val="00172CC5"/>
    <w:rsid w:val="00173234"/>
    <w:rsid w:val="00173989"/>
    <w:rsid w:val="00173A72"/>
    <w:rsid w:val="00173ED3"/>
    <w:rsid w:val="00174057"/>
    <w:rsid w:val="0017460D"/>
    <w:rsid w:val="0017489B"/>
    <w:rsid w:val="00174E2A"/>
    <w:rsid w:val="00174EC3"/>
    <w:rsid w:val="00174FB9"/>
    <w:rsid w:val="00175178"/>
    <w:rsid w:val="00175A8C"/>
    <w:rsid w:val="00175C1F"/>
    <w:rsid w:val="0017618F"/>
    <w:rsid w:val="00176BB8"/>
    <w:rsid w:val="00176F4B"/>
    <w:rsid w:val="001774D9"/>
    <w:rsid w:val="00177B32"/>
    <w:rsid w:val="00180022"/>
    <w:rsid w:val="00180123"/>
    <w:rsid w:val="001806BD"/>
    <w:rsid w:val="00180874"/>
    <w:rsid w:val="00181587"/>
    <w:rsid w:val="0018175D"/>
    <w:rsid w:val="00181764"/>
    <w:rsid w:val="001817B0"/>
    <w:rsid w:val="00182496"/>
    <w:rsid w:val="00182711"/>
    <w:rsid w:val="00182B30"/>
    <w:rsid w:val="00183593"/>
    <w:rsid w:val="001836F9"/>
    <w:rsid w:val="00183B21"/>
    <w:rsid w:val="00183DC7"/>
    <w:rsid w:val="00183E92"/>
    <w:rsid w:val="00184141"/>
    <w:rsid w:val="00184871"/>
    <w:rsid w:val="00184C86"/>
    <w:rsid w:val="00184E45"/>
    <w:rsid w:val="001851AF"/>
    <w:rsid w:val="00185678"/>
    <w:rsid w:val="001857DC"/>
    <w:rsid w:val="00185E0C"/>
    <w:rsid w:val="001860B1"/>
    <w:rsid w:val="0018631C"/>
    <w:rsid w:val="00186855"/>
    <w:rsid w:val="00186E0A"/>
    <w:rsid w:val="00187277"/>
    <w:rsid w:val="001872B0"/>
    <w:rsid w:val="00187313"/>
    <w:rsid w:val="00187697"/>
    <w:rsid w:val="00187810"/>
    <w:rsid w:val="00187ACB"/>
    <w:rsid w:val="0019069D"/>
    <w:rsid w:val="00190FF1"/>
    <w:rsid w:val="0019268B"/>
    <w:rsid w:val="00193B5C"/>
    <w:rsid w:val="00193CF8"/>
    <w:rsid w:val="00193F52"/>
    <w:rsid w:val="00193FE8"/>
    <w:rsid w:val="001940CE"/>
    <w:rsid w:val="00194253"/>
    <w:rsid w:val="001944C8"/>
    <w:rsid w:val="00194BC5"/>
    <w:rsid w:val="001951F2"/>
    <w:rsid w:val="001955A0"/>
    <w:rsid w:val="00195698"/>
    <w:rsid w:val="00195853"/>
    <w:rsid w:val="00195C2B"/>
    <w:rsid w:val="00195F3B"/>
    <w:rsid w:val="001968F4"/>
    <w:rsid w:val="00196B5E"/>
    <w:rsid w:val="00196C71"/>
    <w:rsid w:val="00196FD2"/>
    <w:rsid w:val="001972B3"/>
    <w:rsid w:val="0019756E"/>
    <w:rsid w:val="0019767F"/>
    <w:rsid w:val="00197701"/>
    <w:rsid w:val="001977E5"/>
    <w:rsid w:val="00197CDF"/>
    <w:rsid w:val="00197D7B"/>
    <w:rsid w:val="00197F54"/>
    <w:rsid w:val="001A0ABB"/>
    <w:rsid w:val="001A0F94"/>
    <w:rsid w:val="001A174B"/>
    <w:rsid w:val="001A1AE2"/>
    <w:rsid w:val="001A1C63"/>
    <w:rsid w:val="001A2E22"/>
    <w:rsid w:val="001A333D"/>
    <w:rsid w:val="001A3654"/>
    <w:rsid w:val="001A4499"/>
    <w:rsid w:val="001A4AA8"/>
    <w:rsid w:val="001A4CE7"/>
    <w:rsid w:val="001A5346"/>
    <w:rsid w:val="001A59D3"/>
    <w:rsid w:val="001A5D88"/>
    <w:rsid w:val="001A5EA0"/>
    <w:rsid w:val="001A5F3F"/>
    <w:rsid w:val="001A6289"/>
    <w:rsid w:val="001A636A"/>
    <w:rsid w:val="001A6D1D"/>
    <w:rsid w:val="001A6DF1"/>
    <w:rsid w:val="001A7358"/>
    <w:rsid w:val="001A7923"/>
    <w:rsid w:val="001A79E4"/>
    <w:rsid w:val="001A7E28"/>
    <w:rsid w:val="001B0196"/>
    <w:rsid w:val="001B044B"/>
    <w:rsid w:val="001B0662"/>
    <w:rsid w:val="001B0C92"/>
    <w:rsid w:val="001B1D8A"/>
    <w:rsid w:val="001B2ADD"/>
    <w:rsid w:val="001B2E45"/>
    <w:rsid w:val="001B3AF6"/>
    <w:rsid w:val="001B3D7B"/>
    <w:rsid w:val="001B4140"/>
    <w:rsid w:val="001B44AA"/>
    <w:rsid w:val="001B4618"/>
    <w:rsid w:val="001B48A4"/>
    <w:rsid w:val="001B492F"/>
    <w:rsid w:val="001B4E56"/>
    <w:rsid w:val="001B53FB"/>
    <w:rsid w:val="001B5D3D"/>
    <w:rsid w:val="001B5EB9"/>
    <w:rsid w:val="001B6BF4"/>
    <w:rsid w:val="001B6EF8"/>
    <w:rsid w:val="001B71E4"/>
    <w:rsid w:val="001B7224"/>
    <w:rsid w:val="001B7942"/>
    <w:rsid w:val="001B7CCF"/>
    <w:rsid w:val="001B7DD1"/>
    <w:rsid w:val="001B7EF1"/>
    <w:rsid w:val="001B7F70"/>
    <w:rsid w:val="001B7F92"/>
    <w:rsid w:val="001C0275"/>
    <w:rsid w:val="001C0721"/>
    <w:rsid w:val="001C0981"/>
    <w:rsid w:val="001C0A4C"/>
    <w:rsid w:val="001C18CA"/>
    <w:rsid w:val="001C1DCE"/>
    <w:rsid w:val="001C22FB"/>
    <w:rsid w:val="001C26F4"/>
    <w:rsid w:val="001C2A2D"/>
    <w:rsid w:val="001C34D7"/>
    <w:rsid w:val="001C36E2"/>
    <w:rsid w:val="001C38C2"/>
    <w:rsid w:val="001C435B"/>
    <w:rsid w:val="001C4860"/>
    <w:rsid w:val="001C4A8E"/>
    <w:rsid w:val="001C4F69"/>
    <w:rsid w:val="001C50DF"/>
    <w:rsid w:val="001C51C9"/>
    <w:rsid w:val="001C5729"/>
    <w:rsid w:val="001C5828"/>
    <w:rsid w:val="001C5A4E"/>
    <w:rsid w:val="001C5B4C"/>
    <w:rsid w:val="001C5CC4"/>
    <w:rsid w:val="001C5FA6"/>
    <w:rsid w:val="001C6181"/>
    <w:rsid w:val="001C630E"/>
    <w:rsid w:val="001C6558"/>
    <w:rsid w:val="001C6E21"/>
    <w:rsid w:val="001C6E27"/>
    <w:rsid w:val="001C72B4"/>
    <w:rsid w:val="001C7603"/>
    <w:rsid w:val="001C7D68"/>
    <w:rsid w:val="001D0114"/>
    <w:rsid w:val="001D027C"/>
    <w:rsid w:val="001D03F8"/>
    <w:rsid w:val="001D085E"/>
    <w:rsid w:val="001D088C"/>
    <w:rsid w:val="001D0CEB"/>
    <w:rsid w:val="001D0D7A"/>
    <w:rsid w:val="001D1094"/>
    <w:rsid w:val="001D1171"/>
    <w:rsid w:val="001D19E2"/>
    <w:rsid w:val="001D1AB9"/>
    <w:rsid w:val="001D2189"/>
    <w:rsid w:val="001D2341"/>
    <w:rsid w:val="001D2571"/>
    <w:rsid w:val="001D25DE"/>
    <w:rsid w:val="001D376B"/>
    <w:rsid w:val="001D3F15"/>
    <w:rsid w:val="001D4753"/>
    <w:rsid w:val="001D4997"/>
    <w:rsid w:val="001D49F7"/>
    <w:rsid w:val="001D4A18"/>
    <w:rsid w:val="001D4A7C"/>
    <w:rsid w:val="001D4C22"/>
    <w:rsid w:val="001D4D22"/>
    <w:rsid w:val="001D5283"/>
    <w:rsid w:val="001D60F0"/>
    <w:rsid w:val="001D7753"/>
    <w:rsid w:val="001D7A2F"/>
    <w:rsid w:val="001D7BB9"/>
    <w:rsid w:val="001D7ED8"/>
    <w:rsid w:val="001E058B"/>
    <w:rsid w:val="001E1094"/>
    <w:rsid w:val="001E10B9"/>
    <w:rsid w:val="001E1663"/>
    <w:rsid w:val="001E21A4"/>
    <w:rsid w:val="001E21C9"/>
    <w:rsid w:val="001E2200"/>
    <w:rsid w:val="001E2727"/>
    <w:rsid w:val="001E296C"/>
    <w:rsid w:val="001E326C"/>
    <w:rsid w:val="001E35BA"/>
    <w:rsid w:val="001E3CBD"/>
    <w:rsid w:val="001E3FFF"/>
    <w:rsid w:val="001E460D"/>
    <w:rsid w:val="001E4773"/>
    <w:rsid w:val="001E4C5F"/>
    <w:rsid w:val="001E530D"/>
    <w:rsid w:val="001E57A8"/>
    <w:rsid w:val="001E584A"/>
    <w:rsid w:val="001E6112"/>
    <w:rsid w:val="001E618A"/>
    <w:rsid w:val="001E65D8"/>
    <w:rsid w:val="001E753D"/>
    <w:rsid w:val="001E75C6"/>
    <w:rsid w:val="001E7B26"/>
    <w:rsid w:val="001F0040"/>
    <w:rsid w:val="001F079E"/>
    <w:rsid w:val="001F0AF2"/>
    <w:rsid w:val="001F0F3F"/>
    <w:rsid w:val="001F18EB"/>
    <w:rsid w:val="001F1EB4"/>
    <w:rsid w:val="001F2377"/>
    <w:rsid w:val="001F239C"/>
    <w:rsid w:val="001F283D"/>
    <w:rsid w:val="001F29F7"/>
    <w:rsid w:val="001F2C62"/>
    <w:rsid w:val="001F2D03"/>
    <w:rsid w:val="001F313D"/>
    <w:rsid w:val="001F36D9"/>
    <w:rsid w:val="001F3AF3"/>
    <w:rsid w:val="001F3BDF"/>
    <w:rsid w:val="001F411A"/>
    <w:rsid w:val="001F41D1"/>
    <w:rsid w:val="001F4379"/>
    <w:rsid w:val="001F4EC8"/>
    <w:rsid w:val="001F5775"/>
    <w:rsid w:val="001F5842"/>
    <w:rsid w:val="001F5BFB"/>
    <w:rsid w:val="001F5FB7"/>
    <w:rsid w:val="001F613C"/>
    <w:rsid w:val="001F684C"/>
    <w:rsid w:val="001F6A06"/>
    <w:rsid w:val="001F6E49"/>
    <w:rsid w:val="001F72D3"/>
    <w:rsid w:val="001F77C2"/>
    <w:rsid w:val="001F77EB"/>
    <w:rsid w:val="001F7B47"/>
    <w:rsid w:val="00200258"/>
    <w:rsid w:val="002003A3"/>
    <w:rsid w:val="0020042C"/>
    <w:rsid w:val="00200712"/>
    <w:rsid w:val="00201760"/>
    <w:rsid w:val="00201D89"/>
    <w:rsid w:val="0020233B"/>
    <w:rsid w:val="002026D9"/>
    <w:rsid w:val="00202795"/>
    <w:rsid w:val="00202C53"/>
    <w:rsid w:val="00203044"/>
    <w:rsid w:val="00203838"/>
    <w:rsid w:val="00203B6A"/>
    <w:rsid w:val="00203C3D"/>
    <w:rsid w:val="002044C2"/>
    <w:rsid w:val="00204552"/>
    <w:rsid w:val="00205151"/>
    <w:rsid w:val="0020552B"/>
    <w:rsid w:val="00205F08"/>
    <w:rsid w:val="00206C14"/>
    <w:rsid w:val="00207288"/>
    <w:rsid w:val="00207314"/>
    <w:rsid w:val="002074D0"/>
    <w:rsid w:val="002078DB"/>
    <w:rsid w:val="002079A8"/>
    <w:rsid w:val="00207B8E"/>
    <w:rsid w:val="00207CA2"/>
    <w:rsid w:val="00210421"/>
    <w:rsid w:val="0021064A"/>
    <w:rsid w:val="002106BC"/>
    <w:rsid w:val="002106FF"/>
    <w:rsid w:val="00211111"/>
    <w:rsid w:val="00211300"/>
    <w:rsid w:val="002113E7"/>
    <w:rsid w:val="002116A1"/>
    <w:rsid w:val="00211861"/>
    <w:rsid w:val="00211A56"/>
    <w:rsid w:val="00211BBC"/>
    <w:rsid w:val="00212807"/>
    <w:rsid w:val="002128AA"/>
    <w:rsid w:val="002130B5"/>
    <w:rsid w:val="002132D8"/>
    <w:rsid w:val="002132E3"/>
    <w:rsid w:val="00213ADA"/>
    <w:rsid w:val="00213D07"/>
    <w:rsid w:val="00214132"/>
    <w:rsid w:val="00214344"/>
    <w:rsid w:val="0021467F"/>
    <w:rsid w:val="0021476C"/>
    <w:rsid w:val="00214795"/>
    <w:rsid w:val="002149C8"/>
    <w:rsid w:val="002149F3"/>
    <w:rsid w:val="00214A6A"/>
    <w:rsid w:val="00214B53"/>
    <w:rsid w:val="00214E0B"/>
    <w:rsid w:val="00214E6B"/>
    <w:rsid w:val="00214F78"/>
    <w:rsid w:val="00214FEE"/>
    <w:rsid w:val="00215847"/>
    <w:rsid w:val="002159B4"/>
    <w:rsid w:val="00215A77"/>
    <w:rsid w:val="00215C78"/>
    <w:rsid w:val="002165B4"/>
    <w:rsid w:val="00216B8F"/>
    <w:rsid w:val="00216E4A"/>
    <w:rsid w:val="002176EC"/>
    <w:rsid w:val="00217709"/>
    <w:rsid w:val="0021783E"/>
    <w:rsid w:val="00220256"/>
    <w:rsid w:val="00220522"/>
    <w:rsid w:val="00220C28"/>
    <w:rsid w:val="00220D41"/>
    <w:rsid w:val="0022104B"/>
    <w:rsid w:val="00221893"/>
    <w:rsid w:val="00222141"/>
    <w:rsid w:val="002222EF"/>
    <w:rsid w:val="002227C8"/>
    <w:rsid w:val="002228F3"/>
    <w:rsid w:val="00223024"/>
    <w:rsid w:val="0022308F"/>
    <w:rsid w:val="002233AF"/>
    <w:rsid w:val="00223768"/>
    <w:rsid w:val="002238C7"/>
    <w:rsid w:val="00223986"/>
    <w:rsid w:val="00223C99"/>
    <w:rsid w:val="00223DDC"/>
    <w:rsid w:val="00223FE4"/>
    <w:rsid w:val="00224211"/>
    <w:rsid w:val="00224C5F"/>
    <w:rsid w:val="00224FC6"/>
    <w:rsid w:val="00225951"/>
    <w:rsid w:val="00225A7B"/>
    <w:rsid w:val="00225ED6"/>
    <w:rsid w:val="00225FC0"/>
    <w:rsid w:val="002264FE"/>
    <w:rsid w:val="0022660F"/>
    <w:rsid w:val="002267CA"/>
    <w:rsid w:val="002267EE"/>
    <w:rsid w:val="00227345"/>
    <w:rsid w:val="00227984"/>
    <w:rsid w:val="00230127"/>
    <w:rsid w:val="00230293"/>
    <w:rsid w:val="00230A49"/>
    <w:rsid w:val="002316A7"/>
    <w:rsid w:val="0023171D"/>
    <w:rsid w:val="00231BB7"/>
    <w:rsid w:val="00231C91"/>
    <w:rsid w:val="002321BC"/>
    <w:rsid w:val="0023228C"/>
    <w:rsid w:val="0023273E"/>
    <w:rsid w:val="00232AA3"/>
    <w:rsid w:val="00232F7E"/>
    <w:rsid w:val="0023300C"/>
    <w:rsid w:val="00233056"/>
    <w:rsid w:val="0023357F"/>
    <w:rsid w:val="002335B2"/>
    <w:rsid w:val="002336AB"/>
    <w:rsid w:val="002336E5"/>
    <w:rsid w:val="0023381D"/>
    <w:rsid w:val="002345D7"/>
    <w:rsid w:val="00234744"/>
    <w:rsid w:val="0023488A"/>
    <w:rsid w:val="00234B7E"/>
    <w:rsid w:val="00234FB9"/>
    <w:rsid w:val="002350D9"/>
    <w:rsid w:val="00235594"/>
    <w:rsid w:val="00235699"/>
    <w:rsid w:val="002356B1"/>
    <w:rsid w:val="0023595B"/>
    <w:rsid w:val="00235CC6"/>
    <w:rsid w:val="00235D6B"/>
    <w:rsid w:val="00235E61"/>
    <w:rsid w:val="0023613A"/>
    <w:rsid w:val="002364D3"/>
    <w:rsid w:val="0023687F"/>
    <w:rsid w:val="00237236"/>
    <w:rsid w:val="00237645"/>
    <w:rsid w:val="00237811"/>
    <w:rsid w:val="00237935"/>
    <w:rsid w:val="00237D82"/>
    <w:rsid w:val="0024013B"/>
    <w:rsid w:val="002402B5"/>
    <w:rsid w:val="002406DF"/>
    <w:rsid w:val="00240703"/>
    <w:rsid w:val="002408C7"/>
    <w:rsid w:val="002408F6"/>
    <w:rsid w:val="00240B72"/>
    <w:rsid w:val="002414C2"/>
    <w:rsid w:val="00241514"/>
    <w:rsid w:val="002415A0"/>
    <w:rsid w:val="002415AD"/>
    <w:rsid w:val="002415BA"/>
    <w:rsid w:val="0024164B"/>
    <w:rsid w:val="00242142"/>
    <w:rsid w:val="00242BAA"/>
    <w:rsid w:val="00242F82"/>
    <w:rsid w:val="002430EB"/>
    <w:rsid w:val="002443E5"/>
    <w:rsid w:val="0024457B"/>
    <w:rsid w:val="00244768"/>
    <w:rsid w:val="00244FAA"/>
    <w:rsid w:val="00245342"/>
    <w:rsid w:val="002456F0"/>
    <w:rsid w:val="00245D95"/>
    <w:rsid w:val="0024603C"/>
    <w:rsid w:val="002461D3"/>
    <w:rsid w:val="002463FC"/>
    <w:rsid w:val="002465B9"/>
    <w:rsid w:val="00246725"/>
    <w:rsid w:val="00246968"/>
    <w:rsid w:val="00246DD8"/>
    <w:rsid w:val="00247000"/>
    <w:rsid w:val="00247371"/>
    <w:rsid w:val="00247E63"/>
    <w:rsid w:val="00250318"/>
    <w:rsid w:val="002505B8"/>
    <w:rsid w:val="0025076D"/>
    <w:rsid w:val="002511E9"/>
    <w:rsid w:val="00251BB1"/>
    <w:rsid w:val="0025241E"/>
    <w:rsid w:val="002526CE"/>
    <w:rsid w:val="002528CF"/>
    <w:rsid w:val="00252C98"/>
    <w:rsid w:val="002532F4"/>
    <w:rsid w:val="00253803"/>
    <w:rsid w:val="00253A93"/>
    <w:rsid w:val="00254192"/>
    <w:rsid w:val="002542BB"/>
    <w:rsid w:val="002547CA"/>
    <w:rsid w:val="00254C7E"/>
    <w:rsid w:val="00255272"/>
    <w:rsid w:val="00256337"/>
    <w:rsid w:val="0025691E"/>
    <w:rsid w:val="00256BCE"/>
    <w:rsid w:val="0025730F"/>
    <w:rsid w:val="00257703"/>
    <w:rsid w:val="00257D9D"/>
    <w:rsid w:val="002602E8"/>
    <w:rsid w:val="002603BD"/>
    <w:rsid w:val="00260564"/>
    <w:rsid w:val="00260C1D"/>
    <w:rsid w:val="00260CF7"/>
    <w:rsid w:val="00260D1D"/>
    <w:rsid w:val="00260F17"/>
    <w:rsid w:val="00261114"/>
    <w:rsid w:val="00261197"/>
    <w:rsid w:val="00261556"/>
    <w:rsid w:val="002615F0"/>
    <w:rsid w:val="0026161C"/>
    <w:rsid w:val="002616A8"/>
    <w:rsid w:val="00261D34"/>
    <w:rsid w:val="002622CD"/>
    <w:rsid w:val="00262649"/>
    <w:rsid w:val="0026269A"/>
    <w:rsid w:val="00262768"/>
    <w:rsid w:val="002627BD"/>
    <w:rsid w:val="00262B66"/>
    <w:rsid w:val="00263241"/>
    <w:rsid w:val="002632A4"/>
    <w:rsid w:val="0026370F"/>
    <w:rsid w:val="00263D97"/>
    <w:rsid w:val="002640E7"/>
    <w:rsid w:val="0026459F"/>
    <w:rsid w:val="002648D5"/>
    <w:rsid w:val="00264C57"/>
    <w:rsid w:val="00264E98"/>
    <w:rsid w:val="002654E2"/>
    <w:rsid w:val="002654F5"/>
    <w:rsid w:val="002659A8"/>
    <w:rsid w:val="00267042"/>
    <w:rsid w:val="00267986"/>
    <w:rsid w:val="00267AFF"/>
    <w:rsid w:val="00267BCD"/>
    <w:rsid w:val="00270A52"/>
    <w:rsid w:val="00270EF2"/>
    <w:rsid w:val="00271378"/>
    <w:rsid w:val="0027181F"/>
    <w:rsid w:val="00271A7B"/>
    <w:rsid w:val="00272C85"/>
    <w:rsid w:val="00273833"/>
    <w:rsid w:val="00273956"/>
    <w:rsid w:val="00273DAF"/>
    <w:rsid w:val="002741E5"/>
    <w:rsid w:val="00274753"/>
    <w:rsid w:val="00274D08"/>
    <w:rsid w:val="002758A4"/>
    <w:rsid w:val="002759EF"/>
    <w:rsid w:val="0027623F"/>
    <w:rsid w:val="002762BA"/>
    <w:rsid w:val="002762D0"/>
    <w:rsid w:val="002762FB"/>
    <w:rsid w:val="00276436"/>
    <w:rsid w:val="00276599"/>
    <w:rsid w:val="002768D6"/>
    <w:rsid w:val="00276F18"/>
    <w:rsid w:val="00276FE1"/>
    <w:rsid w:val="0027710F"/>
    <w:rsid w:val="002774B3"/>
    <w:rsid w:val="00277601"/>
    <w:rsid w:val="0027772F"/>
    <w:rsid w:val="0027773D"/>
    <w:rsid w:val="0027790E"/>
    <w:rsid w:val="00277B75"/>
    <w:rsid w:val="00277CF1"/>
    <w:rsid w:val="00277FFC"/>
    <w:rsid w:val="00280174"/>
    <w:rsid w:val="00280888"/>
    <w:rsid w:val="00280B1D"/>
    <w:rsid w:val="00280C85"/>
    <w:rsid w:val="00280CA6"/>
    <w:rsid w:val="0028103E"/>
    <w:rsid w:val="0028155F"/>
    <w:rsid w:val="002816DA"/>
    <w:rsid w:val="002817A9"/>
    <w:rsid w:val="00281A56"/>
    <w:rsid w:val="00281CFB"/>
    <w:rsid w:val="0028208D"/>
    <w:rsid w:val="002826B1"/>
    <w:rsid w:val="00282823"/>
    <w:rsid w:val="002829C4"/>
    <w:rsid w:val="00282D04"/>
    <w:rsid w:val="00283386"/>
    <w:rsid w:val="00283629"/>
    <w:rsid w:val="002837CE"/>
    <w:rsid w:val="0028395B"/>
    <w:rsid w:val="00283A72"/>
    <w:rsid w:val="00283E08"/>
    <w:rsid w:val="002842AD"/>
    <w:rsid w:val="002847F5"/>
    <w:rsid w:val="0028499E"/>
    <w:rsid w:val="00284F26"/>
    <w:rsid w:val="002856EB"/>
    <w:rsid w:val="002857CB"/>
    <w:rsid w:val="00285E7C"/>
    <w:rsid w:val="00285F10"/>
    <w:rsid w:val="0028650A"/>
    <w:rsid w:val="00286E91"/>
    <w:rsid w:val="002871D8"/>
    <w:rsid w:val="00287DC5"/>
    <w:rsid w:val="00287E78"/>
    <w:rsid w:val="00287EE2"/>
    <w:rsid w:val="002900E8"/>
    <w:rsid w:val="0029064D"/>
    <w:rsid w:val="002907E0"/>
    <w:rsid w:val="00290D78"/>
    <w:rsid w:val="00291608"/>
    <w:rsid w:val="00291671"/>
    <w:rsid w:val="002916D8"/>
    <w:rsid w:val="00292212"/>
    <w:rsid w:val="00292457"/>
    <w:rsid w:val="00292543"/>
    <w:rsid w:val="00292AC9"/>
    <w:rsid w:val="0029335B"/>
    <w:rsid w:val="00293B3D"/>
    <w:rsid w:val="0029447D"/>
    <w:rsid w:val="00294A05"/>
    <w:rsid w:val="002952A4"/>
    <w:rsid w:val="00295692"/>
    <w:rsid w:val="002957E6"/>
    <w:rsid w:val="00295DC4"/>
    <w:rsid w:val="00295E71"/>
    <w:rsid w:val="0029601B"/>
    <w:rsid w:val="00296224"/>
    <w:rsid w:val="002962B8"/>
    <w:rsid w:val="00296EAD"/>
    <w:rsid w:val="0029787A"/>
    <w:rsid w:val="00297BF5"/>
    <w:rsid w:val="002A003F"/>
    <w:rsid w:val="002A0309"/>
    <w:rsid w:val="002A0634"/>
    <w:rsid w:val="002A0E20"/>
    <w:rsid w:val="002A14AC"/>
    <w:rsid w:val="002A16CA"/>
    <w:rsid w:val="002A19E1"/>
    <w:rsid w:val="002A227F"/>
    <w:rsid w:val="002A23B2"/>
    <w:rsid w:val="002A25D0"/>
    <w:rsid w:val="002A2B25"/>
    <w:rsid w:val="002A2DC8"/>
    <w:rsid w:val="002A31F0"/>
    <w:rsid w:val="002A3296"/>
    <w:rsid w:val="002A33A5"/>
    <w:rsid w:val="002A38ED"/>
    <w:rsid w:val="002A59A5"/>
    <w:rsid w:val="002A61C9"/>
    <w:rsid w:val="002A6BE2"/>
    <w:rsid w:val="002A6C05"/>
    <w:rsid w:val="002A6CA9"/>
    <w:rsid w:val="002A6D81"/>
    <w:rsid w:val="002A6F8C"/>
    <w:rsid w:val="002A7705"/>
    <w:rsid w:val="002A779C"/>
    <w:rsid w:val="002A7A3A"/>
    <w:rsid w:val="002A7D0F"/>
    <w:rsid w:val="002A7D88"/>
    <w:rsid w:val="002B1106"/>
    <w:rsid w:val="002B1114"/>
    <w:rsid w:val="002B1280"/>
    <w:rsid w:val="002B140C"/>
    <w:rsid w:val="002B18E9"/>
    <w:rsid w:val="002B214C"/>
    <w:rsid w:val="002B2572"/>
    <w:rsid w:val="002B2650"/>
    <w:rsid w:val="002B306C"/>
    <w:rsid w:val="002B3741"/>
    <w:rsid w:val="002B389B"/>
    <w:rsid w:val="002B470B"/>
    <w:rsid w:val="002B4863"/>
    <w:rsid w:val="002B48B8"/>
    <w:rsid w:val="002B48D4"/>
    <w:rsid w:val="002B49AE"/>
    <w:rsid w:val="002B532B"/>
    <w:rsid w:val="002B59BE"/>
    <w:rsid w:val="002B5E7F"/>
    <w:rsid w:val="002B5EF2"/>
    <w:rsid w:val="002B5FEB"/>
    <w:rsid w:val="002B611D"/>
    <w:rsid w:val="002B630A"/>
    <w:rsid w:val="002B6610"/>
    <w:rsid w:val="002B6920"/>
    <w:rsid w:val="002B6C1E"/>
    <w:rsid w:val="002B709E"/>
    <w:rsid w:val="002B714B"/>
    <w:rsid w:val="002B7361"/>
    <w:rsid w:val="002B74C3"/>
    <w:rsid w:val="002B7574"/>
    <w:rsid w:val="002C0302"/>
    <w:rsid w:val="002C0651"/>
    <w:rsid w:val="002C0787"/>
    <w:rsid w:val="002C0933"/>
    <w:rsid w:val="002C0C4F"/>
    <w:rsid w:val="002C0D27"/>
    <w:rsid w:val="002C0E29"/>
    <w:rsid w:val="002C10B8"/>
    <w:rsid w:val="002C10F0"/>
    <w:rsid w:val="002C1398"/>
    <w:rsid w:val="002C17CB"/>
    <w:rsid w:val="002C1A38"/>
    <w:rsid w:val="002C241E"/>
    <w:rsid w:val="002C2697"/>
    <w:rsid w:val="002C2745"/>
    <w:rsid w:val="002C2E09"/>
    <w:rsid w:val="002C2F81"/>
    <w:rsid w:val="002C31F9"/>
    <w:rsid w:val="002C376E"/>
    <w:rsid w:val="002C3AEB"/>
    <w:rsid w:val="002C3B90"/>
    <w:rsid w:val="002C4736"/>
    <w:rsid w:val="002C4AC8"/>
    <w:rsid w:val="002C4DD7"/>
    <w:rsid w:val="002C502C"/>
    <w:rsid w:val="002C539A"/>
    <w:rsid w:val="002C54A9"/>
    <w:rsid w:val="002C5545"/>
    <w:rsid w:val="002C566E"/>
    <w:rsid w:val="002C5A54"/>
    <w:rsid w:val="002C5C5F"/>
    <w:rsid w:val="002C6384"/>
    <w:rsid w:val="002C63DE"/>
    <w:rsid w:val="002C6D2F"/>
    <w:rsid w:val="002C704E"/>
    <w:rsid w:val="002C7225"/>
    <w:rsid w:val="002C7707"/>
    <w:rsid w:val="002C774B"/>
    <w:rsid w:val="002C7837"/>
    <w:rsid w:val="002D03BE"/>
    <w:rsid w:val="002D0552"/>
    <w:rsid w:val="002D1067"/>
    <w:rsid w:val="002D1ECE"/>
    <w:rsid w:val="002D2650"/>
    <w:rsid w:val="002D2667"/>
    <w:rsid w:val="002D28AF"/>
    <w:rsid w:val="002D2C54"/>
    <w:rsid w:val="002D2D4F"/>
    <w:rsid w:val="002D2DC9"/>
    <w:rsid w:val="002D2FB5"/>
    <w:rsid w:val="002D3077"/>
    <w:rsid w:val="002D3198"/>
    <w:rsid w:val="002D361C"/>
    <w:rsid w:val="002D4B57"/>
    <w:rsid w:val="002D4D2F"/>
    <w:rsid w:val="002D4EA0"/>
    <w:rsid w:val="002D4FF8"/>
    <w:rsid w:val="002D5169"/>
    <w:rsid w:val="002D602F"/>
    <w:rsid w:val="002D6144"/>
    <w:rsid w:val="002D650D"/>
    <w:rsid w:val="002D653E"/>
    <w:rsid w:val="002D67E6"/>
    <w:rsid w:val="002D6E96"/>
    <w:rsid w:val="002D7256"/>
    <w:rsid w:val="002D76C5"/>
    <w:rsid w:val="002D79A6"/>
    <w:rsid w:val="002D7BC0"/>
    <w:rsid w:val="002D7DD5"/>
    <w:rsid w:val="002E0022"/>
    <w:rsid w:val="002E0192"/>
    <w:rsid w:val="002E0309"/>
    <w:rsid w:val="002E0887"/>
    <w:rsid w:val="002E112B"/>
    <w:rsid w:val="002E1386"/>
    <w:rsid w:val="002E1644"/>
    <w:rsid w:val="002E17E4"/>
    <w:rsid w:val="002E1A1D"/>
    <w:rsid w:val="002E1BE4"/>
    <w:rsid w:val="002E2536"/>
    <w:rsid w:val="002E28D4"/>
    <w:rsid w:val="002E2C04"/>
    <w:rsid w:val="002E2C43"/>
    <w:rsid w:val="002E2F4F"/>
    <w:rsid w:val="002E31C1"/>
    <w:rsid w:val="002E3334"/>
    <w:rsid w:val="002E3376"/>
    <w:rsid w:val="002E3854"/>
    <w:rsid w:val="002E4101"/>
    <w:rsid w:val="002E44C8"/>
    <w:rsid w:val="002E44F1"/>
    <w:rsid w:val="002E4568"/>
    <w:rsid w:val="002E5672"/>
    <w:rsid w:val="002E59CA"/>
    <w:rsid w:val="002E5B43"/>
    <w:rsid w:val="002E6642"/>
    <w:rsid w:val="002E6766"/>
    <w:rsid w:val="002E6EC6"/>
    <w:rsid w:val="002E6ED5"/>
    <w:rsid w:val="002E74F7"/>
    <w:rsid w:val="002E7501"/>
    <w:rsid w:val="002E79AC"/>
    <w:rsid w:val="002E7D95"/>
    <w:rsid w:val="002F01A1"/>
    <w:rsid w:val="002F03E3"/>
    <w:rsid w:val="002F077D"/>
    <w:rsid w:val="002F07E2"/>
    <w:rsid w:val="002F084E"/>
    <w:rsid w:val="002F0A3C"/>
    <w:rsid w:val="002F10D4"/>
    <w:rsid w:val="002F124E"/>
    <w:rsid w:val="002F1427"/>
    <w:rsid w:val="002F1910"/>
    <w:rsid w:val="002F1A74"/>
    <w:rsid w:val="002F1D01"/>
    <w:rsid w:val="002F1F3C"/>
    <w:rsid w:val="002F20E3"/>
    <w:rsid w:val="002F2441"/>
    <w:rsid w:val="002F30AB"/>
    <w:rsid w:val="002F3220"/>
    <w:rsid w:val="002F355D"/>
    <w:rsid w:val="002F3835"/>
    <w:rsid w:val="002F45A1"/>
    <w:rsid w:val="002F4EC0"/>
    <w:rsid w:val="002F5031"/>
    <w:rsid w:val="002F5399"/>
    <w:rsid w:val="002F62EA"/>
    <w:rsid w:val="002F6A58"/>
    <w:rsid w:val="002F74BF"/>
    <w:rsid w:val="002F780C"/>
    <w:rsid w:val="002F7B6E"/>
    <w:rsid w:val="002F7E20"/>
    <w:rsid w:val="002F7E32"/>
    <w:rsid w:val="002F7E96"/>
    <w:rsid w:val="00300792"/>
    <w:rsid w:val="00300AFC"/>
    <w:rsid w:val="00301080"/>
    <w:rsid w:val="003015B4"/>
    <w:rsid w:val="00301939"/>
    <w:rsid w:val="00301B4B"/>
    <w:rsid w:val="00301B8E"/>
    <w:rsid w:val="00301F8F"/>
    <w:rsid w:val="00302221"/>
    <w:rsid w:val="003026B1"/>
    <w:rsid w:val="0030287B"/>
    <w:rsid w:val="00302D0F"/>
    <w:rsid w:val="00302D68"/>
    <w:rsid w:val="00303611"/>
    <w:rsid w:val="0030393B"/>
    <w:rsid w:val="003046BB"/>
    <w:rsid w:val="0030480F"/>
    <w:rsid w:val="00304AF0"/>
    <w:rsid w:val="00304C61"/>
    <w:rsid w:val="00305075"/>
    <w:rsid w:val="00305CBF"/>
    <w:rsid w:val="00305E95"/>
    <w:rsid w:val="00306303"/>
    <w:rsid w:val="00306F0F"/>
    <w:rsid w:val="003071BD"/>
    <w:rsid w:val="00307592"/>
    <w:rsid w:val="00307732"/>
    <w:rsid w:val="00307813"/>
    <w:rsid w:val="0030789A"/>
    <w:rsid w:val="003107A0"/>
    <w:rsid w:val="0031080C"/>
    <w:rsid w:val="0031083D"/>
    <w:rsid w:val="003108E3"/>
    <w:rsid w:val="003112F8"/>
    <w:rsid w:val="003115DC"/>
    <w:rsid w:val="003117A4"/>
    <w:rsid w:val="00311D0B"/>
    <w:rsid w:val="003120AF"/>
    <w:rsid w:val="00312153"/>
    <w:rsid w:val="0031223F"/>
    <w:rsid w:val="003129C1"/>
    <w:rsid w:val="00312A03"/>
    <w:rsid w:val="00312A18"/>
    <w:rsid w:val="00313048"/>
    <w:rsid w:val="0031305D"/>
    <w:rsid w:val="00313186"/>
    <w:rsid w:val="00313791"/>
    <w:rsid w:val="00313BDA"/>
    <w:rsid w:val="003149CF"/>
    <w:rsid w:val="00314AD7"/>
    <w:rsid w:val="00314CF5"/>
    <w:rsid w:val="00314D97"/>
    <w:rsid w:val="00315026"/>
    <w:rsid w:val="0031570B"/>
    <w:rsid w:val="00315880"/>
    <w:rsid w:val="00315A59"/>
    <w:rsid w:val="003162B8"/>
    <w:rsid w:val="0031654D"/>
    <w:rsid w:val="00316559"/>
    <w:rsid w:val="003166A0"/>
    <w:rsid w:val="0031764A"/>
    <w:rsid w:val="003176A9"/>
    <w:rsid w:val="003177A9"/>
    <w:rsid w:val="003178BE"/>
    <w:rsid w:val="00317B2B"/>
    <w:rsid w:val="00317B9E"/>
    <w:rsid w:val="00317EEF"/>
    <w:rsid w:val="003206A0"/>
    <w:rsid w:val="00320936"/>
    <w:rsid w:val="00321057"/>
    <w:rsid w:val="0032146F"/>
    <w:rsid w:val="003216AB"/>
    <w:rsid w:val="00321D69"/>
    <w:rsid w:val="00321FEF"/>
    <w:rsid w:val="0032233B"/>
    <w:rsid w:val="003224E1"/>
    <w:rsid w:val="00322842"/>
    <w:rsid w:val="00322AC7"/>
    <w:rsid w:val="00322C2C"/>
    <w:rsid w:val="00323087"/>
    <w:rsid w:val="00323283"/>
    <w:rsid w:val="00323CD6"/>
    <w:rsid w:val="00323EA3"/>
    <w:rsid w:val="00323EE8"/>
    <w:rsid w:val="0032417B"/>
    <w:rsid w:val="0032489E"/>
    <w:rsid w:val="00324BCB"/>
    <w:rsid w:val="00324C21"/>
    <w:rsid w:val="00325214"/>
    <w:rsid w:val="00325B75"/>
    <w:rsid w:val="00325EBB"/>
    <w:rsid w:val="00325F17"/>
    <w:rsid w:val="003264BB"/>
    <w:rsid w:val="00326973"/>
    <w:rsid w:val="00326B89"/>
    <w:rsid w:val="00326CBB"/>
    <w:rsid w:val="00327405"/>
    <w:rsid w:val="00327A38"/>
    <w:rsid w:val="00327A57"/>
    <w:rsid w:val="00327AC4"/>
    <w:rsid w:val="00330815"/>
    <w:rsid w:val="00330B8D"/>
    <w:rsid w:val="00330C84"/>
    <w:rsid w:val="00331196"/>
    <w:rsid w:val="003311BA"/>
    <w:rsid w:val="003312E8"/>
    <w:rsid w:val="0033171D"/>
    <w:rsid w:val="00331BE3"/>
    <w:rsid w:val="00331F97"/>
    <w:rsid w:val="00332A21"/>
    <w:rsid w:val="00332ABE"/>
    <w:rsid w:val="00332E1C"/>
    <w:rsid w:val="00332FBD"/>
    <w:rsid w:val="00333D7D"/>
    <w:rsid w:val="003342A7"/>
    <w:rsid w:val="003343AF"/>
    <w:rsid w:val="00334590"/>
    <w:rsid w:val="00334B15"/>
    <w:rsid w:val="0033526B"/>
    <w:rsid w:val="003357FA"/>
    <w:rsid w:val="00335F86"/>
    <w:rsid w:val="00336226"/>
    <w:rsid w:val="0033632A"/>
    <w:rsid w:val="00336C43"/>
    <w:rsid w:val="00336F6E"/>
    <w:rsid w:val="00337BC9"/>
    <w:rsid w:val="003401FE"/>
    <w:rsid w:val="0034032B"/>
    <w:rsid w:val="003408DF"/>
    <w:rsid w:val="00340B15"/>
    <w:rsid w:val="00340C94"/>
    <w:rsid w:val="00340CA7"/>
    <w:rsid w:val="0034157F"/>
    <w:rsid w:val="00341C78"/>
    <w:rsid w:val="00341FD9"/>
    <w:rsid w:val="00342046"/>
    <w:rsid w:val="003424CF"/>
    <w:rsid w:val="003428CF"/>
    <w:rsid w:val="00342B87"/>
    <w:rsid w:val="00343378"/>
    <w:rsid w:val="00343950"/>
    <w:rsid w:val="00343954"/>
    <w:rsid w:val="00343F63"/>
    <w:rsid w:val="00344765"/>
    <w:rsid w:val="0034491E"/>
    <w:rsid w:val="00344E29"/>
    <w:rsid w:val="00344EB7"/>
    <w:rsid w:val="00345162"/>
    <w:rsid w:val="00345490"/>
    <w:rsid w:val="00345ABD"/>
    <w:rsid w:val="00345BE1"/>
    <w:rsid w:val="00346254"/>
    <w:rsid w:val="0034674F"/>
    <w:rsid w:val="00346D46"/>
    <w:rsid w:val="00346DF0"/>
    <w:rsid w:val="00346F3E"/>
    <w:rsid w:val="00347B8E"/>
    <w:rsid w:val="00347C90"/>
    <w:rsid w:val="00350100"/>
    <w:rsid w:val="0035097E"/>
    <w:rsid w:val="0035112A"/>
    <w:rsid w:val="0035143E"/>
    <w:rsid w:val="003517FF"/>
    <w:rsid w:val="00351C5C"/>
    <w:rsid w:val="00351E4A"/>
    <w:rsid w:val="003524C1"/>
    <w:rsid w:val="00352543"/>
    <w:rsid w:val="003526A9"/>
    <w:rsid w:val="00352E09"/>
    <w:rsid w:val="00352FD7"/>
    <w:rsid w:val="0035345D"/>
    <w:rsid w:val="00353E06"/>
    <w:rsid w:val="00354057"/>
    <w:rsid w:val="003540E0"/>
    <w:rsid w:val="003543CC"/>
    <w:rsid w:val="0035471C"/>
    <w:rsid w:val="00354AB7"/>
    <w:rsid w:val="00354C5E"/>
    <w:rsid w:val="00354D24"/>
    <w:rsid w:val="00354D49"/>
    <w:rsid w:val="00355183"/>
    <w:rsid w:val="003551D5"/>
    <w:rsid w:val="00355349"/>
    <w:rsid w:val="003558AB"/>
    <w:rsid w:val="00355B55"/>
    <w:rsid w:val="00355FF5"/>
    <w:rsid w:val="00356182"/>
    <w:rsid w:val="003561B5"/>
    <w:rsid w:val="003561D4"/>
    <w:rsid w:val="00356933"/>
    <w:rsid w:val="003569B9"/>
    <w:rsid w:val="00356D8F"/>
    <w:rsid w:val="00357080"/>
    <w:rsid w:val="003575A0"/>
    <w:rsid w:val="0035779C"/>
    <w:rsid w:val="00360121"/>
    <w:rsid w:val="0036034A"/>
    <w:rsid w:val="00360A23"/>
    <w:rsid w:val="00360ECF"/>
    <w:rsid w:val="0036110E"/>
    <w:rsid w:val="003616F7"/>
    <w:rsid w:val="003618FE"/>
    <w:rsid w:val="00361CD2"/>
    <w:rsid w:val="003620BE"/>
    <w:rsid w:val="003622BB"/>
    <w:rsid w:val="003625D9"/>
    <w:rsid w:val="003627D0"/>
    <w:rsid w:val="00362858"/>
    <w:rsid w:val="00362C0B"/>
    <w:rsid w:val="00362C0D"/>
    <w:rsid w:val="003637DD"/>
    <w:rsid w:val="00363885"/>
    <w:rsid w:val="00364BD4"/>
    <w:rsid w:val="00364C80"/>
    <w:rsid w:val="00364DA3"/>
    <w:rsid w:val="0036530C"/>
    <w:rsid w:val="00365664"/>
    <w:rsid w:val="00365F49"/>
    <w:rsid w:val="003660DA"/>
    <w:rsid w:val="00366516"/>
    <w:rsid w:val="0036668C"/>
    <w:rsid w:val="003668C4"/>
    <w:rsid w:val="0036690F"/>
    <w:rsid w:val="00366BA4"/>
    <w:rsid w:val="00366C3D"/>
    <w:rsid w:val="00366F8F"/>
    <w:rsid w:val="003676BE"/>
    <w:rsid w:val="00367974"/>
    <w:rsid w:val="00367C2F"/>
    <w:rsid w:val="00370C4B"/>
    <w:rsid w:val="003711CA"/>
    <w:rsid w:val="003712AE"/>
    <w:rsid w:val="0037147F"/>
    <w:rsid w:val="0037179A"/>
    <w:rsid w:val="00372359"/>
    <w:rsid w:val="00372602"/>
    <w:rsid w:val="00372A42"/>
    <w:rsid w:val="003735FE"/>
    <w:rsid w:val="00373611"/>
    <w:rsid w:val="003743AD"/>
    <w:rsid w:val="003750A8"/>
    <w:rsid w:val="003759B2"/>
    <w:rsid w:val="00375B28"/>
    <w:rsid w:val="00375BF3"/>
    <w:rsid w:val="0037642F"/>
    <w:rsid w:val="003766C5"/>
    <w:rsid w:val="00377317"/>
    <w:rsid w:val="00377C1D"/>
    <w:rsid w:val="00377F67"/>
    <w:rsid w:val="00380265"/>
    <w:rsid w:val="00380631"/>
    <w:rsid w:val="00380849"/>
    <w:rsid w:val="00380B32"/>
    <w:rsid w:val="00380DE0"/>
    <w:rsid w:val="0038114F"/>
    <w:rsid w:val="003811D6"/>
    <w:rsid w:val="00381A15"/>
    <w:rsid w:val="00381C16"/>
    <w:rsid w:val="00381CDE"/>
    <w:rsid w:val="00382476"/>
    <w:rsid w:val="00382AFB"/>
    <w:rsid w:val="003833E6"/>
    <w:rsid w:val="00383D05"/>
    <w:rsid w:val="00383ED8"/>
    <w:rsid w:val="00383EEF"/>
    <w:rsid w:val="00383EF3"/>
    <w:rsid w:val="00384114"/>
    <w:rsid w:val="0038481B"/>
    <w:rsid w:val="00384FA3"/>
    <w:rsid w:val="00385053"/>
    <w:rsid w:val="0038516B"/>
    <w:rsid w:val="00385297"/>
    <w:rsid w:val="00385888"/>
    <w:rsid w:val="00385DF7"/>
    <w:rsid w:val="00386261"/>
    <w:rsid w:val="0038655A"/>
    <w:rsid w:val="003868A1"/>
    <w:rsid w:val="00386B67"/>
    <w:rsid w:val="00386BC9"/>
    <w:rsid w:val="00386D42"/>
    <w:rsid w:val="00387114"/>
    <w:rsid w:val="00387226"/>
    <w:rsid w:val="00387DAB"/>
    <w:rsid w:val="00390305"/>
    <w:rsid w:val="00390883"/>
    <w:rsid w:val="00390A56"/>
    <w:rsid w:val="00390B63"/>
    <w:rsid w:val="0039118A"/>
    <w:rsid w:val="00391295"/>
    <w:rsid w:val="003914B6"/>
    <w:rsid w:val="003919E8"/>
    <w:rsid w:val="00391B66"/>
    <w:rsid w:val="0039207F"/>
    <w:rsid w:val="003921A1"/>
    <w:rsid w:val="00392C85"/>
    <w:rsid w:val="00393196"/>
    <w:rsid w:val="003941DC"/>
    <w:rsid w:val="00394334"/>
    <w:rsid w:val="00394687"/>
    <w:rsid w:val="00394974"/>
    <w:rsid w:val="0039517A"/>
    <w:rsid w:val="0039557F"/>
    <w:rsid w:val="00395F22"/>
    <w:rsid w:val="003960EA"/>
    <w:rsid w:val="003962E1"/>
    <w:rsid w:val="00396322"/>
    <w:rsid w:val="0039669C"/>
    <w:rsid w:val="00396A25"/>
    <w:rsid w:val="00396D1A"/>
    <w:rsid w:val="00396E3F"/>
    <w:rsid w:val="00396EFD"/>
    <w:rsid w:val="00397287"/>
    <w:rsid w:val="003976BE"/>
    <w:rsid w:val="003978A0"/>
    <w:rsid w:val="003A07AB"/>
    <w:rsid w:val="003A088C"/>
    <w:rsid w:val="003A0BB0"/>
    <w:rsid w:val="003A0CDB"/>
    <w:rsid w:val="003A0F15"/>
    <w:rsid w:val="003A112C"/>
    <w:rsid w:val="003A12C6"/>
    <w:rsid w:val="003A172B"/>
    <w:rsid w:val="003A1995"/>
    <w:rsid w:val="003A19D4"/>
    <w:rsid w:val="003A1A22"/>
    <w:rsid w:val="003A1A4C"/>
    <w:rsid w:val="003A248E"/>
    <w:rsid w:val="003A2544"/>
    <w:rsid w:val="003A2B1D"/>
    <w:rsid w:val="003A2DF9"/>
    <w:rsid w:val="003A2E33"/>
    <w:rsid w:val="003A2E8F"/>
    <w:rsid w:val="003A3210"/>
    <w:rsid w:val="003A38DA"/>
    <w:rsid w:val="003A4645"/>
    <w:rsid w:val="003A4C66"/>
    <w:rsid w:val="003A55E3"/>
    <w:rsid w:val="003A5B8F"/>
    <w:rsid w:val="003A6386"/>
    <w:rsid w:val="003A6A4B"/>
    <w:rsid w:val="003A6D36"/>
    <w:rsid w:val="003A708D"/>
    <w:rsid w:val="003A7103"/>
    <w:rsid w:val="003A71A7"/>
    <w:rsid w:val="003A71C7"/>
    <w:rsid w:val="003A7802"/>
    <w:rsid w:val="003A7C68"/>
    <w:rsid w:val="003A7DF2"/>
    <w:rsid w:val="003B013B"/>
    <w:rsid w:val="003B0FA5"/>
    <w:rsid w:val="003B10E9"/>
    <w:rsid w:val="003B114C"/>
    <w:rsid w:val="003B172B"/>
    <w:rsid w:val="003B1C5A"/>
    <w:rsid w:val="003B1CEF"/>
    <w:rsid w:val="003B1D90"/>
    <w:rsid w:val="003B1F9A"/>
    <w:rsid w:val="003B2A18"/>
    <w:rsid w:val="003B2DC5"/>
    <w:rsid w:val="003B33B4"/>
    <w:rsid w:val="003B380D"/>
    <w:rsid w:val="003B3F84"/>
    <w:rsid w:val="003B3FF2"/>
    <w:rsid w:val="003B493D"/>
    <w:rsid w:val="003B4C77"/>
    <w:rsid w:val="003B4E96"/>
    <w:rsid w:val="003B52D4"/>
    <w:rsid w:val="003B581C"/>
    <w:rsid w:val="003B632F"/>
    <w:rsid w:val="003B658E"/>
    <w:rsid w:val="003B6766"/>
    <w:rsid w:val="003B6854"/>
    <w:rsid w:val="003B6DCC"/>
    <w:rsid w:val="003B731F"/>
    <w:rsid w:val="003B74E2"/>
    <w:rsid w:val="003B75B8"/>
    <w:rsid w:val="003B7982"/>
    <w:rsid w:val="003B7993"/>
    <w:rsid w:val="003B7EE0"/>
    <w:rsid w:val="003C027F"/>
    <w:rsid w:val="003C062E"/>
    <w:rsid w:val="003C073D"/>
    <w:rsid w:val="003C07E1"/>
    <w:rsid w:val="003C1564"/>
    <w:rsid w:val="003C1622"/>
    <w:rsid w:val="003C195C"/>
    <w:rsid w:val="003C1982"/>
    <w:rsid w:val="003C1D05"/>
    <w:rsid w:val="003C2918"/>
    <w:rsid w:val="003C2A06"/>
    <w:rsid w:val="003C2C7A"/>
    <w:rsid w:val="003C2FB2"/>
    <w:rsid w:val="003C31CA"/>
    <w:rsid w:val="003C361C"/>
    <w:rsid w:val="003C38F0"/>
    <w:rsid w:val="003C3F29"/>
    <w:rsid w:val="003C4538"/>
    <w:rsid w:val="003C4CD1"/>
    <w:rsid w:val="003C5651"/>
    <w:rsid w:val="003C56BD"/>
    <w:rsid w:val="003C58BA"/>
    <w:rsid w:val="003C597C"/>
    <w:rsid w:val="003C59AE"/>
    <w:rsid w:val="003C5AB2"/>
    <w:rsid w:val="003C64B4"/>
    <w:rsid w:val="003C6A39"/>
    <w:rsid w:val="003C6BF4"/>
    <w:rsid w:val="003C7364"/>
    <w:rsid w:val="003C7661"/>
    <w:rsid w:val="003D01F5"/>
    <w:rsid w:val="003D0331"/>
    <w:rsid w:val="003D0717"/>
    <w:rsid w:val="003D07A1"/>
    <w:rsid w:val="003D07D3"/>
    <w:rsid w:val="003D0817"/>
    <w:rsid w:val="003D0EDA"/>
    <w:rsid w:val="003D1079"/>
    <w:rsid w:val="003D1764"/>
    <w:rsid w:val="003D17AE"/>
    <w:rsid w:val="003D1B63"/>
    <w:rsid w:val="003D1CFC"/>
    <w:rsid w:val="003D1D5A"/>
    <w:rsid w:val="003D2753"/>
    <w:rsid w:val="003D2767"/>
    <w:rsid w:val="003D29B1"/>
    <w:rsid w:val="003D377B"/>
    <w:rsid w:val="003D4086"/>
    <w:rsid w:val="003D4E3C"/>
    <w:rsid w:val="003D5906"/>
    <w:rsid w:val="003D5C7B"/>
    <w:rsid w:val="003D5D25"/>
    <w:rsid w:val="003D68D9"/>
    <w:rsid w:val="003D6CE4"/>
    <w:rsid w:val="003D6E32"/>
    <w:rsid w:val="003D6E77"/>
    <w:rsid w:val="003D7289"/>
    <w:rsid w:val="003D7515"/>
    <w:rsid w:val="003D755B"/>
    <w:rsid w:val="003D7EF8"/>
    <w:rsid w:val="003E0CD8"/>
    <w:rsid w:val="003E0D80"/>
    <w:rsid w:val="003E0D95"/>
    <w:rsid w:val="003E1570"/>
    <w:rsid w:val="003E22FA"/>
    <w:rsid w:val="003E248D"/>
    <w:rsid w:val="003E2A96"/>
    <w:rsid w:val="003E2B99"/>
    <w:rsid w:val="003E2C7F"/>
    <w:rsid w:val="003E3521"/>
    <w:rsid w:val="003E35B3"/>
    <w:rsid w:val="003E377A"/>
    <w:rsid w:val="003E4062"/>
    <w:rsid w:val="003E4559"/>
    <w:rsid w:val="003E497D"/>
    <w:rsid w:val="003E4D82"/>
    <w:rsid w:val="003E5488"/>
    <w:rsid w:val="003E54C1"/>
    <w:rsid w:val="003E5758"/>
    <w:rsid w:val="003E5F86"/>
    <w:rsid w:val="003E5F91"/>
    <w:rsid w:val="003E60E9"/>
    <w:rsid w:val="003E6C8D"/>
    <w:rsid w:val="003E6DA8"/>
    <w:rsid w:val="003E6E8B"/>
    <w:rsid w:val="003E7115"/>
    <w:rsid w:val="003E7885"/>
    <w:rsid w:val="003E7898"/>
    <w:rsid w:val="003E7BDC"/>
    <w:rsid w:val="003E7CE5"/>
    <w:rsid w:val="003E7E67"/>
    <w:rsid w:val="003F0A69"/>
    <w:rsid w:val="003F0C97"/>
    <w:rsid w:val="003F11D0"/>
    <w:rsid w:val="003F12BE"/>
    <w:rsid w:val="003F14D3"/>
    <w:rsid w:val="003F1699"/>
    <w:rsid w:val="003F172D"/>
    <w:rsid w:val="003F1736"/>
    <w:rsid w:val="003F1B31"/>
    <w:rsid w:val="003F20BB"/>
    <w:rsid w:val="003F21C3"/>
    <w:rsid w:val="003F27C6"/>
    <w:rsid w:val="003F2D03"/>
    <w:rsid w:val="003F31AA"/>
    <w:rsid w:val="003F3497"/>
    <w:rsid w:val="003F3BCE"/>
    <w:rsid w:val="003F3C98"/>
    <w:rsid w:val="003F3E92"/>
    <w:rsid w:val="003F406C"/>
    <w:rsid w:val="003F4445"/>
    <w:rsid w:val="003F4854"/>
    <w:rsid w:val="003F533E"/>
    <w:rsid w:val="003F5BFC"/>
    <w:rsid w:val="003F5F59"/>
    <w:rsid w:val="003F608C"/>
    <w:rsid w:val="003F6F6F"/>
    <w:rsid w:val="003F725E"/>
    <w:rsid w:val="003F7484"/>
    <w:rsid w:val="003F767B"/>
    <w:rsid w:val="003F7993"/>
    <w:rsid w:val="003F7C21"/>
    <w:rsid w:val="003F7CDF"/>
    <w:rsid w:val="003F7F2E"/>
    <w:rsid w:val="004001CE"/>
    <w:rsid w:val="0040077C"/>
    <w:rsid w:val="00400BD1"/>
    <w:rsid w:val="00400C33"/>
    <w:rsid w:val="00401048"/>
    <w:rsid w:val="00401182"/>
    <w:rsid w:val="004015BA"/>
    <w:rsid w:val="00401892"/>
    <w:rsid w:val="00401B8B"/>
    <w:rsid w:val="00401CDE"/>
    <w:rsid w:val="00401E40"/>
    <w:rsid w:val="00401EEE"/>
    <w:rsid w:val="004024B3"/>
    <w:rsid w:val="00402793"/>
    <w:rsid w:val="00402979"/>
    <w:rsid w:val="00402A92"/>
    <w:rsid w:val="004030CC"/>
    <w:rsid w:val="00403149"/>
    <w:rsid w:val="004032C1"/>
    <w:rsid w:val="00403309"/>
    <w:rsid w:val="004036D9"/>
    <w:rsid w:val="00403AEC"/>
    <w:rsid w:val="00404815"/>
    <w:rsid w:val="004050E5"/>
    <w:rsid w:val="004051BE"/>
    <w:rsid w:val="004052A1"/>
    <w:rsid w:val="00405807"/>
    <w:rsid w:val="00405C32"/>
    <w:rsid w:val="004063A3"/>
    <w:rsid w:val="004063BE"/>
    <w:rsid w:val="00406647"/>
    <w:rsid w:val="00406770"/>
    <w:rsid w:val="00406975"/>
    <w:rsid w:val="00406C65"/>
    <w:rsid w:val="0040709C"/>
    <w:rsid w:val="0040720F"/>
    <w:rsid w:val="004072C0"/>
    <w:rsid w:val="0040752F"/>
    <w:rsid w:val="00407534"/>
    <w:rsid w:val="00410873"/>
    <w:rsid w:val="004108D7"/>
    <w:rsid w:val="00410947"/>
    <w:rsid w:val="00410B17"/>
    <w:rsid w:val="00410B56"/>
    <w:rsid w:val="00410F90"/>
    <w:rsid w:val="00411310"/>
    <w:rsid w:val="0041204D"/>
    <w:rsid w:val="004121C6"/>
    <w:rsid w:val="0041231E"/>
    <w:rsid w:val="0041238E"/>
    <w:rsid w:val="00412428"/>
    <w:rsid w:val="004124AB"/>
    <w:rsid w:val="0041282C"/>
    <w:rsid w:val="00412DC6"/>
    <w:rsid w:val="00412F5D"/>
    <w:rsid w:val="00413418"/>
    <w:rsid w:val="0041353B"/>
    <w:rsid w:val="004135F4"/>
    <w:rsid w:val="00413600"/>
    <w:rsid w:val="00413889"/>
    <w:rsid w:val="0041410D"/>
    <w:rsid w:val="004141D6"/>
    <w:rsid w:val="00414614"/>
    <w:rsid w:val="004149B4"/>
    <w:rsid w:val="00414A2F"/>
    <w:rsid w:val="00414BA7"/>
    <w:rsid w:val="00414FE3"/>
    <w:rsid w:val="004157BC"/>
    <w:rsid w:val="00415903"/>
    <w:rsid w:val="00415B14"/>
    <w:rsid w:val="00416030"/>
    <w:rsid w:val="00416131"/>
    <w:rsid w:val="004168E5"/>
    <w:rsid w:val="00416FB5"/>
    <w:rsid w:val="00417BF2"/>
    <w:rsid w:val="00417E09"/>
    <w:rsid w:val="0042051E"/>
    <w:rsid w:val="00420921"/>
    <w:rsid w:val="00420A59"/>
    <w:rsid w:val="00420B13"/>
    <w:rsid w:val="00420BA5"/>
    <w:rsid w:val="00420E9A"/>
    <w:rsid w:val="00421390"/>
    <w:rsid w:val="004216C0"/>
    <w:rsid w:val="00421CA1"/>
    <w:rsid w:val="00422273"/>
    <w:rsid w:val="004223AF"/>
    <w:rsid w:val="0042258A"/>
    <w:rsid w:val="00422AEB"/>
    <w:rsid w:val="00423F5C"/>
    <w:rsid w:val="00424040"/>
    <w:rsid w:val="00424711"/>
    <w:rsid w:val="00424981"/>
    <w:rsid w:val="00424BEE"/>
    <w:rsid w:val="00424EA5"/>
    <w:rsid w:val="00424EE7"/>
    <w:rsid w:val="00425244"/>
    <w:rsid w:val="00425286"/>
    <w:rsid w:val="00425597"/>
    <w:rsid w:val="00425627"/>
    <w:rsid w:val="004259BC"/>
    <w:rsid w:val="00425CF5"/>
    <w:rsid w:val="00425E93"/>
    <w:rsid w:val="00426798"/>
    <w:rsid w:val="004267A1"/>
    <w:rsid w:val="00426947"/>
    <w:rsid w:val="00427304"/>
    <w:rsid w:val="00427BB2"/>
    <w:rsid w:val="00427C68"/>
    <w:rsid w:val="00427E8F"/>
    <w:rsid w:val="00427FF6"/>
    <w:rsid w:val="00430026"/>
    <w:rsid w:val="00430820"/>
    <w:rsid w:val="00430D56"/>
    <w:rsid w:val="00431238"/>
    <w:rsid w:val="00431596"/>
    <w:rsid w:val="00431906"/>
    <w:rsid w:val="0043196F"/>
    <w:rsid w:val="00431C77"/>
    <w:rsid w:val="00431EBA"/>
    <w:rsid w:val="0043201F"/>
    <w:rsid w:val="0043230C"/>
    <w:rsid w:val="004325D5"/>
    <w:rsid w:val="00432976"/>
    <w:rsid w:val="0043324F"/>
    <w:rsid w:val="00433690"/>
    <w:rsid w:val="00433819"/>
    <w:rsid w:val="0043382A"/>
    <w:rsid w:val="00434303"/>
    <w:rsid w:val="0043441E"/>
    <w:rsid w:val="004347D7"/>
    <w:rsid w:val="00434B80"/>
    <w:rsid w:val="00434F15"/>
    <w:rsid w:val="004356F3"/>
    <w:rsid w:val="004359D7"/>
    <w:rsid w:val="00436592"/>
    <w:rsid w:val="004366EB"/>
    <w:rsid w:val="00436852"/>
    <w:rsid w:val="00436C74"/>
    <w:rsid w:val="00437107"/>
    <w:rsid w:val="004376D3"/>
    <w:rsid w:val="00440155"/>
    <w:rsid w:val="00440207"/>
    <w:rsid w:val="0044048D"/>
    <w:rsid w:val="00440634"/>
    <w:rsid w:val="004407C1"/>
    <w:rsid w:val="004409EE"/>
    <w:rsid w:val="00440BC9"/>
    <w:rsid w:val="00440F3F"/>
    <w:rsid w:val="0044109E"/>
    <w:rsid w:val="004410DE"/>
    <w:rsid w:val="0044155B"/>
    <w:rsid w:val="00441572"/>
    <w:rsid w:val="00441C0E"/>
    <w:rsid w:val="00441DDD"/>
    <w:rsid w:val="00442508"/>
    <w:rsid w:val="00442A88"/>
    <w:rsid w:val="004431F0"/>
    <w:rsid w:val="004433C1"/>
    <w:rsid w:val="004434AA"/>
    <w:rsid w:val="00443585"/>
    <w:rsid w:val="00443792"/>
    <w:rsid w:val="004437CF"/>
    <w:rsid w:val="0044396F"/>
    <w:rsid w:val="004445A6"/>
    <w:rsid w:val="00444984"/>
    <w:rsid w:val="00444D1E"/>
    <w:rsid w:val="004457E9"/>
    <w:rsid w:val="00446290"/>
    <w:rsid w:val="00446559"/>
    <w:rsid w:val="004472B4"/>
    <w:rsid w:val="00447559"/>
    <w:rsid w:val="0044767F"/>
    <w:rsid w:val="00447CE2"/>
    <w:rsid w:val="0045017E"/>
    <w:rsid w:val="004507C3"/>
    <w:rsid w:val="00450B21"/>
    <w:rsid w:val="00450C09"/>
    <w:rsid w:val="00451696"/>
    <w:rsid w:val="004517C4"/>
    <w:rsid w:val="00451C29"/>
    <w:rsid w:val="00451CE5"/>
    <w:rsid w:val="00451D52"/>
    <w:rsid w:val="004521D8"/>
    <w:rsid w:val="0045225A"/>
    <w:rsid w:val="004522CA"/>
    <w:rsid w:val="00453140"/>
    <w:rsid w:val="0045360B"/>
    <w:rsid w:val="004539F3"/>
    <w:rsid w:val="00454482"/>
    <w:rsid w:val="0045462C"/>
    <w:rsid w:val="0045506F"/>
    <w:rsid w:val="0045598A"/>
    <w:rsid w:val="00455BC2"/>
    <w:rsid w:val="004563B6"/>
    <w:rsid w:val="0045642B"/>
    <w:rsid w:val="00456474"/>
    <w:rsid w:val="0045647B"/>
    <w:rsid w:val="004564FC"/>
    <w:rsid w:val="00456D58"/>
    <w:rsid w:val="00456E56"/>
    <w:rsid w:val="0045713C"/>
    <w:rsid w:val="00457150"/>
    <w:rsid w:val="00457337"/>
    <w:rsid w:val="00457591"/>
    <w:rsid w:val="00457B01"/>
    <w:rsid w:val="00457BBB"/>
    <w:rsid w:val="00457C53"/>
    <w:rsid w:val="0046009B"/>
    <w:rsid w:val="0046010D"/>
    <w:rsid w:val="004602D9"/>
    <w:rsid w:val="0046047C"/>
    <w:rsid w:val="00460601"/>
    <w:rsid w:val="00460873"/>
    <w:rsid w:val="00460C01"/>
    <w:rsid w:val="00460E1B"/>
    <w:rsid w:val="00461848"/>
    <w:rsid w:val="00461998"/>
    <w:rsid w:val="00461C94"/>
    <w:rsid w:val="00461ED4"/>
    <w:rsid w:val="0046226A"/>
    <w:rsid w:val="00462378"/>
    <w:rsid w:val="00462403"/>
    <w:rsid w:val="00462595"/>
    <w:rsid w:val="004625BB"/>
    <w:rsid w:val="00462A67"/>
    <w:rsid w:val="00462CA5"/>
    <w:rsid w:val="00462EB1"/>
    <w:rsid w:val="00463767"/>
    <w:rsid w:val="00463DC2"/>
    <w:rsid w:val="00464125"/>
    <w:rsid w:val="004645A9"/>
    <w:rsid w:val="00464862"/>
    <w:rsid w:val="00464A3E"/>
    <w:rsid w:val="0046569B"/>
    <w:rsid w:val="0046572C"/>
    <w:rsid w:val="004666A0"/>
    <w:rsid w:val="00467155"/>
    <w:rsid w:val="0046766F"/>
    <w:rsid w:val="00467B3D"/>
    <w:rsid w:val="0047099D"/>
    <w:rsid w:val="00470B8B"/>
    <w:rsid w:val="00470E0D"/>
    <w:rsid w:val="00471053"/>
    <w:rsid w:val="0047182B"/>
    <w:rsid w:val="00471DEA"/>
    <w:rsid w:val="004721C2"/>
    <w:rsid w:val="0047229F"/>
    <w:rsid w:val="0047278C"/>
    <w:rsid w:val="00472822"/>
    <w:rsid w:val="00472B95"/>
    <w:rsid w:val="00472CC1"/>
    <w:rsid w:val="00473CCE"/>
    <w:rsid w:val="00474BF8"/>
    <w:rsid w:val="00475562"/>
    <w:rsid w:val="00475675"/>
    <w:rsid w:val="0047596A"/>
    <w:rsid w:val="0047598A"/>
    <w:rsid w:val="00475AA5"/>
    <w:rsid w:val="00475CDC"/>
    <w:rsid w:val="00476850"/>
    <w:rsid w:val="0047697F"/>
    <w:rsid w:val="00476989"/>
    <w:rsid w:val="00476BC4"/>
    <w:rsid w:val="00476EE1"/>
    <w:rsid w:val="004770D1"/>
    <w:rsid w:val="00477510"/>
    <w:rsid w:val="00477686"/>
    <w:rsid w:val="00477817"/>
    <w:rsid w:val="00477E9E"/>
    <w:rsid w:val="00480000"/>
    <w:rsid w:val="00480968"/>
    <w:rsid w:val="00480FE4"/>
    <w:rsid w:val="0048101B"/>
    <w:rsid w:val="00481114"/>
    <w:rsid w:val="0048114E"/>
    <w:rsid w:val="00481845"/>
    <w:rsid w:val="0048191F"/>
    <w:rsid w:val="00481943"/>
    <w:rsid w:val="004821B2"/>
    <w:rsid w:val="004821DA"/>
    <w:rsid w:val="00482628"/>
    <w:rsid w:val="00482BA2"/>
    <w:rsid w:val="00483010"/>
    <w:rsid w:val="0048324B"/>
    <w:rsid w:val="00483438"/>
    <w:rsid w:val="0048378F"/>
    <w:rsid w:val="00483A6C"/>
    <w:rsid w:val="00483DF1"/>
    <w:rsid w:val="00483FA1"/>
    <w:rsid w:val="004844B7"/>
    <w:rsid w:val="00484AA2"/>
    <w:rsid w:val="00484CB2"/>
    <w:rsid w:val="0048580C"/>
    <w:rsid w:val="004862AB"/>
    <w:rsid w:val="00486336"/>
    <w:rsid w:val="004863AF"/>
    <w:rsid w:val="00486A04"/>
    <w:rsid w:val="0048716F"/>
    <w:rsid w:val="00487A1E"/>
    <w:rsid w:val="00487B85"/>
    <w:rsid w:val="00487BF5"/>
    <w:rsid w:val="00490077"/>
    <w:rsid w:val="00490BD4"/>
    <w:rsid w:val="00490D68"/>
    <w:rsid w:val="00490F55"/>
    <w:rsid w:val="00490FF1"/>
    <w:rsid w:val="004912C1"/>
    <w:rsid w:val="00491773"/>
    <w:rsid w:val="004919D3"/>
    <w:rsid w:val="00491ABD"/>
    <w:rsid w:val="00491D70"/>
    <w:rsid w:val="00491ECE"/>
    <w:rsid w:val="00492373"/>
    <w:rsid w:val="00492AC0"/>
    <w:rsid w:val="00492FAA"/>
    <w:rsid w:val="00493721"/>
    <w:rsid w:val="00493803"/>
    <w:rsid w:val="00494139"/>
    <w:rsid w:val="004948BB"/>
    <w:rsid w:val="00494B7A"/>
    <w:rsid w:val="00494D95"/>
    <w:rsid w:val="00494E24"/>
    <w:rsid w:val="00495486"/>
    <w:rsid w:val="004959D6"/>
    <w:rsid w:val="00495E97"/>
    <w:rsid w:val="0049689D"/>
    <w:rsid w:val="004969FD"/>
    <w:rsid w:val="00496EE6"/>
    <w:rsid w:val="00497D08"/>
    <w:rsid w:val="00497DAF"/>
    <w:rsid w:val="00497E20"/>
    <w:rsid w:val="004A00F0"/>
    <w:rsid w:val="004A08DA"/>
    <w:rsid w:val="004A09A3"/>
    <w:rsid w:val="004A0D61"/>
    <w:rsid w:val="004A0D64"/>
    <w:rsid w:val="004A0D9D"/>
    <w:rsid w:val="004A0EE0"/>
    <w:rsid w:val="004A106C"/>
    <w:rsid w:val="004A153E"/>
    <w:rsid w:val="004A1613"/>
    <w:rsid w:val="004A1A49"/>
    <w:rsid w:val="004A1EA5"/>
    <w:rsid w:val="004A2297"/>
    <w:rsid w:val="004A2471"/>
    <w:rsid w:val="004A2500"/>
    <w:rsid w:val="004A293D"/>
    <w:rsid w:val="004A2C26"/>
    <w:rsid w:val="004A2DA3"/>
    <w:rsid w:val="004A2F8E"/>
    <w:rsid w:val="004A31C9"/>
    <w:rsid w:val="004A3350"/>
    <w:rsid w:val="004A3A0F"/>
    <w:rsid w:val="004A4672"/>
    <w:rsid w:val="004A46EA"/>
    <w:rsid w:val="004A4B54"/>
    <w:rsid w:val="004A4B97"/>
    <w:rsid w:val="004A4C69"/>
    <w:rsid w:val="004A4FFC"/>
    <w:rsid w:val="004A5B8A"/>
    <w:rsid w:val="004A5F52"/>
    <w:rsid w:val="004A6B92"/>
    <w:rsid w:val="004A6D18"/>
    <w:rsid w:val="004A6F93"/>
    <w:rsid w:val="004A7002"/>
    <w:rsid w:val="004A76FA"/>
    <w:rsid w:val="004A781D"/>
    <w:rsid w:val="004A7A2C"/>
    <w:rsid w:val="004B01EF"/>
    <w:rsid w:val="004B061B"/>
    <w:rsid w:val="004B084B"/>
    <w:rsid w:val="004B0E98"/>
    <w:rsid w:val="004B174E"/>
    <w:rsid w:val="004B1AA3"/>
    <w:rsid w:val="004B20D8"/>
    <w:rsid w:val="004B21BC"/>
    <w:rsid w:val="004B223F"/>
    <w:rsid w:val="004B2E54"/>
    <w:rsid w:val="004B3CF2"/>
    <w:rsid w:val="004B40F6"/>
    <w:rsid w:val="004B469D"/>
    <w:rsid w:val="004B477A"/>
    <w:rsid w:val="004B4B23"/>
    <w:rsid w:val="004B5548"/>
    <w:rsid w:val="004B5AF3"/>
    <w:rsid w:val="004B5EB2"/>
    <w:rsid w:val="004B62EF"/>
    <w:rsid w:val="004B66AC"/>
    <w:rsid w:val="004B67A4"/>
    <w:rsid w:val="004B6A0F"/>
    <w:rsid w:val="004B6A47"/>
    <w:rsid w:val="004C0255"/>
    <w:rsid w:val="004C0959"/>
    <w:rsid w:val="004C0E86"/>
    <w:rsid w:val="004C11B1"/>
    <w:rsid w:val="004C1619"/>
    <w:rsid w:val="004C19AB"/>
    <w:rsid w:val="004C1C23"/>
    <w:rsid w:val="004C2812"/>
    <w:rsid w:val="004C2D97"/>
    <w:rsid w:val="004C3373"/>
    <w:rsid w:val="004C3757"/>
    <w:rsid w:val="004C42EE"/>
    <w:rsid w:val="004C4992"/>
    <w:rsid w:val="004C49B4"/>
    <w:rsid w:val="004C4EB8"/>
    <w:rsid w:val="004C4F97"/>
    <w:rsid w:val="004C52CD"/>
    <w:rsid w:val="004C5544"/>
    <w:rsid w:val="004C5758"/>
    <w:rsid w:val="004C59F8"/>
    <w:rsid w:val="004C5A84"/>
    <w:rsid w:val="004C63AC"/>
    <w:rsid w:val="004C6D22"/>
    <w:rsid w:val="004C6DDF"/>
    <w:rsid w:val="004C6E39"/>
    <w:rsid w:val="004C6F2C"/>
    <w:rsid w:val="004C722A"/>
    <w:rsid w:val="004C723E"/>
    <w:rsid w:val="004C73D6"/>
    <w:rsid w:val="004C754C"/>
    <w:rsid w:val="004D14EC"/>
    <w:rsid w:val="004D235A"/>
    <w:rsid w:val="004D2442"/>
    <w:rsid w:val="004D2942"/>
    <w:rsid w:val="004D29B7"/>
    <w:rsid w:val="004D2BFB"/>
    <w:rsid w:val="004D2EB3"/>
    <w:rsid w:val="004D378F"/>
    <w:rsid w:val="004D381D"/>
    <w:rsid w:val="004D383E"/>
    <w:rsid w:val="004D3AD4"/>
    <w:rsid w:val="004D3E77"/>
    <w:rsid w:val="004D3F43"/>
    <w:rsid w:val="004D4331"/>
    <w:rsid w:val="004D4B7C"/>
    <w:rsid w:val="004D4F4F"/>
    <w:rsid w:val="004D4F93"/>
    <w:rsid w:val="004D4FB9"/>
    <w:rsid w:val="004D5098"/>
    <w:rsid w:val="004D5618"/>
    <w:rsid w:val="004D578D"/>
    <w:rsid w:val="004D57EC"/>
    <w:rsid w:val="004D689D"/>
    <w:rsid w:val="004D71A9"/>
    <w:rsid w:val="004D7309"/>
    <w:rsid w:val="004D7866"/>
    <w:rsid w:val="004D79A6"/>
    <w:rsid w:val="004D7A26"/>
    <w:rsid w:val="004D7CA7"/>
    <w:rsid w:val="004E0397"/>
    <w:rsid w:val="004E1B7F"/>
    <w:rsid w:val="004E1BC1"/>
    <w:rsid w:val="004E1C0A"/>
    <w:rsid w:val="004E233B"/>
    <w:rsid w:val="004E2F10"/>
    <w:rsid w:val="004E3943"/>
    <w:rsid w:val="004E43AD"/>
    <w:rsid w:val="004E48C8"/>
    <w:rsid w:val="004E494D"/>
    <w:rsid w:val="004E4C2E"/>
    <w:rsid w:val="004E4D2B"/>
    <w:rsid w:val="004E4F08"/>
    <w:rsid w:val="004E5106"/>
    <w:rsid w:val="004E563D"/>
    <w:rsid w:val="004E6089"/>
    <w:rsid w:val="004E64ED"/>
    <w:rsid w:val="004E730D"/>
    <w:rsid w:val="004F01F2"/>
    <w:rsid w:val="004F0454"/>
    <w:rsid w:val="004F05D9"/>
    <w:rsid w:val="004F13F7"/>
    <w:rsid w:val="004F1648"/>
    <w:rsid w:val="004F19AC"/>
    <w:rsid w:val="004F19AF"/>
    <w:rsid w:val="004F1A16"/>
    <w:rsid w:val="004F1D16"/>
    <w:rsid w:val="004F2E55"/>
    <w:rsid w:val="004F31DB"/>
    <w:rsid w:val="004F31DE"/>
    <w:rsid w:val="004F3355"/>
    <w:rsid w:val="004F351D"/>
    <w:rsid w:val="004F3CE0"/>
    <w:rsid w:val="004F40D9"/>
    <w:rsid w:val="004F489C"/>
    <w:rsid w:val="004F4A56"/>
    <w:rsid w:val="004F4D9C"/>
    <w:rsid w:val="004F4E95"/>
    <w:rsid w:val="004F5620"/>
    <w:rsid w:val="004F5704"/>
    <w:rsid w:val="004F57DE"/>
    <w:rsid w:val="004F58C1"/>
    <w:rsid w:val="004F5A80"/>
    <w:rsid w:val="004F5C1B"/>
    <w:rsid w:val="004F5F99"/>
    <w:rsid w:val="004F633E"/>
    <w:rsid w:val="004F7191"/>
    <w:rsid w:val="004F72BB"/>
    <w:rsid w:val="004F7547"/>
    <w:rsid w:val="004F77BD"/>
    <w:rsid w:val="004F7D4A"/>
    <w:rsid w:val="0050045F"/>
    <w:rsid w:val="005013CA"/>
    <w:rsid w:val="00501487"/>
    <w:rsid w:val="005014A8"/>
    <w:rsid w:val="00501851"/>
    <w:rsid w:val="00501E4B"/>
    <w:rsid w:val="0050280D"/>
    <w:rsid w:val="0050286C"/>
    <w:rsid w:val="0050291D"/>
    <w:rsid w:val="00502BB6"/>
    <w:rsid w:val="00502C58"/>
    <w:rsid w:val="00502DAA"/>
    <w:rsid w:val="00503046"/>
    <w:rsid w:val="0050334A"/>
    <w:rsid w:val="00503364"/>
    <w:rsid w:val="0050339D"/>
    <w:rsid w:val="00503853"/>
    <w:rsid w:val="00503CD2"/>
    <w:rsid w:val="0050410A"/>
    <w:rsid w:val="00504554"/>
    <w:rsid w:val="005055AE"/>
    <w:rsid w:val="00505640"/>
    <w:rsid w:val="0050591C"/>
    <w:rsid w:val="00505ECE"/>
    <w:rsid w:val="005062B3"/>
    <w:rsid w:val="00506DF9"/>
    <w:rsid w:val="0050758D"/>
    <w:rsid w:val="00507668"/>
    <w:rsid w:val="00507F4F"/>
    <w:rsid w:val="00510035"/>
    <w:rsid w:val="005101CF"/>
    <w:rsid w:val="00510BDF"/>
    <w:rsid w:val="00511610"/>
    <w:rsid w:val="00511E3B"/>
    <w:rsid w:val="00512507"/>
    <w:rsid w:val="00512822"/>
    <w:rsid w:val="005128BE"/>
    <w:rsid w:val="005128F1"/>
    <w:rsid w:val="0051359F"/>
    <w:rsid w:val="0051426C"/>
    <w:rsid w:val="005147BA"/>
    <w:rsid w:val="00514BCB"/>
    <w:rsid w:val="005151A3"/>
    <w:rsid w:val="005156B9"/>
    <w:rsid w:val="005159F8"/>
    <w:rsid w:val="00515ADF"/>
    <w:rsid w:val="00516CD7"/>
    <w:rsid w:val="00516F64"/>
    <w:rsid w:val="00517A98"/>
    <w:rsid w:val="00520340"/>
    <w:rsid w:val="00520642"/>
    <w:rsid w:val="00520C81"/>
    <w:rsid w:val="00520D28"/>
    <w:rsid w:val="00520E26"/>
    <w:rsid w:val="00521296"/>
    <w:rsid w:val="005218EA"/>
    <w:rsid w:val="00522027"/>
    <w:rsid w:val="00522779"/>
    <w:rsid w:val="0052295A"/>
    <w:rsid w:val="00522DD9"/>
    <w:rsid w:val="00522EEC"/>
    <w:rsid w:val="00523155"/>
    <w:rsid w:val="00523EDD"/>
    <w:rsid w:val="00524B5C"/>
    <w:rsid w:val="00524E93"/>
    <w:rsid w:val="00524FFC"/>
    <w:rsid w:val="005251CB"/>
    <w:rsid w:val="005252E5"/>
    <w:rsid w:val="00525FE3"/>
    <w:rsid w:val="00526320"/>
    <w:rsid w:val="00526DA4"/>
    <w:rsid w:val="00526E8E"/>
    <w:rsid w:val="00526EC8"/>
    <w:rsid w:val="00527189"/>
    <w:rsid w:val="005275AE"/>
    <w:rsid w:val="005277AC"/>
    <w:rsid w:val="0052783C"/>
    <w:rsid w:val="00527E49"/>
    <w:rsid w:val="00530525"/>
    <w:rsid w:val="005306EF"/>
    <w:rsid w:val="00530C5B"/>
    <w:rsid w:val="0053102F"/>
    <w:rsid w:val="0053145F"/>
    <w:rsid w:val="005314DF"/>
    <w:rsid w:val="005316F3"/>
    <w:rsid w:val="005319C0"/>
    <w:rsid w:val="00531EB7"/>
    <w:rsid w:val="0053210F"/>
    <w:rsid w:val="00532605"/>
    <w:rsid w:val="005326D4"/>
    <w:rsid w:val="0053285B"/>
    <w:rsid w:val="00532B21"/>
    <w:rsid w:val="00532B61"/>
    <w:rsid w:val="00532FB0"/>
    <w:rsid w:val="00533064"/>
    <w:rsid w:val="0053315F"/>
    <w:rsid w:val="005333F5"/>
    <w:rsid w:val="00534130"/>
    <w:rsid w:val="005342DC"/>
    <w:rsid w:val="00534554"/>
    <w:rsid w:val="00534B85"/>
    <w:rsid w:val="005353C2"/>
    <w:rsid w:val="00535BAD"/>
    <w:rsid w:val="005361D5"/>
    <w:rsid w:val="00536425"/>
    <w:rsid w:val="00536912"/>
    <w:rsid w:val="00536B18"/>
    <w:rsid w:val="00536BE7"/>
    <w:rsid w:val="00536CFD"/>
    <w:rsid w:val="00536DF7"/>
    <w:rsid w:val="00537491"/>
    <w:rsid w:val="00537A27"/>
    <w:rsid w:val="00540046"/>
    <w:rsid w:val="005400AC"/>
    <w:rsid w:val="00540112"/>
    <w:rsid w:val="0054092F"/>
    <w:rsid w:val="00540E51"/>
    <w:rsid w:val="00541215"/>
    <w:rsid w:val="00541235"/>
    <w:rsid w:val="00541C86"/>
    <w:rsid w:val="00541DCA"/>
    <w:rsid w:val="00541FDB"/>
    <w:rsid w:val="00541FE5"/>
    <w:rsid w:val="005429A6"/>
    <w:rsid w:val="005429E8"/>
    <w:rsid w:val="00542B9B"/>
    <w:rsid w:val="005432D0"/>
    <w:rsid w:val="0054331D"/>
    <w:rsid w:val="005445D5"/>
    <w:rsid w:val="00544642"/>
    <w:rsid w:val="00544739"/>
    <w:rsid w:val="0054476B"/>
    <w:rsid w:val="00544C58"/>
    <w:rsid w:val="00545045"/>
    <w:rsid w:val="005450E8"/>
    <w:rsid w:val="00546071"/>
    <w:rsid w:val="00546237"/>
    <w:rsid w:val="005464DC"/>
    <w:rsid w:val="00546563"/>
    <w:rsid w:val="00546807"/>
    <w:rsid w:val="00546D07"/>
    <w:rsid w:val="0054768C"/>
    <w:rsid w:val="00547810"/>
    <w:rsid w:val="00550104"/>
    <w:rsid w:val="00550EE9"/>
    <w:rsid w:val="00550FE4"/>
    <w:rsid w:val="0055100A"/>
    <w:rsid w:val="00551444"/>
    <w:rsid w:val="00551BF3"/>
    <w:rsid w:val="00552146"/>
    <w:rsid w:val="0055293C"/>
    <w:rsid w:val="00552D12"/>
    <w:rsid w:val="00552F14"/>
    <w:rsid w:val="00553022"/>
    <w:rsid w:val="00553E04"/>
    <w:rsid w:val="005541CC"/>
    <w:rsid w:val="005543F9"/>
    <w:rsid w:val="00554976"/>
    <w:rsid w:val="00554C00"/>
    <w:rsid w:val="00554CED"/>
    <w:rsid w:val="00554CFD"/>
    <w:rsid w:val="00555559"/>
    <w:rsid w:val="005556B3"/>
    <w:rsid w:val="0055584E"/>
    <w:rsid w:val="00556B7E"/>
    <w:rsid w:val="00556B99"/>
    <w:rsid w:val="00557431"/>
    <w:rsid w:val="0055754C"/>
    <w:rsid w:val="005578EB"/>
    <w:rsid w:val="00557A5C"/>
    <w:rsid w:val="00557CCA"/>
    <w:rsid w:val="00560373"/>
    <w:rsid w:val="0056042A"/>
    <w:rsid w:val="00560DD2"/>
    <w:rsid w:val="00560E86"/>
    <w:rsid w:val="00560E9C"/>
    <w:rsid w:val="005610D6"/>
    <w:rsid w:val="0056110C"/>
    <w:rsid w:val="00561243"/>
    <w:rsid w:val="005614F8"/>
    <w:rsid w:val="0056198F"/>
    <w:rsid w:val="005619F5"/>
    <w:rsid w:val="005623B6"/>
    <w:rsid w:val="00562DF0"/>
    <w:rsid w:val="0056304B"/>
    <w:rsid w:val="00563092"/>
    <w:rsid w:val="005638A0"/>
    <w:rsid w:val="0056392F"/>
    <w:rsid w:val="00563EC3"/>
    <w:rsid w:val="00563EDD"/>
    <w:rsid w:val="00564025"/>
    <w:rsid w:val="0056453D"/>
    <w:rsid w:val="005649D6"/>
    <w:rsid w:val="00565237"/>
    <w:rsid w:val="0056585F"/>
    <w:rsid w:val="00565930"/>
    <w:rsid w:val="0056618C"/>
    <w:rsid w:val="0056621A"/>
    <w:rsid w:val="00566298"/>
    <w:rsid w:val="00566308"/>
    <w:rsid w:val="0056668E"/>
    <w:rsid w:val="005667D6"/>
    <w:rsid w:val="00566920"/>
    <w:rsid w:val="00567910"/>
    <w:rsid w:val="00567B18"/>
    <w:rsid w:val="00567BDA"/>
    <w:rsid w:val="00567C20"/>
    <w:rsid w:val="00567FA6"/>
    <w:rsid w:val="005701AB"/>
    <w:rsid w:val="00570390"/>
    <w:rsid w:val="0057041D"/>
    <w:rsid w:val="00570A73"/>
    <w:rsid w:val="00571601"/>
    <w:rsid w:val="00571AAF"/>
    <w:rsid w:val="005727D8"/>
    <w:rsid w:val="00572C3B"/>
    <w:rsid w:val="00572C73"/>
    <w:rsid w:val="00573223"/>
    <w:rsid w:val="00573E70"/>
    <w:rsid w:val="00573E97"/>
    <w:rsid w:val="00574097"/>
    <w:rsid w:val="0057411D"/>
    <w:rsid w:val="00574610"/>
    <w:rsid w:val="00574AE9"/>
    <w:rsid w:val="00574C7C"/>
    <w:rsid w:val="00574C8A"/>
    <w:rsid w:val="00575301"/>
    <w:rsid w:val="00575403"/>
    <w:rsid w:val="005765D4"/>
    <w:rsid w:val="0057686C"/>
    <w:rsid w:val="0057705E"/>
    <w:rsid w:val="0057775C"/>
    <w:rsid w:val="005778DD"/>
    <w:rsid w:val="00577E18"/>
    <w:rsid w:val="00580134"/>
    <w:rsid w:val="005801F9"/>
    <w:rsid w:val="005805F3"/>
    <w:rsid w:val="005808BE"/>
    <w:rsid w:val="00580FEF"/>
    <w:rsid w:val="0058113D"/>
    <w:rsid w:val="005815E2"/>
    <w:rsid w:val="00581CDB"/>
    <w:rsid w:val="00582110"/>
    <w:rsid w:val="00582335"/>
    <w:rsid w:val="00582582"/>
    <w:rsid w:val="00582F6C"/>
    <w:rsid w:val="0058311F"/>
    <w:rsid w:val="0058368B"/>
    <w:rsid w:val="00584724"/>
    <w:rsid w:val="00584A86"/>
    <w:rsid w:val="00584D06"/>
    <w:rsid w:val="00584D30"/>
    <w:rsid w:val="00584D87"/>
    <w:rsid w:val="00585478"/>
    <w:rsid w:val="005854E5"/>
    <w:rsid w:val="00585D00"/>
    <w:rsid w:val="005874DA"/>
    <w:rsid w:val="00587C4E"/>
    <w:rsid w:val="00587C7C"/>
    <w:rsid w:val="00587C89"/>
    <w:rsid w:val="0059004F"/>
    <w:rsid w:val="00590507"/>
    <w:rsid w:val="0059055D"/>
    <w:rsid w:val="005906B9"/>
    <w:rsid w:val="00590E2B"/>
    <w:rsid w:val="00590F9C"/>
    <w:rsid w:val="00590FD9"/>
    <w:rsid w:val="005911BA"/>
    <w:rsid w:val="005919CB"/>
    <w:rsid w:val="00591D8E"/>
    <w:rsid w:val="00591E18"/>
    <w:rsid w:val="00592D61"/>
    <w:rsid w:val="0059364C"/>
    <w:rsid w:val="00593ABB"/>
    <w:rsid w:val="00593F3B"/>
    <w:rsid w:val="00594E10"/>
    <w:rsid w:val="00594FB6"/>
    <w:rsid w:val="00595144"/>
    <w:rsid w:val="00595231"/>
    <w:rsid w:val="00595687"/>
    <w:rsid w:val="005963DC"/>
    <w:rsid w:val="0059697C"/>
    <w:rsid w:val="00596B9B"/>
    <w:rsid w:val="00596E7D"/>
    <w:rsid w:val="00596EF1"/>
    <w:rsid w:val="0059723F"/>
    <w:rsid w:val="005976CD"/>
    <w:rsid w:val="00597E5A"/>
    <w:rsid w:val="005A002E"/>
    <w:rsid w:val="005A0168"/>
    <w:rsid w:val="005A0239"/>
    <w:rsid w:val="005A095F"/>
    <w:rsid w:val="005A0B1E"/>
    <w:rsid w:val="005A0C5C"/>
    <w:rsid w:val="005A0DF9"/>
    <w:rsid w:val="005A13D0"/>
    <w:rsid w:val="005A208E"/>
    <w:rsid w:val="005A235D"/>
    <w:rsid w:val="005A26BD"/>
    <w:rsid w:val="005A28EB"/>
    <w:rsid w:val="005A2ACF"/>
    <w:rsid w:val="005A3433"/>
    <w:rsid w:val="005A3B7A"/>
    <w:rsid w:val="005A3EC1"/>
    <w:rsid w:val="005A400C"/>
    <w:rsid w:val="005A47F9"/>
    <w:rsid w:val="005A4A35"/>
    <w:rsid w:val="005A507B"/>
    <w:rsid w:val="005A537E"/>
    <w:rsid w:val="005A5736"/>
    <w:rsid w:val="005A5895"/>
    <w:rsid w:val="005A5B21"/>
    <w:rsid w:val="005A6198"/>
    <w:rsid w:val="005A6736"/>
    <w:rsid w:val="005A688D"/>
    <w:rsid w:val="005A732E"/>
    <w:rsid w:val="005A7452"/>
    <w:rsid w:val="005A74B0"/>
    <w:rsid w:val="005B046E"/>
    <w:rsid w:val="005B0563"/>
    <w:rsid w:val="005B083F"/>
    <w:rsid w:val="005B0951"/>
    <w:rsid w:val="005B0AB6"/>
    <w:rsid w:val="005B0EEF"/>
    <w:rsid w:val="005B1782"/>
    <w:rsid w:val="005B1BC5"/>
    <w:rsid w:val="005B1F97"/>
    <w:rsid w:val="005B233E"/>
    <w:rsid w:val="005B2582"/>
    <w:rsid w:val="005B286F"/>
    <w:rsid w:val="005B2A55"/>
    <w:rsid w:val="005B2E87"/>
    <w:rsid w:val="005B2EC2"/>
    <w:rsid w:val="005B32BA"/>
    <w:rsid w:val="005B3424"/>
    <w:rsid w:val="005B354E"/>
    <w:rsid w:val="005B393B"/>
    <w:rsid w:val="005B3FDB"/>
    <w:rsid w:val="005B4318"/>
    <w:rsid w:val="005B46A7"/>
    <w:rsid w:val="005B484F"/>
    <w:rsid w:val="005B4D21"/>
    <w:rsid w:val="005B4D90"/>
    <w:rsid w:val="005B4F92"/>
    <w:rsid w:val="005B577B"/>
    <w:rsid w:val="005B5FAA"/>
    <w:rsid w:val="005B65BA"/>
    <w:rsid w:val="005B661F"/>
    <w:rsid w:val="005B68EB"/>
    <w:rsid w:val="005B6A1E"/>
    <w:rsid w:val="005B7C85"/>
    <w:rsid w:val="005C0760"/>
    <w:rsid w:val="005C0D29"/>
    <w:rsid w:val="005C0EE6"/>
    <w:rsid w:val="005C1199"/>
    <w:rsid w:val="005C1243"/>
    <w:rsid w:val="005C175B"/>
    <w:rsid w:val="005C1D2A"/>
    <w:rsid w:val="005C2248"/>
    <w:rsid w:val="005C24F2"/>
    <w:rsid w:val="005C2968"/>
    <w:rsid w:val="005C2AF4"/>
    <w:rsid w:val="005C2EF1"/>
    <w:rsid w:val="005C3768"/>
    <w:rsid w:val="005C3ADF"/>
    <w:rsid w:val="005C3CD9"/>
    <w:rsid w:val="005C47C7"/>
    <w:rsid w:val="005C5532"/>
    <w:rsid w:val="005C5F83"/>
    <w:rsid w:val="005C60D1"/>
    <w:rsid w:val="005C6137"/>
    <w:rsid w:val="005C6DB8"/>
    <w:rsid w:val="005C6E96"/>
    <w:rsid w:val="005C72B3"/>
    <w:rsid w:val="005C73CB"/>
    <w:rsid w:val="005D0083"/>
    <w:rsid w:val="005D0310"/>
    <w:rsid w:val="005D09EA"/>
    <w:rsid w:val="005D0D8D"/>
    <w:rsid w:val="005D0E7F"/>
    <w:rsid w:val="005D110C"/>
    <w:rsid w:val="005D1316"/>
    <w:rsid w:val="005D1887"/>
    <w:rsid w:val="005D2085"/>
    <w:rsid w:val="005D2627"/>
    <w:rsid w:val="005D3363"/>
    <w:rsid w:val="005D3847"/>
    <w:rsid w:val="005D38F2"/>
    <w:rsid w:val="005D3ED4"/>
    <w:rsid w:val="005D43BF"/>
    <w:rsid w:val="005D4468"/>
    <w:rsid w:val="005D6638"/>
    <w:rsid w:val="005D699E"/>
    <w:rsid w:val="005D7200"/>
    <w:rsid w:val="005D79A3"/>
    <w:rsid w:val="005D7A5C"/>
    <w:rsid w:val="005D7B77"/>
    <w:rsid w:val="005D7FA1"/>
    <w:rsid w:val="005E011E"/>
    <w:rsid w:val="005E013C"/>
    <w:rsid w:val="005E0744"/>
    <w:rsid w:val="005E1170"/>
    <w:rsid w:val="005E20F2"/>
    <w:rsid w:val="005E219A"/>
    <w:rsid w:val="005E243F"/>
    <w:rsid w:val="005E25D6"/>
    <w:rsid w:val="005E2743"/>
    <w:rsid w:val="005E29D5"/>
    <w:rsid w:val="005E31B4"/>
    <w:rsid w:val="005E333A"/>
    <w:rsid w:val="005E3A22"/>
    <w:rsid w:val="005E3B18"/>
    <w:rsid w:val="005E41A5"/>
    <w:rsid w:val="005E4872"/>
    <w:rsid w:val="005E4C75"/>
    <w:rsid w:val="005E4F36"/>
    <w:rsid w:val="005E4FB4"/>
    <w:rsid w:val="005E518F"/>
    <w:rsid w:val="005E5B93"/>
    <w:rsid w:val="005E5FEE"/>
    <w:rsid w:val="005E6306"/>
    <w:rsid w:val="005E6AFA"/>
    <w:rsid w:val="005E7952"/>
    <w:rsid w:val="005E7E85"/>
    <w:rsid w:val="005F0298"/>
    <w:rsid w:val="005F0515"/>
    <w:rsid w:val="005F0999"/>
    <w:rsid w:val="005F0B28"/>
    <w:rsid w:val="005F0D6D"/>
    <w:rsid w:val="005F1019"/>
    <w:rsid w:val="005F1ACC"/>
    <w:rsid w:val="005F22AB"/>
    <w:rsid w:val="005F2355"/>
    <w:rsid w:val="005F23DC"/>
    <w:rsid w:val="005F2629"/>
    <w:rsid w:val="005F2B93"/>
    <w:rsid w:val="005F30ED"/>
    <w:rsid w:val="005F32D3"/>
    <w:rsid w:val="005F32E7"/>
    <w:rsid w:val="005F3469"/>
    <w:rsid w:val="005F378E"/>
    <w:rsid w:val="005F3894"/>
    <w:rsid w:val="005F38A8"/>
    <w:rsid w:val="005F3B7C"/>
    <w:rsid w:val="005F3BD5"/>
    <w:rsid w:val="005F3FA1"/>
    <w:rsid w:val="005F3FBC"/>
    <w:rsid w:val="005F44A8"/>
    <w:rsid w:val="005F598C"/>
    <w:rsid w:val="005F59E3"/>
    <w:rsid w:val="005F5D67"/>
    <w:rsid w:val="005F5E6D"/>
    <w:rsid w:val="005F680F"/>
    <w:rsid w:val="005F6987"/>
    <w:rsid w:val="005F7785"/>
    <w:rsid w:val="005F78B5"/>
    <w:rsid w:val="00600282"/>
    <w:rsid w:val="00600525"/>
    <w:rsid w:val="00600754"/>
    <w:rsid w:val="00600F58"/>
    <w:rsid w:val="00600F5D"/>
    <w:rsid w:val="00600FAE"/>
    <w:rsid w:val="00601492"/>
    <w:rsid w:val="00601928"/>
    <w:rsid w:val="00601A7A"/>
    <w:rsid w:val="006025B2"/>
    <w:rsid w:val="00602AF2"/>
    <w:rsid w:val="00602B61"/>
    <w:rsid w:val="00602BE1"/>
    <w:rsid w:val="0060344B"/>
    <w:rsid w:val="00603578"/>
    <w:rsid w:val="006036AA"/>
    <w:rsid w:val="006037FB"/>
    <w:rsid w:val="00603D19"/>
    <w:rsid w:val="0060434C"/>
    <w:rsid w:val="006043C9"/>
    <w:rsid w:val="00604693"/>
    <w:rsid w:val="0060496F"/>
    <w:rsid w:val="00604A19"/>
    <w:rsid w:val="00604AEA"/>
    <w:rsid w:val="00604D7B"/>
    <w:rsid w:val="00604E48"/>
    <w:rsid w:val="006053C6"/>
    <w:rsid w:val="00605402"/>
    <w:rsid w:val="00605690"/>
    <w:rsid w:val="006057A6"/>
    <w:rsid w:val="00606217"/>
    <w:rsid w:val="00606B90"/>
    <w:rsid w:val="00606E99"/>
    <w:rsid w:val="00607159"/>
    <w:rsid w:val="00607335"/>
    <w:rsid w:val="006101C4"/>
    <w:rsid w:val="00610557"/>
    <w:rsid w:val="0061162F"/>
    <w:rsid w:val="00611C59"/>
    <w:rsid w:val="00611DDD"/>
    <w:rsid w:val="00612982"/>
    <w:rsid w:val="00612A13"/>
    <w:rsid w:val="00612E28"/>
    <w:rsid w:val="00613982"/>
    <w:rsid w:val="00613A86"/>
    <w:rsid w:val="0061408B"/>
    <w:rsid w:val="00614F05"/>
    <w:rsid w:val="0061514D"/>
    <w:rsid w:val="00616CD8"/>
    <w:rsid w:val="0061716B"/>
    <w:rsid w:val="0061743F"/>
    <w:rsid w:val="006175AA"/>
    <w:rsid w:val="0061799F"/>
    <w:rsid w:val="00617DB2"/>
    <w:rsid w:val="00620311"/>
    <w:rsid w:val="006209DB"/>
    <w:rsid w:val="00620D5D"/>
    <w:rsid w:val="00620DF2"/>
    <w:rsid w:val="00620EC8"/>
    <w:rsid w:val="00621832"/>
    <w:rsid w:val="00621E5E"/>
    <w:rsid w:val="0062291B"/>
    <w:rsid w:val="00622B0E"/>
    <w:rsid w:val="00622B6E"/>
    <w:rsid w:val="00622E68"/>
    <w:rsid w:val="006230D3"/>
    <w:rsid w:val="00623205"/>
    <w:rsid w:val="0062341C"/>
    <w:rsid w:val="00623AA0"/>
    <w:rsid w:val="00623BDD"/>
    <w:rsid w:val="00623F33"/>
    <w:rsid w:val="006241DA"/>
    <w:rsid w:val="00624211"/>
    <w:rsid w:val="006243DB"/>
    <w:rsid w:val="00624938"/>
    <w:rsid w:val="00624EDF"/>
    <w:rsid w:val="00625341"/>
    <w:rsid w:val="00625650"/>
    <w:rsid w:val="0062571E"/>
    <w:rsid w:val="006266E1"/>
    <w:rsid w:val="00626758"/>
    <w:rsid w:val="0062689A"/>
    <w:rsid w:val="00626C17"/>
    <w:rsid w:val="00626D28"/>
    <w:rsid w:val="00627083"/>
    <w:rsid w:val="006278A8"/>
    <w:rsid w:val="00627B0C"/>
    <w:rsid w:val="00627B52"/>
    <w:rsid w:val="00627C1A"/>
    <w:rsid w:val="00627E85"/>
    <w:rsid w:val="00627EEF"/>
    <w:rsid w:val="006302CB"/>
    <w:rsid w:val="006305D2"/>
    <w:rsid w:val="006306BE"/>
    <w:rsid w:val="00630B40"/>
    <w:rsid w:val="00631193"/>
    <w:rsid w:val="006319ED"/>
    <w:rsid w:val="00631ECB"/>
    <w:rsid w:val="006324C2"/>
    <w:rsid w:val="0063260C"/>
    <w:rsid w:val="006329B3"/>
    <w:rsid w:val="00632C67"/>
    <w:rsid w:val="00632CC5"/>
    <w:rsid w:val="00632FE9"/>
    <w:rsid w:val="0063306B"/>
    <w:rsid w:val="006332EE"/>
    <w:rsid w:val="006339AA"/>
    <w:rsid w:val="00633AD7"/>
    <w:rsid w:val="00633BD0"/>
    <w:rsid w:val="0063404B"/>
    <w:rsid w:val="00634701"/>
    <w:rsid w:val="00634755"/>
    <w:rsid w:val="00634BDD"/>
    <w:rsid w:val="00634E76"/>
    <w:rsid w:val="0063585E"/>
    <w:rsid w:val="006359A8"/>
    <w:rsid w:val="00635C86"/>
    <w:rsid w:val="006365BA"/>
    <w:rsid w:val="0063673D"/>
    <w:rsid w:val="0063675D"/>
    <w:rsid w:val="00636997"/>
    <w:rsid w:val="00636E41"/>
    <w:rsid w:val="00636E96"/>
    <w:rsid w:val="00640044"/>
    <w:rsid w:val="00640063"/>
    <w:rsid w:val="006401D1"/>
    <w:rsid w:val="006401F7"/>
    <w:rsid w:val="0064026A"/>
    <w:rsid w:val="0064039F"/>
    <w:rsid w:val="00640463"/>
    <w:rsid w:val="00640872"/>
    <w:rsid w:val="00640DAF"/>
    <w:rsid w:val="00641017"/>
    <w:rsid w:val="006410CE"/>
    <w:rsid w:val="0064162F"/>
    <w:rsid w:val="00641728"/>
    <w:rsid w:val="00641B4E"/>
    <w:rsid w:val="00641DCA"/>
    <w:rsid w:val="00641EF9"/>
    <w:rsid w:val="0064286A"/>
    <w:rsid w:val="006432D8"/>
    <w:rsid w:val="00643522"/>
    <w:rsid w:val="00643DC2"/>
    <w:rsid w:val="00643FBB"/>
    <w:rsid w:val="0064422B"/>
    <w:rsid w:val="006445AF"/>
    <w:rsid w:val="00644921"/>
    <w:rsid w:val="00644CF4"/>
    <w:rsid w:val="00644DBE"/>
    <w:rsid w:val="00646032"/>
    <w:rsid w:val="00646189"/>
    <w:rsid w:val="00646B5F"/>
    <w:rsid w:val="00647579"/>
    <w:rsid w:val="00650021"/>
    <w:rsid w:val="00650ADF"/>
    <w:rsid w:val="00650DEF"/>
    <w:rsid w:val="00651321"/>
    <w:rsid w:val="0065181C"/>
    <w:rsid w:val="00652AC0"/>
    <w:rsid w:val="00653128"/>
    <w:rsid w:val="00653A74"/>
    <w:rsid w:val="00653B80"/>
    <w:rsid w:val="006547CD"/>
    <w:rsid w:val="00655495"/>
    <w:rsid w:val="00655781"/>
    <w:rsid w:val="00655EA0"/>
    <w:rsid w:val="006567FA"/>
    <w:rsid w:val="00656AB4"/>
    <w:rsid w:val="00656AD0"/>
    <w:rsid w:val="00656BF3"/>
    <w:rsid w:val="00657F77"/>
    <w:rsid w:val="006603C1"/>
    <w:rsid w:val="006608F7"/>
    <w:rsid w:val="0066092C"/>
    <w:rsid w:val="0066097D"/>
    <w:rsid w:val="00660A78"/>
    <w:rsid w:val="00660C10"/>
    <w:rsid w:val="00660D31"/>
    <w:rsid w:val="0066125A"/>
    <w:rsid w:val="0066172B"/>
    <w:rsid w:val="00661E01"/>
    <w:rsid w:val="00662027"/>
    <w:rsid w:val="006620E8"/>
    <w:rsid w:val="006624DF"/>
    <w:rsid w:val="006626C6"/>
    <w:rsid w:val="00662FF1"/>
    <w:rsid w:val="00663000"/>
    <w:rsid w:val="006636C8"/>
    <w:rsid w:val="00663BE8"/>
    <w:rsid w:val="00663DB2"/>
    <w:rsid w:val="00663F22"/>
    <w:rsid w:val="00663F32"/>
    <w:rsid w:val="00664813"/>
    <w:rsid w:val="00664CEF"/>
    <w:rsid w:val="006651F1"/>
    <w:rsid w:val="00665823"/>
    <w:rsid w:val="00665D2E"/>
    <w:rsid w:val="00665EC4"/>
    <w:rsid w:val="0066625A"/>
    <w:rsid w:val="006664C1"/>
    <w:rsid w:val="006668E9"/>
    <w:rsid w:val="00666EB6"/>
    <w:rsid w:val="006703E1"/>
    <w:rsid w:val="00670642"/>
    <w:rsid w:val="0067076B"/>
    <w:rsid w:val="00670A2B"/>
    <w:rsid w:val="00670DFA"/>
    <w:rsid w:val="0067156F"/>
    <w:rsid w:val="0067198A"/>
    <w:rsid w:val="00671A80"/>
    <w:rsid w:val="0067216B"/>
    <w:rsid w:val="00673337"/>
    <w:rsid w:val="0067339C"/>
    <w:rsid w:val="00673765"/>
    <w:rsid w:val="00673DCC"/>
    <w:rsid w:val="00674091"/>
    <w:rsid w:val="0067568A"/>
    <w:rsid w:val="00675A33"/>
    <w:rsid w:val="00675ADC"/>
    <w:rsid w:val="00675D36"/>
    <w:rsid w:val="00675FF3"/>
    <w:rsid w:val="00675FFF"/>
    <w:rsid w:val="00676587"/>
    <w:rsid w:val="006765F0"/>
    <w:rsid w:val="006767E6"/>
    <w:rsid w:val="00676865"/>
    <w:rsid w:val="006769AC"/>
    <w:rsid w:val="00676F0F"/>
    <w:rsid w:val="00680853"/>
    <w:rsid w:val="00680E16"/>
    <w:rsid w:val="00680F0B"/>
    <w:rsid w:val="00680F54"/>
    <w:rsid w:val="00681053"/>
    <w:rsid w:val="006814A8"/>
    <w:rsid w:val="00681570"/>
    <w:rsid w:val="006817A5"/>
    <w:rsid w:val="0068180D"/>
    <w:rsid w:val="00681ABC"/>
    <w:rsid w:val="00681CE0"/>
    <w:rsid w:val="00682479"/>
    <w:rsid w:val="00682DF4"/>
    <w:rsid w:val="0068362E"/>
    <w:rsid w:val="00683E6A"/>
    <w:rsid w:val="00683EE9"/>
    <w:rsid w:val="00684255"/>
    <w:rsid w:val="006845CE"/>
    <w:rsid w:val="00684713"/>
    <w:rsid w:val="0068513D"/>
    <w:rsid w:val="00685250"/>
    <w:rsid w:val="00685503"/>
    <w:rsid w:val="006856FE"/>
    <w:rsid w:val="0068583B"/>
    <w:rsid w:val="00685953"/>
    <w:rsid w:val="00685E80"/>
    <w:rsid w:val="00685F24"/>
    <w:rsid w:val="0068635B"/>
    <w:rsid w:val="006863A5"/>
    <w:rsid w:val="00686952"/>
    <w:rsid w:val="00686E7A"/>
    <w:rsid w:val="0068746E"/>
    <w:rsid w:val="00687763"/>
    <w:rsid w:val="00690395"/>
    <w:rsid w:val="00690590"/>
    <w:rsid w:val="006905D9"/>
    <w:rsid w:val="00690685"/>
    <w:rsid w:val="006908A9"/>
    <w:rsid w:val="006908C7"/>
    <w:rsid w:val="0069097F"/>
    <w:rsid w:val="00690EFD"/>
    <w:rsid w:val="00691037"/>
    <w:rsid w:val="00691481"/>
    <w:rsid w:val="006914A7"/>
    <w:rsid w:val="00691DD6"/>
    <w:rsid w:val="00691E2F"/>
    <w:rsid w:val="00692DD0"/>
    <w:rsid w:val="00692DD5"/>
    <w:rsid w:val="00693528"/>
    <w:rsid w:val="0069354B"/>
    <w:rsid w:val="0069358A"/>
    <w:rsid w:val="0069397F"/>
    <w:rsid w:val="00693BB5"/>
    <w:rsid w:val="00694300"/>
    <w:rsid w:val="00695028"/>
    <w:rsid w:val="00695872"/>
    <w:rsid w:val="00695B78"/>
    <w:rsid w:val="00695FC6"/>
    <w:rsid w:val="00696404"/>
    <w:rsid w:val="006966BB"/>
    <w:rsid w:val="00696743"/>
    <w:rsid w:val="0069691A"/>
    <w:rsid w:val="00696A54"/>
    <w:rsid w:val="00697B15"/>
    <w:rsid w:val="00697BE9"/>
    <w:rsid w:val="006A0059"/>
    <w:rsid w:val="006A0A43"/>
    <w:rsid w:val="006A0C21"/>
    <w:rsid w:val="006A0E86"/>
    <w:rsid w:val="006A1022"/>
    <w:rsid w:val="006A129A"/>
    <w:rsid w:val="006A15B1"/>
    <w:rsid w:val="006A1F6F"/>
    <w:rsid w:val="006A213F"/>
    <w:rsid w:val="006A21FF"/>
    <w:rsid w:val="006A2614"/>
    <w:rsid w:val="006A276B"/>
    <w:rsid w:val="006A3049"/>
    <w:rsid w:val="006A3533"/>
    <w:rsid w:val="006A4112"/>
    <w:rsid w:val="006A4812"/>
    <w:rsid w:val="006A4914"/>
    <w:rsid w:val="006A4B94"/>
    <w:rsid w:val="006A4C20"/>
    <w:rsid w:val="006A4D90"/>
    <w:rsid w:val="006A4F15"/>
    <w:rsid w:val="006A5D54"/>
    <w:rsid w:val="006A5E87"/>
    <w:rsid w:val="006A6331"/>
    <w:rsid w:val="006A645C"/>
    <w:rsid w:val="006A66B9"/>
    <w:rsid w:val="006A6750"/>
    <w:rsid w:val="006A698B"/>
    <w:rsid w:val="006A6B7B"/>
    <w:rsid w:val="006A75E4"/>
    <w:rsid w:val="006A7B94"/>
    <w:rsid w:val="006B072C"/>
    <w:rsid w:val="006B0991"/>
    <w:rsid w:val="006B0A39"/>
    <w:rsid w:val="006B1A16"/>
    <w:rsid w:val="006B267C"/>
    <w:rsid w:val="006B35DE"/>
    <w:rsid w:val="006B3925"/>
    <w:rsid w:val="006B3BA9"/>
    <w:rsid w:val="006B3C2A"/>
    <w:rsid w:val="006B3CBA"/>
    <w:rsid w:val="006B4CC3"/>
    <w:rsid w:val="006B50D5"/>
    <w:rsid w:val="006B7219"/>
    <w:rsid w:val="006B7C1F"/>
    <w:rsid w:val="006C0339"/>
    <w:rsid w:val="006C04D9"/>
    <w:rsid w:val="006C0FAC"/>
    <w:rsid w:val="006C1281"/>
    <w:rsid w:val="006C190A"/>
    <w:rsid w:val="006C198C"/>
    <w:rsid w:val="006C1CDF"/>
    <w:rsid w:val="006C23D9"/>
    <w:rsid w:val="006C2593"/>
    <w:rsid w:val="006C363A"/>
    <w:rsid w:val="006C4263"/>
    <w:rsid w:val="006C45D9"/>
    <w:rsid w:val="006C54F2"/>
    <w:rsid w:val="006C5D18"/>
    <w:rsid w:val="006C5E01"/>
    <w:rsid w:val="006C61E3"/>
    <w:rsid w:val="006C6A82"/>
    <w:rsid w:val="006C729E"/>
    <w:rsid w:val="006C74AE"/>
    <w:rsid w:val="006C77E8"/>
    <w:rsid w:val="006C7BE3"/>
    <w:rsid w:val="006D0064"/>
    <w:rsid w:val="006D0A97"/>
    <w:rsid w:val="006D1654"/>
    <w:rsid w:val="006D1DFD"/>
    <w:rsid w:val="006D1EA9"/>
    <w:rsid w:val="006D2233"/>
    <w:rsid w:val="006D2241"/>
    <w:rsid w:val="006D28CD"/>
    <w:rsid w:val="006D2BE2"/>
    <w:rsid w:val="006D2E02"/>
    <w:rsid w:val="006D3046"/>
    <w:rsid w:val="006D315D"/>
    <w:rsid w:val="006D33A0"/>
    <w:rsid w:val="006D33BB"/>
    <w:rsid w:val="006D35E9"/>
    <w:rsid w:val="006D4149"/>
    <w:rsid w:val="006D4556"/>
    <w:rsid w:val="006D4890"/>
    <w:rsid w:val="006D48CA"/>
    <w:rsid w:val="006D59A5"/>
    <w:rsid w:val="006D6106"/>
    <w:rsid w:val="006D6138"/>
    <w:rsid w:val="006D6159"/>
    <w:rsid w:val="006D6262"/>
    <w:rsid w:val="006D6486"/>
    <w:rsid w:val="006D64B8"/>
    <w:rsid w:val="006D6630"/>
    <w:rsid w:val="006D676B"/>
    <w:rsid w:val="006D6B31"/>
    <w:rsid w:val="006D7272"/>
    <w:rsid w:val="006D7D19"/>
    <w:rsid w:val="006D7DBA"/>
    <w:rsid w:val="006E037B"/>
    <w:rsid w:val="006E0986"/>
    <w:rsid w:val="006E0B96"/>
    <w:rsid w:val="006E1028"/>
    <w:rsid w:val="006E1283"/>
    <w:rsid w:val="006E13AD"/>
    <w:rsid w:val="006E1847"/>
    <w:rsid w:val="006E185C"/>
    <w:rsid w:val="006E2179"/>
    <w:rsid w:val="006E2197"/>
    <w:rsid w:val="006E23D5"/>
    <w:rsid w:val="006E27B1"/>
    <w:rsid w:val="006E286B"/>
    <w:rsid w:val="006E2926"/>
    <w:rsid w:val="006E2A8C"/>
    <w:rsid w:val="006E318D"/>
    <w:rsid w:val="006E438F"/>
    <w:rsid w:val="006E477E"/>
    <w:rsid w:val="006E4F32"/>
    <w:rsid w:val="006E5061"/>
    <w:rsid w:val="006E54CC"/>
    <w:rsid w:val="006E5501"/>
    <w:rsid w:val="006E5BF1"/>
    <w:rsid w:val="006E6066"/>
    <w:rsid w:val="006E63DD"/>
    <w:rsid w:val="006E685C"/>
    <w:rsid w:val="006E69E3"/>
    <w:rsid w:val="006E6D5F"/>
    <w:rsid w:val="006E7984"/>
    <w:rsid w:val="006F0107"/>
    <w:rsid w:val="006F05AB"/>
    <w:rsid w:val="006F09F1"/>
    <w:rsid w:val="006F0AB6"/>
    <w:rsid w:val="006F0E48"/>
    <w:rsid w:val="006F1229"/>
    <w:rsid w:val="006F12ED"/>
    <w:rsid w:val="006F13FA"/>
    <w:rsid w:val="006F157B"/>
    <w:rsid w:val="006F158F"/>
    <w:rsid w:val="006F1687"/>
    <w:rsid w:val="006F1853"/>
    <w:rsid w:val="006F1AE3"/>
    <w:rsid w:val="006F2012"/>
    <w:rsid w:val="006F204A"/>
    <w:rsid w:val="006F2074"/>
    <w:rsid w:val="006F25BF"/>
    <w:rsid w:val="006F2897"/>
    <w:rsid w:val="006F2A0D"/>
    <w:rsid w:val="006F2E55"/>
    <w:rsid w:val="006F3001"/>
    <w:rsid w:val="006F307E"/>
    <w:rsid w:val="006F32F2"/>
    <w:rsid w:val="006F36B5"/>
    <w:rsid w:val="006F37C2"/>
    <w:rsid w:val="006F3B96"/>
    <w:rsid w:val="006F3BFE"/>
    <w:rsid w:val="006F40B4"/>
    <w:rsid w:val="006F43AA"/>
    <w:rsid w:val="006F45E5"/>
    <w:rsid w:val="006F468F"/>
    <w:rsid w:val="006F47FF"/>
    <w:rsid w:val="006F4A02"/>
    <w:rsid w:val="006F53FF"/>
    <w:rsid w:val="006F6583"/>
    <w:rsid w:val="006F6827"/>
    <w:rsid w:val="006F7152"/>
    <w:rsid w:val="006F71BA"/>
    <w:rsid w:val="006F7225"/>
    <w:rsid w:val="006F74EF"/>
    <w:rsid w:val="006F7AB6"/>
    <w:rsid w:val="006F7AD5"/>
    <w:rsid w:val="006F7DD3"/>
    <w:rsid w:val="00700195"/>
    <w:rsid w:val="007001E9"/>
    <w:rsid w:val="007005E7"/>
    <w:rsid w:val="00700657"/>
    <w:rsid w:val="00700B48"/>
    <w:rsid w:val="00702B7C"/>
    <w:rsid w:val="007033C5"/>
    <w:rsid w:val="00703B55"/>
    <w:rsid w:val="007040DA"/>
    <w:rsid w:val="00704659"/>
    <w:rsid w:val="00704893"/>
    <w:rsid w:val="00705EF1"/>
    <w:rsid w:val="007062F7"/>
    <w:rsid w:val="0070688C"/>
    <w:rsid w:val="007077DA"/>
    <w:rsid w:val="007078E5"/>
    <w:rsid w:val="00707E15"/>
    <w:rsid w:val="00710279"/>
    <w:rsid w:val="0071042D"/>
    <w:rsid w:val="00710442"/>
    <w:rsid w:val="00710698"/>
    <w:rsid w:val="007108E7"/>
    <w:rsid w:val="00710CEA"/>
    <w:rsid w:val="007110D4"/>
    <w:rsid w:val="007111EE"/>
    <w:rsid w:val="0071126D"/>
    <w:rsid w:val="0071138D"/>
    <w:rsid w:val="0071168D"/>
    <w:rsid w:val="00711920"/>
    <w:rsid w:val="00711968"/>
    <w:rsid w:val="00712BC4"/>
    <w:rsid w:val="00712E80"/>
    <w:rsid w:val="00712ED1"/>
    <w:rsid w:val="007139A2"/>
    <w:rsid w:val="00713D50"/>
    <w:rsid w:val="00713E55"/>
    <w:rsid w:val="007140C2"/>
    <w:rsid w:val="00714203"/>
    <w:rsid w:val="00714429"/>
    <w:rsid w:val="0071469F"/>
    <w:rsid w:val="00714F90"/>
    <w:rsid w:val="00714F9F"/>
    <w:rsid w:val="007151FC"/>
    <w:rsid w:val="0071521F"/>
    <w:rsid w:val="007157C7"/>
    <w:rsid w:val="00715FCE"/>
    <w:rsid w:val="00716497"/>
    <w:rsid w:val="00716A51"/>
    <w:rsid w:val="00716AB2"/>
    <w:rsid w:val="007174A9"/>
    <w:rsid w:val="00717835"/>
    <w:rsid w:val="00717B61"/>
    <w:rsid w:val="0072074F"/>
    <w:rsid w:val="00720AB6"/>
    <w:rsid w:val="00720F5C"/>
    <w:rsid w:val="00721231"/>
    <w:rsid w:val="007212FE"/>
    <w:rsid w:val="007214E3"/>
    <w:rsid w:val="0072153C"/>
    <w:rsid w:val="0072176D"/>
    <w:rsid w:val="00721930"/>
    <w:rsid w:val="00721A1B"/>
    <w:rsid w:val="007224C3"/>
    <w:rsid w:val="00722590"/>
    <w:rsid w:val="0072268D"/>
    <w:rsid w:val="00722844"/>
    <w:rsid w:val="0072306E"/>
    <w:rsid w:val="00723FCA"/>
    <w:rsid w:val="00724540"/>
    <w:rsid w:val="00724549"/>
    <w:rsid w:val="00724E75"/>
    <w:rsid w:val="00725A00"/>
    <w:rsid w:val="00725B86"/>
    <w:rsid w:val="00726296"/>
    <w:rsid w:val="00726403"/>
    <w:rsid w:val="007265EB"/>
    <w:rsid w:val="007267E1"/>
    <w:rsid w:val="00726DD6"/>
    <w:rsid w:val="00726E26"/>
    <w:rsid w:val="0072711A"/>
    <w:rsid w:val="00727176"/>
    <w:rsid w:val="007273AA"/>
    <w:rsid w:val="007274D8"/>
    <w:rsid w:val="00727822"/>
    <w:rsid w:val="00727967"/>
    <w:rsid w:val="00727FAF"/>
    <w:rsid w:val="00730791"/>
    <w:rsid w:val="0073079E"/>
    <w:rsid w:val="00730DDA"/>
    <w:rsid w:val="00730E3F"/>
    <w:rsid w:val="0073141E"/>
    <w:rsid w:val="007314A2"/>
    <w:rsid w:val="0073155A"/>
    <w:rsid w:val="00732437"/>
    <w:rsid w:val="007327C5"/>
    <w:rsid w:val="00732801"/>
    <w:rsid w:val="0073350F"/>
    <w:rsid w:val="007335DC"/>
    <w:rsid w:val="00733C7C"/>
    <w:rsid w:val="007347F0"/>
    <w:rsid w:val="007348CD"/>
    <w:rsid w:val="00734A07"/>
    <w:rsid w:val="00734AF5"/>
    <w:rsid w:val="00735821"/>
    <w:rsid w:val="00735B74"/>
    <w:rsid w:val="007361DF"/>
    <w:rsid w:val="00736844"/>
    <w:rsid w:val="00736BD9"/>
    <w:rsid w:val="00736C41"/>
    <w:rsid w:val="0073730C"/>
    <w:rsid w:val="0073747E"/>
    <w:rsid w:val="007376BA"/>
    <w:rsid w:val="00737962"/>
    <w:rsid w:val="00737AED"/>
    <w:rsid w:val="00737BFF"/>
    <w:rsid w:val="00740050"/>
    <w:rsid w:val="00740265"/>
    <w:rsid w:val="0074070B"/>
    <w:rsid w:val="00741378"/>
    <w:rsid w:val="00741719"/>
    <w:rsid w:val="007417AF"/>
    <w:rsid w:val="007417EC"/>
    <w:rsid w:val="00741B4A"/>
    <w:rsid w:val="0074224B"/>
    <w:rsid w:val="00742A1F"/>
    <w:rsid w:val="00742A29"/>
    <w:rsid w:val="00742D4F"/>
    <w:rsid w:val="00742EF6"/>
    <w:rsid w:val="00743100"/>
    <w:rsid w:val="00743190"/>
    <w:rsid w:val="00743641"/>
    <w:rsid w:val="0074365F"/>
    <w:rsid w:val="00744A77"/>
    <w:rsid w:val="007458B7"/>
    <w:rsid w:val="007458F3"/>
    <w:rsid w:val="00745B20"/>
    <w:rsid w:val="007466B5"/>
    <w:rsid w:val="0074673E"/>
    <w:rsid w:val="00746954"/>
    <w:rsid w:val="00746CCB"/>
    <w:rsid w:val="00747BFD"/>
    <w:rsid w:val="00747EBE"/>
    <w:rsid w:val="0075086F"/>
    <w:rsid w:val="00750D38"/>
    <w:rsid w:val="00750E4D"/>
    <w:rsid w:val="007513C5"/>
    <w:rsid w:val="00752022"/>
    <w:rsid w:val="0075239F"/>
    <w:rsid w:val="007529A9"/>
    <w:rsid w:val="00753234"/>
    <w:rsid w:val="007536E6"/>
    <w:rsid w:val="0075376C"/>
    <w:rsid w:val="00753C68"/>
    <w:rsid w:val="00754543"/>
    <w:rsid w:val="00754826"/>
    <w:rsid w:val="00754EC0"/>
    <w:rsid w:val="00755094"/>
    <w:rsid w:val="007550F0"/>
    <w:rsid w:val="00755817"/>
    <w:rsid w:val="00755B0D"/>
    <w:rsid w:val="00756C17"/>
    <w:rsid w:val="00756CB7"/>
    <w:rsid w:val="00756E74"/>
    <w:rsid w:val="00756EFA"/>
    <w:rsid w:val="00757591"/>
    <w:rsid w:val="007579DD"/>
    <w:rsid w:val="00757A39"/>
    <w:rsid w:val="00757A79"/>
    <w:rsid w:val="00757D55"/>
    <w:rsid w:val="00757EF9"/>
    <w:rsid w:val="00760142"/>
    <w:rsid w:val="007610EE"/>
    <w:rsid w:val="0076151B"/>
    <w:rsid w:val="00761E78"/>
    <w:rsid w:val="00762357"/>
    <w:rsid w:val="007624CB"/>
    <w:rsid w:val="00762993"/>
    <w:rsid w:val="007629B0"/>
    <w:rsid w:val="00762B55"/>
    <w:rsid w:val="00762F58"/>
    <w:rsid w:val="0076348C"/>
    <w:rsid w:val="007637CE"/>
    <w:rsid w:val="00763816"/>
    <w:rsid w:val="0076405A"/>
    <w:rsid w:val="007643D9"/>
    <w:rsid w:val="007646F2"/>
    <w:rsid w:val="00764825"/>
    <w:rsid w:val="00764ABA"/>
    <w:rsid w:val="00764E13"/>
    <w:rsid w:val="0076568F"/>
    <w:rsid w:val="007656A8"/>
    <w:rsid w:val="0076577B"/>
    <w:rsid w:val="00765C9B"/>
    <w:rsid w:val="00765DD2"/>
    <w:rsid w:val="00765F03"/>
    <w:rsid w:val="00765F9A"/>
    <w:rsid w:val="00766270"/>
    <w:rsid w:val="00766A6F"/>
    <w:rsid w:val="007675C7"/>
    <w:rsid w:val="00767EC1"/>
    <w:rsid w:val="007700A2"/>
    <w:rsid w:val="00770688"/>
    <w:rsid w:val="007706A8"/>
    <w:rsid w:val="00770BD0"/>
    <w:rsid w:val="00770D9D"/>
    <w:rsid w:val="00771866"/>
    <w:rsid w:val="00772130"/>
    <w:rsid w:val="0077286F"/>
    <w:rsid w:val="00772A44"/>
    <w:rsid w:val="00772E85"/>
    <w:rsid w:val="00773097"/>
    <w:rsid w:val="007735A1"/>
    <w:rsid w:val="007736CF"/>
    <w:rsid w:val="0077389F"/>
    <w:rsid w:val="00773DEE"/>
    <w:rsid w:val="00773F71"/>
    <w:rsid w:val="00774DE4"/>
    <w:rsid w:val="0077635F"/>
    <w:rsid w:val="0077647A"/>
    <w:rsid w:val="00776621"/>
    <w:rsid w:val="00776FE9"/>
    <w:rsid w:val="0077760A"/>
    <w:rsid w:val="00777A9F"/>
    <w:rsid w:val="00780024"/>
    <w:rsid w:val="00780128"/>
    <w:rsid w:val="007805B4"/>
    <w:rsid w:val="007805CE"/>
    <w:rsid w:val="00781425"/>
    <w:rsid w:val="0078146E"/>
    <w:rsid w:val="0078163A"/>
    <w:rsid w:val="007823A3"/>
    <w:rsid w:val="007823B1"/>
    <w:rsid w:val="00782987"/>
    <w:rsid w:val="00782B73"/>
    <w:rsid w:val="00782D3A"/>
    <w:rsid w:val="0078331A"/>
    <w:rsid w:val="00783AC7"/>
    <w:rsid w:val="00783ACA"/>
    <w:rsid w:val="00783EE8"/>
    <w:rsid w:val="007849BB"/>
    <w:rsid w:val="00784C84"/>
    <w:rsid w:val="00784EC7"/>
    <w:rsid w:val="00785303"/>
    <w:rsid w:val="00785738"/>
    <w:rsid w:val="00785D8A"/>
    <w:rsid w:val="00786281"/>
    <w:rsid w:val="0078637D"/>
    <w:rsid w:val="007863A2"/>
    <w:rsid w:val="00786634"/>
    <w:rsid w:val="007868C7"/>
    <w:rsid w:val="007868E5"/>
    <w:rsid w:val="00786D2F"/>
    <w:rsid w:val="007875C1"/>
    <w:rsid w:val="00787649"/>
    <w:rsid w:val="007877F4"/>
    <w:rsid w:val="007904AB"/>
    <w:rsid w:val="007904E4"/>
    <w:rsid w:val="00790589"/>
    <w:rsid w:val="00790A75"/>
    <w:rsid w:val="00790B0E"/>
    <w:rsid w:val="00790EF3"/>
    <w:rsid w:val="007912E6"/>
    <w:rsid w:val="00791306"/>
    <w:rsid w:val="0079131D"/>
    <w:rsid w:val="00791DD6"/>
    <w:rsid w:val="00791E67"/>
    <w:rsid w:val="00792284"/>
    <w:rsid w:val="0079272F"/>
    <w:rsid w:val="007933BF"/>
    <w:rsid w:val="007936C6"/>
    <w:rsid w:val="00793737"/>
    <w:rsid w:val="007939FA"/>
    <w:rsid w:val="00793D8E"/>
    <w:rsid w:val="00793FBC"/>
    <w:rsid w:val="00794684"/>
    <w:rsid w:val="00794AB2"/>
    <w:rsid w:val="00795131"/>
    <w:rsid w:val="00795148"/>
    <w:rsid w:val="0079555C"/>
    <w:rsid w:val="007956F1"/>
    <w:rsid w:val="007958F2"/>
    <w:rsid w:val="00795E7D"/>
    <w:rsid w:val="00796340"/>
    <w:rsid w:val="00796506"/>
    <w:rsid w:val="007967CB"/>
    <w:rsid w:val="00796B99"/>
    <w:rsid w:val="00796F75"/>
    <w:rsid w:val="007971AB"/>
    <w:rsid w:val="00797811"/>
    <w:rsid w:val="00797BB7"/>
    <w:rsid w:val="00797C26"/>
    <w:rsid w:val="007A03E2"/>
    <w:rsid w:val="007A04E2"/>
    <w:rsid w:val="007A0545"/>
    <w:rsid w:val="007A1246"/>
    <w:rsid w:val="007A140C"/>
    <w:rsid w:val="007A1BEA"/>
    <w:rsid w:val="007A1D4A"/>
    <w:rsid w:val="007A2A8C"/>
    <w:rsid w:val="007A3721"/>
    <w:rsid w:val="007A3932"/>
    <w:rsid w:val="007A4554"/>
    <w:rsid w:val="007A4A7F"/>
    <w:rsid w:val="007A4BC1"/>
    <w:rsid w:val="007A57EA"/>
    <w:rsid w:val="007A59EE"/>
    <w:rsid w:val="007A5E80"/>
    <w:rsid w:val="007A618C"/>
    <w:rsid w:val="007A61CB"/>
    <w:rsid w:val="007A63F9"/>
    <w:rsid w:val="007A6DD9"/>
    <w:rsid w:val="007A70C6"/>
    <w:rsid w:val="007A7561"/>
    <w:rsid w:val="007A7638"/>
    <w:rsid w:val="007B035F"/>
    <w:rsid w:val="007B05A0"/>
    <w:rsid w:val="007B0A78"/>
    <w:rsid w:val="007B0B95"/>
    <w:rsid w:val="007B1154"/>
    <w:rsid w:val="007B22C3"/>
    <w:rsid w:val="007B25C9"/>
    <w:rsid w:val="007B2881"/>
    <w:rsid w:val="007B2B6B"/>
    <w:rsid w:val="007B2E38"/>
    <w:rsid w:val="007B367D"/>
    <w:rsid w:val="007B3831"/>
    <w:rsid w:val="007B3BDE"/>
    <w:rsid w:val="007B3DE8"/>
    <w:rsid w:val="007B4329"/>
    <w:rsid w:val="007B4F73"/>
    <w:rsid w:val="007B50AE"/>
    <w:rsid w:val="007B51BB"/>
    <w:rsid w:val="007B577F"/>
    <w:rsid w:val="007B5FE0"/>
    <w:rsid w:val="007B63C6"/>
    <w:rsid w:val="007B68E2"/>
    <w:rsid w:val="007B7187"/>
    <w:rsid w:val="007B7466"/>
    <w:rsid w:val="007B779A"/>
    <w:rsid w:val="007B7AF4"/>
    <w:rsid w:val="007C0257"/>
    <w:rsid w:val="007C088E"/>
    <w:rsid w:val="007C0E29"/>
    <w:rsid w:val="007C17D8"/>
    <w:rsid w:val="007C19D3"/>
    <w:rsid w:val="007C1B68"/>
    <w:rsid w:val="007C1D30"/>
    <w:rsid w:val="007C28F9"/>
    <w:rsid w:val="007C324D"/>
    <w:rsid w:val="007C32FC"/>
    <w:rsid w:val="007C37CA"/>
    <w:rsid w:val="007C394A"/>
    <w:rsid w:val="007C3BEB"/>
    <w:rsid w:val="007C40EF"/>
    <w:rsid w:val="007C433E"/>
    <w:rsid w:val="007C497C"/>
    <w:rsid w:val="007C5934"/>
    <w:rsid w:val="007C60AE"/>
    <w:rsid w:val="007C640C"/>
    <w:rsid w:val="007C685F"/>
    <w:rsid w:val="007C6920"/>
    <w:rsid w:val="007C6FD5"/>
    <w:rsid w:val="007C7C5D"/>
    <w:rsid w:val="007C7DFD"/>
    <w:rsid w:val="007C7FD2"/>
    <w:rsid w:val="007D04EC"/>
    <w:rsid w:val="007D06DF"/>
    <w:rsid w:val="007D0A19"/>
    <w:rsid w:val="007D1D30"/>
    <w:rsid w:val="007D1FD0"/>
    <w:rsid w:val="007D2400"/>
    <w:rsid w:val="007D31AC"/>
    <w:rsid w:val="007D31D4"/>
    <w:rsid w:val="007D3570"/>
    <w:rsid w:val="007D3E3A"/>
    <w:rsid w:val="007D3F7E"/>
    <w:rsid w:val="007D4942"/>
    <w:rsid w:val="007D4949"/>
    <w:rsid w:val="007D4EF1"/>
    <w:rsid w:val="007D50F5"/>
    <w:rsid w:val="007D536A"/>
    <w:rsid w:val="007D5538"/>
    <w:rsid w:val="007D5AD0"/>
    <w:rsid w:val="007D5FE5"/>
    <w:rsid w:val="007D6344"/>
    <w:rsid w:val="007D6472"/>
    <w:rsid w:val="007D65FC"/>
    <w:rsid w:val="007D6A8F"/>
    <w:rsid w:val="007D6B03"/>
    <w:rsid w:val="007D7019"/>
    <w:rsid w:val="007D703B"/>
    <w:rsid w:val="007D7CFD"/>
    <w:rsid w:val="007E03CF"/>
    <w:rsid w:val="007E0547"/>
    <w:rsid w:val="007E0924"/>
    <w:rsid w:val="007E097D"/>
    <w:rsid w:val="007E0A03"/>
    <w:rsid w:val="007E10B1"/>
    <w:rsid w:val="007E1422"/>
    <w:rsid w:val="007E1DAC"/>
    <w:rsid w:val="007E1EEA"/>
    <w:rsid w:val="007E1F9E"/>
    <w:rsid w:val="007E2164"/>
    <w:rsid w:val="007E2694"/>
    <w:rsid w:val="007E2743"/>
    <w:rsid w:val="007E279C"/>
    <w:rsid w:val="007E2FE1"/>
    <w:rsid w:val="007E37F4"/>
    <w:rsid w:val="007E3982"/>
    <w:rsid w:val="007E3BF2"/>
    <w:rsid w:val="007E3D95"/>
    <w:rsid w:val="007E40A5"/>
    <w:rsid w:val="007E422E"/>
    <w:rsid w:val="007E455F"/>
    <w:rsid w:val="007E4910"/>
    <w:rsid w:val="007E4A89"/>
    <w:rsid w:val="007E4DBC"/>
    <w:rsid w:val="007E51D9"/>
    <w:rsid w:val="007E5D0B"/>
    <w:rsid w:val="007E5EA4"/>
    <w:rsid w:val="007E6722"/>
    <w:rsid w:val="007E684F"/>
    <w:rsid w:val="007E69BB"/>
    <w:rsid w:val="007E7630"/>
    <w:rsid w:val="007E7C5F"/>
    <w:rsid w:val="007E7E61"/>
    <w:rsid w:val="007F086A"/>
    <w:rsid w:val="007F0969"/>
    <w:rsid w:val="007F0D83"/>
    <w:rsid w:val="007F12A6"/>
    <w:rsid w:val="007F16E3"/>
    <w:rsid w:val="007F1A76"/>
    <w:rsid w:val="007F2096"/>
    <w:rsid w:val="007F25F5"/>
    <w:rsid w:val="007F25FC"/>
    <w:rsid w:val="007F28D9"/>
    <w:rsid w:val="007F3233"/>
    <w:rsid w:val="007F32A3"/>
    <w:rsid w:val="007F346D"/>
    <w:rsid w:val="007F363E"/>
    <w:rsid w:val="007F3703"/>
    <w:rsid w:val="007F3AB7"/>
    <w:rsid w:val="007F4323"/>
    <w:rsid w:val="007F50EA"/>
    <w:rsid w:val="007F564F"/>
    <w:rsid w:val="007F586B"/>
    <w:rsid w:val="007F5A67"/>
    <w:rsid w:val="007F63F3"/>
    <w:rsid w:val="007F6C8C"/>
    <w:rsid w:val="007F6CBD"/>
    <w:rsid w:val="007F6E52"/>
    <w:rsid w:val="007F73E6"/>
    <w:rsid w:val="007F7C8A"/>
    <w:rsid w:val="0080034C"/>
    <w:rsid w:val="008009A3"/>
    <w:rsid w:val="00800F42"/>
    <w:rsid w:val="0080141D"/>
    <w:rsid w:val="0080189A"/>
    <w:rsid w:val="00802BE0"/>
    <w:rsid w:val="00802E92"/>
    <w:rsid w:val="00803081"/>
    <w:rsid w:val="008030E1"/>
    <w:rsid w:val="00803278"/>
    <w:rsid w:val="008034E9"/>
    <w:rsid w:val="00803C50"/>
    <w:rsid w:val="008044D9"/>
    <w:rsid w:val="00804745"/>
    <w:rsid w:val="00804B97"/>
    <w:rsid w:val="00804E2A"/>
    <w:rsid w:val="008054BD"/>
    <w:rsid w:val="00805504"/>
    <w:rsid w:val="008055BA"/>
    <w:rsid w:val="008058C3"/>
    <w:rsid w:val="008059BB"/>
    <w:rsid w:val="00805CEC"/>
    <w:rsid w:val="008061F8"/>
    <w:rsid w:val="00806C49"/>
    <w:rsid w:val="00806E78"/>
    <w:rsid w:val="008074CE"/>
    <w:rsid w:val="00810176"/>
    <w:rsid w:val="00810278"/>
    <w:rsid w:val="008108CF"/>
    <w:rsid w:val="00810F20"/>
    <w:rsid w:val="00810FF0"/>
    <w:rsid w:val="00811267"/>
    <w:rsid w:val="008112E8"/>
    <w:rsid w:val="00811319"/>
    <w:rsid w:val="0081147B"/>
    <w:rsid w:val="00811634"/>
    <w:rsid w:val="00811E68"/>
    <w:rsid w:val="00812573"/>
    <w:rsid w:val="00812953"/>
    <w:rsid w:val="00812CE1"/>
    <w:rsid w:val="008134C5"/>
    <w:rsid w:val="00813FF0"/>
    <w:rsid w:val="0081494F"/>
    <w:rsid w:val="00814950"/>
    <w:rsid w:val="00814EEC"/>
    <w:rsid w:val="0081553E"/>
    <w:rsid w:val="008155CC"/>
    <w:rsid w:val="0081561A"/>
    <w:rsid w:val="00815B65"/>
    <w:rsid w:val="00815BCD"/>
    <w:rsid w:val="00815D8B"/>
    <w:rsid w:val="00815EBD"/>
    <w:rsid w:val="00815F8B"/>
    <w:rsid w:val="00816589"/>
    <w:rsid w:val="00816A3C"/>
    <w:rsid w:val="00816B26"/>
    <w:rsid w:val="00816D37"/>
    <w:rsid w:val="008173D9"/>
    <w:rsid w:val="00817427"/>
    <w:rsid w:val="008177D0"/>
    <w:rsid w:val="00817C88"/>
    <w:rsid w:val="00817D72"/>
    <w:rsid w:val="0082037A"/>
    <w:rsid w:val="00820B2B"/>
    <w:rsid w:val="00820CAE"/>
    <w:rsid w:val="0082157A"/>
    <w:rsid w:val="00822167"/>
    <w:rsid w:val="0082282A"/>
    <w:rsid w:val="0082289D"/>
    <w:rsid w:val="00823635"/>
    <w:rsid w:val="00824896"/>
    <w:rsid w:val="00824DD1"/>
    <w:rsid w:val="00824F8A"/>
    <w:rsid w:val="008254DA"/>
    <w:rsid w:val="008255FA"/>
    <w:rsid w:val="00825644"/>
    <w:rsid w:val="00825739"/>
    <w:rsid w:val="008259A6"/>
    <w:rsid w:val="008263C0"/>
    <w:rsid w:val="00826959"/>
    <w:rsid w:val="00826E0C"/>
    <w:rsid w:val="00827DBE"/>
    <w:rsid w:val="00828102"/>
    <w:rsid w:val="008300B5"/>
    <w:rsid w:val="008301C9"/>
    <w:rsid w:val="0083074D"/>
    <w:rsid w:val="00830A90"/>
    <w:rsid w:val="008312C4"/>
    <w:rsid w:val="008314E2"/>
    <w:rsid w:val="0083194E"/>
    <w:rsid w:val="00831AAB"/>
    <w:rsid w:val="00832E83"/>
    <w:rsid w:val="00833192"/>
    <w:rsid w:val="00833E69"/>
    <w:rsid w:val="008342BE"/>
    <w:rsid w:val="008344FE"/>
    <w:rsid w:val="00834ABD"/>
    <w:rsid w:val="00834DB8"/>
    <w:rsid w:val="008350BE"/>
    <w:rsid w:val="0083557D"/>
    <w:rsid w:val="00835D2A"/>
    <w:rsid w:val="0083612E"/>
    <w:rsid w:val="00836176"/>
    <w:rsid w:val="00836EEA"/>
    <w:rsid w:val="00837506"/>
    <w:rsid w:val="00837A40"/>
    <w:rsid w:val="008403C1"/>
    <w:rsid w:val="00840588"/>
    <w:rsid w:val="00840DC0"/>
    <w:rsid w:val="008410B1"/>
    <w:rsid w:val="008415BF"/>
    <w:rsid w:val="00841ED0"/>
    <w:rsid w:val="0084259C"/>
    <w:rsid w:val="00842E55"/>
    <w:rsid w:val="00842F8F"/>
    <w:rsid w:val="0084318A"/>
    <w:rsid w:val="008434BD"/>
    <w:rsid w:val="0084453E"/>
    <w:rsid w:val="00844FEE"/>
    <w:rsid w:val="0084541A"/>
    <w:rsid w:val="00845998"/>
    <w:rsid w:val="00845D9C"/>
    <w:rsid w:val="00846698"/>
    <w:rsid w:val="008466A6"/>
    <w:rsid w:val="00846835"/>
    <w:rsid w:val="00846AF6"/>
    <w:rsid w:val="00846E84"/>
    <w:rsid w:val="008474E2"/>
    <w:rsid w:val="00847F7F"/>
    <w:rsid w:val="00850ADF"/>
    <w:rsid w:val="008510D4"/>
    <w:rsid w:val="008512C9"/>
    <w:rsid w:val="00851A53"/>
    <w:rsid w:val="00851C1C"/>
    <w:rsid w:val="00851FA0"/>
    <w:rsid w:val="008523AB"/>
    <w:rsid w:val="00852B69"/>
    <w:rsid w:val="008538E8"/>
    <w:rsid w:val="00854448"/>
    <w:rsid w:val="008544B6"/>
    <w:rsid w:val="00854523"/>
    <w:rsid w:val="008554C5"/>
    <w:rsid w:val="008559C0"/>
    <w:rsid w:val="00855D99"/>
    <w:rsid w:val="00855E4B"/>
    <w:rsid w:val="00855F30"/>
    <w:rsid w:val="008563AE"/>
    <w:rsid w:val="0085640F"/>
    <w:rsid w:val="00857827"/>
    <w:rsid w:val="008579C7"/>
    <w:rsid w:val="00860055"/>
    <w:rsid w:val="00860379"/>
    <w:rsid w:val="0086052A"/>
    <w:rsid w:val="00860565"/>
    <w:rsid w:val="00860E74"/>
    <w:rsid w:val="00861764"/>
    <w:rsid w:val="00861DBB"/>
    <w:rsid w:val="00861EF4"/>
    <w:rsid w:val="00862055"/>
    <w:rsid w:val="0086240D"/>
    <w:rsid w:val="0086253A"/>
    <w:rsid w:val="008627AF"/>
    <w:rsid w:val="00862AD3"/>
    <w:rsid w:val="00862B9B"/>
    <w:rsid w:val="00863677"/>
    <w:rsid w:val="0086370B"/>
    <w:rsid w:val="008638B1"/>
    <w:rsid w:val="00863B5E"/>
    <w:rsid w:val="00863C63"/>
    <w:rsid w:val="00864A5E"/>
    <w:rsid w:val="00864BFE"/>
    <w:rsid w:val="00864F7F"/>
    <w:rsid w:val="00864F97"/>
    <w:rsid w:val="00865A49"/>
    <w:rsid w:val="008661EB"/>
    <w:rsid w:val="008662F6"/>
    <w:rsid w:val="008669CB"/>
    <w:rsid w:val="0086714A"/>
    <w:rsid w:val="008674BD"/>
    <w:rsid w:val="008675E2"/>
    <w:rsid w:val="00867CE0"/>
    <w:rsid w:val="0087072A"/>
    <w:rsid w:val="00870787"/>
    <w:rsid w:val="00870DE2"/>
    <w:rsid w:val="0087181A"/>
    <w:rsid w:val="00871C90"/>
    <w:rsid w:val="008727B4"/>
    <w:rsid w:val="008728D6"/>
    <w:rsid w:val="00872C62"/>
    <w:rsid w:val="00872CE5"/>
    <w:rsid w:val="00873013"/>
    <w:rsid w:val="008732CA"/>
    <w:rsid w:val="00873A57"/>
    <w:rsid w:val="00873B1A"/>
    <w:rsid w:val="00873CCE"/>
    <w:rsid w:val="00873E56"/>
    <w:rsid w:val="00874222"/>
    <w:rsid w:val="00874531"/>
    <w:rsid w:val="00874634"/>
    <w:rsid w:val="00874C6C"/>
    <w:rsid w:val="008754F6"/>
    <w:rsid w:val="008757EA"/>
    <w:rsid w:val="00877381"/>
    <w:rsid w:val="008775C4"/>
    <w:rsid w:val="008778C1"/>
    <w:rsid w:val="008779CB"/>
    <w:rsid w:val="008800BB"/>
    <w:rsid w:val="0088060B"/>
    <w:rsid w:val="00880ACF"/>
    <w:rsid w:val="00881A3C"/>
    <w:rsid w:val="00881C2E"/>
    <w:rsid w:val="00881C34"/>
    <w:rsid w:val="008827CD"/>
    <w:rsid w:val="00882D5D"/>
    <w:rsid w:val="00882EB5"/>
    <w:rsid w:val="00883033"/>
    <w:rsid w:val="00883088"/>
    <w:rsid w:val="008831A0"/>
    <w:rsid w:val="008831DC"/>
    <w:rsid w:val="00883336"/>
    <w:rsid w:val="008834E9"/>
    <w:rsid w:val="00883567"/>
    <w:rsid w:val="0088378A"/>
    <w:rsid w:val="00883A2E"/>
    <w:rsid w:val="00883A65"/>
    <w:rsid w:val="00884068"/>
    <w:rsid w:val="00884126"/>
    <w:rsid w:val="00884542"/>
    <w:rsid w:val="00884E4E"/>
    <w:rsid w:val="00885026"/>
    <w:rsid w:val="0088519D"/>
    <w:rsid w:val="00885290"/>
    <w:rsid w:val="00886223"/>
    <w:rsid w:val="00886587"/>
    <w:rsid w:val="008865E8"/>
    <w:rsid w:val="0088716F"/>
    <w:rsid w:val="0088752D"/>
    <w:rsid w:val="008879A8"/>
    <w:rsid w:val="00890186"/>
    <w:rsid w:val="008911E7"/>
    <w:rsid w:val="008914D6"/>
    <w:rsid w:val="008917A1"/>
    <w:rsid w:val="0089191B"/>
    <w:rsid w:val="00892A27"/>
    <w:rsid w:val="00892C29"/>
    <w:rsid w:val="00892CAB"/>
    <w:rsid w:val="00892EF9"/>
    <w:rsid w:val="00892FF4"/>
    <w:rsid w:val="008938E4"/>
    <w:rsid w:val="00893B2E"/>
    <w:rsid w:val="00893BA9"/>
    <w:rsid w:val="00894C4C"/>
    <w:rsid w:val="00894E13"/>
    <w:rsid w:val="00895409"/>
    <w:rsid w:val="00895607"/>
    <w:rsid w:val="008972F5"/>
    <w:rsid w:val="0089765A"/>
    <w:rsid w:val="00897E05"/>
    <w:rsid w:val="00897FEF"/>
    <w:rsid w:val="008A00E0"/>
    <w:rsid w:val="008A024B"/>
    <w:rsid w:val="008A02A3"/>
    <w:rsid w:val="008A03BB"/>
    <w:rsid w:val="008A0714"/>
    <w:rsid w:val="008A094B"/>
    <w:rsid w:val="008A0DAF"/>
    <w:rsid w:val="008A0FB7"/>
    <w:rsid w:val="008A1340"/>
    <w:rsid w:val="008A13FA"/>
    <w:rsid w:val="008A15F0"/>
    <w:rsid w:val="008A1BE2"/>
    <w:rsid w:val="008A1EEA"/>
    <w:rsid w:val="008A2177"/>
    <w:rsid w:val="008A2348"/>
    <w:rsid w:val="008A32BC"/>
    <w:rsid w:val="008A35AB"/>
    <w:rsid w:val="008A40BF"/>
    <w:rsid w:val="008A4146"/>
    <w:rsid w:val="008A4BF1"/>
    <w:rsid w:val="008A51DB"/>
    <w:rsid w:val="008A554F"/>
    <w:rsid w:val="008A559F"/>
    <w:rsid w:val="008A5C97"/>
    <w:rsid w:val="008A6DF9"/>
    <w:rsid w:val="008A7D64"/>
    <w:rsid w:val="008A7DF2"/>
    <w:rsid w:val="008B0939"/>
    <w:rsid w:val="008B1620"/>
    <w:rsid w:val="008B1F21"/>
    <w:rsid w:val="008B203E"/>
    <w:rsid w:val="008B247D"/>
    <w:rsid w:val="008B2790"/>
    <w:rsid w:val="008B2CE5"/>
    <w:rsid w:val="008B2DA7"/>
    <w:rsid w:val="008B3211"/>
    <w:rsid w:val="008B33D2"/>
    <w:rsid w:val="008B37D7"/>
    <w:rsid w:val="008B3B4D"/>
    <w:rsid w:val="008B3CA0"/>
    <w:rsid w:val="008B4055"/>
    <w:rsid w:val="008B45CC"/>
    <w:rsid w:val="008B4704"/>
    <w:rsid w:val="008B529F"/>
    <w:rsid w:val="008B547B"/>
    <w:rsid w:val="008B557B"/>
    <w:rsid w:val="008B592E"/>
    <w:rsid w:val="008B62DB"/>
    <w:rsid w:val="008B6404"/>
    <w:rsid w:val="008B6E6A"/>
    <w:rsid w:val="008B78DE"/>
    <w:rsid w:val="008B7C26"/>
    <w:rsid w:val="008C0678"/>
    <w:rsid w:val="008C085A"/>
    <w:rsid w:val="008C0A33"/>
    <w:rsid w:val="008C199C"/>
    <w:rsid w:val="008C1A46"/>
    <w:rsid w:val="008C1A74"/>
    <w:rsid w:val="008C2704"/>
    <w:rsid w:val="008C2977"/>
    <w:rsid w:val="008C2DB1"/>
    <w:rsid w:val="008C30CC"/>
    <w:rsid w:val="008C3578"/>
    <w:rsid w:val="008C4914"/>
    <w:rsid w:val="008C502F"/>
    <w:rsid w:val="008C5565"/>
    <w:rsid w:val="008C5A5E"/>
    <w:rsid w:val="008C60D4"/>
    <w:rsid w:val="008C64AB"/>
    <w:rsid w:val="008C64FD"/>
    <w:rsid w:val="008C6DAD"/>
    <w:rsid w:val="008C706E"/>
    <w:rsid w:val="008C7514"/>
    <w:rsid w:val="008C7B46"/>
    <w:rsid w:val="008C7CD0"/>
    <w:rsid w:val="008C7CE9"/>
    <w:rsid w:val="008D01EA"/>
    <w:rsid w:val="008D0463"/>
    <w:rsid w:val="008D07E5"/>
    <w:rsid w:val="008D07F8"/>
    <w:rsid w:val="008D0890"/>
    <w:rsid w:val="008D09A6"/>
    <w:rsid w:val="008D13F6"/>
    <w:rsid w:val="008D154F"/>
    <w:rsid w:val="008D1592"/>
    <w:rsid w:val="008D2314"/>
    <w:rsid w:val="008D276D"/>
    <w:rsid w:val="008D27E9"/>
    <w:rsid w:val="008D2C45"/>
    <w:rsid w:val="008D2C8B"/>
    <w:rsid w:val="008D2DBD"/>
    <w:rsid w:val="008D2F52"/>
    <w:rsid w:val="008D370D"/>
    <w:rsid w:val="008D3823"/>
    <w:rsid w:val="008D416F"/>
    <w:rsid w:val="008D4990"/>
    <w:rsid w:val="008D49C3"/>
    <w:rsid w:val="008D524C"/>
    <w:rsid w:val="008D585E"/>
    <w:rsid w:val="008D5B25"/>
    <w:rsid w:val="008D5BDB"/>
    <w:rsid w:val="008D6B60"/>
    <w:rsid w:val="008D6D6A"/>
    <w:rsid w:val="008D70DA"/>
    <w:rsid w:val="008D71E6"/>
    <w:rsid w:val="008D726D"/>
    <w:rsid w:val="008D72DC"/>
    <w:rsid w:val="008D746F"/>
    <w:rsid w:val="008D7882"/>
    <w:rsid w:val="008D7AD2"/>
    <w:rsid w:val="008E00CD"/>
    <w:rsid w:val="008E0147"/>
    <w:rsid w:val="008E02BD"/>
    <w:rsid w:val="008E03C1"/>
    <w:rsid w:val="008E0B24"/>
    <w:rsid w:val="008E0C60"/>
    <w:rsid w:val="008E0C62"/>
    <w:rsid w:val="008E0CF6"/>
    <w:rsid w:val="008E12CE"/>
    <w:rsid w:val="008E13E4"/>
    <w:rsid w:val="008E146D"/>
    <w:rsid w:val="008E1F3F"/>
    <w:rsid w:val="008E1F4F"/>
    <w:rsid w:val="008E21E5"/>
    <w:rsid w:val="008E261D"/>
    <w:rsid w:val="008E2D0E"/>
    <w:rsid w:val="008E359B"/>
    <w:rsid w:val="008E3FA8"/>
    <w:rsid w:val="008E4421"/>
    <w:rsid w:val="008E48B0"/>
    <w:rsid w:val="008E4AE7"/>
    <w:rsid w:val="008E52FF"/>
    <w:rsid w:val="008E5975"/>
    <w:rsid w:val="008E6133"/>
    <w:rsid w:val="008E697C"/>
    <w:rsid w:val="008E6FA2"/>
    <w:rsid w:val="008E728B"/>
    <w:rsid w:val="008E7811"/>
    <w:rsid w:val="008E7950"/>
    <w:rsid w:val="008F021A"/>
    <w:rsid w:val="008F07F5"/>
    <w:rsid w:val="008F0A0F"/>
    <w:rsid w:val="008F0F3F"/>
    <w:rsid w:val="008F19C6"/>
    <w:rsid w:val="008F1C45"/>
    <w:rsid w:val="008F1F45"/>
    <w:rsid w:val="008F230E"/>
    <w:rsid w:val="008F25FD"/>
    <w:rsid w:val="008F2BEC"/>
    <w:rsid w:val="008F32F8"/>
    <w:rsid w:val="008F333E"/>
    <w:rsid w:val="008F3424"/>
    <w:rsid w:val="008F35A9"/>
    <w:rsid w:val="008F373E"/>
    <w:rsid w:val="008F3B2B"/>
    <w:rsid w:val="008F4AA0"/>
    <w:rsid w:val="008F4AF6"/>
    <w:rsid w:val="008F4DD4"/>
    <w:rsid w:val="008F4FD2"/>
    <w:rsid w:val="008F50C2"/>
    <w:rsid w:val="008F53CB"/>
    <w:rsid w:val="008F54B6"/>
    <w:rsid w:val="008F5E51"/>
    <w:rsid w:val="008F6317"/>
    <w:rsid w:val="008F656B"/>
    <w:rsid w:val="008F65CC"/>
    <w:rsid w:val="008F6B7B"/>
    <w:rsid w:val="008F6CDE"/>
    <w:rsid w:val="008F6D35"/>
    <w:rsid w:val="008F7720"/>
    <w:rsid w:val="008F78FC"/>
    <w:rsid w:val="008F7C72"/>
    <w:rsid w:val="00900305"/>
    <w:rsid w:val="0090041A"/>
    <w:rsid w:val="009008F8"/>
    <w:rsid w:val="0090129E"/>
    <w:rsid w:val="00901A8B"/>
    <w:rsid w:val="00901BDD"/>
    <w:rsid w:val="0090305F"/>
    <w:rsid w:val="0090322B"/>
    <w:rsid w:val="009038FB"/>
    <w:rsid w:val="009039A2"/>
    <w:rsid w:val="00903C8E"/>
    <w:rsid w:val="00903D0C"/>
    <w:rsid w:val="0090434C"/>
    <w:rsid w:val="009046D9"/>
    <w:rsid w:val="009047D5"/>
    <w:rsid w:val="00904F04"/>
    <w:rsid w:val="0090574A"/>
    <w:rsid w:val="00905AB3"/>
    <w:rsid w:val="00906AF3"/>
    <w:rsid w:val="00906B9D"/>
    <w:rsid w:val="0090759F"/>
    <w:rsid w:val="00907A9E"/>
    <w:rsid w:val="00907AAC"/>
    <w:rsid w:val="00907ED3"/>
    <w:rsid w:val="0091083F"/>
    <w:rsid w:val="009109DD"/>
    <w:rsid w:val="00911096"/>
    <w:rsid w:val="009115AF"/>
    <w:rsid w:val="00911719"/>
    <w:rsid w:val="00911CF7"/>
    <w:rsid w:val="00911F18"/>
    <w:rsid w:val="009121DE"/>
    <w:rsid w:val="009125B5"/>
    <w:rsid w:val="009125EC"/>
    <w:rsid w:val="009129DC"/>
    <w:rsid w:val="00912D6D"/>
    <w:rsid w:val="00913008"/>
    <w:rsid w:val="00913268"/>
    <w:rsid w:val="0091371A"/>
    <w:rsid w:val="0091384A"/>
    <w:rsid w:val="00913C05"/>
    <w:rsid w:val="00913FA1"/>
    <w:rsid w:val="00914552"/>
    <w:rsid w:val="00914A12"/>
    <w:rsid w:val="00914D56"/>
    <w:rsid w:val="0091510D"/>
    <w:rsid w:val="009151BC"/>
    <w:rsid w:val="0091529D"/>
    <w:rsid w:val="00915554"/>
    <w:rsid w:val="0091590A"/>
    <w:rsid w:val="00915929"/>
    <w:rsid w:val="00915A99"/>
    <w:rsid w:val="00915B7A"/>
    <w:rsid w:val="00916001"/>
    <w:rsid w:val="009166FC"/>
    <w:rsid w:val="0091670B"/>
    <w:rsid w:val="00916C9E"/>
    <w:rsid w:val="00917109"/>
    <w:rsid w:val="00917267"/>
    <w:rsid w:val="009172F9"/>
    <w:rsid w:val="00917BA6"/>
    <w:rsid w:val="00917E3A"/>
    <w:rsid w:val="00920039"/>
    <w:rsid w:val="009209F8"/>
    <w:rsid w:val="00920B16"/>
    <w:rsid w:val="00921249"/>
    <w:rsid w:val="00921331"/>
    <w:rsid w:val="0092142B"/>
    <w:rsid w:val="00921725"/>
    <w:rsid w:val="00922646"/>
    <w:rsid w:val="0092276E"/>
    <w:rsid w:val="00922BB7"/>
    <w:rsid w:val="00922CA5"/>
    <w:rsid w:val="00923644"/>
    <w:rsid w:val="00923803"/>
    <w:rsid w:val="00923825"/>
    <w:rsid w:val="00923FFB"/>
    <w:rsid w:val="009246B4"/>
    <w:rsid w:val="00924C53"/>
    <w:rsid w:val="00924D71"/>
    <w:rsid w:val="00924F3B"/>
    <w:rsid w:val="00924FB4"/>
    <w:rsid w:val="009250A2"/>
    <w:rsid w:val="00925158"/>
    <w:rsid w:val="00925596"/>
    <w:rsid w:val="0092602B"/>
    <w:rsid w:val="00926107"/>
    <w:rsid w:val="00926341"/>
    <w:rsid w:val="009263DC"/>
    <w:rsid w:val="00926533"/>
    <w:rsid w:val="00926721"/>
    <w:rsid w:val="00926BFA"/>
    <w:rsid w:val="00927903"/>
    <w:rsid w:val="00927F1F"/>
    <w:rsid w:val="009300EE"/>
    <w:rsid w:val="009304E2"/>
    <w:rsid w:val="00930708"/>
    <w:rsid w:val="00930862"/>
    <w:rsid w:val="00930BB5"/>
    <w:rsid w:val="00931502"/>
    <w:rsid w:val="00931C98"/>
    <w:rsid w:val="0093205E"/>
    <w:rsid w:val="00933006"/>
    <w:rsid w:val="009333B6"/>
    <w:rsid w:val="00933B54"/>
    <w:rsid w:val="00933D5B"/>
    <w:rsid w:val="0093476C"/>
    <w:rsid w:val="00934817"/>
    <w:rsid w:val="009352AD"/>
    <w:rsid w:val="009355BB"/>
    <w:rsid w:val="00935B4F"/>
    <w:rsid w:val="00935E07"/>
    <w:rsid w:val="00935F09"/>
    <w:rsid w:val="00937385"/>
    <w:rsid w:val="00937759"/>
    <w:rsid w:val="009378A5"/>
    <w:rsid w:val="00937C3C"/>
    <w:rsid w:val="00937E9C"/>
    <w:rsid w:val="00940064"/>
    <w:rsid w:val="0094008F"/>
    <w:rsid w:val="009406AA"/>
    <w:rsid w:val="00940D34"/>
    <w:rsid w:val="00941100"/>
    <w:rsid w:val="009411F2"/>
    <w:rsid w:val="00942273"/>
    <w:rsid w:val="00942319"/>
    <w:rsid w:val="009424AA"/>
    <w:rsid w:val="009429D3"/>
    <w:rsid w:val="00942A57"/>
    <w:rsid w:val="00942A77"/>
    <w:rsid w:val="009431BB"/>
    <w:rsid w:val="00944158"/>
    <w:rsid w:val="009444A4"/>
    <w:rsid w:val="00944BEC"/>
    <w:rsid w:val="00944DBA"/>
    <w:rsid w:val="00944F92"/>
    <w:rsid w:val="009458F1"/>
    <w:rsid w:val="00945B2E"/>
    <w:rsid w:val="009461D6"/>
    <w:rsid w:val="009468D9"/>
    <w:rsid w:val="00947163"/>
    <w:rsid w:val="009473EC"/>
    <w:rsid w:val="009475CE"/>
    <w:rsid w:val="0094772E"/>
    <w:rsid w:val="009478F0"/>
    <w:rsid w:val="00947F16"/>
    <w:rsid w:val="009500B8"/>
    <w:rsid w:val="00950938"/>
    <w:rsid w:val="0095129A"/>
    <w:rsid w:val="00951E21"/>
    <w:rsid w:val="00952506"/>
    <w:rsid w:val="00952F3C"/>
    <w:rsid w:val="009532FD"/>
    <w:rsid w:val="0095356B"/>
    <w:rsid w:val="00953AA1"/>
    <w:rsid w:val="00953D07"/>
    <w:rsid w:val="00953F4C"/>
    <w:rsid w:val="009543D7"/>
    <w:rsid w:val="009548AC"/>
    <w:rsid w:val="00954ED9"/>
    <w:rsid w:val="00955CD7"/>
    <w:rsid w:val="00955E39"/>
    <w:rsid w:val="00955E65"/>
    <w:rsid w:val="00955E70"/>
    <w:rsid w:val="00955FDF"/>
    <w:rsid w:val="00956173"/>
    <w:rsid w:val="009563C3"/>
    <w:rsid w:val="00956601"/>
    <w:rsid w:val="009567D9"/>
    <w:rsid w:val="00957141"/>
    <w:rsid w:val="0096048A"/>
    <w:rsid w:val="0096054A"/>
    <w:rsid w:val="0096065D"/>
    <w:rsid w:val="00960A14"/>
    <w:rsid w:val="00960A24"/>
    <w:rsid w:val="00961462"/>
    <w:rsid w:val="00961EC1"/>
    <w:rsid w:val="0096207E"/>
    <w:rsid w:val="00962427"/>
    <w:rsid w:val="00962443"/>
    <w:rsid w:val="00962763"/>
    <w:rsid w:val="009629AB"/>
    <w:rsid w:val="00962E51"/>
    <w:rsid w:val="009635F3"/>
    <w:rsid w:val="00964448"/>
    <w:rsid w:val="0096450B"/>
    <w:rsid w:val="009646CD"/>
    <w:rsid w:val="00964918"/>
    <w:rsid w:val="00964B30"/>
    <w:rsid w:val="00964F19"/>
    <w:rsid w:val="0096507D"/>
    <w:rsid w:val="009656C7"/>
    <w:rsid w:val="0096580C"/>
    <w:rsid w:val="0096589C"/>
    <w:rsid w:val="0096596A"/>
    <w:rsid w:val="00966207"/>
    <w:rsid w:val="00966883"/>
    <w:rsid w:val="009669D2"/>
    <w:rsid w:val="00966FB8"/>
    <w:rsid w:val="0096715E"/>
    <w:rsid w:val="00967181"/>
    <w:rsid w:val="009675FF"/>
    <w:rsid w:val="0096783F"/>
    <w:rsid w:val="00967AA9"/>
    <w:rsid w:val="00967BB5"/>
    <w:rsid w:val="00970283"/>
    <w:rsid w:val="00970493"/>
    <w:rsid w:val="009706AB"/>
    <w:rsid w:val="00970930"/>
    <w:rsid w:val="00970A81"/>
    <w:rsid w:val="00970DDF"/>
    <w:rsid w:val="009713B6"/>
    <w:rsid w:val="009714AB"/>
    <w:rsid w:val="00972BD8"/>
    <w:rsid w:val="00972F66"/>
    <w:rsid w:val="0097329A"/>
    <w:rsid w:val="009734F0"/>
    <w:rsid w:val="009737AD"/>
    <w:rsid w:val="00974453"/>
    <w:rsid w:val="009745CE"/>
    <w:rsid w:val="00974EEA"/>
    <w:rsid w:val="0097522B"/>
    <w:rsid w:val="00975B8B"/>
    <w:rsid w:val="00975C3B"/>
    <w:rsid w:val="00975E05"/>
    <w:rsid w:val="009763F2"/>
    <w:rsid w:val="00976C96"/>
    <w:rsid w:val="00977027"/>
    <w:rsid w:val="009773A0"/>
    <w:rsid w:val="00977565"/>
    <w:rsid w:val="009777B9"/>
    <w:rsid w:val="009802D7"/>
    <w:rsid w:val="009804F1"/>
    <w:rsid w:val="00980A8D"/>
    <w:rsid w:val="00980CF5"/>
    <w:rsid w:val="00980F19"/>
    <w:rsid w:val="00981012"/>
    <w:rsid w:val="00981034"/>
    <w:rsid w:val="0098109F"/>
    <w:rsid w:val="009814B9"/>
    <w:rsid w:val="00981D27"/>
    <w:rsid w:val="00981D3C"/>
    <w:rsid w:val="0098251A"/>
    <w:rsid w:val="00983017"/>
    <w:rsid w:val="009831EB"/>
    <w:rsid w:val="009833D5"/>
    <w:rsid w:val="00983440"/>
    <w:rsid w:val="009835A8"/>
    <w:rsid w:val="0098385F"/>
    <w:rsid w:val="00983F05"/>
    <w:rsid w:val="00984231"/>
    <w:rsid w:val="00984552"/>
    <w:rsid w:val="009849E5"/>
    <w:rsid w:val="00984D96"/>
    <w:rsid w:val="00984E84"/>
    <w:rsid w:val="00985949"/>
    <w:rsid w:val="00985ABB"/>
    <w:rsid w:val="009864F3"/>
    <w:rsid w:val="009867BF"/>
    <w:rsid w:val="00987301"/>
    <w:rsid w:val="009875DA"/>
    <w:rsid w:val="00987BC3"/>
    <w:rsid w:val="00990534"/>
    <w:rsid w:val="009906C7"/>
    <w:rsid w:val="009908A0"/>
    <w:rsid w:val="00990AF0"/>
    <w:rsid w:val="00990BAC"/>
    <w:rsid w:val="0099186E"/>
    <w:rsid w:val="009918E8"/>
    <w:rsid w:val="009919DF"/>
    <w:rsid w:val="00991D09"/>
    <w:rsid w:val="00991EF1"/>
    <w:rsid w:val="009921CF"/>
    <w:rsid w:val="00992892"/>
    <w:rsid w:val="009928FD"/>
    <w:rsid w:val="00993116"/>
    <w:rsid w:val="00993423"/>
    <w:rsid w:val="00993CEE"/>
    <w:rsid w:val="00993ED3"/>
    <w:rsid w:val="00994027"/>
    <w:rsid w:val="00994F40"/>
    <w:rsid w:val="009950A9"/>
    <w:rsid w:val="0099707F"/>
    <w:rsid w:val="00997473"/>
    <w:rsid w:val="009975F2"/>
    <w:rsid w:val="00997844"/>
    <w:rsid w:val="00997BA4"/>
    <w:rsid w:val="009A00DF"/>
    <w:rsid w:val="009A03A3"/>
    <w:rsid w:val="009A0B45"/>
    <w:rsid w:val="009A13A0"/>
    <w:rsid w:val="009A18B7"/>
    <w:rsid w:val="009A1E7B"/>
    <w:rsid w:val="009A21C0"/>
    <w:rsid w:val="009A278C"/>
    <w:rsid w:val="009A2F23"/>
    <w:rsid w:val="009A3110"/>
    <w:rsid w:val="009A311D"/>
    <w:rsid w:val="009A3187"/>
    <w:rsid w:val="009A36CA"/>
    <w:rsid w:val="009A36DF"/>
    <w:rsid w:val="009A46D7"/>
    <w:rsid w:val="009A4B6A"/>
    <w:rsid w:val="009A4B99"/>
    <w:rsid w:val="009A4BA9"/>
    <w:rsid w:val="009A4D87"/>
    <w:rsid w:val="009A50A3"/>
    <w:rsid w:val="009A53F8"/>
    <w:rsid w:val="009A545D"/>
    <w:rsid w:val="009A5555"/>
    <w:rsid w:val="009A582E"/>
    <w:rsid w:val="009A5C48"/>
    <w:rsid w:val="009A6296"/>
    <w:rsid w:val="009A6502"/>
    <w:rsid w:val="009A65A9"/>
    <w:rsid w:val="009A6706"/>
    <w:rsid w:val="009A6A52"/>
    <w:rsid w:val="009A6EF2"/>
    <w:rsid w:val="009A70AD"/>
    <w:rsid w:val="009A7546"/>
    <w:rsid w:val="009A786E"/>
    <w:rsid w:val="009A78E6"/>
    <w:rsid w:val="009A7C4D"/>
    <w:rsid w:val="009B04ED"/>
    <w:rsid w:val="009B0751"/>
    <w:rsid w:val="009B14B6"/>
    <w:rsid w:val="009B1946"/>
    <w:rsid w:val="009B1E9C"/>
    <w:rsid w:val="009B1FCA"/>
    <w:rsid w:val="009B25D1"/>
    <w:rsid w:val="009B26B6"/>
    <w:rsid w:val="009B271C"/>
    <w:rsid w:val="009B3057"/>
    <w:rsid w:val="009B3410"/>
    <w:rsid w:val="009B3A5A"/>
    <w:rsid w:val="009B4212"/>
    <w:rsid w:val="009B4F65"/>
    <w:rsid w:val="009B50FD"/>
    <w:rsid w:val="009B5339"/>
    <w:rsid w:val="009B5CEB"/>
    <w:rsid w:val="009B5E28"/>
    <w:rsid w:val="009B6087"/>
    <w:rsid w:val="009B610C"/>
    <w:rsid w:val="009B611C"/>
    <w:rsid w:val="009B66C0"/>
    <w:rsid w:val="009B69B7"/>
    <w:rsid w:val="009B7013"/>
    <w:rsid w:val="009B7245"/>
    <w:rsid w:val="009B7411"/>
    <w:rsid w:val="009B748D"/>
    <w:rsid w:val="009B7550"/>
    <w:rsid w:val="009B7737"/>
    <w:rsid w:val="009B79B7"/>
    <w:rsid w:val="009B7A09"/>
    <w:rsid w:val="009B7A89"/>
    <w:rsid w:val="009B7C38"/>
    <w:rsid w:val="009B7DF7"/>
    <w:rsid w:val="009C056C"/>
    <w:rsid w:val="009C059E"/>
    <w:rsid w:val="009C05EE"/>
    <w:rsid w:val="009C06C6"/>
    <w:rsid w:val="009C08EF"/>
    <w:rsid w:val="009C0B8A"/>
    <w:rsid w:val="009C0E0B"/>
    <w:rsid w:val="009C0E31"/>
    <w:rsid w:val="009C163F"/>
    <w:rsid w:val="009C1661"/>
    <w:rsid w:val="009C2063"/>
    <w:rsid w:val="009C261D"/>
    <w:rsid w:val="009C2668"/>
    <w:rsid w:val="009C266A"/>
    <w:rsid w:val="009C283A"/>
    <w:rsid w:val="009C2E6B"/>
    <w:rsid w:val="009C331E"/>
    <w:rsid w:val="009C3445"/>
    <w:rsid w:val="009C3A44"/>
    <w:rsid w:val="009C3F50"/>
    <w:rsid w:val="009C4334"/>
    <w:rsid w:val="009C4593"/>
    <w:rsid w:val="009C4699"/>
    <w:rsid w:val="009C5504"/>
    <w:rsid w:val="009C5654"/>
    <w:rsid w:val="009C578A"/>
    <w:rsid w:val="009C5E15"/>
    <w:rsid w:val="009C5E32"/>
    <w:rsid w:val="009C63C1"/>
    <w:rsid w:val="009C65EB"/>
    <w:rsid w:val="009C6812"/>
    <w:rsid w:val="009C6AA2"/>
    <w:rsid w:val="009C6BFD"/>
    <w:rsid w:val="009C6ECE"/>
    <w:rsid w:val="009C71D4"/>
    <w:rsid w:val="009C76BE"/>
    <w:rsid w:val="009C7AF0"/>
    <w:rsid w:val="009C7B23"/>
    <w:rsid w:val="009C7D48"/>
    <w:rsid w:val="009D0324"/>
    <w:rsid w:val="009D0CD2"/>
    <w:rsid w:val="009D0DBF"/>
    <w:rsid w:val="009D10CE"/>
    <w:rsid w:val="009D1CD8"/>
    <w:rsid w:val="009D2054"/>
    <w:rsid w:val="009D258A"/>
    <w:rsid w:val="009D2701"/>
    <w:rsid w:val="009D2753"/>
    <w:rsid w:val="009D2981"/>
    <w:rsid w:val="009D2A35"/>
    <w:rsid w:val="009D2D5C"/>
    <w:rsid w:val="009D2D66"/>
    <w:rsid w:val="009D3227"/>
    <w:rsid w:val="009D33C9"/>
    <w:rsid w:val="009D398F"/>
    <w:rsid w:val="009D39E1"/>
    <w:rsid w:val="009D46B5"/>
    <w:rsid w:val="009D52FF"/>
    <w:rsid w:val="009D59F5"/>
    <w:rsid w:val="009D5BAB"/>
    <w:rsid w:val="009D624F"/>
    <w:rsid w:val="009D6590"/>
    <w:rsid w:val="009D6833"/>
    <w:rsid w:val="009D6AA5"/>
    <w:rsid w:val="009D730B"/>
    <w:rsid w:val="009D77C3"/>
    <w:rsid w:val="009D794B"/>
    <w:rsid w:val="009D7AC5"/>
    <w:rsid w:val="009D7F5F"/>
    <w:rsid w:val="009E02BC"/>
    <w:rsid w:val="009E0B25"/>
    <w:rsid w:val="009E1355"/>
    <w:rsid w:val="009E14AD"/>
    <w:rsid w:val="009E152C"/>
    <w:rsid w:val="009E254C"/>
    <w:rsid w:val="009E374D"/>
    <w:rsid w:val="009E410A"/>
    <w:rsid w:val="009E41D9"/>
    <w:rsid w:val="009E4375"/>
    <w:rsid w:val="009E43BA"/>
    <w:rsid w:val="009E5138"/>
    <w:rsid w:val="009E51B5"/>
    <w:rsid w:val="009E5213"/>
    <w:rsid w:val="009E5535"/>
    <w:rsid w:val="009E5CC9"/>
    <w:rsid w:val="009E69C1"/>
    <w:rsid w:val="009E6BAE"/>
    <w:rsid w:val="009E6D82"/>
    <w:rsid w:val="009E6FBD"/>
    <w:rsid w:val="009E7636"/>
    <w:rsid w:val="009E7965"/>
    <w:rsid w:val="009E7A66"/>
    <w:rsid w:val="009E7E3E"/>
    <w:rsid w:val="009F0428"/>
    <w:rsid w:val="009F064F"/>
    <w:rsid w:val="009F0695"/>
    <w:rsid w:val="009F0CB4"/>
    <w:rsid w:val="009F0E28"/>
    <w:rsid w:val="009F127F"/>
    <w:rsid w:val="009F19BB"/>
    <w:rsid w:val="009F1A25"/>
    <w:rsid w:val="009F1BA9"/>
    <w:rsid w:val="009F1DA7"/>
    <w:rsid w:val="009F26BC"/>
    <w:rsid w:val="009F2C58"/>
    <w:rsid w:val="009F2E3F"/>
    <w:rsid w:val="009F2F34"/>
    <w:rsid w:val="009F3108"/>
    <w:rsid w:val="009F33D4"/>
    <w:rsid w:val="009F3B28"/>
    <w:rsid w:val="009F4341"/>
    <w:rsid w:val="009F43E5"/>
    <w:rsid w:val="009F4489"/>
    <w:rsid w:val="009F44F2"/>
    <w:rsid w:val="009F48CE"/>
    <w:rsid w:val="009F508E"/>
    <w:rsid w:val="009F514D"/>
    <w:rsid w:val="009F54A0"/>
    <w:rsid w:val="009F58B7"/>
    <w:rsid w:val="009F5AF2"/>
    <w:rsid w:val="009F5D38"/>
    <w:rsid w:val="009F5EB2"/>
    <w:rsid w:val="009F5F10"/>
    <w:rsid w:val="009F6210"/>
    <w:rsid w:val="009F6699"/>
    <w:rsid w:val="009F683C"/>
    <w:rsid w:val="009F6CA6"/>
    <w:rsid w:val="009F79BD"/>
    <w:rsid w:val="009F7C69"/>
    <w:rsid w:val="009F7DA8"/>
    <w:rsid w:val="00A00388"/>
    <w:rsid w:val="00A003D6"/>
    <w:rsid w:val="00A0098E"/>
    <w:rsid w:val="00A00DCA"/>
    <w:rsid w:val="00A00F87"/>
    <w:rsid w:val="00A0143A"/>
    <w:rsid w:val="00A01440"/>
    <w:rsid w:val="00A01C15"/>
    <w:rsid w:val="00A01EA7"/>
    <w:rsid w:val="00A02394"/>
    <w:rsid w:val="00A023EF"/>
    <w:rsid w:val="00A02603"/>
    <w:rsid w:val="00A02C61"/>
    <w:rsid w:val="00A02CF7"/>
    <w:rsid w:val="00A0314E"/>
    <w:rsid w:val="00A0316A"/>
    <w:rsid w:val="00A031DA"/>
    <w:rsid w:val="00A03D0F"/>
    <w:rsid w:val="00A043C8"/>
    <w:rsid w:val="00A04400"/>
    <w:rsid w:val="00A0448C"/>
    <w:rsid w:val="00A04621"/>
    <w:rsid w:val="00A0463D"/>
    <w:rsid w:val="00A04745"/>
    <w:rsid w:val="00A0504C"/>
    <w:rsid w:val="00A05D0E"/>
    <w:rsid w:val="00A05D26"/>
    <w:rsid w:val="00A05D3F"/>
    <w:rsid w:val="00A060EF"/>
    <w:rsid w:val="00A0663A"/>
    <w:rsid w:val="00A06CD8"/>
    <w:rsid w:val="00A07433"/>
    <w:rsid w:val="00A07C22"/>
    <w:rsid w:val="00A07C2D"/>
    <w:rsid w:val="00A07CDE"/>
    <w:rsid w:val="00A10839"/>
    <w:rsid w:val="00A10AE8"/>
    <w:rsid w:val="00A10C74"/>
    <w:rsid w:val="00A1116F"/>
    <w:rsid w:val="00A111FB"/>
    <w:rsid w:val="00A1135D"/>
    <w:rsid w:val="00A11701"/>
    <w:rsid w:val="00A117E0"/>
    <w:rsid w:val="00A12B12"/>
    <w:rsid w:val="00A12DED"/>
    <w:rsid w:val="00A13285"/>
    <w:rsid w:val="00A135A7"/>
    <w:rsid w:val="00A138D9"/>
    <w:rsid w:val="00A13FC0"/>
    <w:rsid w:val="00A14087"/>
    <w:rsid w:val="00A14812"/>
    <w:rsid w:val="00A14CB4"/>
    <w:rsid w:val="00A15509"/>
    <w:rsid w:val="00A157A8"/>
    <w:rsid w:val="00A16C44"/>
    <w:rsid w:val="00A177BB"/>
    <w:rsid w:val="00A17E4B"/>
    <w:rsid w:val="00A17F64"/>
    <w:rsid w:val="00A201E9"/>
    <w:rsid w:val="00A20696"/>
    <w:rsid w:val="00A20A44"/>
    <w:rsid w:val="00A20F12"/>
    <w:rsid w:val="00A21010"/>
    <w:rsid w:val="00A211C4"/>
    <w:rsid w:val="00A2159F"/>
    <w:rsid w:val="00A219D7"/>
    <w:rsid w:val="00A21CC7"/>
    <w:rsid w:val="00A21EC1"/>
    <w:rsid w:val="00A2200E"/>
    <w:rsid w:val="00A226C8"/>
    <w:rsid w:val="00A22862"/>
    <w:rsid w:val="00A23745"/>
    <w:rsid w:val="00A23D1B"/>
    <w:rsid w:val="00A24962"/>
    <w:rsid w:val="00A24C51"/>
    <w:rsid w:val="00A25467"/>
    <w:rsid w:val="00A25965"/>
    <w:rsid w:val="00A25A47"/>
    <w:rsid w:val="00A25D35"/>
    <w:rsid w:val="00A25FE2"/>
    <w:rsid w:val="00A26F91"/>
    <w:rsid w:val="00A2759D"/>
    <w:rsid w:val="00A27A73"/>
    <w:rsid w:val="00A27A92"/>
    <w:rsid w:val="00A27FA0"/>
    <w:rsid w:val="00A27FE2"/>
    <w:rsid w:val="00A30158"/>
    <w:rsid w:val="00A301F2"/>
    <w:rsid w:val="00A304EE"/>
    <w:rsid w:val="00A3077B"/>
    <w:rsid w:val="00A30FFA"/>
    <w:rsid w:val="00A3193C"/>
    <w:rsid w:val="00A31CCC"/>
    <w:rsid w:val="00A31D04"/>
    <w:rsid w:val="00A32160"/>
    <w:rsid w:val="00A3222A"/>
    <w:rsid w:val="00A32C4B"/>
    <w:rsid w:val="00A32CE6"/>
    <w:rsid w:val="00A32EAD"/>
    <w:rsid w:val="00A32EBC"/>
    <w:rsid w:val="00A337C1"/>
    <w:rsid w:val="00A337D0"/>
    <w:rsid w:val="00A34C53"/>
    <w:rsid w:val="00A35A52"/>
    <w:rsid w:val="00A35A82"/>
    <w:rsid w:val="00A36024"/>
    <w:rsid w:val="00A360EB"/>
    <w:rsid w:val="00A3612E"/>
    <w:rsid w:val="00A363B7"/>
    <w:rsid w:val="00A36BBF"/>
    <w:rsid w:val="00A36E93"/>
    <w:rsid w:val="00A37F01"/>
    <w:rsid w:val="00A404E7"/>
    <w:rsid w:val="00A4140A"/>
    <w:rsid w:val="00A41B8C"/>
    <w:rsid w:val="00A41C42"/>
    <w:rsid w:val="00A423A4"/>
    <w:rsid w:val="00A42E76"/>
    <w:rsid w:val="00A42F32"/>
    <w:rsid w:val="00A43054"/>
    <w:rsid w:val="00A43756"/>
    <w:rsid w:val="00A4390B"/>
    <w:rsid w:val="00A447D3"/>
    <w:rsid w:val="00A4514A"/>
    <w:rsid w:val="00A45B90"/>
    <w:rsid w:val="00A4651D"/>
    <w:rsid w:val="00A4664F"/>
    <w:rsid w:val="00A467DD"/>
    <w:rsid w:val="00A46A2A"/>
    <w:rsid w:val="00A46E53"/>
    <w:rsid w:val="00A47138"/>
    <w:rsid w:val="00A47401"/>
    <w:rsid w:val="00A47477"/>
    <w:rsid w:val="00A47984"/>
    <w:rsid w:val="00A47A8C"/>
    <w:rsid w:val="00A47CBE"/>
    <w:rsid w:val="00A505A2"/>
    <w:rsid w:val="00A50B18"/>
    <w:rsid w:val="00A50C75"/>
    <w:rsid w:val="00A51055"/>
    <w:rsid w:val="00A5155A"/>
    <w:rsid w:val="00A51771"/>
    <w:rsid w:val="00A51A01"/>
    <w:rsid w:val="00A51A87"/>
    <w:rsid w:val="00A51FAD"/>
    <w:rsid w:val="00A51FED"/>
    <w:rsid w:val="00A538BE"/>
    <w:rsid w:val="00A53A50"/>
    <w:rsid w:val="00A53E7C"/>
    <w:rsid w:val="00A54456"/>
    <w:rsid w:val="00A54D07"/>
    <w:rsid w:val="00A54E65"/>
    <w:rsid w:val="00A55A0F"/>
    <w:rsid w:val="00A5627E"/>
    <w:rsid w:val="00A5668A"/>
    <w:rsid w:val="00A56F95"/>
    <w:rsid w:val="00A5749B"/>
    <w:rsid w:val="00A57B22"/>
    <w:rsid w:val="00A57F9C"/>
    <w:rsid w:val="00A604C8"/>
    <w:rsid w:val="00A60F52"/>
    <w:rsid w:val="00A611D8"/>
    <w:rsid w:val="00A61D01"/>
    <w:rsid w:val="00A61F1D"/>
    <w:rsid w:val="00A61FF0"/>
    <w:rsid w:val="00A620CC"/>
    <w:rsid w:val="00A620D3"/>
    <w:rsid w:val="00A628CC"/>
    <w:rsid w:val="00A62A98"/>
    <w:rsid w:val="00A62CA8"/>
    <w:rsid w:val="00A630F0"/>
    <w:rsid w:val="00A634A0"/>
    <w:rsid w:val="00A63BA3"/>
    <w:rsid w:val="00A645CB"/>
    <w:rsid w:val="00A646CC"/>
    <w:rsid w:val="00A64A05"/>
    <w:rsid w:val="00A64D9F"/>
    <w:rsid w:val="00A64E3B"/>
    <w:rsid w:val="00A64E3D"/>
    <w:rsid w:val="00A64E9E"/>
    <w:rsid w:val="00A64F10"/>
    <w:rsid w:val="00A65158"/>
    <w:rsid w:val="00A6522F"/>
    <w:rsid w:val="00A6598E"/>
    <w:rsid w:val="00A65C17"/>
    <w:rsid w:val="00A660EE"/>
    <w:rsid w:val="00A66332"/>
    <w:rsid w:val="00A663BE"/>
    <w:rsid w:val="00A663D3"/>
    <w:rsid w:val="00A666BE"/>
    <w:rsid w:val="00A66A0B"/>
    <w:rsid w:val="00A671D3"/>
    <w:rsid w:val="00A67692"/>
    <w:rsid w:val="00A67974"/>
    <w:rsid w:val="00A67E05"/>
    <w:rsid w:val="00A7053D"/>
    <w:rsid w:val="00A70544"/>
    <w:rsid w:val="00A70574"/>
    <w:rsid w:val="00A705BA"/>
    <w:rsid w:val="00A70AAA"/>
    <w:rsid w:val="00A70AB1"/>
    <w:rsid w:val="00A70D5E"/>
    <w:rsid w:val="00A70E4A"/>
    <w:rsid w:val="00A70FD5"/>
    <w:rsid w:val="00A7117D"/>
    <w:rsid w:val="00A71BB2"/>
    <w:rsid w:val="00A71D59"/>
    <w:rsid w:val="00A71ED7"/>
    <w:rsid w:val="00A72510"/>
    <w:rsid w:val="00A730E4"/>
    <w:rsid w:val="00A73366"/>
    <w:rsid w:val="00A7340F"/>
    <w:rsid w:val="00A73BB5"/>
    <w:rsid w:val="00A73D54"/>
    <w:rsid w:val="00A747F2"/>
    <w:rsid w:val="00A74A33"/>
    <w:rsid w:val="00A74DF4"/>
    <w:rsid w:val="00A74E63"/>
    <w:rsid w:val="00A75146"/>
    <w:rsid w:val="00A7622E"/>
    <w:rsid w:val="00A762EE"/>
    <w:rsid w:val="00A7676C"/>
    <w:rsid w:val="00A769B8"/>
    <w:rsid w:val="00A76E57"/>
    <w:rsid w:val="00A770C4"/>
    <w:rsid w:val="00A770FC"/>
    <w:rsid w:val="00A7754A"/>
    <w:rsid w:val="00A776E9"/>
    <w:rsid w:val="00A77996"/>
    <w:rsid w:val="00A8080D"/>
    <w:rsid w:val="00A81D15"/>
    <w:rsid w:val="00A820CE"/>
    <w:rsid w:val="00A820D9"/>
    <w:rsid w:val="00A82DAA"/>
    <w:rsid w:val="00A83362"/>
    <w:rsid w:val="00A833DC"/>
    <w:rsid w:val="00A83655"/>
    <w:rsid w:val="00A83692"/>
    <w:rsid w:val="00A83A48"/>
    <w:rsid w:val="00A83AD4"/>
    <w:rsid w:val="00A83DD9"/>
    <w:rsid w:val="00A84225"/>
    <w:rsid w:val="00A844DB"/>
    <w:rsid w:val="00A8492C"/>
    <w:rsid w:val="00A84B7C"/>
    <w:rsid w:val="00A851D2"/>
    <w:rsid w:val="00A8529F"/>
    <w:rsid w:val="00A854BF"/>
    <w:rsid w:val="00A85D27"/>
    <w:rsid w:val="00A8629C"/>
    <w:rsid w:val="00A863CA"/>
    <w:rsid w:val="00A86DDE"/>
    <w:rsid w:val="00A871E3"/>
    <w:rsid w:val="00A87BE5"/>
    <w:rsid w:val="00A87E7B"/>
    <w:rsid w:val="00A87FE5"/>
    <w:rsid w:val="00A903EA"/>
    <w:rsid w:val="00A903F4"/>
    <w:rsid w:val="00A91AE2"/>
    <w:rsid w:val="00A91CDF"/>
    <w:rsid w:val="00A92180"/>
    <w:rsid w:val="00A92181"/>
    <w:rsid w:val="00A92219"/>
    <w:rsid w:val="00A923F9"/>
    <w:rsid w:val="00A92D80"/>
    <w:rsid w:val="00A9302E"/>
    <w:rsid w:val="00A93287"/>
    <w:rsid w:val="00A93DD2"/>
    <w:rsid w:val="00A93F1B"/>
    <w:rsid w:val="00A94051"/>
    <w:rsid w:val="00A94B2A"/>
    <w:rsid w:val="00A94B8C"/>
    <w:rsid w:val="00A94DA1"/>
    <w:rsid w:val="00A95887"/>
    <w:rsid w:val="00A9599B"/>
    <w:rsid w:val="00A95FCD"/>
    <w:rsid w:val="00A96256"/>
    <w:rsid w:val="00A9660B"/>
    <w:rsid w:val="00A967D3"/>
    <w:rsid w:val="00A97885"/>
    <w:rsid w:val="00A97EC7"/>
    <w:rsid w:val="00AA0BB0"/>
    <w:rsid w:val="00AA0BFA"/>
    <w:rsid w:val="00AA0C08"/>
    <w:rsid w:val="00AA0D8B"/>
    <w:rsid w:val="00AA0D9C"/>
    <w:rsid w:val="00AA1179"/>
    <w:rsid w:val="00AA1D93"/>
    <w:rsid w:val="00AA24B0"/>
    <w:rsid w:val="00AA24D2"/>
    <w:rsid w:val="00AA31B6"/>
    <w:rsid w:val="00AA33B6"/>
    <w:rsid w:val="00AA37C3"/>
    <w:rsid w:val="00AA38A0"/>
    <w:rsid w:val="00AA3B17"/>
    <w:rsid w:val="00AA3CDB"/>
    <w:rsid w:val="00AA3D3D"/>
    <w:rsid w:val="00AA3FF6"/>
    <w:rsid w:val="00AA4A55"/>
    <w:rsid w:val="00AA4EB3"/>
    <w:rsid w:val="00AA4EE0"/>
    <w:rsid w:val="00AA50CC"/>
    <w:rsid w:val="00AA5400"/>
    <w:rsid w:val="00AA5635"/>
    <w:rsid w:val="00AA610F"/>
    <w:rsid w:val="00AA61CB"/>
    <w:rsid w:val="00AA62A2"/>
    <w:rsid w:val="00AA62EC"/>
    <w:rsid w:val="00AA6375"/>
    <w:rsid w:val="00AA6A39"/>
    <w:rsid w:val="00AA6CBD"/>
    <w:rsid w:val="00AA6EA8"/>
    <w:rsid w:val="00AA7546"/>
    <w:rsid w:val="00AA75D2"/>
    <w:rsid w:val="00AB0337"/>
    <w:rsid w:val="00AB0719"/>
    <w:rsid w:val="00AB08BF"/>
    <w:rsid w:val="00AB0A89"/>
    <w:rsid w:val="00AB10DF"/>
    <w:rsid w:val="00AB156A"/>
    <w:rsid w:val="00AB1585"/>
    <w:rsid w:val="00AB16F6"/>
    <w:rsid w:val="00AB20BC"/>
    <w:rsid w:val="00AB21C4"/>
    <w:rsid w:val="00AB26E1"/>
    <w:rsid w:val="00AB27B2"/>
    <w:rsid w:val="00AB2A73"/>
    <w:rsid w:val="00AB2C69"/>
    <w:rsid w:val="00AB2DCE"/>
    <w:rsid w:val="00AB34F3"/>
    <w:rsid w:val="00AB3535"/>
    <w:rsid w:val="00AB3597"/>
    <w:rsid w:val="00AB362C"/>
    <w:rsid w:val="00AB3699"/>
    <w:rsid w:val="00AB36DE"/>
    <w:rsid w:val="00AB3DCA"/>
    <w:rsid w:val="00AB416B"/>
    <w:rsid w:val="00AB420D"/>
    <w:rsid w:val="00AB43CD"/>
    <w:rsid w:val="00AB4D37"/>
    <w:rsid w:val="00AB5A6E"/>
    <w:rsid w:val="00AB5B52"/>
    <w:rsid w:val="00AB6743"/>
    <w:rsid w:val="00AB69CA"/>
    <w:rsid w:val="00AB6D54"/>
    <w:rsid w:val="00AB6D8A"/>
    <w:rsid w:val="00AC0099"/>
    <w:rsid w:val="00AC06B4"/>
    <w:rsid w:val="00AC0C35"/>
    <w:rsid w:val="00AC0F69"/>
    <w:rsid w:val="00AC114E"/>
    <w:rsid w:val="00AC2A99"/>
    <w:rsid w:val="00AC2C90"/>
    <w:rsid w:val="00AC2CC9"/>
    <w:rsid w:val="00AC2EBE"/>
    <w:rsid w:val="00AC3463"/>
    <w:rsid w:val="00AC3B45"/>
    <w:rsid w:val="00AC3BD3"/>
    <w:rsid w:val="00AC42C3"/>
    <w:rsid w:val="00AC436D"/>
    <w:rsid w:val="00AC44EB"/>
    <w:rsid w:val="00AC479B"/>
    <w:rsid w:val="00AC4905"/>
    <w:rsid w:val="00AC4D22"/>
    <w:rsid w:val="00AC509C"/>
    <w:rsid w:val="00AC5724"/>
    <w:rsid w:val="00AC5B3B"/>
    <w:rsid w:val="00AC69AC"/>
    <w:rsid w:val="00AC6EA8"/>
    <w:rsid w:val="00AC6FE0"/>
    <w:rsid w:val="00AC75C1"/>
    <w:rsid w:val="00AC7EAA"/>
    <w:rsid w:val="00AC7EB2"/>
    <w:rsid w:val="00AD0213"/>
    <w:rsid w:val="00AD086E"/>
    <w:rsid w:val="00AD0B7E"/>
    <w:rsid w:val="00AD1349"/>
    <w:rsid w:val="00AD1B35"/>
    <w:rsid w:val="00AD1D4C"/>
    <w:rsid w:val="00AD233D"/>
    <w:rsid w:val="00AD276B"/>
    <w:rsid w:val="00AD3BD7"/>
    <w:rsid w:val="00AD3BFE"/>
    <w:rsid w:val="00AD3DA5"/>
    <w:rsid w:val="00AD3ED8"/>
    <w:rsid w:val="00AD4B2D"/>
    <w:rsid w:val="00AD4B8A"/>
    <w:rsid w:val="00AD5484"/>
    <w:rsid w:val="00AD61AE"/>
    <w:rsid w:val="00AD6510"/>
    <w:rsid w:val="00AD6548"/>
    <w:rsid w:val="00AD6678"/>
    <w:rsid w:val="00AD755D"/>
    <w:rsid w:val="00AD761C"/>
    <w:rsid w:val="00AE0887"/>
    <w:rsid w:val="00AE0C00"/>
    <w:rsid w:val="00AE1385"/>
    <w:rsid w:val="00AE13AA"/>
    <w:rsid w:val="00AE22B9"/>
    <w:rsid w:val="00AE31D8"/>
    <w:rsid w:val="00AE3330"/>
    <w:rsid w:val="00AE38EF"/>
    <w:rsid w:val="00AE3C73"/>
    <w:rsid w:val="00AE407B"/>
    <w:rsid w:val="00AE45C9"/>
    <w:rsid w:val="00AE4674"/>
    <w:rsid w:val="00AE56A2"/>
    <w:rsid w:val="00AE5CAA"/>
    <w:rsid w:val="00AE5DBF"/>
    <w:rsid w:val="00AE6280"/>
    <w:rsid w:val="00AE62B2"/>
    <w:rsid w:val="00AE67C4"/>
    <w:rsid w:val="00AF09FE"/>
    <w:rsid w:val="00AF0EB1"/>
    <w:rsid w:val="00AF0FFD"/>
    <w:rsid w:val="00AF1483"/>
    <w:rsid w:val="00AF1639"/>
    <w:rsid w:val="00AF1B01"/>
    <w:rsid w:val="00AF1FF6"/>
    <w:rsid w:val="00AF217D"/>
    <w:rsid w:val="00AF24F6"/>
    <w:rsid w:val="00AF2602"/>
    <w:rsid w:val="00AF2636"/>
    <w:rsid w:val="00AF26BE"/>
    <w:rsid w:val="00AF2C09"/>
    <w:rsid w:val="00AF3143"/>
    <w:rsid w:val="00AF31F9"/>
    <w:rsid w:val="00AF3DDD"/>
    <w:rsid w:val="00AF3FBC"/>
    <w:rsid w:val="00AF4039"/>
    <w:rsid w:val="00AF48F8"/>
    <w:rsid w:val="00AF4AE1"/>
    <w:rsid w:val="00AF4C11"/>
    <w:rsid w:val="00AF54FE"/>
    <w:rsid w:val="00AF5B16"/>
    <w:rsid w:val="00AF5F2C"/>
    <w:rsid w:val="00AF676E"/>
    <w:rsid w:val="00AF689F"/>
    <w:rsid w:val="00AF6A78"/>
    <w:rsid w:val="00AF7284"/>
    <w:rsid w:val="00AFDD68"/>
    <w:rsid w:val="00B0000B"/>
    <w:rsid w:val="00B013D4"/>
    <w:rsid w:val="00B017BE"/>
    <w:rsid w:val="00B01903"/>
    <w:rsid w:val="00B01936"/>
    <w:rsid w:val="00B01F6A"/>
    <w:rsid w:val="00B02876"/>
    <w:rsid w:val="00B02A55"/>
    <w:rsid w:val="00B03602"/>
    <w:rsid w:val="00B03C12"/>
    <w:rsid w:val="00B041E4"/>
    <w:rsid w:val="00B045B8"/>
    <w:rsid w:val="00B04BCB"/>
    <w:rsid w:val="00B04C4B"/>
    <w:rsid w:val="00B04E91"/>
    <w:rsid w:val="00B05122"/>
    <w:rsid w:val="00B052FA"/>
    <w:rsid w:val="00B0583F"/>
    <w:rsid w:val="00B05AA3"/>
    <w:rsid w:val="00B05AB2"/>
    <w:rsid w:val="00B05B28"/>
    <w:rsid w:val="00B0604B"/>
    <w:rsid w:val="00B063D2"/>
    <w:rsid w:val="00B06EE9"/>
    <w:rsid w:val="00B072C7"/>
    <w:rsid w:val="00B07484"/>
    <w:rsid w:val="00B0767B"/>
    <w:rsid w:val="00B07C64"/>
    <w:rsid w:val="00B07ED6"/>
    <w:rsid w:val="00B07F04"/>
    <w:rsid w:val="00B1037A"/>
    <w:rsid w:val="00B103A4"/>
    <w:rsid w:val="00B104D6"/>
    <w:rsid w:val="00B1079E"/>
    <w:rsid w:val="00B107A5"/>
    <w:rsid w:val="00B10FC7"/>
    <w:rsid w:val="00B11254"/>
    <w:rsid w:val="00B11284"/>
    <w:rsid w:val="00B11595"/>
    <w:rsid w:val="00B11696"/>
    <w:rsid w:val="00B118DA"/>
    <w:rsid w:val="00B118F8"/>
    <w:rsid w:val="00B11C5E"/>
    <w:rsid w:val="00B11DC8"/>
    <w:rsid w:val="00B127F3"/>
    <w:rsid w:val="00B12C5B"/>
    <w:rsid w:val="00B12C9E"/>
    <w:rsid w:val="00B1313E"/>
    <w:rsid w:val="00B136FB"/>
    <w:rsid w:val="00B13B4C"/>
    <w:rsid w:val="00B13ED4"/>
    <w:rsid w:val="00B13EF7"/>
    <w:rsid w:val="00B13F0A"/>
    <w:rsid w:val="00B141C7"/>
    <w:rsid w:val="00B14C9F"/>
    <w:rsid w:val="00B157F7"/>
    <w:rsid w:val="00B15BCF"/>
    <w:rsid w:val="00B16399"/>
    <w:rsid w:val="00B169D8"/>
    <w:rsid w:val="00B16B8A"/>
    <w:rsid w:val="00B16CA0"/>
    <w:rsid w:val="00B16D10"/>
    <w:rsid w:val="00B174F1"/>
    <w:rsid w:val="00B203DD"/>
    <w:rsid w:val="00B2092C"/>
    <w:rsid w:val="00B20939"/>
    <w:rsid w:val="00B20A0E"/>
    <w:rsid w:val="00B20A6E"/>
    <w:rsid w:val="00B20FE6"/>
    <w:rsid w:val="00B21EBE"/>
    <w:rsid w:val="00B21EFD"/>
    <w:rsid w:val="00B21F3D"/>
    <w:rsid w:val="00B224D0"/>
    <w:rsid w:val="00B2302D"/>
    <w:rsid w:val="00B23178"/>
    <w:rsid w:val="00B231E1"/>
    <w:rsid w:val="00B2345D"/>
    <w:rsid w:val="00B2358B"/>
    <w:rsid w:val="00B23590"/>
    <w:rsid w:val="00B236EA"/>
    <w:rsid w:val="00B23D05"/>
    <w:rsid w:val="00B24481"/>
    <w:rsid w:val="00B24A42"/>
    <w:rsid w:val="00B24C17"/>
    <w:rsid w:val="00B25151"/>
    <w:rsid w:val="00B25571"/>
    <w:rsid w:val="00B262DF"/>
    <w:rsid w:val="00B2712B"/>
    <w:rsid w:val="00B2757F"/>
    <w:rsid w:val="00B279C3"/>
    <w:rsid w:val="00B27B65"/>
    <w:rsid w:val="00B303EB"/>
    <w:rsid w:val="00B30524"/>
    <w:rsid w:val="00B305E4"/>
    <w:rsid w:val="00B30815"/>
    <w:rsid w:val="00B31068"/>
    <w:rsid w:val="00B31575"/>
    <w:rsid w:val="00B31950"/>
    <w:rsid w:val="00B31D2F"/>
    <w:rsid w:val="00B31DC1"/>
    <w:rsid w:val="00B31F15"/>
    <w:rsid w:val="00B32003"/>
    <w:rsid w:val="00B3258D"/>
    <w:rsid w:val="00B32711"/>
    <w:rsid w:val="00B32847"/>
    <w:rsid w:val="00B32933"/>
    <w:rsid w:val="00B334B6"/>
    <w:rsid w:val="00B335FB"/>
    <w:rsid w:val="00B3370C"/>
    <w:rsid w:val="00B33718"/>
    <w:rsid w:val="00B33E9A"/>
    <w:rsid w:val="00B3427C"/>
    <w:rsid w:val="00B34378"/>
    <w:rsid w:val="00B34BD4"/>
    <w:rsid w:val="00B34D73"/>
    <w:rsid w:val="00B35078"/>
    <w:rsid w:val="00B351A7"/>
    <w:rsid w:val="00B3533E"/>
    <w:rsid w:val="00B3565E"/>
    <w:rsid w:val="00B3599E"/>
    <w:rsid w:val="00B35BBA"/>
    <w:rsid w:val="00B35D9A"/>
    <w:rsid w:val="00B36194"/>
    <w:rsid w:val="00B36505"/>
    <w:rsid w:val="00B36EBC"/>
    <w:rsid w:val="00B37232"/>
    <w:rsid w:val="00B37666"/>
    <w:rsid w:val="00B402D0"/>
    <w:rsid w:val="00B40409"/>
    <w:rsid w:val="00B4075F"/>
    <w:rsid w:val="00B407D4"/>
    <w:rsid w:val="00B40923"/>
    <w:rsid w:val="00B40C67"/>
    <w:rsid w:val="00B410CE"/>
    <w:rsid w:val="00B41818"/>
    <w:rsid w:val="00B41C3F"/>
    <w:rsid w:val="00B41D02"/>
    <w:rsid w:val="00B41F1C"/>
    <w:rsid w:val="00B4249D"/>
    <w:rsid w:val="00B42A60"/>
    <w:rsid w:val="00B42DF9"/>
    <w:rsid w:val="00B430CC"/>
    <w:rsid w:val="00B43681"/>
    <w:rsid w:val="00B4396B"/>
    <w:rsid w:val="00B4455A"/>
    <w:rsid w:val="00B4498A"/>
    <w:rsid w:val="00B449B3"/>
    <w:rsid w:val="00B4534A"/>
    <w:rsid w:val="00B455E0"/>
    <w:rsid w:val="00B45DB1"/>
    <w:rsid w:val="00B46313"/>
    <w:rsid w:val="00B464CE"/>
    <w:rsid w:val="00B4661D"/>
    <w:rsid w:val="00B46848"/>
    <w:rsid w:val="00B469CD"/>
    <w:rsid w:val="00B46C61"/>
    <w:rsid w:val="00B47026"/>
    <w:rsid w:val="00B471C2"/>
    <w:rsid w:val="00B473D2"/>
    <w:rsid w:val="00B47565"/>
    <w:rsid w:val="00B4788D"/>
    <w:rsid w:val="00B47A14"/>
    <w:rsid w:val="00B50275"/>
    <w:rsid w:val="00B503EB"/>
    <w:rsid w:val="00B5056B"/>
    <w:rsid w:val="00B5106D"/>
    <w:rsid w:val="00B510AB"/>
    <w:rsid w:val="00B512CD"/>
    <w:rsid w:val="00B51699"/>
    <w:rsid w:val="00B518BF"/>
    <w:rsid w:val="00B51F4D"/>
    <w:rsid w:val="00B527AC"/>
    <w:rsid w:val="00B52B98"/>
    <w:rsid w:val="00B52D05"/>
    <w:rsid w:val="00B52FA5"/>
    <w:rsid w:val="00B53200"/>
    <w:rsid w:val="00B535B5"/>
    <w:rsid w:val="00B53B6D"/>
    <w:rsid w:val="00B541C8"/>
    <w:rsid w:val="00B545C9"/>
    <w:rsid w:val="00B546B8"/>
    <w:rsid w:val="00B54E19"/>
    <w:rsid w:val="00B55524"/>
    <w:rsid w:val="00B5626E"/>
    <w:rsid w:val="00B568FF"/>
    <w:rsid w:val="00B56A62"/>
    <w:rsid w:val="00B56C3C"/>
    <w:rsid w:val="00B57427"/>
    <w:rsid w:val="00B57A0D"/>
    <w:rsid w:val="00B57D95"/>
    <w:rsid w:val="00B57F19"/>
    <w:rsid w:val="00B57F8C"/>
    <w:rsid w:val="00B57FDE"/>
    <w:rsid w:val="00B608D8"/>
    <w:rsid w:val="00B611C9"/>
    <w:rsid w:val="00B61351"/>
    <w:rsid w:val="00B61352"/>
    <w:rsid w:val="00B613AE"/>
    <w:rsid w:val="00B617D3"/>
    <w:rsid w:val="00B6182A"/>
    <w:rsid w:val="00B619AD"/>
    <w:rsid w:val="00B61FAE"/>
    <w:rsid w:val="00B61FAF"/>
    <w:rsid w:val="00B624CF"/>
    <w:rsid w:val="00B62827"/>
    <w:rsid w:val="00B62B0F"/>
    <w:rsid w:val="00B62C4E"/>
    <w:rsid w:val="00B632B3"/>
    <w:rsid w:val="00B634D5"/>
    <w:rsid w:val="00B64CF2"/>
    <w:rsid w:val="00B65190"/>
    <w:rsid w:val="00B65231"/>
    <w:rsid w:val="00B656FE"/>
    <w:rsid w:val="00B65828"/>
    <w:rsid w:val="00B65AEE"/>
    <w:rsid w:val="00B65D98"/>
    <w:rsid w:val="00B65EEA"/>
    <w:rsid w:val="00B66126"/>
    <w:rsid w:val="00B66733"/>
    <w:rsid w:val="00B6684D"/>
    <w:rsid w:val="00B66C9A"/>
    <w:rsid w:val="00B67B2A"/>
    <w:rsid w:val="00B67EB5"/>
    <w:rsid w:val="00B67FF6"/>
    <w:rsid w:val="00B70273"/>
    <w:rsid w:val="00B704CD"/>
    <w:rsid w:val="00B70536"/>
    <w:rsid w:val="00B70593"/>
    <w:rsid w:val="00B712E4"/>
    <w:rsid w:val="00B714FF"/>
    <w:rsid w:val="00B7176D"/>
    <w:rsid w:val="00B71EEE"/>
    <w:rsid w:val="00B71F90"/>
    <w:rsid w:val="00B72746"/>
    <w:rsid w:val="00B72C11"/>
    <w:rsid w:val="00B731E6"/>
    <w:rsid w:val="00B73360"/>
    <w:rsid w:val="00B737A8"/>
    <w:rsid w:val="00B73F9D"/>
    <w:rsid w:val="00B73FDB"/>
    <w:rsid w:val="00B74043"/>
    <w:rsid w:val="00B74C79"/>
    <w:rsid w:val="00B74F5C"/>
    <w:rsid w:val="00B75D71"/>
    <w:rsid w:val="00B75F2F"/>
    <w:rsid w:val="00B75F7D"/>
    <w:rsid w:val="00B769C1"/>
    <w:rsid w:val="00B76AC2"/>
    <w:rsid w:val="00B77226"/>
    <w:rsid w:val="00B77333"/>
    <w:rsid w:val="00B77751"/>
    <w:rsid w:val="00B77D67"/>
    <w:rsid w:val="00B77F55"/>
    <w:rsid w:val="00B77F72"/>
    <w:rsid w:val="00B80405"/>
    <w:rsid w:val="00B80B0D"/>
    <w:rsid w:val="00B81138"/>
    <w:rsid w:val="00B81386"/>
    <w:rsid w:val="00B819CC"/>
    <w:rsid w:val="00B824ED"/>
    <w:rsid w:val="00B83663"/>
    <w:rsid w:val="00B8377E"/>
    <w:rsid w:val="00B8397C"/>
    <w:rsid w:val="00B83C87"/>
    <w:rsid w:val="00B845CC"/>
    <w:rsid w:val="00B8480E"/>
    <w:rsid w:val="00B85039"/>
    <w:rsid w:val="00B8525A"/>
    <w:rsid w:val="00B8590A"/>
    <w:rsid w:val="00B85B4C"/>
    <w:rsid w:val="00B85D5E"/>
    <w:rsid w:val="00B86424"/>
    <w:rsid w:val="00B86958"/>
    <w:rsid w:val="00B86B2D"/>
    <w:rsid w:val="00B86B6A"/>
    <w:rsid w:val="00B86DC3"/>
    <w:rsid w:val="00B87207"/>
    <w:rsid w:val="00B87321"/>
    <w:rsid w:val="00B87B8B"/>
    <w:rsid w:val="00B90068"/>
    <w:rsid w:val="00B904E9"/>
    <w:rsid w:val="00B90A8C"/>
    <w:rsid w:val="00B911AD"/>
    <w:rsid w:val="00B91506"/>
    <w:rsid w:val="00B917B5"/>
    <w:rsid w:val="00B91C8C"/>
    <w:rsid w:val="00B91D60"/>
    <w:rsid w:val="00B91D8E"/>
    <w:rsid w:val="00B91DAC"/>
    <w:rsid w:val="00B91E59"/>
    <w:rsid w:val="00B91F66"/>
    <w:rsid w:val="00B92317"/>
    <w:rsid w:val="00B92EA6"/>
    <w:rsid w:val="00B93097"/>
    <w:rsid w:val="00B930CA"/>
    <w:rsid w:val="00B93781"/>
    <w:rsid w:val="00B93AB4"/>
    <w:rsid w:val="00B93E5E"/>
    <w:rsid w:val="00B9416B"/>
    <w:rsid w:val="00B946CE"/>
    <w:rsid w:val="00B94740"/>
    <w:rsid w:val="00B95036"/>
    <w:rsid w:val="00B954DE"/>
    <w:rsid w:val="00B95711"/>
    <w:rsid w:val="00B9573B"/>
    <w:rsid w:val="00B9598E"/>
    <w:rsid w:val="00B95AB0"/>
    <w:rsid w:val="00B95B47"/>
    <w:rsid w:val="00B960AD"/>
    <w:rsid w:val="00B960F7"/>
    <w:rsid w:val="00B96171"/>
    <w:rsid w:val="00B96315"/>
    <w:rsid w:val="00B97061"/>
    <w:rsid w:val="00B9726A"/>
    <w:rsid w:val="00B97496"/>
    <w:rsid w:val="00B9755B"/>
    <w:rsid w:val="00B97588"/>
    <w:rsid w:val="00B978CD"/>
    <w:rsid w:val="00BA013D"/>
    <w:rsid w:val="00BA023A"/>
    <w:rsid w:val="00BA042D"/>
    <w:rsid w:val="00BA049C"/>
    <w:rsid w:val="00BA0B87"/>
    <w:rsid w:val="00BA0C5F"/>
    <w:rsid w:val="00BA0F1D"/>
    <w:rsid w:val="00BA105C"/>
    <w:rsid w:val="00BA1685"/>
    <w:rsid w:val="00BA1EF0"/>
    <w:rsid w:val="00BA2317"/>
    <w:rsid w:val="00BA24EB"/>
    <w:rsid w:val="00BA258D"/>
    <w:rsid w:val="00BA29C1"/>
    <w:rsid w:val="00BA317B"/>
    <w:rsid w:val="00BA36DF"/>
    <w:rsid w:val="00BA3BF2"/>
    <w:rsid w:val="00BA4020"/>
    <w:rsid w:val="00BA444A"/>
    <w:rsid w:val="00BA4502"/>
    <w:rsid w:val="00BA487D"/>
    <w:rsid w:val="00BA4B36"/>
    <w:rsid w:val="00BA4B7B"/>
    <w:rsid w:val="00BA5FA8"/>
    <w:rsid w:val="00BA64D0"/>
    <w:rsid w:val="00BA6AB5"/>
    <w:rsid w:val="00BA6C53"/>
    <w:rsid w:val="00BA6F6D"/>
    <w:rsid w:val="00BA7074"/>
    <w:rsid w:val="00BA70EC"/>
    <w:rsid w:val="00BA7348"/>
    <w:rsid w:val="00BA74C8"/>
    <w:rsid w:val="00BA785E"/>
    <w:rsid w:val="00BA7BC5"/>
    <w:rsid w:val="00BB0693"/>
    <w:rsid w:val="00BB07F8"/>
    <w:rsid w:val="00BB082D"/>
    <w:rsid w:val="00BB0F08"/>
    <w:rsid w:val="00BB1511"/>
    <w:rsid w:val="00BB1558"/>
    <w:rsid w:val="00BB170A"/>
    <w:rsid w:val="00BB1808"/>
    <w:rsid w:val="00BB1E78"/>
    <w:rsid w:val="00BB1FE5"/>
    <w:rsid w:val="00BB2541"/>
    <w:rsid w:val="00BB2C81"/>
    <w:rsid w:val="00BB2D04"/>
    <w:rsid w:val="00BB2DC6"/>
    <w:rsid w:val="00BB2EE0"/>
    <w:rsid w:val="00BB3270"/>
    <w:rsid w:val="00BB3FC1"/>
    <w:rsid w:val="00BB4239"/>
    <w:rsid w:val="00BB43D6"/>
    <w:rsid w:val="00BB47FD"/>
    <w:rsid w:val="00BB5857"/>
    <w:rsid w:val="00BB60A8"/>
    <w:rsid w:val="00BB612F"/>
    <w:rsid w:val="00BB616C"/>
    <w:rsid w:val="00BB63C4"/>
    <w:rsid w:val="00BB779F"/>
    <w:rsid w:val="00BB7AB5"/>
    <w:rsid w:val="00BB7C81"/>
    <w:rsid w:val="00BC013E"/>
    <w:rsid w:val="00BC0B3A"/>
    <w:rsid w:val="00BC0D52"/>
    <w:rsid w:val="00BC0F18"/>
    <w:rsid w:val="00BC1139"/>
    <w:rsid w:val="00BC192E"/>
    <w:rsid w:val="00BC1B7B"/>
    <w:rsid w:val="00BC1D29"/>
    <w:rsid w:val="00BC1FA3"/>
    <w:rsid w:val="00BC2420"/>
    <w:rsid w:val="00BC2A1D"/>
    <w:rsid w:val="00BC2A71"/>
    <w:rsid w:val="00BC35E0"/>
    <w:rsid w:val="00BC3C2F"/>
    <w:rsid w:val="00BC3D97"/>
    <w:rsid w:val="00BC41B6"/>
    <w:rsid w:val="00BC506A"/>
    <w:rsid w:val="00BC5155"/>
    <w:rsid w:val="00BC5156"/>
    <w:rsid w:val="00BC5C13"/>
    <w:rsid w:val="00BC5EF9"/>
    <w:rsid w:val="00BC6178"/>
    <w:rsid w:val="00BC62C2"/>
    <w:rsid w:val="00BC654E"/>
    <w:rsid w:val="00BC69DB"/>
    <w:rsid w:val="00BC70DD"/>
    <w:rsid w:val="00BC733D"/>
    <w:rsid w:val="00BC7761"/>
    <w:rsid w:val="00BC7955"/>
    <w:rsid w:val="00BC7ACE"/>
    <w:rsid w:val="00BD0680"/>
    <w:rsid w:val="00BD148C"/>
    <w:rsid w:val="00BD2B3F"/>
    <w:rsid w:val="00BD37BC"/>
    <w:rsid w:val="00BD3828"/>
    <w:rsid w:val="00BD39BC"/>
    <w:rsid w:val="00BD3A0A"/>
    <w:rsid w:val="00BD455B"/>
    <w:rsid w:val="00BD4A0A"/>
    <w:rsid w:val="00BD50D0"/>
    <w:rsid w:val="00BD6193"/>
    <w:rsid w:val="00BD63A3"/>
    <w:rsid w:val="00BD656F"/>
    <w:rsid w:val="00BD6868"/>
    <w:rsid w:val="00BD6CAE"/>
    <w:rsid w:val="00BD76A5"/>
    <w:rsid w:val="00BD7A3B"/>
    <w:rsid w:val="00BE0417"/>
    <w:rsid w:val="00BE1A68"/>
    <w:rsid w:val="00BE1CE9"/>
    <w:rsid w:val="00BE2174"/>
    <w:rsid w:val="00BE27E1"/>
    <w:rsid w:val="00BE2802"/>
    <w:rsid w:val="00BE287D"/>
    <w:rsid w:val="00BE2B43"/>
    <w:rsid w:val="00BE2E1E"/>
    <w:rsid w:val="00BE2F9F"/>
    <w:rsid w:val="00BE30B5"/>
    <w:rsid w:val="00BE3432"/>
    <w:rsid w:val="00BE3FA2"/>
    <w:rsid w:val="00BE47F1"/>
    <w:rsid w:val="00BE51F1"/>
    <w:rsid w:val="00BE52FE"/>
    <w:rsid w:val="00BE5CB6"/>
    <w:rsid w:val="00BE5DBA"/>
    <w:rsid w:val="00BE6338"/>
    <w:rsid w:val="00BE6BCD"/>
    <w:rsid w:val="00BE6C1D"/>
    <w:rsid w:val="00BE6C55"/>
    <w:rsid w:val="00BE711C"/>
    <w:rsid w:val="00BE725A"/>
    <w:rsid w:val="00BE7AD0"/>
    <w:rsid w:val="00BE7B42"/>
    <w:rsid w:val="00BF013A"/>
    <w:rsid w:val="00BF04B1"/>
    <w:rsid w:val="00BF074D"/>
    <w:rsid w:val="00BF126D"/>
    <w:rsid w:val="00BF1365"/>
    <w:rsid w:val="00BF14B0"/>
    <w:rsid w:val="00BF1A84"/>
    <w:rsid w:val="00BF1EEA"/>
    <w:rsid w:val="00BF22C2"/>
    <w:rsid w:val="00BF23E4"/>
    <w:rsid w:val="00BF240F"/>
    <w:rsid w:val="00BF2AD3"/>
    <w:rsid w:val="00BF30D6"/>
    <w:rsid w:val="00BF3403"/>
    <w:rsid w:val="00BF39B2"/>
    <w:rsid w:val="00BF3BA8"/>
    <w:rsid w:val="00BF3DCE"/>
    <w:rsid w:val="00BF430B"/>
    <w:rsid w:val="00BF446A"/>
    <w:rsid w:val="00BF44D1"/>
    <w:rsid w:val="00BF46C5"/>
    <w:rsid w:val="00BF4AC7"/>
    <w:rsid w:val="00BF4B22"/>
    <w:rsid w:val="00BF4BAD"/>
    <w:rsid w:val="00BF4E62"/>
    <w:rsid w:val="00BF5360"/>
    <w:rsid w:val="00BF6108"/>
    <w:rsid w:val="00BF6F89"/>
    <w:rsid w:val="00BF7301"/>
    <w:rsid w:val="00BF730C"/>
    <w:rsid w:val="00BF7607"/>
    <w:rsid w:val="00BF769D"/>
    <w:rsid w:val="00BF7929"/>
    <w:rsid w:val="00BF7B94"/>
    <w:rsid w:val="00C000E0"/>
    <w:rsid w:val="00C005CD"/>
    <w:rsid w:val="00C00751"/>
    <w:rsid w:val="00C009FE"/>
    <w:rsid w:val="00C00C09"/>
    <w:rsid w:val="00C00EFE"/>
    <w:rsid w:val="00C01147"/>
    <w:rsid w:val="00C02344"/>
    <w:rsid w:val="00C0298A"/>
    <w:rsid w:val="00C036A6"/>
    <w:rsid w:val="00C039FC"/>
    <w:rsid w:val="00C03A68"/>
    <w:rsid w:val="00C03D86"/>
    <w:rsid w:val="00C03EF2"/>
    <w:rsid w:val="00C040AB"/>
    <w:rsid w:val="00C04477"/>
    <w:rsid w:val="00C05EEE"/>
    <w:rsid w:val="00C0668B"/>
    <w:rsid w:val="00C068D3"/>
    <w:rsid w:val="00C06D60"/>
    <w:rsid w:val="00C06E0E"/>
    <w:rsid w:val="00C06F32"/>
    <w:rsid w:val="00C07053"/>
    <w:rsid w:val="00C0765B"/>
    <w:rsid w:val="00C07814"/>
    <w:rsid w:val="00C07895"/>
    <w:rsid w:val="00C07DE4"/>
    <w:rsid w:val="00C10B92"/>
    <w:rsid w:val="00C1139D"/>
    <w:rsid w:val="00C1142F"/>
    <w:rsid w:val="00C11A28"/>
    <w:rsid w:val="00C11BCE"/>
    <w:rsid w:val="00C1271E"/>
    <w:rsid w:val="00C12949"/>
    <w:rsid w:val="00C12E26"/>
    <w:rsid w:val="00C135BF"/>
    <w:rsid w:val="00C13FEC"/>
    <w:rsid w:val="00C1407E"/>
    <w:rsid w:val="00C14846"/>
    <w:rsid w:val="00C14D99"/>
    <w:rsid w:val="00C14E49"/>
    <w:rsid w:val="00C14FAB"/>
    <w:rsid w:val="00C15071"/>
    <w:rsid w:val="00C15E5B"/>
    <w:rsid w:val="00C163CA"/>
    <w:rsid w:val="00C16C46"/>
    <w:rsid w:val="00C16DAB"/>
    <w:rsid w:val="00C17437"/>
    <w:rsid w:val="00C20050"/>
    <w:rsid w:val="00C20111"/>
    <w:rsid w:val="00C2044E"/>
    <w:rsid w:val="00C21EFA"/>
    <w:rsid w:val="00C223F1"/>
    <w:rsid w:val="00C223FA"/>
    <w:rsid w:val="00C22828"/>
    <w:rsid w:val="00C22D71"/>
    <w:rsid w:val="00C22E6C"/>
    <w:rsid w:val="00C2313D"/>
    <w:rsid w:val="00C23156"/>
    <w:rsid w:val="00C234D6"/>
    <w:rsid w:val="00C23694"/>
    <w:rsid w:val="00C236C3"/>
    <w:rsid w:val="00C2403F"/>
    <w:rsid w:val="00C24A3F"/>
    <w:rsid w:val="00C24B76"/>
    <w:rsid w:val="00C24CA3"/>
    <w:rsid w:val="00C24EFF"/>
    <w:rsid w:val="00C24F49"/>
    <w:rsid w:val="00C260EC"/>
    <w:rsid w:val="00C26595"/>
    <w:rsid w:val="00C268C8"/>
    <w:rsid w:val="00C269BA"/>
    <w:rsid w:val="00C26D2F"/>
    <w:rsid w:val="00C26D47"/>
    <w:rsid w:val="00C26E88"/>
    <w:rsid w:val="00C27940"/>
    <w:rsid w:val="00C27D2C"/>
    <w:rsid w:val="00C27E85"/>
    <w:rsid w:val="00C305DE"/>
    <w:rsid w:val="00C306CD"/>
    <w:rsid w:val="00C3088F"/>
    <w:rsid w:val="00C309E6"/>
    <w:rsid w:val="00C30A7C"/>
    <w:rsid w:val="00C30AC9"/>
    <w:rsid w:val="00C30B1B"/>
    <w:rsid w:val="00C30E3D"/>
    <w:rsid w:val="00C30E88"/>
    <w:rsid w:val="00C316FD"/>
    <w:rsid w:val="00C31C1A"/>
    <w:rsid w:val="00C321F4"/>
    <w:rsid w:val="00C32A8E"/>
    <w:rsid w:val="00C32CC2"/>
    <w:rsid w:val="00C32FF4"/>
    <w:rsid w:val="00C33564"/>
    <w:rsid w:val="00C33C46"/>
    <w:rsid w:val="00C33E1F"/>
    <w:rsid w:val="00C33F31"/>
    <w:rsid w:val="00C344DE"/>
    <w:rsid w:val="00C3469C"/>
    <w:rsid w:val="00C34945"/>
    <w:rsid w:val="00C35C7B"/>
    <w:rsid w:val="00C35D23"/>
    <w:rsid w:val="00C35D52"/>
    <w:rsid w:val="00C35DC0"/>
    <w:rsid w:val="00C36012"/>
    <w:rsid w:val="00C3645A"/>
    <w:rsid w:val="00C3689A"/>
    <w:rsid w:val="00C3753E"/>
    <w:rsid w:val="00C3756D"/>
    <w:rsid w:val="00C379A8"/>
    <w:rsid w:val="00C37B3C"/>
    <w:rsid w:val="00C37D29"/>
    <w:rsid w:val="00C400FC"/>
    <w:rsid w:val="00C401C5"/>
    <w:rsid w:val="00C40722"/>
    <w:rsid w:val="00C41B4E"/>
    <w:rsid w:val="00C41C2B"/>
    <w:rsid w:val="00C42688"/>
    <w:rsid w:val="00C437A5"/>
    <w:rsid w:val="00C43F19"/>
    <w:rsid w:val="00C4419F"/>
    <w:rsid w:val="00C44A5B"/>
    <w:rsid w:val="00C44E72"/>
    <w:rsid w:val="00C44ECA"/>
    <w:rsid w:val="00C450BC"/>
    <w:rsid w:val="00C4571D"/>
    <w:rsid w:val="00C461C5"/>
    <w:rsid w:val="00C46916"/>
    <w:rsid w:val="00C469DA"/>
    <w:rsid w:val="00C46BF4"/>
    <w:rsid w:val="00C46F0C"/>
    <w:rsid w:val="00C4786E"/>
    <w:rsid w:val="00C47C47"/>
    <w:rsid w:val="00C47FE4"/>
    <w:rsid w:val="00C5001B"/>
    <w:rsid w:val="00C500D9"/>
    <w:rsid w:val="00C50206"/>
    <w:rsid w:val="00C513E7"/>
    <w:rsid w:val="00C521EB"/>
    <w:rsid w:val="00C52E2D"/>
    <w:rsid w:val="00C5380F"/>
    <w:rsid w:val="00C53D52"/>
    <w:rsid w:val="00C54236"/>
    <w:rsid w:val="00C54558"/>
    <w:rsid w:val="00C54D1C"/>
    <w:rsid w:val="00C5523A"/>
    <w:rsid w:val="00C55285"/>
    <w:rsid w:val="00C556E8"/>
    <w:rsid w:val="00C5582D"/>
    <w:rsid w:val="00C56514"/>
    <w:rsid w:val="00C5654A"/>
    <w:rsid w:val="00C56D8C"/>
    <w:rsid w:val="00C57148"/>
    <w:rsid w:val="00C572C4"/>
    <w:rsid w:val="00C57CEE"/>
    <w:rsid w:val="00C57F07"/>
    <w:rsid w:val="00C5B189"/>
    <w:rsid w:val="00C604B2"/>
    <w:rsid w:val="00C60685"/>
    <w:rsid w:val="00C6090A"/>
    <w:rsid w:val="00C60DDD"/>
    <w:rsid w:val="00C61123"/>
    <w:rsid w:val="00C613B0"/>
    <w:rsid w:val="00C6213D"/>
    <w:rsid w:val="00C626D7"/>
    <w:rsid w:val="00C6297D"/>
    <w:rsid w:val="00C629E7"/>
    <w:rsid w:val="00C62C90"/>
    <w:rsid w:val="00C63401"/>
    <w:rsid w:val="00C637C3"/>
    <w:rsid w:val="00C6383F"/>
    <w:rsid w:val="00C63A6E"/>
    <w:rsid w:val="00C63E9D"/>
    <w:rsid w:val="00C63EFD"/>
    <w:rsid w:val="00C6414C"/>
    <w:rsid w:val="00C641A4"/>
    <w:rsid w:val="00C647A6"/>
    <w:rsid w:val="00C6502B"/>
    <w:rsid w:val="00C6512A"/>
    <w:rsid w:val="00C65D82"/>
    <w:rsid w:val="00C667D3"/>
    <w:rsid w:val="00C66FEA"/>
    <w:rsid w:val="00C6725F"/>
    <w:rsid w:val="00C674BC"/>
    <w:rsid w:val="00C6769A"/>
    <w:rsid w:val="00C6772D"/>
    <w:rsid w:val="00C67832"/>
    <w:rsid w:val="00C703B3"/>
    <w:rsid w:val="00C70782"/>
    <w:rsid w:val="00C709B4"/>
    <w:rsid w:val="00C7117C"/>
    <w:rsid w:val="00C715FE"/>
    <w:rsid w:val="00C7164B"/>
    <w:rsid w:val="00C71DA1"/>
    <w:rsid w:val="00C72289"/>
    <w:rsid w:val="00C72321"/>
    <w:rsid w:val="00C72557"/>
    <w:rsid w:val="00C72B4C"/>
    <w:rsid w:val="00C737AA"/>
    <w:rsid w:val="00C73977"/>
    <w:rsid w:val="00C73A97"/>
    <w:rsid w:val="00C73A98"/>
    <w:rsid w:val="00C73AFB"/>
    <w:rsid w:val="00C73B52"/>
    <w:rsid w:val="00C73C20"/>
    <w:rsid w:val="00C7422E"/>
    <w:rsid w:val="00C7446E"/>
    <w:rsid w:val="00C747B0"/>
    <w:rsid w:val="00C74C2B"/>
    <w:rsid w:val="00C74F9B"/>
    <w:rsid w:val="00C754DC"/>
    <w:rsid w:val="00C76099"/>
    <w:rsid w:val="00C760E8"/>
    <w:rsid w:val="00C773F1"/>
    <w:rsid w:val="00C77CC0"/>
    <w:rsid w:val="00C77D90"/>
    <w:rsid w:val="00C80092"/>
    <w:rsid w:val="00C80562"/>
    <w:rsid w:val="00C80730"/>
    <w:rsid w:val="00C80D0C"/>
    <w:rsid w:val="00C811CF"/>
    <w:rsid w:val="00C81224"/>
    <w:rsid w:val="00C81410"/>
    <w:rsid w:val="00C814CE"/>
    <w:rsid w:val="00C8194E"/>
    <w:rsid w:val="00C81DF0"/>
    <w:rsid w:val="00C81FAA"/>
    <w:rsid w:val="00C81FC7"/>
    <w:rsid w:val="00C82558"/>
    <w:rsid w:val="00C82A09"/>
    <w:rsid w:val="00C82FA2"/>
    <w:rsid w:val="00C8318A"/>
    <w:rsid w:val="00C83262"/>
    <w:rsid w:val="00C839CD"/>
    <w:rsid w:val="00C83B73"/>
    <w:rsid w:val="00C8403E"/>
    <w:rsid w:val="00C84102"/>
    <w:rsid w:val="00C84688"/>
    <w:rsid w:val="00C84A77"/>
    <w:rsid w:val="00C84E1E"/>
    <w:rsid w:val="00C84EE6"/>
    <w:rsid w:val="00C8513F"/>
    <w:rsid w:val="00C85AAB"/>
    <w:rsid w:val="00C85BBE"/>
    <w:rsid w:val="00C85DD9"/>
    <w:rsid w:val="00C86B3D"/>
    <w:rsid w:val="00C86DE5"/>
    <w:rsid w:val="00C86E1A"/>
    <w:rsid w:val="00C871B5"/>
    <w:rsid w:val="00C87287"/>
    <w:rsid w:val="00C872C3"/>
    <w:rsid w:val="00C87713"/>
    <w:rsid w:val="00C87725"/>
    <w:rsid w:val="00C87952"/>
    <w:rsid w:val="00C87F61"/>
    <w:rsid w:val="00C905E3"/>
    <w:rsid w:val="00C907BA"/>
    <w:rsid w:val="00C9152B"/>
    <w:rsid w:val="00C91771"/>
    <w:rsid w:val="00C91E23"/>
    <w:rsid w:val="00C920D3"/>
    <w:rsid w:val="00C9247A"/>
    <w:rsid w:val="00C92C84"/>
    <w:rsid w:val="00C93E77"/>
    <w:rsid w:val="00C93F34"/>
    <w:rsid w:val="00C93FD6"/>
    <w:rsid w:val="00C94051"/>
    <w:rsid w:val="00C940F4"/>
    <w:rsid w:val="00C942F4"/>
    <w:rsid w:val="00C94707"/>
    <w:rsid w:val="00C94C4A"/>
    <w:rsid w:val="00C94CC8"/>
    <w:rsid w:val="00C94D68"/>
    <w:rsid w:val="00C94D84"/>
    <w:rsid w:val="00C94DBC"/>
    <w:rsid w:val="00C94FF2"/>
    <w:rsid w:val="00C9546B"/>
    <w:rsid w:val="00C955C9"/>
    <w:rsid w:val="00C957DB"/>
    <w:rsid w:val="00C95913"/>
    <w:rsid w:val="00C96028"/>
    <w:rsid w:val="00C96CC4"/>
    <w:rsid w:val="00C97395"/>
    <w:rsid w:val="00C977A9"/>
    <w:rsid w:val="00C97CE6"/>
    <w:rsid w:val="00C97CFA"/>
    <w:rsid w:val="00CA05C2"/>
    <w:rsid w:val="00CA0CEE"/>
    <w:rsid w:val="00CA16E5"/>
    <w:rsid w:val="00CA18FF"/>
    <w:rsid w:val="00CA2DC0"/>
    <w:rsid w:val="00CA32CA"/>
    <w:rsid w:val="00CA37ED"/>
    <w:rsid w:val="00CA3D70"/>
    <w:rsid w:val="00CA3E1D"/>
    <w:rsid w:val="00CA3FF1"/>
    <w:rsid w:val="00CA401D"/>
    <w:rsid w:val="00CA4412"/>
    <w:rsid w:val="00CA5AC0"/>
    <w:rsid w:val="00CA5EC8"/>
    <w:rsid w:val="00CA5FA9"/>
    <w:rsid w:val="00CA6BB8"/>
    <w:rsid w:val="00CA6D20"/>
    <w:rsid w:val="00CA73D3"/>
    <w:rsid w:val="00CA75CE"/>
    <w:rsid w:val="00CA7632"/>
    <w:rsid w:val="00CA7832"/>
    <w:rsid w:val="00CA78BF"/>
    <w:rsid w:val="00CA7D69"/>
    <w:rsid w:val="00CA7ED4"/>
    <w:rsid w:val="00CB007E"/>
    <w:rsid w:val="00CB0214"/>
    <w:rsid w:val="00CB0224"/>
    <w:rsid w:val="00CB03BD"/>
    <w:rsid w:val="00CB0642"/>
    <w:rsid w:val="00CB0BDC"/>
    <w:rsid w:val="00CB1052"/>
    <w:rsid w:val="00CB1766"/>
    <w:rsid w:val="00CB1B56"/>
    <w:rsid w:val="00CB2255"/>
    <w:rsid w:val="00CB2327"/>
    <w:rsid w:val="00CB236F"/>
    <w:rsid w:val="00CB26E4"/>
    <w:rsid w:val="00CB2D58"/>
    <w:rsid w:val="00CB2D7B"/>
    <w:rsid w:val="00CB3750"/>
    <w:rsid w:val="00CB3836"/>
    <w:rsid w:val="00CB3AA5"/>
    <w:rsid w:val="00CB3C55"/>
    <w:rsid w:val="00CB3C63"/>
    <w:rsid w:val="00CB47F5"/>
    <w:rsid w:val="00CB4FCD"/>
    <w:rsid w:val="00CB5A2F"/>
    <w:rsid w:val="00CB5C8E"/>
    <w:rsid w:val="00CB5FC5"/>
    <w:rsid w:val="00CB6436"/>
    <w:rsid w:val="00CB65DE"/>
    <w:rsid w:val="00CB6A07"/>
    <w:rsid w:val="00CB6C55"/>
    <w:rsid w:val="00CB7347"/>
    <w:rsid w:val="00CB737C"/>
    <w:rsid w:val="00CB7A8A"/>
    <w:rsid w:val="00CC00CB"/>
    <w:rsid w:val="00CC0513"/>
    <w:rsid w:val="00CC0674"/>
    <w:rsid w:val="00CC06D0"/>
    <w:rsid w:val="00CC0B85"/>
    <w:rsid w:val="00CC0E66"/>
    <w:rsid w:val="00CC0F26"/>
    <w:rsid w:val="00CC11C9"/>
    <w:rsid w:val="00CC1264"/>
    <w:rsid w:val="00CC1800"/>
    <w:rsid w:val="00CC18BC"/>
    <w:rsid w:val="00CC1D60"/>
    <w:rsid w:val="00CC1E36"/>
    <w:rsid w:val="00CC2055"/>
    <w:rsid w:val="00CC36E4"/>
    <w:rsid w:val="00CC3BC4"/>
    <w:rsid w:val="00CC3F15"/>
    <w:rsid w:val="00CC4589"/>
    <w:rsid w:val="00CC4598"/>
    <w:rsid w:val="00CC4789"/>
    <w:rsid w:val="00CC47FF"/>
    <w:rsid w:val="00CC4E5E"/>
    <w:rsid w:val="00CC565E"/>
    <w:rsid w:val="00CC59F6"/>
    <w:rsid w:val="00CC62E4"/>
    <w:rsid w:val="00CC6577"/>
    <w:rsid w:val="00CC6766"/>
    <w:rsid w:val="00CC6DBA"/>
    <w:rsid w:val="00CC7AD9"/>
    <w:rsid w:val="00CC7DC2"/>
    <w:rsid w:val="00CD01FC"/>
    <w:rsid w:val="00CD0392"/>
    <w:rsid w:val="00CD0FA2"/>
    <w:rsid w:val="00CD13D0"/>
    <w:rsid w:val="00CD173A"/>
    <w:rsid w:val="00CD1B98"/>
    <w:rsid w:val="00CD29F9"/>
    <w:rsid w:val="00CD2DA6"/>
    <w:rsid w:val="00CD2FEC"/>
    <w:rsid w:val="00CD3535"/>
    <w:rsid w:val="00CD35DA"/>
    <w:rsid w:val="00CD365F"/>
    <w:rsid w:val="00CD3C52"/>
    <w:rsid w:val="00CD414D"/>
    <w:rsid w:val="00CD41B9"/>
    <w:rsid w:val="00CD4BC5"/>
    <w:rsid w:val="00CD4F7F"/>
    <w:rsid w:val="00CD507C"/>
    <w:rsid w:val="00CD531D"/>
    <w:rsid w:val="00CD5F7C"/>
    <w:rsid w:val="00CD6282"/>
    <w:rsid w:val="00CD6677"/>
    <w:rsid w:val="00CD6AB9"/>
    <w:rsid w:val="00CD7083"/>
    <w:rsid w:val="00CD75F8"/>
    <w:rsid w:val="00CD7931"/>
    <w:rsid w:val="00CD7C88"/>
    <w:rsid w:val="00CD7FA4"/>
    <w:rsid w:val="00CE00CA"/>
    <w:rsid w:val="00CE01E4"/>
    <w:rsid w:val="00CE020A"/>
    <w:rsid w:val="00CE02B5"/>
    <w:rsid w:val="00CE03EF"/>
    <w:rsid w:val="00CE0D18"/>
    <w:rsid w:val="00CE12DB"/>
    <w:rsid w:val="00CE1738"/>
    <w:rsid w:val="00CE1C95"/>
    <w:rsid w:val="00CE23CF"/>
    <w:rsid w:val="00CE2732"/>
    <w:rsid w:val="00CE2F37"/>
    <w:rsid w:val="00CE392E"/>
    <w:rsid w:val="00CE3A2B"/>
    <w:rsid w:val="00CE3C2B"/>
    <w:rsid w:val="00CE3C70"/>
    <w:rsid w:val="00CE3C90"/>
    <w:rsid w:val="00CE3DFF"/>
    <w:rsid w:val="00CE3FD8"/>
    <w:rsid w:val="00CE3FED"/>
    <w:rsid w:val="00CE40A4"/>
    <w:rsid w:val="00CE4107"/>
    <w:rsid w:val="00CE4824"/>
    <w:rsid w:val="00CE534A"/>
    <w:rsid w:val="00CE5A3A"/>
    <w:rsid w:val="00CE61D6"/>
    <w:rsid w:val="00CE62F3"/>
    <w:rsid w:val="00CE6710"/>
    <w:rsid w:val="00CE6845"/>
    <w:rsid w:val="00CE7256"/>
    <w:rsid w:val="00CE72F3"/>
    <w:rsid w:val="00CE7524"/>
    <w:rsid w:val="00CE76B1"/>
    <w:rsid w:val="00CE783F"/>
    <w:rsid w:val="00CE7A5A"/>
    <w:rsid w:val="00CE7AF9"/>
    <w:rsid w:val="00CF0DC0"/>
    <w:rsid w:val="00CF0DF0"/>
    <w:rsid w:val="00CF0E16"/>
    <w:rsid w:val="00CF1480"/>
    <w:rsid w:val="00CF1581"/>
    <w:rsid w:val="00CF179C"/>
    <w:rsid w:val="00CF1918"/>
    <w:rsid w:val="00CF2E4D"/>
    <w:rsid w:val="00CF3398"/>
    <w:rsid w:val="00CF391E"/>
    <w:rsid w:val="00CF3AA9"/>
    <w:rsid w:val="00CF3D0E"/>
    <w:rsid w:val="00CF4268"/>
    <w:rsid w:val="00CF444C"/>
    <w:rsid w:val="00CF46A0"/>
    <w:rsid w:val="00CF4BE1"/>
    <w:rsid w:val="00CF4BE6"/>
    <w:rsid w:val="00CF5293"/>
    <w:rsid w:val="00CF5EB4"/>
    <w:rsid w:val="00CF61A7"/>
    <w:rsid w:val="00CF6638"/>
    <w:rsid w:val="00CF685D"/>
    <w:rsid w:val="00CF6DAA"/>
    <w:rsid w:val="00CF77C4"/>
    <w:rsid w:val="00CF7809"/>
    <w:rsid w:val="00CF781E"/>
    <w:rsid w:val="00CF78F1"/>
    <w:rsid w:val="00CF7B3F"/>
    <w:rsid w:val="00CF7E51"/>
    <w:rsid w:val="00D013B0"/>
    <w:rsid w:val="00D0145E"/>
    <w:rsid w:val="00D016E0"/>
    <w:rsid w:val="00D017DA"/>
    <w:rsid w:val="00D01D66"/>
    <w:rsid w:val="00D01DF9"/>
    <w:rsid w:val="00D02110"/>
    <w:rsid w:val="00D026E0"/>
    <w:rsid w:val="00D02E27"/>
    <w:rsid w:val="00D03659"/>
    <w:rsid w:val="00D037AD"/>
    <w:rsid w:val="00D037C0"/>
    <w:rsid w:val="00D03A14"/>
    <w:rsid w:val="00D03E7B"/>
    <w:rsid w:val="00D04324"/>
    <w:rsid w:val="00D048E1"/>
    <w:rsid w:val="00D04F90"/>
    <w:rsid w:val="00D05375"/>
    <w:rsid w:val="00D05602"/>
    <w:rsid w:val="00D059AB"/>
    <w:rsid w:val="00D05F96"/>
    <w:rsid w:val="00D06394"/>
    <w:rsid w:val="00D063B1"/>
    <w:rsid w:val="00D06937"/>
    <w:rsid w:val="00D06C15"/>
    <w:rsid w:val="00D074E0"/>
    <w:rsid w:val="00D076D6"/>
    <w:rsid w:val="00D07D97"/>
    <w:rsid w:val="00D10528"/>
    <w:rsid w:val="00D1077C"/>
    <w:rsid w:val="00D10C7E"/>
    <w:rsid w:val="00D10EC1"/>
    <w:rsid w:val="00D10F6B"/>
    <w:rsid w:val="00D11083"/>
    <w:rsid w:val="00D11483"/>
    <w:rsid w:val="00D11694"/>
    <w:rsid w:val="00D117CB"/>
    <w:rsid w:val="00D11825"/>
    <w:rsid w:val="00D11BFF"/>
    <w:rsid w:val="00D11C59"/>
    <w:rsid w:val="00D11E49"/>
    <w:rsid w:val="00D1223E"/>
    <w:rsid w:val="00D12290"/>
    <w:rsid w:val="00D12674"/>
    <w:rsid w:val="00D12CD2"/>
    <w:rsid w:val="00D12E89"/>
    <w:rsid w:val="00D12FFB"/>
    <w:rsid w:val="00D132E8"/>
    <w:rsid w:val="00D13520"/>
    <w:rsid w:val="00D13564"/>
    <w:rsid w:val="00D13CBA"/>
    <w:rsid w:val="00D13DF1"/>
    <w:rsid w:val="00D14154"/>
    <w:rsid w:val="00D1466E"/>
    <w:rsid w:val="00D14C16"/>
    <w:rsid w:val="00D154B2"/>
    <w:rsid w:val="00D1553E"/>
    <w:rsid w:val="00D15FF0"/>
    <w:rsid w:val="00D16254"/>
    <w:rsid w:val="00D16485"/>
    <w:rsid w:val="00D168F8"/>
    <w:rsid w:val="00D16ABE"/>
    <w:rsid w:val="00D17064"/>
    <w:rsid w:val="00D17B0A"/>
    <w:rsid w:val="00D207DC"/>
    <w:rsid w:val="00D208E4"/>
    <w:rsid w:val="00D20BC4"/>
    <w:rsid w:val="00D21241"/>
    <w:rsid w:val="00D2136D"/>
    <w:rsid w:val="00D213D4"/>
    <w:rsid w:val="00D22E5D"/>
    <w:rsid w:val="00D22ECC"/>
    <w:rsid w:val="00D23155"/>
    <w:rsid w:val="00D23372"/>
    <w:rsid w:val="00D2340E"/>
    <w:rsid w:val="00D23CB7"/>
    <w:rsid w:val="00D2447D"/>
    <w:rsid w:val="00D246CB"/>
    <w:rsid w:val="00D248D4"/>
    <w:rsid w:val="00D24DC6"/>
    <w:rsid w:val="00D24F1E"/>
    <w:rsid w:val="00D24F89"/>
    <w:rsid w:val="00D2502E"/>
    <w:rsid w:val="00D25073"/>
    <w:rsid w:val="00D25627"/>
    <w:rsid w:val="00D25EE0"/>
    <w:rsid w:val="00D26072"/>
    <w:rsid w:val="00D26CCD"/>
    <w:rsid w:val="00D26ED2"/>
    <w:rsid w:val="00D27B69"/>
    <w:rsid w:val="00D27B9B"/>
    <w:rsid w:val="00D3021F"/>
    <w:rsid w:val="00D30C8A"/>
    <w:rsid w:val="00D30D44"/>
    <w:rsid w:val="00D31143"/>
    <w:rsid w:val="00D3163B"/>
    <w:rsid w:val="00D3213F"/>
    <w:rsid w:val="00D32950"/>
    <w:rsid w:val="00D32A1B"/>
    <w:rsid w:val="00D331A0"/>
    <w:rsid w:val="00D33256"/>
    <w:rsid w:val="00D33576"/>
    <w:rsid w:val="00D335B2"/>
    <w:rsid w:val="00D342DF"/>
    <w:rsid w:val="00D343DD"/>
    <w:rsid w:val="00D343F6"/>
    <w:rsid w:val="00D34476"/>
    <w:rsid w:val="00D35084"/>
    <w:rsid w:val="00D351FC"/>
    <w:rsid w:val="00D35CA0"/>
    <w:rsid w:val="00D35CE1"/>
    <w:rsid w:val="00D368E7"/>
    <w:rsid w:val="00D370D7"/>
    <w:rsid w:val="00D372A3"/>
    <w:rsid w:val="00D37435"/>
    <w:rsid w:val="00D37888"/>
    <w:rsid w:val="00D37B15"/>
    <w:rsid w:val="00D37BCB"/>
    <w:rsid w:val="00D37C2F"/>
    <w:rsid w:val="00D40708"/>
    <w:rsid w:val="00D4109E"/>
    <w:rsid w:val="00D410DC"/>
    <w:rsid w:val="00D41B52"/>
    <w:rsid w:val="00D41C12"/>
    <w:rsid w:val="00D41C71"/>
    <w:rsid w:val="00D41CEC"/>
    <w:rsid w:val="00D4207C"/>
    <w:rsid w:val="00D428A6"/>
    <w:rsid w:val="00D4321E"/>
    <w:rsid w:val="00D437B9"/>
    <w:rsid w:val="00D43E94"/>
    <w:rsid w:val="00D445EB"/>
    <w:rsid w:val="00D44690"/>
    <w:rsid w:val="00D449EC"/>
    <w:rsid w:val="00D44D0B"/>
    <w:rsid w:val="00D44DE3"/>
    <w:rsid w:val="00D44FAE"/>
    <w:rsid w:val="00D44FD1"/>
    <w:rsid w:val="00D45A62"/>
    <w:rsid w:val="00D45C1A"/>
    <w:rsid w:val="00D45CD0"/>
    <w:rsid w:val="00D460BB"/>
    <w:rsid w:val="00D4709C"/>
    <w:rsid w:val="00D47169"/>
    <w:rsid w:val="00D47BD6"/>
    <w:rsid w:val="00D47E0A"/>
    <w:rsid w:val="00D5002A"/>
    <w:rsid w:val="00D5073F"/>
    <w:rsid w:val="00D50984"/>
    <w:rsid w:val="00D50A83"/>
    <w:rsid w:val="00D50C39"/>
    <w:rsid w:val="00D50E2B"/>
    <w:rsid w:val="00D50F29"/>
    <w:rsid w:val="00D51DF2"/>
    <w:rsid w:val="00D51FF7"/>
    <w:rsid w:val="00D520CD"/>
    <w:rsid w:val="00D52A86"/>
    <w:rsid w:val="00D52C3C"/>
    <w:rsid w:val="00D53714"/>
    <w:rsid w:val="00D53944"/>
    <w:rsid w:val="00D53F10"/>
    <w:rsid w:val="00D54351"/>
    <w:rsid w:val="00D54DE3"/>
    <w:rsid w:val="00D54F6A"/>
    <w:rsid w:val="00D55290"/>
    <w:rsid w:val="00D5544D"/>
    <w:rsid w:val="00D55808"/>
    <w:rsid w:val="00D55BED"/>
    <w:rsid w:val="00D55E6C"/>
    <w:rsid w:val="00D561CE"/>
    <w:rsid w:val="00D564C6"/>
    <w:rsid w:val="00D5683A"/>
    <w:rsid w:val="00D56ACD"/>
    <w:rsid w:val="00D56C0E"/>
    <w:rsid w:val="00D574B0"/>
    <w:rsid w:val="00D57AA8"/>
    <w:rsid w:val="00D60062"/>
    <w:rsid w:val="00D6040C"/>
    <w:rsid w:val="00D60DC7"/>
    <w:rsid w:val="00D611E3"/>
    <w:rsid w:val="00D6155B"/>
    <w:rsid w:val="00D61746"/>
    <w:rsid w:val="00D61AD1"/>
    <w:rsid w:val="00D61B4C"/>
    <w:rsid w:val="00D61D3C"/>
    <w:rsid w:val="00D61F07"/>
    <w:rsid w:val="00D61F95"/>
    <w:rsid w:val="00D6210E"/>
    <w:rsid w:val="00D629CC"/>
    <w:rsid w:val="00D63230"/>
    <w:rsid w:val="00D63679"/>
    <w:rsid w:val="00D63682"/>
    <w:rsid w:val="00D64597"/>
    <w:rsid w:val="00D64874"/>
    <w:rsid w:val="00D64E44"/>
    <w:rsid w:val="00D64F23"/>
    <w:rsid w:val="00D654AC"/>
    <w:rsid w:val="00D65591"/>
    <w:rsid w:val="00D655D1"/>
    <w:rsid w:val="00D65B03"/>
    <w:rsid w:val="00D65F32"/>
    <w:rsid w:val="00D664D5"/>
    <w:rsid w:val="00D66625"/>
    <w:rsid w:val="00D66829"/>
    <w:rsid w:val="00D66ABD"/>
    <w:rsid w:val="00D66F63"/>
    <w:rsid w:val="00D67A58"/>
    <w:rsid w:val="00D67ADC"/>
    <w:rsid w:val="00D67B40"/>
    <w:rsid w:val="00D67D01"/>
    <w:rsid w:val="00D67D06"/>
    <w:rsid w:val="00D67D72"/>
    <w:rsid w:val="00D706D4"/>
    <w:rsid w:val="00D70C27"/>
    <w:rsid w:val="00D70E7B"/>
    <w:rsid w:val="00D71069"/>
    <w:rsid w:val="00D71241"/>
    <w:rsid w:val="00D7206C"/>
    <w:rsid w:val="00D7208F"/>
    <w:rsid w:val="00D72EFD"/>
    <w:rsid w:val="00D7327F"/>
    <w:rsid w:val="00D73308"/>
    <w:rsid w:val="00D73421"/>
    <w:rsid w:val="00D73B65"/>
    <w:rsid w:val="00D73C29"/>
    <w:rsid w:val="00D73CA1"/>
    <w:rsid w:val="00D73D46"/>
    <w:rsid w:val="00D742AD"/>
    <w:rsid w:val="00D74564"/>
    <w:rsid w:val="00D74A18"/>
    <w:rsid w:val="00D74A3F"/>
    <w:rsid w:val="00D74A5D"/>
    <w:rsid w:val="00D74BA8"/>
    <w:rsid w:val="00D759B0"/>
    <w:rsid w:val="00D75D9F"/>
    <w:rsid w:val="00D75E79"/>
    <w:rsid w:val="00D7680B"/>
    <w:rsid w:val="00D769AD"/>
    <w:rsid w:val="00D76FCD"/>
    <w:rsid w:val="00D77005"/>
    <w:rsid w:val="00D770CB"/>
    <w:rsid w:val="00D779A6"/>
    <w:rsid w:val="00D8042C"/>
    <w:rsid w:val="00D805CB"/>
    <w:rsid w:val="00D8163C"/>
    <w:rsid w:val="00D817B1"/>
    <w:rsid w:val="00D81B4C"/>
    <w:rsid w:val="00D8210C"/>
    <w:rsid w:val="00D82C4E"/>
    <w:rsid w:val="00D82D04"/>
    <w:rsid w:val="00D82E51"/>
    <w:rsid w:val="00D834E4"/>
    <w:rsid w:val="00D83818"/>
    <w:rsid w:val="00D83C2D"/>
    <w:rsid w:val="00D83EA2"/>
    <w:rsid w:val="00D83FB0"/>
    <w:rsid w:val="00D84355"/>
    <w:rsid w:val="00D8435D"/>
    <w:rsid w:val="00D8489B"/>
    <w:rsid w:val="00D848E0"/>
    <w:rsid w:val="00D84CD0"/>
    <w:rsid w:val="00D84DA2"/>
    <w:rsid w:val="00D84F0D"/>
    <w:rsid w:val="00D85448"/>
    <w:rsid w:val="00D85552"/>
    <w:rsid w:val="00D858EA"/>
    <w:rsid w:val="00D859DC"/>
    <w:rsid w:val="00D85DAE"/>
    <w:rsid w:val="00D86170"/>
    <w:rsid w:val="00D86726"/>
    <w:rsid w:val="00D86A24"/>
    <w:rsid w:val="00D86DC6"/>
    <w:rsid w:val="00D86E0B"/>
    <w:rsid w:val="00D86E78"/>
    <w:rsid w:val="00D871E8"/>
    <w:rsid w:val="00D87349"/>
    <w:rsid w:val="00D8749D"/>
    <w:rsid w:val="00D8765C"/>
    <w:rsid w:val="00D876C6"/>
    <w:rsid w:val="00D9024C"/>
    <w:rsid w:val="00D9034E"/>
    <w:rsid w:val="00D903F0"/>
    <w:rsid w:val="00D90456"/>
    <w:rsid w:val="00D90578"/>
    <w:rsid w:val="00D90879"/>
    <w:rsid w:val="00D909DA"/>
    <w:rsid w:val="00D90C94"/>
    <w:rsid w:val="00D91BED"/>
    <w:rsid w:val="00D9247C"/>
    <w:rsid w:val="00D9267F"/>
    <w:rsid w:val="00D92B61"/>
    <w:rsid w:val="00D92BAC"/>
    <w:rsid w:val="00D92D79"/>
    <w:rsid w:val="00D935E5"/>
    <w:rsid w:val="00D937E1"/>
    <w:rsid w:val="00D93B90"/>
    <w:rsid w:val="00D93C2C"/>
    <w:rsid w:val="00D93C75"/>
    <w:rsid w:val="00D93EA7"/>
    <w:rsid w:val="00D94759"/>
    <w:rsid w:val="00D96C97"/>
    <w:rsid w:val="00D97841"/>
    <w:rsid w:val="00D97A35"/>
    <w:rsid w:val="00D97F38"/>
    <w:rsid w:val="00DA0322"/>
    <w:rsid w:val="00DA087B"/>
    <w:rsid w:val="00DA0BDA"/>
    <w:rsid w:val="00DA0C87"/>
    <w:rsid w:val="00DA1AD1"/>
    <w:rsid w:val="00DA1C90"/>
    <w:rsid w:val="00DA2196"/>
    <w:rsid w:val="00DA2290"/>
    <w:rsid w:val="00DA2B47"/>
    <w:rsid w:val="00DA2C05"/>
    <w:rsid w:val="00DA3186"/>
    <w:rsid w:val="00DA3635"/>
    <w:rsid w:val="00DA4532"/>
    <w:rsid w:val="00DA4835"/>
    <w:rsid w:val="00DA4A88"/>
    <w:rsid w:val="00DA4F32"/>
    <w:rsid w:val="00DA519F"/>
    <w:rsid w:val="00DA66FF"/>
    <w:rsid w:val="00DA6740"/>
    <w:rsid w:val="00DA6BA9"/>
    <w:rsid w:val="00DA6E0F"/>
    <w:rsid w:val="00DA6E66"/>
    <w:rsid w:val="00DA7012"/>
    <w:rsid w:val="00DA778A"/>
    <w:rsid w:val="00DA7A64"/>
    <w:rsid w:val="00DA7D27"/>
    <w:rsid w:val="00DB038D"/>
    <w:rsid w:val="00DB05FA"/>
    <w:rsid w:val="00DB080B"/>
    <w:rsid w:val="00DB09BC"/>
    <w:rsid w:val="00DB0CF6"/>
    <w:rsid w:val="00DB0E2B"/>
    <w:rsid w:val="00DB1230"/>
    <w:rsid w:val="00DB1D83"/>
    <w:rsid w:val="00DB2171"/>
    <w:rsid w:val="00DB23F9"/>
    <w:rsid w:val="00DB27FE"/>
    <w:rsid w:val="00DB3043"/>
    <w:rsid w:val="00DB3584"/>
    <w:rsid w:val="00DB39DA"/>
    <w:rsid w:val="00DB3AA2"/>
    <w:rsid w:val="00DB3BBE"/>
    <w:rsid w:val="00DB3E04"/>
    <w:rsid w:val="00DB4317"/>
    <w:rsid w:val="00DB45F7"/>
    <w:rsid w:val="00DB4B6E"/>
    <w:rsid w:val="00DB4C3D"/>
    <w:rsid w:val="00DB4DBB"/>
    <w:rsid w:val="00DB4F41"/>
    <w:rsid w:val="00DB4F9E"/>
    <w:rsid w:val="00DB501A"/>
    <w:rsid w:val="00DB5041"/>
    <w:rsid w:val="00DB5171"/>
    <w:rsid w:val="00DB54BF"/>
    <w:rsid w:val="00DB579E"/>
    <w:rsid w:val="00DB5ECA"/>
    <w:rsid w:val="00DB6357"/>
    <w:rsid w:val="00DB63CD"/>
    <w:rsid w:val="00DB64A1"/>
    <w:rsid w:val="00DB6722"/>
    <w:rsid w:val="00DB6DEF"/>
    <w:rsid w:val="00DB743B"/>
    <w:rsid w:val="00DB745E"/>
    <w:rsid w:val="00DB783F"/>
    <w:rsid w:val="00DB791C"/>
    <w:rsid w:val="00DB79FB"/>
    <w:rsid w:val="00DB7D0E"/>
    <w:rsid w:val="00DB7D47"/>
    <w:rsid w:val="00DB7D98"/>
    <w:rsid w:val="00DC05CD"/>
    <w:rsid w:val="00DC0795"/>
    <w:rsid w:val="00DC0FA0"/>
    <w:rsid w:val="00DC1262"/>
    <w:rsid w:val="00DC170F"/>
    <w:rsid w:val="00DC31F1"/>
    <w:rsid w:val="00DC339F"/>
    <w:rsid w:val="00DC35E2"/>
    <w:rsid w:val="00DC3777"/>
    <w:rsid w:val="00DC3801"/>
    <w:rsid w:val="00DC3C25"/>
    <w:rsid w:val="00DC41F2"/>
    <w:rsid w:val="00DC467C"/>
    <w:rsid w:val="00DC4796"/>
    <w:rsid w:val="00DC4B96"/>
    <w:rsid w:val="00DC56DB"/>
    <w:rsid w:val="00DC5754"/>
    <w:rsid w:val="00DC58EC"/>
    <w:rsid w:val="00DC590B"/>
    <w:rsid w:val="00DC5CC7"/>
    <w:rsid w:val="00DC5E5A"/>
    <w:rsid w:val="00DC5E63"/>
    <w:rsid w:val="00DC5F03"/>
    <w:rsid w:val="00DC6007"/>
    <w:rsid w:val="00DC604D"/>
    <w:rsid w:val="00DC6248"/>
    <w:rsid w:val="00DC6273"/>
    <w:rsid w:val="00DC6387"/>
    <w:rsid w:val="00DC6C53"/>
    <w:rsid w:val="00DC6ED3"/>
    <w:rsid w:val="00DC7231"/>
    <w:rsid w:val="00DC75C4"/>
    <w:rsid w:val="00DC79FA"/>
    <w:rsid w:val="00DD0190"/>
    <w:rsid w:val="00DD0868"/>
    <w:rsid w:val="00DD0C64"/>
    <w:rsid w:val="00DD0CE5"/>
    <w:rsid w:val="00DD0F31"/>
    <w:rsid w:val="00DD121C"/>
    <w:rsid w:val="00DD14AB"/>
    <w:rsid w:val="00DD16F4"/>
    <w:rsid w:val="00DD1830"/>
    <w:rsid w:val="00DD1F0D"/>
    <w:rsid w:val="00DD1F8D"/>
    <w:rsid w:val="00DD29B1"/>
    <w:rsid w:val="00DD2D5D"/>
    <w:rsid w:val="00DD3088"/>
    <w:rsid w:val="00DD322B"/>
    <w:rsid w:val="00DD354A"/>
    <w:rsid w:val="00DD401F"/>
    <w:rsid w:val="00DD4198"/>
    <w:rsid w:val="00DD4734"/>
    <w:rsid w:val="00DD48D9"/>
    <w:rsid w:val="00DD48DE"/>
    <w:rsid w:val="00DD57BF"/>
    <w:rsid w:val="00DD5A90"/>
    <w:rsid w:val="00DD5D1F"/>
    <w:rsid w:val="00DD609D"/>
    <w:rsid w:val="00DD62CF"/>
    <w:rsid w:val="00DD6526"/>
    <w:rsid w:val="00DD65DE"/>
    <w:rsid w:val="00DD689E"/>
    <w:rsid w:val="00DD6D1C"/>
    <w:rsid w:val="00DD7097"/>
    <w:rsid w:val="00DD7203"/>
    <w:rsid w:val="00DD74B1"/>
    <w:rsid w:val="00DD7D4D"/>
    <w:rsid w:val="00DE00BA"/>
    <w:rsid w:val="00DE03CE"/>
    <w:rsid w:val="00DE03FC"/>
    <w:rsid w:val="00DE0570"/>
    <w:rsid w:val="00DE0D91"/>
    <w:rsid w:val="00DE0F9E"/>
    <w:rsid w:val="00DE1099"/>
    <w:rsid w:val="00DE2024"/>
    <w:rsid w:val="00DE20DD"/>
    <w:rsid w:val="00DE25C5"/>
    <w:rsid w:val="00DE281C"/>
    <w:rsid w:val="00DE3458"/>
    <w:rsid w:val="00DE37AA"/>
    <w:rsid w:val="00DE3DC5"/>
    <w:rsid w:val="00DE48FF"/>
    <w:rsid w:val="00DE49EC"/>
    <w:rsid w:val="00DE5184"/>
    <w:rsid w:val="00DE54C0"/>
    <w:rsid w:val="00DE559E"/>
    <w:rsid w:val="00DE58C4"/>
    <w:rsid w:val="00DE5C34"/>
    <w:rsid w:val="00DE5DDD"/>
    <w:rsid w:val="00DE6000"/>
    <w:rsid w:val="00DE67BA"/>
    <w:rsid w:val="00DE67D6"/>
    <w:rsid w:val="00DE6BAB"/>
    <w:rsid w:val="00DE719E"/>
    <w:rsid w:val="00DE71A2"/>
    <w:rsid w:val="00DE76A4"/>
    <w:rsid w:val="00DE7798"/>
    <w:rsid w:val="00DE79E2"/>
    <w:rsid w:val="00DE7D7D"/>
    <w:rsid w:val="00DE7E88"/>
    <w:rsid w:val="00DF021C"/>
    <w:rsid w:val="00DF022A"/>
    <w:rsid w:val="00DF0B05"/>
    <w:rsid w:val="00DF0EC6"/>
    <w:rsid w:val="00DF13BF"/>
    <w:rsid w:val="00DF1552"/>
    <w:rsid w:val="00DF1689"/>
    <w:rsid w:val="00DF1DD9"/>
    <w:rsid w:val="00DF20C3"/>
    <w:rsid w:val="00DF2118"/>
    <w:rsid w:val="00DF3267"/>
    <w:rsid w:val="00DF3B0C"/>
    <w:rsid w:val="00DF4402"/>
    <w:rsid w:val="00DF44FE"/>
    <w:rsid w:val="00DF4884"/>
    <w:rsid w:val="00DF4D7C"/>
    <w:rsid w:val="00DF5283"/>
    <w:rsid w:val="00DF5627"/>
    <w:rsid w:val="00DF56EE"/>
    <w:rsid w:val="00DF592F"/>
    <w:rsid w:val="00DF59E6"/>
    <w:rsid w:val="00DF5CED"/>
    <w:rsid w:val="00DF5DEB"/>
    <w:rsid w:val="00DF6333"/>
    <w:rsid w:val="00DF650B"/>
    <w:rsid w:val="00DF677F"/>
    <w:rsid w:val="00DF69AE"/>
    <w:rsid w:val="00DF6A86"/>
    <w:rsid w:val="00DF6EAE"/>
    <w:rsid w:val="00DF740A"/>
    <w:rsid w:val="00DF75C4"/>
    <w:rsid w:val="00DF7E61"/>
    <w:rsid w:val="00E0002D"/>
    <w:rsid w:val="00E001ED"/>
    <w:rsid w:val="00E00985"/>
    <w:rsid w:val="00E009B0"/>
    <w:rsid w:val="00E00CC5"/>
    <w:rsid w:val="00E01497"/>
    <w:rsid w:val="00E01758"/>
    <w:rsid w:val="00E01A1B"/>
    <w:rsid w:val="00E01A36"/>
    <w:rsid w:val="00E01BE8"/>
    <w:rsid w:val="00E01C12"/>
    <w:rsid w:val="00E01EE6"/>
    <w:rsid w:val="00E01EE8"/>
    <w:rsid w:val="00E025F1"/>
    <w:rsid w:val="00E02614"/>
    <w:rsid w:val="00E02782"/>
    <w:rsid w:val="00E03741"/>
    <w:rsid w:val="00E03D4D"/>
    <w:rsid w:val="00E04221"/>
    <w:rsid w:val="00E043CF"/>
    <w:rsid w:val="00E0453D"/>
    <w:rsid w:val="00E04960"/>
    <w:rsid w:val="00E05378"/>
    <w:rsid w:val="00E05484"/>
    <w:rsid w:val="00E0560C"/>
    <w:rsid w:val="00E05A58"/>
    <w:rsid w:val="00E05E43"/>
    <w:rsid w:val="00E061B6"/>
    <w:rsid w:val="00E066EE"/>
    <w:rsid w:val="00E06D3C"/>
    <w:rsid w:val="00E07028"/>
    <w:rsid w:val="00E07E0E"/>
    <w:rsid w:val="00E07FE6"/>
    <w:rsid w:val="00E101FA"/>
    <w:rsid w:val="00E106B8"/>
    <w:rsid w:val="00E10865"/>
    <w:rsid w:val="00E117D6"/>
    <w:rsid w:val="00E1195A"/>
    <w:rsid w:val="00E11969"/>
    <w:rsid w:val="00E11A17"/>
    <w:rsid w:val="00E11BFB"/>
    <w:rsid w:val="00E11D56"/>
    <w:rsid w:val="00E127DF"/>
    <w:rsid w:val="00E12B69"/>
    <w:rsid w:val="00E1317B"/>
    <w:rsid w:val="00E13949"/>
    <w:rsid w:val="00E13C79"/>
    <w:rsid w:val="00E13CC7"/>
    <w:rsid w:val="00E13D32"/>
    <w:rsid w:val="00E13E33"/>
    <w:rsid w:val="00E13FF0"/>
    <w:rsid w:val="00E1448A"/>
    <w:rsid w:val="00E1497E"/>
    <w:rsid w:val="00E1535E"/>
    <w:rsid w:val="00E158AA"/>
    <w:rsid w:val="00E159A4"/>
    <w:rsid w:val="00E1605B"/>
    <w:rsid w:val="00E16142"/>
    <w:rsid w:val="00E164C9"/>
    <w:rsid w:val="00E165D6"/>
    <w:rsid w:val="00E16834"/>
    <w:rsid w:val="00E16B9B"/>
    <w:rsid w:val="00E1709A"/>
    <w:rsid w:val="00E171E9"/>
    <w:rsid w:val="00E17D37"/>
    <w:rsid w:val="00E206CA"/>
    <w:rsid w:val="00E2073E"/>
    <w:rsid w:val="00E20870"/>
    <w:rsid w:val="00E20D21"/>
    <w:rsid w:val="00E21183"/>
    <w:rsid w:val="00E21587"/>
    <w:rsid w:val="00E21678"/>
    <w:rsid w:val="00E21C74"/>
    <w:rsid w:val="00E21E60"/>
    <w:rsid w:val="00E22188"/>
    <w:rsid w:val="00E22745"/>
    <w:rsid w:val="00E22964"/>
    <w:rsid w:val="00E22E1C"/>
    <w:rsid w:val="00E230DC"/>
    <w:rsid w:val="00E23285"/>
    <w:rsid w:val="00E238D8"/>
    <w:rsid w:val="00E244F6"/>
    <w:rsid w:val="00E24A63"/>
    <w:rsid w:val="00E25394"/>
    <w:rsid w:val="00E25523"/>
    <w:rsid w:val="00E25C3D"/>
    <w:rsid w:val="00E25D47"/>
    <w:rsid w:val="00E25EC2"/>
    <w:rsid w:val="00E265BB"/>
    <w:rsid w:val="00E26777"/>
    <w:rsid w:val="00E26E6E"/>
    <w:rsid w:val="00E2715B"/>
    <w:rsid w:val="00E27901"/>
    <w:rsid w:val="00E27980"/>
    <w:rsid w:val="00E3009B"/>
    <w:rsid w:val="00E306C1"/>
    <w:rsid w:val="00E30AA1"/>
    <w:rsid w:val="00E30DAE"/>
    <w:rsid w:val="00E30E11"/>
    <w:rsid w:val="00E31104"/>
    <w:rsid w:val="00E3135A"/>
    <w:rsid w:val="00E31627"/>
    <w:rsid w:val="00E317AB"/>
    <w:rsid w:val="00E31914"/>
    <w:rsid w:val="00E31B5B"/>
    <w:rsid w:val="00E31DAC"/>
    <w:rsid w:val="00E31EF2"/>
    <w:rsid w:val="00E32813"/>
    <w:rsid w:val="00E32871"/>
    <w:rsid w:val="00E32895"/>
    <w:rsid w:val="00E32A60"/>
    <w:rsid w:val="00E32B7D"/>
    <w:rsid w:val="00E32BA5"/>
    <w:rsid w:val="00E32DE6"/>
    <w:rsid w:val="00E331F9"/>
    <w:rsid w:val="00E3398F"/>
    <w:rsid w:val="00E33991"/>
    <w:rsid w:val="00E33D79"/>
    <w:rsid w:val="00E33FB6"/>
    <w:rsid w:val="00E34418"/>
    <w:rsid w:val="00E344ED"/>
    <w:rsid w:val="00E34915"/>
    <w:rsid w:val="00E34AB0"/>
    <w:rsid w:val="00E34F92"/>
    <w:rsid w:val="00E35075"/>
    <w:rsid w:val="00E3518C"/>
    <w:rsid w:val="00E35751"/>
    <w:rsid w:val="00E36246"/>
    <w:rsid w:val="00E365A5"/>
    <w:rsid w:val="00E36F78"/>
    <w:rsid w:val="00E36F86"/>
    <w:rsid w:val="00E375FD"/>
    <w:rsid w:val="00E37AF7"/>
    <w:rsid w:val="00E37B2C"/>
    <w:rsid w:val="00E37EB5"/>
    <w:rsid w:val="00E37F95"/>
    <w:rsid w:val="00E40102"/>
    <w:rsid w:val="00E4050E"/>
    <w:rsid w:val="00E405C0"/>
    <w:rsid w:val="00E40672"/>
    <w:rsid w:val="00E409D5"/>
    <w:rsid w:val="00E40AC4"/>
    <w:rsid w:val="00E41680"/>
    <w:rsid w:val="00E417FE"/>
    <w:rsid w:val="00E41847"/>
    <w:rsid w:val="00E41BC9"/>
    <w:rsid w:val="00E41C98"/>
    <w:rsid w:val="00E41E6E"/>
    <w:rsid w:val="00E423D1"/>
    <w:rsid w:val="00E424C0"/>
    <w:rsid w:val="00E42530"/>
    <w:rsid w:val="00E42B9E"/>
    <w:rsid w:val="00E4348E"/>
    <w:rsid w:val="00E43FCA"/>
    <w:rsid w:val="00E4416C"/>
    <w:rsid w:val="00E44275"/>
    <w:rsid w:val="00E4474C"/>
    <w:rsid w:val="00E44791"/>
    <w:rsid w:val="00E45F38"/>
    <w:rsid w:val="00E460D2"/>
    <w:rsid w:val="00E46BB2"/>
    <w:rsid w:val="00E46CB7"/>
    <w:rsid w:val="00E46E6B"/>
    <w:rsid w:val="00E46F1A"/>
    <w:rsid w:val="00E473AC"/>
    <w:rsid w:val="00E5010A"/>
    <w:rsid w:val="00E5028D"/>
    <w:rsid w:val="00E5071A"/>
    <w:rsid w:val="00E50918"/>
    <w:rsid w:val="00E50969"/>
    <w:rsid w:val="00E50C73"/>
    <w:rsid w:val="00E50E7D"/>
    <w:rsid w:val="00E51676"/>
    <w:rsid w:val="00E518A3"/>
    <w:rsid w:val="00E51907"/>
    <w:rsid w:val="00E521C5"/>
    <w:rsid w:val="00E52351"/>
    <w:rsid w:val="00E52355"/>
    <w:rsid w:val="00E52364"/>
    <w:rsid w:val="00E529AA"/>
    <w:rsid w:val="00E52BC7"/>
    <w:rsid w:val="00E52EA8"/>
    <w:rsid w:val="00E54AAD"/>
    <w:rsid w:val="00E54B03"/>
    <w:rsid w:val="00E54B85"/>
    <w:rsid w:val="00E54F6D"/>
    <w:rsid w:val="00E55278"/>
    <w:rsid w:val="00E55E32"/>
    <w:rsid w:val="00E5624B"/>
    <w:rsid w:val="00E56424"/>
    <w:rsid w:val="00E566DC"/>
    <w:rsid w:val="00E56928"/>
    <w:rsid w:val="00E56BC3"/>
    <w:rsid w:val="00E56CC6"/>
    <w:rsid w:val="00E57473"/>
    <w:rsid w:val="00E57BA2"/>
    <w:rsid w:val="00E57CE5"/>
    <w:rsid w:val="00E60361"/>
    <w:rsid w:val="00E60446"/>
    <w:rsid w:val="00E607D0"/>
    <w:rsid w:val="00E60C03"/>
    <w:rsid w:val="00E612E9"/>
    <w:rsid w:val="00E61889"/>
    <w:rsid w:val="00E61AA9"/>
    <w:rsid w:val="00E61B4F"/>
    <w:rsid w:val="00E62B37"/>
    <w:rsid w:val="00E62EA0"/>
    <w:rsid w:val="00E63018"/>
    <w:rsid w:val="00E63039"/>
    <w:rsid w:val="00E6312E"/>
    <w:rsid w:val="00E63264"/>
    <w:rsid w:val="00E63B84"/>
    <w:rsid w:val="00E63BA3"/>
    <w:rsid w:val="00E63E21"/>
    <w:rsid w:val="00E645D1"/>
    <w:rsid w:val="00E648F3"/>
    <w:rsid w:val="00E64F8C"/>
    <w:rsid w:val="00E650BB"/>
    <w:rsid w:val="00E650EE"/>
    <w:rsid w:val="00E65299"/>
    <w:rsid w:val="00E653C3"/>
    <w:rsid w:val="00E66301"/>
    <w:rsid w:val="00E665E5"/>
    <w:rsid w:val="00E66898"/>
    <w:rsid w:val="00E668E2"/>
    <w:rsid w:val="00E66B80"/>
    <w:rsid w:val="00E67233"/>
    <w:rsid w:val="00E678FB"/>
    <w:rsid w:val="00E7015F"/>
    <w:rsid w:val="00E704E1"/>
    <w:rsid w:val="00E706DF"/>
    <w:rsid w:val="00E70801"/>
    <w:rsid w:val="00E70965"/>
    <w:rsid w:val="00E70FB5"/>
    <w:rsid w:val="00E71091"/>
    <w:rsid w:val="00E71097"/>
    <w:rsid w:val="00E7133A"/>
    <w:rsid w:val="00E71B31"/>
    <w:rsid w:val="00E71B60"/>
    <w:rsid w:val="00E720C8"/>
    <w:rsid w:val="00E73AE1"/>
    <w:rsid w:val="00E743E9"/>
    <w:rsid w:val="00E74632"/>
    <w:rsid w:val="00E7487B"/>
    <w:rsid w:val="00E74A0C"/>
    <w:rsid w:val="00E75472"/>
    <w:rsid w:val="00E75B48"/>
    <w:rsid w:val="00E75CA0"/>
    <w:rsid w:val="00E76179"/>
    <w:rsid w:val="00E7643B"/>
    <w:rsid w:val="00E766EA"/>
    <w:rsid w:val="00E767CF"/>
    <w:rsid w:val="00E76896"/>
    <w:rsid w:val="00E76BE4"/>
    <w:rsid w:val="00E77913"/>
    <w:rsid w:val="00E77983"/>
    <w:rsid w:val="00E77AF0"/>
    <w:rsid w:val="00E77CDE"/>
    <w:rsid w:val="00E7E821"/>
    <w:rsid w:val="00E80236"/>
    <w:rsid w:val="00E81384"/>
    <w:rsid w:val="00E81529"/>
    <w:rsid w:val="00E819A4"/>
    <w:rsid w:val="00E81B60"/>
    <w:rsid w:val="00E822DD"/>
    <w:rsid w:val="00E82531"/>
    <w:rsid w:val="00E825DC"/>
    <w:rsid w:val="00E828C7"/>
    <w:rsid w:val="00E82B6D"/>
    <w:rsid w:val="00E82E69"/>
    <w:rsid w:val="00E82F0A"/>
    <w:rsid w:val="00E831CE"/>
    <w:rsid w:val="00E83313"/>
    <w:rsid w:val="00E83703"/>
    <w:rsid w:val="00E837BD"/>
    <w:rsid w:val="00E83822"/>
    <w:rsid w:val="00E83865"/>
    <w:rsid w:val="00E8388C"/>
    <w:rsid w:val="00E83E59"/>
    <w:rsid w:val="00E841CB"/>
    <w:rsid w:val="00E844AC"/>
    <w:rsid w:val="00E846D7"/>
    <w:rsid w:val="00E84805"/>
    <w:rsid w:val="00E84B15"/>
    <w:rsid w:val="00E84BDC"/>
    <w:rsid w:val="00E84CD7"/>
    <w:rsid w:val="00E84FEE"/>
    <w:rsid w:val="00E850BB"/>
    <w:rsid w:val="00E8530B"/>
    <w:rsid w:val="00E853D4"/>
    <w:rsid w:val="00E855A3"/>
    <w:rsid w:val="00E85B67"/>
    <w:rsid w:val="00E860BE"/>
    <w:rsid w:val="00E8625D"/>
    <w:rsid w:val="00E866DA"/>
    <w:rsid w:val="00E8718F"/>
    <w:rsid w:val="00E877C3"/>
    <w:rsid w:val="00E87DFB"/>
    <w:rsid w:val="00E87E84"/>
    <w:rsid w:val="00E900EB"/>
    <w:rsid w:val="00E90289"/>
    <w:rsid w:val="00E90563"/>
    <w:rsid w:val="00E90595"/>
    <w:rsid w:val="00E906A8"/>
    <w:rsid w:val="00E9071F"/>
    <w:rsid w:val="00E909C0"/>
    <w:rsid w:val="00E90A56"/>
    <w:rsid w:val="00E90D3F"/>
    <w:rsid w:val="00E90F80"/>
    <w:rsid w:val="00E90FE8"/>
    <w:rsid w:val="00E91221"/>
    <w:rsid w:val="00E916CD"/>
    <w:rsid w:val="00E91AF0"/>
    <w:rsid w:val="00E91D3F"/>
    <w:rsid w:val="00E91DE9"/>
    <w:rsid w:val="00E91FFE"/>
    <w:rsid w:val="00E9212A"/>
    <w:rsid w:val="00E926EF"/>
    <w:rsid w:val="00E92C96"/>
    <w:rsid w:val="00E92CE8"/>
    <w:rsid w:val="00E92CEE"/>
    <w:rsid w:val="00E92DA1"/>
    <w:rsid w:val="00E937D3"/>
    <w:rsid w:val="00E937D4"/>
    <w:rsid w:val="00E93D9E"/>
    <w:rsid w:val="00E95364"/>
    <w:rsid w:val="00E9576D"/>
    <w:rsid w:val="00E95DE6"/>
    <w:rsid w:val="00E962C0"/>
    <w:rsid w:val="00E9664D"/>
    <w:rsid w:val="00E96858"/>
    <w:rsid w:val="00E96FC4"/>
    <w:rsid w:val="00E97760"/>
    <w:rsid w:val="00E97804"/>
    <w:rsid w:val="00E97A75"/>
    <w:rsid w:val="00E97CA2"/>
    <w:rsid w:val="00EA0434"/>
    <w:rsid w:val="00EA0B74"/>
    <w:rsid w:val="00EA0BF8"/>
    <w:rsid w:val="00EA0F5E"/>
    <w:rsid w:val="00EA0FFE"/>
    <w:rsid w:val="00EA10F6"/>
    <w:rsid w:val="00EA12AB"/>
    <w:rsid w:val="00EA12FD"/>
    <w:rsid w:val="00EA1C17"/>
    <w:rsid w:val="00EA1C30"/>
    <w:rsid w:val="00EA1E60"/>
    <w:rsid w:val="00EA21B2"/>
    <w:rsid w:val="00EA22D6"/>
    <w:rsid w:val="00EA2383"/>
    <w:rsid w:val="00EA2392"/>
    <w:rsid w:val="00EA23CD"/>
    <w:rsid w:val="00EA316F"/>
    <w:rsid w:val="00EA323B"/>
    <w:rsid w:val="00EA36E9"/>
    <w:rsid w:val="00EA4228"/>
    <w:rsid w:val="00EA4EBC"/>
    <w:rsid w:val="00EA4F06"/>
    <w:rsid w:val="00EA530D"/>
    <w:rsid w:val="00EA5AAB"/>
    <w:rsid w:val="00EA5B95"/>
    <w:rsid w:val="00EA61FC"/>
    <w:rsid w:val="00EA6D4F"/>
    <w:rsid w:val="00EA6D74"/>
    <w:rsid w:val="00EA6E6D"/>
    <w:rsid w:val="00EA72DC"/>
    <w:rsid w:val="00EA76A7"/>
    <w:rsid w:val="00EA7732"/>
    <w:rsid w:val="00EA7EAC"/>
    <w:rsid w:val="00EB022E"/>
    <w:rsid w:val="00EB0B3C"/>
    <w:rsid w:val="00EB1322"/>
    <w:rsid w:val="00EB15E0"/>
    <w:rsid w:val="00EB18A7"/>
    <w:rsid w:val="00EB1B20"/>
    <w:rsid w:val="00EB1E95"/>
    <w:rsid w:val="00EB208E"/>
    <w:rsid w:val="00EB225A"/>
    <w:rsid w:val="00EB23D5"/>
    <w:rsid w:val="00EB2BE2"/>
    <w:rsid w:val="00EB2E87"/>
    <w:rsid w:val="00EB2EC5"/>
    <w:rsid w:val="00EB2EF8"/>
    <w:rsid w:val="00EB33CA"/>
    <w:rsid w:val="00EB355D"/>
    <w:rsid w:val="00EB36DE"/>
    <w:rsid w:val="00EB397B"/>
    <w:rsid w:val="00EB39AE"/>
    <w:rsid w:val="00EB39D2"/>
    <w:rsid w:val="00EB3E55"/>
    <w:rsid w:val="00EB3F35"/>
    <w:rsid w:val="00EB45C9"/>
    <w:rsid w:val="00EB4A81"/>
    <w:rsid w:val="00EB4AA1"/>
    <w:rsid w:val="00EB5049"/>
    <w:rsid w:val="00EB6662"/>
    <w:rsid w:val="00EB6BCF"/>
    <w:rsid w:val="00EB6C3D"/>
    <w:rsid w:val="00EB6E7B"/>
    <w:rsid w:val="00EC0602"/>
    <w:rsid w:val="00EC0B9E"/>
    <w:rsid w:val="00EC0EE8"/>
    <w:rsid w:val="00EC16C6"/>
    <w:rsid w:val="00EC1EE5"/>
    <w:rsid w:val="00EC1F6E"/>
    <w:rsid w:val="00EC2316"/>
    <w:rsid w:val="00EC2452"/>
    <w:rsid w:val="00EC2C1E"/>
    <w:rsid w:val="00EC33F7"/>
    <w:rsid w:val="00EC4198"/>
    <w:rsid w:val="00EC4837"/>
    <w:rsid w:val="00EC4B74"/>
    <w:rsid w:val="00EC4EC0"/>
    <w:rsid w:val="00EC597A"/>
    <w:rsid w:val="00EC5B7B"/>
    <w:rsid w:val="00EC5E4C"/>
    <w:rsid w:val="00EC63E2"/>
    <w:rsid w:val="00EC65AC"/>
    <w:rsid w:val="00EC66A3"/>
    <w:rsid w:val="00EC66D9"/>
    <w:rsid w:val="00EC69FA"/>
    <w:rsid w:val="00EC6E0F"/>
    <w:rsid w:val="00EC6F03"/>
    <w:rsid w:val="00EC71BD"/>
    <w:rsid w:val="00EC7333"/>
    <w:rsid w:val="00EC7473"/>
    <w:rsid w:val="00EC7A39"/>
    <w:rsid w:val="00EC7B65"/>
    <w:rsid w:val="00EC7D95"/>
    <w:rsid w:val="00ED0022"/>
    <w:rsid w:val="00ED05BE"/>
    <w:rsid w:val="00ED074C"/>
    <w:rsid w:val="00ED0F3C"/>
    <w:rsid w:val="00ED0FD7"/>
    <w:rsid w:val="00ED121E"/>
    <w:rsid w:val="00ED14E2"/>
    <w:rsid w:val="00ED1820"/>
    <w:rsid w:val="00ED1B2E"/>
    <w:rsid w:val="00ED1CD9"/>
    <w:rsid w:val="00ED22F8"/>
    <w:rsid w:val="00ED22F9"/>
    <w:rsid w:val="00ED2336"/>
    <w:rsid w:val="00ED2357"/>
    <w:rsid w:val="00ED25ED"/>
    <w:rsid w:val="00ED3116"/>
    <w:rsid w:val="00ED364A"/>
    <w:rsid w:val="00ED36B1"/>
    <w:rsid w:val="00ED3951"/>
    <w:rsid w:val="00ED396C"/>
    <w:rsid w:val="00ED40F8"/>
    <w:rsid w:val="00ED4387"/>
    <w:rsid w:val="00ED43F0"/>
    <w:rsid w:val="00ED4AAD"/>
    <w:rsid w:val="00ED4BF5"/>
    <w:rsid w:val="00ED4CFF"/>
    <w:rsid w:val="00ED4E33"/>
    <w:rsid w:val="00ED5463"/>
    <w:rsid w:val="00ED5A87"/>
    <w:rsid w:val="00ED5BC9"/>
    <w:rsid w:val="00ED5BDA"/>
    <w:rsid w:val="00ED6086"/>
    <w:rsid w:val="00ED6683"/>
    <w:rsid w:val="00ED6915"/>
    <w:rsid w:val="00ED6CE0"/>
    <w:rsid w:val="00ED6DDA"/>
    <w:rsid w:val="00ED6EDF"/>
    <w:rsid w:val="00ED788F"/>
    <w:rsid w:val="00ED7A13"/>
    <w:rsid w:val="00ED7AF2"/>
    <w:rsid w:val="00ED7D6D"/>
    <w:rsid w:val="00EE0340"/>
    <w:rsid w:val="00EE034C"/>
    <w:rsid w:val="00EE0686"/>
    <w:rsid w:val="00EE0C0D"/>
    <w:rsid w:val="00EE0FE0"/>
    <w:rsid w:val="00EE11AD"/>
    <w:rsid w:val="00EE12D9"/>
    <w:rsid w:val="00EE1E77"/>
    <w:rsid w:val="00EE246C"/>
    <w:rsid w:val="00EE2DF0"/>
    <w:rsid w:val="00EE2FFE"/>
    <w:rsid w:val="00EE38FC"/>
    <w:rsid w:val="00EE3B15"/>
    <w:rsid w:val="00EE3C73"/>
    <w:rsid w:val="00EE44FF"/>
    <w:rsid w:val="00EE4F9D"/>
    <w:rsid w:val="00EE53D4"/>
    <w:rsid w:val="00EE549C"/>
    <w:rsid w:val="00EE55D4"/>
    <w:rsid w:val="00EE6328"/>
    <w:rsid w:val="00EE6396"/>
    <w:rsid w:val="00EE641B"/>
    <w:rsid w:val="00EE6693"/>
    <w:rsid w:val="00EE6D09"/>
    <w:rsid w:val="00EE6EC2"/>
    <w:rsid w:val="00EE7549"/>
    <w:rsid w:val="00EE775D"/>
    <w:rsid w:val="00EF023C"/>
    <w:rsid w:val="00EF0887"/>
    <w:rsid w:val="00EF0983"/>
    <w:rsid w:val="00EF0B68"/>
    <w:rsid w:val="00EF0F0D"/>
    <w:rsid w:val="00EF121B"/>
    <w:rsid w:val="00EF1752"/>
    <w:rsid w:val="00EF35F6"/>
    <w:rsid w:val="00EF3815"/>
    <w:rsid w:val="00EF3D07"/>
    <w:rsid w:val="00EF3F31"/>
    <w:rsid w:val="00EF4118"/>
    <w:rsid w:val="00EF4189"/>
    <w:rsid w:val="00EF468F"/>
    <w:rsid w:val="00EF5173"/>
    <w:rsid w:val="00EF5338"/>
    <w:rsid w:val="00EF5A10"/>
    <w:rsid w:val="00EF61BE"/>
    <w:rsid w:val="00EF63C5"/>
    <w:rsid w:val="00EF64A3"/>
    <w:rsid w:val="00EF67F6"/>
    <w:rsid w:val="00EF777B"/>
    <w:rsid w:val="00EF7D5D"/>
    <w:rsid w:val="00EF7DC3"/>
    <w:rsid w:val="00EF7DFE"/>
    <w:rsid w:val="00F00B80"/>
    <w:rsid w:val="00F01060"/>
    <w:rsid w:val="00F011B4"/>
    <w:rsid w:val="00F01A96"/>
    <w:rsid w:val="00F01D4C"/>
    <w:rsid w:val="00F01F4A"/>
    <w:rsid w:val="00F021E7"/>
    <w:rsid w:val="00F022AC"/>
    <w:rsid w:val="00F025DF"/>
    <w:rsid w:val="00F02DCC"/>
    <w:rsid w:val="00F02E42"/>
    <w:rsid w:val="00F031B1"/>
    <w:rsid w:val="00F032A5"/>
    <w:rsid w:val="00F03422"/>
    <w:rsid w:val="00F03B00"/>
    <w:rsid w:val="00F04775"/>
    <w:rsid w:val="00F04786"/>
    <w:rsid w:val="00F059CA"/>
    <w:rsid w:val="00F0615F"/>
    <w:rsid w:val="00F06315"/>
    <w:rsid w:val="00F0653F"/>
    <w:rsid w:val="00F06682"/>
    <w:rsid w:val="00F06EE3"/>
    <w:rsid w:val="00F0708A"/>
    <w:rsid w:val="00F075B7"/>
    <w:rsid w:val="00F0787E"/>
    <w:rsid w:val="00F078F9"/>
    <w:rsid w:val="00F07952"/>
    <w:rsid w:val="00F07A10"/>
    <w:rsid w:val="00F101C7"/>
    <w:rsid w:val="00F10405"/>
    <w:rsid w:val="00F10511"/>
    <w:rsid w:val="00F10529"/>
    <w:rsid w:val="00F11103"/>
    <w:rsid w:val="00F12C0E"/>
    <w:rsid w:val="00F1309D"/>
    <w:rsid w:val="00F13314"/>
    <w:rsid w:val="00F13723"/>
    <w:rsid w:val="00F13B6D"/>
    <w:rsid w:val="00F13E10"/>
    <w:rsid w:val="00F153C4"/>
    <w:rsid w:val="00F15D6F"/>
    <w:rsid w:val="00F1616A"/>
    <w:rsid w:val="00F16588"/>
    <w:rsid w:val="00F165F9"/>
    <w:rsid w:val="00F1693A"/>
    <w:rsid w:val="00F17306"/>
    <w:rsid w:val="00F17638"/>
    <w:rsid w:val="00F17D58"/>
    <w:rsid w:val="00F2031F"/>
    <w:rsid w:val="00F203B9"/>
    <w:rsid w:val="00F211F1"/>
    <w:rsid w:val="00F21757"/>
    <w:rsid w:val="00F21BB9"/>
    <w:rsid w:val="00F21CCE"/>
    <w:rsid w:val="00F221A3"/>
    <w:rsid w:val="00F222AF"/>
    <w:rsid w:val="00F22A32"/>
    <w:rsid w:val="00F22CEA"/>
    <w:rsid w:val="00F22E4F"/>
    <w:rsid w:val="00F23496"/>
    <w:rsid w:val="00F2382C"/>
    <w:rsid w:val="00F23E8B"/>
    <w:rsid w:val="00F24063"/>
    <w:rsid w:val="00F241BC"/>
    <w:rsid w:val="00F24236"/>
    <w:rsid w:val="00F244FA"/>
    <w:rsid w:val="00F248FD"/>
    <w:rsid w:val="00F24ED8"/>
    <w:rsid w:val="00F25267"/>
    <w:rsid w:val="00F25EB6"/>
    <w:rsid w:val="00F26349"/>
    <w:rsid w:val="00F26B7A"/>
    <w:rsid w:val="00F270E8"/>
    <w:rsid w:val="00F27A7B"/>
    <w:rsid w:val="00F27C2F"/>
    <w:rsid w:val="00F27D32"/>
    <w:rsid w:val="00F27DC6"/>
    <w:rsid w:val="00F30199"/>
    <w:rsid w:val="00F30399"/>
    <w:rsid w:val="00F30AE6"/>
    <w:rsid w:val="00F30B3F"/>
    <w:rsid w:val="00F30EA7"/>
    <w:rsid w:val="00F3111A"/>
    <w:rsid w:val="00F313BA"/>
    <w:rsid w:val="00F3141D"/>
    <w:rsid w:val="00F3153B"/>
    <w:rsid w:val="00F31AB9"/>
    <w:rsid w:val="00F32012"/>
    <w:rsid w:val="00F32021"/>
    <w:rsid w:val="00F321A6"/>
    <w:rsid w:val="00F324A8"/>
    <w:rsid w:val="00F329CE"/>
    <w:rsid w:val="00F32E2A"/>
    <w:rsid w:val="00F32E5B"/>
    <w:rsid w:val="00F32EFA"/>
    <w:rsid w:val="00F330FB"/>
    <w:rsid w:val="00F3338C"/>
    <w:rsid w:val="00F342A0"/>
    <w:rsid w:val="00F3434B"/>
    <w:rsid w:val="00F34623"/>
    <w:rsid w:val="00F34667"/>
    <w:rsid w:val="00F348F6"/>
    <w:rsid w:val="00F349CA"/>
    <w:rsid w:val="00F34F09"/>
    <w:rsid w:val="00F35001"/>
    <w:rsid w:val="00F35114"/>
    <w:rsid w:val="00F3592D"/>
    <w:rsid w:val="00F35B7B"/>
    <w:rsid w:val="00F35C10"/>
    <w:rsid w:val="00F35EE5"/>
    <w:rsid w:val="00F35F02"/>
    <w:rsid w:val="00F36139"/>
    <w:rsid w:val="00F363B7"/>
    <w:rsid w:val="00F36769"/>
    <w:rsid w:val="00F36FCA"/>
    <w:rsid w:val="00F3745A"/>
    <w:rsid w:val="00F37539"/>
    <w:rsid w:val="00F37E02"/>
    <w:rsid w:val="00F37F28"/>
    <w:rsid w:val="00F40514"/>
    <w:rsid w:val="00F4094B"/>
    <w:rsid w:val="00F40BD3"/>
    <w:rsid w:val="00F41576"/>
    <w:rsid w:val="00F416BD"/>
    <w:rsid w:val="00F41E31"/>
    <w:rsid w:val="00F41EF6"/>
    <w:rsid w:val="00F42179"/>
    <w:rsid w:val="00F425F5"/>
    <w:rsid w:val="00F42E0F"/>
    <w:rsid w:val="00F4365C"/>
    <w:rsid w:val="00F439F9"/>
    <w:rsid w:val="00F44531"/>
    <w:rsid w:val="00F448E5"/>
    <w:rsid w:val="00F44A8F"/>
    <w:rsid w:val="00F45691"/>
    <w:rsid w:val="00F457CC"/>
    <w:rsid w:val="00F45842"/>
    <w:rsid w:val="00F45846"/>
    <w:rsid w:val="00F458E3"/>
    <w:rsid w:val="00F45B3E"/>
    <w:rsid w:val="00F46025"/>
    <w:rsid w:val="00F460D8"/>
    <w:rsid w:val="00F46836"/>
    <w:rsid w:val="00F468C1"/>
    <w:rsid w:val="00F46924"/>
    <w:rsid w:val="00F46ECF"/>
    <w:rsid w:val="00F46F16"/>
    <w:rsid w:val="00F47375"/>
    <w:rsid w:val="00F47512"/>
    <w:rsid w:val="00F47C21"/>
    <w:rsid w:val="00F50592"/>
    <w:rsid w:val="00F507AD"/>
    <w:rsid w:val="00F50B10"/>
    <w:rsid w:val="00F517F9"/>
    <w:rsid w:val="00F51BCF"/>
    <w:rsid w:val="00F51EF6"/>
    <w:rsid w:val="00F5232B"/>
    <w:rsid w:val="00F529DE"/>
    <w:rsid w:val="00F5344C"/>
    <w:rsid w:val="00F53E1F"/>
    <w:rsid w:val="00F5404F"/>
    <w:rsid w:val="00F54298"/>
    <w:rsid w:val="00F542D9"/>
    <w:rsid w:val="00F545A0"/>
    <w:rsid w:val="00F549CE"/>
    <w:rsid w:val="00F5504A"/>
    <w:rsid w:val="00F5537A"/>
    <w:rsid w:val="00F55714"/>
    <w:rsid w:val="00F56067"/>
    <w:rsid w:val="00F56544"/>
    <w:rsid w:val="00F56962"/>
    <w:rsid w:val="00F56E39"/>
    <w:rsid w:val="00F56F12"/>
    <w:rsid w:val="00F56FE2"/>
    <w:rsid w:val="00F5753B"/>
    <w:rsid w:val="00F57570"/>
    <w:rsid w:val="00F57D85"/>
    <w:rsid w:val="00F57E38"/>
    <w:rsid w:val="00F60183"/>
    <w:rsid w:val="00F60DD7"/>
    <w:rsid w:val="00F6122C"/>
    <w:rsid w:val="00F618C7"/>
    <w:rsid w:val="00F61A32"/>
    <w:rsid w:val="00F61FB9"/>
    <w:rsid w:val="00F62253"/>
    <w:rsid w:val="00F62A50"/>
    <w:rsid w:val="00F62FB6"/>
    <w:rsid w:val="00F631CE"/>
    <w:rsid w:val="00F63474"/>
    <w:rsid w:val="00F636B1"/>
    <w:rsid w:val="00F636DF"/>
    <w:rsid w:val="00F63AD4"/>
    <w:rsid w:val="00F64217"/>
    <w:rsid w:val="00F64368"/>
    <w:rsid w:val="00F645D8"/>
    <w:rsid w:val="00F645DA"/>
    <w:rsid w:val="00F64890"/>
    <w:rsid w:val="00F64BE4"/>
    <w:rsid w:val="00F64DAC"/>
    <w:rsid w:val="00F64FC9"/>
    <w:rsid w:val="00F6503C"/>
    <w:rsid w:val="00F6557F"/>
    <w:rsid w:val="00F65B79"/>
    <w:rsid w:val="00F65BE2"/>
    <w:rsid w:val="00F66366"/>
    <w:rsid w:val="00F66579"/>
    <w:rsid w:val="00F666C3"/>
    <w:rsid w:val="00F66BA8"/>
    <w:rsid w:val="00F66F84"/>
    <w:rsid w:val="00F6709A"/>
    <w:rsid w:val="00F67303"/>
    <w:rsid w:val="00F6743A"/>
    <w:rsid w:val="00F67F1C"/>
    <w:rsid w:val="00F67F25"/>
    <w:rsid w:val="00F70AE1"/>
    <w:rsid w:val="00F70DDF"/>
    <w:rsid w:val="00F71B4D"/>
    <w:rsid w:val="00F71B74"/>
    <w:rsid w:val="00F71DB2"/>
    <w:rsid w:val="00F72661"/>
    <w:rsid w:val="00F7372D"/>
    <w:rsid w:val="00F73992"/>
    <w:rsid w:val="00F73CAB"/>
    <w:rsid w:val="00F73CF3"/>
    <w:rsid w:val="00F73DF7"/>
    <w:rsid w:val="00F74005"/>
    <w:rsid w:val="00F74009"/>
    <w:rsid w:val="00F74468"/>
    <w:rsid w:val="00F74C6E"/>
    <w:rsid w:val="00F74EA9"/>
    <w:rsid w:val="00F75801"/>
    <w:rsid w:val="00F759B1"/>
    <w:rsid w:val="00F75D72"/>
    <w:rsid w:val="00F765CB"/>
    <w:rsid w:val="00F77E69"/>
    <w:rsid w:val="00F77EF4"/>
    <w:rsid w:val="00F805F3"/>
    <w:rsid w:val="00F806CD"/>
    <w:rsid w:val="00F8089D"/>
    <w:rsid w:val="00F809F2"/>
    <w:rsid w:val="00F80CCC"/>
    <w:rsid w:val="00F80E00"/>
    <w:rsid w:val="00F80E9D"/>
    <w:rsid w:val="00F80ECE"/>
    <w:rsid w:val="00F80ED6"/>
    <w:rsid w:val="00F813A3"/>
    <w:rsid w:val="00F815A8"/>
    <w:rsid w:val="00F81655"/>
    <w:rsid w:val="00F82133"/>
    <w:rsid w:val="00F8291A"/>
    <w:rsid w:val="00F8292E"/>
    <w:rsid w:val="00F82D13"/>
    <w:rsid w:val="00F83BAC"/>
    <w:rsid w:val="00F843A9"/>
    <w:rsid w:val="00F8456A"/>
    <w:rsid w:val="00F845E7"/>
    <w:rsid w:val="00F84D90"/>
    <w:rsid w:val="00F85525"/>
    <w:rsid w:val="00F858C2"/>
    <w:rsid w:val="00F85F1F"/>
    <w:rsid w:val="00F863FC"/>
    <w:rsid w:val="00F8652A"/>
    <w:rsid w:val="00F87434"/>
    <w:rsid w:val="00F87724"/>
    <w:rsid w:val="00F877AC"/>
    <w:rsid w:val="00F87B3B"/>
    <w:rsid w:val="00F87B76"/>
    <w:rsid w:val="00F87B99"/>
    <w:rsid w:val="00F901B3"/>
    <w:rsid w:val="00F9065A"/>
    <w:rsid w:val="00F906EE"/>
    <w:rsid w:val="00F90946"/>
    <w:rsid w:val="00F90C0F"/>
    <w:rsid w:val="00F90DD9"/>
    <w:rsid w:val="00F91076"/>
    <w:rsid w:val="00F91550"/>
    <w:rsid w:val="00F91617"/>
    <w:rsid w:val="00F916D4"/>
    <w:rsid w:val="00F91CF9"/>
    <w:rsid w:val="00F9212B"/>
    <w:rsid w:val="00F9220E"/>
    <w:rsid w:val="00F92660"/>
    <w:rsid w:val="00F92997"/>
    <w:rsid w:val="00F92E56"/>
    <w:rsid w:val="00F93123"/>
    <w:rsid w:val="00F937DB"/>
    <w:rsid w:val="00F93D81"/>
    <w:rsid w:val="00F93FFC"/>
    <w:rsid w:val="00F9406C"/>
    <w:rsid w:val="00F9437F"/>
    <w:rsid w:val="00F94583"/>
    <w:rsid w:val="00F94914"/>
    <w:rsid w:val="00F94ABE"/>
    <w:rsid w:val="00F95105"/>
    <w:rsid w:val="00F9534B"/>
    <w:rsid w:val="00F95527"/>
    <w:rsid w:val="00F959AD"/>
    <w:rsid w:val="00F95A51"/>
    <w:rsid w:val="00F95C42"/>
    <w:rsid w:val="00F960C1"/>
    <w:rsid w:val="00F96247"/>
    <w:rsid w:val="00F962C0"/>
    <w:rsid w:val="00F969DA"/>
    <w:rsid w:val="00F96A04"/>
    <w:rsid w:val="00F97302"/>
    <w:rsid w:val="00F97332"/>
    <w:rsid w:val="00F9750D"/>
    <w:rsid w:val="00F97830"/>
    <w:rsid w:val="00F97E8E"/>
    <w:rsid w:val="00FA0171"/>
    <w:rsid w:val="00FA0634"/>
    <w:rsid w:val="00FA0AAB"/>
    <w:rsid w:val="00FA0BBB"/>
    <w:rsid w:val="00FA0CCF"/>
    <w:rsid w:val="00FA1289"/>
    <w:rsid w:val="00FA12CF"/>
    <w:rsid w:val="00FA243F"/>
    <w:rsid w:val="00FA24CD"/>
    <w:rsid w:val="00FA2ABA"/>
    <w:rsid w:val="00FA2B6C"/>
    <w:rsid w:val="00FA2CD7"/>
    <w:rsid w:val="00FA3767"/>
    <w:rsid w:val="00FA3A8A"/>
    <w:rsid w:val="00FA3D59"/>
    <w:rsid w:val="00FA3DF5"/>
    <w:rsid w:val="00FA40E0"/>
    <w:rsid w:val="00FA4AAD"/>
    <w:rsid w:val="00FA4E64"/>
    <w:rsid w:val="00FA4FA1"/>
    <w:rsid w:val="00FA5205"/>
    <w:rsid w:val="00FA5254"/>
    <w:rsid w:val="00FA6338"/>
    <w:rsid w:val="00FA6435"/>
    <w:rsid w:val="00FA64DA"/>
    <w:rsid w:val="00FA671C"/>
    <w:rsid w:val="00FA67B0"/>
    <w:rsid w:val="00FA67F2"/>
    <w:rsid w:val="00FA6801"/>
    <w:rsid w:val="00FA68FF"/>
    <w:rsid w:val="00FA6AC3"/>
    <w:rsid w:val="00FA70F3"/>
    <w:rsid w:val="00FA7127"/>
    <w:rsid w:val="00FA7566"/>
    <w:rsid w:val="00FA7799"/>
    <w:rsid w:val="00FB0473"/>
    <w:rsid w:val="00FB0484"/>
    <w:rsid w:val="00FB07AD"/>
    <w:rsid w:val="00FB07C9"/>
    <w:rsid w:val="00FB085B"/>
    <w:rsid w:val="00FB0BDF"/>
    <w:rsid w:val="00FB0C05"/>
    <w:rsid w:val="00FB0D18"/>
    <w:rsid w:val="00FB0E46"/>
    <w:rsid w:val="00FB0F70"/>
    <w:rsid w:val="00FB17B1"/>
    <w:rsid w:val="00FB1960"/>
    <w:rsid w:val="00FB1BA3"/>
    <w:rsid w:val="00FB1DC7"/>
    <w:rsid w:val="00FB2073"/>
    <w:rsid w:val="00FB219F"/>
    <w:rsid w:val="00FB21BA"/>
    <w:rsid w:val="00FB2268"/>
    <w:rsid w:val="00FB26C2"/>
    <w:rsid w:val="00FB29F6"/>
    <w:rsid w:val="00FB2F2A"/>
    <w:rsid w:val="00FB3016"/>
    <w:rsid w:val="00FB32F7"/>
    <w:rsid w:val="00FB3933"/>
    <w:rsid w:val="00FB4040"/>
    <w:rsid w:val="00FB4588"/>
    <w:rsid w:val="00FB50DD"/>
    <w:rsid w:val="00FB5108"/>
    <w:rsid w:val="00FB51DC"/>
    <w:rsid w:val="00FB5334"/>
    <w:rsid w:val="00FB544A"/>
    <w:rsid w:val="00FB5801"/>
    <w:rsid w:val="00FB5CF1"/>
    <w:rsid w:val="00FB5DDC"/>
    <w:rsid w:val="00FB6AE5"/>
    <w:rsid w:val="00FB7298"/>
    <w:rsid w:val="00FB7A7B"/>
    <w:rsid w:val="00FB7F67"/>
    <w:rsid w:val="00FC02E9"/>
    <w:rsid w:val="00FC090F"/>
    <w:rsid w:val="00FC1030"/>
    <w:rsid w:val="00FC179F"/>
    <w:rsid w:val="00FC199D"/>
    <w:rsid w:val="00FC19E1"/>
    <w:rsid w:val="00FC2422"/>
    <w:rsid w:val="00FC2D50"/>
    <w:rsid w:val="00FC2D6C"/>
    <w:rsid w:val="00FC3523"/>
    <w:rsid w:val="00FC402A"/>
    <w:rsid w:val="00FC433A"/>
    <w:rsid w:val="00FC4437"/>
    <w:rsid w:val="00FC4555"/>
    <w:rsid w:val="00FC461F"/>
    <w:rsid w:val="00FC4D22"/>
    <w:rsid w:val="00FC4FD8"/>
    <w:rsid w:val="00FC5748"/>
    <w:rsid w:val="00FC58AB"/>
    <w:rsid w:val="00FC5ABD"/>
    <w:rsid w:val="00FC5BA5"/>
    <w:rsid w:val="00FC5C1C"/>
    <w:rsid w:val="00FC5E26"/>
    <w:rsid w:val="00FC5EDD"/>
    <w:rsid w:val="00FC6736"/>
    <w:rsid w:val="00FC688D"/>
    <w:rsid w:val="00FC69DF"/>
    <w:rsid w:val="00FC6A5D"/>
    <w:rsid w:val="00FC705E"/>
    <w:rsid w:val="00FC7086"/>
    <w:rsid w:val="00FC75DC"/>
    <w:rsid w:val="00FD012A"/>
    <w:rsid w:val="00FD0137"/>
    <w:rsid w:val="00FD0456"/>
    <w:rsid w:val="00FD0B36"/>
    <w:rsid w:val="00FD1F1C"/>
    <w:rsid w:val="00FD20B8"/>
    <w:rsid w:val="00FD22E4"/>
    <w:rsid w:val="00FD2397"/>
    <w:rsid w:val="00FD2861"/>
    <w:rsid w:val="00FD2BFD"/>
    <w:rsid w:val="00FD2F36"/>
    <w:rsid w:val="00FD3190"/>
    <w:rsid w:val="00FD36E2"/>
    <w:rsid w:val="00FD37B0"/>
    <w:rsid w:val="00FD38EE"/>
    <w:rsid w:val="00FD3C6F"/>
    <w:rsid w:val="00FD3E62"/>
    <w:rsid w:val="00FD4340"/>
    <w:rsid w:val="00FD4E6C"/>
    <w:rsid w:val="00FD50BF"/>
    <w:rsid w:val="00FD54F1"/>
    <w:rsid w:val="00FD5D1A"/>
    <w:rsid w:val="00FD61DB"/>
    <w:rsid w:val="00FD68FD"/>
    <w:rsid w:val="00FD6904"/>
    <w:rsid w:val="00FD6A67"/>
    <w:rsid w:val="00FD707B"/>
    <w:rsid w:val="00FD711D"/>
    <w:rsid w:val="00FD7160"/>
    <w:rsid w:val="00FD7386"/>
    <w:rsid w:val="00FD7626"/>
    <w:rsid w:val="00FD771A"/>
    <w:rsid w:val="00FD78F9"/>
    <w:rsid w:val="00FD79FE"/>
    <w:rsid w:val="00FD7A9C"/>
    <w:rsid w:val="00FD7D89"/>
    <w:rsid w:val="00FD7DCD"/>
    <w:rsid w:val="00FE017C"/>
    <w:rsid w:val="00FE04B2"/>
    <w:rsid w:val="00FE04EE"/>
    <w:rsid w:val="00FE11FC"/>
    <w:rsid w:val="00FE1581"/>
    <w:rsid w:val="00FE1582"/>
    <w:rsid w:val="00FE16FB"/>
    <w:rsid w:val="00FE3042"/>
    <w:rsid w:val="00FE3224"/>
    <w:rsid w:val="00FE330B"/>
    <w:rsid w:val="00FE3438"/>
    <w:rsid w:val="00FE37C5"/>
    <w:rsid w:val="00FE3CB4"/>
    <w:rsid w:val="00FE4F0B"/>
    <w:rsid w:val="00FE4FEB"/>
    <w:rsid w:val="00FE56D3"/>
    <w:rsid w:val="00FE647D"/>
    <w:rsid w:val="00FE6674"/>
    <w:rsid w:val="00FE6B38"/>
    <w:rsid w:val="00FE6E62"/>
    <w:rsid w:val="00FE72DD"/>
    <w:rsid w:val="00FF07A2"/>
    <w:rsid w:val="00FF092C"/>
    <w:rsid w:val="00FF0C2B"/>
    <w:rsid w:val="00FF10A3"/>
    <w:rsid w:val="00FF11ED"/>
    <w:rsid w:val="00FF12BF"/>
    <w:rsid w:val="00FF1320"/>
    <w:rsid w:val="00FF141E"/>
    <w:rsid w:val="00FF146D"/>
    <w:rsid w:val="00FF155A"/>
    <w:rsid w:val="00FF189F"/>
    <w:rsid w:val="00FF1E60"/>
    <w:rsid w:val="00FF24A1"/>
    <w:rsid w:val="00FF2A80"/>
    <w:rsid w:val="00FF2D69"/>
    <w:rsid w:val="00FF2DA6"/>
    <w:rsid w:val="00FF3193"/>
    <w:rsid w:val="00FF3333"/>
    <w:rsid w:val="00FF33C1"/>
    <w:rsid w:val="00FF37A7"/>
    <w:rsid w:val="00FF3B86"/>
    <w:rsid w:val="00FF3E2C"/>
    <w:rsid w:val="00FF3F33"/>
    <w:rsid w:val="00FF416D"/>
    <w:rsid w:val="00FF4349"/>
    <w:rsid w:val="00FF4A43"/>
    <w:rsid w:val="00FF5199"/>
    <w:rsid w:val="00FF5399"/>
    <w:rsid w:val="00FF54AB"/>
    <w:rsid w:val="00FF5743"/>
    <w:rsid w:val="00FF5908"/>
    <w:rsid w:val="00FF59BA"/>
    <w:rsid w:val="00FF5C74"/>
    <w:rsid w:val="00FF5D0D"/>
    <w:rsid w:val="00FF5DC7"/>
    <w:rsid w:val="00FF5DF8"/>
    <w:rsid w:val="00FF5E35"/>
    <w:rsid w:val="00FF624E"/>
    <w:rsid w:val="00FF669F"/>
    <w:rsid w:val="00FF69AE"/>
    <w:rsid w:val="00FF7096"/>
    <w:rsid w:val="00FF72BD"/>
    <w:rsid w:val="00FF72D4"/>
    <w:rsid w:val="00FF74A1"/>
    <w:rsid w:val="00FF7CDD"/>
    <w:rsid w:val="00FF7F2B"/>
    <w:rsid w:val="017B471D"/>
    <w:rsid w:val="017D4C9E"/>
    <w:rsid w:val="01DD88FF"/>
    <w:rsid w:val="020CB62A"/>
    <w:rsid w:val="020CBA56"/>
    <w:rsid w:val="021431D7"/>
    <w:rsid w:val="022AE274"/>
    <w:rsid w:val="0243EEFF"/>
    <w:rsid w:val="024868CD"/>
    <w:rsid w:val="034737BE"/>
    <w:rsid w:val="035A7B2F"/>
    <w:rsid w:val="038CD868"/>
    <w:rsid w:val="03987EEA"/>
    <w:rsid w:val="039F466D"/>
    <w:rsid w:val="03BA33E2"/>
    <w:rsid w:val="03F0AF5A"/>
    <w:rsid w:val="03FB72B7"/>
    <w:rsid w:val="0404F42C"/>
    <w:rsid w:val="0407E09F"/>
    <w:rsid w:val="0414D72F"/>
    <w:rsid w:val="041E1564"/>
    <w:rsid w:val="045577D1"/>
    <w:rsid w:val="0461F344"/>
    <w:rsid w:val="047DB9CC"/>
    <w:rsid w:val="04A23680"/>
    <w:rsid w:val="04ECFB5A"/>
    <w:rsid w:val="0571FB54"/>
    <w:rsid w:val="057EC854"/>
    <w:rsid w:val="05942141"/>
    <w:rsid w:val="05B5E7F1"/>
    <w:rsid w:val="05D292CF"/>
    <w:rsid w:val="05EEE4C1"/>
    <w:rsid w:val="0602A92B"/>
    <w:rsid w:val="06245F86"/>
    <w:rsid w:val="0634BFF2"/>
    <w:rsid w:val="064D04F7"/>
    <w:rsid w:val="06567539"/>
    <w:rsid w:val="06C1E004"/>
    <w:rsid w:val="06E9FEA9"/>
    <w:rsid w:val="070A0BDD"/>
    <w:rsid w:val="0742E4B3"/>
    <w:rsid w:val="076394FE"/>
    <w:rsid w:val="0776B99C"/>
    <w:rsid w:val="078A274C"/>
    <w:rsid w:val="07EBCE4A"/>
    <w:rsid w:val="08394084"/>
    <w:rsid w:val="08443F16"/>
    <w:rsid w:val="085396EC"/>
    <w:rsid w:val="08D9195A"/>
    <w:rsid w:val="090CFAB1"/>
    <w:rsid w:val="090ED661"/>
    <w:rsid w:val="09146C6E"/>
    <w:rsid w:val="09BE3FEF"/>
    <w:rsid w:val="09EF5F9D"/>
    <w:rsid w:val="0A039D74"/>
    <w:rsid w:val="0A248347"/>
    <w:rsid w:val="0A29D5B8"/>
    <w:rsid w:val="0A32889F"/>
    <w:rsid w:val="0A932FE2"/>
    <w:rsid w:val="0A9BE245"/>
    <w:rsid w:val="0AA8348B"/>
    <w:rsid w:val="0AD99CCB"/>
    <w:rsid w:val="0B014CA1"/>
    <w:rsid w:val="0B140578"/>
    <w:rsid w:val="0B20A149"/>
    <w:rsid w:val="0B23E799"/>
    <w:rsid w:val="0B41AE8B"/>
    <w:rsid w:val="0B4CEF74"/>
    <w:rsid w:val="0B589F79"/>
    <w:rsid w:val="0B795E5D"/>
    <w:rsid w:val="0BAED30B"/>
    <w:rsid w:val="0BBF3A45"/>
    <w:rsid w:val="0BF7E085"/>
    <w:rsid w:val="0BFC81B5"/>
    <w:rsid w:val="0C7540FF"/>
    <w:rsid w:val="0CFA368A"/>
    <w:rsid w:val="0D152AED"/>
    <w:rsid w:val="0D6B63E8"/>
    <w:rsid w:val="0D81DB16"/>
    <w:rsid w:val="0D87D323"/>
    <w:rsid w:val="0DBF9FED"/>
    <w:rsid w:val="0DE7B3F8"/>
    <w:rsid w:val="0E59E8D5"/>
    <w:rsid w:val="0E8834E2"/>
    <w:rsid w:val="0E945849"/>
    <w:rsid w:val="0EC68E00"/>
    <w:rsid w:val="0EE619DE"/>
    <w:rsid w:val="0F2CE75F"/>
    <w:rsid w:val="0F32E90E"/>
    <w:rsid w:val="0F3C8C26"/>
    <w:rsid w:val="0F3E0DE6"/>
    <w:rsid w:val="0F7EE70F"/>
    <w:rsid w:val="0F7FFBC9"/>
    <w:rsid w:val="0F895143"/>
    <w:rsid w:val="0FAEAA5D"/>
    <w:rsid w:val="0FB2680E"/>
    <w:rsid w:val="0FDA946D"/>
    <w:rsid w:val="103146B2"/>
    <w:rsid w:val="10692B86"/>
    <w:rsid w:val="1079CE3B"/>
    <w:rsid w:val="1090DCF7"/>
    <w:rsid w:val="1092F69A"/>
    <w:rsid w:val="10EEBD68"/>
    <w:rsid w:val="10F00616"/>
    <w:rsid w:val="10F958AB"/>
    <w:rsid w:val="1121E2E4"/>
    <w:rsid w:val="11461241"/>
    <w:rsid w:val="11777E3E"/>
    <w:rsid w:val="118B905F"/>
    <w:rsid w:val="122AF5EE"/>
    <w:rsid w:val="125D37A7"/>
    <w:rsid w:val="12752F0F"/>
    <w:rsid w:val="12763ABB"/>
    <w:rsid w:val="127F6867"/>
    <w:rsid w:val="12857C99"/>
    <w:rsid w:val="129156FB"/>
    <w:rsid w:val="12ABB23B"/>
    <w:rsid w:val="12B1D2A7"/>
    <w:rsid w:val="12E7DFB3"/>
    <w:rsid w:val="1308C44E"/>
    <w:rsid w:val="131A0384"/>
    <w:rsid w:val="1321CCC7"/>
    <w:rsid w:val="132C4035"/>
    <w:rsid w:val="13328AC6"/>
    <w:rsid w:val="133C5B84"/>
    <w:rsid w:val="13C143DC"/>
    <w:rsid w:val="142011E6"/>
    <w:rsid w:val="1449E3A0"/>
    <w:rsid w:val="146E3C05"/>
    <w:rsid w:val="151518C3"/>
    <w:rsid w:val="15364342"/>
    <w:rsid w:val="15404055"/>
    <w:rsid w:val="1554FC63"/>
    <w:rsid w:val="158E0D7F"/>
    <w:rsid w:val="159D5283"/>
    <w:rsid w:val="15B048B7"/>
    <w:rsid w:val="15CD977C"/>
    <w:rsid w:val="15CEC4EC"/>
    <w:rsid w:val="16028720"/>
    <w:rsid w:val="165D7B86"/>
    <w:rsid w:val="165E1976"/>
    <w:rsid w:val="16C66006"/>
    <w:rsid w:val="170B2CA6"/>
    <w:rsid w:val="17158305"/>
    <w:rsid w:val="174B6B5E"/>
    <w:rsid w:val="175170C5"/>
    <w:rsid w:val="1754220F"/>
    <w:rsid w:val="17772524"/>
    <w:rsid w:val="178B097F"/>
    <w:rsid w:val="1795F586"/>
    <w:rsid w:val="17A04C23"/>
    <w:rsid w:val="17C7999E"/>
    <w:rsid w:val="17CA2400"/>
    <w:rsid w:val="17E344D8"/>
    <w:rsid w:val="187E8E71"/>
    <w:rsid w:val="18980FEC"/>
    <w:rsid w:val="18B14029"/>
    <w:rsid w:val="191C9241"/>
    <w:rsid w:val="193691EF"/>
    <w:rsid w:val="197D1B27"/>
    <w:rsid w:val="19819344"/>
    <w:rsid w:val="19EBB161"/>
    <w:rsid w:val="19F0A639"/>
    <w:rsid w:val="19FD726E"/>
    <w:rsid w:val="1A016C35"/>
    <w:rsid w:val="1A0D4098"/>
    <w:rsid w:val="1A6995E5"/>
    <w:rsid w:val="1A6ECECE"/>
    <w:rsid w:val="1AB302FD"/>
    <w:rsid w:val="1AE5F92F"/>
    <w:rsid w:val="1AED85F6"/>
    <w:rsid w:val="1B033D71"/>
    <w:rsid w:val="1B03CDBE"/>
    <w:rsid w:val="1B0C1B63"/>
    <w:rsid w:val="1B9700E7"/>
    <w:rsid w:val="1BBE57A0"/>
    <w:rsid w:val="1BE1E51A"/>
    <w:rsid w:val="1C09EBBE"/>
    <w:rsid w:val="1C1A144F"/>
    <w:rsid w:val="1C31E897"/>
    <w:rsid w:val="1CE27344"/>
    <w:rsid w:val="1CF320E3"/>
    <w:rsid w:val="1CF5202E"/>
    <w:rsid w:val="1D1DA3C7"/>
    <w:rsid w:val="1D483B6D"/>
    <w:rsid w:val="1D5352E3"/>
    <w:rsid w:val="1D5BBA56"/>
    <w:rsid w:val="1DFE2B81"/>
    <w:rsid w:val="1E147428"/>
    <w:rsid w:val="1E4607F1"/>
    <w:rsid w:val="1E518344"/>
    <w:rsid w:val="1E607524"/>
    <w:rsid w:val="1E9B1D41"/>
    <w:rsid w:val="1EAAC602"/>
    <w:rsid w:val="1EAB4412"/>
    <w:rsid w:val="1ED2714D"/>
    <w:rsid w:val="1EDED1AE"/>
    <w:rsid w:val="1F02DD8F"/>
    <w:rsid w:val="1F34EBF5"/>
    <w:rsid w:val="1F4F1E80"/>
    <w:rsid w:val="1F860B5B"/>
    <w:rsid w:val="1F905229"/>
    <w:rsid w:val="1FB51238"/>
    <w:rsid w:val="1FB6E093"/>
    <w:rsid w:val="1FEBF79D"/>
    <w:rsid w:val="20103745"/>
    <w:rsid w:val="201800B5"/>
    <w:rsid w:val="20550F5A"/>
    <w:rsid w:val="205C8BD4"/>
    <w:rsid w:val="208F0284"/>
    <w:rsid w:val="20901A81"/>
    <w:rsid w:val="209BE326"/>
    <w:rsid w:val="20B02F56"/>
    <w:rsid w:val="2148AB9F"/>
    <w:rsid w:val="215F1BC8"/>
    <w:rsid w:val="21697CB9"/>
    <w:rsid w:val="217AD137"/>
    <w:rsid w:val="217D217A"/>
    <w:rsid w:val="21AD1EA1"/>
    <w:rsid w:val="21D1A41D"/>
    <w:rsid w:val="21EA353E"/>
    <w:rsid w:val="22071DFD"/>
    <w:rsid w:val="2210A2F2"/>
    <w:rsid w:val="22413EFE"/>
    <w:rsid w:val="22517E9B"/>
    <w:rsid w:val="225A54A9"/>
    <w:rsid w:val="22FE2E30"/>
    <w:rsid w:val="2301FA1F"/>
    <w:rsid w:val="231B84B1"/>
    <w:rsid w:val="23794600"/>
    <w:rsid w:val="239728DE"/>
    <w:rsid w:val="239D6F76"/>
    <w:rsid w:val="23BAFE17"/>
    <w:rsid w:val="23D294B7"/>
    <w:rsid w:val="23E8793D"/>
    <w:rsid w:val="23FFB1C0"/>
    <w:rsid w:val="24001378"/>
    <w:rsid w:val="2464D09E"/>
    <w:rsid w:val="2471CF63"/>
    <w:rsid w:val="2474CAE6"/>
    <w:rsid w:val="24E186EE"/>
    <w:rsid w:val="24EB5665"/>
    <w:rsid w:val="2519B304"/>
    <w:rsid w:val="2553D832"/>
    <w:rsid w:val="259F6C91"/>
    <w:rsid w:val="25EF8BCF"/>
    <w:rsid w:val="25F1A695"/>
    <w:rsid w:val="25F2D8B2"/>
    <w:rsid w:val="2618CBAD"/>
    <w:rsid w:val="267F739E"/>
    <w:rsid w:val="268C89A3"/>
    <w:rsid w:val="271321F4"/>
    <w:rsid w:val="272AD291"/>
    <w:rsid w:val="2732F6D3"/>
    <w:rsid w:val="274EC86C"/>
    <w:rsid w:val="2771E3B9"/>
    <w:rsid w:val="2780C97A"/>
    <w:rsid w:val="27DD83A0"/>
    <w:rsid w:val="27EC45E2"/>
    <w:rsid w:val="2815A1B1"/>
    <w:rsid w:val="28302FAF"/>
    <w:rsid w:val="287194FB"/>
    <w:rsid w:val="28887EBA"/>
    <w:rsid w:val="289C66C8"/>
    <w:rsid w:val="28A196F1"/>
    <w:rsid w:val="29B9300E"/>
    <w:rsid w:val="29FBF7DE"/>
    <w:rsid w:val="2A025952"/>
    <w:rsid w:val="2A58DE64"/>
    <w:rsid w:val="2A759802"/>
    <w:rsid w:val="2AE16FB8"/>
    <w:rsid w:val="2AEFA68E"/>
    <w:rsid w:val="2AF3DF03"/>
    <w:rsid w:val="2BE63780"/>
    <w:rsid w:val="2BECA6B8"/>
    <w:rsid w:val="2BEE8E38"/>
    <w:rsid w:val="2C1BA5D6"/>
    <w:rsid w:val="2C2C4F9D"/>
    <w:rsid w:val="2C570722"/>
    <w:rsid w:val="2CD92DD1"/>
    <w:rsid w:val="2CE072E7"/>
    <w:rsid w:val="2CE3C3A2"/>
    <w:rsid w:val="2D90CC30"/>
    <w:rsid w:val="2DAC6064"/>
    <w:rsid w:val="2DB5BB3E"/>
    <w:rsid w:val="2DD1A445"/>
    <w:rsid w:val="2DDF136C"/>
    <w:rsid w:val="2DECA539"/>
    <w:rsid w:val="2DF0236F"/>
    <w:rsid w:val="2DF6C59F"/>
    <w:rsid w:val="2E21DFD5"/>
    <w:rsid w:val="2E24742F"/>
    <w:rsid w:val="2E354AEE"/>
    <w:rsid w:val="2E41DAC9"/>
    <w:rsid w:val="2E52A845"/>
    <w:rsid w:val="2E626ED7"/>
    <w:rsid w:val="2E6FC0C2"/>
    <w:rsid w:val="2E762A8C"/>
    <w:rsid w:val="2EB118AB"/>
    <w:rsid w:val="2EB20C25"/>
    <w:rsid w:val="2EE5724C"/>
    <w:rsid w:val="2EE87E8D"/>
    <w:rsid w:val="2F059840"/>
    <w:rsid w:val="2F115343"/>
    <w:rsid w:val="2F25D24F"/>
    <w:rsid w:val="2F7054CA"/>
    <w:rsid w:val="2F7A008A"/>
    <w:rsid w:val="2F7E4E25"/>
    <w:rsid w:val="2F86C980"/>
    <w:rsid w:val="2FC02CEA"/>
    <w:rsid w:val="2FE0EBE0"/>
    <w:rsid w:val="301DB8B1"/>
    <w:rsid w:val="3029050E"/>
    <w:rsid w:val="308C7591"/>
    <w:rsid w:val="308F53E3"/>
    <w:rsid w:val="3090AC21"/>
    <w:rsid w:val="30A83A23"/>
    <w:rsid w:val="30ACFC2E"/>
    <w:rsid w:val="3103EDD0"/>
    <w:rsid w:val="3130952D"/>
    <w:rsid w:val="31F39225"/>
    <w:rsid w:val="325286F6"/>
    <w:rsid w:val="3255C4D0"/>
    <w:rsid w:val="327B15B6"/>
    <w:rsid w:val="329CC1D5"/>
    <w:rsid w:val="329D5472"/>
    <w:rsid w:val="32C3E13E"/>
    <w:rsid w:val="331FD5CC"/>
    <w:rsid w:val="332066E9"/>
    <w:rsid w:val="3320AC18"/>
    <w:rsid w:val="335C0836"/>
    <w:rsid w:val="335FBDE5"/>
    <w:rsid w:val="33DD30EF"/>
    <w:rsid w:val="33DFF8C5"/>
    <w:rsid w:val="33F64D2A"/>
    <w:rsid w:val="341FB073"/>
    <w:rsid w:val="344A6FCD"/>
    <w:rsid w:val="34713ECB"/>
    <w:rsid w:val="347CD81B"/>
    <w:rsid w:val="3486E645"/>
    <w:rsid w:val="34A3065F"/>
    <w:rsid w:val="34AA6026"/>
    <w:rsid w:val="34CE66B4"/>
    <w:rsid w:val="34EE7471"/>
    <w:rsid w:val="34F67A72"/>
    <w:rsid w:val="351234B7"/>
    <w:rsid w:val="3523ED6D"/>
    <w:rsid w:val="35288065"/>
    <w:rsid w:val="35332E11"/>
    <w:rsid w:val="3584FEEE"/>
    <w:rsid w:val="358B55ED"/>
    <w:rsid w:val="35906C84"/>
    <w:rsid w:val="35A98D89"/>
    <w:rsid w:val="35C88FB9"/>
    <w:rsid w:val="35E979EC"/>
    <w:rsid w:val="360C799B"/>
    <w:rsid w:val="362E806E"/>
    <w:rsid w:val="363E3AF2"/>
    <w:rsid w:val="36408BFE"/>
    <w:rsid w:val="36460629"/>
    <w:rsid w:val="3670D603"/>
    <w:rsid w:val="36BA9FF4"/>
    <w:rsid w:val="3701B603"/>
    <w:rsid w:val="37586A9E"/>
    <w:rsid w:val="3760F71E"/>
    <w:rsid w:val="37B09510"/>
    <w:rsid w:val="37C8AE5E"/>
    <w:rsid w:val="37D27469"/>
    <w:rsid w:val="37EF9A26"/>
    <w:rsid w:val="37F45D3B"/>
    <w:rsid w:val="37FECCD6"/>
    <w:rsid w:val="387601D8"/>
    <w:rsid w:val="38991BA3"/>
    <w:rsid w:val="38E3223F"/>
    <w:rsid w:val="391131A7"/>
    <w:rsid w:val="3938A564"/>
    <w:rsid w:val="393E8A05"/>
    <w:rsid w:val="39589D25"/>
    <w:rsid w:val="3978D60F"/>
    <w:rsid w:val="3985DBD2"/>
    <w:rsid w:val="39B0359A"/>
    <w:rsid w:val="39CFDB6C"/>
    <w:rsid w:val="39FE4902"/>
    <w:rsid w:val="3A216A19"/>
    <w:rsid w:val="3A2BABEA"/>
    <w:rsid w:val="3A3C087C"/>
    <w:rsid w:val="3A3E08A4"/>
    <w:rsid w:val="3A479A8A"/>
    <w:rsid w:val="3A76BD18"/>
    <w:rsid w:val="3AC0568C"/>
    <w:rsid w:val="3AC55F34"/>
    <w:rsid w:val="3B025D6F"/>
    <w:rsid w:val="3B1758D0"/>
    <w:rsid w:val="3B216C2D"/>
    <w:rsid w:val="3B375493"/>
    <w:rsid w:val="3B53C736"/>
    <w:rsid w:val="3B61D661"/>
    <w:rsid w:val="3B672066"/>
    <w:rsid w:val="3B809BDB"/>
    <w:rsid w:val="3B95339A"/>
    <w:rsid w:val="3B989FCF"/>
    <w:rsid w:val="3BB63D78"/>
    <w:rsid w:val="3BF68FA7"/>
    <w:rsid w:val="3C029DA6"/>
    <w:rsid w:val="3C3CCEF3"/>
    <w:rsid w:val="3C74A114"/>
    <w:rsid w:val="3CCFA55A"/>
    <w:rsid w:val="3CF02C80"/>
    <w:rsid w:val="3CF8AED9"/>
    <w:rsid w:val="3D029BF6"/>
    <w:rsid w:val="3D6CB0FA"/>
    <w:rsid w:val="3D7EC817"/>
    <w:rsid w:val="3D93929F"/>
    <w:rsid w:val="3DC0B58C"/>
    <w:rsid w:val="3DCDBCE1"/>
    <w:rsid w:val="3DE476AC"/>
    <w:rsid w:val="3E087E7E"/>
    <w:rsid w:val="3E0FD21B"/>
    <w:rsid w:val="3E72436C"/>
    <w:rsid w:val="3E73B294"/>
    <w:rsid w:val="3E9AE778"/>
    <w:rsid w:val="3EEEB72B"/>
    <w:rsid w:val="3F1347B2"/>
    <w:rsid w:val="3F290A2E"/>
    <w:rsid w:val="3F801A3A"/>
    <w:rsid w:val="3F87C0EB"/>
    <w:rsid w:val="3FCBE803"/>
    <w:rsid w:val="3FCD4BBA"/>
    <w:rsid w:val="3FF86F5E"/>
    <w:rsid w:val="4010A377"/>
    <w:rsid w:val="405E097F"/>
    <w:rsid w:val="406DFB29"/>
    <w:rsid w:val="40C22B22"/>
    <w:rsid w:val="414CA357"/>
    <w:rsid w:val="41646F5E"/>
    <w:rsid w:val="4169013D"/>
    <w:rsid w:val="4218AFD8"/>
    <w:rsid w:val="422CD7EE"/>
    <w:rsid w:val="42BFDECD"/>
    <w:rsid w:val="42C27497"/>
    <w:rsid w:val="42C67ADE"/>
    <w:rsid w:val="42E41658"/>
    <w:rsid w:val="42E5F221"/>
    <w:rsid w:val="42FEEC96"/>
    <w:rsid w:val="43164E13"/>
    <w:rsid w:val="432212F0"/>
    <w:rsid w:val="43430222"/>
    <w:rsid w:val="434786D5"/>
    <w:rsid w:val="43652C95"/>
    <w:rsid w:val="436C4271"/>
    <w:rsid w:val="438B120F"/>
    <w:rsid w:val="43937444"/>
    <w:rsid w:val="439453DE"/>
    <w:rsid w:val="43A45762"/>
    <w:rsid w:val="43F82AD0"/>
    <w:rsid w:val="43F86202"/>
    <w:rsid w:val="44592693"/>
    <w:rsid w:val="44709E1E"/>
    <w:rsid w:val="448CCBF2"/>
    <w:rsid w:val="44DD9173"/>
    <w:rsid w:val="44F68BFF"/>
    <w:rsid w:val="4517AFAD"/>
    <w:rsid w:val="45291162"/>
    <w:rsid w:val="4531E76B"/>
    <w:rsid w:val="45452359"/>
    <w:rsid w:val="455FF76E"/>
    <w:rsid w:val="457D5DDF"/>
    <w:rsid w:val="459FBB50"/>
    <w:rsid w:val="45C6C782"/>
    <w:rsid w:val="45CF20C4"/>
    <w:rsid w:val="45D148BE"/>
    <w:rsid w:val="45F5FD55"/>
    <w:rsid w:val="463E0798"/>
    <w:rsid w:val="4652E9B7"/>
    <w:rsid w:val="466F4BD4"/>
    <w:rsid w:val="4682DAE1"/>
    <w:rsid w:val="46AAB6EC"/>
    <w:rsid w:val="46C22CFA"/>
    <w:rsid w:val="46C94B47"/>
    <w:rsid w:val="47014611"/>
    <w:rsid w:val="47045CE8"/>
    <w:rsid w:val="47056B64"/>
    <w:rsid w:val="4722ECFE"/>
    <w:rsid w:val="47358423"/>
    <w:rsid w:val="478584C3"/>
    <w:rsid w:val="479A8224"/>
    <w:rsid w:val="47B0B068"/>
    <w:rsid w:val="47D5C491"/>
    <w:rsid w:val="47E8D54E"/>
    <w:rsid w:val="47F12B52"/>
    <w:rsid w:val="48000A47"/>
    <w:rsid w:val="480032A5"/>
    <w:rsid w:val="4803748A"/>
    <w:rsid w:val="48212BA8"/>
    <w:rsid w:val="482A1FF4"/>
    <w:rsid w:val="48331426"/>
    <w:rsid w:val="486AB856"/>
    <w:rsid w:val="48A7B743"/>
    <w:rsid w:val="48B235BE"/>
    <w:rsid w:val="48C556E0"/>
    <w:rsid w:val="490EEB0A"/>
    <w:rsid w:val="49209504"/>
    <w:rsid w:val="495CBDCC"/>
    <w:rsid w:val="499B73D6"/>
    <w:rsid w:val="49A56585"/>
    <w:rsid w:val="49AF3421"/>
    <w:rsid w:val="49C41690"/>
    <w:rsid w:val="49CC34B2"/>
    <w:rsid w:val="49DC0661"/>
    <w:rsid w:val="4A06B56E"/>
    <w:rsid w:val="4A102198"/>
    <w:rsid w:val="4A20E018"/>
    <w:rsid w:val="4A65765C"/>
    <w:rsid w:val="4AAF2138"/>
    <w:rsid w:val="4AF173E9"/>
    <w:rsid w:val="4B164D2A"/>
    <w:rsid w:val="4B375F73"/>
    <w:rsid w:val="4B37B1E5"/>
    <w:rsid w:val="4B5401E7"/>
    <w:rsid w:val="4B8366E8"/>
    <w:rsid w:val="4BB25A80"/>
    <w:rsid w:val="4BC0366F"/>
    <w:rsid w:val="4BDAC836"/>
    <w:rsid w:val="4BF2C7BB"/>
    <w:rsid w:val="4C00CE7E"/>
    <w:rsid w:val="4C1A5B02"/>
    <w:rsid w:val="4C4054B7"/>
    <w:rsid w:val="4C44515B"/>
    <w:rsid w:val="4C7BB6A9"/>
    <w:rsid w:val="4CAA959A"/>
    <w:rsid w:val="4CC8314A"/>
    <w:rsid w:val="4CE96EF7"/>
    <w:rsid w:val="4D2C1EBF"/>
    <w:rsid w:val="4D4EEA00"/>
    <w:rsid w:val="4D62A034"/>
    <w:rsid w:val="4D7EC208"/>
    <w:rsid w:val="4D978636"/>
    <w:rsid w:val="4DD6A0AF"/>
    <w:rsid w:val="4DE25965"/>
    <w:rsid w:val="4E0B640A"/>
    <w:rsid w:val="4E2BBDA6"/>
    <w:rsid w:val="4E3558AD"/>
    <w:rsid w:val="4E4B96AD"/>
    <w:rsid w:val="4E5333C2"/>
    <w:rsid w:val="4E7AB646"/>
    <w:rsid w:val="4EDAA072"/>
    <w:rsid w:val="4EDE199A"/>
    <w:rsid w:val="4F00C955"/>
    <w:rsid w:val="4F3B4646"/>
    <w:rsid w:val="4F4D11BC"/>
    <w:rsid w:val="4F64B9E3"/>
    <w:rsid w:val="4F906C23"/>
    <w:rsid w:val="4FAFEC9D"/>
    <w:rsid w:val="504EE578"/>
    <w:rsid w:val="507440DD"/>
    <w:rsid w:val="507D7D21"/>
    <w:rsid w:val="507F36AC"/>
    <w:rsid w:val="509FA335"/>
    <w:rsid w:val="50B36D11"/>
    <w:rsid w:val="50BA706E"/>
    <w:rsid w:val="50EC02F9"/>
    <w:rsid w:val="50EC2207"/>
    <w:rsid w:val="512655AF"/>
    <w:rsid w:val="518C54E1"/>
    <w:rsid w:val="51A620AD"/>
    <w:rsid w:val="51A8F728"/>
    <w:rsid w:val="520B656A"/>
    <w:rsid w:val="52450D9A"/>
    <w:rsid w:val="524902F8"/>
    <w:rsid w:val="5255CA99"/>
    <w:rsid w:val="525A6C43"/>
    <w:rsid w:val="52767CFB"/>
    <w:rsid w:val="527FA7A9"/>
    <w:rsid w:val="52860A6B"/>
    <w:rsid w:val="528CC707"/>
    <w:rsid w:val="52AA47C5"/>
    <w:rsid w:val="52B022B5"/>
    <w:rsid w:val="52B30189"/>
    <w:rsid w:val="52B74719"/>
    <w:rsid w:val="52BDF733"/>
    <w:rsid w:val="53018CB0"/>
    <w:rsid w:val="5306573F"/>
    <w:rsid w:val="5309BE03"/>
    <w:rsid w:val="5312A27A"/>
    <w:rsid w:val="53164F8C"/>
    <w:rsid w:val="53B4C086"/>
    <w:rsid w:val="53D95CF7"/>
    <w:rsid w:val="53F844D1"/>
    <w:rsid w:val="545BD26E"/>
    <w:rsid w:val="54806B52"/>
    <w:rsid w:val="549DC7DD"/>
    <w:rsid w:val="54C221A4"/>
    <w:rsid w:val="54C375FA"/>
    <w:rsid w:val="54F08404"/>
    <w:rsid w:val="55451B8A"/>
    <w:rsid w:val="554C8BC2"/>
    <w:rsid w:val="55CC8470"/>
    <w:rsid w:val="55E5BF87"/>
    <w:rsid w:val="55ED83DD"/>
    <w:rsid w:val="55F3B433"/>
    <w:rsid w:val="55FA6A9D"/>
    <w:rsid w:val="56269398"/>
    <w:rsid w:val="5629ED7F"/>
    <w:rsid w:val="5634E4A1"/>
    <w:rsid w:val="566181B5"/>
    <w:rsid w:val="5663E159"/>
    <w:rsid w:val="568274B1"/>
    <w:rsid w:val="56B729BF"/>
    <w:rsid w:val="56B7A2F1"/>
    <w:rsid w:val="56F7B344"/>
    <w:rsid w:val="57012028"/>
    <w:rsid w:val="5710C27A"/>
    <w:rsid w:val="5742C073"/>
    <w:rsid w:val="575CB2D8"/>
    <w:rsid w:val="5781163C"/>
    <w:rsid w:val="57B45161"/>
    <w:rsid w:val="585AC64A"/>
    <w:rsid w:val="588874A9"/>
    <w:rsid w:val="58F2B3A1"/>
    <w:rsid w:val="58FA4EF3"/>
    <w:rsid w:val="591ECEDA"/>
    <w:rsid w:val="597F6626"/>
    <w:rsid w:val="5987EB56"/>
    <w:rsid w:val="598A4EA9"/>
    <w:rsid w:val="599954C6"/>
    <w:rsid w:val="59A0E308"/>
    <w:rsid w:val="5A31C2FE"/>
    <w:rsid w:val="5A33D525"/>
    <w:rsid w:val="5A55F963"/>
    <w:rsid w:val="5A9668AC"/>
    <w:rsid w:val="5A9CA054"/>
    <w:rsid w:val="5AC445D1"/>
    <w:rsid w:val="5AE5DE43"/>
    <w:rsid w:val="5B0354BB"/>
    <w:rsid w:val="5B12E16F"/>
    <w:rsid w:val="5B3AB11F"/>
    <w:rsid w:val="5B5AAF20"/>
    <w:rsid w:val="5B5AF83F"/>
    <w:rsid w:val="5BAED9E8"/>
    <w:rsid w:val="5BB5AB4D"/>
    <w:rsid w:val="5BC05C1A"/>
    <w:rsid w:val="5BC12667"/>
    <w:rsid w:val="5BDD6865"/>
    <w:rsid w:val="5C24E943"/>
    <w:rsid w:val="5C30BCB5"/>
    <w:rsid w:val="5C535582"/>
    <w:rsid w:val="5C8AB602"/>
    <w:rsid w:val="5CD635F2"/>
    <w:rsid w:val="5D0A6E3E"/>
    <w:rsid w:val="5D1C46E2"/>
    <w:rsid w:val="5D22FB10"/>
    <w:rsid w:val="5D916071"/>
    <w:rsid w:val="5D982519"/>
    <w:rsid w:val="5DA83C12"/>
    <w:rsid w:val="5DAED5AF"/>
    <w:rsid w:val="5DD254A5"/>
    <w:rsid w:val="5DF4047A"/>
    <w:rsid w:val="5E8EABCA"/>
    <w:rsid w:val="5EB1B805"/>
    <w:rsid w:val="5EB5F76C"/>
    <w:rsid w:val="5EE4C6BF"/>
    <w:rsid w:val="5EF5E24B"/>
    <w:rsid w:val="5F22A0AC"/>
    <w:rsid w:val="5F3B5233"/>
    <w:rsid w:val="5F5946E4"/>
    <w:rsid w:val="5F9A38F8"/>
    <w:rsid w:val="5FBEB592"/>
    <w:rsid w:val="5FCF7339"/>
    <w:rsid w:val="5FF6AD4B"/>
    <w:rsid w:val="5FF89A4F"/>
    <w:rsid w:val="600BFB0C"/>
    <w:rsid w:val="600C8337"/>
    <w:rsid w:val="600F61F4"/>
    <w:rsid w:val="6042BD42"/>
    <w:rsid w:val="6072D058"/>
    <w:rsid w:val="610CAA9E"/>
    <w:rsid w:val="61403BDD"/>
    <w:rsid w:val="6170208D"/>
    <w:rsid w:val="61C05B6E"/>
    <w:rsid w:val="61CDFB5E"/>
    <w:rsid w:val="61E07590"/>
    <w:rsid w:val="61EEA6C6"/>
    <w:rsid w:val="61FB848C"/>
    <w:rsid w:val="62269CED"/>
    <w:rsid w:val="623A02D8"/>
    <w:rsid w:val="62666124"/>
    <w:rsid w:val="627C2A32"/>
    <w:rsid w:val="627ECBDA"/>
    <w:rsid w:val="62902B44"/>
    <w:rsid w:val="629BF276"/>
    <w:rsid w:val="629D59B3"/>
    <w:rsid w:val="62A3DF7C"/>
    <w:rsid w:val="62B1781B"/>
    <w:rsid w:val="62D17E22"/>
    <w:rsid w:val="631BB9C4"/>
    <w:rsid w:val="633321BC"/>
    <w:rsid w:val="6337C4FC"/>
    <w:rsid w:val="63A63E2D"/>
    <w:rsid w:val="63CBE7E5"/>
    <w:rsid w:val="63E63D57"/>
    <w:rsid w:val="63F5DEFC"/>
    <w:rsid w:val="64159225"/>
    <w:rsid w:val="643A63B2"/>
    <w:rsid w:val="6446C7C5"/>
    <w:rsid w:val="64538C8C"/>
    <w:rsid w:val="64799D15"/>
    <w:rsid w:val="64CD209B"/>
    <w:rsid w:val="64D5EE86"/>
    <w:rsid w:val="65120D50"/>
    <w:rsid w:val="65413420"/>
    <w:rsid w:val="656ABBFF"/>
    <w:rsid w:val="656CAFC1"/>
    <w:rsid w:val="65B4A330"/>
    <w:rsid w:val="65B6DF01"/>
    <w:rsid w:val="65E23061"/>
    <w:rsid w:val="66142D95"/>
    <w:rsid w:val="661573E8"/>
    <w:rsid w:val="663CBAE6"/>
    <w:rsid w:val="6644C0E9"/>
    <w:rsid w:val="66B90B97"/>
    <w:rsid w:val="66C47F75"/>
    <w:rsid w:val="66F20C34"/>
    <w:rsid w:val="670C27E2"/>
    <w:rsid w:val="670EDE42"/>
    <w:rsid w:val="671BEDC6"/>
    <w:rsid w:val="6745B0C7"/>
    <w:rsid w:val="675793E5"/>
    <w:rsid w:val="6778D85A"/>
    <w:rsid w:val="67D7CA61"/>
    <w:rsid w:val="67DA6129"/>
    <w:rsid w:val="68AFB02B"/>
    <w:rsid w:val="692C6434"/>
    <w:rsid w:val="6937BD81"/>
    <w:rsid w:val="69386A63"/>
    <w:rsid w:val="6962BB5D"/>
    <w:rsid w:val="69B9E61F"/>
    <w:rsid w:val="69F09FE3"/>
    <w:rsid w:val="6A066F77"/>
    <w:rsid w:val="6A210077"/>
    <w:rsid w:val="6A5D8575"/>
    <w:rsid w:val="6AC311A6"/>
    <w:rsid w:val="6AC3561D"/>
    <w:rsid w:val="6ACD4251"/>
    <w:rsid w:val="6AEF497F"/>
    <w:rsid w:val="6B4FDEDA"/>
    <w:rsid w:val="6B917490"/>
    <w:rsid w:val="6B99BEC5"/>
    <w:rsid w:val="6BBAEFEE"/>
    <w:rsid w:val="6BC32023"/>
    <w:rsid w:val="6BD30BAB"/>
    <w:rsid w:val="6C16212F"/>
    <w:rsid w:val="6C354358"/>
    <w:rsid w:val="6C4162D9"/>
    <w:rsid w:val="6CDE7FDE"/>
    <w:rsid w:val="6CFEA538"/>
    <w:rsid w:val="6D0183AF"/>
    <w:rsid w:val="6D2E4C6B"/>
    <w:rsid w:val="6D2EC8B5"/>
    <w:rsid w:val="6D359CA8"/>
    <w:rsid w:val="6D3FA3FA"/>
    <w:rsid w:val="6D8DCE45"/>
    <w:rsid w:val="6DFF04DF"/>
    <w:rsid w:val="6E2BCC91"/>
    <w:rsid w:val="6E4EB89E"/>
    <w:rsid w:val="6E4F294F"/>
    <w:rsid w:val="6E514151"/>
    <w:rsid w:val="6E8B9D26"/>
    <w:rsid w:val="6E97EF98"/>
    <w:rsid w:val="6EFC20EF"/>
    <w:rsid w:val="6F0FF035"/>
    <w:rsid w:val="6F33E064"/>
    <w:rsid w:val="6FB67ED6"/>
    <w:rsid w:val="6FDB57B5"/>
    <w:rsid w:val="6FF17297"/>
    <w:rsid w:val="70117F28"/>
    <w:rsid w:val="701D39DE"/>
    <w:rsid w:val="7057A559"/>
    <w:rsid w:val="7061DA5F"/>
    <w:rsid w:val="7095B475"/>
    <w:rsid w:val="70B34E46"/>
    <w:rsid w:val="70CA2FE5"/>
    <w:rsid w:val="70ED0677"/>
    <w:rsid w:val="716FF0D3"/>
    <w:rsid w:val="71889086"/>
    <w:rsid w:val="71EDCA4B"/>
    <w:rsid w:val="71F2652E"/>
    <w:rsid w:val="72536030"/>
    <w:rsid w:val="726BB623"/>
    <w:rsid w:val="72902978"/>
    <w:rsid w:val="72ABE6C2"/>
    <w:rsid w:val="730B0345"/>
    <w:rsid w:val="731657D9"/>
    <w:rsid w:val="7317B6F1"/>
    <w:rsid w:val="7371073C"/>
    <w:rsid w:val="73AE9B3C"/>
    <w:rsid w:val="73C4EBA4"/>
    <w:rsid w:val="73D2857F"/>
    <w:rsid w:val="73F6D8FB"/>
    <w:rsid w:val="7405D20D"/>
    <w:rsid w:val="741B20C0"/>
    <w:rsid w:val="741D9323"/>
    <w:rsid w:val="742FAEF6"/>
    <w:rsid w:val="745B7E89"/>
    <w:rsid w:val="74B7AA55"/>
    <w:rsid w:val="74E07ECC"/>
    <w:rsid w:val="75056842"/>
    <w:rsid w:val="7551D191"/>
    <w:rsid w:val="7589E1B3"/>
    <w:rsid w:val="75C34AA6"/>
    <w:rsid w:val="75D3A64D"/>
    <w:rsid w:val="7618A465"/>
    <w:rsid w:val="763CF7C5"/>
    <w:rsid w:val="768FAE41"/>
    <w:rsid w:val="7692D908"/>
    <w:rsid w:val="7695AEEB"/>
    <w:rsid w:val="76A1AFAD"/>
    <w:rsid w:val="76AF5660"/>
    <w:rsid w:val="76BE20DE"/>
    <w:rsid w:val="76C7C82D"/>
    <w:rsid w:val="76CFF9A2"/>
    <w:rsid w:val="76E24556"/>
    <w:rsid w:val="7717B45F"/>
    <w:rsid w:val="774E6971"/>
    <w:rsid w:val="7769C9AE"/>
    <w:rsid w:val="779B84DD"/>
    <w:rsid w:val="77BF8CCD"/>
    <w:rsid w:val="77DA2B76"/>
    <w:rsid w:val="77DD5E70"/>
    <w:rsid w:val="77FF02D0"/>
    <w:rsid w:val="7836AC10"/>
    <w:rsid w:val="783FEE7E"/>
    <w:rsid w:val="787F4830"/>
    <w:rsid w:val="787FC29F"/>
    <w:rsid w:val="78ADFB11"/>
    <w:rsid w:val="78B69BC1"/>
    <w:rsid w:val="79102D3B"/>
    <w:rsid w:val="7925B5B1"/>
    <w:rsid w:val="79432827"/>
    <w:rsid w:val="7956E58C"/>
    <w:rsid w:val="79784619"/>
    <w:rsid w:val="7978CC7E"/>
    <w:rsid w:val="79C1F967"/>
    <w:rsid w:val="79D54EED"/>
    <w:rsid w:val="79DF68F4"/>
    <w:rsid w:val="7A03876C"/>
    <w:rsid w:val="7A2DEE9D"/>
    <w:rsid w:val="7A798277"/>
    <w:rsid w:val="7AFD48B9"/>
    <w:rsid w:val="7B13A4FC"/>
    <w:rsid w:val="7B19A436"/>
    <w:rsid w:val="7B3BF75E"/>
    <w:rsid w:val="7B7B8020"/>
    <w:rsid w:val="7BBB30A2"/>
    <w:rsid w:val="7BCEFC50"/>
    <w:rsid w:val="7BD6A314"/>
    <w:rsid w:val="7C15F854"/>
    <w:rsid w:val="7C1B2EDA"/>
    <w:rsid w:val="7C44C8C6"/>
    <w:rsid w:val="7CDB1079"/>
    <w:rsid w:val="7CE10CF2"/>
    <w:rsid w:val="7CEC8C29"/>
    <w:rsid w:val="7CEFAA47"/>
    <w:rsid w:val="7D323ACB"/>
    <w:rsid w:val="7D341AC1"/>
    <w:rsid w:val="7D412FBB"/>
    <w:rsid w:val="7D8F45A3"/>
    <w:rsid w:val="7D8FFEF7"/>
    <w:rsid w:val="7DBF4C97"/>
    <w:rsid w:val="7DC1A8D9"/>
    <w:rsid w:val="7DCC5F8F"/>
    <w:rsid w:val="7DD03483"/>
    <w:rsid w:val="7DEE796E"/>
    <w:rsid w:val="7E50F169"/>
    <w:rsid w:val="7E7311E4"/>
    <w:rsid w:val="7EA261DA"/>
    <w:rsid w:val="7ED1436B"/>
    <w:rsid w:val="7EDB589A"/>
    <w:rsid w:val="7F105B0F"/>
    <w:rsid w:val="7F32C778"/>
    <w:rsid w:val="7F4B3571"/>
    <w:rsid w:val="7F54280A"/>
    <w:rsid w:val="7F62F5DF"/>
    <w:rsid w:val="7F6C97F3"/>
    <w:rsid w:val="7F878E59"/>
    <w:rsid w:val="7FF75F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121C8"/>
  <w15:docId w15:val="{62F606C1-E69E-4500-AD53-717050E0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447CE2"/>
    <w:pPr>
      <w:spacing w:before="0" w:after="0"/>
      <w:ind w:left="0" w:firstLine="0"/>
    </w:pPr>
    <w:rPr>
      <w:lang w:val="en-US" w:eastAsia="en-US"/>
    </w:rPr>
  </w:style>
  <w:style w:type="paragraph" w:styleId="Heading1">
    <w:name w:val="heading 1"/>
    <w:basedOn w:val="Normal"/>
    <w:next w:val="BodyText"/>
    <w:link w:val="Heading1Char"/>
    <w:qFormat/>
    <w:locked/>
    <w:rsid w:val="00E81384"/>
    <w:pPr>
      <w:keepNext/>
      <w:numPr>
        <w:numId w:val="65"/>
      </w:numPr>
      <w:spacing w:before="400" w:after="600"/>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64"/>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4C5544"/>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3F21C3"/>
    <w:pPr>
      <w:spacing w:before="120"/>
      <w:ind w:left="0" w:firstLine="0"/>
    </w:pPr>
    <w:rPr>
      <w:rFonts w:ascii="Public Sans" w:eastAsia="Public Sans" w:hAnsi="Public Sans" w:cs="Arial"/>
      <w:iCs/>
      <w:sz w:val="22"/>
      <w:lang w:eastAsia="en-US"/>
    </w:rPr>
  </w:style>
  <w:style w:type="character" w:customStyle="1" w:styleId="BodyTextChar">
    <w:name w:val="Body Text Char"/>
    <w:basedOn w:val="DefaultParagraphFont"/>
    <w:link w:val="BodyText"/>
    <w:rsid w:val="003F21C3"/>
    <w:rPr>
      <w:rFonts w:ascii="Public Sans" w:eastAsia="Public Sans" w:hAnsi="Public Sans" w:cs="Arial"/>
      <w:iCs/>
      <w:sz w:val="22"/>
      <w:lang w:eastAsia="en-US"/>
    </w:rPr>
  </w:style>
  <w:style w:type="character" w:customStyle="1" w:styleId="Heading1Char">
    <w:name w:val="Heading 1 Char"/>
    <w:basedOn w:val="DefaultParagraphFont"/>
    <w:link w:val="Heading1"/>
    <w:rsid w:val="00E81384"/>
    <w:rPr>
      <w:rFonts w:ascii="Public Sans SemiBold" w:hAnsi="Public Sans SemiBold"/>
      <w:caps/>
      <w:color w:val="0B3F47"/>
      <w:kern w:val="28"/>
      <w:sz w:val="40"/>
      <w:szCs w:val="36"/>
      <w:lang w:eastAsia="en-US"/>
    </w:r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character" w:customStyle="1" w:styleId="Heading3Char">
    <w:name w:val="Heading 3 Char"/>
    <w:link w:val="Heading3"/>
    <w:rsid w:val="004C5544"/>
    <w:rPr>
      <w:rFonts w:ascii="Public Sans SemiBold" w:hAnsi="Public Sans SemiBold"/>
      <w:b/>
      <w:bCs/>
      <w:color w:val="000000" w:themeColor="text1"/>
      <w:kern w:val="28"/>
      <w:sz w:val="26"/>
      <w:szCs w:val="28"/>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0B3F47"/>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Bullet1">
    <w:name w:val="Bullet 1"/>
    <w:basedOn w:val="BodyText"/>
    <w:link w:val="Bullet1Char"/>
    <w:autoRedefine/>
    <w:qFormat/>
    <w:locked/>
    <w:rsid w:val="00F62A50"/>
    <w:pPr>
      <w:numPr>
        <w:numId w:val="22"/>
      </w:numPr>
      <w:tabs>
        <w:tab w:val="left" w:pos="8647"/>
      </w:tabs>
      <w:ind w:left="284" w:hanging="284"/>
    </w:pPr>
    <w:rPr>
      <w:rFonts w:eastAsiaTheme="minorEastAsia"/>
      <w:szCs w:val="23"/>
      <w:lang w:val="en-US" w:eastAsia="en-AU"/>
    </w:rPr>
  </w:style>
  <w:style w:type="character" w:customStyle="1" w:styleId="Bullet1Char">
    <w:name w:val="Bullet 1 Char"/>
    <w:link w:val="Bullet1"/>
    <w:rsid w:val="00F62A50"/>
    <w:rPr>
      <w:rFonts w:ascii="Public Sans" w:eastAsiaTheme="minorEastAsia" w:hAnsi="Public Sans" w:cs="Arial"/>
      <w:iCs/>
      <w:sz w:val="22"/>
      <w:szCs w:val="23"/>
      <w:lang w:val="en-US"/>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character" w:customStyle="1" w:styleId="NoSpacingChar">
    <w:name w:val="No Spacing Char"/>
    <w:link w:val="NoSpacing"/>
    <w:semiHidden/>
    <w:rsid w:val="005E013C"/>
    <w:rPr>
      <w:lang w:val="en-US" w:eastAsia="en-US"/>
    </w:rPr>
  </w:style>
  <w:style w:type="paragraph" w:customStyle="1" w:styleId="Bullet2">
    <w:name w:val="Bullet 2"/>
    <w:basedOn w:val="Bullet1"/>
    <w:locked/>
    <w:rsid w:val="00B946CE"/>
    <w:pPr>
      <w:numPr>
        <w:numId w:val="23"/>
      </w:numPr>
      <w:tabs>
        <w:tab w:val="left" w:pos="851"/>
      </w:tabs>
      <w:ind w:left="568" w:hanging="284"/>
    </w:pPr>
  </w:style>
  <w:style w:type="paragraph" w:customStyle="1" w:styleId="Table1X">
    <w:name w:val="Table 1.X"/>
    <w:next w:val="Normal"/>
    <w:semiHidden/>
    <w:qFormat/>
    <w:locked/>
    <w:rsid w:val="0025730F"/>
    <w:pPr>
      <w:numPr>
        <w:numId w:val="90"/>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uiPriority w:val="99"/>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B611C9"/>
    <w:pPr>
      <w:numPr>
        <w:numId w:val="0"/>
      </w:numPr>
      <w:ind w:left="851" w:hanging="851"/>
    </w:pPr>
  </w:style>
  <w:style w:type="paragraph" w:customStyle="1" w:styleId="11Heading2">
    <w:name w:val="1.1 Heading 2"/>
    <w:basedOn w:val="Normal"/>
    <w:semiHidden/>
    <w:qFormat/>
    <w:locked/>
    <w:rsid w:val="00B611C9"/>
    <w:pPr>
      <w:numPr>
        <w:numId w:val="3"/>
      </w:numPr>
      <w:pBdr>
        <w:bottom w:val="single" w:sz="4" w:space="4" w:color="22272B"/>
      </w:pBdr>
      <w:spacing w:before="360" w:after="120"/>
      <w:ind w:left="851" w:hanging="851"/>
    </w:pPr>
    <w:rPr>
      <w:rFonts w:ascii="Public Sans SemiBold" w:hAnsi="Public Sans SemiBold"/>
      <w:b/>
      <w:color w:val="22272B"/>
      <w:sz w:val="28"/>
      <w:lang w:val="en-AU"/>
    </w:rPr>
  </w:style>
  <w:style w:type="paragraph" w:customStyle="1" w:styleId="Chart1X">
    <w:name w:val="Chart 1.X"/>
    <w:basedOn w:val="Table1X"/>
    <w:next w:val="Normal"/>
    <w:semiHidden/>
    <w:locked/>
    <w:rsid w:val="00FA6338"/>
    <w:pPr>
      <w:keepLines/>
      <w:numPr>
        <w:numId w:val="27"/>
      </w:numPr>
      <w:ind w:left="1418" w:hanging="1418"/>
    </w:p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1XBoxHeading">
    <w:name w:val="Box 1.X: Box Heading"/>
    <w:basedOn w:val="Normal"/>
    <w:next w:val="Normal"/>
    <w:semiHidden/>
    <w:qFormat/>
    <w:locked/>
    <w:rsid w:val="00600F5D"/>
    <w:pPr>
      <w:numPr>
        <w:numId w:val="14"/>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semiHidden/>
    <w:qFormat/>
    <w:locked/>
    <w:rsid w:val="00600F5D"/>
    <w:pPr>
      <w:numPr>
        <w:numId w:val="15"/>
      </w:numPr>
    </w:pPr>
  </w:style>
  <w:style w:type="paragraph" w:customStyle="1" w:styleId="Box6XBoxHeading">
    <w:name w:val="Box 6.X: Box Heading"/>
    <w:basedOn w:val="Box1XBoxHeading"/>
    <w:autoRedefine/>
    <w:semiHidden/>
    <w:qFormat/>
    <w:locked/>
    <w:rsid w:val="00600F5D"/>
    <w:pPr>
      <w:keepLines/>
      <w:widowControl w:val="0"/>
      <w:numPr>
        <w:numId w:val="18"/>
      </w:numPr>
      <w:ind w:left="1134" w:hanging="1134"/>
    </w:pPr>
    <w:rPr>
      <w:rFonts w:eastAsia="Arial Unicode MS" w:cs="Arial"/>
      <w:bCs/>
      <w:szCs w:val="17"/>
      <w:lang w:eastAsia="en-AU"/>
    </w:rPr>
  </w:style>
  <w:style w:type="paragraph" w:customStyle="1" w:styleId="Box2XBoxHeading">
    <w:name w:val="Box 2.X: Box Heading"/>
    <w:basedOn w:val="Box1XBoxHeading"/>
    <w:semiHidden/>
    <w:qFormat/>
    <w:locked/>
    <w:rsid w:val="00600F5D"/>
    <w:pPr>
      <w:numPr>
        <w:numId w:val="88"/>
      </w:numPr>
      <w:ind w:left="1134" w:hanging="1134"/>
    </w:pPr>
  </w:style>
  <w:style w:type="paragraph" w:customStyle="1" w:styleId="Chart2X">
    <w:name w:val="Chart 2.X"/>
    <w:basedOn w:val="Chart1X"/>
    <w:next w:val="Normal"/>
    <w:semiHidden/>
    <w:locked/>
    <w:rsid w:val="00FA6338"/>
    <w:pPr>
      <w:numPr>
        <w:numId w:val="28"/>
      </w:numPr>
    </w:pPr>
  </w:style>
  <w:style w:type="paragraph" w:customStyle="1" w:styleId="Table2X">
    <w:name w:val="Table 2.X"/>
    <w:basedOn w:val="Table1X"/>
    <w:next w:val="Normal"/>
    <w:semiHidden/>
    <w:qFormat/>
    <w:locked/>
    <w:rsid w:val="00B61FAF"/>
    <w:pPr>
      <w:numPr>
        <w:numId w:val="73"/>
      </w:numPr>
      <w:ind w:left="1418" w:hanging="1418"/>
    </w:pPr>
    <w:rPr>
      <w:lang w:val="fr-FR"/>
    </w:rPr>
  </w:style>
  <w:style w:type="paragraph" w:customStyle="1" w:styleId="Table3X">
    <w:name w:val="Table 3.X"/>
    <w:basedOn w:val="Table1X"/>
    <w:next w:val="Normal"/>
    <w:semiHidden/>
    <w:locked/>
    <w:rsid w:val="0086714A"/>
    <w:pPr>
      <w:widowControl w:val="0"/>
      <w:numPr>
        <w:numId w:val="74"/>
      </w:numPr>
      <w:ind w:left="1418" w:hanging="1418"/>
    </w:pPr>
    <w:rPr>
      <w:bCs w:val="0"/>
    </w:rPr>
  </w:style>
  <w:style w:type="paragraph" w:customStyle="1" w:styleId="TableFX">
    <w:name w:val="Table F.X"/>
    <w:basedOn w:val="TableA1X"/>
    <w:next w:val="Normal"/>
    <w:semiHidden/>
    <w:locked/>
    <w:rsid w:val="00913FA1"/>
    <w:pPr>
      <w:widowControl w:val="0"/>
      <w:numPr>
        <w:numId w:val="87"/>
      </w:numPr>
      <w:ind w:left="1418" w:hanging="1418"/>
    </w:pPr>
    <w:rPr>
      <w:bCs w:val="0"/>
    </w:rPr>
  </w:style>
  <w:style w:type="paragraph" w:customStyle="1" w:styleId="TableA1X">
    <w:name w:val="Table A1.X"/>
    <w:basedOn w:val="Table1X"/>
    <w:next w:val="Normal"/>
    <w:semiHidden/>
    <w:qFormat/>
    <w:locked/>
    <w:rsid w:val="0086714A"/>
    <w:pPr>
      <w:numPr>
        <w:numId w:val="80"/>
      </w:numPr>
      <w:ind w:left="1418" w:hanging="1418"/>
    </w:pPr>
    <w:rPr>
      <w:rFonts w:eastAsia="Tahoma" w:cs="Tahoma"/>
    </w:rPr>
  </w:style>
  <w:style w:type="paragraph" w:customStyle="1" w:styleId="31Heading2">
    <w:name w:val="3.1 Heading 2"/>
    <w:basedOn w:val="11Heading2"/>
    <w:next w:val="BodyText"/>
    <w:semiHidden/>
    <w:qFormat/>
    <w:locked/>
    <w:rsid w:val="00B611C9"/>
    <w:pPr>
      <w:numPr>
        <w:numId w:val="4"/>
      </w:numPr>
    </w:pPr>
  </w:style>
  <w:style w:type="paragraph" w:customStyle="1" w:styleId="Box71BoxHeading">
    <w:name w:val="Box 7.1 Box Heading"/>
    <w:basedOn w:val="Normal"/>
    <w:autoRedefine/>
    <w:semiHidden/>
    <w:rsid w:val="00173234"/>
    <w:pPr>
      <w:keepLines/>
      <w:widowControl w:val="0"/>
      <w:numPr>
        <w:numId w:val="19"/>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FA6338"/>
    <w:pPr>
      <w:numPr>
        <w:numId w:val="91"/>
      </w:numPr>
      <w:ind w:left="1418" w:hanging="1418"/>
    </w:pPr>
  </w:style>
  <w:style w:type="paragraph" w:customStyle="1" w:styleId="41Heading2">
    <w:name w:val="4.1 Heading 2"/>
    <w:basedOn w:val="11Heading2"/>
    <w:next w:val="BodyText"/>
    <w:semiHidden/>
    <w:qFormat/>
    <w:locked/>
    <w:rsid w:val="00B611C9"/>
    <w:pPr>
      <w:numPr>
        <w:numId w:val="5"/>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6"/>
      </w:numPr>
      <w:ind w:left="1134" w:hanging="1134"/>
    </w:pPr>
    <w:rPr>
      <w:rFonts w:cs="Arial"/>
      <w:lang w:eastAsia="en-AU"/>
    </w:rPr>
  </w:style>
  <w:style w:type="paragraph" w:customStyle="1" w:styleId="Chart4X">
    <w:name w:val="Chart 4.X"/>
    <w:basedOn w:val="Chart1X"/>
    <w:next w:val="Normal"/>
    <w:semiHidden/>
    <w:locked/>
    <w:rsid w:val="00FA6338"/>
    <w:pPr>
      <w:numPr>
        <w:numId w:val="29"/>
      </w:numPr>
      <w:ind w:left="1418" w:hanging="1418"/>
    </w:pPr>
  </w:style>
  <w:style w:type="paragraph" w:customStyle="1" w:styleId="Table4X">
    <w:name w:val="Table 4.X"/>
    <w:basedOn w:val="Table1X"/>
    <w:next w:val="Normal"/>
    <w:semiHidden/>
    <w:locked/>
    <w:rsid w:val="0086714A"/>
    <w:pPr>
      <w:widowControl w:val="0"/>
      <w:numPr>
        <w:numId w:val="75"/>
      </w:numPr>
      <w:ind w:left="1418" w:hanging="1418"/>
    </w:pPr>
    <w:rPr>
      <w:bCs w:val="0"/>
    </w:rPr>
  </w:style>
  <w:style w:type="paragraph" w:customStyle="1" w:styleId="51Heading2">
    <w:name w:val="5.1 Heading 2"/>
    <w:basedOn w:val="11Heading2"/>
    <w:next w:val="BodyText"/>
    <w:semiHidden/>
    <w:qFormat/>
    <w:locked/>
    <w:rsid w:val="00B611C9"/>
    <w:pPr>
      <w:numPr>
        <w:numId w:val="6"/>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17"/>
      </w:numPr>
      <w:ind w:left="1134" w:hanging="1134"/>
    </w:pPr>
  </w:style>
  <w:style w:type="paragraph" w:customStyle="1" w:styleId="Chart5X">
    <w:name w:val="Chart 5.X"/>
    <w:basedOn w:val="Chart1X"/>
    <w:next w:val="Normal"/>
    <w:semiHidden/>
    <w:locked/>
    <w:rsid w:val="00FA6338"/>
    <w:pPr>
      <w:numPr>
        <w:numId w:val="30"/>
      </w:numPr>
      <w:ind w:left="1418" w:hanging="1418"/>
    </w:pPr>
  </w:style>
  <w:style w:type="paragraph" w:customStyle="1" w:styleId="Table5X">
    <w:name w:val="Table 5.X"/>
    <w:basedOn w:val="Table1X"/>
    <w:next w:val="Normal"/>
    <w:semiHidden/>
    <w:locked/>
    <w:rsid w:val="0086714A"/>
    <w:pPr>
      <w:widowControl w:val="0"/>
      <w:numPr>
        <w:numId w:val="76"/>
      </w:numPr>
      <w:ind w:left="1418" w:hanging="1418"/>
    </w:pPr>
    <w:rPr>
      <w:bCs w:val="0"/>
    </w:rPr>
  </w:style>
  <w:style w:type="paragraph" w:customStyle="1" w:styleId="Chart6X">
    <w:name w:val="Chart 6.X"/>
    <w:basedOn w:val="Chart1X"/>
    <w:next w:val="Normal"/>
    <w:semiHidden/>
    <w:qFormat/>
    <w:locked/>
    <w:rsid w:val="00FA6338"/>
    <w:pPr>
      <w:numPr>
        <w:numId w:val="31"/>
      </w:numPr>
      <w:ind w:left="1418" w:hanging="1418"/>
    </w:pPr>
  </w:style>
  <w:style w:type="paragraph" w:customStyle="1" w:styleId="Table6X">
    <w:name w:val="Table 6.X"/>
    <w:basedOn w:val="Table1X"/>
    <w:next w:val="Normal"/>
    <w:semiHidden/>
    <w:qFormat/>
    <w:locked/>
    <w:rsid w:val="0086714A"/>
    <w:pPr>
      <w:widowControl w:val="0"/>
      <w:numPr>
        <w:numId w:val="77"/>
      </w:numPr>
      <w:ind w:left="1418" w:hanging="1418"/>
    </w:pPr>
    <w:rPr>
      <w:bCs w:val="0"/>
    </w:rPr>
  </w:style>
  <w:style w:type="paragraph" w:customStyle="1" w:styleId="71Heading2">
    <w:name w:val="7.1 Heading 2"/>
    <w:basedOn w:val="11Heading2"/>
    <w:next w:val="BodyText"/>
    <w:semiHidden/>
    <w:qFormat/>
    <w:locked/>
    <w:rsid w:val="00B611C9"/>
    <w:pPr>
      <w:numPr>
        <w:numId w:val="8"/>
      </w:numPr>
      <w:ind w:left="851" w:hanging="851"/>
    </w:pPr>
    <w:rPr>
      <w:color w:val="000000" w:themeColor="text1"/>
    </w:rPr>
  </w:style>
  <w:style w:type="paragraph" w:customStyle="1" w:styleId="81Heading2">
    <w:name w:val="8.1 Heading 2"/>
    <w:basedOn w:val="11Heading2"/>
    <w:next w:val="BodyText"/>
    <w:qFormat/>
    <w:locked/>
    <w:rsid w:val="008F1F45"/>
    <w:pPr>
      <w:numPr>
        <w:numId w:val="9"/>
      </w:numPr>
    </w:pPr>
    <w:rPr>
      <w:color w:val="000000" w:themeColor="text1"/>
    </w:rPr>
  </w:style>
  <w:style w:type="paragraph" w:customStyle="1" w:styleId="Chart7X">
    <w:name w:val="Chart 7.X"/>
    <w:basedOn w:val="Chart1X"/>
    <w:next w:val="Normal"/>
    <w:semiHidden/>
    <w:qFormat/>
    <w:locked/>
    <w:rsid w:val="00FA6338"/>
    <w:pPr>
      <w:numPr>
        <w:numId w:val="32"/>
      </w:numPr>
      <w:ind w:left="1418" w:hanging="1418"/>
    </w:pPr>
  </w:style>
  <w:style w:type="paragraph" w:customStyle="1" w:styleId="Box7XBoxHeading">
    <w:name w:val="Box 7.X: Box Heading"/>
    <w:basedOn w:val="Box1XBoxHeading"/>
    <w:next w:val="Normal"/>
    <w:semiHidden/>
    <w:qFormat/>
    <w:locked/>
    <w:rsid w:val="00600F5D"/>
    <w:pPr>
      <w:numPr>
        <w:numId w:val="20"/>
      </w:numPr>
      <w:ind w:left="1134" w:hanging="1134"/>
    </w:pPr>
  </w:style>
  <w:style w:type="paragraph" w:customStyle="1" w:styleId="Table7X">
    <w:name w:val="Table 7.X"/>
    <w:basedOn w:val="Table1X"/>
    <w:next w:val="Normal"/>
    <w:semiHidden/>
    <w:qFormat/>
    <w:locked/>
    <w:rsid w:val="0086714A"/>
    <w:pPr>
      <w:numPr>
        <w:numId w:val="78"/>
      </w:numPr>
      <w:ind w:left="1418" w:hanging="1418"/>
    </w:pPr>
  </w:style>
  <w:style w:type="paragraph" w:customStyle="1" w:styleId="ChartEX">
    <w:name w:val="Chart E.X"/>
    <w:basedOn w:val="ChartA1X"/>
    <w:next w:val="Normal"/>
    <w:semiHidden/>
    <w:qFormat/>
    <w:locked/>
    <w:rsid w:val="00FA6338"/>
    <w:pPr>
      <w:numPr>
        <w:numId w:val="41"/>
      </w:numPr>
      <w:ind w:left="1418" w:hanging="1418"/>
    </w:pPr>
  </w:style>
  <w:style w:type="paragraph" w:customStyle="1" w:styleId="ChartA1X">
    <w:name w:val="Chart A1.X"/>
    <w:basedOn w:val="Chart1X"/>
    <w:next w:val="Normal"/>
    <w:semiHidden/>
    <w:qFormat/>
    <w:locked/>
    <w:rsid w:val="00FA6338"/>
    <w:pPr>
      <w:numPr>
        <w:numId w:val="33"/>
      </w:numPr>
      <w:ind w:left="1418" w:hanging="1418"/>
    </w:pPr>
    <w:rPr>
      <w:rFonts w:eastAsia="Tahoma" w:cs="Tahoma"/>
    </w:rPr>
  </w:style>
  <w:style w:type="paragraph" w:customStyle="1" w:styleId="ChartA2X">
    <w:name w:val="Chart A2.X"/>
    <w:basedOn w:val="ChartA1X"/>
    <w:next w:val="Normal"/>
    <w:semiHidden/>
    <w:qFormat/>
    <w:locked/>
    <w:rsid w:val="00FA6338"/>
    <w:pPr>
      <w:numPr>
        <w:numId w:val="34"/>
      </w:numPr>
    </w:pPr>
  </w:style>
  <w:style w:type="paragraph" w:customStyle="1" w:styleId="A22Heading2">
    <w:name w:val="A2.2 Heading 2"/>
    <w:basedOn w:val="11Heading2"/>
    <w:next w:val="BodyText"/>
    <w:semiHidden/>
    <w:qFormat/>
    <w:locked/>
    <w:rsid w:val="00600F5D"/>
    <w:pPr>
      <w:numPr>
        <w:numId w:val="10"/>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numPr>
        <w:numId w:val="81"/>
      </w:numPr>
      <w:autoSpaceDE w:val="0"/>
      <w:autoSpaceDN w:val="0"/>
    </w:pPr>
    <w:rPr>
      <w:rFonts w:cs="Arial"/>
      <w:lang w:eastAsia="en-AU"/>
    </w:rPr>
  </w:style>
  <w:style w:type="paragraph" w:customStyle="1" w:styleId="TableA3X">
    <w:name w:val="Table A3.X"/>
    <w:basedOn w:val="TableA1X"/>
    <w:next w:val="Normal"/>
    <w:semiHidden/>
    <w:qFormat/>
    <w:locked/>
    <w:rsid w:val="0086714A"/>
    <w:pPr>
      <w:widowControl w:val="0"/>
      <w:numPr>
        <w:numId w:val="82"/>
      </w:numPr>
      <w:ind w:left="1418" w:hanging="1418"/>
    </w:pPr>
    <w:rPr>
      <w:bCs w:val="0"/>
    </w:rPr>
  </w:style>
  <w:style w:type="paragraph" w:customStyle="1" w:styleId="A11Heading2">
    <w:name w:val="A1.1 Heading 2"/>
    <w:basedOn w:val="11Heading2"/>
    <w:next w:val="BodyText"/>
    <w:semiHidden/>
    <w:qFormat/>
    <w:locked/>
    <w:rsid w:val="00600F5D"/>
    <w:pPr>
      <w:numPr>
        <w:numId w:val="89"/>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3"/>
      </w:numPr>
      <w:ind w:left="851" w:hanging="851"/>
    </w:pPr>
    <w:rPr>
      <w:rFonts w:eastAsia="Tahoma" w:cs="Tahoma"/>
      <w:color w:val="000000" w:themeColor="text1"/>
    </w:rPr>
  </w:style>
  <w:style w:type="paragraph" w:customStyle="1" w:styleId="ChartBX">
    <w:name w:val="Chart B.X"/>
    <w:basedOn w:val="ChartA1X"/>
    <w:next w:val="Normal"/>
    <w:semiHidden/>
    <w:qFormat/>
    <w:locked/>
    <w:rsid w:val="00FA6338"/>
    <w:pPr>
      <w:numPr>
        <w:numId w:val="38"/>
      </w:numPr>
      <w:ind w:left="1418" w:hanging="1418"/>
    </w:pPr>
  </w:style>
  <w:style w:type="paragraph" w:customStyle="1" w:styleId="ChartCX">
    <w:name w:val="Chart C.X"/>
    <w:basedOn w:val="ChartA1X"/>
    <w:next w:val="Normal"/>
    <w:semiHidden/>
    <w:qFormat/>
    <w:locked/>
    <w:rsid w:val="00FA6338"/>
    <w:pPr>
      <w:numPr>
        <w:numId w:val="39"/>
      </w:numPr>
      <w:ind w:left="1418" w:hanging="1418"/>
    </w:pPr>
  </w:style>
  <w:style w:type="paragraph" w:customStyle="1" w:styleId="ChartDX">
    <w:name w:val="Chart D.X"/>
    <w:basedOn w:val="ChartA1X"/>
    <w:next w:val="Normal"/>
    <w:semiHidden/>
    <w:qFormat/>
    <w:locked/>
    <w:rsid w:val="00FA6338"/>
    <w:pPr>
      <w:numPr>
        <w:numId w:val="40"/>
      </w:numPr>
      <w:ind w:left="1418" w:hanging="1418"/>
    </w:pPr>
  </w:style>
  <w:style w:type="paragraph" w:customStyle="1" w:styleId="TableBX">
    <w:name w:val="Table B.X"/>
    <w:basedOn w:val="TableA1X"/>
    <w:next w:val="Normal"/>
    <w:semiHidden/>
    <w:qFormat/>
    <w:locked/>
    <w:rsid w:val="0086714A"/>
    <w:pPr>
      <w:numPr>
        <w:numId w:val="83"/>
      </w:numPr>
      <w:ind w:left="1418" w:hanging="1418"/>
    </w:pPr>
  </w:style>
  <w:style w:type="paragraph" w:customStyle="1" w:styleId="TableCX">
    <w:name w:val="Table C.X"/>
    <w:basedOn w:val="TableA1X"/>
    <w:next w:val="Normal"/>
    <w:semiHidden/>
    <w:qFormat/>
    <w:locked/>
    <w:rsid w:val="0086714A"/>
    <w:pPr>
      <w:numPr>
        <w:numId w:val="84"/>
      </w:numPr>
      <w:ind w:left="1418" w:hanging="1418"/>
    </w:pPr>
  </w:style>
  <w:style w:type="paragraph" w:customStyle="1" w:styleId="TableDX">
    <w:name w:val="Table D.X"/>
    <w:basedOn w:val="TableA1X"/>
    <w:next w:val="Normal"/>
    <w:semiHidden/>
    <w:qFormat/>
    <w:locked/>
    <w:rsid w:val="00B61FAF"/>
    <w:pPr>
      <w:numPr>
        <w:numId w:val="85"/>
      </w:numPr>
      <w:ind w:left="1418" w:hanging="1418"/>
    </w:pPr>
  </w:style>
  <w:style w:type="paragraph" w:customStyle="1" w:styleId="ChartA3X">
    <w:name w:val="Chart A3.X"/>
    <w:basedOn w:val="ChartA1X"/>
    <w:next w:val="Normal"/>
    <w:semiHidden/>
    <w:qFormat/>
    <w:locked/>
    <w:rsid w:val="00FA6338"/>
    <w:pPr>
      <w:numPr>
        <w:numId w:val="35"/>
      </w:numPr>
      <w:ind w:left="1418" w:hanging="1418"/>
    </w:pPr>
  </w:style>
  <w:style w:type="paragraph" w:customStyle="1" w:styleId="ChartFX">
    <w:name w:val="Chart F.X"/>
    <w:basedOn w:val="ChartA1X"/>
    <w:next w:val="Normal"/>
    <w:semiHidden/>
    <w:locked/>
    <w:rsid w:val="00FA6338"/>
    <w:pPr>
      <w:numPr>
        <w:numId w:val="42"/>
      </w:numPr>
      <w:ind w:left="1418" w:hanging="1418"/>
    </w:pPr>
  </w:style>
  <w:style w:type="paragraph" w:customStyle="1" w:styleId="61Heading2">
    <w:name w:val="6.1 Heading 2"/>
    <w:basedOn w:val="11Heading2"/>
    <w:next w:val="BodyText"/>
    <w:semiHidden/>
    <w:qFormat/>
    <w:locked/>
    <w:rsid w:val="00B611C9"/>
    <w:pPr>
      <w:numPr>
        <w:numId w:val="7"/>
      </w:numPr>
      <w:ind w:left="851" w:hanging="851"/>
    </w:pPr>
    <w:rPr>
      <w:color w:val="000000" w:themeColor="text1"/>
    </w:rPr>
  </w:style>
  <w:style w:type="paragraph" w:customStyle="1" w:styleId="A31Heading2">
    <w:name w:val="A3.1 Heading 2"/>
    <w:basedOn w:val="11Heading2"/>
    <w:semiHidden/>
    <w:qFormat/>
    <w:locked/>
    <w:rsid w:val="00600F5D"/>
    <w:pPr>
      <w:numPr>
        <w:numId w:val="11"/>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2"/>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6"/>
      </w:numPr>
      <w:ind w:left="851" w:hanging="851"/>
    </w:pPr>
    <w:rPr>
      <w:color w:val="000000" w:themeColor="text1"/>
    </w:rPr>
  </w:style>
  <w:style w:type="paragraph" w:customStyle="1" w:styleId="D1Heading2">
    <w:name w:val="D.1 Heading 2"/>
    <w:basedOn w:val="11Heading2"/>
    <w:next w:val="BodyText"/>
    <w:semiHidden/>
    <w:qFormat/>
    <w:locked/>
    <w:rsid w:val="00B53B6D"/>
    <w:pPr>
      <w:numPr>
        <w:numId w:val="43"/>
      </w:numPr>
      <w:ind w:left="851" w:hanging="851"/>
    </w:pPr>
  </w:style>
  <w:style w:type="paragraph" w:customStyle="1" w:styleId="E1Heading2">
    <w:name w:val="E.1 Heading 2"/>
    <w:basedOn w:val="11Heading2"/>
    <w:next w:val="BodyText"/>
    <w:semiHidden/>
    <w:qFormat/>
    <w:locked/>
    <w:rsid w:val="00B53B6D"/>
    <w:pPr>
      <w:numPr>
        <w:numId w:val="44"/>
      </w:numPr>
      <w:ind w:left="851" w:hanging="851"/>
    </w:pPr>
  </w:style>
  <w:style w:type="paragraph" w:customStyle="1" w:styleId="F1Heading2">
    <w:name w:val="F.1 Heading 2"/>
    <w:basedOn w:val="11Heading2"/>
    <w:semiHidden/>
    <w:qFormat/>
    <w:locked/>
    <w:rsid w:val="00B53B6D"/>
    <w:pPr>
      <w:numPr>
        <w:numId w:val="45"/>
      </w:numPr>
      <w:ind w:left="851" w:hanging="851"/>
    </w:pPr>
  </w:style>
  <w:style w:type="paragraph" w:customStyle="1" w:styleId="Table8X">
    <w:name w:val="Table 8.X"/>
    <w:basedOn w:val="Table1X"/>
    <w:next w:val="Normal"/>
    <w:qFormat/>
    <w:locked/>
    <w:rsid w:val="009E7E3E"/>
    <w:pPr>
      <w:numPr>
        <w:numId w:val="79"/>
      </w:numPr>
      <w:ind w:left="1418" w:hanging="1418"/>
    </w:pPr>
  </w:style>
  <w:style w:type="paragraph" w:customStyle="1" w:styleId="ChartA4X">
    <w:name w:val="Chart A4.X"/>
    <w:basedOn w:val="ChartA1X"/>
    <w:next w:val="Normal"/>
    <w:semiHidden/>
    <w:qFormat/>
    <w:locked/>
    <w:rsid w:val="00FA6338"/>
    <w:pPr>
      <w:numPr>
        <w:numId w:val="36"/>
      </w:numPr>
      <w:ind w:left="1418" w:hanging="1418"/>
    </w:pPr>
  </w:style>
  <w:style w:type="paragraph" w:customStyle="1" w:styleId="ChartA5X">
    <w:name w:val="Chart A5.X"/>
    <w:basedOn w:val="ChartA1X"/>
    <w:next w:val="Normal"/>
    <w:semiHidden/>
    <w:qFormat/>
    <w:locked/>
    <w:rsid w:val="00FA6338"/>
    <w:pPr>
      <w:numPr>
        <w:numId w:val="37"/>
      </w:numPr>
      <w:ind w:left="1418" w:hanging="1418"/>
    </w:pPr>
  </w:style>
  <w:style w:type="paragraph" w:customStyle="1" w:styleId="Box8XBoxHeading">
    <w:name w:val="Box 8.X: Box Heading"/>
    <w:basedOn w:val="Box1XBoxHeading"/>
    <w:next w:val="Normal"/>
    <w:qFormat/>
    <w:locked/>
    <w:rsid w:val="00600F5D"/>
    <w:pPr>
      <w:numPr>
        <w:numId w:val="21"/>
      </w:numPr>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25730F"/>
    <w:pPr>
      <w:widowControl w:val="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2"/>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46"/>
      </w:numPr>
      <w:ind w:left="1418" w:hanging="1418"/>
    </w:pPr>
  </w:style>
  <w:style w:type="paragraph" w:customStyle="1" w:styleId="Figure2X">
    <w:name w:val="Figure 2.X"/>
    <w:basedOn w:val="Figure1X"/>
    <w:next w:val="Normal"/>
    <w:semiHidden/>
    <w:qFormat/>
    <w:rsid w:val="00597E5A"/>
    <w:pPr>
      <w:numPr>
        <w:numId w:val="47"/>
      </w:numPr>
    </w:pPr>
  </w:style>
  <w:style w:type="paragraph" w:customStyle="1" w:styleId="Figure3X">
    <w:name w:val="Figure 3.X"/>
    <w:basedOn w:val="Figure1X"/>
    <w:next w:val="Normal"/>
    <w:semiHidden/>
    <w:qFormat/>
    <w:rsid w:val="00597E5A"/>
    <w:pPr>
      <w:numPr>
        <w:numId w:val="48"/>
      </w:numPr>
      <w:ind w:left="1418" w:hanging="1418"/>
    </w:pPr>
  </w:style>
  <w:style w:type="paragraph" w:customStyle="1" w:styleId="Figure4X">
    <w:name w:val="Figure 4.X"/>
    <w:basedOn w:val="Figure1X"/>
    <w:next w:val="Normal"/>
    <w:semiHidden/>
    <w:qFormat/>
    <w:rsid w:val="00597E5A"/>
    <w:pPr>
      <w:numPr>
        <w:numId w:val="49"/>
      </w:numPr>
      <w:ind w:left="1418" w:hanging="1418"/>
    </w:pPr>
  </w:style>
  <w:style w:type="paragraph" w:customStyle="1" w:styleId="Figure5X">
    <w:name w:val="Figure 5.X"/>
    <w:basedOn w:val="Figure1X"/>
    <w:next w:val="Normal"/>
    <w:semiHidden/>
    <w:qFormat/>
    <w:rsid w:val="00597E5A"/>
    <w:pPr>
      <w:numPr>
        <w:numId w:val="50"/>
      </w:numPr>
      <w:ind w:left="1418" w:hanging="1418"/>
    </w:pPr>
  </w:style>
  <w:style w:type="paragraph" w:customStyle="1" w:styleId="Figure6X">
    <w:name w:val="Figure 6.X"/>
    <w:basedOn w:val="Figure1X"/>
    <w:next w:val="Normal"/>
    <w:semiHidden/>
    <w:qFormat/>
    <w:rsid w:val="00597E5A"/>
    <w:pPr>
      <w:numPr>
        <w:numId w:val="51"/>
      </w:numPr>
      <w:ind w:left="1418" w:hanging="1418"/>
    </w:pPr>
  </w:style>
  <w:style w:type="paragraph" w:customStyle="1" w:styleId="Figure7X">
    <w:name w:val="Figure 7.X"/>
    <w:basedOn w:val="Figure1X"/>
    <w:next w:val="Normal"/>
    <w:semiHidden/>
    <w:qFormat/>
    <w:rsid w:val="00597E5A"/>
    <w:pPr>
      <w:numPr>
        <w:numId w:val="52"/>
      </w:numPr>
      <w:ind w:left="1418" w:hanging="1418"/>
    </w:pPr>
  </w:style>
  <w:style w:type="paragraph" w:customStyle="1" w:styleId="Figure8X">
    <w:name w:val="Figure 8.X"/>
    <w:basedOn w:val="Figure7X"/>
    <w:next w:val="Normal"/>
    <w:qFormat/>
    <w:rsid w:val="00597E5A"/>
    <w:pPr>
      <w:numPr>
        <w:numId w:val="53"/>
      </w:numPr>
    </w:pPr>
  </w:style>
  <w:style w:type="paragraph" w:customStyle="1" w:styleId="FigureA1X">
    <w:name w:val="Figure A1.X"/>
    <w:basedOn w:val="Figure1X"/>
    <w:next w:val="Normal"/>
    <w:semiHidden/>
    <w:qFormat/>
    <w:rsid w:val="00597E5A"/>
    <w:pPr>
      <w:numPr>
        <w:numId w:val="54"/>
      </w:numPr>
      <w:ind w:left="1418" w:hanging="1418"/>
    </w:pPr>
  </w:style>
  <w:style w:type="paragraph" w:customStyle="1" w:styleId="FigureA2X">
    <w:name w:val="Figure A2.X"/>
    <w:basedOn w:val="Figure1X"/>
    <w:next w:val="Normal"/>
    <w:semiHidden/>
    <w:qFormat/>
    <w:rsid w:val="00597E5A"/>
    <w:pPr>
      <w:numPr>
        <w:numId w:val="55"/>
      </w:numPr>
      <w:ind w:left="1418" w:hanging="1418"/>
    </w:pPr>
  </w:style>
  <w:style w:type="paragraph" w:customStyle="1" w:styleId="FigureA3X">
    <w:name w:val="Figure A3.X"/>
    <w:basedOn w:val="Figure1X"/>
    <w:next w:val="Normal"/>
    <w:semiHidden/>
    <w:qFormat/>
    <w:rsid w:val="00597E5A"/>
    <w:pPr>
      <w:numPr>
        <w:numId w:val="56"/>
      </w:numPr>
      <w:ind w:left="1418" w:hanging="1418"/>
    </w:pPr>
  </w:style>
  <w:style w:type="paragraph" w:customStyle="1" w:styleId="FigureA4X">
    <w:name w:val="Figure A4.X"/>
    <w:basedOn w:val="Figure1X"/>
    <w:next w:val="Normal"/>
    <w:semiHidden/>
    <w:qFormat/>
    <w:rsid w:val="00597E5A"/>
    <w:pPr>
      <w:numPr>
        <w:numId w:val="57"/>
      </w:numPr>
      <w:ind w:left="1418" w:hanging="1418"/>
    </w:pPr>
  </w:style>
  <w:style w:type="paragraph" w:customStyle="1" w:styleId="FigureA5X">
    <w:name w:val="Figure A5.X"/>
    <w:basedOn w:val="Figure1X"/>
    <w:next w:val="Normal"/>
    <w:semiHidden/>
    <w:qFormat/>
    <w:rsid w:val="0086714A"/>
    <w:pPr>
      <w:numPr>
        <w:numId w:val="58"/>
      </w:numPr>
      <w:ind w:left="1418" w:hanging="1418"/>
    </w:pPr>
  </w:style>
  <w:style w:type="paragraph" w:customStyle="1" w:styleId="FigureBX">
    <w:name w:val="Figure B.X"/>
    <w:basedOn w:val="Figure1X"/>
    <w:semiHidden/>
    <w:qFormat/>
    <w:rsid w:val="0086714A"/>
    <w:pPr>
      <w:numPr>
        <w:numId w:val="59"/>
      </w:numPr>
      <w:ind w:left="1418" w:hanging="1418"/>
    </w:pPr>
  </w:style>
  <w:style w:type="paragraph" w:customStyle="1" w:styleId="FigureCX">
    <w:name w:val="Figure C.X"/>
    <w:basedOn w:val="Figure1X"/>
    <w:next w:val="Normal"/>
    <w:semiHidden/>
    <w:qFormat/>
    <w:rsid w:val="0086714A"/>
    <w:pPr>
      <w:numPr>
        <w:numId w:val="60"/>
      </w:numPr>
      <w:ind w:left="1418" w:hanging="1418"/>
    </w:pPr>
  </w:style>
  <w:style w:type="paragraph" w:customStyle="1" w:styleId="FigureDX">
    <w:name w:val="Figure D.X"/>
    <w:basedOn w:val="Figure1X"/>
    <w:next w:val="Normal"/>
    <w:semiHidden/>
    <w:qFormat/>
    <w:rsid w:val="0086714A"/>
    <w:pPr>
      <w:numPr>
        <w:numId w:val="61"/>
      </w:numPr>
      <w:ind w:left="1418" w:hanging="1418"/>
    </w:pPr>
  </w:style>
  <w:style w:type="paragraph" w:customStyle="1" w:styleId="FigureEX">
    <w:name w:val="Figure E.X"/>
    <w:basedOn w:val="Figure1X"/>
    <w:next w:val="Normal"/>
    <w:semiHidden/>
    <w:qFormat/>
    <w:rsid w:val="0086714A"/>
    <w:pPr>
      <w:numPr>
        <w:numId w:val="62"/>
      </w:numPr>
      <w:ind w:left="1418" w:hanging="1418"/>
    </w:pPr>
  </w:style>
  <w:style w:type="paragraph" w:customStyle="1" w:styleId="FigureFX">
    <w:name w:val="Figure F.X"/>
    <w:basedOn w:val="Figure1X"/>
    <w:next w:val="Normal"/>
    <w:semiHidden/>
    <w:qFormat/>
    <w:rsid w:val="0086714A"/>
    <w:pPr>
      <w:numPr>
        <w:numId w:val="63"/>
      </w:numPr>
      <w:ind w:left="1418" w:hanging="1418"/>
    </w:pPr>
  </w:style>
  <w:style w:type="paragraph" w:customStyle="1" w:styleId="Bullet3">
    <w:name w:val="Bullet 3"/>
    <w:basedOn w:val="Bullet2"/>
    <w:next w:val="BodyText"/>
    <w:qFormat/>
    <w:rsid w:val="00FA6338"/>
    <w:pPr>
      <w:numPr>
        <w:numId w:val="24"/>
      </w:numPr>
      <w:tabs>
        <w:tab w:val="clear" w:pos="851"/>
        <w:tab w:val="clear" w:pos="8647"/>
      </w:tabs>
      <w:ind w:left="851" w:hanging="284"/>
    </w:pPr>
  </w:style>
  <w:style w:type="paragraph" w:customStyle="1" w:styleId="TableEX">
    <w:name w:val="Table E.X"/>
    <w:basedOn w:val="TableDX"/>
    <w:next w:val="BodyText"/>
    <w:semiHidden/>
    <w:qFormat/>
    <w:rsid w:val="00B61352"/>
    <w:pPr>
      <w:numPr>
        <w:numId w:val="86"/>
      </w:numPr>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5"/>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semiHidden/>
    <w:rsid w:val="00173234"/>
  </w:style>
  <w:style w:type="character" w:customStyle="1" w:styleId="CommentTextChar">
    <w:name w:val="Comment Text Char"/>
    <w:basedOn w:val="DefaultParagraphFont"/>
    <w:link w:val="CommentText"/>
    <w:uiPriority w:val="99"/>
    <w:semiHidden/>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66"/>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semiHidden/>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67"/>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68"/>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69"/>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0"/>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1"/>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2"/>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paragraph" w:customStyle="1" w:styleId="Chart8X">
    <w:name w:val="Chart 8.X"/>
    <w:basedOn w:val="Chart7X"/>
    <w:qFormat/>
    <w:rsid w:val="00CB3AA5"/>
    <w:pPr>
      <w:numPr>
        <w:numId w:val="92"/>
      </w:numPr>
      <w:ind w:left="1418" w:hanging="1418"/>
    </w:pPr>
  </w:style>
  <w:style w:type="table" w:customStyle="1" w:styleId="TableGrid2">
    <w:name w:val="Table Grid2"/>
    <w:basedOn w:val="TableNormal"/>
    <w:next w:val="TableGrid"/>
    <w:uiPriority w:val="39"/>
    <w:rsid w:val="000F7EB5"/>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7EB5"/>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20DD"/>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3Footnote">
    <w:name w:val="BP3 Footnote"/>
    <w:basedOn w:val="Normal"/>
    <w:link w:val="BP3FootnoteChar"/>
    <w:qFormat/>
    <w:rsid w:val="008B4055"/>
    <w:pPr>
      <w:widowControl w:val="0"/>
      <w:tabs>
        <w:tab w:val="left" w:pos="364"/>
        <w:tab w:val="right" w:pos="4196"/>
        <w:tab w:val="right" w:pos="5046"/>
        <w:tab w:val="right" w:pos="5897"/>
        <w:tab w:val="right" w:pos="6747"/>
        <w:tab w:val="right" w:pos="7598"/>
      </w:tabs>
      <w:autoSpaceDE w:val="0"/>
      <w:autoSpaceDN w:val="0"/>
      <w:spacing w:before="100" w:after="60"/>
      <w:ind w:left="366" w:hanging="360"/>
      <w:contextualSpacing/>
    </w:pPr>
    <w:rPr>
      <w:rFonts w:ascii="Public Sans" w:hAnsi="Public Sans" w:cs="Arial"/>
      <w:kern w:val="28"/>
      <w:sz w:val="17"/>
      <w:szCs w:val="17"/>
    </w:rPr>
  </w:style>
  <w:style w:type="character" w:customStyle="1" w:styleId="BP3FootnoteChar">
    <w:name w:val="BP3 Footnote Char"/>
    <w:basedOn w:val="DefaultParagraphFont"/>
    <w:link w:val="BP3Footnote"/>
    <w:rsid w:val="008B4055"/>
    <w:rPr>
      <w:rFonts w:ascii="Public Sans" w:hAnsi="Public Sans" w:cs="Arial"/>
      <w:kern w:val="28"/>
      <w:sz w:val="17"/>
      <w:szCs w:val="17"/>
      <w:lang w:val="en-US" w:eastAsia="en-US"/>
    </w:rPr>
  </w:style>
  <w:style w:type="character" w:customStyle="1" w:styleId="ui-provider">
    <w:name w:val="ui-provider"/>
    <w:basedOn w:val="DefaultParagraphFont"/>
    <w:rsid w:val="008B4055"/>
  </w:style>
  <w:style w:type="paragraph" w:styleId="Revision">
    <w:name w:val="Revision"/>
    <w:hidden/>
    <w:uiPriority w:val="99"/>
    <w:semiHidden/>
    <w:rsid w:val="004C2D97"/>
    <w:pPr>
      <w:spacing w:before="0" w:after="0"/>
      <w:ind w:left="0" w:firstLine="0"/>
    </w:pPr>
    <w:rPr>
      <w:lang w:val="en-US" w:eastAsia="en-US"/>
    </w:rPr>
  </w:style>
  <w:style w:type="character" w:styleId="Mention">
    <w:name w:val="Mention"/>
    <w:basedOn w:val="DefaultParagraphFont"/>
    <w:uiPriority w:val="99"/>
    <w:semiHidden/>
    <w:rsid w:val="00D2447D"/>
    <w:rPr>
      <w:color w:val="2B579A"/>
      <w:shd w:val="clear" w:color="auto" w:fill="E1DFDD"/>
    </w:rPr>
  </w:style>
  <w:style w:type="table" w:customStyle="1" w:styleId="TableGrid4">
    <w:name w:val="Table Grid4"/>
    <w:basedOn w:val="TableNormal"/>
    <w:next w:val="TableGrid"/>
    <w:uiPriority w:val="39"/>
    <w:rsid w:val="000D55A6"/>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01A7A"/>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83A72"/>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3TableTextHeading">
    <w:name w:val="BP3 Table Text Heading"/>
    <w:basedOn w:val="Normal"/>
    <w:link w:val="BP3TableTextHeadingChar"/>
    <w:uiPriority w:val="1"/>
    <w:qFormat/>
    <w:rsid w:val="00216B8F"/>
    <w:pPr>
      <w:spacing w:before="80" w:after="60"/>
    </w:pPr>
    <w:rPr>
      <w:rFonts w:ascii="Public Sans" w:eastAsia="Yu Gothic Light" w:hAnsi="Public Sans" w:cs="Arial"/>
      <w:b/>
      <w:bCs/>
      <w:sz w:val="18"/>
      <w:szCs w:val="18"/>
      <w:lang w:val="en-AU"/>
    </w:rPr>
  </w:style>
  <w:style w:type="character" w:customStyle="1" w:styleId="BP3TableTextHeadingChar">
    <w:name w:val="BP3 Table Text Heading Char"/>
    <w:basedOn w:val="DefaultParagraphFont"/>
    <w:link w:val="BP3TableTextHeading"/>
    <w:uiPriority w:val="1"/>
    <w:rsid w:val="00216B8F"/>
    <w:rPr>
      <w:rFonts w:ascii="Public Sans" w:eastAsia="Yu Gothic Light" w:hAnsi="Public Sans" w:cs="Arial"/>
      <w:b/>
      <w:bCs/>
      <w:sz w:val="18"/>
      <w:szCs w:val="18"/>
      <w:lang w:eastAsia="en-US"/>
    </w:rPr>
  </w:style>
  <w:style w:type="paragraph" w:customStyle="1" w:styleId="BulletPointStyle">
    <w:name w:val="Bullet Point Style"/>
    <w:basedOn w:val="BodyText"/>
    <w:link w:val="BulletPointStyleChar"/>
    <w:qFormat/>
    <w:rsid w:val="00087F48"/>
    <w:pPr>
      <w:spacing w:before="0" w:after="80" w:line="280" w:lineRule="exact"/>
      <w:ind w:left="360" w:hanging="360"/>
    </w:pPr>
    <w:rPr>
      <w:rFonts w:ascii="Garamond" w:hAnsi="Garamond" w:cs="Times New Roman"/>
      <w:iCs w:val="0"/>
      <w:sz w:val="24"/>
      <w:lang w:val="en-US" w:eastAsia="x-none"/>
    </w:rPr>
  </w:style>
  <w:style w:type="character" w:customStyle="1" w:styleId="BulletPointStyleChar">
    <w:name w:val="Bullet Point Style Char"/>
    <w:link w:val="BulletPointStyle"/>
    <w:rsid w:val="00087F48"/>
    <w:rPr>
      <w:rFonts w:ascii="Garamond" w:eastAsia="Public Sans" w:hAnsi="Garamond"/>
      <w:sz w:val="24"/>
      <w:lang w:val="en-US" w:eastAsia="x-none"/>
    </w:rPr>
  </w:style>
  <w:style w:type="numbering" w:customStyle="1" w:styleId="BulletPoints">
    <w:name w:val="Bullet Points"/>
    <w:uiPriority w:val="99"/>
    <w:rsid w:val="00087F48"/>
    <w:pPr>
      <w:numPr>
        <w:numId w:val="98"/>
      </w:numPr>
    </w:pPr>
  </w:style>
  <w:style w:type="character" w:customStyle="1" w:styleId="normaltextrun">
    <w:name w:val="normaltextrun"/>
    <w:basedOn w:val="DefaultParagraphFont"/>
    <w:uiPriority w:val="1"/>
    <w:rsid w:val="002A59A5"/>
    <w:rPr>
      <w:rFonts w:ascii="Times New Roman" w:eastAsia="Times New Roman" w:hAnsi="Times New Roman" w:cs="Times New Roman"/>
    </w:rPr>
  </w:style>
  <w:style w:type="character" w:customStyle="1" w:styleId="eop">
    <w:name w:val="eop"/>
    <w:basedOn w:val="DefaultParagraphFont"/>
    <w:uiPriority w:val="1"/>
    <w:rsid w:val="002A59A5"/>
    <w:rPr>
      <w:rFonts w:ascii="Times New Roman" w:eastAsia="Times New Roman" w:hAnsi="Times New Roman" w:cs="Times New Roman"/>
    </w:rPr>
  </w:style>
  <w:style w:type="paragraph" w:customStyle="1" w:styleId="BP3Heading1">
    <w:name w:val="BP3 Heading 1"/>
    <w:basedOn w:val="Heading1"/>
    <w:link w:val="BP3Heading1Char"/>
    <w:qFormat/>
    <w:rsid w:val="002336E5"/>
    <w:pPr>
      <w:tabs>
        <w:tab w:val="left" w:pos="993"/>
      </w:tabs>
      <w:spacing w:before="0"/>
      <w:ind w:left="851" w:hanging="851"/>
    </w:pPr>
    <w:rPr>
      <w:rFonts w:cs="Arial"/>
      <w:caps w:val="0"/>
    </w:rPr>
  </w:style>
  <w:style w:type="character" w:customStyle="1" w:styleId="BP3Heading1Char">
    <w:name w:val="BP3 Heading 1 Char"/>
    <w:basedOn w:val="Heading1Char"/>
    <w:link w:val="BP3Heading1"/>
    <w:rsid w:val="002336E5"/>
    <w:rPr>
      <w:rFonts w:ascii="Public Sans SemiBold" w:hAnsi="Public Sans SemiBold" w:cs="Arial"/>
      <w:caps w:val="0"/>
      <w:color w:val="0B3F47"/>
      <w:kern w:val="28"/>
      <w:sz w:val="40"/>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5907">
      <w:bodyDiv w:val="1"/>
      <w:marLeft w:val="0"/>
      <w:marRight w:val="0"/>
      <w:marTop w:val="0"/>
      <w:marBottom w:val="0"/>
      <w:divBdr>
        <w:top w:val="none" w:sz="0" w:space="0" w:color="auto"/>
        <w:left w:val="none" w:sz="0" w:space="0" w:color="auto"/>
        <w:bottom w:val="none" w:sz="0" w:space="0" w:color="auto"/>
        <w:right w:val="none" w:sz="0" w:space="0" w:color="auto"/>
      </w:divBdr>
    </w:div>
    <w:div w:id="363215537">
      <w:bodyDiv w:val="1"/>
      <w:marLeft w:val="0"/>
      <w:marRight w:val="0"/>
      <w:marTop w:val="0"/>
      <w:marBottom w:val="0"/>
      <w:divBdr>
        <w:top w:val="none" w:sz="0" w:space="0" w:color="auto"/>
        <w:left w:val="none" w:sz="0" w:space="0" w:color="auto"/>
        <w:bottom w:val="none" w:sz="0" w:space="0" w:color="auto"/>
        <w:right w:val="none" w:sz="0" w:space="0" w:color="auto"/>
      </w:divBdr>
      <w:divsChild>
        <w:div w:id="95373351">
          <w:marLeft w:val="0"/>
          <w:marRight w:val="0"/>
          <w:marTop w:val="0"/>
          <w:marBottom w:val="0"/>
          <w:divBdr>
            <w:top w:val="none" w:sz="0" w:space="0" w:color="auto"/>
            <w:left w:val="none" w:sz="0" w:space="0" w:color="auto"/>
            <w:bottom w:val="none" w:sz="0" w:space="0" w:color="auto"/>
            <w:right w:val="none" w:sz="0" w:space="0" w:color="auto"/>
          </w:divBdr>
        </w:div>
        <w:div w:id="449281663">
          <w:marLeft w:val="0"/>
          <w:marRight w:val="0"/>
          <w:marTop w:val="0"/>
          <w:marBottom w:val="0"/>
          <w:divBdr>
            <w:top w:val="none" w:sz="0" w:space="0" w:color="auto"/>
            <w:left w:val="none" w:sz="0" w:space="0" w:color="auto"/>
            <w:bottom w:val="none" w:sz="0" w:space="0" w:color="auto"/>
            <w:right w:val="none" w:sz="0" w:space="0" w:color="auto"/>
          </w:divBdr>
        </w:div>
        <w:div w:id="2035185666">
          <w:marLeft w:val="0"/>
          <w:marRight w:val="0"/>
          <w:marTop w:val="0"/>
          <w:marBottom w:val="0"/>
          <w:divBdr>
            <w:top w:val="none" w:sz="0" w:space="0" w:color="auto"/>
            <w:left w:val="none" w:sz="0" w:space="0" w:color="auto"/>
            <w:bottom w:val="none" w:sz="0" w:space="0" w:color="auto"/>
            <w:right w:val="none" w:sz="0" w:space="0" w:color="auto"/>
          </w:divBdr>
        </w:div>
      </w:divsChild>
    </w:div>
    <w:div w:id="365713704">
      <w:bodyDiv w:val="1"/>
      <w:marLeft w:val="0"/>
      <w:marRight w:val="0"/>
      <w:marTop w:val="0"/>
      <w:marBottom w:val="0"/>
      <w:divBdr>
        <w:top w:val="none" w:sz="0" w:space="0" w:color="auto"/>
        <w:left w:val="none" w:sz="0" w:space="0" w:color="auto"/>
        <w:bottom w:val="none" w:sz="0" w:space="0" w:color="auto"/>
        <w:right w:val="none" w:sz="0" w:space="0" w:color="auto"/>
      </w:divBdr>
      <w:divsChild>
        <w:div w:id="183131013">
          <w:marLeft w:val="0"/>
          <w:marRight w:val="0"/>
          <w:marTop w:val="0"/>
          <w:marBottom w:val="0"/>
          <w:divBdr>
            <w:top w:val="none" w:sz="0" w:space="0" w:color="auto"/>
            <w:left w:val="none" w:sz="0" w:space="0" w:color="auto"/>
            <w:bottom w:val="none" w:sz="0" w:space="0" w:color="auto"/>
            <w:right w:val="none" w:sz="0" w:space="0" w:color="auto"/>
          </w:divBdr>
        </w:div>
        <w:div w:id="214776510">
          <w:marLeft w:val="0"/>
          <w:marRight w:val="0"/>
          <w:marTop w:val="0"/>
          <w:marBottom w:val="0"/>
          <w:divBdr>
            <w:top w:val="none" w:sz="0" w:space="0" w:color="auto"/>
            <w:left w:val="none" w:sz="0" w:space="0" w:color="auto"/>
            <w:bottom w:val="none" w:sz="0" w:space="0" w:color="auto"/>
            <w:right w:val="none" w:sz="0" w:space="0" w:color="auto"/>
          </w:divBdr>
        </w:div>
        <w:div w:id="896089212">
          <w:marLeft w:val="0"/>
          <w:marRight w:val="0"/>
          <w:marTop w:val="0"/>
          <w:marBottom w:val="0"/>
          <w:divBdr>
            <w:top w:val="none" w:sz="0" w:space="0" w:color="auto"/>
            <w:left w:val="none" w:sz="0" w:space="0" w:color="auto"/>
            <w:bottom w:val="none" w:sz="0" w:space="0" w:color="auto"/>
            <w:right w:val="none" w:sz="0" w:space="0" w:color="auto"/>
          </w:divBdr>
        </w:div>
        <w:div w:id="1140613538">
          <w:marLeft w:val="0"/>
          <w:marRight w:val="0"/>
          <w:marTop w:val="0"/>
          <w:marBottom w:val="0"/>
          <w:divBdr>
            <w:top w:val="none" w:sz="0" w:space="0" w:color="auto"/>
            <w:left w:val="none" w:sz="0" w:space="0" w:color="auto"/>
            <w:bottom w:val="none" w:sz="0" w:space="0" w:color="auto"/>
            <w:right w:val="none" w:sz="0" w:space="0" w:color="auto"/>
          </w:divBdr>
        </w:div>
        <w:div w:id="1776099686">
          <w:marLeft w:val="0"/>
          <w:marRight w:val="0"/>
          <w:marTop w:val="0"/>
          <w:marBottom w:val="0"/>
          <w:divBdr>
            <w:top w:val="none" w:sz="0" w:space="0" w:color="auto"/>
            <w:left w:val="none" w:sz="0" w:space="0" w:color="auto"/>
            <w:bottom w:val="none" w:sz="0" w:space="0" w:color="auto"/>
            <w:right w:val="none" w:sz="0" w:space="0" w:color="auto"/>
          </w:divBdr>
        </w:div>
        <w:div w:id="1853109647">
          <w:marLeft w:val="0"/>
          <w:marRight w:val="0"/>
          <w:marTop w:val="0"/>
          <w:marBottom w:val="0"/>
          <w:divBdr>
            <w:top w:val="none" w:sz="0" w:space="0" w:color="auto"/>
            <w:left w:val="none" w:sz="0" w:space="0" w:color="auto"/>
            <w:bottom w:val="none" w:sz="0" w:space="0" w:color="auto"/>
            <w:right w:val="none" w:sz="0" w:space="0" w:color="auto"/>
          </w:divBdr>
        </w:div>
      </w:divsChild>
    </w:div>
    <w:div w:id="414985329">
      <w:bodyDiv w:val="1"/>
      <w:marLeft w:val="0"/>
      <w:marRight w:val="0"/>
      <w:marTop w:val="0"/>
      <w:marBottom w:val="0"/>
      <w:divBdr>
        <w:top w:val="none" w:sz="0" w:space="0" w:color="auto"/>
        <w:left w:val="none" w:sz="0" w:space="0" w:color="auto"/>
        <w:bottom w:val="none" w:sz="0" w:space="0" w:color="auto"/>
        <w:right w:val="none" w:sz="0" w:space="0" w:color="auto"/>
      </w:divBdr>
      <w:divsChild>
        <w:div w:id="368803787">
          <w:marLeft w:val="0"/>
          <w:marRight w:val="0"/>
          <w:marTop w:val="0"/>
          <w:marBottom w:val="0"/>
          <w:divBdr>
            <w:top w:val="none" w:sz="0" w:space="0" w:color="auto"/>
            <w:left w:val="none" w:sz="0" w:space="0" w:color="auto"/>
            <w:bottom w:val="none" w:sz="0" w:space="0" w:color="auto"/>
            <w:right w:val="none" w:sz="0" w:space="0" w:color="auto"/>
          </w:divBdr>
        </w:div>
        <w:div w:id="631908256">
          <w:marLeft w:val="0"/>
          <w:marRight w:val="0"/>
          <w:marTop w:val="0"/>
          <w:marBottom w:val="0"/>
          <w:divBdr>
            <w:top w:val="none" w:sz="0" w:space="0" w:color="auto"/>
            <w:left w:val="none" w:sz="0" w:space="0" w:color="auto"/>
            <w:bottom w:val="none" w:sz="0" w:space="0" w:color="auto"/>
            <w:right w:val="none" w:sz="0" w:space="0" w:color="auto"/>
          </w:divBdr>
        </w:div>
        <w:div w:id="847257629">
          <w:marLeft w:val="0"/>
          <w:marRight w:val="0"/>
          <w:marTop w:val="0"/>
          <w:marBottom w:val="0"/>
          <w:divBdr>
            <w:top w:val="none" w:sz="0" w:space="0" w:color="auto"/>
            <w:left w:val="none" w:sz="0" w:space="0" w:color="auto"/>
            <w:bottom w:val="none" w:sz="0" w:space="0" w:color="auto"/>
            <w:right w:val="none" w:sz="0" w:space="0" w:color="auto"/>
          </w:divBdr>
        </w:div>
        <w:div w:id="988900674">
          <w:marLeft w:val="0"/>
          <w:marRight w:val="0"/>
          <w:marTop w:val="0"/>
          <w:marBottom w:val="0"/>
          <w:divBdr>
            <w:top w:val="none" w:sz="0" w:space="0" w:color="auto"/>
            <w:left w:val="none" w:sz="0" w:space="0" w:color="auto"/>
            <w:bottom w:val="none" w:sz="0" w:space="0" w:color="auto"/>
            <w:right w:val="none" w:sz="0" w:space="0" w:color="auto"/>
          </w:divBdr>
        </w:div>
        <w:div w:id="1355955390">
          <w:marLeft w:val="0"/>
          <w:marRight w:val="0"/>
          <w:marTop w:val="0"/>
          <w:marBottom w:val="0"/>
          <w:divBdr>
            <w:top w:val="none" w:sz="0" w:space="0" w:color="auto"/>
            <w:left w:val="none" w:sz="0" w:space="0" w:color="auto"/>
            <w:bottom w:val="none" w:sz="0" w:space="0" w:color="auto"/>
            <w:right w:val="none" w:sz="0" w:space="0" w:color="auto"/>
          </w:divBdr>
        </w:div>
        <w:div w:id="1852065316">
          <w:marLeft w:val="0"/>
          <w:marRight w:val="0"/>
          <w:marTop w:val="0"/>
          <w:marBottom w:val="0"/>
          <w:divBdr>
            <w:top w:val="none" w:sz="0" w:space="0" w:color="auto"/>
            <w:left w:val="none" w:sz="0" w:space="0" w:color="auto"/>
            <w:bottom w:val="none" w:sz="0" w:space="0" w:color="auto"/>
            <w:right w:val="none" w:sz="0" w:space="0" w:color="auto"/>
          </w:divBdr>
        </w:div>
      </w:divsChild>
    </w:div>
    <w:div w:id="545721552">
      <w:bodyDiv w:val="1"/>
      <w:marLeft w:val="0"/>
      <w:marRight w:val="0"/>
      <w:marTop w:val="0"/>
      <w:marBottom w:val="0"/>
      <w:divBdr>
        <w:top w:val="none" w:sz="0" w:space="0" w:color="auto"/>
        <w:left w:val="none" w:sz="0" w:space="0" w:color="auto"/>
        <w:bottom w:val="none" w:sz="0" w:space="0" w:color="auto"/>
        <w:right w:val="none" w:sz="0" w:space="0" w:color="auto"/>
      </w:divBdr>
    </w:div>
    <w:div w:id="646936424">
      <w:bodyDiv w:val="1"/>
      <w:marLeft w:val="0"/>
      <w:marRight w:val="0"/>
      <w:marTop w:val="0"/>
      <w:marBottom w:val="0"/>
      <w:divBdr>
        <w:top w:val="none" w:sz="0" w:space="0" w:color="auto"/>
        <w:left w:val="none" w:sz="0" w:space="0" w:color="auto"/>
        <w:bottom w:val="none" w:sz="0" w:space="0" w:color="auto"/>
        <w:right w:val="none" w:sz="0" w:space="0" w:color="auto"/>
      </w:divBdr>
    </w:div>
    <w:div w:id="678047567">
      <w:bodyDiv w:val="1"/>
      <w:marLeft w:val="0"/>
      <w:marRight w:val="0"/>
      <w:marTop w:val="0"/>
      <w:marBottom w:val="0"/>
      <w:divBdr>
        <w:top w:val="none" w:sz="0" w:space="0" w:color="auto"/>
        <w:left w:val="none" w:sz="0" w:space="0" w:color="auto"/>
        <w:bottom w:val="none" w:sz="0" w:space="0" w:color="auto"/>
        <w:right w:val="none" w:sz="0" w:space="0" w:color="auto"/>
      </w:divBdr>
    </w:div>
    <w:div w:id="1339775356">
      <w:bodyDiv w:val="1"/>
      <w:marLeft w:val="0"/>
      <w:marRight w:val="0"/>
      <w:marTop w:val="0"/>
      <w:marBottom w:val="0"/>
      <w:divBdr>
        <w:top w:val="none" w:sz="0" w:space="0" w:color="auto"/>
        <w:left w:val="none" w:sz="0" w:space="0" w:color="auto"/>
        <w:bottom w:val="none" w:sz="0" w:space="0" w:color="auto"/>
        <w:right w:val="none" w:sz="0" w:space="0" w:color="auto"/>
      </w:divBdr>
    </w:div>
    <w:div w:id="1558931822">
      <w:bodyDiv w:val="1"/>
      <w:marLeft w:val="0"/>
      <w:marRight w:val="0"/>
      <w:marTop w:val="0"/>
      <w:marBottom w:val="0"/>
      <w:divBdr>
        <w:top w:val="none" w:sz="0" w:space="0" w:color="auto"/>
        <w:left w:val="none" w:sz="0" w:space="0" w:color="auto"/>
        <w:bottom w:val="none" w:sz="0" w:space="0" w:color="auto"/>
        <w:right w:val="none" w:sz="0" w:space="0" w:color="auto"/>
      </w:divBdr>
      <w:divsChild>
        <w:div w:id="1187325944">
          <w:marLeft w:val="0"/>
          <w:marRight w:val="0"/>
          <w:marTop w:val="0"/>
          <w:marBottom w:val="0"/>
          <w:divBdr>
            <w:top w:val="none" w:sz="0" w:space="0" w:color="auto"/>
            <w:left w:val="none" w:sz="0" w:space="0" w:color="auto"/>
            <w:bottom w:val="none" w:sz="0" w:space="0" w:color="auto"/>
            <w:right w:val="none" w:sz="0" w:space="0" w:color="auto"/>
          </w:divBdr>
        </w:div>
        <w:div w:id="1260721282">
          <w:marLeft w:val="0"/>
          <w:marRight w:val="0"/>
          <w:marTop w:val="0"/>
          <w:marBottom w:val="0"/>
          <w:divBdr>
            <w:top w:val="none" w:sz="0" w:space="0" w:color="auto"/>
            <w:left w:val="none" w:sz="0" w:space="0" w:color="auto"/>
            <w:bottom w:val="none" w:sz="0" w:space="0" w:color="auto"/>
            <w:right w:val="none" w:sz="0" w:space="0" w:color="auto"/>
          </w:divBdr>
        </w:div>
        <w:div w:id="1860771961">
          <w:marLeft w:val="0"/>
          <w:marRight w:val="0"/>
          <w:marTop w:val="0"/>
          <w:marBottom w:val="0"/>
          <w:divBdr>
            <w:top w:val="none" w:sz="0" w:space="0" w:color="auto"/>
            <w:left w:val="none" w:sz="0" w:space="0" w:color="auto"/>
            <w:bottom w:val="none" w:sz="0" w:space="0" w:color="auto"/>
            <w:right w:val="none" w:sz="0" w:space="0" w:color="auto"/>
          </w:divBdr>
        </w:div>
      </w:divsChild>
    </w:div>
    <w:div w:id="1629552853">
      <w:bodyDiv w:val="1"/>
      <w:marLeft w:val="0"/>
      <w:marRight w:val="0"/>
      <w:marTop w:val="0"/>
      <w:marBottom w:val="0"/>
      <w:divBdr>
        <w:top w:val="none" w:sz="0" w:space="0" w:color="auto"/>
        <w:left w:val="none" w:sz="0" w:space="0" w:color="auto"/>
        <w:bottom w:val="none" w:sz="0" w:space="0" w:color="auto"/>
        <w:right w:val="none" w:sz="0" w:space="0" w:color="auto"/>
      </w:divBdr>
    </w:div>
    <w:div w:id="1739086007">
      <w:bodyDiv w:val="1"/>
      <w:marLeft w:val="0"/>
      <w:marRight w:val="0"/>
      <w:marTop w:val="0"/>
      <w:marBottom w:val="0"/>
      <w:divBdr>
        <w:top w:val="none" w:sz="0" w:space="0" w:color="auto"/>
        <w:left w:val="none" w:sz="0" w:space="0" w:color="auto"/>
        <w:bottom w:val="none" w:sz="0" w:space="0" w:color="auto"/>
        <w:right w:val="none" w:sz="0" w:space="0" w:color="auto"/>
      </w:divBdr>
    </w:div>
    <w:div w:id="1876766688">
      <w:bodyDiv w:val="1"/>
      <w:marLeft w:val="0"/>
      <w:marRight w:val="0"/>
      <w:marTop w:val="0"/>
      <w:marBottom w:val="0"/>
      <w:divBdr>
        <w:top w:val="none" w:sz="0" w:space="0" w:color="auto"/>
        <w:left w:val="none" w:sz="0" w:space="0" w:color="auto"/>
        <w:bottom w:val="none" w:sz="0" w:space="0" w:color="auto"/>
        <w:right w:val="none" w:sz="0" w:space="0" w:color="auto"/>
      </w:divBdr>
    </w:div>
    <w:div w:id="1989507243">
      <w:bodyDiv w:val="1"/>
      <w:marLeft w:val="0"/>
      <w:marRight w:val="0"/>
      <w:marTop w:val="0"/>
      <w:marBottom w:val="0"/>
      <w:divBdr>
        <w:top w:val="none" w:sz="0" w:space="0" w:color="auto"/>
        <w:left w:val="none" w:sz="0" w:space="0" w:color="auto"/>
        <w:bottom w:val="none" w:sz="0" w:space="0" w:color="auto"/>
        <w:right w:val="none" w:sz="0" w:space="0" w:color="auto"/>
      </w:divBdr>
    </w:div>
    <w:div w:id="19912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s://nswgov.sharepoint.com/sites/BudgetStatement/Shared%20Documents/Budget%20Statement/08.%20Ch%208%20-%20Capital%20expenditure/Drafting%20content%20for%20Contributors/Data%20for%20Education%20and%20Healt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s://nswgov.sharepoint.com/sites/BudgetStatement/Shared%20Documents/Budget%20Statement/08.%20Ch%208%20-%20Capital%20expenditure/Drafting%20content%20for%20Contributors/Data%20for%20Education%20and%20Healt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https://nswgov.sharepoint.com/sites/BudgetStatement/Shared%20Documents/Budget%20Statement/08.%20Ch%208%20-%20Capital%20expenditure/Drafting%20content%20for%20Contributors/Data%20for%20Education%20and%20Health.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https://nswgov.sharepoint.com/sites/BP3InfrastructureStatement/Shared%20Documents/General/2025-26%20Budget/Ch1%20-%20Investment%20Program/Copy%20of%20Capital%20Expenditure%20tables%20and%20charts%202024-25%20Budget%20952%20am%2011_06%20version1.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Transport/Shared%20Documents/Budget%20Management/2025-26%20Budget%20Papers-Documents-snapshots%20etc/2025_06_05%20Western%20Sydney%20Glossy_withchart.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BP3InfrastructureStatement/Shared%20Documents/General/2025-26%20Budget/Ch1%20-%20Investment%20Program/Copy%20of%20Capital%20Expenditure%20tables%20and%20charts%202024-25%20Budget%20952%20am%2011_06%20version1.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1" Type="http://schemas.openxmlformats.org/officeDocument/2006/relationships/oleObject" Target="https://nswgov.sharepoint.com/sites/BP3InfrastructureStatement/Shared%20Documents/General/2025-26%20Budget/Ch1%20-%20Investment%20Program/Copy%20of%20Capital%20Expenditure%20tables%20and%20charts%202024-25%20Budget%20952%20am%2011_06%20version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177005773200868E-2"/>
          <c:y val="4.9346259523877507E-2"/>
          <c:w val="0.89910622840902743"/>
          <c:h val="0.82558161069282388"/>
        </c:manualLayout>
      </c:layout>
      <c:barChart>
        <c:barDir val="col"/>
        <c:grouping val="stacked"/>
        <c:varyColors val="0"/>
        <c:ser>
          <c:idx val="2"/>
          <c:order val="0"/>
          <c:tx>
            <c:strRef>
              <c:f>'Trans Edu Health'!$A$19</c:f>
              <c:strCache>
                <c:ptCount val="1"/>
                <c:pt idx="0">
                  <c:v>#REF!</c:v>
                </c:pt>
              </c:strCache>
            </c:strRef>
          </c:tx>
          <c:spPr>
            <a:solidFill>
              <a:srgbClr val="0B3F47"/>
            </a:solidFill>
          </c:spPr>
          <c:invertIfNegative val="0"/>
          <c:dPt>
            <c:idx val="8"/>
            <c:invertIfNegative val="0"/>
            <c:bubble3D val="0"/>
            <c:spPr>
              <a:solidFill>
                <a:srgbClr val="2E808E"/>
              </a:solidFill>
            </c:spPr>
            <c:extLst>
              <c:ext xmlns:c16="http://schemas.microsoft.com/office/drawing/2014/chart" uri="{C3380CC4-5D6E-409C-BE32-E72D297353CC}">
                <c16:uniqueId val="{00000001-D05E-410D-98E6-277444BDF8AF}"/>
              </c:ext>
            </c:extLst>
          </c:dPt>
          <c:dPt>
            <c:idx val="9"/>
            <c:invertIfNegative val="0"/>
            <c:bubble3D val="0"/>
            <c:spPr>
              <a:solidFill>
                <a:srgbClr val="2E808E"/>
              </a:solidFill>
            </c:spPr>
            <c:extLst>
              <c:ext xmlns:c16="http://schemas.microsoft.com/office/drawing/2014/chart" uri="{C3380CC4-5D6E-409C-BE32-E72D297353CC}">
                <c16:uniqueId val="{00000003-D05E-410D-98E6-277444BDF8AF}"/>
              </c:ext>
            </c:extLst>
          </c:dPt>
          <c:cat>
            <c:multiLvlStrRef>
              <c:f>'Trans Edu Health'!$B$16:$K$17</c:f>
              <c:multiLvlStrCache>
                <c:ptCount val="10"/>
                <c:lvl>
                  <c:pt idx="0">
                    <c:v>Actual</c:v>
                  </c:pt>
                  <c:pt idx="1">
                    <c:v>Actual</c:v>
                  </c:pt>
                  <c:pt idx="2">
                    <c:v>Actual</c:v>
                  </c:pt>
                  <c:pt idx="3">
                    <c:v>Actual</c:v>
                  </c:pt>
                  <c:pt idx="4">
                    <c:v>Actual</c:v>
                  </c:pt>
                  <c:pt idx="5">
                    <c:v>Actual</c:v>
                  </c:pt>
                  <c:pt idx="6">
                    <c:v>Actual</c:v>
                  </c:pt>
                  <c:pt idx="7">
                    <c:v>Actual</c:v>
                  </c:pt>
                  <c:pt idx="8">
                    <c:v>Revised</c:v>
                  </c:pt>
                  <c:pt idx="9">
                    <c:v>Budget</c:v>
                  </c:pt>
                </c:lvl>
                <c:lvl>
                  <c:pt idx="0">
                    <c:v>2016-17</c:v>
                  </c:pt>
                  <c:pt idx="1">
                    <c:v>2017-18</c:v>
                  </c:pt>
                  <c:pt idx="2">
                    <c:v>2018-19</c:v>
                  </c:pt>
                  <c:pt idx="3">
                    <c:v>2019-20</c:v>
                  </c:pt>
                  <c:pt idx="4">
                    <c:v>2020-21</c:v>
                  </c:pt>
                  <c:pt idx="5">
                    <c:v>2021-22</c:v>
                  </c:pt>
                  <c:pt idx="6">
                    <c:v>2022-23</c:v>
                  </c:pt>
                  <c:pt idx="7">
                    <c:v>2023-24</c:v>
                  </c:pt>
                  <c:pt idx="8">
                    <c:v>2024-25</c:v>
                  </c:pt>
                  <c:pt idx="9">
                    <c:v>2025-26</c:v>
                  </c:pt>
                </c:lvl>
              </c:multiLvlStrCache>
            </c:multiLvlStrRef>
          </c:cat>
          <c:val>
            <c:numRef>
              <c:f>'Trans Edu Health'!$B$19:$K$19</c:f>
              <c:numCache>
                <c:formatCode>_-* #,##0_-;\-* #,##0_-;_-* "-"??_-;_-@_-</c:formatCode>
                <c:ptCount val="10"/>
                <c:pt idx="0">
                  <c:v>1301.277229</c:v>
                </c:pt>
                <c:pt idx="1">
                  <c:v>1563.7909689999999</c:v>
                </c:pt>
                <c:pt idx="2">
                  <c:v>2223.0601645000002</c:v>
                </c:pt>
                <c:pt idx="3">
                  <c:v>2524.89537088</c:v>
                </c:pt>
                <c:pt idx="4">
                  <c:v>2612.2053917500002</c:v>
                </c:pt>
                <c:pt idx="5">
                  <c:v>1904</c:v>
                </c:pt>
                <c:pt idx="6">
                  <c:v>2338</c:v>
                </c:pt>
                <c:pt idx="7">
                  <c:v>2704</c:v>
                </c:pt>
                <c:pt idx="8">
                  <c:v>2702</c:v>
                </c:pt>
                <c:pt idx="9">
                  <c:v>3154</c:v>
                </c:pt>
              </c:numCache>
            </c:numRef>
          </c:val>
          <c:extLst>
            <c:ext xmlns:c16="http://schemas.microsoft.com/office/drawing/2014/chart" uri="{C3380CC4-5D6E-409C-BE32-E72D297353CC}">
              <c16:uniqueId val="{00000004-D05E-410D-98E6-277444BDF8AF}"/>
            </c:ext>
          </c:extLst>
        </c:ser>
        <c:dLbls>
          <c:showLegendKey val="0"/>
          <c:showVal val="0"/>
          <c:showCatName val="0"/>
          <c:showSerName val="0"/>
          <c:showPercent val="0"/>
          <c:showBubbleSize val="0"/>
        </c:dLbls>
        <c:gapWidth val="150"/>
        <c:overlap val="100"/>
        <c:axId val="693073408"/>
        <c:axId val="693074944"/>
      </c:bar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a:pPr>
            <a:endParaRPr lang="en-US"/>
          </a:p>
        </c:txPr>
        <c:crossAx val="693074944"/>
        <c:crosses val="autoZero"/>
        <c:auto val="1"/>
        <c:lblAlgn val="ctr"/>
        <c:lblOffset val="100"/>
        <c:noMultiLvlLbl val="1"/>
      </c:catAx>
      <c:valAx>
        <c:axId val="693074944"/>
        <c:scaling>
          <c:orientation val="minMax"/>
          <c:max val="3800"/>
          <c:min val="0"/>
        </c:scaling>
        <c:delete val="0"/>
        <c:axPos val="l"/>
        <c:majorGridlines>
          <c:spPr>
            <a:ln w="3175">
              <a:solidFill>
                <a:srgbClr val="DFDCDA"/>
              </a:solidFill>
              <a:prstDash val="solid"/>
            </a:ln>
          </c:spPr>
        </c:majorGridlines>
        <c:title>
          <c:tx>
            <c:rich>
              <a:bodyPr rot="-5400000" vert="horz"/>
              <a:lstStyle/>
              <a:p>
                <a:pPr>
                  <a:defRPr b="0"/>
                </a:pPr>
                <a:r>
                  <a:rPr lang="en-US" b="0"/>
                  <a:t>$ millions</a:t>
                </a:r>
              </a:p>
            </c:rich>
          </c:tx>
          <c:layout>
            <c:manualLayout>
              <c:xMode val="edge"/>
              <c:yMode val="edge"/>
              <c:x val="9.3287871726314611E-3"/>
              <c:y val="0.36239032421655193"/>
            </c:manualLayout>
          </c:layout>
          <c:overlay val="0"/>
        </c:title>
        <c:numFmt formatCode="#,##0" sourceLinked="0"/>
        <c:majorTickMark val="out"/>
        <c:minorTickMark val="none"/>
        <c:tickLblPos val="nextTo"/>
        <c:spPr>
          <a:ln w="3175">
            <a:noFill/>
          </a:ln>
        </c:spPr>
        <c:crossAx val="693073408"/>
        <c:crossesAt val="1"/>
        <c:crossBetween val="between"/>
        <c:majorUnit val="500"/>
        <c:minorUnit val="500"/>
      </c:valAx>
      <c:spPr>
        <a:noFill/>
      </c:spPr>
    </c:plotArea>
    <c:plotVisOnly val="1"/>
    <c:dispBlanksAs val="gap"/>
    <c:showDLblsOverMax val="0"/>
  </c:chart>
  <c:spPr>
    <a:noFill/>
    <a:ln>
      <a:noFill/>
    </a:ln>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177005773200868E-2"/>
          <c:y val="4.9346259523877507E-2"/>
          <c:w val="0.89653166972404053"/>
          <c:h val="0.83379655062497038"/>
        </c:manualLayout>
      </c:layout>
      <c:barChart>
        <c:barDir val="col"/>
        <c:grouping val="stacked"/>
        <c:varyColors val="0"/>
        <c:ser>
          <c:idx val="1"/>
          <c:order val="0"/>
          <c:tx>
            <c:strRef>
              <c:f>'Trans Edu Health'!$A$20</c:f>
              <c:strCache>
                <c:ptCount val="1"/>
                <c:pt idx="0">
                  <c:v>#REF!</c:v>
                </c:pt>
              </c:strCache>
            </c:strRef>
          </c:tx>
          <c:spPr>
            <a:solidFill>
              <a:srgbClr val="0B3F47"/>
            </a:solidFill>
          </c:spPr>
          <c:invertIfNegative val="0"/>
          <c:dPt>
            <c:idx val="8"/>
            <c:invertIfNegative val="0"/>
            <c:bubble3D val="0"/>
            <c:spPr>
              <a:solidFill>
                <a:srgbClr val="2E808E"/>
              </a:solidFill>
            </c:spPr>
            <c:extLst>
              <c:ext xmlns:c16="http://schemas.microsoft.com/office/drawing/2014/chart" uri="{C3380CC4-5D6E-409C-BE32-E72D297353CC}">
                <c16:uniqueId val="{00000001-4497-438F-8FB4-4EB9F1F569F3}"/>
              </c:ext>
            </c:extLst>
          </c:dPt>
          <c:dPt>
            <c:idx val="9"/>
            <c:invertIfNegative val="0"/>
            <c:bubble3D val="0"/>
            <c:spPr>
              <a:solidFill>
                <a:srgbClr val="2E808E"/>
              </a:solidFill>
            </c:spPr>
            <c:extLst>
              <c:ext xmlns:c16="http://schemas.microsoft.com/office/drawing/2014/chart" uri="{C3380CC4-5D6E-409C-BE32-E72D297353CC}">
                <c16:uniqueId val="{00000003-4497-438F-8FB4-4EB9F1F569F3}"/>
              </c:ext>
            </c:extLst>
          </c:dPt>
          <c:cat>
            <c:multiLvlStrRef>
              <c:f>'Trans Edu Health'!$C$16:$L$17</c:f>
              <c:multiLvlStrCache>
                <c:ptCount val="10"/>
                <c:lvl>
                  <c:pt idx="0">
                    <c:v>Actual</c:v>
                  </c:pt>
                  <c:pt idx="1">
                    <c:v>Actual</c:v>
                  </c:pt>
                  <c:pt idx="2">
                    <c:v>Actual</c:v>
                  </c:pt>
                  <c:pt idx="3">
                    <c:v>Actual</c:v>
                  </c:pt>
                  <c:pt idx="4">
                    <c:v>Actual</c:v>
                  </c:pt>
                  <c:pt idx="5">
                    <c:v>Actual</c:v>
                  </c:pt>
                  <c:pt idx="6">
                    <c:v>Actual</c:v>
                  </c:pt>
                  <c:pt idx="7">
                    <c:v>Actual</c:v>
                  </c:pt>
                  <c:pt idx="8">
                    <c:v>Revised</c:v>
                  </c:pt>
                  <c:pt idx="9">
                    <c:v>Budget</c:v>
                  </c:pt>
                </c:lvl>
                <c:lvl>
                  <c:pt idx="0">
                    <c:v>2016-17</c:v>
                  </c:pt>
                  <c:pt idx="1">
                    <c:v>2017-18</c:v>
                  </c:pt>
                  <c:pt idx="2">
                    <c:v>2018-19</c:v>
                  </c:pt>
                  <c:pt idx="3">
                    <c:v>2019-20</c:v>
                  </c:pt>
                  <c:pt idx="4">
                    <c:v>2020-21</c:v>
                  </c:pt>
                  <c:pt idx="5">
                    <c:v>2021-22</c:v>
                  </c:pt>
                  <c:pt idx="6">
                    <c:v>2022-23</c:v>
                  </c:pt>
                  <c:pt idx="7">
                    <c:v>2023-24</c:v>
                  </c:pt>
                  <c:pt idx="8">
                    <c:v>2024-25</c:v>
                  </c:pt>
                  <c:pt idx="9">
                    <c:v>2025-26</c:v>
                  </c:pt>
                </c:lvl>
              </c:multiLvlStrCache>
            </c:multiLvlStrRef>
          </c:cat>
          <c:val>
            <c:numRef>
              <c:f>'Trans Edu Health'!$C$20:$L$20</c:f>
              <c:numCache>
                <c:formatCode>_-* #,##0_-;\-* #,##0_-;_-* "-"??_-;_-@_-</c:formatCode>
                <c:ptCount val="10"/>
                <c:pt idx="0">
                  <c:v>495.06487594000004</c:v>
                </c:pt>
                <c:pt idx="1">
                  <c:v>854.52882405999992</c:v>
                </c:pt>
                <c:pt idx="2">
                  <c:v>1779.8413603399999</c:v>
                </c:pt>
                <c:pt idx="3">
                  <c:v>2188.8540688600001</c:v>
                </c:pt>
                <c:pt idx="4">
                  <c:v>2202.2617104500032</c:v>
                </c:pt>
                <c:pt idx="5">
                  <c:v>1975.5444733599982</c:v>
                </c:pt>
                <c:pt idx="6">
                  <c:v>2656.3709608599979</c:v>
                </c:pt>
                <c:pt idx="7">
                  <c:v>2673</c:v>
                </c:pt>
                <c:pt idx="8">
                  <c:v>2642</c:v>
                </c:pt>
                <c:pt idx="9">
                  <c:v>2958.1</c:v>
                </c:pt>
              </c:numCache>
            </c:numRef>
          </c:val>
          <c:extLst>
            <c:ext xmlns:c16="http://schemas.microsoft.com/office/drawing/2014/chart" uri="{C3380CC4-5D6E-409C-BE32-E72D297353CC}">
              <c16:uniqueId val="{00000004-4497-438F-8FB4-4EB9F1F569F3}"/>
            </c:ext>
          </c:extLst>
        </c:ser>
        <c:dLbls>
          <c:showLegendKey val="0"/>
          <c:showVal val="0"/>
          <c:showCatName val="0"/>
          <c:showSerName val="0"/>
          <c:showPercent val="0"/>
          <c:showBubbleSize val="0"/>
        </c:dLbls>
        <c:gapWidth val="150"/>
        <c:overlap val="100"/>
        <c:axId val="693073408"/>
        <c:axId val="693074944"/>
      </c:bar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a:pPr>
            <a:endParaRPr lang="en-US"/>
          </a:p>
        </c:txPr>
        <c:crossAx val="693074944"/>
        <c:crosses val="autoZero"/>
        <c:auto val="1"/>
        <c:lblAlgn val="ctr"/>
        <c:lblOffset val="100"/>
        <c:noMultiLvlLbl val="1"/>
      </c:catAx>
      <c:valAx>
        <c:axId val="693074944"/>
        <c:scaling>
          <c:orientation val="minMax"/>
          <c:max val="3000"/>
          <c:min val="0"/>
        </c:scaling>
        <c:delete val="0"/>
        <c:axPos val="l"/>
        <c:majorGridlines>
          <c:spPr>
            <a:ln w="3175">
              <a:solidFill>
                <a:srgbClr val="DFDCDA"/>
              </a:solidFill>
              <a:prstDash val="solid"/>
            </a:ln>
          </c:spPr>
        </c:majorGridlines>
        <c:title>
          <c:tx>
            <c:rich>
              <a:bodyPr rot="-5400000" vert="horz"/>
              <a:lstStyle/>
              <a:p>
                <a:pPr>
                  <a:defRPr b="0"/>
                </a:pPr>
                <a:r>
                  <a:rPr lang="en-US" b="0"/>
                  <a:t>$ millions</a:t>
                </a:r>
              </a:p>
            </c:rich>
          </c:tx>
          <c:layout>
            <c:manualLayout>
              <c:xMode val="edge"/>
              <c:yMode val="edge"/>
              <c:x val="9.3287871726314611E-3"/>
              <c:y val="0.36239032421655193"/>
            </c:manualLayout>
          </c:layout>
          <c:overlay val="0"/>
        </c:title>
        <c:numFmt formatCode="#,##0" sourceLinked="0"/>
        <c:majorTickMark val="out"/>
        <c:minorTickMark val="none"/>
        <c:tickLblPos val="nextTo"/>
        <c:spPr>
          <a:ln w="3175">
            <a:noFill/>
          </a:ln>
        </c:spPr>
        <c:crossAx val="693073408"/>
        <c:crossesAt val="1"/>
        <c:crossBetween val="between"/>
        <c:majorUnit val="500"/>
        <c:minorUnit val="500"/>
      </c:valAx>
      <c:spPr>
        <a:noFill/>
      </c:spPr>
    </c:plotArea>
    <c:plotVisOnly val="1"/>
    <c:dispBlanksAs val="gap"/>
    <c:showDLblsOverMax val="0"/>
  </c:chart>
  <c:spPr>
    <a:noFill/>
    <a:ln>
      <a:noFill/>
    </a:ln>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177005773200868E-2"/>
          <c:y val="4.9346259523877507E-2"/>
          <c:w val="0.89701506937801001"/>
          <c:h val="0.76069920471460062"/>
        </c:manualLayout>
      </c:layout>
      <c:barChart>
        <c:barDir val="col"/>
        <c:grouping val="stacked"/>
        <c:varyColors val="0"/>
        <c:ser>
          <c:idx val="2"/>
          <c:order val="0"/>
          <c:tx>
            <c:strRef>
              <c:f>'Trans Edu Health'!$A$19</c:f>
              <c:strCache>
                <c:ptCount val="1"/>
                <c:pt idx="0">
                  <c:v>#REF!</c:v>
                </c:pt>
              </c:strCache>
            </c:strRef>
          </c:tx>
          <c:spPr>
            <a:solidFill>
              <a:srgbClr val="0B3F47"/>
            </a:solidFill>
          </c:spPr>
          <c:invertIfNegative val="0"/>
          <c:dPt>
            <c:idx val="8"/>
            <c:invertIfNegative val="0"/>
            <c:bubble3D val="0"/>
            <c:spPr>
              <a:solidFill>
                <a:srgbClr val="2E808E"/>
              </a:solidFill>
            </c:spPr>
            <c:extLst>
              <c:ext xmlns:c16="http://schemas.microsoft.com/office/drawing/2014/chart" uri="{C3380CC4-5D6E-409C-BE32-E72D297353CC}">
                <c16:uniqueId val="{00000001-2463-4C32-9FD4-0FDEA7AF4247}"/>
              </c:ext>
            </c:extLst>
          </c:dPt>
          <c:dPt>
            <c:idx val="9"/>
            <c:invertIfNegative val="0"/>
            <c:bubble3D val="0"/>
            <c:spPr>
              <a:solidFill>
                <a:srgbClr val="2E808E"/>
              </a:solidFill>
            </c:spPr>
            <c:extLst>
              <c:ext xmlns:c16="http://schemas.microsoft.com/office/drawing/2014/chart" uri="{C3380CC4-5D6E-409C-BE32-E72D297353CC}">
                <c16:uniqueId val="{00000003-2463-4C32-9FD4-0FDEA7AF4247}"/>
              </c:ext>
            </c:extLst>
          </c:dPt>
          <c:cat>
            <c:multiLvlStrRef>
              <c:f>Sheet1!$B$1:$K$2</c:f>
              <c:multiLvlStrCache>
                <c:ptCount val="10"/>
                <c:lvl>
                  <c:pt idx="0">
                    <c:v>Actual</c:v>
                  </c:pt>
                  <c:pt idx="1">
                    <c:v>Actual</c:v>
                  </c:pt>
                  <c:pt idx="2">
                    <c:v>Actual</c:v>
                  </c:pt>
                  <c:pt idx="3">
                    <c:v>Actual</c:v>
                  </c:pt>
                  <c:pt idx="4">
                    <c:v>Actual</c:v>
                  </c:pt>
                  <c:pt idx="5">
                    <c:v>Actual</c:v>
                  </c:pt>
                  <c:pt idx="6">
                    <c:v>Actual</c:v>
                  </c:pt>
                  <c:pt idx="7">
                    <c:v>Actual</c:v>
                  </c:pt>
                  <c:pt idx="8">
                    <c:v>Revised</c:v>
                  </c:pt>
                  <c:pt idx="9">
                    <c:v>Budget</c:v>
                  </c:pt>
                </c:lvl>
                <c:lvl>
                  <c:pt idx="0">
                    <c:v>2016-17</c:v>
                  </c:pt>
                  <c:pt idx="1">
                    <c:v>2017-18</c:v>
                  </c:pt>
                  <c:pt idx="2">
                    <c:v>2018-19</c:v>
                  </c:pt>
                  <c:pt idx="3">
                    <c:v>2019-20</c:v>
                  </c:pt>
                  <c:pt idx="4">
                    <c:v>2020-21</c:v>
                  </c:pt>
                  <c:pt idx="5">
                    <c:v>2021-22</c:v>
                  </c:pt>
                  <c:pt idx="6">
                    <c:v>2022-23</c:v>
                  </c:pt>
                  <c:pt idx="7">
                    <c:v>2023-24</c:v>
                  </c:pt>
                  <c:pt idx="8">
                    <c:v>2024-25</c:v>
                  </c:pt>
                  <c:pt idx="9">
                    <c:v>2025-26</c:v>
                  </c:pt>
                </c:lvl>
              </c:multiLvlStrCache>
            </c:multiLvlStrRef>
          </c:cat>
          <c:val>
            <c:numRef>
              <c:f>'[1]Trans Edu Health'!$C$19:$L$19</c:f>
              <c:numCache>
                <c:formatCode>#,##0</c:formatCode>
                <c:ptCount val="10"/>
                <c:pt idx="0">
                  <c:v>3142</c:v>
                </c:pt>
                <c:pt idx="1">
                  <c:v>2834</c:v>
                </c:pt>
                <c:pt idx="2" formatCode="_-* #,##0_-;\-* #,##0_-;_-* &quot;-&quot;??_-;_-@_-">
                  <c:v>3720</c:v>
                </c:pt>
                <c:pt idx="3" formatCode="_-* #,##0_-;\-* #,##0_-;_-* &quot;-&quot;??_-;_-@_-">
                  <c:v>2291</c:v>
                </c:pt>
                <c:pt idx="4" formatCode="_-* #,##0_-;\-* #,##0_-;_-* &quot;-&quot;??_-;_-@_-">
                  <c:v>4278</c:v>
                </c:pt>
                <c:pt idx="5" formatCode="_-* #,##0_-;\-* #,##0_-;_-* &quot;-&quot;??_-;_-@_-">
                  <c:v>6139</c:v>
                </c:pt>
                <c:pt idx="6" formatCode="_-* #,##0_-;\-* #,##0_-;_-* &quot;-&quot;??_-;_-@_-">
                  <c:v>7405</c:v>
                </c:pt>
                <c:pt idx="7" formatCode="_-* #,##0_-;\-* #,##0_-;_-* &quot;-&quot;??_-;_-@_-">
                  <c:v>6078</c:v>
                </c:pt>
                <c:pt idx="8" formatCode="_-* #,##0_-;\-* #,##0_-;_-* &quot;-&quot;??_-;_-@_-">
                  <c:v>4666</c:v>
                </c:pt>
                <c:pt idx="9" formatCode="_-* #,##0_-;\-* #,##0_-;_-* &quot;-&quot;??_-;_-@_-">
                  <c:v>4986</c:v>
                </c:pt>
              </c:numCache>
            </c:numRef>
          </c:val>
          <c:extLst>
            <c:ext xmlns:c16="http://schemas.microsoft.com/office/drawing/2014/chart" uri="{C3380CC4-5D6E-409C-BE32-E72D297353CC}">
              <c16:uniqueId val="{00000004-2463-4C32-9FD4-0FDEA7AF4247}"/>
            </c:ext>
          </c:extLst>
        </c:ser>
        <c:dLbls>
          <c:showLegendKey val="0"/>
          <c:showVal val="0"/>
          <c:showCatName val="0"/>
          <c:showSerName val="0"/>
          <c:showPercent val="0"/>
          <c:showBubbleSize val="0"/>
        </c:dLbls>
        <c:gapWidth val="150"/>
        <c:overlap val="100"/>
        <c:axId val="693073408"/>
        <c:axId val="693074944"/>
      </c:bar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a:pPr>
            <a:endParaRPr lang="en-US"/>
          </a:p>
        </c:txPr>
        <c:crossAx val="693074944"/>
        <c:crosses val="autoZero"/>
        <c:auto val="1"/>
        <c:lblAlgn val="ctr"/>
        <c:lblOffset val="100"/>
        <c:noMultiLvlLbl val="1"/>
      </c:catAx>
      <c:valAx>
        <c:axId val="693074944"/>
        <c:scaling>
          <c:orientation val="minMax"/>
          <c:max val="8000"/>
          <c:min val="0"/>
        </c:scaling>
        <c:delete val="0"/>
        <c:axPos val="l"/>
        <c:majorGridlines>
          <c:spPr>
            <a:ln w="3175">
              <a:solidFill>
                <a:srgbClr val="DFDCDA"/>
              </a:solidFill>
              <a:prstDash val="solid"/>
            </a:ln>
          </c:spPr>
        </c:majorGridlines>
        <c:title>
          <c:tx>
            <c:rich>
              <a:bodyPr/>
              <a:lstStyle/>
              <a:p>
                <a:pPr>
                  <a:defRPr/>
                </a:pPr>
                <a:r>
                  <a:rPr lang="en-AU" b="0"/>
                  <a:t>$</a:t>
                </a:r>
                <a:r>
                  <a:rPr lang="en-AU" b="0" baseline="0"/>
                  <a:t> millions</a:t>
                </a:r>
                <a:endParaRPr lang="en-AU" b="0"/>
              </a:p>
            </c:rich>
          </c:tx>
          <c:overlay val="0"/>
        </c:title>
        <c:numFmt formatCode="#,##0" sourceLinked="0"/>
        <c:majorTickMark val="out"/>
        <c:minorTickMark val="none"/>
        <c:tickLblPos val="nextTo"/>
        <c:spPr>
          <a:ln w="3175">
            <a:noFill/>
          </a:ln>
        </c:spPr>
        <c:crossAx val="693073408"/>
        <c:crossesAt val="1"/>
        <c:crossBetween val="between"/>
        <c:majorUnit val="1000"/>
        <c:minorUnit val="500"/>
      </c:valAx>
      <c:spPr>
        <a:noFill/>
      </c:spPr>
    </c:plotArea>
    <c:plotVisOnly val="1"/>
    <c:dispBlanksAs val="gap"/>
    <c:showDLblsOverMax val="0"/>
  </c:chart>
  <c:spPr>
    <a:noFill/>
    <a:ln>
      <a:noFill/>
    </a:ln>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547098385333435E-2"/>
          <c:y val="7.4114692537503371E-2"/>
          <c:w val="0.89509162204883419"/>
          <c:h val="0.75432204002022685"/>
        </c:manualLayout>
      </c:layout>
      <c:barChart>
        <c:barDir val="col"/>
        <c:grouping val="stacked"/>
        <c:varyColors val="0"/>
        <c:ser>
          <c:idx val="0"/>
          <c:order val="0"/>
          <c:tx>
            <c:strRef>
              <c:f>'Chart 1.3 20 Year Capex'!$B$39</c:f>
              <c:strCache>
                <c:ptCount val="1"/>
                <c:pt idx="0">
                  <c:v>General Government Sector</c:v>
                </c:pt>
              </c:strCache>
            </c:strRef>
          </c:tx>
          <c:spPr>
            <a:solidFill>
              <a:srgbClr val="0B3F47"/>
            </a:solidFill>
            <a:ln>
              <a:solidFill>
                <a:schemeClr val="bg1"/>
              </a:solidFill>
            </a:ln>
          </c:spPr>
          <c:invertIfNegative val="0"/>
          <c:dPt>
            <c:idx val="8"/>
            <c:invertIfNegative val="0"/>
            <c:bubble3D val="0"/>
            <c:extLst>
              <c:ext xmlns:c16="http://schemas.microsoft.com/office/drawing/2014/chart" uri="{C3380CC4-5D6E-409C-BE32-E72D297353CC}">
                <c16:uniqueId val="{00000000-6971-4033-B89D-A96365229C82}"/>
              </c:ext>
            </c:extLst>
          </c:dPt>
          <c:dPt>
            <c:idx val="9"/>
            <c:invertIfNegative val="0"/>
            <c:bubble3D val="0"/>
            <c:extLst>
              <c:ext xmlns:c16="http://schemas.microsoft.com/office/drawing/2014/chart" uri="{C3380CC4-5D6E-409C-BE32-E72D297353CC}">
                <c16:uniqueId val="{00000001-6971-4033-B89D-A96365229C82}"/>
              </c:ext>
            </c:extLst>
          </c:dPt>
          <c:dPt>
            <c:idx val="10"/>
            <c:invertIfNegative val="0"/>
            <c:bubble3D val="0"/>
            <c:extLst>
              <c:ext xmlns:c16="http://schemas.microsoft.com/office/drawing/2014/chart" uri="{C3380CC4-5D6E-409C-BE32-E72D297353CC}">
                <c16:uniqueId val="{00000002-6971-4033-B89D-A96365229C82}"/>
              </c:ext>
            </c:extLst>
          </c:dPt>
          <c:dPt>
            <c:idx val="11"/>
            <c:invertIfNegative val="0"/>
            <c:bubble3D val="0"/>
            <c:extLst>
              <c:ext xmlns:c16="http://schemas.microsoft.com/office/drawing/2014/chart" uri="{C3380CC4-5D6E-409C-BE32-E72D297353CC}">
                <c16:uniqueId val="{00000003-6971-4033-B89D-A96365229C82}"/>
              </c:ext>
            </c:extLst>
          </c:dPt>
          <c:cat>
            <c:multiLvlStrRef>
              <c:f>'Chart 1.3 20 Year Capex'!$P$37:$AE$38</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Revised</c:v>
                  </c:pt>
                  <c:pt idx="12">
                    <c:v>Budget</c:v>
                  </c:pt>
                  <c:pt idx="13">
                    <c:v>Estimate</c:v>
                  </c:pt>
                  <c:pt idx="14">
                    <c:v>Estimate</c:v>
                  </c:pt>
                  <c:pt idx="15">
                    <c:v>Estimate</c:v>
                  </c:pt>
                </c:lvl>
                <c:lvl>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pt idx="12">
                    <c:v>2025-26</c:v>
                  </c:pt>
                  <c:pt idx="13">
                    <c:v>2026-27</c:v>
                  </c:pt>
                  <c:pt idx="14">
                    <c:v>2027-28</c:v>
                  </c:pt>
                  <c:pt idx="15">
                    <c:v>2028-29</c:v>
                  </c:pt>
                </c:lvl>
              </c:multiLvlStrCache>
              <c:extLst/>
            </c:multiLvlStrRef>
          </c:cat>
          <c:val>
            <c:numRef>
              <c:f>'Chart 1.3 20 Year Capex'!$P$39:$AE$39</c:f>
              <c:numCache>
                <c:formatCode>_-* #,##0.0_-;\-* #,##0.0_-;_-* "-"??_-;_-@_-</c:formatCode>
                <c:ptCount val="16"/>
                <c:pt idx="0">
                  <c:v>8545.9950000000008</c:v>
                </c:pt>
                <c:pt idx="1">
                  <c:v>9483.5220000000008</c:v>
                </c:pt>
                <c:pt idx="2">
                  <c:v>9351.3639987299994</c:v>
                </c:pt>
                <c:pt idx="3">
                  <c:v>10546.352999999999</c:v>
                </c:pt>
                <c:pt idx="4">
                  <c:v>12121.065581140007</c:v>
                </c:pt>
                <c:pt idx="5">
                  <c:v>16622.816443531603</c:v>
                </c:pt>
                <c:pt idx="6" formatCode="_(* #,##0.00_);_(* \(#,##0.00\);_(* &quot;-&quot;??_);_(@_)">
                  <c:v>20364.261976697926</c:v>
                </c:pt>
                <c:pt idx="7" formatCode="_(* #,##0.00_);_(* \(#,##0.00\);_(* &quot;-&quot;??_);_(@_)">
                  <c:v>18822.384821016294</c:v>
                </c:pt>
                <c:pt idx="8" formatCode="_(* #,##0.00_);_(* \(#,##0.00\);_(* &quot;-&quot;??_);_(@_)">
                  <c:v>20604.38786956773</c:v>
                </c:pt>
                <c:pt idx="9" formatCode="_(* #,##0.00_);_(* \(#,##0.00\);_(* &quot;-&quot;??_);_(@_)">
                  <c:v>22228.337432979992</c:v>
                </c:pt>
                <c:pt idx="10" formatCode="_(* #,##0.00_);_(* \(#,##0.00\);_(* &quot;-&quot;??_);_(@_)">
                  <c:v>22955.532298860009</c:v>
                </c:pt>
                <c:pt idx="11" formatCode="_(* #,##0.00_);_(* \(#,##0.00\);_(* &quot;-&quot;??_);_(@_)">
                  <c:v>22314.970772759771</c:v>
                </c:pt>
                <c:pt idx="12" formatCode="_(* #,##0.00_);_(* \(#,##0.00\);_(* &quot;-&quot;??_);_(@_)">
                  <c:v>22343.346421530001</c:v>
                </c:pt>
                <c:pt idx="13" formatCode="_(* #,##0.00_);_(* \(#,##0.00\);_(* &quot;-&quot;??_);_(@_)">
                  <c:v>22043.154229809988</c:v>
                </c:pt>
                <c:pt idx="14" formatCode="_(* #,##0.00_);_(* \(#,##0.00\);_(* &quot;-&quot;??_);_(@_)">
                  <c:v>21480.174552749995</c:v>
                </c:pt>
                <c:pt idx="15" formatCode="_(* #,##0.00_);_(* \(#,##0.00\);_(* &quot;-&quot;??_);_(@_)">
                  <c:v>20110.689176489999</c:v>
                </c:pt>
              </c:numCache>
              <c:extLst/>
            </c:numRef>
          </c:val>
          <c:extLst>
            <c:ext xmlns:c16="http://schemas.microsoft.com/office/drawing/2014/chart" uri="{C3380CC4-5D6E-409C-BE32-E72D297353CC}">
              <c16:uniqueId val="{00000004-6971-4033-B89D-A96365229C82}"/>
            </c:ext>
          </c:extLst>
        </c:ser>
        <c:ser>
          <c:idx val="7"/>
          <c:order val="5"/>
          <c:tx>
            <c:strRef>
              <c:f>'Chart 1.3 20 Year Capex'!$B$40</c:f>
              <c:strCache>
                <c:ptCount val="1"/>
                <c:pt idx="0">
                  <c:v>Public Non Financial Corporation Sector</c:v>
                </c:pt>
              </c:strCache>
            </c:strRef>
          </c:tx>
          <c:spPr>
            <a:solidFill>
              <a:srgbClr val="2E808E"/>
            </a:solidFill>
            <a:ln>
              <a:solidFill>
                <a:schemeClr val="bg1"/>
              </a:solidFill>
            </a:ln>
          </c:spPr>
          <c:invertIfNegative val="0"/>
          <c:cat>
            <c:multiLvlStrRef>
              <c:f>'Chart 1.3 20 Year Capex'!$P$37:$AE$38</c:f>
              <c:multiLvlStrCache>
                <c:ptCount val="16"/>
                <c:lvl>
                  <c:pt idx="0">
                    <c:v>Actual</c:v>
                  </c:pt>
                  <c:pt idx="1">
                    <c:v>Actual</c:v>
                  </c:pt>
                  <c:pt idx="2">
                    <c:v>Actual</c:v>
                  </c:pt>
                  <c:pt idx="3">
                    <c:v>Actual</c:v>
                  </c:pt>
                  <c:pt idx="4">
                    <c:v>Actual</c:v>
                  </c:pt>
                  <c:pt idx="5">
                    <c:v>Actual</c:v>
                  </c:pt>
                  <c:pt idx="6">
                    <c:v>Actual</c:v>
                  </c:pt>
                  <c:pt idx="7">
                    <c:v>Actual</c:v>
                  </c:pt>
                  <c:pt idx="8">
                    <c:v>Actual</c:v>
                  </c:pt>
                  <c:pt idx="9">
                    <c:v>Actual</c:v>
                  </c:pt>
                  <c:pt idx="10">
                    <c:v>Actual</c:v>
                  </c:pt>
                  <c:pt idx="11">
                    <c:v>Revised</c:v>
                  </c:pt>
                  <c:pt idx="12">
                    <c:v>Budget</c:v>
                  </c:pt>
                  <c:pt idx="13">
                    <c:v>Estimate</c:v>
                  </c:pt>
                  <c:pt idx="14">
                    <c:v>Estimate</c:v>
                  </c:pt>
                  <c:pt idx="15">
                    <c:v>Estimate</c:v>
                  </c:pt>
                </c:lvl>
                <c:lvl>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pt idx="12">
                    <c:v>2025-26</c:v>
                  </c:pt>
                  <c:pt idx="13">
                    <c:v>2026-27</c:v>
                  </c:pt>
                  <c:pt idx="14">
                    <c:v>2027-28</c:v>
                  </c:pt>
                  <c:pt idx="15">
                    <c:v>2028-29</c:v>
                  </c:pt>
                </c:lvl>
              </c:multiLvlStrCache>
              <c:extLst/>
            </c:multiLvlStrRef>
          </c:cat>
          <c:val>
            <c:numRef>
              <c:f>'Chart 1.3 20 Year Capex'!$P$40:$AE$40</c:f>
              <c:numCache>
                <c:formatCode>_-* #,##0.0_-;\-* #,##0.0_-;_-* "-"??_-;_-@_-</c:formatCode>
                <c:ptCount val="16"/>
                <c:pt idx="0">
                  <c:v>5331.5860000000002</c:v>
                </c:pt>
                <c:pt idx="1">
                  <c:v>3928.1379999999999</c:v>
                </c:pt>
                <c:pt idx="2">
                  <c:v>6823.3591207399995</c:v>
                </c:pt>
                <c:pt idx="3">
                  <c:v>7650.8899999999985</c:v>
                </c:pt>
                <c:pt idx="4">
                  <c:v>5762.5146773699998</c:v>
                </c:pt>
                <c:pt idx="5">
                  <c:v>5202.48123442</c:v>
                </c:pt>
                <c:pt idx="6">
                  <c:v>4460.9452177799994</c:v>
                </c:pt>
                <c:pt idx="7">
                  <c:v>5264.4239620499993</c:v>
                </c:pt>
                <c:pt idx="8">
                  <c:v>5215.2402458400002</c:v>
                </c:pt>
                <c:pt idx="9">
                  <c:v>5578.0056446700009</c:v>
                </c:pt>
                <c:pt idx="10">
                  <c:v>7959.1145705400013</c:v>
                </c:pt>
                <c:pt idx="11">
                  <c:v>6893.939868316791</c:v>
                </c:pt>
                <c:pt idx="12">
                  <c:v>8562.7448386700016</c:v>
                </c:pt>
                <c:pt idx="13">
                  <c:v>8280.8697787400015</c:v>
                </c:pt>
                <c:pt idx="14">
                  <c:v>7855.8885982500005</c:v>
                </c:pt>
                <c:pt idx="15">
                  <c:v>7895.930105970001</c:v>
                </c:pt>
              </c:numCache>
              <c:extLst/>
            </c:numRef>
          </c:val>
          <c:extLst>
            <c:ext xmlns:c16="http://schemas.microsoft.com/office/drawing/2014/chart" uri="{C3380CC4-5D6E-409C-BE32-E72D297353CC}">
              <c16:uniqueId val="{00000005-6971-4033-B89D-A96365229C82}"/>
            </c:ext>
          </c:extLst>
        </c:ser>
        <c:dLbls>
          <c:showLegendKey val="0"/>
          <c:showVal val="0"/>
          <c:showCatName val="0"/>
          <c:showSerName val="0"/>
          <c:showPercent val="0"/>
          <c:showBubbleSize val="0"/>
        </c:dLbls>
        <c:gapWidth val="150"/>
        <c:overlap val="100"/>
        <c:axId val="693073408"/>
        <c:axId val="693074944"/>
      </c:barChart>
      <c:lineChart>
        <c:grouping val="standard"/>
        <c:varyColors val="0"/>
        <c:ser>
          <c:idx val="2"/>
          <c:order val="1"/>
          <c:tx>
            <c:strRef>
              <c:f>'Chart 1.3 20 Year Capex'!$B$66</c:f>
              <c:strCache>
                <c:ptCount val="1"/>
                <c:pt idx="0">
                  <c:v>over 4 years to FY17</c:v>
                </c:pt>
              </c:strCache>
            </c:strRef>
          </c:tx>
          <c:spPr>
            <a:ln w="28575">
              <a:solidFill>
                <a:schemeClr val="tx1"/>
              </a:solidFill>
              <a:prstDash val="dash"/>
            </a:ln>
          </c:spPr>
          <c:marker>
            <c:symbol val="none"/>
          </c:marker>
          <c:cat>
            <c:strRef>
              <c:f>'Chart 1.3 20 Year Capex'!$G$37:$AE$37</c:f>
              <c:strCache>
                <c:ptCount val="2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pt idx="19">
                  <c:v>2023-24</c:v>
                </c:pt>
                <c:pt idx="20">
                  <c:v>2024-25</c:v>
                </c:pt>
                <c:pt idx="21">
                  <c:v>2025-26</c:v>
                </c:pt>
                <c:pt idx="22">
                  <c:v>2026-27</c:v>
                </c:pt>
                <c:pt idx="23">
                  <c:v>2027-28</c:v>
                </c:pt>
                <c:pt idx="24">
                  <c:v>2028-29</c:v>
                </c:pt>
              </c:strCache>
              <c:extLst/>
            </c:strRef>
          </c:cat>
          <c:val>
            <c:numRef>
              <c:f>'Chart 1.3 20 Year Capex'!$P$66:$AD$66</c:f>
              <c:numCache>
                <c:formatCode>#,##0.0</c:formatCode>
                <c:ptCount val="15"/>
                <c:pt idx="0">
                  <c:v>15415.301779867499</c:v>
                </c:pt>
                <c:pt idx="1">
                  <c:v>15415.301779867499</c:v>
                </c:pt>
                <c:pt idx="2">
                  <c:v>15415.301779867499</c:v>
                </c:pt>
                <c:pt idx="3">
                  <c:v>15415.301779867499</c:v>
                </c:pt>
              </c:numCache>
              <c:extLst/>
            </c:numRef>
          </c:val>
          <c:smooth val="0"/>
          <c:extLst>
            <c:ext xmlns:c16="http://schemas.microsoft.com/office/drawing/2014/chart" uri="{C3380CC4-5D6E-409C-BE32-E72D297353CC}">
              <c16:uniqueId val="{00000006-6971-4033-B89D-A96365229C82}"/>
            </c:ext>
          </c:extLst>
        </c:ser>
        <c:ser>
          <c:idx val="4"/>
          <c:order val="2"/>
          <c:tx>
            <c:strRef>
              <c:f>'Chart 1.3 20 Year Capex'!$B$67</c:f>
              <c:strCache>
                <c:ptCount val="1"/>
                <c:pt idx="0">
                  <c:v>over 4 years to FY21</c:v>
                </c:pt>
              </c:strCache>
            </c:strRef>
          </c:tx>
          <c:spPr>
            <a:ln w="28575">
              <a:solidFill>
                <a:schemeClr val="tx1"/>
              </a:solidFill>
              <a:prstDash val="dash"/>
            </a:ln>
          </c:spPr>
          <c:marker>
            <c:symbol val="none"/>
          </c:marker>
          <c:cat>
            <c:strRef>
              <c:f>'Chart 1.3 20 Year Capex'!$G$37:$AE$37</c:f>
              <c:strCache>
                <c:ptCount val="2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pt idx="19">
                  <c:v>2023-24</c:v>
                </c:pt>
                <c:pt idx="20">
                  <c:v>2024-25</c:v>
                </c:pt>
                <c:pt idx="21">
                  <c:v>2025-26</c:v>
                </c:pt>
                <c:pt idx="22">
                  <c:v>2026-27</c:v>
                </c:pt>
                <c:pt idx="23">
                  <c:v>2027-28</c:v>
                </c:pt>
                <c:pt idx="24">
                  <c:v>2028-29</c:v>
                </c:pt>
              </c:strCache>
              <c:extLst/>
            </c:strRef>
          </c:cat>
          <c:val>
            <c:numRef>
              <c:f>'Chart 1.3 20 Year Capex'!$P$67:$AD$67</c:f>
              <c:numCache>
                <c:formatCode>General</c:formatCode>
                <c:ptCount val="15"/>
                <c:pt idx="4" formatCode="#,##0.0">
                  <c:v>22155.223478501455</c:v>
                </c:pt>
                <c:pt idx="5" formatCode="#,##0.0">
                  <c:v>22155.223478501455</c:v>
                </c:pt>
                <c:pt idx="6" formatCode="#,##0.0">
                  <c:v>22155.223478501455</c:v>
                </c:pt>
                <c:pt idx="7" formatCode="#,##0.0">
                  <c:v>22155.223478501455</c:v>
                </c:pt>
              </c:numCache>
              <c:extLst/>
            </c:numRef>
          </c:val>
          <c:smooth val="0"/>
          <c:extLst>
            <c:ext xmlns:c16="http://schemas.microsoft.com/office/drawing/2014/chart" uri="{C3380CC4-5D6E-409C-BE32-E72D297353CC}">
              <c16:uniqueId val="{00000007-6971-4033-B89D-A96365229C82}"/>
            </c:ext>
          </c:extLst>
        </c:ser>
        <c:ser>
          <c:idx val="5"/>
          <c:order val="3"/>
          <c:tx>
            <c:strRef>
              <c:f>'Chart 1.3 20 Year Capex'!$B$68</c:f>
              <c:strCache>
                <c:ptCount val="1"/>
                <c:pt idx="0">
                  <c:v>over 4 years to FY25</c:v>
                </c:pt>
              </c:strCache>
            </c:strRef>
          </c:tx>
          <c:spPr>
            <a:ln w="28575">
              <a:solidFill>
                <a:schemeClr val="tx1"/>
              </a:solidFill>
              <a:prstDash val="dash"/>
            </a:ln>
          </c:spPr>
          <c:marker>
            <c:symbol val="none"/>
          </c:marker>
          <c:cat>
            <c:strRef>
              <c:f>'Chart 1.3 20 Year Capex'!$G$37:$AE$37</c:f>
              <c:strCache>
                <c:ptCount val="2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pt idx="19">
                  <c:v>2023-24</c:v>
                </c:pt>
                <c:pt idx="20">
                  <c:v>2024-25</c:v>
                </c:pt>
                <c:pt idx="21">
                  <c:v>2025-26</c:v>
                </c:pt>
                <c:pt idx="22">
                  <c:v>2026-27</c:v>
                </c:pt>
                <c:pt idx="23">
                  <c:v>2027-28</c:v>
                </c:pt>
                <c:pt idx="24">
                  <c:v>2028-29</c:v>
                </c:pt>
              </c:strCache>
              <c:extLst/>
            </c:strRef>
          </c:cat>
          <c:val>
            <c:numRef>
              <c:f>'Chart 1.3 20 Year Capex'!$P$68:$AD$68</c:f>
              <c:numCache>
                <c:formatCode>General</c:formatCode>
                <c:ptCount val="15"/>
                <c:pt idx="8" formatCode="#,##0.0">
                  <c:v>28437.382175883569</c:v>
                </c:pt>
                <c:pt idx="9" formatCode="#,##0.0">
                  <c:v>28437.382175883569</c:v>
                </c:pt>
                <c:pt idx="10" formatCode="#,##0.0">
                  <c:v>28437.382175883569</c:v>
                </c:pt>
                <c:pt idx="11" formatCode="#,##0.0">
                  <c:v>28437.382175883569</c:v>
                </c:pt>
              </c:numCache>
              <c:extLst/>
            </c:numRef>
          </c:val>
          <c:smooth val="0"/>
          <c:extLst>
            <c:ext xmlns:c16="http://schemas.microsoft.com/office/drawing/2014/chart" uri="{C3380CC4-5D6E-409C-BE32-E72D297353CC}">
              <c16:uniqueId val="{00000008-6971-4033-B89D-A96365229C82}"/>
            </c:ext>
          </c:extLst>
        </c:ser>
        <c:ser>
          <c:idx val="6"/>
          <c:order val="4"/>
          <c:tx>
            <c:strRef>
              <c:f>'Chart 1.3 20 Year Capex'!$B$69</c:f>
              <c:strCache>
                <c:ptCount val="1"/>
                <c:pt idx="0">
                  <c:v>over 4 years to FY29</c:v>
                </c:pt>
              </c:strCache>
            </c:strRef>
          </c:tx>
          <c:spPr>
            <a:ln w="28575">
              <a:solidFill>
                <a:schemeClr val="tx1"/>
              </a:solidFill>
              <a:prstDash val="dash"/>
            </a:ln>
          </c:spPr>
          <c:marker>
            <c:symbol val="none"/>
          </c:marker>
          <c:cat>
            <c:strRef>
              <c:f>'Chart 1.3 20 Year Capex'!$G$37:$AE$37</c:f>
              <c:strCache>
                <c:ptCount val="2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pt idx="19">
                  <c:v>2023-24</c:v>
                </c:pt>
                <c:pt idx="20">
                  <c:v>2024-25</c:v>
                </c:pt>
                <c:pt idx="21">
                  <c:v>2025-26</c:v>
                </c:pt>
                <c:pt idx="22">
                  <c:v>2026-27</c:v>
                </c:pt>
                <c:pt idx="23">
                  <c:v>2027-28</c:v>
                </c:pt>
                <c:pt idx="24">
                  <c:v>2028-29</c:v>
                </c:pt>
              </c:strCache>
              <c:extLst/>
            </c:strRef>
          </c:cat>
          <c:val>
            <c:numRef>
              <c:f>'Chart 1.3 20 Year Capex'!$P$69:$AE$69</c:f>
              <c:numCache>
                <c:formatCode>General</c:formatCode>
                <c:ptCount val="16"/>
                <c:pt idx="12" formatCode="#,##0.0">
                  <c:v>29643.199425552495</c:v>
                </c:pt>
                <c:pt idx="13" formatCode="#,##0.0">
                  <c:v>29643.199425552495</c:v>
                </c:pt>
                <c:pt idx="14" formatCode="#,##0.0">
                  <c:v>29643.199425552495</c:v>
                </c:pt>
                <c:pt idx="15" formatCode="#,##0.0">
                  <c:v>29643.199425552495</c:v>
                </c:pt>
              </c:numCache>
              <c:extLst/>
            </c:numRef>
          </c:val>
          <c:smooth val="0"/>
          <c:extLst>
            <c:ext xmlns:c16="http://schemas.microsoft.com/office/drawing/2014/chart" uri="{C3380CC4-5D6E-409C-BE32-E72D297353CC}">
              <c16:uniqueId val="{00000009-6971-4033-B89D-A96365229C82}"/>
            </c:ext>
          </c:extLst>
        </c:ser>
        <c:dLbls>
          <c:showLegendKey val="0"/>
          <c:showVal val="0"/>
          <c:showCatName val="0"/>
          <c:showSerName val="0"/>
          <c:showPercent val="0"/>
          <c:showBubbleSize val="0"/>
        </c:dLbls>
        <c:marker val="1"/>
        <c:smooth val="0"/>
        <c:axId val="693073408"/>
        <c:axId val="693074944"/>
      </c:line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a:pPr>
            <a:endParaRPr lang="en-US"/>
          </a:p>
        </c:txPr>
        <c:crossAx val="693074944"/>
        <c:crosses val="autoZero"/>
        <c:auto val="1"/>
        <c:lblAlgn val="ctr"/>
        <c:lblOffset val="100"/>
        <c:noMultiLvlLbl val="1"/>
      </c:catAx>
      <c:valAx>
        <c:axId val="693074944"/>
        <c:scaling>
          <c:orientation val="minMax"/>
          <c:min val="0"/>
        </c:scaling>
        <c:delete val="0"/>
        <c:axPos val="l"/>
        <c:majorGridlines>
          <c:spPr>
            <a:ln w="9525">
              <a:solidFill>
                <a:srgbClr val="DCDFDA"/>
              </a:solidFill>
              <a:prstDash val="solid"/>
            </a:ln>
            <a:effectLst>
              <a:outerShdw blurRad="50800" dist="50800" dir="5400000" algn="ctr" rotWithShape="0">
                <a:schemeClr val="bg1">
                  <a:lumMod val="85000"/>
                  <a:alpha val="0"/>
                </a:schemeClr>
              </a:outerShdw>
            </a:effectLst>
          </c:spPr>
        </c:majorGridlines>
        <c:title>
          <c:tx>
            <c:rich>
              <a:bodyPr rot="-5400000" vert="horz"/>
              <a:lstStyle/>
              <a:p>
                <a:pPr>
                  <a:defRPr b="0"/>
                </a:pPr>
                <a:r>
                  <a:rPr lang="en-US" b="0"/>
                  <a:t>$ millions</a:t>
                </a:r>
              </a:p>
            </c:rich>
          </c:tx>
          <c:layout>
            <c:manualLayout>
              <c:xMode val="edge"/>
              <c:yMode val="edge"/>
              <c:x val="5.0570622286054481E-3"/>
              <c:y val="0.36239026568879323"/>
            </c:manualLayout>
          </c:layout>
          <c:overlay val="0"/>
        </c:title>
        <c:numFmt formatCode="#,##0" sourceLinked="0"/>
        <c:majorTickMark val="out"/>
        <c:minorTickMark val="none"/>
        <c:tickLblPos val="nextTo"/>
        <c:spPr>
          <a:ln w="3175">
            <a:noFill/>
          </a:ln>
        </c:spPr>
        <c:crossAx val="693073408"/>
        <c:crossesAt val="1"/>
        <c:crossBetween val="between"/>
      </c:valAx>
      <c:spPr>
        <a:noFill/>
        <a:ln>
          <a:noFill/>
        </a:ln>
      </c:spPr>
    </c:plotArea>
    <c:legend>
      <c:legendPos val="b"/>
      <c:legendEntry>
        <c:idx val="2"/>
        <c:delete val="1"/>
      </c:legendEntry>
      <c:legendEntry>
        <c:idx val="3"/>
        <c:delete val="1"/>
      </c:legendEntry>
      <c:legendEntry>
        <c:idx val="4"/>
        <c:delete val="1"/>
      </c:legendEntry>
      <c:legendEntry>
        <c:idx val="5"/>
        <c:delete val="1"/>
      </c:legendEntry>
      <c:layout>
        <c:manualLayout>
          <c:xMode val="edge"/>
          <c:yMode val="edge"/>
          <c:x val="0.18480708896837367"/>
          <c:y val="0.93252040742613596"/>
          <c:w val="0.65713011363775609"/>
          <c:h val="4.3137704213507135E-2"/>
        </c:manualLayout>
      </c:layout>
      <c:overlay val="0"/>
    </c:legend>
    <c:plotVisOnly val="1"/>
    <c:dispBlanksAs val="gap"/>
    <c:showDLblsOverMax val="0"/>
  </c:chart>
  <c:spPr>
    <a:noFill/>
    <a:ln>
      <a:noFill/>
    </a:ln>
    <a:effectLst>
      <a:outerShdw blurRad="50800" dist="50800" dir="5400000" algn="ctr" rotWithShape="0">
        <a:schemeClr val="bg1">
          <a:lumMod val="85000"/>
          <a:alpha val="0"/>
        </a:schemeClr>
      </a:outerShdw>
    </a:effectLst>
  </c:spPr>
  <c:txPr>
    <a:bodyPr/>
    <a:lstStyle/>
    <a:p>
      <a:pPr>
        <a:defRPr sz="650">
          <a:solidFill>
            <a:sysClr val="windowText" lastClr="000000"/>
          </a:solidFill>
          <a:latin typeface="Public Sans" pitchFamily="2" charset="0"/>
          <a:cs typeface="Arial" panose="020B0604020202020204"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50" b="0" i="0" u="none" strike="noStrike" kern="1200" spc="0" baseline="0">
                <a:solidFill>
                  <a:schemeClr val="tx1"/>
                </a:solidFill>
                <a:latin typeface="+mn-lt"/>
                <a:ea typeface="+mn-ea"/>
                <a:cs typeface="+mn-cs"/>
              </a:defRPr>
            </a:pPr>
            <a:r>
              <a:rPr lang="en-US" sz="850" baseline="0">
                <a:solidFill>
                  <a:schemeClr val="tx1"/>
                </a:solidFill>
              </a:rPr>
              <a:t>$ millions</a:t>
            </a:r>
          </a:p>
        </c:rich>
      </c:tx>
      <c:layout>
        <c:manualLayout>
          <c:xMode val="edge"/>
          <c:yMode val="edge"/>
          <c:x val="1.3990739261728927E-2"/>
          <c:y val="0.44285995208839046"/>
        </c:manualLayout>
      </c:layout>
      <c:overlay val="0"/>
      <c:spPr>
        <a:noFill/>
        <a:ln>
          <a:noFill/>
        </a:ln>
        <a:effectLst/>
      </c:spPr>
      <c:txPr>
        <a:bodyPr rot="-5400000" spcFirstLastPara="1" vertOverflow="ellipsis" wrap="square" anchor="ctr" anchorCtr="1"/>
        <a:lstStyle/>
        <a:p>
          <a:pPr>
            <a:defRPr sz="85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8.711002627939482E-2"/>
          <c:y val="8.0605740608954493E-2"/>
          <c:w val="0.89794829775845642"/>
          <c:h val="0.78072880154551427"/>
        </c:manualLayout>
      </c:layout>
      <c:barChart>
        <c:barDir val="col"/>
        <c:grouping val="stacked"/>
        <c:varyColors val="0"/>
        <c:ser>
          <c:idx val="0"/>
          <c:order val="0"/>
          <c:tx>
            <c:strRef>
              <c:f>Sheet1!$E$45</c:f>
              <c:strCache>
                <c:ptCount val="1"/>
                <c:pt idx="0">
                  <c:v>Actual</c:v>
                </c:pt>
              </c:strCache>
            </c:strRef>
          </c:tx>
          <c:spPr>
            <a:solidFill>
              <a:srgbClr val="0B3F47"/>
            </a:solidFill>
            <a:ln>
              <a:noFill/>
            </a:ln>
            <a:effectLst/>
          </c:spPr>
          <c:invertIfNegative val="0"/>
          <c:cat>
            <c:strRef>
              <c:f>Sheet1!$F$44:$O$44</c:f>
              <c:strCache>
                <c:ptCount val="10"/>
                <c:pt idx="0">
                  <c:v>Actual
2019-20</c:v>
                </c:pt>
                <c:pt idx="1">
                  <c:v>Actual
2020-21</c:v>
                </c:pt>
                <c:pt idx="2">
                  <c:v>Actual
2021-22</c:v>
                </c:pt>
                <c:pt idx="3">
                  <c:v>Actual
2022-23</c:v>
                </c:pt>
                <c:pt idx="4">
                  <c:v>Actual
2023-24</c:v>
                </c:pt>
                <c:pt idx="5">
                  <c:v>Revised
2024-25</c:v>
                </c:pt>
                <c:pt idx="6">
                  <c:v>Budget
2025-26</c:v>
                </c:pt>
                <c:pt idx="7">
                  <c:v>Estimate
2026-27</c:v>
                </c:pt>
                <c:pt idx="8">
                  <c:v>Estimate
2027-28</c:v>
                </c:pt>
                <c:pt idx="9">
                  <c:v>Estimate
2028-29</c:v>
                </c:pt>
              </c:strCache>
            </c:strRef>
          </c:cat>
          <c:val>
            <c:numRef>
              <c:f>Sheet1!$F$45:$O$45</c:f>
              <c:numCache>
                <c:formatCode>_(* #,##0.0_);_(* \(#,##0.0\);_(* "-"??_);_(@_)</c:formatCode>
                <c:ptCount val="10"/>
                <c:pt idx="0">
                  <c:v>818.29397763000009</c:v>
                </c:pt>
                <c:pt idx="1">
                  <c:v>1103.4322721000001</c:v>
                </c:pt>
                <c:pt idx="2">
                  <c:v>410.79803431000005</c:v>
                </c:pt>
                <c:pt idx="3">
                  <c:v>503.57120493999986</c:v>
                </c:pt>
                <c:pt idx="4">
                  <c:v>1104.2938996400003</c:v>
                </c:pt>
              </c:numCache>
            </c:numRef>
          </c:val>
          <c:extLst>
            <c:ext xmlns:c16="http://schemas.microsoft.com/office/drawing/2014/chart" uri="{C3380CC4-5D6E-409C-BE32-E72D297353CC}">
              <c16:uniqueId val="{00000000-E0D0-4F5E-A9A6-D003709CAA64}"/>
            </c:ext>
          </c:extLst>
        </c:ser>
        <c:ser>
          <c:idx val="1"/>
          <c:order val="1"/>
          <c:tx>
            <c:strRef>
              <c:f>Sheet1!$E$46</c:f>
              <c:strCache>
                <c:ptCount val="1"/>
              </c:strCache>
            </c:strRef>
          </c:tx>
          <c:spPr>
            <a:solidFill>
              <a:srgbClr val="0B3F47"/>
            </a:solidFill>
            <a:ln>
              <a:noFill/>
            </a:ln>
            <a:effectLst/>
          </c:spPr>
          <c:invertIfNegative val="0"/>
          <c:cat>
            <c:strRef>
              <c:f>Sheet1!$F$44:$O$44</c:f>
              <c:strCache>
                <c:ptCount val="10"/>
                <c:pt idx="0">
                  <c:v>Actual
2019-20</c:v>
                </c:pt>
                <c:pt idx="1">
                  <c:v>Actual
2020-21</c:v>
                </c:pt>
                <c:pt idx="2">
                  <c:v>Actual
2021-22</c:v>
                </c:pt>
                <c:pt idx="3">
                  <c:v>Actual
2022-23</c:v>
                </c:pt>
                <c:pt idx="4">
                  <c:v>Actual
2023-24</c:v>
                </c:pt>
                <c:pt idx="5">
                  <c:v>Revised
2024-25</c:v>
                </c:pt>
                <c:pt idx="6">
                  <c:v>Budget
2025-26</c:v>
                </c:pt>
                <c:pt idx="7">
                  <c:v>Estimate
2026-27</c:v>
                </c:pt>
                <c:pt idx="8">
                  <c:v>Estimate
2027-28</c:v>
                </c:pt>
                <c:pt idx="9">
                  <c:v>Estimate
2028-29</c:v>
                </c:pt>
              </c:strCache>
            </c:strRef>
          </c:cat>
          <c:val>
            <c:numRef>
              <c:f>Sheet1!$F$46:$O$46</c:f>
              <c:numCache>
                <c:formatCode>General</c:formatCode>
                <c:ptCount val="10"/>
                <c:pt idx="5" formatCode="_(* #,##0.0_);_(* \(#,##0.0\);_(* &quot;-&quot;??_);_(@_)">
                  <c:v>723.97415512189991</c:v>
                </c:pt>
              </c:numCache>
            </c:numRef>
          </c:val>
          <c:extLst>
            <c:ext xmlns:c16="http://schemas.microsoft.com/office/drawing/2014/chart" uri="{C3380CC4-5D6E-409C-BE32-E72D297353CC}">
              <c16:uniqueId val="{00000001-E0D0-4F5E-A9A6-D003709CAA64}"/>
            </c:ext>
          </c:extLst>
        </c:ser>
        <c:ser>
          <c:idx val="2"/>
          <c:order val="2"/>
          <c:tx>
            <c:strRef>
              <c:f>Sheet1!$E$47</c:f>
              <c:strCache>
                <c:ptCount val="1"/>
                <c:pt idx="0">
                  <c:v>Estimate</c:v>
                </c:pt>
              </c:strCache>
            </c:strRef>
          </c:tx>
          <c:spPr>
            <a:solidFill>
              <a:srgbClr val="2E808E"/>
            </a:solidFill>
            <a:ln>
              <a:noFill/>
            </a:ln>
            <a:effectLst/>
          </c:spPr>
          <c:invertIfNegative val="0"/>
          <c:cat>
            <c:strRef>
              <c:f>Sheet1!$F$44:$O$44</c:f>
              <c:strCache>
                <c:ptCount val="10"/>
                <c:pt idx="0">
                  <c:v>Actual
2019-20</c:v>
                </c:pt>
                <c:pt idx="1">
                  <c:v>Actual
2020-21</c:v>
                </c:pt>
                <c:pt idx="2">
                  <c:v>Actual
2021-22</c:v>
                </c:pt>
                <c:pt idx="3">
                  <c:v>Actual
2022-23</c:v>
                </c:pt>
                <c:pt idx="4">
                  <c:v>Actual
2023-24</c:v>
                </c:pt>
                <c:pt idx="5">
                  <c:v>Revised
2024-25</c:v>
                </c:pt>
                <c:pt idx="6">
                  <c:v>Budget
2025-26</c:v>
                </c:pt>
                <c:pt idx="7">
                  <c:v>Estimate
2026-27</c:v>
                </c:pt>
                <c:pt idx="8">
                  <c:v>Estimate
2027-28</c:v>
                </c:pt>
                <c:pt idx="9">
                  <c:v>Estimate
2028-29</c:v>
                </c:pt>
              </c:strCache>
            </c:strRef>
          </c:cat>
          <c:val>
            <c:numRef>
              <c:f>Sheet1!$F$47:$O$47</c:f>
              <c:numCache>
                <c:formatCode>General</c:formatCode>
                <c:ptCount val="10"/>
                <c:pt idx="6" formatCode="_(* #,##0.0_);_(* \(#,##0.0\);_(* &quot;-&quot;??_);_(@_)">
                  <c:v>591.33224857599998</c:v>
                </c:pt>
                <c:pt idx="7" formatCode="_(* #,##0.0_);_(* \(#,##0.0\);_(* &quot;-&quot;??_);_(@_)">
                  <c:v>1830.2589479600001</c:v>
                </c:pt>
                <c:pt idx="8" formatCode="_(* #,##0.0_);_(* \(#,##0.0\);_(* &quot;-&quot;??_);_(@_)">
                  <c:v>1740.4526971400003</c:v>
                </c:pt>
                <c:pt idx="9" formatCode="_(* #,##0.0_);_(* \(#,##0.0\);_(* &quot;-&quot;??_);_(@_)">
                  <c:v>1293.9282562360002</c:v>
                </c:pt>
              </c:numCache>
            </c:numRef>
          </c:val>
          <c:extLst>
            <c:ext xmlns:c16="http://schemas.microsoft.com/office/drawing/2014/chart" uri="{C3380CC4-5D6E-409C-BE32-E72D297353CC}">
              <c16:uniqueId val="{00000002-E0D0-4F5E-A9A6-D003709CAA64}"/>
            </c:ext>
          </c:extLst>
        </c:ser>
        <c:dLbls>
          <c:showLegendKey val="0"/>
          <c:showVal val="0"/>
          <c:showCatName val="0"/>
          <c:showSerName val="0"/>
          <c:showPercent val="0"/>
          <c:showBubbleSize val="0"/>
        </c:dLbls>
        <c:gapWidth val="150"/>
        <c:overlap val="100"/>
        <c:axId val="2049709440"/>
        <c:axId val="2049709920"/>
      </c:barChart>
      <c:catAx>
        <c:axId val="2049709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049709920"/>
        <c:crosses val="autoZero"/>
        <c:auto val="1"/>
        <c:lblAlgn val="ctr"/>
        <c:lblOffset val="100"/>
        <c:noMultiLvlLbl val="0"/>
      </c:catAx>
      <c:valAx>
        <c:axId val="2049709920"/>
        <c:scaling>
          <c:orientation val="minMax"/>
          <c:max val="20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049709440"/>
        <c:crosses val="autoZero"/>
        <c:crossBetween val="between"/>
      </c:valAx>
      <c:spPr>
        <a:noFill/>
        <a:ln>
          <a:noFill/>
        </a:ln>
        <a:effectLst/>
      </c:spPr>
    </c:plotArea>
    <c:legend>
      <c:legendPos val="b"/>
      <c:legendEntry>
        <c:idx val="1"/>
        <c:delete val="1"/>
      </c:legendEntry>
      <c:layout>
        <c:manualLayout>
          <c:xMode val="edge"/>
          <c:yMode val="edge"/>
          <c:x val="0.28498937632795901"/>
          <c:y val="0.9496537422618091"/>
          <c:w val="0.36569922223774315"/>
          <c:h val="4.934800644084118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 1.5 Cth &amp; State-funded '!$A$36</c:f>
              <c:strCache>
                <c:ptCount val="1"/>
                <c:pt idx="0">
                  <c:v>Australian Government Funding</c:v>
                </c:pt>
              </c:strCache>
            </c:strRef>
          </c:tx>
          <c:spPr>
            <a:solidFill>
              <a:srgbClr val="0B3F47"/>
            </a:solidFill>
            <a:ln w="12700">
              <a:solidFill>
                <a:schemeClr val="bg1"/>
              </a:solidFill>
            </a:ln>
            <a:effectLst/>
          </c:spPr>
          <c:invertIfNegative val="0"/>
          <c:dPt>
            <c:idx val="7"/>
            <c:invertIfNegative val="0"/>
            <c:bubble3D val="0"/>
            <c:spPr>
              <a:solidFill>
                <a:srgbClr val="2E808E"/>
              </a:solidFill>
              <a:ln w="12700">
                <a:solidFill>
                  <a:schemeClr val="bg1"/>
                </a:solidFill>
              </a:ln>
              <a:effectLst/>
            </c:spPr>
            <c:extLst>
              <c:ext xmlns:c16="http://schemas.microsoft.com/office/drawing/2014/chart" uri="{C3380CC4-5D6E-409C-BE32-E72D297353CC}">
                <c16:uniqueId val="{00000001-23C3-4D7A-9D4E-494A02068A25}"/>
              </c:ext>
            </c:extLst>
          </c:dPt>
          <c:dPt>
            <c:idx val="8"/>
            <c:invertIfNegative val="0"/>
            <c:bubble3D val="0"/>
            <c:spPr>
              <a:solidFill>
                <a:srgbClr val="2E808E"/>
              </a:solidFill>
              <a:ln w="12700">
                <a:solidFill>
                  <a:schemeClr val="bg1"/>
                </a:solidFill>
              </a:ln>
              <a:effectLst/>
            </c:spPr>
            <c:extLst>
              <c:ext xmlns:c16="http://schemas.microsoft.com/office/drawing/2014/chart" uri="{C3380CC4-5D6E-409C-BE32-E72D297353CC}">
                <c16:uniqueId val="{00000003-23C3-4D7A-9D4E-494A02068A25}"/>
              </c:ext>
            </c:extLst>
          </c:dPt>
          <c:dPt>
            <c:idx val="9"/>
            <c:invertIfNegative val="0"/>
            <c:bubble3D val="0"/>
            <c:spPr>
              <a:solidFill>
                <a:srgbClr val="2E808E"/>
              </a:solidFill>
              <a:ln w="12700">
                <a:solidFill>
                  <a:schemeClr val="bg1"/>
                </a:solidFill>
              </a:ln>
              <a:effectLst/>
            </c:spPr>
            <c:extLst>
              <c:ext xmlns:c16="http://schemas.microsoft.com/office/drawing/2014/chart" uri="{C3380CC4-5D6E-409C-BE32-E72D297353CC}">
                <c16:uniqueId val="{00000005-23C3-4D7A-9D4E-494A02068A25}"/>
              </c:ext>
            </c:extLst>
          </c:dPt>
          <c:dPt>
            <c:idx val="10"/>
            <c:invertIfNegative val="0"/>
            <c:bubble3D val="0"/>
            <c:spPr>
              <a:solidFill>
                <a:srgbClr val="2E808E"/>
              </a:solidFill>
              <a:ln w="12700">
                <a:solidFill>
                  <a:schemeClr val="bg1"/>
                </a:solidFill>
              </a:ln>
              <a:effectLst/>
            </c:spPr>
            <c:extLst>
              <c:ext xmlns:c16="http://schemas.microsoft.com/office/drawing/2014/chart" uri="{C3380CC4-5D6E-409C-BE32-E72D297353CC}">
                <c16:uniqueId val="{00000007-23C3-4D7A-9D4E-494A02068A25}"/>
              </c:ext>
            </c:extLst>
          </c:dPt>
          <c:dPt>
            <c:idx val="11"/>
            <c:invertIfNegative val="0"/>
            <c:bubble3D val="0"/>
            <c:spPr>
              <a:solidFill>
                <a:srgbClr val="2E808E"/>
              </a:solidFill>
              <a:ln w="12700">
                <a:solidFill>
                  <a:schemeClr val="bg1"/>
                </a:solidFill>
              </a:ln>
              <a:effectLst/>
            </c:spPr>
            <c:extLst>
              <c:ext xmlns:c16="http://schemas.microsoft.com/office/drawing/2014/chart" uri="{C3380CC4-5D6E-409C-BE32-E72D297353CC}">
                <c16:uniqueId val="{00000009-23C3-4D7A-9D4E-494A02068A25}"/>
              </c:ext>
            </c:extLst>
          </c:dPt>
          <c:cat>
            <c:multiLvlStrRef>
              <c:f>'Chart 1.5 Cth &amp; State-funded '!$P$28:$AA$29</c:f>
              <c:multiLvlStrCache>
                <c:ptCount val="12"/>
                <c:lvl>
                  <c:pt idx="0">
                    <c:v>Actual</c:v>
                  </c:pt>
                  <c:pt idx="1">
                    <c:v>Actual</c:v>
                  </c:pt>
                  <c:pt idx="2">
                    <c:v>Actual</c:v>
                  </c:pt>
                  <c:pt idx="3">
                    <c:v>Actual</c:v>
                  </c:pt>
                  <c:pt idx="4">
                    <c:v>Actual</c:v>
                  </c:pt>
                  <c:pt idx="5">
                    <c:v>Actual</c:v>
                  </c:pt>
                  <c:pt idx="6">
                    <c:v>Actual</c:v>
                  </c:pt>
                  <c:pt idx="7">
                    <c:v>Revised</c:v>
                  </c:pt>
                  <c:pt idx="8">
                    <c:v>Budget</c:v>
                  </c:pt>
                  <c:pt idx="9">
                    <c:v>Estimate</c:v>
                  </c:pt>
                  <c:pt idx="10">
                    <c:v>Estimate</c:v>
                  </c:pt>
                  <c:pt idx="11">
                    <c:v>Estimate</c:v>
                  </c:pt>
                </c:lvl>
                <c:lvl>
                  <c:pt idx="0">
                    <c:v>2017-18</c:v>
                  </c:pt>
                  <c:pt idx="1">
                    <c:v>2018-19</c:v>
                  </c:pt>
                  <c:pt idx="2">
                    <c:v>2019-20</c:v>
                  </c:pt>
                  <c:pt idx="3">
                    <c:v>2020-21</c:v>
                  </c:pt>
                  <c:pt idx="4">
                    <c:v>2021-22</c:v>
                  </c:pt>
                  <c:pt idx="5">
                    <c:v>2022-23</c:v>
                  </c:pt>
                  <c:pt idx="6">
                    <c:v>2023-24</c:v>
                  </c:pt>
                  <c:pt idx="7">
                    <c:v>2024-25</c:v>
                  </c:pt>
                  <c:pt idx="8">
                    <c:v>2025-26</c:v>
                  </c:pt>
                  <c:pt idx="9">
                    <c:v>2026-27</c:v>
                  </c:pt>
                  <c:pt idx="10">
                    <c:v>2027-28</c:v>
                  </c:pt>
                  <c:pt idx="11">
                    <c:v>2028-29</c:v>
                  </c:pt>
                </c:lvl>
              </c:multiLvlStrCache>
            </c:multiLvlStrRef>
          </c:cat>
          <c:val>
            <c:numRef>
              <c:f>'Chart 1.5 Cth &amp; State-funded '!$P$36:$AA$36</c:f>
              <c:numCache>
                <c:formatCode>#,##0</c:formatCode>
                <c:ptCount val="12"/>
                <c:pt idx="0">
                  <c:v>3403.3641666600006</c:v>
                </c:pt>
                <c:pt idx="1">
                  <c:v>1501</c:v>
                </c:pt>
                <c:pt idx="2">
                  <c:v>632.57899999999995</c:v>
                </c:pt>
                <c:pt idx="3">
                  <c:v>1733.597</c:v>
                </c:pt>
                <c:pt idx="4">
                  <c:v>1484.549</c:v>
                </c:pt>
                <c:pt idx="5">
                  <c:v>2070.9520000000002</c:v>
                </c:pt>
                <c:pt idx="6">
                  <c:v>2897.3380000000002</c:v>
                </c:pt>
                <c:pt idx="7">
                  <c:v>3443.098</c:v>
                </c:pt>
                <c:pt idx="8">
                  <c:v>3401.1770000000001</c:v>
                </c:pt>
                <c:pt idx="9">
                  <c:v>3250.9659999999999</c:v>
                </c:pt>
                <c:pt idx="10">
                  <c:v>2275.1460000000002</c:v>
                </c:pt>
                <c:pt idx="11">
                  <c:v>2213.9170000000004</c:v>
                </c:pt>
              </c:numCache>
            </c:numRef>
          </c:val>
          <c:extLst>
            <c:ext xmlns:c16="http://schemas.microsoft.com/office/drawing/2014/chart" uri="{C3380CC4-5D6E-409C-BE32-E72D297353CC}">
              <c16:uniqueId val="{0000000A-23C3-4D7A-9D4E-494A02068A25}"/>
            </c:ext>
          </c:extLst>
        </c:ser>
        <c:dLbls>
          <c:showLegendKey val="0"/>
          <c:showVal val="0"/>
          <c:showCatName val="0"/>
          <c:showSerName val="0"/>
          <c:showPercent val="0"/>
          <c:showBubbleSize val="0"/>
        </c:dLbls>
        <c:gapWidth val="150"/>
        <c:overlap val="100"/>
        <c:axId val="835542624"/>
        <c:axId val="1958557184"/>
      </c:barChart>
      <c:catAx>
        <c:axId val="835542624"/>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958557184"/>
        <c:crosses val="autoZero"/>
        <c:auto val="1"/>
        <c:lblAlgn val="ctr"/>
        <c:lblOffset val="100"/>
        <c:noMultiLvlLbl val="0"/>
      </c:catAx>
      <c:valAx>
        <c:axId val="1958557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 million</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835542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solidFill>
              <a:srgbClr val="2E808E"/>
            </a:solidFill>
            <a:ln w="15875">
              <a:solidFill>
                <a:schemeClr val="bg1"/>
              </a:solidFill>
            </a:ln>
          </c:spPr>
          <c:dPt>
            <c:idx val="0"/>
            <c:bubble3D val="0"/>
            <c:spPr>
              <a:solidFill>
                <a:srgbClr val="F3631B"/>
              </a:solidFill>
              <a:ln w="15875">
                <a:solidFill>
                  <a:schemeClr val="bg1"/>
                </a:solidFill>
              </a:ln>
            </c:spPr>
            <c:extLst>
              <c:ext xmlns:c16="http://schemas.microsoft.com/office/drawing/2014/chart" uri="{C3380CC4-5D6E-409C-BE32-E72D297353CC}">
                <c16:uniqueId val="{00000001-1E9D-4F39-96CC-E978970C18D1}"/>
              </c:ext>
            </c:extLst>
          </c:dPt>
          <c:dPt>
            <c:idx val="1"/>
            <c:bubble3D val="0"/>
            <c:extLst>
              <c:ext xmlns:c16="http://schemas.microsoft.com/office/drawing/2014/chart" uri="{C3380CC4-5D6E-409C-BE32-E72D297353CC}">
                <c16:uniqueId val="{00000002-1E9D-4F39-96CC-E978970C18D1}"/>
              </c:ext>
            </c:extLst>
          </c:dPt>
          <c:dPt>
            <c:idx val="2"/>
            <c:bubble3D val="0"/>
            <c:spPr>
              <a:solidFill>
                <a:srgbClr val="441170"/>
              </a:solidFill>
              <a:ln w="15875">
                <a:solidFill>
                  <a:schemeClr val="bg1"/>
                </a:solidFill>
              </a:ln>
            </c:spPr>
            <c:extLst>
              <c:ext xmlns:c16="http://schemas.microsoft.com/office/drawing/2014/chart" uri="{C3380CC4-5D6E-409C-BE32-E72D297353CC}">
                <c16:uniqueId val="{00000004-1E9D-4F39-96CC-E978970C18D1}"/>
              </c:ext>
            </c:extLst>
          </c:dPt>
          <c:dPt>
            <c:idx val="3"/>
            <c:bubble3D val="0"/>
            <c:spPr>
              <a:solidFill>
                <a:srgbClr val="0B3F47"/>
              </a:solidFill>
              <a:ln w="15875">
                <a:solidFill>
                  <a:schemeClr val="bg1"/>
                </a:solidFill>
              </a:ln>
            </c:spPr>
            <c:extLst>
              <c:ext xmlns:c16="http://schemas.microsoft.com/office/drawing/2014/chart" uri="{C3380CC4-5D6E-409C-BE32-E72D297353CC}">
                <c16:uniqueId val="{00000006-1E9D-4F39-96CC-E978970C18D1}"/>
              </c:ext>
            </c:extLst>
          </c:dPt>
          <c:dPt>
            <c:idx val="4"/>
            <c:bubble3D val="0"/>
            <c:extLst>
              <c:ext xmlns:c16="http://schemas.microsoft.com/office/drawing/2014/chart" uri="{C3380CC4-5D6E-409C-BE32-E72D297353CC}">
                <c16:uniqueId val="{00000007-1E9D-4F39-96CC-E978970C18D1}"/>
              </c:ext>
            </c:extLst>
          </c:dPt>
          <c:dLbls>
            <c:dLbl>
              <c:idx val="0"/>
              <c:layout>
                <c:manualLayout>
                  <c:x val="-6.0278945784855167E-2"/>
                  <c:y val="0.1185812454267633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E9D-4F39-96CC-E978970C18D1}"/>
                </c:ext>
              </c:extLst>
            </c:dLbl>
            <c:dLbl>
              <c:idx val="1"/>
              <c:layout>
                <c:manualLayout>
                  <c:x val="-0.11806334342060441"/>
                  <c:y val="1.841930888609252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E9D-4F39-96CC-E978970C18D1}"/>
                </c:ext>
              </c:extLst>
            </c:dLbl>
            <c:dLbl>
              <c:idx val="2"/>
              <c:layout>
                <c:manualLayout>
                  <c:x val="-0.11792906750348744"/>
                  <c:y val="-0.118528957633504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E9D-4F39-96CC-E978970C18D1}"/>
                </c:ext>
              </c:extLst>
            </c:dLbl>
            <c:dLbl>
              <c:idx val="3"/>
              <c:layout>
                <c:manualLayout>
                  <c:x val="0.12154031867767123"/>
                  <c:y val="-9.223339605762408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E9D-4F39-96CC-E978970C18D1}"/>
                </c:ext>
              </c:extLst>
            </c:dLbl>
            <c:dLbl>
              <c:idx val="4"/>
              <c:layout>
                <c:manualLayout>
                  <c:x val="0.10446740949430197"/>
                  <c:y val="0.122069588205616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E9D-4F39-96CC-E978970C18D1}"/>
                </c:ext>
              </c:extLst>
            </c:dLbl>
            <c:numFmt formatCode="0.0%" sourceLinked="0"/>
            <c:spPr>
              <a:noFill/>
              <a:ln>
                <a:noFill/>
              </a:ln>
            </c:spPr>
            <c:txPr>
              <a:bodyPr rot="0"/>
              <a:lstStyle/>
              <a:p>
                <a:pPr>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'Chart 1.6 Physical Assets Type'!$A$48:$A$52</c:f>
              <c:strCache>
                <c:ptCount val="5"/>
                <c:pt idx="0">
                  <c:v>Land</c:v>
                </c:pt>
                <c:pt idx="1">
                  <c:v>Buildings</c:v>
                </c:pt>
                <c:pt idx="2">
                  <c:v>Plant and Equipment</c:v>
                </c:pt>
                <c:pt idx="3">
                  <c:v>Infrastructure Systems</c:v>
                </c:pt>
                <c:pt idx="4">
                  <c:v>Investment Properties</c:v>
                </c:pt>
              </c:strCache>
            </c:strRef>
          </c:cat>
          <c:val>
            <c:numRef>
              <c:f>'Chart 1.6 Physical Assets Type'!$D$48:$D$52</c:f>
              <c:numCache>
                <c:formatCode>0.0%</c:formatCode>
                <c:ptCount val="5"/>
                <c:pt idx="0">
                  <c:v>0.19142879661294576</c:v>
                </c:pt>
                <c:pt idx="1">
                  <c:v>0.23447147878455263</c:v>
                </c:pt>
                <c:pt idx="2">
                  <c:v>4.0060467686898631E-2</c:v>
                </c:pt>
                <c:pt idx="3">
                  <c:v>0.53294023668581048</c:v>
                </c:pt>
                <c:pt idx="4">
                  <c:v>1.0990202297926552E-3</c:v>
                </c:pt>
              </c:numCache>
            </c:numRef>
          </c:val>
          <c:extLst>
            <c:ext xmlns:c16="http://schemas.microsoft.com/office/drawing/2014/chart" uri="{C3380CC4-5D6E-409C-BE32-E72D297353CC}">
              <c16:uniqueId val="{00000008-1E9D-4F39-96CC-E978970C18D1}"/>
            </c:ext>
          </c:extLst>
        </c:ser>
        <c:dLbls>
          <c:showLegendKey val="0"/>
          <c:showVal val="0"/>
          <c:showCatName val="0"/>
          <c:showSerName val="0"/>
          <c:showPercent val="1"/>
          <c:showBubbleSize val="0"/>
          <c:showLeaderLines val="0"/>
        </c:dLbls>
        <c:firstSliceAng val="150"/>
        <c:holeSize val="60"/>
      </c:doughnutChart>
    </c:plotArea>
    <c:plotVisOnly val="1"/>
    <c:dispBlanksAs val="gap"/>
    <c:showDLblsOverMax val="0"/>
  </c:chart>
  <c:spPr>
    <a:noFill/>
    <a:ln>
      <a:noFill/>
    </a:ln>
  </c:spPr>
  <c:txPr>
    <a:bodyPr/>
    <a:lstStyle/>
    <a:p>
      <a:pPr>
        <a:defRPr sz="700">
          <a:latin typeface="Public Sans" pitchFamily="2"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0.72565</cdr:x>
      <cdr:y>0.00767</cdr:y>
    </cdr:from>
    <cdr:to>
      <cdr:x>0.96887</cdr:x>
      <cdr:y>0.07807</cdr:y>
    </cdr:to>
    <cdr:sp macro="" textlink="">
      <cdr:nvSpPr>
        <cdr:cNvPr id="3" name="TextBox 3"/>
        <cdr:cNvSpPr txBox="1"/>
      </cdr:nvSpPr>
      <cdr:spPr>
        <a:xfrm xmlns:a="http://schemas.openxmlformats.org/drawingml/2006/main">
          <a:off x="4502652" y="21166"/>
          <a:ext cx="1509182" cy="1943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700" b="1" i="0" u="none" strike="noStrike">
              <a:solidFill>
                <a:sysClr val="windowText" lastClr="000000"/>
              </a:solidFill>
              <a:latin typeface="Arial" panose="020B0604020202020204" pitchFamily="34" charset="0"/>
              <a:cs typeface="Arial" panose="020B0604020202020204" pitchFamily="34" charset="0"/>
            </a:rPr>
            <a:t> </a:t>
          </a:r>
          <a:endParaRPr lang="en-AU" sz="7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0.42346</cdr:x>
      <cdr:y>0.13357</cdr:y>
    </cdr:from>
    <cdr:to>
      <cdr:x>0.65788</cdr:x>
      <cdr:y>0.18971</cdr:y>
    </cdr:to>
    <cdr:sp macro="" textlink="">
      <cdr:nvSpPr>
        <cdr:cNvPr id="4" name="TextBox 3"/>
        <cdr:cNvSpPr txBox="1"/>
      </cdr:nvSpPr>
      <cdr:spPr>
        <a:xfrm xmlns:a="http://schemas.openxmlformats.org/drawingml/2006/main">
          <a:off x="2620412" y="364890"/>
          <a:ext cx="1450608" cy="1533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700" b="1" i="0" u="none" strike="noStrike">
              <a:solidFill>
                <a:srgbClr val="57514D"/>
              </a:solidFill>
              <a:latin typeface="Arial" panose="020B0604020202020204" pitchFamily="34" charset="0"/>
              <a:cs typeface="Arial" panose="020B0604020202020204" pitchFamily="34" charset="0"/>
            </a:rPr>
            <a:t> </a:t>
          </a:r>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0.15293</cdr:x>
      <cdr:y>0.31442</cdr:y>
    </cdr:from>
    <cdr:to>
      <cdr:x>0.3345</cdr:x>
      <cdr:y>0.37325</cdr:y>
    </cdr:to>
    <cdr:sp macro="" textlink="">
      <cdr:nvSpPr>
        <cdr:cNvPr id="6" name="TextBox 5"/>
        <cdr:cNvSpPr txBox="1"/>
      </cdr:nvSpPr>
      <cdr:spPr>
        <a:xfrm xmlns:a="http://schemas.openxmlformats.org/drawingml/2006/main">
          <a:off x="946328" y="858949"/>
          <a:ext cx="1123569" cy="160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b="1" i="0" u="none" strike="noStrike">
              <a:solidFill>
                <a:srgbClr val="57514D"/>
              </a:solidFill>
              <a:latin typeface="Arial" panose="020B0604020202020204" pitchFamily="34" charset="0"/>
              <a:cs typeface="Arial" panose="020B0604020202020204" pitchFamily="34" charset="0"/>
            </a:rPr>
            <a:t> </a:t>
          </a:r>
          <a:endParaRPr lang="en-AU" sz="700" b="1">
            <a:solidFill>
              <a:srgbClr val="57514D"/>
            </a:solidFill>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0.72565</cdr:x>
      <cdr:y>0.00767</cdr:y>
    </cdr:from>
    <cdr:to>
      <cdr:x>0.96887</cdr:x>
      <cdr:y>0.07807</cdr:y>
    </cdr:to>
    <cdr:sp macro="" textlink="">
      <cdr:nvSpPr>
        <cdr:cNvPr id="3" name="TextBox 3"/>
        <cdr:cNvSpPr txBox="1"/>
      </cdr:nvSpPr>
      <cdr:spPr>
        <a:xfrm xmlns:a="http://schemas.openxmlformats.org/drawingml/2006/main">
          <a:off x="4502652" y="21166"/>
          <a:ext cx="1509182" cy="1943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700" b="1" i="0" u="none" strike="noStrike">
              <a:solidFill>
                <a:sysClr val="windowText" lastClr="000000"/>
              </a:solidFill>
              <a:latin typeface="Arial" panose="020B0604020202020204" pitchFamily="34" charset="0"/>
              <a:cs typeface="Arial" panose="020B0604020202020204" pitchFamily="34" charset="0"/>
            </a:rPr>
            <a:t> </a:t>
          </a:r>
          <a:endParaRPr lang="en-AU" sz="7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0.42346</cdr:x>
      <cdr:y>0.13357</cdr:y>
    </cdr:from>
    <cdr:to>
      <cdr:x>0.65788</cdr:x>
      <cdr:y>0.18971</cdr:y>
    </cdr:to>
    <cdr:sp macro="" textlink="">
      <cdr:nvSpPr>
        <cdr:cNvPr id="4" name="TextBox 3"/>
        <cdr:cNvSpPr txBox="1"/>
      </cdr:nvSpPr>
      <cdr:spPr>
        <a:xfrm xmlns:a="http://schemas.openxmlformats.org/drawingml/2006/main">
          <a:off x="2620412" y="364890"/>
          <a:ext cx="1450608" cy="1533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700" b="1" i="0" u="none" strike="noStrike">
              <a:solidFill>
                <a:srgbClr val="57514D"/>
              </a:solidFill>
              <a:latin typeface="Arial" panose="020B0604020202020204" pitchFamily="34" charset="0"/>
              <a:cs typeface="Arial" panose="020B0604020202020204" pitchFamily="34" charset="0"/>
            </a:rPr>
            <a:t> </a:t>
          </a:r>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0.15293</cdr:x>
      <cdr:y>0.31442</cdr:y>
    </cdr:from>
    <cdr:to>
      <cdr:x>0.3345</cdr:x>
      <cdr:y>0.37325</cdr:y>
    </cdr:to>
    <cdr:sp macro="" textlink="">
      <cdr:nvSpPr>
        <cdr:cNvPr id="6" name="TextBox 5"/>
        <cdr:cNvSpPr txBox="1"/>
      </cdr:nvSpPr>
      <cdr:spPr>
        <a:xfrm xmlns:a="http://schemas.openxmlformats.org/drawingml/2006/main">
          <a:off x="946328" y="858949"/>
          <a:ext cx="1123569" cy="160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b="1" i="0" u="none" strike="noStrike">
              <a:solidFill>
                <a:srgbClr val="57514D"/>
              </a:solidFill>
              <a:latin typeface="Arial" panose="020B0604020202020204" pitchFamily="34" charset="0"/>
              <a:cs typeface="Arial" panose="020B0604020202020204" pitchFamily="34" charset="0"/>
            </a:rPr>
            <a:t> </a:t>
          </a:r>
          <a:endParaRPr lang="en-AU" sz="700" b="1">
            <a:solidFill>
              <a:srgbClr val="57514D"/>
            </a:solidFill>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0.72565</cdr:x>
      <cdr:y>0.00767</cdr:y>
    </cdr:from>
    <cdr:to>
      <cdr:x>0.96887</cdr:x>
      <cdr:y>0.07807</cdr:y>
    </cdr:to>
    <cdr:sp macro="" textlink="">
      <cdr:nvSpPr>
        <cdr:cNvPr id="3" name="TextBox 3"/>
        <cdr:cNvSpPr txBox="1"/>
      </cdr:nvSpPr>
      <cdr:spPr>
        <a:xfrm xmlns:a="http://schemas.openxmlformats.org/drawingml/2006/main">
          <a:off x="4502652" y="21166"/>
          <a:ext cx="1509182" cy="1943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700" b="1" i="0" u="none" strike="noStrike">
              <a:solidFill>
                <a:sysClr val="windowText" lastClr="000000"/>
              </a:solidFill>
              <a:latin typeface="Arial" panose="020B0604020202020204" pitchFamily="34" charset="0"/>
              <a:cs typeface="Arial" panose="020B0604020202020204" pitchFamily="34" charset="0"/>
            </a:rPr>
            <a:t> </a:t>
          </a:r>
          <a:endParaRPr lang="en-AU" sz="7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0.42346</cdr:x>
      <cdr:y>0.13357</cdr:y>
    </cdr:from>
    <cdr:to>
      <cdr:x>0.65788</cdr:x>
      <cdr:y>0.18971</cdr:y>
    </cdr:to>
    <cdr:sp macro="" textlink="">
      <cdr:nvSpPr>
        <cdr:cNvPr id="4" name="TextBox 3"/>
        <cdr:cNvSpPr txBox="1"/>
      </cdr:nvSpPr>
      <cdr:spPr>
        <a:xfrm xmlns:a="http://schemas.openxmlformats.org/drawingml/2006/main">
          <a:off x="2620412" y="364890"/>
          <a:ext cx="1450608" cy="1533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700" b="1" i="0" u="none" strike="noStrike">
              <a:solidFill>
                <a:srgbClr val="57514D"/>
              </a:solidFill>
              <a:latin typeface="Arial" panose="020B0604020202020204" pitchFamily="34" charset="0"/>
              <a:cs typeface="Arial" panose="020B0604020202020204" pitchFamily="34" charset="0"/>
            </a:rPr>
            <a:t> </a:t>
          </a:r>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0.15293</cdr:x>
      <cdr:y>0.31442</cdr:y>
    </cdr:from>
    <cdr:to>
      <cdr:x>0.3345</cdr:x>
      <cdr:y>0.37325</cdr:y>
    </cdr:to>
    <cdr:sp macro="" textlink="">
      <cdr:nvSpPr>
        <cdr:cNvPr id="6" name="TextBox 5"/>
        <cdr:cNvSpPr txBox="1"/>
      </cdr:nvSpPr>
      <cdr:spPr>
        <a:xfrm xmlns:a="http://schemas.openxmlformats.org/drawingml/2006/main">
          <a:off x="946328" y="858949"/>
          <a:ext cx="1123569" cy="160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b="1" i="0" u="none" strike="noStrike">
              <a:solidFill>
                <a:srgbClr val="57514D"/>
              </a:solidFill>
              <a:latin typeface="Arial" panose="020B0604020202020204" pitchFamily="34" charset="0"/>
              <a:cs typeface="Arial" panose="020B0604020202020204" pitchFamily="34" charset="0"/>
            </a:rPr>
            <a:t> </a:t>
          </a:r>
          <a:endParaRPr lang="en-AU" sz="700" b="1">
            <a:solidFill>
              <a:srgbClr val="57514D"/>
            </a:solidFill>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0.10789</cdr:x>
      <cdr:y>0.64087</cdr:y>
    </cdr:from>
    <cdr:to>
      <cdr:x>0.23131</cdr:x>
      <cdr:y>0.68941</cdr:y>
    </cdr:to>
    <cdr:sp macro="" textlink="">
      <cdr:nvSpPr>
        <cdr:cNvPr id="2" name="TextBox 1">
          <a:extLst xmlns:a="http://schemas.openxmlformats.org/drawingml/2006/main">
            <a:ext uri="{FF2B5EF4-FFF2-40B4-BE49-F238E27FC236}">
              <a16:creationId xmlns:a16="http://schemas.microsoft.com/office/drawing/2014/main" id="{B6F831CA-0E18-4BCC-A226-A6FFB9A0A784}"/>
            </a:ext>
          </a:extLst>
        </cdr:cNvPr>
        <cdr:cNvSpPr txBox="1"/>
      </cdr:nvSpPr>
      <cdr:spPr>
        <a:xfrm xmlns:a="http://schemas.openxmlformats.org/drawingml/2006/main">
          <a:off x="1028700" y="2051050"/>
          <a:ext cx="1176721" cy="1553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700" b="1" i="0" u="none" strike="noStrike">
            <a:solidFill>
              <a:srgbClr val="57514D"/>
            </a:solidFill>
            <a:latin typeface="Arial" panose="020B0604020202020204" pitchFamily="34" charset="0"/>
            <a:cs typeface="Arial" panose="020B0604020202020204" pitchFamily="34" charset="0"/>
          </a:endParaRPr>
        </a:p>
        <a:p xmlns:a="http://schemas.openxmlformats.org/drawingml/2006/main">
          <a:r>
            <a:rPr lang="en-US" sz="700" b="1" i="0" u="none" strike="noStrike" baseline="0">
              <a:solidFill>
                <a:srgbClr val="57514D"/>
              </a:solidFill>
              <a:latin typeface="Arial" panose="020B0604020202020204" pitchFamily="34" charset="0"/>
              <a:cs typeface="Arial" panose="020B0604020202020204" pitchFamily="34" charset="0"/>
            </a:rPr>
            <a:t> </a:t>
          </a:r>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0.35348</cdr:x>
      <cdr:y>0.20299</cdr:y>
    </cdr:from>
    <cdr:to>
      <cdr:x>0.49714</cdr:x>
      <cdr:y>0.26902</cdr:y>
    </cdr:to>
    <cdr:sp macro="" textlink="">
      <cdr:nvSpPr>
        <cdr:cNvPr id="5" name="TextBox 1">
          <a:extLst xmlns:a="http://schemas.openxmlformats.org/drawingml/2006/main">
            <a:ext uri="{FF2B5EF4-FFF2-40B4-BE49-F238E27FC236}">
              <a16:creationId xmlns:a16="http://schemas.microsoft.com/office/drawing/2014/main" id="{C84D2490-4BEC-4AA2-9570-572125CF9435}"/>
            </a:ext>
          </a:extLst>
        </cdr:cNvPr>
        <cdr:cNvSpPr txBox="1"/>
      </cdr:nvSpPr>
      <cdr:spPr>
        <a:xfrm xmlns:a="http://schemas.openxmlformats.org/drawingml/2006/main">
          <a:off x="2163568" y="707656"/>
          <a:ext cx="879309" cy="23019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C82E168B-F0E9-4D66-B19B-9E0055E608C3}" type="TxLink">
            <a:rPr lang="en-US" sz="700" b="1" i="0" u="none" strike="noStrike">
              <a:solidFill>
                <a:srgbClr val="000000"/>
              </a:solidFill>
              <a:latin typeface="Arial" panose="020B0604020202020204" pitchFamily="34" charset="0"/>
              <a:cs typeface="Arial" panose="020B0604020202020204" pitchFamily="34" charset="0"/>
            </a:rPr>
            <a:pPr algn="ctr"/>
            <a:t>Average: $22.2 billion</a:t>
          </a:fld>
          <a:endParaRPr lang="en-AU" sz="100" b="1">
            <a:solidFill>
              <a:schemeClr val="tx1">
                <a:lumMod val="75000"/>
                <a:lumOff val="25000"/>
              </a:schemeClr>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0.11469</cdr:x>
      <cdr:y>0.38351</cdr:y>
    </cdr:from>
    <cdr:to>
      <cdr:x>0.29381</cdr:x>
      <cdr:y>0.46807</cdr:y>
    </cdr:to>
    <cdr:sp macro="" textlink="">
      <cdr:nvSpPr>
        <cdr:cNvPr id="6" name="TextBox 1">
          <a:extLst xmlns:a="http://schemas.openxmlformats.org/drawingml/2006/main">
            <a:ext uri="{FF2B5EF4-FFF2-40B4-BE49-F238E27FC236}">
              <a16:creationId xmlns:a16="http://schemas.microsoft.com/office/drawing/2014/main" id="{C84D2490-4BEC-4AA2-9570-572125CF9435}"/>
            </a:ext>
          </a:extLst>
        </cdr:cNvPr>
        <cdr:cNvSpPr txBox="1"/>
      </cdr:nvSpPr>
      <cdr:spPr>
        <a:xfrm xmlns:a="http://schemas.openxmlformats.org/drawingml/2006/main">
          <a:off x="701970" y="1336975"/>
          <a:ext cx="1096350" cy="2947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5A02ECCA-74D1-4DBD-A1AC-D6BD75BAA180}" type="TxLink">
            <a:rPr lang="en-US" sz="700" b="1" i="0" u="none" strike="noStrike">
              <a:solidFill>
                <a:srgbClr val="000000"/>
              </a:solidFill>
              <a:latin typeface="Arial" panose="020B0604020202020204" pitchFamily="34" charset="0"/>
              <a:cs typeface="Arial" panose="020B0604020202020204" pitchFamily="34" charset="0"/>
            </a:rPr>
            <a:pPr algn="ctr"/>
            <a:t>Average: $15.4 billion</a:t>
          </a:fld>
          <a:endParaRPr lang="en-AU" sz="700" b="1">
            <a:solidFill>
              <a:schemeClr val="tx1">
                <a:lumMod val="75000"/>
                <a:lumOff val="25000"/>
              </a:schemeClr>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0.80893</cdr:x>
      <cdr:y>0.0928</cdr:y>
    </cdr:from>
    <cdr:to>
      <cdr:x>0.95644</cdr:x>
      <cdr:y>0.14361</cdr:y>
    </cdr:to>
    <cdr:sp macro="" textlink="">
      <cdr:nvSpPr>
        <cdr:cNvPr id="7" name="TextBox 1">
          <a:extLst xmlns:a="http://schemas.openxmlformats.org/drawingml/2006/main">
            <a:ext uri="{FF2B5EF4-FFF2-40B4-BE49-F238E27FC236}">
              <a16:creationId xmlns:a16="http://schemas.microsoft.com/office/drawing/2014/main" id="{94CF23C3-EB13-461C-9D20-EA72409A56A1}"/>
            </a:ext>
          </a:extLst>
        </cdr:cNvPr>
        <cdr:cNvSpPr txBox="1"/>
      </cdr:nvSpPr>
      <cdr:spPr>
        <a:xfrm xmlns:a="http://schemas.openxmlformats.org/drawingml/2006/main">
          <a:off x="4951284" y="323529"/>
          <a:ext cx="902874" cy="1771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9D032845-583F-4F33-9B17-069AB0566899}" type="TxLink">
            <a:rPr lang="en-US" sz="700" b="1" i="0" u="none" strike="noStrike">
              <a:solidFill>
                <a:srgbClr val="000000"/>
              </a:solidFill>
              <a:latin typeface="Arial" panose="020B0604020202020204" pitchFamily="34" charset="0"/>
              <a:cs typeface="Arial" panose="020B0604020202020204" pitchFamily="34" charset="0"/>
            </a:rPr>
            <a:pPr algn="ctr"/>
            <a:t>Average: $29.6 billion</a:t>
          </a:fld>
          <a:endParaRPr lang="en-AU" sz="100" b="1">
            <a:solidFill>
              <a:schemeClr val="tx1">
                <a:lumMod val="75000"/>
                <a:lumOff val="25000"/>
              </a:schemeClr>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0.56929</cdr:x>
      <cdr:y>0.08798</cdr:y>
    </cdr:from>
    <cdr:to>
      <cdr:x>0.72492</cdr:x>
      <cdr:y>0.14034</cdr:y>
    </cdr:to>
    <cdr:sp macro="" textlink="">
      <cdr:nvSpPr>
        <cdr:cNvPr id="8" name="TextBox 1">
          <a:extLst xmlns:a="http://schemas.openxmlformats.org/drawingml/2006/main">
            <a:ext uri="{FF2B5EF4-FFF2-40B4-BE49-F238E27FC236}">
              <a16:creationId xmlns:a16="http://schemas.microsoft.com/office/drawing/2014/main" id="{94CF23C3-EB13-461C-9D20-EA72409A56A1}"/>
            </a:ext>
          </a:extLst>
        </cdr:cNvPr>
        <cdr:cNvSpPr txBox="1"/>
      </cdr:nvSpPr>
      <cdr:spPr>
        <a:xfrm xmlns:a="http://schemas.openxmlformats.org/drawingml/2006/main">
          <a:off x="3484467" y="306702"/>
          <a:ext cx="952575" cy="1825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fld id="{904855AF-6FBD-4813-8FE3-C2E96F8830E2}" type="TxLink">
            <a:rPr lang="en-US" sz="700" b="1" i="0" u="none" strike="noStrike">
              <a:solidFill>
                <a:srgbClr val="000000"/>
              </a:solidFill>
              <a:latin typeface="Arial" panose="020B0604020202020204" pitchFamily="34" charset="0"/>
              <a:cs typeface="Arial" panose="020B0604020202020204" pitchFamily="34" charset="0"/>
            </a:rPr>
            <a:pPr algn="ctr"/>
            <a:t>Average: $28.4 billion</a:t>
          </a:fld>
          <a:endParaRPr lang="en-AU" sz="100" b="1">
            <a:solidFill>
              <a:schemeClr val="tx1">
                <a:lumMod val="75000"/>
                <a:lumOff val="25000"/>
              </a:schemeClr>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SharedWithUsers xmlns="801a5968-9419-4033-b9de-7ffe8168468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2.xml><?xml version="1.0" encoding="utf-8"?>
<ds:datastoreItem xmlns:ds="http://schemas.openxmlformats.org/officeDocument/2006/customXml" ds:itemID="{CE9E9FD7-6E6C-41F1-AB66-B4A654C66101}">
  <ds:schemaRefs>
    <ds:schemaRef ds:uri="http://schemas.microsoft.com/office/2006/documentManagement/types"/>
    <ds:schemaRef ds:uri="http://schemas.microsoft.com/office/2006/metadata/properties"/>
    <ds:schemaRef ds:uri="801a5968-9419-4033-b9de-7ffe8168468e"/>
    <ds:schemaRef ds:uri="http://purl.org/dc/terms/"/>
    <ds:schemaRef ds:uri="http://schemas.microsoft.com/office/infopath/2007/PartnerControls"/>
    <ds:schemaRef ds:uri="1c478e85-8130-4c67-8ee4-8bdf1c0e6049"/>
    <ds:schemaRef ds:uri="http://www.w3.org/XML/1998/namespace"/>
    <ds:schemaRef ds:uri="http://purl.org/dc/dcmitype/"/>
    <ds:schemaRef ds:uri="http://schemas.openxmlformats.org/package/2006/metadata/core-properties"/>
    <ds:schemaRef ds:uri="9f0ac7ce-5f57-4ea0-9af7-01d4f3f1ccae"/>
    <ds:schemaRef ds:uri="http://purl.org/dc/elements/1.1/"/>
  </ds:schemaRefs>
</ds:datastoreItem>
</file>

<file path=customXml/itemProps3.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4.xml><?xml version="1.0" encoding="utf-8"?>
<ds:datastoreItem xmlns:ds="http://schemas.openxmlformats.org/officeDocument/2006/customXml" ds:itemID="{16DA38A2-570D-4DE0-AB8B-242BFC5A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4982</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2025-26 Budget Paper No. 1 - Budget Statement - Capital expenditure</vt:lpstr>
    </vt:vector>
  </TitlesOfParts>
  <Company>NSW Treasury</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Capital expenditure</dc:title>
  <dc:subject/>
  <dc:creator>F Lavorato</dc:creator>
  <cp:keywords/>
  <cp:lastModifiedBy>Amany Tahir</cp:lastModifiedBy>
  <cp:revision>3</cp:revision>
  <cp:lastPrinted>2025-06-19T18:33:00Z</cp:lastPrinted>
  <dcterms:created xsi:type="dcterms:W3CDTF">2025-06-22T09:25:00Z</dcterms:created>
  <dcterms:modified xsi:type="dcterms:W3CDTF">2025-06-22T09:25:00Z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9004000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