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drawings/drawing1.xml" ContentType="application/vnd.openxmlformats-officedocument.drawingml.chartshapes+xml"/>
  <Override PartName="/word/charts/chart3.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4C0784" w14:textId="42F79A12" w:rsidR="003D1D64" w:rsidRPr="00FF6283" w:rsidRDefault="009364A3" w:rsidP="00EB5A58">
      <w:pPr>
        <w:pStyle w:val="Heading1"/>
        <w:tabs>
          <w:tab w:val="clear" w:pos="284"/>
          <w:tab w:val="left" w:pos="709"/>
        </w:tabs>
        <w:spacing w:after="480"/>
      </w:pPr>
      <w:bookmarkStart w:id="0" w:name="_Toc343440193"/>
      <w:bookmarkStart w:id="1" w:name="_Toc374428978"/>
      <w:bookmarkStart w:id="2" w:name="_Toc481587874"/>
      <w:r>
        <w:rPr>
          <w:noProof/>
        </w:rPr>
        <mc:AlternateContent>
          <mc:Choice Requires="wps">
            <w:drawing>
              <wp:anchor distT="0" distB="0" distL="114300" distR="114300" simplePos="0" relativeHeight="251658242" behindDoc="0" locked="0" layoutInCell="1" allowOverlap="1" wp14:anchorId="050976C2" wp14:editId="38129050">
                <wp:simplePos x="0" y="0"/>
                <wp:positionH relativeFrom="column">
                  <wp:posOffset>27305</wp:posOffset>
                </wp:positionH>
                <wp:positionV relativeFrom="paragraph">
                  <wp:posOffset>2126615</wp:posOffset>
                </wp:positionV>
                <wp:extent cx="1493520" cy="669925"/>
                <wp:effectExtent l="0" t="0" r="0" b="0"/>
                <wp:wrapNone/>
                <wp:docPr id="13" name="TextBox 5">
                  <a:extLst xmlns:a="http://schemas.openxmlformats.org/drawingml/2006/main">
                    <a:ext uri="{FF2B5EF4-FFF2-40B4-BE49-F238E27FC236}">
                      <a16:creationId xmlns:a16="http://schemas.microsoft.com/office/drawing/2014/main" id="{509355F3-3D3B-438C-8492-40BE86C0C09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93520" cy="669925"/>
                        </a:xfrm>
                        <a:prstGeom prst="rect">
                          <a:avLst/>
                        </a:prstGeom>
                        <a:noFill/>
                      </wps:spPr>
                      <wps:txbx>
                        <w:txbxContent>
                          <w:p w14:paraId="66705D8E" w14:textId="0C9FDDCD" w:rsidR="007C2458" w:rsidRPr="008C6150" w:rsidRDefault="007C2458" w:rsidP="007F70B4">
                            <w:pPr>
                              <w:jc w:val="center"/>
                              <w:rPr>
                                <w:rFonts w:ascii="Arial" w:hAnsi="Arial" w:cs="Arial"/>
                                <w:sz w:val="34"/>
                                <w:szCs w:val="34"/>
                              </w:rPr>
                            </w:pPr>
                            <w:r w:rsidRPr="008C6150">
                              <w:rPr>
                                <w:rFonts w:ascii="Arial" w:hAnsi="Arial" w:cs="Arial"/>
                                <w:b/>
                                <w:bCs/>
                                <w:color w:val="000000"/>
                                <w:kern w:val="24"/>
                                <w:sz w:val="34"/>
                                <w:szCs w:val="34"/>
                              </w:rPr>
                              <w:t>$</w:t>
                            </w:r>
                            <w:r>
                              <w:rPr>
                                <w:rFonts w:ascii="Arial" w:hAnsi="Arial" w:cs="Arial"/>
                                <w:b/>
                                <w:bCs/>
                                <w:color w:val="000000"/>
                                <w:kern w:val="24"/>
                                <w:sz w:val="34"/>
                                <w:szCs w:val="34"/>
                              </w:rPr>
                              <w:t>7</w:t>
                            </w:r>
                            <w:r w:rsidRPr="008C6150">
                              <w:rPr>
                                <w:rFonts w:ascii="Arial" w:hAnsi="Arial" w:cs="Arial"/>
                                <w:b/>
                                <w:bCs/>
                                <w:color w:val="000000"/>
                                <w:kern w:val="24"/>
                                <w:sz w:val="34"/>
                                <w:szCs w:val="34"/>
                              </w:rPr>
                              <w:t>.</w:t>
                            </w:r>
                            <w:r>
                              <w:rPr>
                                <w:rFonts w:ascii="Arial" w:hAnsi="Arial" w:cs="Arial"/>
                                <w:b/>
                                <w:bCs/>
                                <w:color w:val="000000"/>
                                <w:kern w:val="24"/>
                                <w:sz w:val="34"/>
                                <w:szCs w:val="34"/>
                              </w:rPr>
                              <w:t>3</w:t>
                            </w:r>
                            <w:r w:rsidRPr="008C6150">
                              <w:rPr>
                                <w:rFonts w:ascii="Arial" w:hAnsi="Arial" w:cs="Arial"/>
                                <w:b/>
                                <w:bCs/>
                                <w:color w:val="000000"/>
                                <w:kern w:val="24"/>
                                <w:sz w:val="34"/>
                                <w:szCs w:val="34"/>
                              </w:rPr>
                              <w:t xml:space="preserve"> billion</w:t>
                            </w:r>
                            <w:r w:rsidRPr="00DE2C43">
                              <w:rPr>
                                <w:rFonts w:ascii="Arial" w:hAnsi="Arial" w:cs="Arial"/>
                                <w:b/>
                                <w:bCs/>
                                <w:color w:val="000000"/>
                                <w:kern w:val="24"/>
                                <w:sz w:val="34"/>
                                <w:szCs w:val="34"/>
                                <w:vertAlign w:val="superscript"/>
                              </w:rPr>
                              <w:t>1</w:t>
                            </w:r>
                          </w:p>
                          <w:p w14:paraId="7FC1F3CA" w14:textId="680C1847" w:rsidR="007C2458" w:rsidRPr="008C6150" w:rsidRDefault="007C2458" w:rsidP="009430D7">
                            <w:pPr>
                              <w:jc w:val="center"/>
                              <w:rPr>
                                <w:rFonts w:ascii="Arial" w:hAnsi="Arial" w:cs="Arial"/>
                              </w:rPr>
                            </w:pPr>
                            <w:r w:rsidRPr="008C6150">
                              <w:rPr>
                                <w:rFonts w:ascii="Arial" w:hAnsi="Arial" w:cs="Arial"/>
                                <w:color w:val="000000"/>
                                <w:kern w:val="24"/>
                              </w:rPr>
                              <w:t xml:space="preserve">Delivering </w:t>
                            </w:r>
                            <w:r>
                              <w:rPr>
                                <w:rFonts w:ascii="Arial" w:hAnsi="Arial" w:cs="Arial"/>
                                <w:color w:val="000000"/>
                                <w:kern w:val="24"/>
                              </w:rPr>
                              <w:br/>
                              <w:t>190</w:t>
                            </w:r>
                            <w:r w:rsidRPr="008C6150">
                              <w:rPr>
                                <w:rFonts w:ascii="Arial" w:hAnsi="Arial" w:cs="Arial"/>
                                <w:color w:val="000000"/>
                                <w:kern w:val="24"/>
                              </w:rPr>
                              <w:t xml:space="preserve"> schools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type w14:anchorId="050976C2" id="_x0000_t202" coordsize="21600,21600" o:spt="202" path="m,l,21600r21600,l21600,xe">
                <v:stroke joinstyle="miter"/>
                <v:path gradientshapeok="t" o:connecttype="rect"/>
              </v:shapetype>
              <v:shape id="TextBox 5" o:spid="_x0000_s1026" type="#_x0000_t202" style="position:absolute;margin-left:2.15pt;margin-top:167.45pt;width:117.6pt;height:52.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" filled="f" stroked="f">
                <v:textbox>
                  <w:txbxContent>
                    <w:p w14:paraId="66705D8E" w14:textId="0C9FDDCD" w:rsidR="007C2458" w:rsidRPr="008C6150" w:rsidRDefault="007C2458" w:rsidP="007F70B4">
                      <w:pPr>
                        <w:jc w:val="center"/>
                        <w:rPr>
                          <w:rFonts w:ascii="Arial" w:hAnsi="Arial" w:cs="Arial"/>
                          <w:sz w:val="34"/>
                          <w:szCs w:val="34"/>
                        </w:rPr>
                      </w:pPr>
                      <w:r w:rsidRPr="008C6150">
                        <w:rPr>
                          <w:rFonts w:ascii="Arial" w:hAnsi="Arial" w:cs="Arial"/>
                          <w:b/>
                          <w:bCs/>
                          <w:color w:val="000000"/>
                          <w:kern w:val="24"/>
                          <w:sz w:val="34"/>
                          <w:szCs w:val="34"/>
                        </w:rPr>
                        <w:t>$</w:t>
                      </w:r>
                      <w:r>
                        <w:rPr>
                          <w:rFonts w:ascii="Arial" w:hAnsi="Arial" w:cs="Arial"/>
                          <w:b/>
                          <w:bCs/>
                          <w:color w:val="000000"/>
                          <w:kern w:val="24"/>
                          <w:sz w:val="34"/>
                          <w:szCs w:val="34"/>
                        </w:rPr>
                        <w:t>7</w:t>
                      </w:r>
                      <w:r w:rsidRPr="008C6150">
                        <w:rPr>
                          <w:rFonts w:ascii="Arial" w:hAnsi="Arial" w:cs="Arial"/>
                          <w:b/>
                          <w:bCs/>
                          <w:color w:val="000000"/>
                          <w:kern w:val="24"/>
                          <w:sz w:val="34"/>
                          <w:szCs w:val="34"/>
                        </w:rPr>
                        <w:t>.</w:t>
                      </w:r>
                      <w:r>
                        <w:rPr>
                          <w:rFonts w:ascii="Arial" w:hAnsi="Arial" w:cs="Arial"/>
                          <w:b/>
                          <w:bCs/>
                          <w:color w:val="000000"/>
                          <w:kern w:val="24"/>
                          <w:sz w:val="34"/>
                          <w:szCs w:val="34"/>
                        </w:rPr>
                        <w:t>3</w:t>
                      </w:r>
                      <w:r w:rsidRPr="008C6150">
                        <w:rPr>
                          <w:rFonts w:ascii="Arial" w:hAnsi="Arial" w:cs="Arial"/>
                          <w:b/>
                          <w:bCs/>
                          <w:color w:val="000000"/>
                          <w:kern w:val="24"/>
                          <w:sz w:val="34"/>
                          <w:szCs w:val="34"/>
                        </w:rPr>
                        <w:t xml:space="preserve"> billion</w:t>
                      </w:r>
                      <w:r w:rsidRPr="00DE2C43">
                        <w:rPr>
                          <w:rFonts w:ascii="Arial" w:hAnsi="Arial" w:cs="Arial"/>
                          <w:b/>
                          <w:bCs/>
                          <w:color w:val="000000"/>
                          <w:kern w:val="24"/>
                          <w:sz w:val="34"/>
                          <w:szCs w:val="34"/>
                          <w:vertAlign w:val="superscript"/>
                        </w:rPr>
                        <w:t>1</w:t>
                      </w:r>
                    </w:p>
                    <w:p w14:paraId="7FC1F3CA" w14:textId="680C1847" w:rsidR="007C2458" w:rsidRPr="008C6150" w:rsidRDefault="007C2458" w:rsidP="009430D7">
                      <w:pPr>
                        <w:jc w:val="center"/>
                        <w:rPr>
                          <w:rFonts w:ascii="Arial" w:hAnsi="Arial" w:cs="Arial"/>
                        </w:rPr>
                      </w:pPr>
                      <w:r w:rsidRPr="008C6150">
                        <w:rPr>
                          <w:rFonts w:ascii="Arial" w:hAnsi="Arial" w:cs="Arial"/>
                          <w:color w:val="000000"/>
                          <w:kern w:val="24"/>
                        </w:rPr>
                        <w:t xml:space="preserve">Delivering </w:t>
                      </w:r>
                      <w:r>
                        <w:rPr>
                          <w:rFonts w:ascii="Arial" w:hAnsi="Arial" w:cs="Arial"/>
                          <w:color w:val="000000"/>
                          <w:kern w:val="24"/>
                        </w:rPr>
                        <w:br/>
                        <w:t>190</w:t>
                      </w:r>
                      <w:r w:rsidRPr="008C6150">
                        <w:rPr>
                          <w:rFonts w:ascii="Arial" w:hAnsi="Arial" w:cs="Arial"/>
                          <w:color w:val="000000"/>
                          <w:kern w:val="24"/>
                        </w:rPr>
                        <w:t xml:space="preserve"> schools </w:t>
                      </w:r>
                    </w:p>
                  </w:txbxContent>
                </v:textbox>
              </v:shape>
            </w:pict>
          </mc:Fallback>
        </mc:AlternateContent>
      </w:r>
      <w:r>
        <w:rPr>
          <w:noProof/>
        </w:rPr>
        <mc:AlternateContent>
          <mc:Choice Requires="wps">
            <w:drawing>
              <wp:anchor distT="0" distB="0" distL="114300" distR="114300" simplePos="0" relativeHeight="251658247" behindDoc="0" locked="0" layoutInCell="1" allowOverlap="1" wp14:anchorId="516A955D" wp14:editId="60D9AA40">
                <wp:simplePos x="0" y="0"/>
                <wp:positionH relativeFrom="column">
                  <wp:posOffset>29514</wp:posOffset>
                </wp:positionH>
                <wp:positionV relativeFrom="paragraph">
                  <wp:posOffset>4034155</wp:posOffset>
                </wp:positionV>
                <wp:extent cx="1440180" cy="699135"/>
                <wp:effectExtent l="0" t="0" r="0" b="0"/>
                <wp:wrapNone/>
                <wp:docPr id="10" name="TextBox 4">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40180" cy="699135"/>
                        </a:xfrm>
                        <a:prstGeom prst="rect">
                          <a:avLst/>
                        </a:prstGeom>
                        <a:noFill/>
                      </wps:spPr>
                      <wps:txbx>
                        <w:txbxContent>
                          <w:p w14:paraId="3A2C00A3" w14:textId="03B9223D" w:rsidR="007C2458" w:rsidRPr="008C6150" w:rsidRDefault="007C2458" w:rsidP="007F70B4">
                            <w:pPr>
                              <w:jc w:val="center"/>
                              <w:rPr>
                                <w:rFonts w:ascii="Arial" w:hAnsi="Arial" w:cs="Arial"/>
                                <w:sz w:val="34"/>
                                <w:szCs w:val="34"/>
                              </w:rPr>
                            </w:pPr>
                            <w:r w:rsidRPr="008C6150">
                              <w:rPr>
                                <w:rFonts w:ascii="Arial" w:hAnsi="Arial" w:cs="Arial"/>
                                <w:b/>
                                <w:bCs/>
                                <w:color w:val="000000"/>
                                <w:kern w:val="24"/>
                                <w:sz w:val="34"/>
                                <w:szCs w:val="34"/>
                              </w:rPr>
                              <w:t>$</w:t>
                            </w:r>
                            <w:r>
                              <w:rPr>
                                <w:rFonts w:ascii="Arial" w:hAnsi="Arial" w:cs="Arial"/>
                                <w:b/>
                                <w:bCs/>
                                <w:color w:val="000000"/>
                                <w:kern w:val="24"/>
                                <w:sz w:val="34"/>
                                <w:szCs w:val="34"/>
                              </w:rPr>
                              <w:t>10</w:t>
                            </w:r>
                            <w:r w:rsidRPr="008C6150">
                              <w:rPr>
                                <w:rFonts w:ascii="Arial" w:hAnsi="Arial" w:cs="Arial"/>
                                <w:b/>
                                <w:bCs/>
                                <w:color w:val="000000"/>
                                <w:kern w:val="24"/>
                                <w:sz w:val="34"/>
                                <w:szCs w:val="34"/>
                              </w:rPr>
                              <w:t>.</w:t>
                            </w:r>
                            <w:r>
                              <w:rPr>
                                <w:rFonts w:ascii="Arial" w:hAnsi="Arial" w:cs="Arial"/>
                                <w:b/>
                                <w:bCs/>
                                <w:color w:val="000000"/>
                                <w:kern w:val="24"/>
                                <w:sz w:val="34"/>
                                <w:szCs w:val="34"/>
                              </w:rPr>
                              <w:t>4</w:t>
                            </w:r>
                            <w:r w:rsidRPr="008C6150">
                              <w:rPr>
                                <w:rFonts w:ascii="Arial" w:hAnsi="Arial" w:cs="Arial"/>
                                <w:b/>
                                <w:bCs/>
                                <w:color w:val="000000"/>
                                <w:kern w:val="24"/>
                                <w:sz w:val="34"/>
                                <w:szCs w:val="34"/>
                              </w:rPr>
                              <w:t xml:space="preserve"> billion</w:t>
                            </w:r>
                          </w:p>
                          <w:p w14:paraId="45214974" w14:textId="3EAE5EEB" w:rsidR="007C2458" w:rsidRPr="008C6150" w:rsidRDefault="007C2458" w:rsidP="007F70B4">
                            <w:pPr>
                              <w:jc w:val="center"/>
                              <w:rPr>
                                <w:rFonts w:ascii="Arial" w:hAnsi="Arial" w:cs="Arial"/>
                                <w:vertAlign w:val="superscript"/>
                              </w:rPr>
                            </w:pPr>
                            <w:r>
                              <w:rPr>
                                <w:rFonts w:ascii="Arial" w:hAnsi="Arial" w:cs="Arial"/>
                                <w:color w:val="000000"/>
                                <w:kern w:val="24"/>
                              </w:rPr>
                              <w:t xml:space="preserve">Supporting water, energy and housing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516A955D" id="TextBox 4" o:spid="_x0000_s1027" type="#_x0000_t202" style="position:absolute;margin-left:2.3pt;margin-top:317.65pt;width:113.4pt;height:55.0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" filled="f" stroked="f">
                <v:textbox>
                  <w:txbxContent>
                    <w:p w14:paraId="3A2C00A3" w14:textId="03B9223D" w:rsidR="007C2458" w:rsidRPr="008C6150" w:rsidRDefault="007C2458" w:rsidP="007F70B4">
                      <w:pPr>
                        <w:jc w:val="center"/>
                        <w:rPr>
                          <w:rFonts w:ascii="Arial" w:hAnsi="Arial" w:cs="Arial"/>
                          <w:sz w:val="34"/>
                          <w:szCs w:val="34"/>
                        </w:rPr>
                      </w:pPr>
                      <w:r w:rsidRPr="008C6150">
                        <w:rPr>
                          <w:rFonts w:ascii="Arial" w:hAnsi="Arial" w:cs="Arial"/>
                          <w:b/>
                          <w:bCs/>
                          <w:color w:val="000000"/>
                          <w:kern w:val="24"/>
                          <w:sz w:val="34"/>
                          <w:szCs w:val="34"/>
                        </w:rPr>
                        <w:t>$</w:t>
                      </w:r>
                      <w:r>
                        <w:rPr>
                          <w:rFonts w:ascii="Arial" w:hAnsi="Arial" w:cs="Arial"/>
                          <w:b/>
                          <w:bCs/>
                          <w:color w:val="000000"/>
                          <w:kern w:val="24"/>
                          <w:sz w:val="34"/>
                          <w:szCs w:val="34"/>
                        </w:rPr>
                        <w:t>10</w:t>
                      </w:r>
                      <w:r w:rsidRPr="008C6150">
                        <w:rPr>
                          <w:rFonts w:ascii="Arial" w:hAnsi="Arial" w:cs="Arial"/>
                          <w:b/>
                          <w:bCs/>
                          <w:color w:val="000000"/>
                          <w:kern w:val="24"/>
                          <w:sz w:val="34"/>
                          <w:szCs w:val="34"/>
                        </w:rPr>
                        <w:t>.</w:t>
                      </w:r>
                      <w:r>
                        <w:rPr>
                          <w:rFonts w:ascii="Arial" w:hAnsi="Arial" w:cs="Arial"/>
                          <w:b/>
                          <w:bCs/>
                          <w:color w:val="000000"/>
                          <w:kern w:val="24"/>
                          <w:sz w:val="34"/>
                          <w:szCs w:val="34"/>
                        </w:rPr>
                        <w:t>4</w:t>
                      </w:r>
                      <w:r w:rsidRPr="008C6150">
                        <w:rPr>
                          <w:rFonts w:ascii="Arial" w:hAnsi="Arial" w:cs="Arial"/>
                          <w:b/>
                          <w:bCs/>
                          <w:color w:val="000000"/>
                          <w:kern w:val="24"/>
                          <w:sz w:val="34"/>
                          <w:szCs w:val="34"/>
                        </w:rPr>
                        <w:t xml:space="preserve"> billion</w:t>
                      </w:r>
                    </w:p>
                    <w:p w14:paraId="45214974" w14:textId="3EAE5EEB" w:rsidR="007C2458" w:rsidRPr="008C6150" w:rsidRDefault="007C2458" w:rsidP="007F70B4">
                      <w:pPr>
                        <w:jc w:val="center"/>
                        <w:rPr>
                          <w:rFonts w:ascii="Arial" w:hAnsi="Arial" w:cs="Arial"/>
                          <w:vertAlign w:val="superscript"/>
                        </w:rPr>
                      </w:pPr>
                      <w:r>
                        <w:rPr>
                          <w:rFonts w:ascii="Arial" w:hAnsi="Arial" w:cs="Arial"/>
                          <w:color w:val="000000"/>
                          <w:kern w:val="24"/>
                        </w:rPr>
                        <w:t xml:space="preserve">Supporting water, energy and housing </w:t>
                      </w:r>
                    </w:p>
                  </w:txbxContent>
                </v:textbox>
              </v:shape>
            </w:pict>
          </mc:Fallback>
        </mc:AlternateContent>
      </w:r>
      <w:r w:rsidR="00FF4878" w:rsidRPr="00FF6283">
        <w:t>1</w:t>
      </w:r>
      <w:r w:rsidR="00E80C59" w:rsidRPr="00FF6283">
        <w:t>.</w:t>
      </w:r>
      <w:r w:rsidR="000561BA" w:rsidRPr="00FF6283">
        <w:tab/>
      </w:r>
      <w:bookmarkEnd w:id="0"/>
      <w:bookmarkEnd w:id="1"/>
      <w:bookmarkEnd w:id="2"/>
      <w:r w:rsidR="009E41F4">
        <w:t>OVERVIEW</w:t>
      </w:r>
    </w:p>
    <w:tbl>
      <w:tblPr>
        <w:tblW w:w="0" w:type="auto"/>
        <w:tblInd w:w="108" w:type="dxa"/>
        <w:shd w:val="pct5" w:color="auto" w:fill="auto"/>
        <w:tblCellMar>
          <w:left w:w="0" w:type="dxa"/>
          <w:right w:w="0" w:type="dxa"/>
        </w:tblCellMar>
        <w:tblLook w:val="04A0" w:firstRow="1" w:lastRow="0" w:firstColumn="1" w:lastColumn="0" w:noHBand="0" w:noVBand="1"/>
      </w:tblPr>
      <w:tblGrid>
        <w:gridCol w:w="9531"/>
      </w:tblGrid>
      <w:tr w:rsidR="00493ADF" w:rsidRPr="00A1397D" w14:paraId="280FB1B3" w14:textId="77777777" w:rsidTr="009364A3">
        <w:trPr>
          <w:trHeight w:val="11981"/>
        </w:trPr>
        <w:tc>
          <w:tcPr>
            <w:tcW w:w="9531" w:type="dxa"/>
            <w:shd w:val="pct5" w:color="auto" w:fill="auto"/>
            <w:tcMar>
              <w:top w:w="0" w:type="dxa"/>
              <w:left w:w="108" w:type="dxa"/>
              <w:bottom w:w="0" w:type="dxa"/>
              <w:right w:w="108" w:type="dxa"/>
            </w:tcMar>
          </w:tcPr>
          <w:p w14:paraId="5AC33A2A" w14:textId="714D1CAD" w:rsidR="00A607E0" w:rsidRPr="005D268D" w:rsidRDefault="002D37CD" w:rsidP="00BF4099">
            <w:pPr>
              <w:pStyle w:val="Bullet1inabox"/>
            </w:pPr>
            <w:bookmarkStart w:id="3" w:name="_Hlk514493407"/>
            <w:bookmarkStart w:id="4" w:name="_Toc481587875"/>
            <w:r w:rsidRPr="005D268D">
              <w:t>The 201</w:t>
            </w:r>
            <w:r w:rsidR="00A04B8E">
              <w:t>9</w:t>
            </w:r>
            <w:r w:rsidRPr="005D268D">
              <w:t>-</w:t>
            </w:r>
            <w:r w:rsidR="00A04B8E">
              <w:t>20</w:t>
            </w:r>
            <w:r w:rsidRPr="005D268D">
              <w:t xml:space="preserve"> Budget</w:t>
            </w:r>
            <w:r w:rsidR="00FB6CAA" w:rsidRPr="00FB6CAA">
              <w:t xml:space="preserve"> provides for the largest infrastructure commitment ever undertaken by a state government to meet the needs of the people of New South Wales</w:t>
            </w:r>
            <w:r w:rsidR="00AD74D7">
              <w:t>, now and into the future</w:t>
            </w:r>
            <w:r w:rsidR="00AD74D7" w:rsidRPr="009845B5">
              <w:t>.</w:t>
            </w:r>
            <w:r w:rsidR="003E0BBA">
              <w:t xml:space="preserve"> </w:t>
            </w:r>
            <w:r w:rsidR="00E63DE2" w:rsidRPr="00E63DE2">
              <w:t>It includes substantial funding for world-class hospitals and health care facilities, n</w:t>
            </w:r>
            <w:bookmarkStart w:id="5" w:name="_GoBack"/>
            <w:bookmarkEnd w:id="5"/>
            <w:r w:rsidR="00E63DE2" w:rsidRPr="00E63DE2">
              <w:t>ew and upgraded schools to support high-quality education, critical road and rail projects, and sporting and cultural infrastructure.</w:t>
            </w:r>
          </w:p>
          <w:p w14:paraId="311DF302" w14:textId="17092CA1" w:rsidR="007F70B4" w:rsidRPr="00A1397D" w:rsidRDefault="007F70B4" w:rsidP="00356E02">
            <w:pPr>
              <w:rPr>
                <w:rFonts w:ascii="Arial" w:hAnsi="Arial" w:cs="Arial"/>
              </w:rPr>
            </w:pPr>
          </w:p>
          <w:p w14:paraId="650070C9" w14:textId="656A0905" w:rsidR="007F70B4" w:rsidRPr="00A1397D" w:rsidRDefault="009364A3" w:rsidP="00356E02">
            <w:pPr>
              <w:rPr>
                <w:rFonts w:ascii="Arial" w:hAnsi="Arial" w:cs="Arial"/>
              </w:rPr>
            </w:pPr>
            <w:r w:rsidRPr="00A1397D">
              <w:rPr>
                <w:rFonts w:ascii="Arial" w:hAnsi="Arial" w:cs="Arial"/>
                <w:noProof/>
              </w:rPr>
              <w:drawing>
                <wp:anchor distT="0" distB="0" distL="114300" distR="114300" simplePos="0" relativeHeight="251658244" behindDoc="0" locked="0" layoutInCell="1" allowOverlap="1" wp14:anchorId="513A4D77" wp14:editId="196544B3">
                  <wp:simplePos x="0" y="0"/>
                  <wp:positionH relativeFrom="column">
                    <wp:posOffset>3364230</wp:posOffset>
                  </wp:positionH>
                  <wp:positionV relativeFrom="paragraph">
                    <wp:posOffset>19050</wp:posOffset>
                  </wp:positionV>
                  <wp:extent cx="828040" cy="828040"/>
                  <wp:effectExtent l="0" t="0" r="0" b="0"/>
                  <wp:wrapSquare wrapText="bothSides"/>
                  <wp:docPr id="16" name="Picture 16" descr="BP2 icons_Heal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P2 icons_Health"/>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28040" cy="8280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1397D">
              <w:rPr>
                <w:rFonts w:ascii="Arial" w:hAnsi="Arial" w:cs="Arial"/>
                <w:noProof/>
              </w:rPr>
              <w:drawing>
                <wp:anchor distT="0" distB="0" distL="114300" distR="114300" simplePos="0" relativeHeight="251658245" behindDoc="0" locked="0" layoutInCell="1" allowOverlap="1" wp14:anchorId="524A3CC0" wp14:editId="5D094CA2">
                  <wp:simplePos x="0" y="0"/>
                  <wp:positionH relativeFrom="column">
                    <wp:posOffset>1354455</wp:posOffset>
                  </wp:positionH>
                  <wp:positionV relativeFrom="paragraph">
                    <wp:posOffset>20955</wp:posOffset>
                  </wp:positionV>
                  <wp:extent cx="828040" cy="828040"/>
                  <wp:effectExtent l="0" t="0" r="0" b="0"/>
                  <wp:wrapSquare wrapText="bothSides"/>
                  <wp:docPr id="17" name="Picture 17" descr="BP2 icons_Education and ski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P2 icons_Education and skill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28040" cy="828040"/>
                          </a:xfrm>
                          <a:prstGeom prst="rect">
                            <a:avLst/>
                          </a:prstGeom>
                          <a:noFill/>
                          <a:ln>
                            <a:noFill/>
                          </a:ln>
                        </pic:spPr>
                      </pic:pic>
                    </a:graphicData>
                  </a:graphic>
                  <wp14:sizeRelH relativeFrom="page">
                    <wp14:pctWidth>0</wp14:pctWidth>
                  </wp14:sizeRelH>
                  <wp14:sizeRelV relativeFrom="page">
                    <wp14:pctHeight>0</wp14:pctHeight>
                  </wp14:sizeRelV>
                </wp:anchor>
              </w:drawing>
            </w:r>
            <w:r w:rsidR="008767B7" w:rsidRPr="00A1397D">
              <w:rPr>
                <w:rFonts w:ascii="Arial" w:hAnsi="Arial" w:cs="Arial"/>
                <w:noProof/>
              </w:rPr>
              <mc:AlternateContent>
                <mc:Choice Requires="wps">
                  <w:drawing>
                    <wp:anchor distT="0" distB="0" distL="114300" distR="114300" simplePos="0" relativeHeight="251658240" behindDoc="0" locked="0" layoutInCell="1" allowOverlap="1" wp14:anchorId="44BA9D48" wp14:editId="48CDD93D">
                      <wp:simplePos x="0" y="0"/>
                      <wp:positionH relativeFrom="column">
                        <wp:posOffset>1374775</wp:posOffset>
                      </wp:positionH>
                      <wp:positionV relativeFrom="paragraph">
                        <wp:posOffset>34925</wp:posOffset>
                      </wp:positionV>
                      <wp:extent cx="2953385" cy="2953385"/>
                      <wp:effectExtent l="0" t="0" r="0" b="0"/>
                      <wp:wrapNone/>
                      <wp:docPr id="15" name="Oval 3">
                        <a:extLst xmlns:a="http://schemas.openxmlformats.org/drawingml/2006/main">
                          <a:ext uri="{FF2B5EF4-FFF2-40B4-BE49-F238E27FC236}">
                            <a16:creationId xmlns:a16="http://schemas.microsoft.com/office/drawing/2014/main" id="{B765096B-CAE5-47DA-932F-6C3C33C2B28F}"/>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53385" cy="2953385"/>
                              </a:xfrm>
                              <a:prstGeom prst="ellipse">
                                <a:avLst/>
                              </a:prstGeom>
                              <a:solidFill>
                                <a:srgbClr val="00ABE6"/>
                              </a:solidFill>
                              <a:ln w="12700" cap="flat" cmpd="sng" algn="ctr">
                                <a:noFill/>
                                <a:prstDash val="solid"/>
                                <a:miter lim="800000"/>
                              </a:ln>
                              <a:effectLst/>
                            </wps:spPr>
                            <wps:txbx>
                              <w:txbxContent>
                                <w:p w14:paraId="7C404FC7" w14:textId="54A8A8EF" w:rsidR="007C2458" w:rsidRPr="008C6150" w:rsidRDefault="007C2458" w:rsidP="009364A3">
                                  <w:pPr>
                                    <w:jc w:val="center"/>
                                    <w:rPr>
                                      <w:rFonts w:ascii="Arial" w:hAnsi="Arial" w:cs="Arial"/>
                                    </w:rPr>
                                  </w:pPr>
                                  <w:r w:rsidRPr="008C6150">
                                    <w:rPr>
                                      <w:rFonts w:ascii="Arial" w:hAnsi="Arial" w:cs="Arial"/>
                                      <w:b/>
                                      <w:bCs/>
                                      <w:color w:val="FFFFFF"/>
                                      <w:kern w:val="24"/>
                                      <w:sz w:val="52"/>
                                      <w:szCs w:val="52"/>
                                    </w:rPr>
                                    <w:t>$</w:t>
                                  </w:r>
                                  <w:r>
                                    <w:rPr>
                                      <w:rFonts w:ascii="Arial" w:hAnsi="Arial" w:cs="Arial"/>
                                      <w:b/>
                                      <w:bCs/>
                                      <w:color w:val="FFFFFF"/>
                                      <w:kern w:val="24"/>
                                      <w:sz w:val="52"/>
                                      <w:szCs w:val="52"/>
                                    </w:rPr>
                                    <w:t>93</w:t>
                                  </w:r>
                                  <w:r w:rsidRPr="008C6150">
                                    <w:rPr>
                                      <w:rFonts w:ascii="Arial" w:hAnsi="Arial" w:cs="Arial"/>
                                      <w:b/>
                                      <w:bCs/>
                                      <w:color w:val="FFFFFF"/>
                                      <w:kern w:val="24"/>
                                      <w:sz w:val="52"/>
                                      <w:szCs w:val="52"/>
                                    </w:rPr>
                                    <w:t>.</w:t>
                                  </w:r>
                                  <w:r>
                                    <w:rPr>
                                      <w:rFonts w:ascii="Arial" w:hAnsi="Arial" w:cs="Arial"/>
                                      <w:b/>
                                      <w:bCs/>
                                      <w:color w:val="FFFFFF"/>
                                      <w:kern w:val="24"/>
                                      <w:sz w:val="52"/>
                                      <w:szCs w:val="52"/>
                                    </w:rPr>
                                    <w:t>0</w:t>
                                  </w:r>
                                  <w:r w:rsidRPr="008C6150">
                                    <w:rPr>
                                      <w:rFonts w:ascii="Arial" w:hAnsi="Arial" w:cs="Arial"/>
                                      <w:b/>
                                      <w:bCs/>
                                      <w:color w:val="FFFFFF"/>
                                      <w:kern w:val="24"/>
                                      <w:sz w:val="52"/>
                                      <w:szCs w:val="52"/>
                                    </w:rPr>
                                    <w:t xml:space="preserve"> billion</w:t>
                                  </w:r>
                                </w:p>
                                <w:p w14:paraId="4A418E43" w14:textId="77777777" w:rsidR="007C2458" w:rsidRPr="008C6150" w:rsidRDefault="007C2458" w:rsidP="004C5813">
                                  <w:pPr>
                                    <w:jc w:val="center"/>
                                    <w:rPr>
                                      <w:rFonts w:ascii="Arial" w:hAnsi="Arial" w:cs="Arial"/>
                                      <w:color w:val="FFFFFF"/>
                                      <w:kern w:val="24"/>
                                      <w:sz w:val="28"/>
                                      <w:szCs w:val="28"/>
                                    </w:rPr>
                                  </w:pPr>
                                  <w:r w:rsidRPr="008C6150">
                                    <w:rPr>
                                      <w:rFonts w:ascii="Arial" w:hAnsi="Arial" w:cs="Arial"/>
                                      <w:color w:val="FFFFFF"/>
                                      <w:kern w:val="24"/>
                                      <w:sz w:val="36"/>
                                      <w:szCs w:val="36"/>
                                    </w:rPr>
                                    <w:t>Infrastructure investment</w:t>
                                  </w:r>
                                  <w:r w:rsidRPr="008C6150">
                                    <w:rPr>
                                      <w:rFonts w:ascii="Arial" w:hAnsi="Arial" w:cs="Arial"/>
                                      <w:color w:val="FFFFFF"/>
                                      <w:kern w:val="24"/>
                                      <w:sz w:val="28"/>
                                      <w:szCs w:val="28"/>
                                    </w:rPr>
                                    <w:t>,</w:t>
                                  </w:r>
                                </w:p>
                                <w:p w14:paraId="4FFB7BAD" w14:textId="77777777" w:rsidR="007C2458" w:rsidRPr="008C6150" w:rsidRDefault="007C2458" w:rsidP="004C5813">
                                  <w:pPr>
                                    <w:jc w:val="center"/>
                                    <w:rPr>
                                      <w:rFonts w:ascii="Arial" w:hAnsi="Arial" w:cs="Arial"/>
                                      <w:color w:val="FFFFFF"/>
                                      <w:kern w:val="24"/>
                                      <w:sz w:val="28"/>
                                      <w:szCs w:val="28"/>
                                    </w:rPr>
                                  </w:pPr>
                                  <w:r w:rsidRPr="008C6150">
                                    <w:rPr>
                                      <w:rFonts w:ascii="Arial" w:hAnsi="Arial" w:cs="Arial"/>
                                      <w:color w:val="FFFFFF"/>
                                      <w:kern w:val="24"/>
                                      <w:sz w:val="28"/>
                                      <w:szCs w:val="28"/>
                                    </w:rPr>
                                    <w:t>including:</w:t>
                                  </w:r>
                                </w:p>
                              </w:txbxContent>
                            </wps:txbx>
                            <wps:bodyPr rtlCol="0" anchor="ctr"/>
                          </wps:wsp>
                        </a:graphicData>
                      </a:graphic>
                      <wp14:sizeRelH relativeFrom="page">
                        <wp14:pctWidth>0</wp14:pctWidth>
                      </wp14:sizeRelH>
                      <wp14:sizeRelV relativeFrom="page">
                        <wp14:pctHeight>0</wp14:pctHeight>
                      </wp14:sizeRelV>
                    </wp:anchor>
                  </w:drawing>
                </mc:Choice>
                <mc:Fallback>
                  <w:pict>
                    <v:oval w14:anchorId="44BA9D48" id="Oval 3" o:spid="_x0000_s1028" style="position:absolute;margin-left:108.25pt;margin-top:2.75pt;width:232.55pt;height:232.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" fillcolor="#00abe6" stroked="f" strokeweight="1pt">
                      <v:stroke joinstyle="miter"/>
                      <v:textbox>
                        <w:txbxContent>
                          <w:p w14:paraId="7C404FC7" w14:textId="54A8A8EF" w:rsidR="007C2458" w:rsidRPr="008C6150" w:rsidRDefault="007C2458" w:rsidP="009364A3">
                            <w:pPr>
                              <w:jc w:val="center"/>
                              <w:rPr>
                                <w:rFonts w:ascii="Arial" w:hAnsi="Arial" w:cs="Arial"/>
                              </w:rPr>
                            </w:pPr>
                            <w:r w:rsidRPr="008C6150">
                              <w:rPr>
                                <w:rFonts w:ascii="Arial" w:hAnsi="Arial" w:cs="Arial"/>
                                <w:b/>
                                <w:bCs/>
                                <w:color w:val="FFFFFF"/>
                                <w:kern w:val="24"/>
                                <w:sz w:val="52"/>
                                <w:szCs w:val="52"/>
                              </w:rPr>
                              <w:t>$</w:t>
                            </w:r>
                            <w:r>
                              <w:rPr>
                                <w:rFonts w:ascii="Arial" w:hAnsi="Arial" w:cs="Arial"/>
                                <w:b/>
                                <w:bCs/>
                                <w:color w:val="FFFFFF"/>
                                <w:kern w:val="24"/>
                                <w:sz w:val="52"/>
                                <w:szCs w:val="52"/>
                              </w:rPr>
                              <w:t>93</w:t>
                            </w:r>
                            <w:r w:rsidRPr="008C6150">
                              <w:rPr>
                                <w:rFonts w:ascii="Arial" w:hAnsi="Arial" w:cs="Arial"/>
                                <w:b/>
                                <w:bCs/>
                                <w:color w:val="FFFFFF"/>
                                <w:kern w:val="24"/>
                                <w:sz w:val="52"/>
                                <w:szCs w:val="52"/>
                              </w:rPr>
                              <w:t>.</w:t>
                            </w:r>
                            <w:r>
                              <w:rPr>
                                <w:rFonts w:ascii="Arial" w:hAnsi="Arial" w:cs="Arial"/>
                                <w:b/>
                                <w:bCs/>
                                <w:color w:val="FFFFFF"/>
                                <w:kern w:val="24"/>
                                <w:sz w:val="52"/>
                                <w:szCs w:val="52"/>
                              </w:rPr>
                              <w:t>0</w:t>
                            </w:r>
                            <w:r w:rsidRPr="008C6150">
                              <w:rPr>
                                <w:rFonts w:ascii="Arial" w:hAnsi="Arial" w:cs="Arial"/>
                                <w:b/>
                                <w:bCs/>
                                <w:color w:val="FFFFFF"/>
                                <w:kern w:val="24"/>
                                <w:sz w:val="52"/>
                                <w:szCs w:val="52"/>
                              </w:rPr>
                              <w:t xml:space="preserve"> billion</w:t>
                            </w:r>
                          </w:p>
                          <w:p w14:paraId="4A418E43" w14:textId="77777777" w:rsidR="007C2458" w:rsidRPr="008C6150" w:rsidRDefault="007C2458" w:rsidP="004C5813">
                            <w:pPr>
                              <w:jc w:val="center"/>
                              <w:rPr>
                                <w:rFonts w:ascii="Arial" w:hAnsi="Arial" w:cs="Arial"/>
                                <w:color w:val="FFFFFF"/>
                                <w:kern w:val="24"/>
                                <w:sz w:val="28"/>
                                <w:szCs w:val="28"/>
                              </w:rPr>
                            </w:pPr>
                            <w:r w:rsidRPr="008C6150">
                              <w:rPr>
                                <w:rFonts w:ascii="Arial" w:hAnsi="Arial" w:cs="Arial"/>
                                <w:color w:val="FFFFFF"/>
                                <w:kern w:val="24"/>
                                <w:sz w:val="36"/>
                                <w:szCs w:val="36"/>
                              </w:rPr>
                              <w:t>Infrastructure investment</w:t>
                            </w:r>
                            <w:r w:rsidRPr="008C6150">
                              <w:rPr>
                                <w:rFonts w:ascii="Arial" w:hAnsi="Arial" w:cs="Arial"/>
                                <w:color w:val="FFFFFF"/>
                                <w:kern w:val="24"/>
                                <w:sz w:val="28"/>
                                <w:szCs w:val="28"/>
                              </w:rPr>
                              <w:t>,</w:t>
                            </w:r>
                          </w:p>
                          <w:p w14:paraId="4FFB7BAD" w14:textId="77777777" w:rsidR="007C2458" w:rsidRPr="008C6150" w:rsidRDefault="007C2458" w:rsidP="004C5813">
                            <w:pPr>
                              <w:jc w:val="center"/>
                              <w:rPr>
                                <w:rFonts w:ascii="Arial" w:hAnsi="Arial" w:cs="Arial"/>
                                <w:color w:val="FFFFFF"/>
                                <w:kern w:val="24"/>
                                <w:sz w:val="28"/>
                                <w:szCs w:val="28"/>
                              </w:rPr>
                            </w:pPr>
                            <w:r w:rsidRPr="008C6150">
                              <w:rPr>
                                <w:rFonts w:ascii="Arial" w:hAnsi="Arial" w:cs="Arial"/>
                                <w:color w:val="FFFFFF"/>
                                <w:kern w:val="24"/>
                                <w:sz w:val="28"/>
                                <w:szCs w:val="28"/>
                              </w:rPr>
                              <w:t>including:</w:t>
                            </w:r>
                          </w:p>
                        </w:txbxContent>
                      </v:textbox>
                    </v:oval>
                  </w:pict>
                </mc:Fallback>
              </mc:AlternateContent>
            </w:r>
          </w:p>
          <w:p w14:paraId="5CF3BFC9" w14:textId="2FE8E480" w:rsidR="007F70B4" w:rsidRPr="00A1397D" w:rsidRDefault="009364A3" w:rsidP="00356E02">
            <w:pPr>
              <w:rPr>
                <w:rFonts w:ascii="Arial" w:hAnsi="Arial" w:cs="Arial"/>
              </w:rPr>
            </w:pPr>
            <w:r w:rsidRPr="00A1397D">
              <w:rPr>
                <w:rFonts w:ascii="Arial" w:hAnsi="Arial" w:cs="Arial"/>
                <w:noProof/>
              </w:rPr>
              <mc:AlternateContent>
                <mc:Choice Requires="wps">
                  <w:drawing>
                    <wp:anchor distT="0" distB="0" distL="114300" distR="114300" simplePos="0" relativeHeight="251658241" behindDoc="0" locked="0" layoutInCell="1" allowOverlap="1" wp14:anchorId="46309ED5" wp14:editId="3F86F931">
                      <wp:simplePos x="0" y="0"/>
                      <wp:positionH relativeFrom="column">
                        <wp:posOffset>4144010</wp:posOffset>
                      </wp:positionH>
                      <wp:positionV relativeFrom="paragraph">
                        <wp:posOffset>12065</wp:posOffset>
                      </wp:positionV>
                      <wp:extent cx="1752600" cy="683813"/>
                      <wp:effectExtent l="0" t="0" r="0" b="0"/>
                      <wp:wrapNone/>
                      <wp:docPr id="21" name="TextBox 4">
                        <a:extLst xmlns:a="http://schemas.openxmlformats.org/drawingml/2006/main"/>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52600" cy="683813"/>
                              </a:xfrm>
                              <a:prstGeom prst="rect">
                                <a:avLst/>
                              </a:prstGeom>
                              <a:noFill/>
                            </wps:spPr>
                            <wps:txbx>
                              <w:txbxContent>
                                <w:p w14:paraId="148C429B" w14:textId="6565C3E5" w:rsidR="007C2458" w:rsidRPr="008C6150" w:rsidRDefault="007C2458" w:rsidP="007F70B4">
                                  <w:pPr>
                                    <w:jc w:val="center"/>
                                    <w:rPr>
                                      <w:rFonts w:ascii="Arial" w:hAnsi="Arial" w:cs="Arial"/>
                                      <w:sz w:val="34"/>
                                      <w:szCs w:val="34"/>
                                    </w:rPr>
                                  </w:pPr>
                                  <w:r w:rsidRPr="008C6150">
                                    <w:rPr>
                                      <w:rFonts w:ascii="Arial" w:hAnsi="Arial" w:cs="Arial"/>
                                      <w:b/>
                                      <w:bCs/>
                                      <w:color w:val="000000"/>
                                      <w:kern w:val="24"/>
                                      <w:sz w:val="34"/>
                                      <w:szCs w:val="34"/>
                                    </w:rPr>
                                    <w:t>$</w:t>
                                  </w:r>
                                  <w:r>
                                    <w:rPr>
                                      <w:rFonts w:ascii="Arial" w:hAnsi="Arial" w:cs="Arial"/>
                                      <w:b/>
                                      <w:bCs/>
                                      <w:color w:val="000000"/>
                                      <w:kern w:val="24"/>
                                      <w:sz w:val="34"/>
                                      <w:szCs w:val="34"/>
                                    </w:rPr>
                                    <w:t>10</w:t>
                                  </w:r>
                                  <w:r w:rsidRPr="008C6150">
                                    <w:rPr>
                                      <w:rFonts w:ascii="Arial" w:hAnsi="Arial" w:cs="Arial"/>
                                      <w:b/>
                                      <w:bCs/>
                                      <w:color w:val="000000"/>
                                      <w:kern w:val="24"/>
                                      <w:sz w:val="34"/>
                                      <w:szCs w:val="34"/>
                                    </w:rPr>
                                    <w:t>.</w:t>
                                  </w:r>
                                  <w:r>
                                    <w:rPr>
                                      <w:rFonts w:ascii="Arial" w:hAnsi="Arial" w:cs="Arial"/>
                                      <w:b/>
                                      <w:bCs/>
                                      <w:color w:val="000000"/>
                                      <w:kern w:val="24"/>
                                      <w:sz w:val="34"/>
                                      <w:szCs w:val="34"/>
                                    </w:rPr>
                                    <w:t>1</w:t>
                                  </w:r>
                                  <w:r w:rsidRPr="008C6150">
                                    <w:rPr>
                                      <w:rFonts w:ascii="Arial" w:hAnsi="Arial" w:cs="Arial"/>
                                      <w:b/>
                                      <w:bCs/>
                                      <w:color w:val="000000"/>
                                      <w:kern w:val="24"/>
                                      <w:sz w:val="34"/>
                                      <w:szCs w:val="34"/>
                                    </w:rPr>
                                    <w:t xml:space="preserve"> billion</w:t>
                                  </w:r>
                                  <w:r w:rsidRPr="00DE2C43">
                                    <w:rPr>
                                      <w:rFonts w:ascii="Arial" w:hAnsi="Arial" w:cs="Arial"/>
                                      <w:b/>
                                      <w:bCs/>
                                      <w:color w:val="000000"/>
                                      <w:kern w:val="24"/>
                                      <w:sz w:val="34"/>
                                      <w:szCs w:val="34"/>
                                      <w:vertAlign w:val="superscript"/>
                                    </w:rPr>
                                    <w:t>2</w:t>
                                  </w:r>
                                </w:p>
                                <w:p w14:paraId="63E3E96E" w14:textId="0648F39C" w:rsidR="007C2458" w:rsidRPr="008C6150" w:rsidRDefault="007C2458" w:rsidP="007F70B4">
                                  <w:pPr>
                                    <w:jc w:val="center"/>
                                    <w:rPr>
                                      <w:rFonts w:ascii="Arial" w:hAnsi="Arial" w:cs="Arial"/>
                                      <w:vertAlign w:val="superscript"/>
                                    </w:rPr>
                                  </w:pPr>
                                  <w:r w:rsidRPr="008C6150">
                                    <w:rPr>
                                      <w:rFonts w:ascii="Arial" w:hAnsi="Arial" w:cs="Arial"/>
                                      <w:color w:val="000000"/>
                                      <w:kern w:val="24"/>
                                    </w:rPr>
                                    <w:t xml:space="preserve">Delivering over </w:t>
                                  </w:r>
                                  <w:r>
                                    <w:rPr>
                                      <w:rFonts w:ascii="Arial" w:hAnsi="Arial" w:cs="Arial"/>
                                      <w:color w:val="000000"/>
                                      <w:kern w:val="24"/>
                                    </w:rPr>
                                    <w:br/>
                                    <w:t>40</w:t>
                                  </w:r>
                                  <w:r w:rsidRPr="008C6150">
                                    <w:rPr>
                                      <w:rFonts w:ascii="Arial" w:hAnsi="Arial" w:cs="Arial"/>
                                      <w:color w:val="000000"/>
                                      <w:kern w:val="24"/>
                                    </w:rPr>
                                    <w:t xml:space="preserve"> hospitals</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46309ED5" id="_x0000_s1029" type="#_x0000_t202" style="position:absolute;margin-left:326.3pt;margin-top:.95pt;width:138pt;height:53.8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" filled="f" stroked="f">
                      <v:textbox>
                        <w:txbxContent>
                          <w:p w14:paraId="148C429B" w14:textId="6565C3E5" w:rsidR="007C2458" w:rsidRPr="008C6150" w:rsidRDefault="007C2458" w:rsidP="007F70B4">
                            <w:pPr>
                              <w:jc w:val="center"/>
                              <w:rPr>
                                <w:rFonts w:ascii="Arial" w:hAnsi="Arial" w:cs="Arial"/>
                                <w:sz w:val="34"/>
                                <w:szCs w:val="34"/>
                              </w:rPr>
                            </w:pPr>
                            <w:r w:rsidRPr="008C6150">
                              <w:rPr>
                                <w:rFonts w:ascii="Arial" w:hAnsi="Arial" w:cs="Arial"/>
                                <w:b/>
                                <w:bCs/>
                                <w:color w:val="000000"/>
                                <w:kern w:val="24"/>
                                <w:sz w:val="34"/>
                                <w:szCs w:val="34"/>
                              </w:rPr>
                              <w:t>$</w:t>
                            </w:r>
                            <w:r>
                              <w:rPr>
                                <w:rFonts w:ascii="Arial" w:hAnsi="Arial" w:cs="Arial"/>
                                <w:b/>
                                <w:bCs/>
                                <w:color w:val="000000"/>
                                <w:kern w:val="24"/>
                                <w:sz w:val="34"/>
                                <w:szCs w:val="34"/>
                              </w:rPr>
                              <w:t>10</w:t>
                            </w:r>
                            <w:r w:rsidRPr="008C6150">
                              <w:rPr>
                                <w:rFonts w:ascii="Arial" w:hAnsi="Arial" w:cs="Arial"/>
                                <w:b/>
                                <w:bCs/>
                                <w:color w:val="000000"/>
                                <w:kern w:val="24"/>
                                <w:sz w:val="34"/>
                                <w:szCs w:val="34"/>
                              </w:rPr>
                              <w:t>.</w:t>
                            </w:r>
                            <w:r>
                              <w:rPr>
                                <w:rFonts w:ascii="Arial" w:hAnsi="Arial" w:cs="Arial"/>
                                <w:b/>
                                <w:bCs/>
                                <w:color w:val="000000"/>
                                <w:kern w:val="24"/>
                                <w:sz w:val="34"/>
                                <w:szCs w:val="34"/>
                              </w:rPr>
                              <w:t>1</w:t>
                            </w:r>
                            <w:r w:rsidRPr="008C6150">
                              <w:rPr>
                                <w:rFonts w:ascii="Arial" w:hAnsi="Arial" w:cs="Arial"/>
                                <w:b/>
                                <w:bCs/>
                                <w:color w:val="000000"/>
                                <w:kern w:val="24"/>
                                <w:sz w:val="34"/>
                                <w:szCs w:val="34"/>
                              </w:rPr>
                              <w:t xml:space="preserve"> billion</w:t>
                            </w:r>
                            <w:r w:rsidRPr="00DE2C43">
                              <w:rPr>
                                <w:rFonts w:ascii="Arial" w:hAnsi="Arial" w:cs="Arial"/>
                                <w:b/>
                                <w:bCs/>
                                <w:color w:val="000000"/>
                                <w:kern w:val="24"/>
                                <w:sz w:val="34"/>
                                <w:szCs w:val="34"/>
                                <w:vertAlign w:val="superscript"/>
                              </w:rPr>
                              <w:t>2</w:t>
                            </w:r>
                          </w:p>
                          <w:p w14:paraId="63E3E96E" w14:textId="0648F39C" w:rsidR="007C2458" w:rsidRPr="008C6150" w:rsidRDefault="007C2458" w:rsidP="007F70B4">
                            <w:pPr>
                              <w:jc w:val="center"/>
                              <w:rPr>
                                <w:rFonts w:ascii="Arial" w:hAnsi="Arial" w:cs="Arial"/>
                                <w:vertAlign w:val="superscript"/>
                              </w:rPr>
                            </w:pPr>
                            <w:r w:rsidRPr="008C6150">
                              <w:rPr>
                                <w:rFonts w:ascii="Arial" w:hAnsi="Arial" w:cs="Arial"/>
                                <w:color w:val="000000"/>
                                <w:kern w:val="24"/>
                              </w:rPr>
                              <w:t xml:space="preserve">Delivering over </w:t>
                            </w:r>
                            <w:r>
                              <w:rPr>
                                <w:rFonts w:ascii="Arial" w:hAnsi="Arial" w:cs="Arial"/>
                                <w:color w:val="000000"/>
                                <w:kern w:val="24"/>
                              </w:rPr>
                              <w:br/>
                              <w:t>40</w:t>
                            </w:r>
                            <w:r w:rsidRPr="008C6150">
                              <w:rPr>
                                <w:rFonts w:ascii="Arial" w:hAnsi="Arial" w:cs="Arial"/>
                                <w:color w:val="000000"/>
                                <w:kern w:val="24"/>
                              </w:rPr>
                              <w:t xml:space="preserve"> hospitals</w:t>
                            </w:r>
                          </w:p>
                        </w:txbxContent>
                      </v:textbox>
                    </v:shape>
                  </w:pict>
                </mc:Fallback>
              </mc:AlternateContent>
            </w:r>
          </w:p>
          <w:p w14:paraId="0E116A06" w14:textId="14818475" w:rsidR="007F70B4" w:rsidRPr="00A1397D" w:rsidRDefault="007F70B4" w:rsidP="00356E02">
            <w:pPr>
              <w:rPr>
                <w:rFonts w:ascii="Arial" w:hAnsi="Arial" w:cs="Arial"/>
              </w:rPr>
            </w:pPr>
          </w:p>
          <w:p w14:paraId="4D1D2027" w14:textId="25FE1201" w:rsidR="007F70B4" w:rsidRPr="00A1397D" w:rsidRDefault="007F70B4" w:rsidP="00356E02">
            <w:pPr>
              <w:rPr>
                <w:rFonts w:ascii="Arial" w:hAnsi="Arial" w:cs="Arial"/>
              </w:rPr>
            </w:pPr>
          </w:p>
          <w:p w14:paraId="716745F1" w14:textId="0D691AC3" w:rsidR="007F70B4" w:rsidRPr="00A1397D" w:rsidRDefault="007F70B4" w:rsidP="00356E02">
            <w:pPr>
              <w:rPr>
                <w:rFonts w:ascii="Arial" w:hAnsi="Arial" w:cs="Arial"/>
              </w:rPr>
            </w:pPr>
          </w:p>
          <w:p w14:paraId="21F31D39" w14:textId="4F1B316E" w:rsidR="007F70B4" w:rsidRPr="00A1397D" w:rsidRDefault="007F70B4" w:rsidP="00356E02">
            <w:pPr>
              <w:rPr>
                <w:rFonts w:ascii="Arial" w:hAnsi="Arial" w:cs="Arial"/>
              </w:rPr>
            </w:pPr>
          </w:p>
          <w:p w14:paraId="06B4D220" w14:textId="302591CF" w:rsidR="008C6150" w:rsidRPr="00A1397D" w:rsidRDefault="008C6150" w:rsidP="00356E02">
            <w:pPr>
              <w:rPr>
                <w:rFonts w:ascii="Arial" w:hAnsi="Arial" w:cs="Arial"/>
              </w:rPr>
            </w:pPr>
          </w:p>
          <w:p w14:paraId="61EDD4DD" w14:textId="3BE1E0E3" w:rsidR="008C6150" w:rsidRPr="00A1397D" w:rsidRDefault="008C6150" w:rsidP="00356E02">
            <w:pPr>
              <w:rPr>
                <w:rFonts w:ascii="Arial" w:hAnsi="Arial" w:cs="Arial"/>
              </w:rPr>
            </w:pPr>
          </w:p>
          <w:p w14:paraId="7C0C07CF" w14:textId="71E418D7" w:rsidR="008C6150" w:rsidRPr="00A1397D" w:rsidRDefault="008C6150" w:rsidP="00356E02">
            <w:pPr>
              <w:rPr>
                <w:rFonts w:ascii="Arial" w:hAnsi="Arial" w:cs="Arial"/>
              </w:rPr>
            </w:pPr>
          </w:p>
          <w:p w14:paraId="7494951E" w14:textId="32C75D0F" w:rsidR="008C6150" w:rsidRPr="00A1397D" w:rsidRDefault="008C6150" w:rsidP="00356E02">
            <w:pPr>
              <w:rPr>
                <w:rFonts w:ascii="Arial" w:hAnsi="Arial" w:cs="Arial"/>
              </w:rPr>
            </w:pPr>
          </w:p>
          <w:p w14:paraId="0329A919" w14:textId="4368AB8B" w:rsidR="008C6150" w:rsidRPr="00A1397D" w:rsidRDefault="008C6150" w:rsidP="00356E02">
            <w:pPr>
              <w:rPr>
                <w:rFonts w:ascii="Arial" w:hAnsi="Arial" w:cs="Arial"/>
              </w:rPr>
            </w:pPr>
          </w:p>
          <w:p w14:paraId="7048C7AC" w14:textId="16AD5E59" w:rsidR="008C6150" w:rsidRPr="00A1397D" w:rsidRDefault="008C6150" w:rsidP="00356E02">
            <w:pPr>
              <w:rPr>
                <w:rFonts w:ascii="Arial" w:hAnsi="Arial" w:cs="Arial"/>
              </w:rPr>
            </w:pPr>
          </w:p>
          <w:p w14:paraId="3320F60B" w14:textId="67BB977B" w:rsidR="008C6150" w:rsidRPr="00A1397D" w:rsidRDefault="008C6150" w:rsidP="00356E02">
            <w:pPr>
              <w:rPr>
                <w:rFonts w:ascii="Arial" w:hAnsi="Arial" w:cs="Arial"/>
              </w:rPr>
            </w:pPr>
          </w:p>
          <w:p w14:paraId="128BC569" w14:textId="2ABC18A4" w:rsidR="00356E02" w:rsidRPr="00A1397D" w:rsidRDefault="009364A3" w:rsidP="00356E02">
            <w:pPr>
              <w:rPr>
                <w:rFonts w:ascii="Arial" w:hAnsi="Arial" w:cs="Arial"/>
              </w:rPr>
            </w:pPr>
            <w:r w:rsidRPr="00A1397D">
              <w:rPr>
                <w:rFonts w:ascii="Arial" w:hAnsi="Arial" w:cs="Arial"/>
                <w:noProof/>
              </w:rPr>
              <w:drawing>
                <wp:anchor distT="0" distB="0" distL="114300" distR="114300" simplePos="0" relativeHeight="251658248" behindDoc="0" locked="0" layoutInCell="1" allowOverlap="1" wp14:anchorId="39CD15F3" wp14:editId="3B5A62A8">
                  <wp:simplePos x="0" y="0"/>
                  <wp:positionH relativeFrom="column">
                    <wp:posOffset>1349375</wp:posOffset>
                  </wp:positionH>
                  <wp:positionV relativeFrom="paragraph">
                    <wp:posOffset>33655</wp:posOffset>
                  </wp:positionV>
                  <wp:extent cx="826770" cy="826770"/>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P2 icons_Water utilities.png"/>
                          <pic:cNvPicPr/>
                        </pic:nvPicPr>
                        <pic:blipFill rotWithShape="1">
                          <a:blip r:embed="rId13" cstate="print">
                            <a:extLst>
                              <a:ext uri="{28A0092B-C50C-407E-A947-70E740481C1C}">
                                <a14:useLocalDpi xmlns:a14="http://schemas.microsoft.com/office/drawing/2010/main" val="0"/>
                              </a:ext>
                            </a:extLst>
                          </a:blip>
                          <a:srcRect l="-16" t="-51" r="-16" b="-51"/>
                          <a:stretch/>
                        </pic:blipFill>
                        <pic:spPr bwMode="auto">
                          <a:xfrm>
                            <a:off x="0" y="0"/>
                            <a:ext cx="826770" cy="8267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A1397D">
              <w:rPr>
                <w:rFonts w:ascii="Arial" w:hAnsi="Arial" w:cs="Arial"/>
                <w:noProof/>
              </w:rPr>
              <mc:AlternateContent>
                <mc:Choice Requires="wps">
                  <w:drawing>
                    <wp:anchor distT="0" distB="0" distL="114300" distR="114300" simplePos="0" relativeHeight="251658243" behindDoc="0" locked="0" layoutInCell="1" allowOverlap="1" wp14:anchorId="264D2325" wp14:editId="63144FED">
                      <wp:simplePos x="0" y="0"/>
                      <wp:positionH relativeFrom="column">
                        <wp:posOffset>4147185</wp:posOffset>
                      </wp:positionH>
                      <wp:positionV relativeFrom="paragraph">
                        <wp:posOffset>182245</wp:posOffset>
                      </wp:positionV>
                      <wp:extent cx="1816735" cy="631825"/>
                      <wp:effectExtent l="0" t="0" r="0" b="0"/>
                      <wp:wrapNone/>
                      <wp:docPr id="12" name="TextBox 6">
                        <a:extLst xmlns:a="http://schemas.openxmlformats.org/drawingml/2006/main">
                          <a:ext uri="{FF2B5EF4-FFF2-40B4-BE49-F238E27FC236}">
                            <a16:creationId xmlns:a16="http://schemas.microsoft.com/office/drawing/2014/main" id="{30D84D83-1ED6-47F3-B8E3-EF965EAD93DE}"/>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16735" cy="631825"/>
                              </a:xfrm>
                              <a:prstGeom prst="rect">
                                <a:avLst/>
                              </a:prstGeom>
                              <a:noFill/>
                            </wps:spPr>
                            <wps:txbx>
                              <w:txbxContent>
                                <w:p w14:paraId="2FDCC9DD" w14:textId="0391B1F4" w:rsidR="007C2458" w:rsidRPr="008C6150" w:rsidRDefault="007C2458" w:rsidP="007F70B4">
                                  <w:pPr>
                                    <w:jc w:val="center"/>
                                    <w:rPr>
                                      <w:rFonts w:ascii="Arial" w:hAnsi="Arial" w:cs="Arial"/>
                                      <w:sz w:val="34"/>
                                      <w:szCs w:val="34"/>
                                    </w:rPr>
                                  </w:pPr>
                                  <w:r w:rsidRPr="008C6150">
                                    <w:rPr>
                                      <w:rFonts w:ascii="Arial" w:hAnsi="Arial" w:cs="Arial"/>
                                      <w:b/>
                                      <w:bCs/>
                                      <w:color w:val="000000"/>
                                      <w:kern w:val="24"/>
                                      <w:sz w:val="34"/>
                                      <w:szCs w:val="34"/>
                                    </w:rPr>
                                    <w:t>$</w:t>
                                  </w:r>
                                  <w:r>
                                    <w:rPr>
                                      <w:rFonts w:ascii="Arial" w:hAnsi="Arial" w:cs="Arial"/>
                                      <w:b/>
                                      <w:bCs/>
                                      <w:color w:val="000000"/>
                                      <w:kern w:val="24"/>
                                      <w:sz w:val="34"/>
                                      <w:szCs w:val="34"/>
                                    </w:rPr>
                                    <w:t>55</w:t>
                                  </w:r>
                                  <w:r w:rsidRPr="008C6150">
                                    <w:rPr>
                                      <w:rFonts w:ascii="Arial" w:hAnsi="Arial" w:cs="Arial"/>
                                      <w:b/>
                                      <w:bCs/>
                                      <w:color w:val="000000"/>
                                      <w:kern w:val="24"/>
                                      <w:sz w:val="34"/>
                                      <w:szCs w:val="34"/>
                                    </w:rPr>
                                    <w:t>.</w:t>
                                  </w:r>
                                  <w:r>
                                    <w:rPr>
                                      <w:rFonts w:ascii="Arial" w:hAnsi="Arial" w:cs="Arial"/>
                                      <w:b/>
                                      <w:bCs/>
                                      <w:color w:val="000000"/>
                                      <w:kern w:val="24"/>
                                      <w:sz w:val="34"/>
                                      <w:szCs w:val="34"/>
                                    </w:rPr>
                                    <w:t>6</w:t>
                                  </w:r>
                                  <w:r w:rsidRPr="008C6150">
                                    <w:rPr>
                                      <w:rFonts w:ascii="Arial" w:hAnsi="Arial" w:cs="Arial"/>
                                      <w:b/>
                                      <w:bCs/>
                                      <w:color w:val="000000"/>
                                      <w:kern w:val="24"/>
                                      <w:sz w:val="34"/>
                                      <w:szCs w:val="34"/>
                                    </w:rPr>
                                    <w:t xml:space="preserve"> billion</w:t>
                                  </w:r>
                                </w:p>
                                <w:p w14:paraId="443900F2" w14:textId="66EA4B4D" w:rsidR="007C2458" w:rsidRPr="008C6150" w:rsidRDefault="007C2458" w:rsidP="007F70B4">
                                  <w:pPr>
                                    <w:jc w:val="center"/>
                                    <w:rPr>
                                      <w:rFonts w:ascii="Arial" w:hAnsi="Arial" w:cs="Arial"/>
                                      <w:vertAlign w:val="superscript"/>
                                    </w:rPr>
                                  </w:pPr>
                                  <w:r w:rsidRPr="008C6150">
                                    <w:rPr>
                                      <w:rFonts w:ascii="Arial" w:hAnsi="Arial" w:cs="Arial"/>
                                      <w:color w:val="000000"/>
                                      <w:kern w:val="24"/>
                                    </w:rPr>
                                    <w:t>Delivering ove</w:t>
                                  </w:r>
                                  <w:r w:rsidRPr="001B5099">
                                    <w:rPr>
                                      <w:rFonts w:ascii="Arial" w:hAnsi="Arial" w:cs="Arial"/>
                                      <w:color w:val="000000"/>
                                      <w:kern w:val="24"/>
                                    </w:rPr>
                                    <w:t>r 3,</w:t>
                                  </w:r>
                                  <w:r>
                                    <w:rPr>
                                      <w:rFonts w:ascii="Arial" w:hAnsi="Arial" w:cs="Arial"/>
                                      <w:color w:val="000000"/>
                                      <w:kern w:val="24"/>
                                    </w:rPr>
                                    <w:t>500</w:t>
                                  </w:r>
                                  <w:r w:rsidRPr="008C6150">
                                    <w:rPr>
                                      <w:rFonts w:ascii="Arial" w:hAnsi="Arial" w:cs="Arial"/>
                                      <w:color w:val="000000"/>
                                      <w:kern w:val="24"/>
                                    </w:rPr>
                                    <w:t xml:space="preserve"> road </w:t>
                                  </w:r>
                                  <w:r w:rsidRPr="008C6150">
                                    <w:rPr>
                                      <w:rFonts w:ascii="Arial" w:hAnsi="Arial" w:cs="Arial"/>
                                      <w:color w:val="000000"/>
                                      <w:kern w:val="24"/>
                                    </w:rPr>
                                    <w:br/>
                                    <w:t>and rail projects</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w14:anchorId="264D2325" id="TextBox 6" o:spid="_x0000_s1030" type="#_x0000_t202" style="position:absolute;margin-left:326.55pt;margin-top:14.35pt;width:143.05pt;height:49.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" filled="f" stroked="f">
                      <v:textbox style="mso-fit-shape-to-text:t">
                        <w:txbxContent>
                          <w:p w14:paraId="2FDCC9DD" w14:textId="0391B1F4" w:rsidR="007C2458" w:rsidRPr="008C6150" w:rsidRDefault="007C2458" w:rsidP="007F70B4">
                            <w:pPr>
                              <w:jc w:val="center"/>
                              <w:rPr>
                                <w:rFonts w:ascii="Arial" w:hAnsi="Arial" w:cs="Arial"/>
                                <w:sz w:val="34"/>
                                <w:szCs w:val="34"/>
                              </w:rPr>
                            </w:pPr>
                            <w:r w:rsidRPr="008C6150">
                              <w:rPr>
                                <w:rFonts w:ascii="Arial" w:hAnsi="Arial" w:cs="Arial"/>
                                <w:b/>
                                <w:bCs/>
                                <w:color w:val="000000"/>
                                <w:kern w:val="24"/>
                                <w:sz w:val="34"/>
                                <w:szCs w:val="34"/>
                              </w:rPr>
                              <w:t>$</w:t>
                            </w:r>
                            <w:r>
                              <w:rPr>
                                <w:rFonts w:ascii="Arial" w:hAnsi="Arial" w:cs="Arial"/>
                                <w:b/>
                                <w:bCs/>
                                <w:color w:val="000000"/>
                                <w:kern w:val="24"/>
                                <w:sz w:val="34"/>
                                <w:szCs w:val="34"/>
                              </w:rPr>
                              <w:t>55</w:t>
                            </w:r>
                            <w:r w:rsidRPr="008C6150">
                              <w:rPr>
                                <w:rFonts w:ascii="Arial" w:hAnsi="Arial" w:cs="Arial"/>
                                <w:b/>
                                <w:bCs/>
                                <w:color w:val="000000"/>
                                <w:kern w:val="24"/>
                                <w:sz w:val="34"/>
                                <w:szCs w:val="34"/>
                              </w:rPr>
                              <w:t>.</w:t>
                            </w:r>
                            <w:r>
                              <w:rPr>
                                <w:rFonts w:ascii="Arial" w:hAnsi="Arial" w:cs="Arial"/>
                                <w:b/>
                                <w:bCs/>
                                <w:color w:val="000000"/>
                                <w:kern w:val="24"/>
                                <w:sz w:val="34"/>
                                <w:szCs w:val="34"/>
                              </w:rPr>
                              <w:t>6</w:t>
                            </w:r>
                            <w:r w:rsidRPr="008C6150">
                              <w:rPr>
                                <w:rFonts w:ascii="Arial" w:hAnsi="Arial" w:cs="Arial"/>
                                <w:b/>
                                <w:bCs/>
                                <w:color w:val="000000"/>
                                <w:kern w:val="24"/>
                                <w:sz w:val="34"/>
                                <w:szCs w:val="34"/>
                              </w:rPr>
                              <w:t xml:space="preserve"> billion</w:t>
                            </w:r>
                          </w:p>
                          <w:p w14:paraId="443900F2" w14:textId="66EA4B4D" w:rsidR="007C2458" w:rsidRPr="008C6150" w:rsidRDefault="007C2458" w:rsidP="007F70B4">
                            <w:pPr>
                              <w:jc w:val="center"/>
                              <w:rPr>
                                <w:rFonts w:ascii="Arial" w:hAnsi="Arial" w:cs="Arial"/>
                                <w:vertAlign w:val="superscript"/>
                              </w:rPr>
                            </w:pPr>
                            <w:r w:rsidRPr="008C6150">
                              <w:rPr>
                                <w:rFonts w:ascii="Arial" w:hAnsi="Arial" w:cs="Arial"/>
                                <w:color w:val="000000"/>
                                <w:kern w:val="24"/>
                              </w:rPr>
                              <w:t>Delivering ove</w:t>
                            </w:r>
                            <w:r w:rsidRPr="001B5099">
                              <w:rPr>
                                <w:rFonts w:ascii="Arial" w:hAnsi="Arial" w:cs="Arial"/>
                                <w:color w:val="000000"/>
                                <w:kern w:val="24"/>
                              </w:rPr>
                              <w:t>r 3,</w:t>
                            </w:r>
                            <w:r>
                              <w:rPr>
                                <w:rFonts w:ascii="Arial" w:hAnsi="Arial" w:cs="Arial"/>
                                <w:color w:val="000000"/>
                                <w:kern w:val="24"/>
                              </w:rPr>
                              <w:t>500</w:t>
                            </w:r>
                            <w:r w:rsidRPr="008C6150">
                              <w:rPr>
                                <w:rFonts w:ascii="Arial" w:hAnsi="Arial" w:cs="Arial"/>
                                <w:color w:val="000000"/>
                                <w:kern w:val="24"/>
                              </w:rPr>
                              <w:t xml:space="preserve"> road </w:t>
                            </w:r>
                            <w:r w:rsidRPr="008C6150">
                              <w:rPr>
                                <w:rFonts w:ascii="Arial" w:hAnsi="Arial" w:cs="Arial"/>
                                <w:color w:val="000000"/>
                                <w:kern w:val="24"/>
                              </w:rPr>
                              <w:br/>
                              <w:t>and rail projects</w:t>
                            </w:r>
                          </w:p>
                        </w:txbxContent>
                      </v:textbox>
                    </v:shape>
                  </w:pict>
                </mc:Fallback>
              </mc:AlternateContent>
            </w:r>
            <w:r w:rsidR="008767B7" w:rsidRPr="00A1397D">
              <w:rPr>
                <w:rFonts w:ascii="Arial" w:hAnsi="Arial" w:cs="Arial"/>
                <w:noProof/>
              </w:rPr>
              <w:drawing>
                <wp:anchor distT="0" distB="0" distL="114300" distR="114300" simplePos="0" relativeHeight="251658246" behindDoc="0" locked="0" layoutInCell="1" allowOverlap="1" wp14:anchorId="61DC518F" wp14:editId="2526305E">
                  <wp:simplePos x="0" y="0"/>
                  <wp:positionH relativeFrom="column">
                    <wp:posOffset>3362325</wp:posOffset>
                  </wp:positionH>
                  <wp:positionV relativeFrom="paragraph">
                    <wp:posOffset>7620</wp:posOffset>
                  </wp:positionV>
                  <wp:extent cx="827405" cy="82740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t="-36" b="-36"/>
                          <a:stretch/>
                        </pic:blipFill>
                        <pic:spPr bwMode="auto">
                          <a:xfrm>
                            <a:off x="0" y="0"/>
                            <a:ext cx="827405" cy="8274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211694" w14:textId="5AB33769" w:rsidR="00356E02" w:rsidRPr="00A1397D" w:rsidRDefault="00356E02" w:rsidP="00356E02">
            <w:pPr>
              <w:rPr>
                <w:rFonts w:ascii="Arial" w:hAnsi="Arial" w:cs="Arial"/>
              </w:rPr>
            </w:pPr>
          </w:p>
          <w:p w14:paraId="6B6BDF8A" w14:textId="3FF86A64" w:rsidR="00356E02" w:rsidRPr="00A1397D" w:rsidRDefault="00356E02" w:rsidP="00356E02">
            <w:pPr>
              <w:rPr>
                <w:rFonts w:ascii="Arial" w:hAnsi="Arial" w:cs="Arial"/>
              </w:rPr>
            </w:pPr>
          </w:p>
          <w:p w14:paraId="246B9EAE" w14:textId="2C6D6460" w:rsidR="00356E02" w:rsidRPr="00A1397D" w:rsidRDefault="00356E02" w:rsidP="00356E02">
            <w:pPr>
              <w:rPr>
                <w:rFonts w:ascii="Arial" w:hAnsi="Arial" w:cs="Arial"/>
              </w:rPr>
            </w:pPr>
          </w:p>
          <w:p w14:paraId="4FB34244" w14:textId="42DEEBA1" w:rsidR="00356E02" w:rsidRPr="00A1397D" w:rsidRDefault="00356E02" w:rsidP="00356E02">
            <w:pPr>
              <w:rPr>
                <w:rFonts w:ascii="Arial" w:hAnsi="Arial" w:cs="Arial"/>
              </w:rPr>
            </w:pPr>
          </w:p>
          <w:p w14:paraId="2B02085D" w14:textId="51405274" w:rsidR="00356E02" w:rsidRPr="00A1397D" w:rsidRDefault="00356E02" w:rsidP="00356E02">
            <w:pPr>
              <w:rPr>
                <w:rFonts w:ascii="Arial" w:hAnsi="Arial" w:cs="Arial"/>
              </w:rPr>
            </w:pPr>
          </w:p>
          <w:p w14:paraId="0807B393" w14:textId="62484488" w:rsidR="00356E02" w:rsidRPr="00A1397D" w:rsidRDefault="00356E02" w:rsidP="00356E02">
            <w:pPr>
              <w:rPr>
                <w:rFonts w:ascii="Arial" w:hAnsi="Arial" w:cs="Arial"/>
              </w:rPr>
            </w:pPr>
          </w:p>
          <w:p w14:paraId="2A80D570" w14:textId="00624A00" w:rsidR="008C6150" w:rsidRPr="00A1397D" w:rsidRDefault="008C6150" w:rsidP="00356E02">
            <w:pPr>
              <w:rPr>
                <w:rFonts w:ascii="Arial" w:hAnsi="Arial" w:cs="Arial"/>
              </w:rPr>
            </w:pPr>
          </w:p>
          <w:bookmarkEnd w:id="3"/>
          <w:p w14:paraId="3B8A0593" w14:textId="7981B865" w:rsidR="00336B34" w:rsidRDefault="006B4D04" w:rsidP="00BF4099">
            <w:pPr>
              <w:pStyle w:val="Bullet1inabox"/>
            </w:pPr>
            <w:r>
              <w:t>T</w:t>
            </w:r>
            <w:r w:rsidR="00DF0ABD">
              <w:t xml:space="preserve">he </w:t>
            </w:r>
            <w:r w:rsidR="3F6DFAAC">
              <w:t>Government</w:t>
            </w:r>
            <w:r w:rsidR="00DF0ABD">
              <w:t xml:space="preserve"> </w:t>
            </w:r>
            <w:r w:rsidR="004B45B7">
              <w:t xml:space="preserve">is </w:t>
            </w:r>
            <w:r w:rsidR="006C2BED">
              <w:t xml:space="preserve">continuing to </w:t>
            </w:r>
            <w:r w:rsidR="0099454C">
              <w:t>mak</w:t>
            </w:r>
            <w:r w:rsidR="006C2BED">
              <w:t>e</w:t>
            </w:r>
            <w:r w:rsidR="004A19D0">
              <w:t xml:space="preserve"> </w:t>
            </w:r>
            <w:r w:rsidR="00336B34" w:rsidRPr="008319B6">
              <w:t xml:space="preserve">substantial </w:t>
            </w:r>
            <w:r w:rsidR="0022266A">
              <w:t>infrastructure</w:t>
            </w:r>
            <w:r w:rsidR="0022266A" w:rsidRPr="008319B6">
              <w:t xml:space="preserve"> </w:t>
            </w:r>
            <w:r w:rsidR="00336B34" w:rsidRPr="008319B6">
              <w:t>investment</w:t>
            </w:r>
            <w:r w:rsidR="009F0842">
              <w:t>s</w:t>
            </w:r>
            <w:r w:rsidR="004A19D0">
              <w:t xml:space="preserve"> </w:t>
            </w:r>
            <w:r w:rsidR="00CB53E4">
              <w:t>in</w:t>
            </w:r>
            <w:r w:rsidR="005C3E21">
              <w:t xml:space="preserve"> </w:t>
            </w:r>
            <w:r w:rsidR="00336B34" w:rsidRPr="008319B6">
              <w:t>r</w:t>
            </w:r>
            <w:r w:rsidR="00336B34" w:rsidRPr="00985DD6">
              <w:t>egional New South Wales</w:t>
            </w:r>
            <w:r w:rsidR="004A19D0">
              <w:t xml:space="preserve"> to support </w:t>
            </w:r>
            <w:r w:rsidR="00DF4071">
              <w:t>jobs</w:t>
            </w:r>
            <w:r w:rsidR="00F00D34">
              <w:t xml:space="preserve"> and deliver outcomes </w:t>
            </w:r>
            <w:r w:rsidR="00190CFB">
              <w:t>in</w:t>
            </w:r>
            <w:r w:rsidR="00DF4071">
              <w:t xml:space="preserve"> transport, health</w:t>
            </w:r>
            <w:r w:rsidR="00DE7415">
              <w:t>,</w:t>
            </w:r>
            <w:r w:rsidR="00DF4071">
              <w:t xml:space="preserve"> education</w:t>
            </w:r>
            <w:r w:rsidR="003D5270">
              <w:t xml:space="preserve"> and other vital </w:t>
            </w:r>
            <w:r w:rsidR="00A010D0">
              <w:t>public</w:t>
            </w:r>
            <w:r w:rsidR="003D5270">
              <w:t xml:space="preserve"> services</w:t>
            </w:r>
            <w:r w:rsidR="00336B34" w:rsidRPr="00985DD6">
              <w:t>.</w:t>
            </w:r>
            <w:r w:rsidR="00336B34" w:rsidRPr="00141A9D">
              <w:t xml:space="preserve"> This is </w:t>
            </w:r>
            <w:r w:rsidR="00CB53E4">
              <w:t>further supported by</w:t>
            </w:r>
            <w:r w:rsidR="00336B34" w:rsidRPr="00141A9D">
              <w:t xml:space="preserve"> the Government</w:t>
            </w:r>
            <w:r w:rsidR="00CB53E4">
              <w:t>’s</w:t>
            </w:r>
            <w:r w:rsidR="00F35F4D">
              <w:t xml:space="preserve"> </w:t>
            </w:r>
            <w:r w:rsidR="00336B34" w:rsidRPr="00F21425">
              <w:t>commitment to spend 30 </w:t>
            </w:r>
            <w:r w:rsidR="00336B34" w:rsidRPr="00315C74">
              <w:t>per cent of all Restart </w:t>
            </w:r>
            <w:r w:rsidR="00336B34" w:rsidRPr="008319B6">
              <w:t xml:space="preserve">NSW funding in the regions </w:t>
            </w:r>
            <w:r w:rsidR="00336B34" w:rsidRPr="00985DD6">
              <w:t xml:space="preserve">and </w:t>
            </w:r>
            <w:r w:rsidR="0033217F">
              <w:t xml:space="preserve">invest </w:t>
            </w:r>
            <w:r w:rsidR="004D33AD">
              <w:t>th</w:t>
            </w:r>
            <w:r w:rsidR="004D33AD" w:rsidRPr="005324E7">
              <w:t xml:space="preserve">e $4.2 billion </w:t>
            </w:r>
            <w:r w:rsidR="0033217F">
              <w:t>of</w:t>
            </w:r>
            <w:r w:rsidR="0033217F" w:rsidRPr="005324E7">
              <w:t xml:space="preserve"> </w:t>
            </w:r>
            <w:r w:rsidR="004D33AD" w:rsidRPr="005324E7">
              <w:t xml:space="preserve">proceeds from the sale </w:t>
            </w:r>
            <w:r w:rsidR="004D33AD">
              <w:t>of</w:t>
            </w:r>
            <w:r w:rsidR="004D33AD" w:rsidRPr="005324E7">
              <w:t xml:space="preserve"> the State’s share of Snowy Hydro</w:t>
            </w:r>
            <w:r w:rsidR="004D33AD">
              <w:t xml:space="preserve"> </w:t>
            </w:r>
            <w:r w:rsidR="0033217F">
              <w:t xml:space="preserve">in </w:t>
            </w:r>
            <w:r w:rsidR="004D33AD">
              <w:t xml:space="preserve">regional </w:t>
            </w:r>
            <w:r w:rsidR="004D33AD" w:rsidRPr="005324E7">
              <w:t>infrastructure projects</w:t>
            </w:r>
            <w:r w:rsidR="00336B34" w:rsidRPr="00985DD6">
              <w:t>.</w:t>
            </w:r>
          </w:p>
          <w:p w14:paraId="13D7FC30" w14:textId="42FB4C5F" w:rsidR="00613EFE" w:rsidRDefault="00613EFE" w:rsidP="00BF4099">
            <w:pPr>
              <w:pStyle w:val="Bullet1inabox"/>
            </w:pPr>
            <w:r w:rsidRPr="003703DD">
              <w:t>The $</w:t>
            </w:r>
            <w:r w:rsidR="003703DD">
              <w:t>9</w:t>
            </w:r>
            <w:r w:rsidR="00A811AB">
              <w:t>3</w:t>
            </w:r>
            <w:r w:rsidRPr="003703DD">
              <w:t>.</w:t>
            </w:r>
            <w:r w:rsidR="00A811AB">
              <w:t>0</w:t>
            </w:r>
            <w:r w:rsidRPr="00736BB2">
              <w:t xml:space="preserve"> billion capital program over four years to </w:t>
            </w:r>
            <w:r w:rsidR="16AB5AC9">
              <w:t>2022-23</w:t>
            </w:r>
            <w:r w:rsidRPr="00736BB2">
              <w:t xml:space="preserve"> </w:t>
            </w:r>
            <w:r w:rsidR="557B23A8">
              <w:t xml:space="preserve">delivers on </w:t>
            </w:r>
            <w:r w:rsidR="24281E60">
              <w:t>the</w:t>
            </w:r>
            <w:r w:rsidRPr="00C45176">
              <w:t xml:space="preserve"> </w:t>
            </w:r>
            <w:r w:rsidR="74C89DA9">
              <w:t xml:space="preserve">Government’s </w:t>
            </w:r>
            <w:r w:rsidR="0068350E">
              <w:t xml:space="preserve">2019 </w:t>
            </w:r>
            <w:r w:rsidR="00B47EB0">
              <w:t xml:space="preserve">election </w:t>
            </w:r>
            <w:r w:rsidR="0023479C">
              <w:t xml:space="preserve">commitments and wider </w:t>
            </w:r>
            <w:r w:rsidR="74C89DA9">
              <w:t>commitment</w:t>
            </w:r>
            <w:r w:rsidR="009541BF">
              <w:t xml:space="preserve"> </w:t>
            </w:r>
            <w:r w:rsidRPr="00C45176">
              <w:t>t</w:t>
            </w:r>
            <w:r w:rsidR="009E5E07">
              <w:t xml:space="preserve">o </w:t>
            </w:r>
            <w:r w:rsidR="00790A08">
              <w:t xml:space="preserve">support and </w:t>
            </w:r>
            <w:r w:rsidR="00A72159">
              <w:t>build the</w:t>
            </w:r>
            <w:r w:rsidR="00790A08">
              <w:t xml:space="preserve"> </w:t>
            </w:r>
            <w:r w:rsidR="0099683C">
              <w:t>N</w:t>
            </w:r>
            <w:r w:rsidR="0052269B">
              <w:t xml:space="preserve">ew </w:t>
            </w:r>
            <w:r w:rsidR="0099683C">
              <w:t>S</w:t>
            </w:r>
            <w:r w:rsidR="0052269B">
              <w:t xml:space="preserve">outh </w:t>
            </w:r>
            <w:r w:rsidR="0099683C">
              <w:t>W</w:t>
            </w:r>
            <w:r w:rsidR="0052269B">
              <w:t>ales</w:t>
            </w:r>
            <w:r w:rsidR="0099683C" w:rsidRPr="00EE2210">
              <w:t xml:space="preserve"> </w:t>
            </w:r>
            <w:r w:rsidRPr="00EE2210">
              <w:t>communities</w:t>
            </w:r>
            <w:r w:rsidR="00F81EE5">
              <w:t xml:space="preserve"> </w:t>
            </w:r>
            <w:r w:rsidR="00A72159">
              <w:t>of</w:t>
            </w:r>
            <w:r w:rsidR="00F81EE5">
              <w:t xml:space="preserve"> the future</w:t>
            </w:r>
            <w:r w:rsidR="007A52E4">
              <w:t xml:space="preserve">. This </w:t>
            </w:r>
            <w:r w:rsidR="00483604">
              <w:t xml:space="preserve">record program </w:t>
            </w:r>
            <w:r w:rsidR="007A52E4">
              <w:t>is</w:t>
            </w:r>
            <w:r w:rsidR="56CCE098">
              <w:t xml:space="preserve"> enabled</w:t>
            </w:r>
            <w:r w:rsidR="00B744EF">
              <w:t xml:space="preserve"> by </w:t>
            </w:r>
            <w:r w:rsidR="00AB20B5">
              <w:t>strong and sustainable</w:t>
            </w:r>
            <w:r w:rsidR="1A501930">
              <w:t xml:space="preserve"> fi</w:t>
            </w:r>
            <w:r w:rsidR="00AC6885">
              <w:t>scal</w:t>
            </w:r>
            <w:r w:rsidR="00B744EF">
              <w:t xml:space="preserve"> management</w:t>
            </w:r>
            <w:r w:rsidR="00DD4085">
              <w:t xml:space="preserve"> </w:t>
            </w:r>
            <w:r w:rsidR="00151D6F">
              <w:t>as demonstrated by</w:t>
            </w:r>
            <w:r w:rsidR="00AB20B5">
              <w:t xml:space="preserve"> the Government</w:t>
            </w:r>
            <w:r w:rsidR="00E761D6">
              <w:t>’s</w:t>
            </w:r>
            <w:r w:rsidR="00AB20B5">
              <w:t xml:space="preserve"> </w:t>
            </w:r>
            <w:r w:rsidR="00802E51">
              <w:t>successful</w:t>
            </w:r>
            <w:r w:rsidR="00802E51" w:rsidDel="00802E51">
              <w:t xml:space="preserve"> </w:t>
            </w:r>
            <w:r w:rsidR="5A106FA0">
              <w:t>asset recycling</w:t>
            </w:r>
            <w:r w:rsidR="00802E51">
              <w:t xml:space="preserve"> program</w:t>
            </w:r>
            <w:r w:rsidRPr="00EE2210">
              <w:t>.</w:t>
            </w:r>
          </w:p>
          <w:p w14:paraId="40501672" w14:textId="56F1012E" w:rsidR="00BA2016" w:rsidRDefault="00E2075A" w:rsidP="00BF4099">
            <w:pPr>
              <w:pStyle w:val="Bullet1inabox"/>
            </w:pPr>
            <w:r>
              <w:t>The benefits of the Government’s once</w:t>
            </w:r>
            <w:r w:rsidR="004C6B5D">
              <w:t xml:space="preserve"> </w:t>
            </w:r>
            <w:r>
              <w:t>in</w:t>
            </w:r>
            <w:r w:rsidR="004C6B5D">
              <w:t xml:space="preserve"> </w:t>
            </w:r>
            <w:r>
              <w:t>a</w:t>
            </w:r>
            <w:r w:rsidR="004C6B5D">
              <w:t xml:space="preserve"> </w:t>
            </w:r>
            <w:r>
              <w:t xml:space="preserve">generation </w:t>
            </w:r>
            <w:r w:rsidR="001A7BA0">
              <w:t xml:space="preserve">infrastructure program </w:t>
            </w:r>
            <w:r w:rsidR="00F37F16">
              <w:t>are</w:t>
            </w:r>
            <w:r>
              <w:t xml:space="preserve"> </w:t>
            </w:r>
            <w:r w:rsidR="00210E15">
              <w:t xml:space="preserve">now </w:t>
            </w:r>
            <w:r w:rsidR="00F37F16">
              <w:t>being realised</w:t>
            </w:r>
            <w:r>
              <w:t xml:space="preserve"> with significant projects completed including</w:t>
            </w:r>
            <w:r w:rsidR="00EC7152">
              <w:t>:</w:t>
            </w:r>
            <w:r>
              <w:t xml:space="preserve"> </w:t>
            </w:r>
            <w:r w:rsidR="0081011D">
              <w:t>Western Sydney Stadium</w:t>
            </w:r>
            <w:r w:rsidR="009B37D7">
              <w:t xml:space="preserve">, </w:t>
            </w:r>
            <w:r w:rsidR="009F14C4">
              <w:t xml:space="preserve">Newcastle </w:t>
            </w:r>
            <w:r w:rsidR="00FD22BD">
              <w:t>L</w:t>
            </w:r>
            <w:r w:rsidR="009F14C4">
              <w:t xml:space="preserve">ight </w:t>
            </w:r>
            <w:r w:rsidR="00FD22BD">
              <w:t>R</w:t>
            </w:r>
            <w:r w:rsidR="009F14C4">
              <w:t>ail</w:t>
            </w:r>
            <w:r w:rsidR="0081011D">
              <w:t xml:space="preserve"> and North</w:t>
            </w:r>
            <w:r w:rsidR="00C350D6">
              <w:t xml:space="preserve"> </w:t>
            </w:r>
            <w:r w:rsidR="002F1EF5">
              <w:t>W</w:t>
            </w:r>
            <w:r w:rsidR="0081011D">
              <w:t>est</w:t>
            </w:r>
            <w:r w:rsidR="00593648">
              <w:t xml:space="preserve"> Metro</w:t>
            </w:r>
            <w:r>
              <w:t>.</w:t>
            </w:r>
          </w:p>
          <w:p w14:paraId="776991EA" w14:textId="63620165" w:rsidR="00206DA5" w:rsidRPr="00934306" w:rsidRDefault="007F1602" w:rsidP="00BF4099">
            <w:pPr>
              <w:pStyle w:val="Bullet1inabox"/>
            </w:pPr>
            <w:r>
              <w:t>T</w:t>
            </w:r>
            <w:r w:rsidR="00765787" w:rsidRPr="0066385E">
              <w:t xml:space="preserve">he Government will </w:t>
            </w:r>
            <w:r w:rsidR="009C72E5">
              <w:t xml:space="preserve">also </w:t>
            </w:r>
            <w:r w:rsidR="00765787" w:rsidRPr="0066385E">
              <w:t xml:space="preserve">provide </w:t>
            </w:r>
            <w:r w:rsidR="00637A13" w:rsidRPr="0066385E">
              <w:t xml:space="preserve">a </w:t>
            </w:r>
            <w:r w:rsidR="00637A13" w:rsidRPr="000C1A76">
              <w:t>further</w:t>
            </w:r>
            <w:r w:rsidR="00AF7AAF" w:rsidRPr="0066385E">
              <w:t xml:space="preserve"> </w:t>
            </w:r>
            <w:r w:rsidR="00765787" w:rsidRPr="0066385E">
              <w:t>$</w:t>
            </w:r>
            <w:r w:rsidR="0066385E" w:rsidRPr="0066385E">
              <w:t>2</w:t>
            </w:r>
            <w:r w:rsidR="00765787" w:rsidRPr="0066385E">
              <w:t>.</w:t>
            </w:r>
            <w:r w:rsidR="00F36424">
              <w:t>2</w:t>
            </w:r>
            <w:r w:rsidR="00AF7AAF" w:rsidRPr="0066385E">
              <w:t> </w:t>
            </w:r>
            <w:r w:rsidR="00765787" w:rsidRPr="0066385E">
              <w:t xml:space="preserve">billion over </w:t>
            </w:r>
            <w:r w:rsidR="00301AF9" w:rsidRPr="0066385E">
              <w:t xml:space="preserve">the </w:t>
            </w:r>
            <w:r w:rsidR="00765787" w:rsidRPr="0066385E">
              <w:t>four years to 20</w:t>
            </w:r>
            <w:r w:rsidR="00A37DC2" w:rsidRPr="0066385E">
              <w:t>2</w:t>
            </w:r>
            <w:r w:rsidR="0096481D" w:rsidRPr="0066385E">
              <w:t>2</w:t>
            </w:r>
            <w:r w:rsidR="00765787" w:rsidRPr="0066385E">
              <w:t>-2</w:t>
            </w:r>
            <w:r w:rsidR="00A37DC2" w:rsidRPr="0066385E">
              <w:t>3</w:t>
            </w:r>
            <w:r w:rsidR="00765787" w:rsidRPr="0066385E">
              <w:t xml:space="preserve"> to </w:t>
            </w:r>
            <w:r w:rsidR="00175897" w:rsidRPr="0066385E">
              <w:t>support</w:t>
            </w:r>
            <w:r w:rsidR="00765787" w:rsidRPr="0066385E">
              <w:t xml:space="preserve"> projects delivered by non</w:t>
            </w:r>
            <w:r w:rsidR="0093057F" w:rsidRPr="0066385E">
              <w:noBreakHyphen/>
            </w:r>
            <w:r w:rsidR="00765787" w:rsidRPr="0066385E">
              <w:t>government bodies. This includes</w:t>
            </w:r>
            <w:r w:rsidR="00175897" w:rsidRPr="0066385E">
              <w:t xml:space="preserve"> </w:t>
            </w:r>
            <w:r w:rsidR="00765787" w:rsidRPr="0066385E">
              <w:t xml:space="preserve">financial </w:t>
            </w:r>
            <w:r w:rsidR="00591737" w:rsidRPr="0066385E">
              <w:t>contributions to p</w:t>
            </w:r>
            <w:r w:rsidR="00765787" w:rsidRPr="0066385E">
              <w:t>rivate</w:t>
            </w:r>
            <w:r w:rsidR="00591737" w:rsidRPr="0066385E">
              <w:t>-pu</w:t>
            </w:r>
            <w:r w:rsidR="00765787" w:rsidRPr="0066385E">
              <w:t xml:space="preserve">blic </w:t>
            </w:r>
            <w:r w:rsidR="00591737" w:rsidRPr="0066385E">
              <w:t>p</w:t>
            </w:r>
            <w:r w:rsidR="00765787" w:rsidRPr="0066385E">
              <w:t xml:space="preserve">artnerships and </w:t>
            </w:r>
            <w:r w:rsidR="00175897" w:rsidRPr="0066385E">
              <w:t>capital grants to local councils</w:t>
            </w:r>
            <w:r w:rsidR="00175897" w:rsidRPr="009845B5">
              <w:t>.</w:t>
            </w:r>
          </w:p>
        </w:tc>
      </w:tr>
      <w:bookmarkEnd w:id="4"/>
    </w:tbl>
    <w:p w14:paraId="628539C0" w14:textId="77777777" w:rsidR="00DD24D6" w:rsidRPr="00A1397D" w:rsidRDefault="00DD24D6" w:rsidP="00DD24D6">
      <w:pPr>
        <w:rPr>
          <w:rFonts w:ascii="Arial" w:hAnsi="Arial" w:cs="Arial"/>
          <w:lang w:val="en-AU"/>
        </w:rPr>
      </w:pPr>
    </w:p>
    <w:p w14:paraId="679B87B6" w14:textId="28E2D006" w:rsidR="00DD24D6" w:rsidRPr="00A1397D" w:rsidRDefault="00DD24D6" w:rsidP="00DD24D6">
      <w:pPr>
        <w:tabs>
          <w:tab w:val="left" w:pos="2835"/>
        </w:tabs>
        <w:ind w:right="6804"/>
        <w:rPr>
          <w:rFonts w:ascii="Arial" w:hAnsi="Arial" w:cs="Arial"/>
          <w:sz w:val="17"/>
          <w:szCs w:val="17"/>
          <w:lang w:val="en-AU"/>
        </w:rPr>
      </w:pPr>
    </w:p>
    <w:p w14:paraId="20534528" w14:textId="3590D43E" w:rsidR="00DD24D6" w:rsidRPr="00A1397D" w:rsidRDefault="00DD24D6" w:rsidP="00DD24D6">
      <w:pPr>
        <w:tabs>
          <w:tab w:val="left" w:pos="2835"/>
        </w:tabs>
        <w:ind w:right="6804"/>
        <w:rPr>
          <w:rFonts w:ascii="Arial" w:hAnsi="Arial" w:cs="Arial"/>
          <w:sz w:val="17"/>
          <w:szCs w:val="17"/>
          <w:lang w:val="en-AU"/>
        </w:rPr>
      </w:pPr>
    </w:p>
    <w:p w14:paraId="07BE081D" w14:textId="2C056FB7" w:rsidR="00C511EF" w:rsidRPr="00A1397D" w:rsidRDefault="00C511EF" w:rsidP="00167D49">
      <w:pPr>
        <w:tabs>
          <w:tab w:val="left" w:pos="2835"/>
        </w:tabs>
        <w:ind w:right="6804"/>
        <w:rPr>
          <w:rFonts w:ascii="Arial" w:hAnsi="Arial" w:cs="Arial"/>
          <w:strike/>
          <w:sz w:val="17"/>
          <w:szCs w:val="17"/>
          <w:lang w:val="en-AU"/>
        </w:rPr>
      </w:pPr>
      <w:r w:rsidRPr="00A1397D">
        <w:rPr>
          <w:rFonts w:ascii="Arial" w:hAnsi="Arial" w:cs="Arial"/>
          <w:strike/>
          <w:sz w:val="17"/>
          <w:szCs w:val="17"/>
          <w:lang w:val="en-AU"/>
        </w:rPr>
        <w:tab/>
      </w:r>
    </w:p>
    <w:p w14:paraId="2014AFCA" w14:textId="6264FA15" w:rsidR="001662A0" w:rsidRPr="00A1397D" w:rsidRDefault="001662A0" w:rsidP="00167D49">
      <w:pPr>
        <w:ind w:left="709" w:hanging="283"/>
        <w:rPr>
          <w:rFonts w:ascii="Arial" w:hAnsi="Arial" w:cs="Arial"/>
          <w:sz w:val="17"/>
          <w:szCs w:val="17"/>
          <w:lang w:val="en-AU"/>
        </w:rPr>
      </w:pPr>
      <w:r w:rsidRPr="00A1397D">
        <w:rPr>
          <w:rFonts w:ascii="Arial" w:hAnsi="Arial" w:cs="Arial"/>
          <w:sz w:val="17"/>
          <w:szCs w:val="17"/>
          <w:vertAlign w:val="superscript"/>
          <w:lang w:val="en-AU"/>
        </w:rPr>
        <w:t>1</w:t>
      </w:r>
      <w:r w:rsidRPr="00A1397D">
        <w:rPr>
          <w:rFonts w:ascii="Arial" w:hAnsi="Arial" w:cs="Arial"/>
          <w:sz w:val="17"/>
          <w:szCs w:val="17"/>
          <w:lang w:val="en-AU"/>
        </w:rPr>
        <w:tab/>
      </w:r>
      <w:r w:rsidR="00DD2AA5" w:rsidRPr="00A1397D">
        <w:rPr>
          <w:rFonts w:ascii="Arial" w:hAnsi="Arial" w:cs="Arial"/>
          <w:sz w:val="17"/>
          <w:szCs w:val="17"/>
          <w:lang w:val="en-AU"/>
        </w:rPr>
        <w:t xml:space="preserve">$7.3 billion </w:t>
      </w:r>
      <w:r w:rsidR="00E56267" w:rsidRPr="00A1397D">
        <w:rPr>
          <w:rFonts w:ascii="Arial" w:hAnsi="Arial" w:cs="Arial"/>
          <w:sz w:val="17"/>
          <w:szCs w:val="17"/>
          <w:lang w:val="en-AU"/>
        </w:rPr>
        <w:t xml:space="preserve">includes TAFE NSW as part of the Education </w:t>
      </w:r>
      <w:r w:rsidR="00FE036A" w:rsidRPr="00A1397D">
        <w:rPr>
          <w:rFonts w:ascii="Arial" w:hAnsi="Arial" w:cs="Arial"/>
          <w:sz w:val="17"/>
          <w:szCs w:val="17"/>
          <w:lang w:val="en-AU"/>
        </w:rPr>
        <w:t>c</w:t>
      </w:r>
      <w:r w:rsidR="00E56267" w:rsidRPr="00A1397D">
        <w:rPr>
          <w:rFonts w:ascii="Arial" w:hAnsi="Arial" w:cs="Arial"/>
          <w:sz w:val="17"/>
          <w:szCs w:val="17"/>
          <w:lang w:val="en-AU"/>
        </w:rPr>
        <w:t>luster</w:t>
      </w:r>
      <w:r w:rsidR="00136E24" w:rsidRPr="00A1397D">
        <w:rPr>
          <w:rFonts w:ascii="Arial" w:hAnsi="Arial" w:cs="Arial"/>
          <w:sz w:val="17"/>
          <w:szCs w:val="17"/>
          <w:lang w:val="en-AU"/>
        </w:rPr>
        <w:t xml:space="preserve">. Refer Chapter 2 for further </w:t>
      </w:r>
      <w:r w:rsidR="008F0438" w:rsidRPr="00A1397D">
        <w:rPr>
          <w:rFonts w:ascii="Arial" w:hAnsi="Arial" w:cs="Arial"/>
          <w:sz w:val="17"/>
          <w:szCs w:val="17"/>
          <w:lang w:val="en-AU"/>
        </w:rPr>
        <w:t>information</w:t>
      </w:r>
      <w:r w:rsidR="00136E24" w:rsidRPr="00A1397D">
        <w:rPr>
          <w:rFonts w:ascii="Arial" w:hAnsi="Arial" w:cs="Arial"/>
          <w:sz w:val="17"/>
          <w:szCs w:val="17"/>
          <w:lang w:val="en-AU"/>
        </w:rPr>
        <w:t>.</w:t>
      </w:r>
    </w:p>
    <w:p w14:paraId="0BB8CC6D" w14:textId="05D2F8AC" w:rsidR="682209B6" w:rsidRPr="00A1397D" w:rsidRDefault="001662A0" w:rsidP="00167D49">
      <w:pPr>
        <w:ind w:left="709" w:hanging="283"/>
        <w:rPr>
          <w:rFonts w:ascii="Arial" w:hAnsi="Arial" w:cs="Arial"/>
        </w:rPr>
      </w:pPr>
      <w:r w:rsidRPr="00A1397D">
        <w:rPr>
          <w:rFonts w:ascii="Arial" w:hAnsi="Arial" w:cs="Arial"/>
          <w:sz w:val="17"/>
          <w:szCs w:val="17"/>
          <w:vertAlign w:val="superscript"/>
          <w:lang w:val="en-AU"/>
        </w:rPr>
        <w:t>2</w:t>
      </w:r>
      <w:r w:rsidR="00C511EF" w:rsidRPr="00A1397D">
        <w:rPr>
          <w:rFonts w:ascii="Arial" w:hAnsi="Arial" w:cs="Arial"/>
          <w:sz w:val="17"/>
          <w:szCs w:val="17"/>
          <w:lang w:val="en-AU"/>
        </w:rPr>
        <w:tab/>
        <w:t>Health capital expenditure includes capital expensing amounts and leases following a change in accounting standards. Further information is provided at footnote d) of Table 1.3.</w:t>
      </w:r>
      <w:r w:rsidR="682209B6" w:rsidRPr="00A1397D">
        <w:rPr>
          <w:rFonts w:ascii="Arial" w:hAnsi="Arial" w:cs="Arial"/>
        </w:rPr>
        <w:br w:type="page"/>
      </w:r>
    </w:p>
    <w:p w14:paraId="7D20E4E2" w14:textId="4F0585E2" w:rsidR="00175897" w:rsidRPr="00620D78" w:rsidRDefault="00175897" w:rsidP="00A33734">
      <w:pPr>
        <w:pStyle w:val="Heading2"/>
      </w:pPr>
      <w:r>
        <w:lastRenderedPageBreak/>
        <w:t>Introduc</w:t>
      </w:r>
      <w:r w:rsidR="00BA18AC">
        <w:t xml:space="preserve">ing the State’s </w:t>
      </w:r>
      <w:r w:rsidR="00231514">
        <w:t>i</w:t>
      </w:r>
      <w:r w:rsidR="00BA18AC">
        <w:t xml:space="preserve">nfrastructure </w:t>
      </w:r>
      <w:r w:rsidR="00033170">
        <w:t>s</w:t>
      </w:r>
      <w:r w:rsidR="004F1E95">
        <w:t>tatement</w:t>
      </w:r>
    </w:p>
    <w:p w14:paraId="71F9AF87" w14:textId="08884B6F" w:rsidR="00006C0D" w:rsidRPr="00A1397D" w:rsidRDefault="005861AE" w:rsidP="00BF4099">
      <w:pPr>
        <w:pStyle w:val="BodyText"/>
      </w:pPr>
      <w:r w:rsidRPr="00A1397D">
        <w:t>The 201</w:t>
      </w:r>
      <w:r w:rsidR="00053491" w:rsidRPr="00A1397D">
        <w:t>9</w:t>
      </w:r>
      <w:r w:rsidRPr="00A1397D">
        <w:t>-</w:t>
      </w:r>
      <w:r w:rsidR="00053491" w:rsidRPr="00A1397D">
        <w:t>20</w:t>
      </w:r>
      <w:r w:rsidRPr="00A1397D">
        <w:t xml:space="preserve"> Budget</w:t>
      </w:r>
      <w:r w:rsidR="00C90681" w:rsidRPr="00A1397D">
        <w:t xml:space="preserve"> shows the Government is delivering on a record infrastructure commitment to make our communities great places to live</w:t>
      </w:r>
      <w:r w:rsidR="004C6B5D" w:rsidRPr="00A1397D">
        <w:t>,</w:t>
      </w:r>
      <w:r w:rsidR="00240E12" w:rsidRPr="00A1397D">
        <w:t xml:space="preserve"> now and into the future</w:t>
      </w:r>
      <w:r w:rsidRPr="00A1397D">
        <w:t xml:space="preserve">. </w:t>
      </w:r>
      <w:r w:rsidR="000671C8" w:rsidRPr="00A1397D">
        <w:t>From local projects like improving parklands, world-class hospitals, schools and major road and transport projects that will transform New South Wales</w:t>
      </w:r>
      <w:r w:rsidR="00576DF6" w:rsidRPr="00A1397D">
        <w:t>.</w:t>
      </w:r>
      <w:r w:rsidR="000671C8" w:rsidRPr="00A1397D">
        <w:t xml:space="preserve"> </w:t>
      </w:r>
      <w:r w:rsidR="00576DF6" w:rsidRPr="00A1397D">
        <w:t>T</w:t>
      </w:r>
      <w:r w:rsidR="000671C8" w:rsidRPr="00A1397D">
        <w:t>he Budget’s $9</w:t>
      </w:r>
      <w:r w:rsidR="00A811AB" w:rsidRPr="00A1397D">
        <w:t>3</w:t>
      </w:r>
      <w:r w:rsidR="000671C8" w:rsidRPr="00A1397D">
        <w:t>.</w:t>
      </w:r>
      <w:r w:rsidR="00A811AB" w:rsidRPr="00A1397D">
        <w:t>0</w:t>
      </w:r>
      <w:r w:rsidR="000671C8" w:rsidRPr="00A1397D">
        <w:t xml:space="preserve"> billion infrastructure program is designed to make communities more liveable today, while building the New South Wales of tomorrow.</w:t>
      </w:r>
    </w:p>
    <w:p w14:paraId="12CFD0F2" w14:textId="0256AC15" w:rsidR="00053491" w:rsidRPr="00A1397D" w:rsidRDefault="00053491" w:rsidP="00BF4099">
      <w:pPr>
        <w:pStyle w:val="BodyText"/>
      </w:pPr>
      <w:r w:rsidRPr="00A1397D">
        <w:t xml:space="preserve">It also </w:t>
      </w:r>
      <w:r w:rsidR="0074763D" w:rsidRPr="00A1397D">
        <w:t xml:space="preserve">highlights the delivery of </w:t>
      </w:r>
      <w:r w:rsidR="00223CC4" w:rsidRPr="00A1397D">
        <w:t xml:space="preserve">significant State infrastructure projects </w:t>
      </w:r>
      <w:r w:rsidRPr="00A1397D">
        <w:t>including</w:t>
      </w:r>
      <w:r w:rsidR="002A5F4A" w:rsidRPr="00A1397D">
        <w:t>:</w:t>
      </w:r>
      <w:r w:rsidRPr="00A1397D">
        <w:t xml:space="preserve"> North</w:t>
      </w:r>
      <w:r w:rsidR="00794AF3" w:rsidRPr="00A1397D">
        <w:t xml:space="preserve"> W</w:t>
      </w:r>
      <w:r w:rsidRPr="00A1397D">
        <w:t>est</w:t>
      </w:r>
      <w:r w:rsidR="00326CD8" w:rsidRPr="00A1397D">
        <w:t xml:space="preserve"> </w:t>
      </w:r>
      <w:r w:rsidR="00577E30" w:rsidRPr="00A1397D">
        <w:t xml:space="preserve">Metro </w:t>
      </w:r>
      <w:r w:rsidR="000F2913" w:rsidRPr="00A1397D">
        <w:t>(</w:t>
      </w:r>
      <w:r w:rsidR="00E42C9D" w:rsidRPr="00A1397D">
        <w:t>open</w:t>
      </w:r>
      <w:r w:rsidR="0083041A" w:rsidRPr="00A1397D">
        <w:t>ed</w:t>
      </w:r>
      <w:r w:rsidR="00E42C9D" w:rsidRPr="00A1397D">
        <w:t xml:space="preserve"> </w:t>
      </w:r>
      <w:r w:rsidR="00290962" w:rsidRPr="00A1397D">
        <w:t>May 2019</w:t>
      </w:r>
      <w:r w:rsidR="000F2913" w:rsidRPr="00A1397D">
        <w:t>)</w:t>
      </w:r>
      <w:r w:rsidRPr="00A1397D">
        <w:t xml:space="preserve">, </w:t>
      </w:r>
      <w:r w:rsidR="0015062F" w:rsidRPr="00A1397D">
        <w:t>Western Sydney Stadium</w:t>
      </w:r>
      <w:r w:rsidR="00717A8E" w:rsidRPr="00A1397D">
        <w:t xml:space="preserve"> (open</w:t>
      </w:r>
      <w:r w:rsidR="00A26DFC" w:rsidRPr="00A1397D">
        <w:t>ed</w:t>
      </w:r>
      <w:r w:rsidR="00717A8E" w:rsidRPr="00A1397D">
        <w:t xml:space="preserve"> </w:t>
      </w:r>
      <w:r w:rsidR="00360AA9" w:rsidRPr="00A1397D">
        <w:t>April</w:t>
      </w:r>
      <w:r w:rsidR="00717A8E" w:rsidRPr="00A1397D">
        <w:t xml:space="preserve"> 2019)</w:t>
      </w:r>
      <w:r w:rsidR="00446C24" w:rsidRPr="00A1397D">
        <w:t xml:space="preserve"> </w:t>
      </w:r>
      <w:r w:rsidR="7238E373" w:rsidRPr="00A1397D">
        <w:t xml:space="preserve">and </w:t>
      </w:r>
      <w:r w:rsidR="0018669E" w:rsidRPr="00A1397D">
        <w:t xml:space="preserve">the WestConnex </w:t>
      </w:r>
      <w:r w:rsidR="00153AEA">
        <w:t xml:space="preserve">new </w:t>
      </w:r>
      <w:r w:rsidR="0018669E" w:rsidRPr="00A1397D">
        <w:t>M4 tunnel from Homebush to Haberfield (opening mid 2019). Refer to Chapter 2 for further details.</w:t>
      </w:r>
    </w:p>
    <w:p w14:paraId="498F93FA" w14:textId="56ABFEF0" w:rsidR="00812D76" w:rsidRPr="00A1397D" w:rsidRDefault="00006C0D" w:rsidP="00BF4099">
      <w:pPr>
        <w:pStyle w:val="BodyText"/>
      </w:pPr>
      <w:r w:rsidRPr="00A1397D">
        <w:t xml:space="preserve">The </w:t>
      </w:r>
      <w:r w:rsidR="003C035C" w:rsidRPr="00A1397D">
        <w:t>Budget</w:t>
      </w:r>
      <w:r w:rsidR="00E724D2" w:rsidRPr="00A1397D">
        <w:t xml:space="preserve"> </w:t>
      </w:r>
      <w:r w:rsidR="00175897" w:rsidRPr="00A1397D">
        <w:t xml:space="preserve">commits </w:t>
      </w:r>
      <w:r w:rsidRPr="00A1397D">
        <w:t>$</w:t>
      </w:r>
      <w:r w:rsidR="00642CAC" w:rsidRPr="00A1397D">
        <w:t>9</w:t>
      </w:r>
      <w:r w:rsidR="00AB2518" w:rsidRPr="00A1397D">
        <w:t>3</w:t>
      </w:r>
      <w:r w:rsidR="00874281" w:rsidRPr="00A1397D">
        <w:t>.</w:t>
      </w:r>
      <w:r w:rsidR="00AB2518" w:rsidRPr="00A1397D">
        <w:t>0</w:t>
      </w:r>
      <w:r w:rsidRPr="00A1397D">
        <w:t> billion over</w:t>
      </w:r>
      <w:r w:rsidR="00301AF9" w:rsidRPr="00A1397D">
        <w:t xml:space="preserve"> the</w:t>
      </w:r>
      <w:r w:rsidRPr="00A1397D">
        <w:t xml:space="preserve"> four years to 202</w:t>
      </w:r>
      <w:r w:rsidR="00A37DC2" w:rsidRPr="00A1397D">
        <w:t>2</w:t>
      </w:r>
      <w:r w:rsidR="356A2866" w:rsidRPr="00A1397D">
        <w:t>-</w:t>
      </w:r>
      <w:r w:rsidRPr="00A1397D">
        <w:t>2</w:t>
      </w:r>
      <w:r w:rsidR="00A37DC2" w:rsidRPr="00A1397D">
        <w:t>3</w:t>
      </w:r>
      <w:r w:rsidR="00EE18EB" w:rsidRPr="00A1397D">
        <w:t xml:space="preserve"> </w:t>
      </w:r>
      <w:r w:rsidR="00D345AD" w:rsidRPr="00A1397D">
        <w:t xml:space="preserve">to </w:t>
      </w:r>
      <w:r w:rsidR="00CB3C9A" w:rsidRPr="00A1397D">
        <w:t>the Government’s</w:t>
      </w:r>
      <w:r w:rsidR="00EE18EB" w:rsidRPr="00A1397D">
        <w:t xml:space="preserve"> infrastructure</w:t>
      </w:r>
      <w:r w:rsidR="00D345AD" w:rsidRPr="00A1397D">
        <w:t xml:space="preserve"> program</w:t>
      </w:r>
      <w:r w:rsidRPr="00A1397D">
        <w:t xml:space="preserve">. </w:t>
      </w:r>
      <w:r w:rsidR="008A60F3" w:rsidRPr="00A1397D">
        <w:t>Th</w:t>
      </w:r>
      <w:r w:rsidR="00104308" w:rsidRPr="00A1397D">
        <w:t>is</w:t>
      </w:r>
      <w:r w:rsidR="00C025AA" w:rsidRPr="00A1397D">
        <w:t xml:space="preserve"> </w:t>
      </w:r>
      <w:r w:rsidR="008A60F3" w:rsidRPr="00A1397D">
        <w:t xml:space="preserve">program </w:t>
      </w:r>
      <w:r w:rsidR="00C025AA" w:rsidRPr="00A1397D">
        <w:t xml:space="preserve">will </w:t>
      </w:r>
      <w:r w:rsidR="00053491" w:rsidRPr="00A1397D">
        <w:t>continue to</w:t>
      </w:r>
      <w:r w:rsidR="008A60F3" w:rsidRPr="00A1397D">
        <w:t xml:space="preserve"> drive economic growth, create jobs, and provide </w:t>
      </w:r>
      <w:r w:rsidR="356A2866" w:rsidRPr="00A1397D">
        <w:t>high</w:t>
      </w:r>
      <w:r w:rsidR="00702D8C" w:rsidRPr="00A1397D">
        <w:t>-</w:t>
      </w:r>
      <w:r w:rsidR="356A2866" w:rsidRPr="00A1397D">
        <w:t>quality</w:t>
      </w:r>
      <w:r w:rsidR="008A60F3" w:rsidRPr="00A1397D">
        <w:t xml:space="preserve"> services to residents </w:t>
      </w:r>
      <w:r w:rsidR="008E2E6E" w:rsidRPr="00A1397D">
        <w:t xml:space="preserve">across </w:t>
      </w:r>
      <w:r w:rsidR="008A60F3" w:rsidRPr="00A1397D">
        <w:t>New South Wales. The Government’s successful asset recycling strategy has enabled these</w:t>
      </w:r>
      <w:r w:rsidR="00874281" w:rsidRPr="00A1397D">
        <w:t xml:space="preserve"> </w:t>
      </w:r>
      <w:r w:rsidR="008A60F3" w:rsidRPr="00A1397D">
        <w:t>record levels of capital spending, while maintaining the State’s triple-A credit rating</w:t>
      </w:r>
      <w:r w:rsidR="009145D8" w:rsidRPr="00A1397D">
        <w:t xml:space="preserve"> and negative </w:t>
      </w:r>
      <w:r w:rsidR="00095A9C" w:rsidRPr="00A1397D">
        <w:t xml:space="preserve">net </w:t>
      </w:r>
      <w:r w:rsidR="009145D8" w:rsidRPr="00A1397D">
        <w:t>debt</w:t>
      </w:r>
      <w:r w:rsidR="008A60F3" w:rsidRPr="00A1397D">
        <w:t>.</w:t>
      </w:r>
    </w:p>
    <w:p w14:paraId="63C06170" w14:textId="4BDC0B28" w:rsidR="004D324F" w:rsidRPr="00A1397D" w:rsidRDefault="004D324F" w:rsidP="00BF4099">
      <w:pPr>
        <w:pStyle w:val="BodyText"/>
      </w:pPr>
      <w:r w:rsidRPr="00A1397D">
        <w:t>Chart 1.1 shows the growth in the State’s capital program from 2011</w:t>
      </w:r>
      <w:r w:rsidRPr="00A1397D">
        <w:noBreakHyphen/>
        <w:t>12 to 2022-23</w:t>
      </w:r>
      <w:r w:rsidR="009E088C" w:rsidRPr="00A1397D">
        <w:t xml:space="preserve"> and its</w:t>
      </w:r>
      <w:r w:rsidRPr="00A1397D">
        <w:t xml:space="preserve"> increase </w:t>
      </w:r>
      <w:r w:rsidR="0013462E" w:rsidRPr="00A1397D">
        <w:t>to</w:t>
      </w:r>
      <w:r w:rsidR="0043511F" w:rsidRPr="00A1397D">
        <w:t xml:space="preserve"> </w:t>
      </w:r>
      <w:r w:rsidRPr="00A1397D">
        <w:t>an average of $2</w:t>
      </w:r>
      <w:r w:rsidR="00382283" w:rsidRPr="00A1397D">
        <w:t>3</w:t>
      </w:r>
      <w:r w:rsidRPr="00A1397D">
        <w:t>.</w:t>
      </w:r>
      <w:r w:rsidR="00E4323A" w:rsidRPr="00A1397D">
        <w:t>3</w:t>
      </w:r>
      <w:r w:rsidRPr="00A1397D">
        <w:t> billion per annum over the four years to 2022-23</w:t>
      </w:r>
      <w:r w:rsidR="0045170F" w:rsidRPr="00A1397D">
        <w:t>. Th</w:t>
      </w:r>
      <w:r w:rsidR="002D1257" w:rsidRPr="00A1397D">
        <w:t>e figure represents a</w:t>
      </w:r>
      <w:r w:rsidRPr="00A1397D">
        <w:t xml:space="preserve"> 2</w:t>
      </w:r>
      <w:r w:rsidR="00C55EA2" w:rsidRPr="00A1397D">
        <w:t>3</w:t>
      </w:r>
      <w:r w:rsidRPr="00A1397D">
        <w:t>.</w:t>
      </w:r>
      <w:r w:rsidR="0016647C" w:rsidRPr="00A1397D">
        <w:t>3</w:t>
      </w:r>
      <w:r w:rsidRPr="00A1397D">
        <w:t xml:space="preserve"> per cent </w:t>
      </w:r>
      <w:r w:rsidR="002D1257" w:rsidRPr="00A1397D">
        <w:t>increase over</w:t>
      </w:r>
      <w:r w:rsidRPr="00A1397D">
        <w:t xml:space="preserve"> the four years to 2018-19 and </w:t>
      </w:r>
      <w:r w:rsidR="00EA55A9" w:rsidRPr="00A1397D">
        <w:t xml:space="preserve">a </w:t>
      </w:r>
      <w:r w:rsidR="00B564C9" w:rsidRPr="00A1397D">
        <w:t>7</w:t>
      </w:r>
      <w:r w:rsidR="00794AF3" w:rsidRPr="00A1397D">
        <w:t>1</w:t>
      </w:r>
      <w:r w:rsidRPr="00A1397D">
        <w:t>.</w:t>
      </w:r>
      <w:r w:rsidR="001B04DC" w:rsidRPr="00A1397D">
        <w:t>3</w:t>
      </w:r>
      <w:r w:rsidRPr="00A1397D">
        <w:t xml:space="preserve"> per cent </w:t>
      </w:r>
      <w:r w:rsidR="009525DF" w:rsidRPr="00A1397D">
        <w:t>increase</w:t>
      </w:r>
      <w:r w:rsidRPr="00A1397D">
        <w:t xml:space="preserve"> </w:t>
      </w:r>
      <w:r w:rsidR="009525DF" w:rsidRPr="00A1397D">
        <w:t>over</w:t>
      </w:r>
      <w:r w:rsidRPr="00A1397D">
        <w:t xml:space="preserve"> the four years to 2014-15.</w:t>
      </w:r>
    </w:p>
    <w:p w14:paraId="6667019E" w14:textId="77777777" w:rsidR="004D324F" w:rsidRPr="00045A08" w:rsidRDefault="004D324F" w:rsidP="00A1397D">
      <w:pPr>
        <w:pStyle w:val="Chart1X"/>
        <w:spacing w:after="240"/>
        <w:rPr>
          <w:lang w:val="en-AU" w:eastAsia="en-AU"/>
        </w:rPr>
      </w:pPr>
      <w:bookmarkStart w:id="6" w:name="_Hlk515970398"/>
      <w:r w:rsidRPr="00045A08">
        <w:rPr>
          <w:lang w:val="en-AU" w:eastAsia="en-AU"/>
        </w:rPr>
        <w:t xml:space="preserve">Infrastructure program from </w:t>
      </w:r>
      <w:r w:rsidRPr="00F71DF5">
        <w:t>2011</w:t>
      </w:r>
      <w:r w:rsidRPr="00045A08">
        <w:rPr>
          <w:lang w:val="en-AU" w:eastAsia="en-AU"/>
        </w:rPr>
        <w:t>-12 to 2022-23</w:t>
      </w:r>
    </w:p>
    <w:bookmarkEnd w:id="6"/>
    <w:p w14:paraId="18B5F4E0" w14:textId="0DBC4C9C" w:rsidR="004D324F" w:rsidRPr="00A1397D" w:rsidRDefault="005F1B4D" w:rsidP="00DE2C43">
      <w:pPr>
        <w:rPr>
          <w:rFonts w:ascii="Arial" w:hAnsi="Arial" w:cs="Arial"/>
          <w:lang w:val="en-AU" w:eastAsia="en-AU"/>
        </w:rPr>
      </w:pPr>
      <w:r w:rsidRPr="00A1397D">
        <w:rPr>
          <w:rFonts w:ascii="Arial" w:hAnsi="Arial" w:cs="Arial"/>
          <w:noProof/>
        </w:rPr>
        <w:drawing>
          <wp:inline distT="0" distB="0" distL="0" distR="0" wp14:anchorId="1F1294F7" wp14:editId="3DCDC49F">
            <wp:extent cx="6120765" cy="2511781"/>
            <wp:effectExtent l="0" t="0" r="0" b="3175"/>
            <wp:docPr id="6" name="Picture 6" descr="Chart 1.1:  Infrastructure program from 2011-12 to 20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765" cy="2511781"/>
                    </a:xfrm>
                    <a:prstGeom prst="rect">
                      <a:avLst/>
                    </a:prstGeom>
                    <a:noFill/>
                    <a:ln>
                      <a:noFill/>
                    </a:ln>
                  </pic:spPr>
                </pic:pic>
              </a:graphicData>
            </a:graphic>
          </wp:inline>
        </w:drawing>
      </w:r>
    </w:p>
    <w:p w14:paraId="0F6278B2" w14:textId="40D43331" w:rsidR="007C0428" w:rsidRPr="00A1397D" w:rsidRDefault="007C0428">
      <w:pPr>
        <w:rPr>
          <w:rFonts w:ascii="Arial" w:hAnsi="Arial" w:cs="Arial"/>
          <w:sz w:val="23"/>
          <w:lang w:val="en-AU"/>
        </w:rPr>
      </w:pPr>
      <w:r w:rsidRPr="00A1397D">
        <w:rPr>
          <w:rFonts w:ascii="Arial" w:hAnsi="Arial" w:cs="Arial"/>
        </w:rPr>
        <w:br w:type="page"/>
      </w:r>
    </w:p>
    <w:p w14:paraId="242CC346" w14:textId="43142A68" w:rsidR="00175897" w:rsidRPr="00A1397D" w:rsidRDefault="00812D76" w:rsidP="00BF4099">
      <w:pPr>
        <w:pStyle w:val="BodyText"/>
      </w:pPr>
      <w:r w:rsidRPr="00A1397D">
        <w:lastRenderedPageBreak/>
        <w:t xml:space="preserve">The Government’s infrastructure program </w:t>
      </w:r>
      <w:r w:rsidR="000B1CE3" w:rsidRPr="00A1397D">
        <w:t>features</w:t>
      </w:r>
      <w:r w:rsidRPr="00A1397D">
        <w:t xml:space="preserve"> funding for a wide range of projects</w:t>
      </w:r>
      <w:r w:rsidR="00702A77" w:rsidRPr="00A1397D">
        <w:t xml:space="preserve"> over the four years to 2022-23, including</w:t>
      </w:r>
      <w:r w:rsidRPr="00A1397D">
        <w:t>:</w:t>
      </w:r>
      <w:r w:rsidR="007E00CA" w:rsidRPr="00A1397D">
        <w:rPr>
          <w:vertAlign w:val="superscript"/>
        </w:rPr>
        <w:footnoteReference w:id="2"/>
      </w:r>
      <w:r w:rsidR="002D2641" w:rsidRPr="00A1397D">
        <w:rPr>
          <w:vertAlign w:val="superscript"/>
        </w:rPr>
        <w:t>,</w:t>
      </w:r>
      <w:r w:rsidR="00966465" w:rsidRPr="00A1397D">
        <w:rPr>
          <w:rStyle w:val="FootnoteReference"/>
        </w:rPr>
        <w:footnoteReference w:id="3"/>
      </w:r>
    </w:p>
    <w:p w14:paraId="644C2C05" w14:textId="7F5C7206" w:rsidR="00175897" w:rsidRPr="00A1397D" w:rsidRDefault="00175897" w:rsidP="00BF4099">
      <w:pPr>
        <w:pStyle w:val="Bullet1"/>
      </w:pPr>
      <w:r w:rsidRPr="00A1397D">
        <w:t xml:space="preserve">record investment </w:t>
      </w:r>
      <w:r w:rsidR="00994DB0" w:rsidRPr="00A1397D">
        <w:t>of $</w:t>
      </w:r>
      <w:r w:rsidR="008A5166" w:rsidRPr="00A1397D">
        <w:t>10</w:t>
      </w:r>
      <w:r w:rsidR="00994DB0" w:rsidRPr="00A1397D">
        <w:t>.</w:t>
      </w:r>
      <w:r w:rsidR="008A5166" w:rsidRPr="00A1397D">
        <w:t>1</w:t>
      </w:r>
      <w:r w:rsidR="00994DB0" w:rsidRPr="00A1397D">
        <w:t xml:space="preserve"> </w:t>
      </w:r>
      <w:r w:rsidR="004A654D" w:rsidRPr="00A1397D">
        <w:t>billion</w:t>
      </w:r>
      <w:r w:rsidR="004A654D" w:rsidRPr="00A1397D">
        <w:rPr>
          <w:vertAlign w:val="superscript"/>
        </w:rPr>
        <w:footnoteReference w:id="4"/>
      </w:r>
      <w:r w:rsidR="004A654D" w:rsidRPr="00A1397D">
        <w:t xml:space="preserve"> </w:t>
      </w:r>
      <w:r w:rsidRPr="00A1397D">
        <w:t>in health infrastructure</w:t>
      </w:r>
      <w:r w:rsidR="005A564C" w:rsidRPr="00A1397D">
        <w:t xml:space="preserve"> funding</w:t>
      </w:r>
      <w:r w:rsidRPr="00A1397D">
        <w:t xml:space="preserve"> for the</w:t>
      </w:r>
      <w:r w:rsidR="00BA5C61" w:rsidRPr="00A1397D">
        <w:t xml:space="preserve"> plan</w:t>
      </w:r>
      <w:r w:rsidR="002C0362" w:rsidRPr="00A1397D">
        <w:t xml:space="preserve">ning and development of over </w:t>
      </w:r>
      <w:r w:rsidR="00DA0E33" w:rsidRPr="00A1397D">
        <w:t>40</w:t>
      </w:r>
      <w:r w:rsidR="00C3129E" w:rsidRPr="00A1397D">
        <w:t> </w:t>
      </w:r>
      <w:r w:rsidR="00BA5C61" w:rsidRPr="00A1397D">
        <w:t xml:space="preserve">new and upgraded </w:t>
      </w:r>
      <w:r w:rsidR="00591737" w:rsidRPr="00A1397D">
        <w:t xml:space="preserve">hospital builds, </w:t>
      </w:r>
      <w:r w:rsidR="00BF11CF" w:rsidRPr="00A1397D">
        <w:t xml:space="preserve">including </w:t>
      </w:r>
      <w:r w:rsidR="004623E2" w:rsidRPr="00A1397D">
        <w:t>the</w:t>
      </w:r>
      <w:r w:rsidRPr="00A1397D">
        <w:t>:</w:t>
      </w:r>
    </w:p>
    <w:p w14:paraId="5941A29E" w14:textId="07E0551D" w:rsidR="00F43631" w:rsidRPr="00A1397D" w:rsidRDefault="002B2A03" w:rsidP="00BF4099">
      <w:pPr>
        <w:pStyle w:val="Bullet2"/>
      </w:pPr>
      <w:bookmarkStart w:id="7" w:name="_Hlk516499768"/>
      <w:r w:rsidRPr="00A1397D">
        <w:t xml:space="preserve">John Hunter </w:t>
      </w:r>
      <w:r w:rsidR="00020370" w:rsidRPr="00A1397D">
        <w:t xml:space="preserve">Health and </w:t>
      </w:r>
      <w:r w:rsidR="002C5109" w:rsidRPr="00A1397D">
        <w:t xml:space="preserve">Innovation </w:t>
      </w:r>
      <w:r w:rsidR="00394823" w:rsidRPr="00A1397D">
        <w:t>Precinct</w:t>
      </w:r>
      <w:r w:rsidR="00020370" w:rsidRPr="00A1397D">
        <w:t xml:space="preserve"> </w:t>
      </w:r>
      <w:r w:rsidR="00F43631" w:rsidRPr="00A1397D">
        <w:t>(</w:t>
      </w:r>
      <w:r w:rsidR="00737696" w:rsidRPr="00A1397D">
        <w:t>estimated total cost</w:t>
      </w:r>
      <w:r w:rsidR="005256AC" w:rsidRPr="00A1397D">
        <w:t xml:space="preserve"> (ETC) </w:t>
      </w:r>
      <w:r w:rsidR="004623E2" w:rsidRPr="00A1397D">
        <w:t>$7</w:t>
      </w:r>
      <w:r w:rsidR="00C34370" w:rsidRPr="00A1397D">
        <w:t>8</w:t>
      </w:r>
      <w:r w:rsidR="004623E2" w:rsidRPr="00A1397D">
        <w:t>0.0 million</w:t>
      </w:r>
      <w:r w:rsidR="00F43631" w:rsidRPr="00A1397D">
        <w:t>)</w:t>
      </w:r>
    </w:p>
    <w:bookmarkEnd w:id="7"/>
    <w:p w14:paraId="46086954" w14:textId="5CB69930" w:rsidR="00766BCE" w:rsidRPr="00A1397D" w:rsidRDefault="00BB7C2C" w:rsidP="00BF4099">
      <w:pPr>
        <w:pStyle w:val="Bullet2"/>
      </w:pPr>
      <w:r w:rsidRPr="00A1397D">
        <w:t xml:space="preserve">Children’s Hospital </w:t>
      </w:r>
      <w:r w:rsidR="006B560C" w:rsidRPr="00A1397D">
        <w:t xml:space="preserve">at </w:t>
      </w:r>
      <w:r w:rsidRPr="00A1397D">
        <w:t>Westmead</w:t>
      </w:r>
      <w:r w:rsidR="00CB5677" w:rsidRPr="00A1397D">
        <w:t xml:space="preserve"> </w:t>
      </w:r>
      <w:r w:rsidR="0012381F" w:rsidRPr="00A1397D">
        <w:t>(</w:t>
      </w:r>
      <w:r w:rsidR="00AD0DEA" w:rsidRPr="00A1397D">
        <w:t xml:space="preserve">ETC </w:t>
      </w:r>
      <w:r w:rsidR="00766BCE" w:rsidRPr="00A1397D">
        <w:t>$</w:t>
      </w:r>
      <w:r w:rsidR="002B6CFC" w:rsidRPr="00A1397D">
        <w:t>619</w:t>
      </w:r>
      <w:r w:rsidR="00766BCE" w:rsidRPr="00A1397D">
        <w:t>.0 million)</w:t>
      </w:r>
    </w:p>
    <w:p w14:paraId="4BBDA4DD" w14:textId="23546E5F" w:rsidR="004E0A2C" w:rsidRPr="00A1397D" w:rsidRDefault="007E4052" w:rsidP="00BF4099">
      <w:pPr>
        <w:pStyle w:val="Bullet2"/>
      </w:pPr>
      <w:r w:rsidRPr="00A1397D">
        <w:t>f</w:t>
      </w:r>
      <w:r w:rsidR="009634C2" w:rsidRPr="00A1397D">
        <w:t xml:space="preserve">irst of </w:t>
      </w:r>
      <w:r w:rsidR="00F45C18" w:rsidRPr="00A1397D">
        <w:t xml:space="preserve">its kind </w:t>
      </w:r>
      <w:r w:rsidR="00AB58D4" w:rsidRPr="00A1397D">
        <w:t>c</w:t>
      </w:r>
      <w:r w:rsidR="00B57E31" w:rsidRPr="00A1397D">
        <w:t xml:space="preserve">omprehensive </w:t>
      </w:r>
      <w:r w:rsidR="00AB58D4" w:rsidRPr="00A1397D">
        <w:t>c</w:t>
      </w:r>
      <w:r w:rsidR="00B57E31" w:rsidRPr="00A1397D">
        <w:t>hildren</w:t>
      </w:r>
      <w:r w:rsidR="00F35DAC" w:rsidRPr="00A1397D">
        <w:t>’s</w:t>
      </w:r>
      <w:r w:rsidR="00B57E31" w:rsidRPr="00A1397D">
        <w:t xml:space="preserve"> </w:t>
      </w:r>
      <w:r w:rsidR="00AB58D4" w:rsidRPr="00A1397D">
        <w:t>c</w:t>
      </w:r>
      <w:r w:rsidR="00B57E31" w:rsidRPr="00A1397D">
        <w:t xml:space="preserve">ancer </w:t>
      </w:r>
      <w:r w:rsidR="00AB58D4" w:rsidRPr="00A1397D">
        <w:t>c</w:t>
      </w:r>
      <w:r w:rsidR="00B57E31" w:rsidRPr="00A1397D">
        <w:t>entre</w:t>
      </w:r>
      <w:r w:rsidR="00895617" w:rsidRPr="00A1397D">
        <w:t xml:space="preserve"> and redevelopment of the </w:t>
      </w:r>
      <w:r w:rsidR="008B4CCB" w:rsidRPr="00A1397D">
        <w:t>Sydney Children's Hospital at Randwick</w:t>
      </w:r>
      <w:r w:rsidR="00B57E31" w:rsidRPr="00A1397D">
        <w:t xml:space="preserve"> </w:t>
      </w:r>
      <w:r w:rsidR="001B2B4E" w:rsidRPr="00A1397D">
        <w:t>(</w:t>
      </w:r>
      <w:r w:rsidR="00AD0DEA" w:rsidRPr="00A1397D">
        <w:t xml:space="preserve">ETC </w:t>
      </w:r>
      <w:r w:rsidR="001B2B4E" w:rsidRPr="00A1397D">
        <w:t>$</w:t>
      </w:r>
      <w:r w:rsidR="00501763" w:rsidRPr="00A1397D">
        <w:t>608</w:t>
      </w:r>
      <w:r w:rsidR="001B2B4E" w:rsidRPr="00A1397D">
        <w:t>.0 million)</w:t>
      </w:r>
      <w:r w:rsidR="000B5717" w:rsidRPr="00A1397D">
        <w:t>.</w:t>
      </w:r>
    </w:p>
    <w:p w14:paraId="456A9AF6" w14:textId="4C8FF6D5" w:rsidR="006E784A" w:rsidRPr="00A1397D" w:rsidRDefault="00175897" w:rsidP="00BF4099">
      <w:pPr>
        <w:pStyle w:val="Bullet1"/>
      </w:pPr>
      <w:r w:rsidRPr="00A1397D">
        <w:t xml:space="preserve">record investment </w:t>
      </w:r>
      <w:r w:rsidR="006B2EA9" w:rsidRPr="00A1397D">
        <w:t>of $</w:t>
      </w:r>
      <w:r w:rsidR="004F348F" w:rsidRPr="00A1397D">
        <w:t>7</w:t>
      </w:r>
      <w:r w:rsidR="006B2EA9" w:rsidRPr="00A1397D">
        <w:t>.</w:t>
      </w:r>
      <w:r w:rsidR="004F348F" w:rsidRPr="00A1397D">
        <w:t>3</w:t>
      </w:r>
      <w:r w:rsidR="006B2EA9" w:rsidRPr="00A1397D">
        <w:t xml:space="preserve"> billion </w:t>
      </w:r>
      <w:r w:rsidRPr="00A1397D">
        <w:t>in education</w:t>
      </w:r>
      <w:r w:rsidR="005B7D8E" w:rsidRPr="00A1397D">
        <w:t xml:space="preserve"> </w:t>
      </w:r>
      <w:r w:rsidRPr="00A1397D">
        <w:t>infrastructure, including</w:t>
      </w:r>
      <w:r w:rsidR="006E784A" w:rsidRPr="00A1397D">
        <w:t>:</w:t>
      </w:r>
    </w:p>
    <w:p w14:paraId="089DDC23" w14:textId="49FD3A85" w:rsidR="00980C8A" w:rsidRPr="00A1397D" w:rsidRDefault="00980C8A" w:rsidP="00BF4099">
      <w:pPr>
        <w:pStyle w:val="Bullet2"/>
      </w:pPr>
      <w:r w:rsidRPr="00A1397D">
        <w:t xml:space="preserve">the planning or delivery of </w:t>
      </w:r>
      <w:r w:rsidR="00695258" w:rsidRPr="00A1397D">
        <w:t>1</w:t>
      </w:r>
      <w:r w:rsidR="005377FC" w:rsidRPr="00A1397D">
        <w:t>9</w:t>
      </w:r>
      <w:r w:rsidR="00C85E9A" w:rsidRPr="00A1397D">
        <w:t>0</w:t>
      </w:r>
      <w:r w:rsidRPr="00A1397D">
        <w:t xml:space="preserve"> </w:t>
      </w:r>
      <w:r w:rsidR="00755973" w:rsidRPr="00A1397D">
        <w:t xml:space="preserve">new and </w:t>
      </w:r>
      <w:r w:rsidR="000A3298" w:rsidRPr="00A1397D">
        <w:t>upgraded</w:t>
      </w:r>
      <w:r w:rsidR="00755973" w:rsidRPr="00A1397D">
        <w:t xml:space="preserve"> </w:t>
      </w:r>
      <w:r w:rsidRPr="00A1397D">
        <w:t>schools</w:t>
      </w:r>
    </w:p>
    <w:p w14:paraId="6FCE89CB" w14:textId="26E82FD7" w:rsidR="00941B2E" w:rsidRPr="00A1397D" w:rsidRDefault="00012C13" w:rsidP="00BF4099">
      <w:pPr>
        <w:pStyle w:val="Bullet2"/>
      </w:pPr>
      <w:r w:rsidRPr="00A1397D">
        <w:t xml:space="preserve">delivering </w:t>
      </w:r>
      <w:r w:rsidR="00283480" w:rsidRPr="00A1397D">
        <w:t xml:space="preserve">on the </w:t>
      </w:r>
      <w:r w:rsidR="00C2236D" w:rsidRPr="00A1397D">
        <w:t>G</w:t>
      </w:r>
      <w:r w:rsidR="00283480" w:rsidRPr="00A1397D">
        <w:t>overnment</w:t>
      </w:r>
      <w:r w:rsidR="00C2236D" w:rsidRPr="00A1397D">
        <w:t>’</w:t>
      </w:r>
      <w:r w:rsidR="00283480" w:rsidRPr="00A1397D">
        <w:t xml:space="preserve">s </w:t>
      </w:r>
      <w:r w:rsidR="00682E52" w:rsidRPr="00A1397D">
        <w:t xml:space="preserve">election commitment to </w:t>
      </w:r>
      <w:r w:rsidR="000D154A" w:rsidRPr="00A1397D">
        <w:t xml:space="preserve">significantly </w:t>
      </w:r>
      <w:r w:rsidR="008B73E8" w:rsidRPr="00A1397D">
        <w:t>upgrad</w:t>
      </w:r>
      <w:r w:rsidR="00D5599A" w:rsidRPr="00A1397D">
        <w:t>e</w:t>
      </w:r>
      <w:r w:rsidR="008B73E8" w:rsidRPr="00A1397D">
        <w:t xml:space="preserve"> </w:t>
      </w:r>
      <w:r w:rsidR="000D154A" w:rsidRPr="00A1397D">
        <w:t xml:space="preserve">32 </w:t>
      </w:r>
      <w:r w:rsidR="002A4D37" w:rsidRPr="00A1397D">
        <w:t xml:space="preserve">schools </w:t>
      </w:r>
      <w:r w:rsidR="008B73E8" w:rsidRPr="00A1397D">
        <w:t>and</w:t>
      </w:r>
      <w:r w:rsidR="00682E52" w:rsidRPr="00A1397D">
        <w:t xml:space="preserve"> </w:t>
      </w:r>
      <w:r w:rsidR="008B73E8" w:rsidRPr="00A1397D">
        <w:t xml:space="preserve">build </w:t>
      </w:r>
      <w:r w:rsidR="006E3514" w:rsidRPr="00A1397D">
        <w:t>8 new</w:t>
      </w:r>
      <w:r w:rsidR="00682E52" w:rsidRPr="00A1397D">
        <w:t xml:space="preserve"> schools </w:t>
      </w:r>
      <w:r w:rsidR="00980C8A" w:rsidRPr="00A1397D">
        <w:t>($</w:t>
      </w:r>
      <w:r w:rsidR="00F4108E" w:rsidRPr="00A1397D">
        <w:t>917</w:t>
      </w:r>
      <w:r w:rsidR="00980C8A" w:rsidRPr="00A1397D">
        <w:t>.</w:t>
      </w:r>
      <w:r w:rsidR="00F4108E" w:rsidRPr="00A1397D">
        <w:t>4</w:t>
      </w:r>
      <w:r w:rsidR="00980C8A" w:rsidRPr="00A1397D">
        <w:t xml:space="preserve"> million)</w:t>
      </w:r>
    </w:p>
    <w:p w14:paraId="25C79FB1" w14:textId="7FB1C9BB" w:rsidR="00175897" w:rsidRPr="00A1397D" w:rsidRDefault="005B259A" w:rsidP="00BF4099">
      <w:pPr>
        <w:pStyle w:val="Bullet2"/>
      </w:pPr>
      <w:r w:rsidRPr="00A1397D">
        <w:t xml:space="preserve">$79.6 million over the next four years </w:t>
      </w:r>
      <w:r w:rsidR="005F28D7" w:rsidRPr="00A1397D">
        <w:t xml:space="preserve">to provide a new TAFE </w:t>
      </w:r>
      <w:r w:rsidRPr="00A1397D">
        <w:t>in the Western Sydney Construction Hub located close to the Western Sydney Airport</w:t>
      </w:r>
      <w:r w:rsidR="000B5717" w:rsidRPr="00A1397D">
        <w:t>.</w:t>
      </w:r>
    </w:p>
    <w:p w14:paraId="76461859" w14:textId="318F3B2D" w:rsidR="00175897" w:rsidRPr="00A1397D" w:rsidRDefault="00185C43" w:rsidP="00BF4099">
      <w:pPr>
        <w:pStyle w:val="Bullet1"/>
      </w:pPr>
      <w:r w:rsidRPr="00A1397D">
        <w:t>record</w:t>
      </w:r>
      <w:r w:rsidR="00175897" w:rsidRPr="00A1397D">
        <w:t xml:space="preserve"> investment </w:t>
      </w:r>
      <w:r w:rsidR="000D5234" w:rsidRPr="00A1397D">
        <w:t>of $</w:t>
      </w:r>
      <w:r w:rsidR="00F6538F" w:rsidRPr="00A1397D">
        <w:t>5</w:t>
      </w:r>
      <w:r w:rsidR="00850FFA" w:rsidRPr="00A1397D">
        <w:t>5</w:t>
      </w:r>
      <w:r w:rsidR="000D5234" w:rsidRPr="00A1397D">
        <w:t>.</w:t>
      </w:r>
      <w:r w:rsidR="00850FFA" w:rsidRPr="00A1397D">
        <w:t>6</w:t>
      </w:r>
      <w:r w:rsidR="000D5234" w:rsidRPr="00A1397D">
        <w:t xml:space="preserve"> billion </w:t>
      </w:r>
      <w:r w:rsidR="00175897" w:rsidRPr="00A1397D">
        <w:t>in public transport and roads</w:t>
      </w:r>
      <w:r w:rsidR="00791E71" w:rsidRPr="00A1397D">
        <w:t>,</w:t>
      </w:r>
      <w:r w:rsidR="00175897" w:rsidRPr="00A1397D">
        <w:t xml:space="preserve"> including:</w:t>
      </w:r>
    </w:p>
    <w:p w14:paraId="7A21005F" w14:textId="5A81B556" w:rsidR="00175897" w:rsidRPr="00A1397D" w:rsidRDefault="00D87DE0" w:rsidP="00BF4099">
      <w:pPr>
        <w:pStyle w:val="Bullet2"/>
      </w:pPr>
      <w:r w:rsidRPr="00A1397D">
        <w:t>$</w:t>
      </w:r>
      <w:r w:rsidR="00823FC2" w:rsidRPr="00A1397D">
        <w:t>6</w:t>
      </w:r>
      <w:r w:rsidRPr="00A1397D">
        <w:t>.</w:t>
      </w:r>
      <w:r w:rsidR="006111B4" w:rsidRPr="00A1397D">
        <w:t>4</w:t>
      </w:r>
      <w:r w:rsidRPr="00A1397D">
        <w:t xml:space="preserve"> billion</w:t>
      </w:r>
      <w:r w:rsidR="00823FC2" w:rsidRPr="00A1397D">
        <w:t xml:space="preserve"> </w:t>
      </w:r>
      <w:r w:rsidR="00C75C99" w:rsidRPr="00A1397D">
        <w:t xml:space="preserve">in </w:t>
      </w:r>
      <w:r w:rsidR="00C61B87" w:rsidRPr="00A1397D">
        <w:t>funding over the next four years</w:t>
      </w:r>
      <w:r w:rsidR="001752C4" w:rsidRPr="00A1397D">
        <w:t xml:space="preserve"> </w:t>
      </w:r>
      <w:r w:rsidR="0078225D" w:rsidRPr="00A1397D">
        <w:t>to accelerate</w:t>
      </w:r>
      <w:r w:rsidR="001752C4" w:rsidRPr="00A1397D">
        <w:t xml:space="preserve"> </w:t>
      </w:r>
      <w:r w:rsidR="00965EFF" w:rsidRPr="00A1397D">
        <w:t xml:space="preserve">the </w:t>
      </w:r>
      <w:r w:rsidR="00192618" w:rsidRPr="00A1397D">
        <w:t xml:space="preserve">delivery of </w:t>
      </w:r>
      <w:r w:rsidR="001752C4" w:rsidRPr="00A1397D">
        <w:t>the Sydney Metro West</w:t>
      </w:r>
      <w:r w:rsidR="00803201" w:rsidRPr="00A1397D">
        <w:t xml:space="preserve">, </w:t>
      </w:r>
      <w:r w:rsidR="00B72FAD" w:rsidRPr="00A1397D">
        <w:t>commencing construction</w:t>
      </w:r>
      <w:r w:rsidR="00803201" w:rsidRPr="00A1397D">
        <w:t xml:space="preserve"> in 2020</w:t>
      </w:r>
      <w:r w:rsidR="00796792" w:rsidRPr="00A1397D">
        <w:t xml:space="preserve"> </w:t>
      </w:r>
      <w:r w:rsidR="00C77593" w:rsidRPr="00A1397D">
        <w:t>(</w:t>
      </w:r>
      <w:r w:rsidR="00796792" w:rsidRPr="00A1397D">
        <w:t xml:space="preserve">see Box </w:t>
      </w:r>
      <w:r w:rsidR="00652A10" w:rsidRPr="00A1397D">
        <w:t>1</w:t>
      </w:r>
      <w:r w:rsidR="00796792" w:rsidRPr="00A1397D">
        <w:t>.</w:t>
      </w:r>
      <w:r w:rsidR="00652A10" w:rsidRPr="00A1397D">
        <w:t>1</w:t>
      </w:r>
      <w:r w:rsidR="00175897" w:rsidRPr="00A1397D">
        <w:t>)</w:t>
      </w:r>
    </w:p>
    <w:p w14:paraId="68B4C5CE" w14:textId="5838865F" w:rsidR="0075410A" w:rsidRPr="00A1397D" w:rsidRDefault="00B6338E" w:rsidP="00BF4099">
      <w:pPr>
        <w:pStyle w:val="Bullet2"/>
      </w:pPr>
      <w:bookmarkStart w:id="8" w:name="_Hlk10559752"/>
      <w:r w:rsidRPr="00A1397D">
        <w:t xml:space="preserve">over </w:t>
      </w:r>
      <w:r w:rsidR="0075410A" w:rsidRPr="00A1397D">
        <w:t>$</w:t>
      </w:r>
      <w:r w:rsidR="005C30A0" w:rsidRPr="00A1397D">
        <w:t>2</w:t>
      </w:r>
      <w:r w:rsidR="009E77D7" w:rsidRPr="00A1397D">
        <w:t>.</w:t>
      </w:r>
      <w:r w:rsidRPr="00A1397D">
        <w:t>0</w:t>
      </w:r>
      <w:r w:rsidR="0075410A" w:rsidRPr="00A1397D">
        <w:t xml:space="preserve"> billion </w:t>
      </w:r>
      <w:r w:rsidR="00807B88" w:rsidRPr="00A1397D">
        <w:t>in</w:t>
      </w:r>
      <w:r w:rsidR="0075410A" w:rsidRPr="00A1397D">
        <w:t xml:space="preserve"> the next four years for the planning and preconstruction of the N</w:t>
      </w:r>
      <w:r w:rsidR="001717F6" w:rsidRPr="00A1397D">
        <w:t xml:space="preserve">ew </w:t>
      </w:r>
      <w:r w:rsidR="0075410A" w:rsidRPr="00A1397D">
        <w:t>S</w:t>
      </w:r>
      <w:r w:rsidR="001717F6" w:rsidRPr="00A1397D">
        <w:t xml:space="preserve">outh </w:t>
      </w:r>
      <w:r w:rsidR="0075410A" w:rsidRPr="00A1397D">
        <w:t>W</w:t>
      </w:r>
      <w:r w:rsidR="001717F6" w:rsidRPr="00A1397D">
        <w:t>ales</w:t>
      </w:r>
      <w:r w:rsidR="0075410A" w:rsidRPr="00A1397D">
        <w:t xml:space="preserve"> and </w:t>
      </w:r>
      <w:r w:rsidR="00D36DBD">
        <w:t>Commonwealth</w:t>
      </w:r>
      <w:r w:rsidR="0075410A" w:rsidRPr="00A1397D">
        <w:t xml:space="preserve"> Government funded </w:t>
      </w:r>
      <w:r w:rsidR="00807B88" w:rsidRPr="00A1397D">
        <w:t>North South</w:t>
      </w:r>
      <w:r w:rsidR="0075410A" w:rsidRPr="00A1397D">
        <w:t xml:space="preserve"> Metro </w:t>
      </w:r>
      <w:r w:rsidR="002106B0" w:rsidRPr="00A1397D">
        <w:t>Rail</w:t>
      </w:r>
      <w:r w:rsidR="0075410A" w:rsidRPr="00A1397D">
        <w:t xml:space="preserve"> </w:t>
      </w:r>
      <w:r w:rsidR="00EB2BB2" w:rsidRPr="00A1397D">
        <w:t xml:space="preserve">Link </w:t>
      </w:r>
      <w:r w:rsidR="0075410A" w:rsidRPr="00A1397D">
        <w:t xml:space="preserve">that will connect to the Western Sydney Airport, with construction expected to start in 2021 and </w:t>
      </w:r>
      <w:r w:rsidR="00BF11CF" w:rsidRPr="00A1397D">
        <w:t xml:space="preserve">with </w:t>
      </w:r>
      <w:r w:rsidR="00CD4306" w:rsidRPr="00A1397D">
        <w:t>completion</w:t>
      </w:r>
      <w:r w:rsidR="0075410A" w:rsidRPr="00A1397D">
        <w:t xml:space="preserve"> in 2026</w:t>
      </w:r>
      <w:r w:rsidR="005D0AB6" w:rsidRPr="00A1397D">
        <w:t xml:space="preserve"> in time for the opening of the airport</w:t>
      </w:r>
    </w:p>
    <w:bookmarkEnd w:id="8"/>
    <w:p w14:paraId="54EDAAF1" w14:textId="4E670181" w:rsidR="003F06AB" w:rsidRPr="00A1397D" w:rsidRDefault="003F06AB" w:rsidP="00BF4099">
      <w:pPr>
        <w:pStyle w:val="Bullet2"/>
      </w:pPr>
      <w:r w:rsidRPr="00A1397D">
        <w:t>$268</w:t>
      </w:r>
      <w:r w:rsidR="00AC2B61" w:rsidRPr="00A1397D">
        <w:t>.0</w:t>
      </w:r>
      <w:r w:rsidRPr="00A1397D">
        <w:t xml:space="preserve"> million over four years as part of a $2.5 billion commitment to start the duplication of the full 31 kilometres of the Great Western Highway between Katoomba and Lithgow for a four-lane highway to improve safety and traffic flow, and reduce travel times</w:t>
      </w:r>
    </w:p>
    <w:p w14:paraId="25E1E515" w14:textId="21C0C3C1" w:rsidR="00EA4120" w:rsidRPr="00A1397D" w:rsidRDefault="00EA4120" w:rsidP="00BF4099">
      <w:pPr>
        <w:pStyle w:val="Bullet2"/>
        <w:rPr>
          <w:lang w:eastAsia="en-AU"/>
        </w:rPr>
      </w:pPr>
      <w:bookmarkStart w:id="9" w:name="_Hlk10616334"/>
      <w:r w:rsidRPr="00A1397D">
        <w:t>$322</w:t>
      </w:r>
      <w:r w:rsidR="00AC2B61" w:rsidRPr="00A1397D">
        <w:t>.0</w:t>
      </w:r>
      <w:r w:rsidRPr="00A1397D">
        <w:t xml:space="preserve"> million over four years as part of a</w:t>
      </w:r>
      <w:r w:rsidR="005565DA" w:rsidRPr="00A1397D">
        <w:t xml:space="preserve">n </w:t>
      </w:r>
      <w:r w:rsidR="00EB2BB2" w:rsidRPr="00A1397D">
        <w:t>additional</w:t>
      </w:r>
      <w:r w:rsidRPr="00A1397D">
        <w:t xml:space="preserve"> $960</w:t>
      </w:r>
      <w:r w:rsidR="00DF1411" w:rsidRPr="00A1397D">
        <w:t>.0</w:t>
      </w:r>
      <w:r w:rsidRPr="00A1397D">
        <w:t xml:space="preserve"> million commitment for various upgrades to the Princes Highway between Nowra and </w:t>
      </w:r>
      <w:r w:rsidR="00D93617">
        <w:t>the Victorian border</w:t>
      </w:r>
      <w:r w:rsidRPr="00A1397D">
        <w:t>, to improve safety, journey times and freight efficiency</w:t>
      </w:r>
      <w:bookmarkEnd w:id="9"/>
    </w:p>
    <w:p w14:paraId="534F2206" w14:textId="3560FD67" w:rsidR="006715CA" w:rsidRPr="00A1397D" w:rsidRDefault="00AA72E6" w:rsidP="00BF4099">
      <w:pPr>
        <w:pStyle w:val="Bullet2"/>
        <w:rPr>
          <w:lang w:eastAsia="en-AU"/>
        </w:rPr>
      </w:pPr>
      <w:r w:rsidRPr="00A1397D">
        <w:t>$500</w:t>
      </w:r>
      <w:r w:rsidR="00DF1411" w:rsidRPr="00A1397D">
        <w:t>.0</w:t>
      </w:r>
      <w:r w:rsidRPr="00A1397D">
        <w:t xml:space="preserve"> million total commitment for the Fixing Country Bridges program to repair and replace poor quality timber bridges in rural and regional communities</w:t>
      </w:r>
      <w:r w:rsidR="00700A7E" w:rsidRPr="00A1397D">
        <w:t>.</w:t>
      </w:r>
    </w:p>
    <w:p w14:paraId="75FEB2BF" w14:textId="7AA6DFEF" w:rsidR="00526277" w:rsidRPr="00A1397D" w:rsidRDefault="00D90379" w:rsidP="00BF4099">
      <w:pPr>
        <w:pStyle w:val="Bullet1"/>
      </w:pPr>
      <w:r w:rsidRPr="00A1397D">
        <w:t>$</w:t>
      </w:r>
      <w:r w:rsidR="00D479A1" w:rsidRPr="00A1397D">
        <w:t>3</w:t>
      </w:r>
      <w:r w:rsidRPr="00A1397D">
        <w:t>.</w:t>
      </w:r>
      <w:r w:rsidR="00D479A1" w:rsidRPr="00A1397D">
        <w:t>2</w:t>
      </w:r>
      <w:r w:rsidRPr="00A1397D">
        <w:t xml:space="preserve"> billion </w:t>
      </w:r>
      <w:r w:rsidR="00A6034A" w:rsidRPr="00A1397D">
        <w:t>for</w:t>
      </w:r>
      <w:r w:rsidR="00526277" w:rsidRPr="00A1397D">
        <w:t xml:space="preserve"> criminal justice and emergency services infrastructure</w:t>
      </w:r>
      <w:r w:rsidR="00A16A61" w:rsidRPr="00A1397D">
        <w:t>,</w:t>
      </w:r>
      <w:r w:rsidR="00526277" w:rsidRPr="00A1397D">
        <w:t xml:space="preserve"> so th</w:t>
      </w:r>
      <w:r w:rsidR="007E1657" w:rsidRPr="00A1397D">
        <w:t>e government</w:t>
      </w:r>
      <w:r w:rsidR="00526277" w:rsidRPr="00A1397D">
        <w:t xml:space="preserve"> can better deliver the outcomes that our communities need</w:t>
      </w:r>
      <w:r w:rsidR="005D5D23" w:rsidRPr="00A1397D">
        <w:t>, including:</w:t>
      </w:r>
    </w:p>
    <w:p w14:paraId="57CC02A4" w14:textId="384037D9" w:rsidR="00514AFC" w:rsidRPr="00A1397D" w:rsidRDefault="00514AFC" w:rsidP="00BF4099">
      <w:pPr>
        <w:pStyle w:val="Bullet2"/>
      </w:pPr>
      <w:r w:rsidRPr="00A1397D">
        <w:t>$65</w:t>
      </w:r>
      <w:r w:rsidR="00BD52DD" w:rsidRPr="00A1397D">
        <w:t>.</w:t>
      </w:r>
      <w:r w:rsidR="00881BD0" w:rsidRPr="00A1397D">
        <w:t>0</w:t>
      </w:r>
      <w:r w:rsidRPr="00A1397D">
        <w:t xml:space="preserve"> million from 2020-21 to 2022-23 to build new police stations in Bega, Goulburn, the Jindabyne area </w:t>
      </w:r>
      <w:r w:rsidR="008545C7" w:rsidRPr="00A1397D">
        <w:t>(</w:t>
      </w:r>
      <w:r w:rsidRPr="00A1397D">
        <w:t xml:space="preserve">including </w:t>
      </w:r>
      <w:r w:rsidR="00531534" w:rsidRPr="00A1397D">
        <w:t xml:space="preserve">Jindabyne, </w:t>
      </w:r>
      <w:r w:rsidRPr="00A1397D">
        <w:t>Perisher and Thredbo</w:t>
      </w:r>
      <w:r w:rsidR="008545C7" w:rsidRPr="00A1397D">
        <w:t>)</w:t>
      </w:r>
      <w:r w:rsidRPr="00A1397D">
        <w:t xml:space="preserve"> and major upgrades to police stations at Bourke and Bathurst</w:t>
      </w:r>
      <w:r w:rsidR="00700A7E" w:rsidRPr="00A1397D">
        <w:t>.</w:t>
      </w:r>
    </w:p>
    <w:p w14:paraId="6B4F269A" w14:textId="12AB55ED" w:rsidR="00210D0E" w:rsidRPr="00A1397D" w:rsidRDefault="00AC0410" w:rsidP="00BF4099">
      <w:pPr>
        <w:pStyle w:val="Bullet1"/>
      </w:pPr>
      <w:r w:rsidRPr="00A1397D">
        <w:t>continu</w:t>
      </w:r>
      <w:r w:rsidR="0061535F" w:rsidRPr="00A1397D">
        <w:t xml:space="preserve">ing </w:t>
      </w:r>
      <w:r w:rsidR="002D375E" w:rsidRPr="00A1397D">
        <w:t>significant investment</w:t>
      </w:r>
      <w:r w:rsidR="00091E51" w:rsidRPr="00A1397D">
        <w:t xml:space="preserve"> </w:t>
      </w:r>
      <w:r w:rsidR="00EF4F0A" w:rsidRPr="00A1397D">
        <w:t>acros</w:t>
      </w:r>
      <w:r w:rsidR="00B65D14" w:rsidRPr="00A1397D">
        <w:t xml:space="preserve">s </w:t>
      </w:r>
      <w:r w:rsidR="00DC7983" w:rsidRPr="00A1397D">
        <w:t>arts and culture</w:t>
      </w:r>
      <w:r w:rsidR="00691B09" w:rsidRPr="00A1397D">
        <w:t>,</w:t>
      </w:r>
      <w:bookmarkStart w:id="10" w:name="_Hlk8754325"/>
      <w:bookmarkStart w:id="11" w:name="_Hlk516526617"/>
      <w:r w:rsidR="00236393" w:rsidRPr="00A1397D">
        <w:t xml:space="preserve"> venues,</w:t>
      </w:r>
      <w:r w:rsidR="00EE5BC7" w:rsidRPr="00A1397D">
        <w:t xml:space="preserve"> </w:t>
      </w:r>
      <w:r w:rsidR="003D17F6" w:rsidRPr="00A1397D">
        <w:t>en</w:t>
      </w:r>
      <w:r w:rsidR="007D0940" w:rsidRPr="00A1397D">
        <w:t>ergy</w:t>
      </w:r>
      <w:r w:rsidR="006723A1" w:rsidRPr="00A1397D">
        <w:t>, water utilities</w:t>
      </w:r>
      <w:r w:rsidR="00D85CD4" w:rsidRPr="00A1397D">
        <w:t xml:space="preserve"> and</w:t>
      </w:r>
      <w:r w:rsidR="00A71772" w:rsidRPr="00A1397D">
        <w:t xml:space="preserve"> other important </w:t>
      </w:r>
      <w:r w:rsidR="00D8092F" w:rsidRPr="00A1397D">
        <w:t>infrastructure</w:t>
      </w:r>
      <w:r w:rsidR="007D0940" w:rsidRPr="00A1397D">
        <w:t xml:space="preserve"> </w:t>
      </w:r>
      <w:r w:rsidR="00B65D14" w:rsidRPr="00A1397D">
        <w:t xml:space="preserve">delivered by our cluster agencies </w:t>
      </w:r>
      <w:r w:rsidR="006723A1" w:rsidRPr="00A1397D">
        <w:t xml:space="preserve">where it is needed most </w:t>
      </w:r>
      <w:r w:rsidR="007D0940" w:rsidRPr="00A1397D">
        <w:t xml:space="preserve">to </w:t>
      </w:r>
      <w:r w:rsidR="00852289" w:rsidRPr="00A1397D">
        <w:t xml:space="preserve">support </w:t>
      </w:r>
      <w:r w:rsidR="007D0940" w:rsidRPr="00A1397D">
        <w:t>the people of N</w:t>
      </w:r>
      <w:r w:rsidR="007123B9" w:rsidRPr="00A1397D">
        <w:t xml:space="preserve">ew </w:t>
      </w:r>
      <w:r w:rsidR="007D0940" w:rsidRPr="00A1397D">
        <w:t>S</w:t>
      </w:r>
      <w:r w:rsidR="007123B9" w:rsidRPr="00A1397D">
        <w:t xml:space="preserve">outh </w:t>
      </w:r>
      <w:r w:rsidR="007D0940" w:rsidRPr="00A1397D">
        <w:t>W</w:t>
      </w:r>
      <w:r w:rsidR="007123B9" w:rsidRPr="00A1397D">
        <w:t>ales</w:t>
      </w:r>
      <w:r w:rsidR="00700A7E" w:rsidRPr="00A1397D">
        <w:t>.</w:t>
      </w:r>
    </w:p>
    <w:p w14:paraId="2A739B42" w14:textId="39D2EA60" w:rsidR="00210D0E" w:rsidRPr="00A1397D" w:rsidRDefault="00210D0E" w:rsidP="00BF4099">
      <w:pPr>
        <w:pStyle w:val="BodyText"/>
      </w:pPr>
      <w:r w:rsidRPr="00A1397D">
        <w:t xml:space="preserve">Chapter 2 of this </w:t>
      </w:r>
      <w:r w:rsidRPr="00A1397D">
        <w:rPr>
          <w:i/>
        </w:rPr>
        <w:t>Infrastructure Statement</w:t>
      </w:r>
      <w:r w:rsidRPr="00A1397D">
        <w:t xml:space="preserve"> provides further details on infrastructure projects the Government is </w:t>
      </w:r>
      <w:r w:rsidR="00B551C4" w:rsidRPr="00A1397D">
        <w:t xml:space="preserve">also </w:t>
      </w:r>
      <w:r w:rsidRPr="00A1397D">
        <w:t xml:space="preserve">delivering. </w:t>
      </w:r>
    </w:p>
    <w:p w14:paraId="6B762B4E" w14:textId="77777777" w:rsidR="005F1B4D" w:rsidRPr="00A1397D" w:rsidRDefault="005F1B4D" w:rsidP="00DE2C43">
      <w:pPr>
        <w:rPr>
          <w:rFonts w:ascii="Arial" w:hAnsi="Arial" w:cs="Arial"/>
        </w:rPr>
      </w:pPr>
    </w:p>
    <w:tbl>
      <w:tblPr>
        <w:tblW w:w="9606" w:type="dxa"/>
        <w:shd w:val="pct5" w:color="auto" w:fill="auto"/>
        <w:tblLayout w:type="fixed"/>
        <w:tblCellMar>
          <w:left w:w="0" w:type="dxa"/>
          <w:right w:w="0" w:type="dxa"/>
        </w:tblCellMar>
        <w:tblLook w:val="04A0" w:firstRow="1" w:lastRow="0" w:firstColumn="1" w:lastColumn="0" w:noHBand="0" w:noVBand="1"/>
        <w:tblCaption w:val=" Box 1.1:  Sydney Metro West"/>
        <w:tblDescription w:val="Box 1.1:  Sydney Metro West"/>
      </w:tblPr>
      <w:tblGrid>
        <w:gridCol w:w="9606"/>
      </w:tblGrid>
      <w:tr w:rsidR="00652A10" w:rsidRPr="00A1397D" w14:paraId="5B4B211B" w14:textId="77777777" w:rsidTr="00167D49">
        <w:trPr>
          <w:trHeight w:val="4451"/>
        </w:trPr>
        <w:tc>
          <w:tcPr>
            <w:tcW w:w="9639" w:type="dxa"/>
            <w:shd w:val="pct5" w:color="auto" w:fill="auto"/>
            <w:tcMar>
              <w:top w:w="0" w:type="dxa"/>
              <w:left w:w="108" w:type="dxa"/>
              <w:bottom w:w="0" w:type="dxa"/>
              <w:right w:w="108" w:type="dxa"/>
            </w:tcMar>
          </w:tcPr>
          <w:p w14:paraId="16556C02" w14:textId="7BB7A521" w:rsidR="00652A10" w:rsidRPr="00EC41E7" w:rsidRDefault="00652A10" w:rsidP="00032701">
            <w:pPr>
              <w:pStyle w:val="Box11BoxHeading"/>
              <w:ind w:left="1027" w:hanging="1027"/>
            </w:pPr>
            <w:bookmarkStart w:id="12" w:name="_Hlk8719257"/>
            <w:r w:rsidRPr="00EC41E7">
              <w:rPr>
                <w:highlight w:val="yellow"/>
              </w:rPr>
              <w:br w:type="page"/>
            </w:r>
            <w:r w:rsidRPr="00EC41E7">
              <w:t>Sydney Metro West</w:t>
            </w:r>
          </w:p>
          <w:p w14:paraId="661D4C3C" w14:textId="1FA0695B" w:rsidR="00652A10" w:rsidRPr="00A1397D" w:rsidRDefault="00652A10" w:rsidP="00B06F09">
            <w:pPr>
              <w:pStyle w:val="BodyTextBox"/>
              <w:framePr w:wrap="around"/>
            </w:pPr>
            <w:r w:rsidRPr="00A1397D">
              <w:rPr>
                <w:b/>
              </w:rPr>
              <w:t>Program:</w:t>
            </w:r>
            <w:r w:rsidRPr="00A1397D">
              <w:t xml:space="preserve"> Sydney Metro West </w:t>
            </w:r>
            <w:r w:rsidR="00750820" w:rsidRPr="00A1397D">
              <w:t xml:space="preserve">is a new underground </w:t>
            </w:r>
            <w:r w:rsidR="00C574E2" w:rsidRPr="00A1397D">
              <w:t xml:space="preserve">metro </w:t>
            </w:r>
            <w:r w:rsidR="007C65CC" w:rsidRPr="00A1397D">
              <w:t xml:space="preserve">railway line </w:t>
            </w:r>
            <w:r w:rsidR="00C574E2" w:rsidRPr="00A1397D">
              <w:t xml:space="preserve">that will </w:t>
            </w:r>
            <w:r w:rsidRPr="00A1397D">
              <w:t xml:space="preserve">connect </w:t>
            </w:r>
            <w:r w:rsidR="007C65CC" w:rsidRPr="00A1397D">
              <w:t xml:space="preserve">Greater </w:t>
            </w:r>
            <w:r w:rsidRPr="00A1397D">
              <w:t xml:space="preserve">Parramatta to Sydney CBD through Olympic Park and the Bays Precinct. </w:t>
            </w:r>
          </w:p>
          <w:p w14:paraId="1DCF3D7F" w14:textId="5AF56F40" w:rsidR="00F126E6" w:rsidRPr="00A1397D" w:rsidRDefault="00652A10" w:rsidP="00B06F09">
            <w:pPr>
              <w:pStyle w:val="BodyTextBox"/>
              <w:framePr w:wrap="around"/>
            </w:pPr>
            <w:r w:rsidRPr="00A1397D">
              <w:rPr>
                <w:b/>
              </w:rPr>
              <w:t>Service delivery objective:</w:t>
            </w:r>
            <w:r w:rsidRPr="00A1397D">
              <w:t xml:space="preserve"> Sydney Metro West </w:t>
            </w:r>
            <w:r w:rsidR="007B0C49" w:rsidRPr="00A1397D">
              <w:t>will</w:t>
            </w:r>
            <w:r w:rsidRPr="00A1397D">
              <w:t xml:space="preserve"> double rail capacity</w:t>
            </w:r>
            <w:r w:rsidR="00894073" w:rsidRPr="00A1397D">
              <w:t xml:space="preserve"> and</w:t>
            </w:r>
            <w:r w:rsidR="00073F5E" w:rsidRPr="00A1397D">
              <w:t xml:space="preserve"> provide a faster, easier and more reliable journey</w:t>
            </w:r>
            <w:r w:rsidRPr="00A1397D">
              <w:t xml:space="preserve"> between Sydney CBD and Greater Parramatta</w:t>
            </w:r>
            <w:r w:rsidR="00202E11" w:rsidRPr="00A1397D">
              <w:t xml:space="preserve"> in around 20 minutes</w:t>
            </w:r>
            <w:r w:rsidRPr="00A1397D">
              <w:t xml:space="preserve">. </w:t>
            </w:r>
            <w:r w:rsidR="00957C76" w:rsidRPr="008B7916">
              <w:t>The N</w:t>
            </w:r>
            <w:r w:rsidR="004B48F1">
              <w:t xml:space="preserve">ew </w:t>
            </w:r>
            <w:r w:rsidR="00957C76" w:rsidRPr="008B7916">
              <w:t>S</w:t>
            </w:r>
            <w:r w:rsidR="004B48F1">
              <w:t xml:space="preserve">outh </w:t>
            </w:r>
            <w:r w:rsidR="00957C76" w:rsidRPr="008B7916">
              <w:t>W</w:t>
            </w:r>
            <w:r w:rsidR="004B48F1">
              <w:t>ales</w:t>
            </w:r>
            <w:r w:rsidR="00957C76" w:rsidRPr="00A1397D">
              <w:t xml:space="preserve"> Government has proposed stations at Westmead, Parramatta, Sydney Olympic Park, North Strathfield, Burwood North, Five Dock, The Bays and the Sydney CBD.</w:t>
            </w:r>
          </w:p>
          <w:p w14:paraId="7C6F1401" w14:textId="47FB1C45" w:rsidR="00652A10" w:rsidRPr="00A1397D" w:rsidRDefault="00652A10" w:rsidP="00B06F09">
            <w:pPr>
              <w:pStyle w:val="BodyTextBox"/>
              <w:framePr w:wrap="around"/>
            </w:pPr>
            <w:r w:rsidRPr="00A1397D">
              <w:rPr>
                <w:b/>
              </w:rPr>
              <w:t>Implementation:</w:t>
            </w:r>
            <w:r w:rsidRPr="00A1397D">
              <w:t xml:space="preserve"> </w:t>
            </w:r>
            <w:r w:rsidR="00226736" w:rsidRPr="00A1397D">
              <w:t>Construction is</w:t>
            </w:r>
            <w:r w:rsidRPr="00A1397D">
              <w:t xml:space="preserve"> expected to start in 2020.</w:t>
            </w:r>
          </w:p>
          <w:p w14:paraId="4C5F6A1E" w14:textId="7B6E4243" w:rsidR="00652A10" w:rsidRPr="00A1397D" w:rsidRDefault="00652A10" w:rsidP="00B06F09">
            <w:pPr>
              <w:pStyle w:val="BodyTextBox"/>
              <w:framePr w:wrap="around"/>
            </w:pPr>
            <w:r w:rsidRPr="00A1397D">
              <w:rPr>
                <w:b/>
              </w:rPr>
              <w:t>Funding allocation:</w:t>
            </w:r>
            <w:r w:rsidRPr="00A1397D">
              <w:t xml:space="preserve"> Th</w:t>
            </w:r>
            <w:r w:rsidR="00083F6D" w:rsidRPr="00A1397D">
              <w:t>e</w:t>
            </w:r>
            <w:r w:rsidRPr="00A1397D">
              <w:t xml:space="preserve"> </w:t>
            </w:r>
            <w:r w:rsidR="00083F6D" w:rsidRPr="00A1397D">
              <w:t>G</w:t>
            </w:r>
            <w:r w:rsidR="00D530E5" w:rsidRPr="00A1397D">
              <w:t xml:space="preserve">overnment </w:t>
            </w:r>
            <w:r w:rsidR="00CC6958" w:rsidRPr="00A1397D">
              <w:t>has committed</w:t>
            </w:r>
            <w:r w:rsidR="00D530E5" w:rsidRPr="00A1397D">
              <w:t xml:space="preserve"> $</w:t>
            </w:r>
            <w:r w:rsidR="00CC6958" w:rsidRPr="00A1397D">
              <w:t>6</w:t>
            </w:r>
            <w:r w:rsidR="00D530E5" w:rsidRPr="00A1397D">
              <w:t>.</w:t>
            </w:r>
            <w:r w:rsidR="00922911" w:rsidRPr="00A1397D">
              <w:t>4</w:t>
            </w:r>
            <w:r w:rsidR="00D530E5" w:rsidRPr="00A1397D">
              <w:t xml:space="preserve"> billion</w:t>
            </w:r>
            <w:r w:rsidR="00CC6958" w:rsidRPr="00A1397D">
              <w:t xml:space="preserve"> </w:t>
            </w:r>
            <w:r w:rsidR="003A51E2" w:rsidRPr="00A1397D">
              <w:t xml:space="preserve">over the next four years </w:t>
            </w:r>
            <w:r w:rsidR="00CC6958" w:rsidRPr="00A1397D">
              <w:t>to this project</w:t>
            </w:r>
            <w:r w:rsidRPr="00A1397D">
              <w:t xml:space="preserve">. </w:t>
            </w:r>
          </w:p>
          <w:p w14:paraId="7FF7AA3F" w14:textId="0BF74AAA" w:rsidR="00652A10" w:rsidRPr="00A1397D" w:rsidRDefault="00652A10" w:rsidP="00DD24D6">
            <w:pPr>
              <w:pStyle w:val="BodyTextBox"/>
              <w:framePr w:wrap="around"/>
            </w:pPr>
            <w:r w:rsidRPr="00A1397D">
              <w:rPr>
                <w:rStyle w:val="BodyTextBoxChar"/>
              </w:rPr>
              <w:t>For further information on this project see</w:t>
            </w:r>
            <w:r w:rsidRPr="00A1397D">
              <w:t xml:space="preserve"> </w:t>
            </w:r>
            <w:hyperlink r:id="rId16" w:history="1">
              <w:r w:rsidRPr="00A1397D">
                <w:rPr>
                  <w:rStyle w:val="Hyperlink"/>
                  <w:i/>
                  <w:color w:val="0A7CB9"/>
                  <w:u w:val="none"/>
                </w:rPr>
                <w:t>https://www.sydneymetro.info/west/project-overview</w:t>
              </w:r>
            </w:hyperlink>
            <w:r w:rsidRPr="00A1397D">
              <w:t xml:space="preserve"> </w:t>
            </w:r>
          </w:p>
        </w:tc>
      </w:tr>
    </w:tbl>
    <w:p w14:paraId="5F0BF7A7" w14:textId="2F82B30C" w:rsidR="00706645" w:rsidRPr="00A1397D" w:rsidRDefault="00706645" w:rsidP="00706645">
      <w:pPr>
        <w:rPr>
          <w:rFonts w:ascii="Arial" w:hAnsi="Arial" w:cs="Arial"/>
          <w:sz w:val="23"/>
          <w:lang w:val="en-AU"/>
        </w:rPr>
      </w:pPr>
    </w:p>
    <w:p w14:paraId="6C30C83C" w14:textId="71E7B6DC" w:rsidR="006730AE" w:rsidRDefault="006730AE" w:rsidP="0021435A">
      <w:pPr>
        <w:pStyle w:val="Heading3"/>
      </w:pPr>
      <w:r>
        <w:t xml:space="preserve">Delivering for </w:t>
      </w:r>
      <w:r w:rsidRPr="0021435A">
        <w:t>regional</w:t>
      </w:r>
      <w:r>
        <w:t xml:space="preserve"> New South Wales</w:t>
      </w:r>
      <w:bookmarkEnd w:id="12"/>
    </w:p>
    <w:p w14:paraId="267E8DA6" w14:textId="45BE32A7" w:rsidR="006730AE" w:rsidRPr="00A1397D" w:rsidRDefault="006730AE" w:rsidP="00BF4099">
      <w:pPr>
        <w:pStyle w:val="BodyText"/>
      </w:pPr>
      <w:r w:rsidRPr="00A1397D">
        <w:t xml:space="preserve">The Government is committed to supporting the growth and prosperity of regional New South Wales through substantial infrastructure investment. </w:t>
      </w:r>
      <w:r w:rsidR="003C64F8" w:rsidRPr="00A1397D">
        <w:t xml:space="preserve">The Government’s strong fiscal management has ensured </w:t>
      </w:r>
      <w:r w:rsidR="00E726C8" w:rsidRPr="00A1397D">
        <w:t xml:space="preserve">it can </w:t>
      </w:r>
      <w:r w:rsidR="003C64F8" w:rsidRPr="00A1397D">
        <w:t xml:space="preserve">sustain </w:t>
      </w:r>
      <w:r w:rsidR="007D3AC5" w:rsidRPr="00A1397D">
        <w:t xml:space="preserve">its </w:t>
      </w:r>
      <w:r w:rsidR="003C64F8" w:rsidRPr="00A1397D">
        <w:t xml:space="preserve">infrastructure investment </w:t>
      </w:r>
      <w:r w:rsidR="00766088" w:rsidRPr="00A1397D">
        <w:t xml:space="preserve">in regional New South Wales while </w:t>
      </w:r>
      <w:r w:rsidR="00DE2F77" w:rsidRPr="00A1397D">
        <w:t>also</w:t>
      </w:r>
      <w:r w:rsidR="007D3AC5" w:rsidRPr="00A1397D">
        <w:t xml:space="preserve"> provid</w:t>
      </w:r>
      <w:r w:rsidR="00DE2F77" w:rsidRPr="00A1397D">
        <w:t>ing</w:t>
      </w:r>
      <w:r w:rsidR="007D3AC5" w:rsidRPr="00A1397D">
        <w:t xml:space="preserve"> </w:t>
      </w:r>
      <w:r w:rsidR="003C64F8" w:rsidRPr="00A1397D">
        <w:t xml:space="preserve">significant drought relief to </w:t>
      </w:r>
      <w:r w:rsidR="00766BFC" w:rsidRPr="00A1397D">
        <w:t xml:space="preserve">these same </w:t>
      </w:r>
      <w:r w:rsidR="008B701D" w:rsidRPr="00A1397D">
        <w:t>communities</w:t>
      </w:r>
      <w:r w:rsidR="003C64F8" w:rsidRPr="00A1397D">
        <w:t>.</w:t>
      </w:r>
    </w:p>
    <w:p w14:paraId="6A743426" w14:textId="1EB5582C" w:rsidR="006730AE" w:rsidRPr="00A1397D" w:rsidRDefault="00083F6D" w:rsidP="00BF4099">
      <w:pPr>
        <w:pStyle w:val="BodyText"/>
      </w:pPr>
      <w:r w:rsidRPr="00A1397D">
        <w:t>It also</w:t>
      </w:r>
      <w:r w:rsidR="006730AE" w:rsidRPr="00A1397D">
        <w:t xml:space="preserve"> remains committed to </w:t>
      </w:r>
      <w:r w:rsidR="002E797F" w:rsidRPr="00A1397D">
        <w:t xml:space="preserve">investing </w:t>
      </w:r>
      <w:r w:rsidR="006730AE" w:rsidRPr="00A1397D">
        <w:t xml:space="preserve">30 per cent of </w:t>
      </w:r>
      <w:r w:rsidR="002E797F" w:rsidRPr="00A1397D">
        <w:t xml:space="preserve">the Restart NSW Fund </w:t>
      </w:r>
      <w:r w:rsidR="00215BF4" w:rsidRPr="00A1397D">
        <w:t xml:space="preserve">on regional </w:t>
      </w:r>
      <w:r w:rsidR="006730AE" w:rsidRPr="00A1397D">
        <w:t xml:space="preserve">infrastructure over </w:t>
      </w:r>
      <w:r w:rsidR="00215BF4" w:rsidRPr="00A1397D">
        <w:t>the life of the fund</w:t>
      </w:r>
      <w:r w:rsidR="006730AE" w:rsidRPr="00A1397D">
        <w:t xml:space="preserve">. </w:t>
      </w:r>
      <w:r w:rsidR="00DC6906" w:rsidRPr="00A1397D">
        <w:t>T</w:t>
      </w:r>
      <w:r w:rsidR="006730AE" w:rsidRPr="00A1397D">
        <w:t xml:space="preserve">he Government is spending </w:t>
      </w:r>
      <w:r w:rsidR="00DC6906" w:rsidRPr="00A1397D">
        <w:t xml:space="preserve">a further </w:t>
      </w:r>
      <w:r w:rsidR="006730AE" w:rsidRPr="00A1397D">
        <w:t xml:space="preserve">$4.2 billion </w:t>
      </w:r>
      <w:r w:rsidR="002E62D4" w:rsidRPr="00A1397D">
        <w:t xml:space="preserve">from </w:t>
      </w:r>
      <w:r w:rsidR="007C6CE9" w:rsidRPr="00A1397D">
        <w:t xml:space="preserve">the </w:t>
      </w:r>
      <w:r w:rsidR="006730AE" w:rsidRPr="00A1397D">
        <w:t xml:space="preserve">Snowy Hydro </w:t>
      </w:r>
      <w:r w:rsidR="002E62D4" w:rsidRPr="00A1397D">
        <w:t xml:space="preserve">Legacy Fund </w:t>
      </w:r>
      <w:r w:rsidR="006730AE" w:rsidRPr="00A1397D">
        <w:t xml:space="preserve">on regional infrastructure projects, as detailed in Box </w:t>
      </w:r>
      <w:r w:rsidR="008F35E0" w:rsidRPr="00A1397D">
        <w:t>2</w:t>
      </w:r>
      <w:r w:rsidR="006730AE" w:rsidRPr="00A1397D">
        <w:t>.</w:t>
      </w:r>
      <w:r w:rsidR="008F35E0" w:rsidRPr="00A1397D">
        <w:t>1</w:t>
      </w:r>
      <w:r w:rsidR="00893FB6" w:rsidRPr="00A1397D">
        <w:t>0</w:t>
      </w:r>
      <w:r w:rsidR="006730AE" w:rsidRPr="00A1397D">
        <w:t>.</w:t>
      </w:r>
    </w:p>
    <w:p w14:paraId="07017B7C" w14:textId="441BAF12" w:rsidR="006730AE" w:rsidRPr="00A1397D" w:rsidRDefault="001A1885" w:rsidP="00BF4099">
      <w:pPr>
        <w:pStyle w:val="BodyText"/>
        <w:rPr>
          <w:szCs w:val="14"/>
        </w:rPr>
      </w:pPr>
      <w:r w:rsidRPr="00A1397D">
        <w:t>S</w:t>
      </w:r>
      <w:r w:rsidR="00A51F59" w:rsidRPr="00A1397D">
        <w:t xml:space="preserve">ignificant regional </w:t>
      </w:r>
      <w:r w:rsidR="00101B65" w:rsidRPr="00A1397D">
        <w:t>projects include</w:t>
      </w:r>
      <w:r w:rsidR="006730AE" w:rsidRPr="00A1397D">
        <w:t>:</w:t>
      </w:r>
    </w:p>
    <w:p w14:paraId="5EEB0A2E" w14:textId="0C77D245" w:rsidR="006730AE" w:rsidRPr="00A1397D" w:rsidRDefault="00B82901" w:rsidP="00BF4099">
      <w:pPr>
        <w:pStyle w:val="Bullet1"/>
      </w:pPr>
      <w:r w:rsidRPr="00A1397D">
        <w:t>the</w:t>
      </w:r>
      <w:r w:rsidR="006730AE" w:rsidRPr="00A1397D">
        <w:t xml:space="preserve"> Regional Rail Fleet</w:t>
      </w:r>
      <w:r w:rsidR="006730AE" w:rsidRPr="00A1397D" w:rsidDel="002E62D4">
        <w:t xml:space="preserve"> project</w:t>
      </w:r>
      <w:r w:rsidR="00F5358B" w:rsidRPr="00A1397D">
        <w:t>:</w:t>
      </w:r>
      <w:r w:rsidR="00AD2DF6" w:rsidRPr="00A1397D">
        <w:t xml:space="preserve"> </w:t>
      </w:r>
      <w:r w:rsidR="006730AE" w:rsidRPr="00A1397D">
        <w:t>$</w:t>
      </w:r>
      <w:r w:rsidR="005272D3" w:rsidRPr="00A1397D">
        <w:t>2</w:t>
      </w:r>
      <w:r w:rsidR="006730AE" w:rsidRPr="00A1397D">
        <w:t>.</w:t>
      </w:r>
      <w:r w:rsidR="005272D3" w:rsidRPr="00A1397D">
        <w:t>8</w:t>
      </w:r>
      <w:r w:rsidR="006730AE" w:rsidRPr="00A1397D">
        <w:t xml:space="preserve"> billion</w:t>
      </w:r>
      <w:r w:rsidR="004F68CD" w:rsidRPr="00A1397D">
        <w:t xml:space="preserve"> ($1.</w:t>
      </w:r>
      <w:r w:rsidR="004565CD" w:rsidRPr="00A1397D">
        <w:t>3</w:t>
      </w:r>
      <w:r w:rsidR="004F68CD" w:rsidRPr="00A1397D">
        <w:t xml:space="preserve"> billion </w:t>
      </w:r>
      <w:r w:rsidR="00E164A7" w:rsidRPr="00A1397D">
        <w:t xml:space="preserve">included in </w:t>
      </w:r>
      <w:r w:rsidR="000D54F6" w:rsidRPr="00A1397D">
        <w:t xml:space="preserve">the </w:t>
      </w:r>
      <w:r w:rsidR="007F2C5F" w:rsidRPr="00A1397D">
        <w:t>capital</w:t>
      </w:r>
      <w:r w:rsidR="00E164A7" w:rsidRPr="00A1397D">
        <w:t xml:space="preserve"> program</w:t>
      </w:r>
      <w:r w:rsidR="004F68CD" w:rsidRPr="00A1397D">
        <w:t>)</w:t>
      </w:r>
      <w:r w:rsidR="006730AE" w:rsidRPr="00A1397D">
        <w:t xml:space="preserve"> </w:t>
      </w:r>
      <w:r w:rsidR="007F2C5F" w:rsidRPr="00A1397D">
        <w:t>for the</w:t>
      </w:r>
      <w:r w:rsidR="006730AE" w:rsidRPr="00A1397D">
        <w:t xml:space="preserve"> design, build, </w:t>
      </w:r>
      <w:r w:rsidR="00F87C0E" w:rsidRPr="00A1397D">
        <w:rPr>
          <w:lang w:eastAsia="en-AU"/>
        </w:rPr>
        <w:t>and ongoing maintenance of the new regional rail fleet</w:t>
      </w:r>
      <w:r w:rsidR="00D36DBD">
        <w:rPr>
          <w:lang w:eastAsia="en-AU"/>
        </w:rPr>
        <w:t>. A</w:t>
      </w:r>
      <w:r w:rsidR="00F87C0E" w:rsidRPr="00A1397D">
        <w:rPr>
          <w:lang w:eastAsia="en-AU"/>
        </w:rPr>
        <w:t xml:space="preserve">long with the new </w:t>
      </w:r>
      <w:proofErr w:type="gramStart"/>
      <w:r w:rsidR="00F87C0E" w:rsidRPr="00A1397D">
        <w:rPr>
          <w:lang w:eastAsia="en-AU"/>
        </w:rPr>
        <w:t>purpose built</w:t>
      </w:r>
      <w:proofErr w:type="gramEnd"/>
      <w:r w:rsidR="00F87C0E" w:rsidRPr="00A1397D">
        <w:rPr>
          <w:lang w:eastAsia="en-AU"/>
        </w:rPr>
        <w:t xml:space="preserve"> maintenance facility in Dubbo, to create better, safer, more comfortable and reliable services for customers travelling long distances</w:t>
      </w:r>
    </w:p>
    <w:p w14:paraId="14096E60" w14:textId="4A9B7FFD" w:rsidR="009F1DD6" w:rsidRPr="00A1397D" w:rsidRDefault="00D856CF" w:rsidP="00BF4099">
      <w:pPr>
        <w:pStyle w:val="Bullet1"/>
      </w:pPr>
      <w:r w:rsidRPr="00A1397D">
        <w:t xml:space="preserve">the Regional Digital Connectivity </w:t>
      </w:r>
      <w:r w:rsidR="00DC7142" w:rsidRPr="00A1397D">
        <w:t>Program</w:t>
      </w:r>
      <w:r w:rsidR="00F5358B" w:rsidRPr="00A1397D">
        <w:t>:</w:t>
      </w:r>
      <w:r w:rsidRPr="00A1397D">
        <w:t xml:space="preserve"> </w:t>
      </w:r>
      <w:r w:rsidR="005E4970" w:rsidRPr="00A1397D">
        <w:t>$400</w:t>
      </w:r>
      <w:r w:rsidR="006938A7" w:rsidRPr="00A1397D">
        <w:t>.0</w:t>
      </w:r>
      <w:r w:rsidR="005E4970" w:rsidRPr="00A1397D">
        <w:t xml:space="preserve"> million over four years to provide mobile black spot towers and data centres to improve internet connectivity, speeds and reliability in region</w:t>
      </w:r>
      <w:r w:rsidR="00CE6B26" w:rsidRPr="00A1397D">
        <w:t>al areas</w:t>
      </w:r>
    </w:p>
    <w:p w14:paraId="5B4B3915" w14:textId="303B0FF7" w:rsidR="00034554" w:rsidRPr="00A1397D" w:rsidRDefault="005B612E" w:rsidP="00BF4099">
      <w:pPr>
        <w:pStyle w:val="Bullet1"/>
      </w:pPr>
      <w:r w:rsidRPr="00A1397D">
        <w:t>m</w:t>
      </w:r>
      <w:r w:rsidR="00034554" w:rsidRPr="00A1397D">
        <w:t>ajor regional hospitals including</w:t>
      </w:r>
      <w:r w:rsidR="00F5358B" w:rsidRPr="00A1397D">
        <w:t>:</w:t>
      </w:r>
      <w:r w:rsidR="00034554" w:rsidRPr="00A1397D">
        <w:t xml:space="preserve"> Tweed (</w:t>
      </w:r>
      <w:r w:rsidR="00644069" w:rsidRPr="00A1397D">
        <w:t xml:space="preserve">ETC </w:t>
      </w:r>
      <w:r w:rsidR="00034554" w:rsidRPr="00A1397D">
        <w:t>$582.1 million), Shellharbour (</w:t>
      </w:r>
      <w:r w:rsidR="002F660D" w:rsidRPr="00A1397D">
        <w:t xml:space="preserve">ETC </w:t>
      </w:r>
      <w:r w:rsidR="00034554" w:rsidRPr="00A1397D">
        <w:t>$</w:t>
      </w:r>
      <w:r w:rsidR="001D43F1" w:rsidRPr="00A1397D">
        <w:t>378</w:t>
      </w:r>
      <w:r w:rsidR="00034554" w:rsidRPr="00A1397D">
        <w:t>.6</w:t>
      </w:r>
      <w:r w:rsidR="00B668CB" w:rsidRPr="00A1397D">
        <w:t> </w:t>
      </w:r>
      <w:r w:rsidR="00034554" w:rsidRPr="00A1397D">
        <w:t>million</w:t>
      </w:r>
      <w:r w:rsidR="00891DC5" w:rsidRPr="00A1397D">
        <w:rPr>
          <w:rStyle w:val="FootnoteReference"/>
        </w:rPr>
        <w:footnoteReference w:id="5"/>
      </w:r>
      <w:r w:rsidR="00034554" w:rsidRPr="00A1397D">
        <w:t>)</w:t>
      </w:r>
      <w:r w:rsidR="00B52A00" w:rsidRPr="00A1397D">
        <w:t>,</w:t>
      </w:r>
      <w:r w:rsidR="00034554" w:rsidRPr="00A1397D">
        <w:t xml:space="preserve"> Dubbo (</w:t>
      </w:r>
      <w:r w:rsidR="002F660D" w:rsidRPr="00A1397D">
        <w:t xml:space="preserve">ETC </w:t>
      </w:r>
      <w:r w:rsidR="00034554" w:rsidRPr="00A1397D">
        <w:t>$241.3 million)</w:t>
      </w:r>
      <w:r w:rsidR="00A40927" w:rsidRPr="00A1397D">
        <w:t xml:space="preserve"> and </w:t>
      </w:r>
      <w:r w:rsidR="000A0B65" w:rsidRPr="00A1397D">
        <w:t>redevelopment of the Griffith Base Hospital (</w:t>
      </w:r>
      <w:r w:rsidR="002F660D" w:rsidRPr="00A1397D">
        <w:t xml:space="preserve">ETC </w:t>
      </w:r>
      <w:r w:rsidR="000A0B65" w:rsidRPr="00A1397D">
        <w:t>$25</w:t>
      </w:r>
      <w:r w:rsidR="00A20FD2" w:rsidRPr="00A1397D">
        <w:t>0</w:t>
      </w:r>
      <w:r w:rsidR="000A0B65" w:rsidRPr="00A1397D">
        <w:t>.0 million)</w:t>
      </w:r>
      <w:r w:rsidR="00034554" w:rsidRPr="00A1397D">
        <w:t>.</w:t>
      </w:r>
    </w:p>
    <w:p w14:paraId="072DB11F" w14:textId="72B99718" w:rsidR="006730AE" w:rsidRPr="00A1397D" w:rsidRDefault="006730AE" w:rsidP="00BF4099">
      <w:pPr>
        <w:pStyle w:val="BodyText"/>
      </w:pPr>
      <w:r w:rsidRPr="00A1397D">
        <w:t xml:space="preserve">This Budget </w:t>
      </w:r>
      <w:r w:rsidR="006E2F84" w:rsidRPr="00A1397D">
        <w:t xml:space="preserve">also </w:t>
      </w:r>
      <w:r w:rsidRPr="00A1397D">
        <w:t xml:space="preserve">includes funding for </w:t>
      </w:r>
      <w:r w:rsidR="00D93B9C" w:rsidRPr="00A1397D">
        <w:t xml:space="preserve">construction of </w:t>
      </w:r>
      <w:r w:rsidRPr="00A1397D">
        <w:t xml:space="preserve">new </w:t>
      </w:r>
      <w:r w:rsidR="00D93B9C" w:rsidRPr="00A1397D">
        <w:t xml:space="preserve">and </w:t>
      </w:r>
      <w:r w:rsidRPr="00A1397D">
        <w:t>upgraded hospitals, schools, roads and rail</w:t>
      </w:r>
      <w:r w:rsidR="00D93B9C" w:rsidRPr="00A1397D">
        <w:t xml:space="preserve">ways across </w:t>
      </w:r>
      <w:r w:rsidRPr="00A1397D">
        <w:t xml:space="preserve">regional New South Wales, </w:t>
      </w:r>
      <w:r w:rsidR="005B612E" w:rsidRPr="00A1397D">
        <w:t>see</w:t>
      </w:r>
      <w:r w:rsidRPr="00A1397D">
        <w:t xml:space="preserve"> section 2.3 </w:t>
      </w:r>
      <w:r w:rsidR="002B2100" w:rsidRPr="00A1397D">
        <w:t>for further details</w:t>
      </w:r>
      <w:r w:rsidRPr="00A1397D">
        <w:t>.</w:t>
      </w:r>
    </w:p>
    <w:p w14:paraId="0F0A71C7" w14:textId="77777777" w:rsidR="00EF38AF" w:rsidRPr="00A1397D" w:rsidRDefault="00EF38AF" w:rsidP="00EF38AF">
      <w:pPr>
        <w:rPr>
          <w:rFonts w:ascii="Arial" w:hAnsi="Arial" w:cs="Arial"/>
        </w:rPr>
      </w:pPr>
      <w:r w:rsidRPr="00A1397D">
        <w:rPr>
          <w:rFonts w:ascii="Arial" w:hAnsi="Arial" w:cs="Arial"/>
        </w:rPr>
        <w:br w:type="page"/>
      </w:r>
    </w:p>
    <w:bookmarkEnd w:id="10"/>
    <w:bookmarkEnd w:id="11"/>
    <w:p w14:paraId="04E8A859" w14:textId="2E6C3F58" w:rsidR="007E0DEA" w:rsidRPr="00826275" w:rsidRDefault="00FC3779" w:rsidP="00A33734">
      <w:pPr>
        <w:pStyle w:val="Heading2"/>
      </w:pPr>
      <w:r>
        <w:lastRenderedPageBreak/>
        <w:t xml:space="preserve">Citizen and </w:t>
      </w:r>
      <w:r w:rsidRPr="007C0428">
        <w:t>economic</w:t>
      </w:r>
      <w:r>
        <w:t xml:space="preserve"> b</w:t>
      </w:r>
      <w:r w:rsidR="007E0DEA" w:rsidRPr="00826275">
        <w:t xml:space="preserve">enefits of infrastructure </w:t>
      </w:r>
    </w:p>
    <w:p w14:paraId="02F1878A" w14:textId="6752DC76" w:rsidR="00F248A4" w:rsidRPr="00A1397D" w:rsidRDefault="005B7D8E" w:rsidP="00BF4099">
      <w:pPr>
        <w:pStyle w:val="BodyText"/>
      </w:pPr>
      <w:r w:rsidRPr="00A1397D">
        <w:t>The Government’s</w:t>
      </w:r>
      <w:r w:rsidR="00DF5FC4" w:rsidRPr="00A1397D">
        <w:t xml:space="preserve"> once in a generation</w:t>
      </w:r>
      <w:r w:rsidR="003518FE" w:rsidRPr="00A1397D">
        <w:t xml:space="preserve"> </w:t>
      </w:r>
      <w:r w:rsidRPr="00A1397D">
        <w:t xml:space="preserve">infrastructure program continues to deliver </w:t>
      </w:r>
      <w:r w:rsidR="00D25703" w:rsidRPr="00A1397D">
        <w:t xml:space="preserve">lasting </w:t>
      </w:r>
      <w:r w:rsidRPr="00A1397D">
        <w:t xml:space="preserve">economic and social </w:t>
      </w:r>
      <w:r w:rsidR="00CF6DE2" w:rsidRPr="00A1397D">
        <w:t>outcomes</w:t>
      </w:r>
      <w:r w:rsidR="007100B1" w:rsidRPr="00A1397D">
        <w:t xml:space="preserve"> for N</w:t>
      </w:r>
      <w:r w:rsidR="00C76BDC" w:rsidRPr="00A1397D">
        <w:t>ew</w:t>
      </w:r>
      <w:r w:rsidR="007100B1" w:rsidRPr="00A1397D">
        <w:t xml:space="preserve"> South Wales</w:t>
      </w:r>
      <w:r w:rsidRPr="00A1397D">
        <w:t xml:space="preserve">, fuelling </w:t>
      </w:r>
      <w:r w:rsidR="004C4B13" w:rsidRPr="00A1397D">
        <w:t xml:space="preserve">economic growth </w:t>
      </w:r>
      <w:r w:rsidR="00FB007C" w:rsidRPr="00A1397D">
        <w:t>and</w:t>
      </w:r>
      <w:r w:rsidR="00210D6F" w:rsidRPr="00A1397D">
        <w:t xml:space="preserve"> </w:t>
      </w:r>
      <w:r w:rsidR="004C4B13" w:rsidRPr="00A1397D">
        <w:t xml:space="preserve">creating opportunities </w:t>
      </w:r>
      <w:r w:rsidR="00464403" w:rsidRPr="00A1397D">
        <w:t>for current and future generations</w:t>
      </w:r>
      <w:r w:rsidR="004C4B13" w:rsidRPr="00A1397D">
        <w:t>.</w:t>
      </w:r>
      <w:r w:rsidR="00B45CCC" w:rsidRPr="00A1397D">
        <w:t xml:space="preserve"> These opportunities include </w:t>
      </w:r>
      <w:r w:rsidR="002865C8" w:rsidRPr="00A1397D">
        <w:t xml:space="preserve">supporting </w:t>
      </w:r>
      <w:r w:rsidR="00B45CCC" w:rsidRPr="00A1397D">
        <w:t xml:space="preserve">strong employment </w:t>
      </w:r>
      <w:r w:rsidR="002865C8" w:rsidRPr="00A1397D">
        <w:t>conditions</w:t>
      </w:r>
      <w:r w:rsidR="00826954" w:rsidRPr="00A1397D">
        <w:t xml:space="preserve"> </w:t>
      </w:r>
      <w:r w:rsidR="00360EFA" w:rsidRPr="00A1397D">
        <w:t>(</w:t>
      </w:r>
      <w:r w:rsidR="00826954" w:rsidRPr="00A1397D">
        <w:t>see</w:t>
      </w:r>
      <w:r w:rsidR="00360EFA" w:rsidRPr="00A1397D">
        <w:t xml:space="preserve"> Box 1.2)</w:t>
      </w:r>
      <w:r w:rsidR="00F248A4" w:rsidRPr="00A1397D">
        <w:t xml:space="preserve">. </w:t>
      </w:r>
    </w:p>
    <w:p w14:paraId="77C56769" w14:textId="77777777" w:rsidR="00F71DF5" w:rsidRPr="00A1397D" w:rsidRDefault="00F71DF5" w:rsidP="00F71DF5">
      <w:pPr>
        <w:rPr>
          <w:rFonts w:ascii="Arial" w:hAnsi="Arial" w:cs="Arial"/>
        </w:rPr>
      </w:pPr>
    </w:p>
    <w:tbl>
      <w:tblPr>
        <w:tblW w:w="0" w:type="auto"/>
        <w:shd w:val="pct5" w:color="auto" w:fill="auto"/>
        <w:tblCellMar>
          <w:left w:w="0" w:type="dxa"/>
          <w:right w:w="0" w:type="dxa"/>
        </w:tblCellMar>
        <w:tblLook w:val="04A0" w:firstRow="1" w:lastRow="0" w:firstColumn="1" w:lastColumn="0" w:noHBand="0" w:noVBand="1"/>
        <w:tblCaption w:val="Box 1.2: Infrastructure investment boosts economic growth and supports jobs"/>
        <w:tblDescription w:val="Box 1.2: Infrastructure investment boosts economic growth and supports jobs"/>
      </w:tblPr>
      <w:tblGrid>
        <w:gridCol w:w="9639"/>
      </w:tblGrid>
      <w:tr w:rsidR="005E62BE" w:rsidRPr="00A1397D" w14:paraId="3BE8FAE1" w14:textId="77777777" w:rsidTr="002E7A10">
        <w:trPr>
          <w:trHeight w:val="993"/>
        </w:trPr>
        <w:tc>
          <w:tcPr>
            <w:tcW w:w="9639" w:type="dxa"/>
            <w:shd w:val="pct5" w:color="auto" w:fill="auto"/>
            <w:tcMar>
              <w:top w:w="0" w:type="dxa"/>
              <w:left w:w="108" w:type="dxa"/>
              <w:bottom w:w="0" w:type="dxa"/>
              <w:right w:w="108" w:type="dxa"/>
            </w:tcMar>
          </w:tcPr>
          <w:p w14:paraId="7FDCED4F" w14:textId="542DAD06" w:rsidR="005E62BE" w:rsidRPr="00F71DF5" w:rsidRDefault="005E62BE" w:rsidP="007B49C4">
            <w:pPr>
              <w:pStyle w:val="Box11BoxHeading"/>
              <w:tabs>
                <w:tab w:val="left" w:pos="1163"/>
              </w:tabs>
              <w:rPr>
                <w:rFonts w:eastAsia="Calibri"/>
              </w:rPr>
            </w:pPr>
            <w:r w:rsidRPr="00F71DF5">
              <w:t xml:space="preserve">Infrastructure investment boosts economic growth </w:t>
            </w:r>
            <w:r w:rsidR="00A8792E">
              <w:t>and support</w:t>
            </w:r>
            <w:r w:rsidR="00E56A0A">
              <w:t>s</w:t>
            </w:r>
            <w:r w:rsidR="00A8792E">
              <w:t xml:space="preserve"> jobs</w:t>
            </w:r>
          </w:p>
          <w:p w14:paraId="5988E975" w14:textId="7565DC41" w:rsidR="005E62BE" w:rsidRPr="00A1397D" w:rsidRDefault="005E62BE" w:rsidP="00B06F09">
            <w:pPr>
              <w:pStyle w:val="BodyTextBox"/>
              <w:framePr w:wrap="around"/>
            </w:pPr>
            <w:r w:rsidRPr="00A1397D">
              <w:t>The N</w:t>
            </w:r>
            <w:r w:rsidR="00AD28C5" w:rsidRPr="00A1397D">
              <w:t xml:space="preserve">ew </w:t>
            </w:r>
            <w:r w:rsidRPr="00A1397D">
              <w:t>S</w:t>
            </w:r>
            <w:r w:rsidR="00AD28C5" w:rsidRPr="00A1397D">
              <w:t xml:space="preserve">outh </w:t>
            </w:r>
            <w:r w:rsidRPr="00A1397D">
              <w:t>W</w:t>
            </w:r>
            <w:r w:rsidR="00AD28C5" w:rsidRPr="00A1397D">
              <w:t>ales</w:t>
            </w:r>
            <w:r w:rsidRPr="00A1397D">
              <w:t xml:space="preserve"> Government </w:t>
            </w:r>
            <w:r w:rsidR="009D0085" w:rsidRPr="00A1397D">
              <w:t>is</w:t>
            </w:r>
            <w:r w:rsidRPr="00A1397D">
              <w:t xml:space="preserve"> delivering a well targeted infrastructure program that</w:t>
            </w:r>
            <w:r w:rsidR="00C83232" w:rsidRPr="00A1397D">
              <w:t xml:space="preserve"> will not only enhance</w:t>
            </w:r>
            <w:r w:rsidR="003E03C3" w:rsidRPr="00A1397D">
              <w:t xml:space="preserve"> </w:t>
            </w:r>
            <w:r w:rsidRPr="00A1397D">
              <w:t>services to people in N</w:t>
            </w:r>
            <w:r w:rsidR="009C4F20" w:rsidRPr="00A1397D">
              <w:t xml:space="preserve">ew </w:t>
            </w:r>
            <w:r w:rsidRPr="00A1397D">
              <w:t>S</w:t>
            </w:r>
            <w:r w:rsidR="009C4F20" w:rsidRPr="00A1397D">
              <w:t xml:space="preserve">outh </w:t>
            </w:r>
            <w:r w:rsidRPr="00A1397D">
              <w:t>W</w:t>
            </w:r>
            <w:r w:rsidR="009C4F20" w:rsidRPr="00A1397D">
              <w:t>ales</w:t>
            </w:r>
            <w:r w:rsidRPr="00A1397D">
              <w:t xml:space="preserve"> </w:t>
            </w:r>
            <w:r w:rsidR="003E03C3" w:rsidRPr="00A1397D">
              <w:t>but also</w:t>
            </w:r>
            <w:r w:rsidRPr="00A1397D">
              <w:t xml:space="preserve"> </w:t>
            </w:r>
            <w:r w:rsidR="00301A6B" w:rsidRPr="00A1397D">
              <w:t>boost economic growth</w:t>
            </w:r>
            <w:r w:rsidRPr="00A1397D">
              <w:t xml:space="preserve">. </w:t>
            </w:r>
          </w:p>
          <w:p w14:paraId="11711B3E" w14:textId="561391FC" w:rsidR="00D10050" w:rsidRPr="00A1397D" w:rsidRDefault="005E62BE" w:rsidP="00B06F09">
            <w:pPr>
              <w:pStyle w:val="BodyTextBox"/>
              <w:framePr w:wrap="around"/>
            </w:pPr>
            <w:r w:rsidRPr="00A1397D">
              <w:t xml:space="preserve">In the short term, efficient infrastructure projects support </w:t>
            </w:r>
            <w:r w:rsidR="007C5655" w:rsidRPr="00A1397D">
              <w:t xml:space="preserve">economic activity and </w:t>
            </w:r>
            <w:r w:rsidRPr="00A1397D">
              <w:t xml:space="preserve">jobs, both directly </w:t>
            </w:r>
            <w:r w:rsidR="00804944" w:rsidRPr="00A1397D">
              <w:t>in the</w:t>
            </w:r>
            <w:r w:rsidRPr="00A1397D">
              <w:t xml:space="preserve"> construction </w:t>
            </w:r>
            <w:r w:rsidR="00804944" w:rsidRPr="00A1397D">
              <w:t xml:space="preserve">phase </w:t>
            </w:r>
            <w:r w:rsidRPr="00A1397D">
              <w:t xml:space="preserve">and indirectly via </w:t>
            </w:r>
            <w:r w:rsidR="00692FAB" w:rsidRPr="00A1397D">
              <w:t xml:space="preserve">the flow on effects to </w:t>
            </w:r>
            <w:r w:rsidRPr="00A1397D">
              <w:t>supporting industries.</w:t>
            </w:r>
          </w:p>
          <w:p w14:paraId="2938A10A" w14:textId="7C86B4FA" w:rsidR="009A3FB6" w:rsidRPr="00A1397D" w:rsidRDefault="009A3FB6" w:rsidP="00B06F09">
            <w:pPr>
              <w:pStyle w:val="BodyTextBox"/>
              <w:framePr w:wrap="around"/>
            </w:pPr>
            <w:r w:rsidRPr="00A1397D">
              <w:t>Underpinned by the Government’s record infrastructure program, public investment is expected to contribute ½ a percentage point per year to economic growth this year and over the next two years, around five times its historical average.</w:t>
            </w:r>
          </w:p>
          <w:p w14:paraId="334A11C2" w14:textId="1598CDB0" w:rsidR="005E62BE" w:rsidRPr="00A1397D" w:rsidRDefault="003E2583" w:rsidP="00B06F09">
            <w:pPr>
              <w:pStyle w:val="BodyTextBox"/>
              <w:framePr w:wrap="around"/>
            </w:pPr>
            <w:r w:rsidRPr="00A1397D">
              <w:t>Over</w:t>
            </w:r>
            <w:r w:rsidR="005E62BE" w:rsidRPr="00A1397D">
              <w:t xml:space="preserve"> the long run, </w:t>
            </w:r>
            <w:r w:rsidR="005F4EDB" w:rsidRPr="00A1397D">
              <w:t xml:space="preserve">well targeted </w:t>
            </w:r>
            <w:r w:rsidR="005E62BE" w:rsidRPr="00A1397D">
              <w:t xml:space="preserve">infrastructure investment increases the productivity of other factors of production such as labour, private capital and land. It also encourages </w:t>
            </w:r>
            <w:r w:rsidR="006C6770" w:rsidRPr="00A1397D">
              <w:t>business</w:t>
            </w:r>
            <w:r w:rsidR="005E62BE" w:rsidRPr="00A1397D">
              <w:t xml:space="preserve"> to increase their own investments and expand economic activity. Additionally, there may be ongoing benefits for the labour market once projects become operational, depending on the type of infrastructure assets involved.</w:t>
            </w:r>
          </w:p>
          <w:p w14:paraId="3B980F6D" w14:textId="47D446B7" w:rsidR="005E62BE" w:rsidRPr="00A1397D" w:rsidRDefault="005E62BE" w:rsidP="00B06F09">
            <w:pPr>
              <w:pStyle w:val="BodyTextBox"/>
              <w:framePr w:wrap="around"/>
            </w:pPr>
            <w:r w:rsidRPr="00A1397D">
              <w:t xml:space="preserve">Some of the key projects </w:t>
            </w:r>
            <w:r w:rsidR="003E3F57" w:rsidRPr="00A1397D">
              <w:t xml:space="preserve">providing economic benefits </w:t>
            </w:r>
            <w:r w:rsidRPr="00A1397D">
              <w:t>for N</w:t>
            </w:r>
            <w:r w:rsidR="009C4F20" w:rsidRPr="00A1397D">
              <w:t xml:space="preserve">ew </w:t>
            </w:r>
            <w:r w:rsidRPr="00A1397D">
              <w:t>S</w:t>
            </w:r>
            <w:r w:rsidR="009C4F20" w:rsidRPr="00A1397D">
              <w:t xml:space="preserve">outh </w:t>
            </w:r>
            <w:r w:rsidRPr="00A1397D">
              <w:t>W</w:t>
            </w:r>
            <w:r w:rsidR="009C4F20" w:rsidRPr="00A1397D">
              <w:t>ales</w:t>
            </w:r>
            <w:r w:rsidRPr="00A1397D">
              <w:t xml:space="preserve"> include:</w:t>
            </w:r>
          </w:p>
          <w:p w14:paraId="53949B2B" w14:textId="6BCA5B5C" w:rsidR="005E62BE" w:rsidRPr="000B7998" w:rsidRDefault="005E62BE" w:rsidP="00BF4099">
            <w:pPr>
              <w:pStyle w:val="Bullet1inabox"/>
            </w:pPr>
            <w:r w:rsidRPr="000B7998">
              <w:t xml:space="preserve">Western Sydney Aerotropolis </w:t>
            </w:r>
            <w:r w:rsidR="005472F2">
              <w:t xml:space="preserve">which </w:t>
            </w:r>
            <w:r w:rsidRPr="000B7998">
              <w:t>will become an economic hub through the concentration of key industries, residences, job opportunities and transportation</w:t>
            </w:r>
            <w:r w:rsidR="00D36DBD">
              <w:t>,</w:t>
            </w:r>
            <w:r w:rsidRPr="000B7998">
              <w:t xml:space="preserve"> and is expected to create 200,000 new jobs</w:t>
            </w:r>
          </w:p>
          <w:p w14:paraId="0711A0E8" w14:textId="3FB8EE91" w:rsidR="005E62BE" w:rsidRPr="000B7998" w:rsidRDefault="005E62BE" w:rsidP="00BF4099">
            <w:pPr>
              <w:pStyle w:val="Bullet1inabox"/>
            </w:pPr>
            <w:r w:rsidRPr="000B7998">
              <w:t>North</w:t>
            </w:r>
            <w:r w:rsidR="0057198B">
              <w:t xml:space="preserve"> W</w:t>
            </w:r>
            <w:r w:rsidRPr="000B7998">
              <w:t xml:space="preserve">est </w:t>
            </w:r>
            <w:r w:rsidR="00512D0C" w:rsidRPr="000B7998">
              <w:t xml:space="preserve">Metro </w:t>
            </w:r>
            <w:r w:rsidRPr="000B7998">
              <w:t>(opened May 2019) which has employed over 22,000 workers and will reduce the number of car trips on Sydney roads by 14 million a year</w:t>
            </w:r>
          </w:p>
          <w:p w14:paraId="4A56A76B" w14:textId="7A48076F" w:rsidR="005E62BE" w:rsidRPr="000A3A33" w:rsidRDefault="00783805" w:rsidP="00BF4099">
            <w:pPr>
              <w:pStyle w:val="Bullet1inabox"/>
            </w:pPr>
            <w:r w:rsidRPr="004719AD">
              <w:t>Sydney Metro City and Southwest which will employ over 6,000 workers during the construction period and over 44,000 additional jobs in the project corridor by 2036</w:t>
            </w:r>
          </w:p>
          <w:p w14:paraId="7961841E" w14:textId="3678AC5A" w:rsidR="005E62BE" w:rsidRPr="000B7998" w:rsidRDefault="005E62BE" w:rsidP="00BF4099">
            <w:pPr>
              <w:pStyle w:val="Bullet1inabox"/>
            </w:pPr>
            <w:r w:rsidRPr="000B7998">
              <w:t xml:space="preserve">Western Sydney Stadium (opened </w:t>
            </w:r>
            <w:r w:rsidR="00512D0C">
              <w:t>April</w:t>
            </w:r>
            <w:r w:rsidRPr="000B7998">
              <w:t xml:space="preserve"> 2019) has employed 1,200 workers during construction and will support up to 900 ongoing operational jobs</w:t>
            </w:r>
            <w:r>
              <w:t>.</w:t>
            </w:r>
            <w:r w:rsidRPr="000B7998">
              <w:t xml:space="preserve"> </w:t>
            </w:r>
          </w:p>
          <w:p w14:paraId="5A8EAEA8" w14:textId="15D3AD98" w:rsidR="00B04B5E" w:rsidRPr="00A1397D" w:rsidRDefault="00BD014A" w:rsidP="00BD014A">
            <w:pPr>
              <w:pStyle w:val="BodyTextBox"/>
              <w:framePr w:hSpace="0" w:wrap="auto" w:vAnchor="margin" w:hAnchor="text" w:yAlign="inline"/>
            </w:pPr>
            <w:r w:rsidRPr="00A1397D">
              <w:t>The Government’s investment in infrastructure is supporting economic activity and employment and will help the N</w:t>
            </w:r>
            <w:r w:rsidR="007F39EA" w:rsidRPr="00A1397D">
              <w:t xml:space="preserve">ew </w:t>
            </w:r>
            <w:r w:rsidRPr="00A1397D">
              <w:t>S</w:t>
            </w:r>
            <w:r w:rsidR="007F39EA" w:rsidRPr="00A1397D">
              <w:t xml:space="preserve">outh </w:t>
            </w:r>
            <w:r w:rsidRPr="00A1397D">
              <w:t>W</w:t>
            </w:r>
            <w:r w:rsidR="007F39EA" w:rsidRPr="00A1397D">
              <w:t>ales</w:t>
            </w:r>
            <w:r w:rsidRPr="00A1397D">
              <w:t xml:space="preserve"> economy achieve greater productive capacity, over the longer term</w:t>
            </w:r>
            <w:r w:rsidRPr="00A1397D">
              <w:rPr>
                <w:szCs w:val="23"/>
              </w:rPr>
              <w:t>.</w:t>
            </w:r>
          </w:p>
          <w:p w14:paraId="26DE5ED6" w14:textId="4485DBF7" w:rsidR="005E62BE" w:rsidRPr="00A1397D" w:rsidRDefault="00B04B5E" w:rsidP="00BD014A">
            <w:pPr>
              <w:pStyle w:val="BodyTextBox"/>
              <w:framePr w:hSpace="0" w:wrap="auto" w:vAnchor="margin" w:hAnchor="text" w:yAlign="inline"/>
            </w:pPr>
            <w:r w:rsidRPr="00A1397D">
              <w:t>Further, the Centre for International Economics has estimated that by 2056, the recommendations in the 2018 State Infrastructure Strategy will increase Gross State Product by $45 billion.</w:t>
            </w:r>
            <w:r w:rsidRPr="00A1397D">
              <w:rPr>
                <w:vertAlign w:val="superscript"/>
              </w:rPr>
              <w:footnoteReference w:id="6"/>
            </w:r>
          </w:p>
        </w:tc>
      </w:tr>
    </w:tbl>
    <w:p w14:paraId="138823D9" w14:textId="77777777" w:rsidR="007F6080" w:rsidRPr="00A1397D" w:rsidRDefault="007F6080" w:rsidP="007F6080">
      <w:pPr>
        <w:rPr>
          <w:rFonts w:ascii="Arial" w:hAnsi="Arial" w:cs="Arial"/>
        </w:rPr>
      </w:pPr>
    </w:p>
    <w:p w14:paraId="704DD3FC" w14:textId="77777777" w:rsidR="007F6080" w:rsidRPr="00A1397D" w:rsidRDefault="007F6080">
      <w:pPr>
        <w:rPr>
          <w:rFonts w:ascii="Arial" w:hAnsi="Arial" w:cs="Arial"/>
          <w:sz w:val="23"/>
          <w:lang w:val="en-AU"/>
        </w:rPr>
      </w:pPr>
      <w:bookmarkStart w:id="13" w:name="_Hlk515552781"/>
      <w:r w:rsidRPr="00A1397D">
        <w:rPr>
          <w:rFonts w:ascii="Arial" w:hAnsi="Arial" w:cs="Arial"/>
        </w:rPr>
        <w:br w:type="page"/>
      </w:r>
    </w:p>
    <w:p w14:paraId="784707F4" w14:textId="5E546F44" w:rsidR="00DF62AE" w:rsidRPr="00A1397D" w:rsidRDefault="00CC6BF6" w:rsidP="00BF4099">
      <w:pPr>
        <w:pStyle w:val="BodyText"/>
      </w:pPr>
      <w:r w:rsidRPr="00A1397D">
        <w:lastRenderedPageBreak/>
        <w:t xml:space="preserve">A rigorous planning and assessment process </w:t>
      </w:r>
      <w:r w:rsidR="009F389C" w:rsidRPr="00A1397D">
        <w:t xml:space="preserve">will </w:t>
      </w:r>
      <w:r w:rsidRPr="00A1397D">
        <w:t xml:space="preserve">allow the Government to </w:t>
      </w:r>
      <w:r w:rsidR="311A39C6" w:rsidRPr="00A1397D">
        <w:t>better meet the needs of</w:t>
      </w:r>
      <w:r w:rsidR="00DF62AE" w:rsidRPr="00A1397D">
        <w:t xml:space="preserve"> a growing and ageing population. For example, Infrastructure NSW estimate</w:t>
      </w:r>
      <w:r w:rsidR="006C0432" w:rsidRPr="00A1397D">
        <w:t>s</w:t>
      </w:r>
      <w:r w:rsidR="00DF62AE" w:rsidRPr="00A1397D">
        <w:t>:</w:t>
      </w:r>
    </w:p>
    <w:p w14:paraId="2F9B07F9" w14:textId="34A50532" w:rsidR="00027452" w:rsidRPr="00A1397D" w:rsidRDefault="00027452" w:rsidP="00BF4099">
      <w:pPr>
        <w:pStyle w:val="Bullet1"/>
      </w:pPr>
      <w:bookmarkStart w:id="14" w:name="_Hlk515552788"/>
      <w:bookmarkEnd w:id="13"/>
      <w:r w:rsidRPr="00A1397D">
        <w:t>enrolments in government and non</w:t>
      </w:r>
      <w:r w:rsidRPr="00A1397D">
        <w:noBreakHyphen/>
        <w:t>government schools will increase by about 25 per cent over the next 20 years, with more than 80 per cent of that growth occurring in Sydney</w:t>
      </w:r>
      <w:r w:rsidR="00100B2F" w:rsidRPr="00A1397D">
        <w:rPr>
          <w:vertAlign w:val="superscript"/>
        </w:rPr>
        <w:t>8</w:t>
      </w:r>
    </w:p>
    <w:bookmarkEnd w:id="14"/>
    <w:p w14:paraId="58091240" w14:textId="02C37F05" w:rsidR="00DF62AE" w:rsidRPr="00A1397D" w:rsidRDefault="00DF62AE" w:rsidP="00BF4099">
      <w:pPr>
        <w:pStyle w:val="Bullet1"/>
      </w:pPr>
      <w:r w:rsidRPr="00A1397D">
        <w:t>the demand for health care will grow by over 50 per cent in the next 20 years, compared with population growth of 28 per cent</w:t>
      </w:r>
      <w:r w:rsidR="00B178E2" w:rsidRPr="00A1397D">
        <w:t>.</w:t>
      </w:r>
      <w:r w:rsidRPr="00A1397D">
        <w:rPr>
          <w:vertAlign w:val="superscript"/>
        </w:rPr>
        <w:footnoteReference w:id="7"/>
      </w:r>
    </w:p>
    <w:p w14:paraId="4B435B7F" w14:textId="7CE001BB" w:rsidR="00CF01F3" w:rsidRPr="00A1397D" w:rsidRDefault="009410A9" w:rsidP="00BF4099">
      <w:pPr>
        <w:pStyle w:val="BodyText"/>
      </w:pPr>
      <w:r w:rsidRPr="00A1397D">
        <w:t>I</w:t>
      </w:r>
      <w:r w:rsidR="0086771B" w:rsidRPr="00A1397D">
        <w:t xml:space="preserve">nfrastructure investment </w:t>
      </w:r>
      <w:r w:rsidR="001A4A03" w:rsidRPr="00A1397D">
        <w:t>creates</w:t>
      </w:r>
      <w:r w:rsidR="00CF01F3" w:rsidRPr="00A1397D">
        <w:t xml:space="preserve"> social benefits</w:t>
      </w:r>
      <w:r w:rsidR="00222863" w:rsidRPr="00A1397D">
        <w:t xml:space="preserve"> </w:t>
      </w:r>
      <w:r w:rsidR="002321B5" w:rsidRPr="00A1397D">
        <w:t>by</w:t>
      </w:r>
      <w:r w:rsidR="001A4A03" w:rsidRPr="00A1397D">
        <w:t xml:space="preserve"> </w:t>
      </w:r>
      <w:r w:rsidR="00222863" w:rsidRPr="00A1397D">
        <w:t xml:space="preserve">improving the quality and </w:t>
      </w:r>
      <w:r w:rsidR="00926D5E" w:rsidRPr="00A1397D">
        <w:t xml:space="preserve">efficiency </w:t>
      </w:r>
      <w:r w:rsidR="00222863" w:rsidRPr="00A1397D">
        <w:t>of government services and enhancing social connections</w:t>
      </w:r>
      <w:r w:rsidRPr="00A1397D">
        <w:t>.</w:t>
      </w:r>
      <w:r w:rsidR="00CF01F3" w:rsidRPr="00A1397D">
        <w:t xml:space="preserve"> For example:</w:t>
      </w:r>
    </w:p>
    <w:p w14:paraId="7219F8FE" w14:textId="3AF70BEE" w:rsidR="003D7B75" w:rsidRPr="00A1397D" w:rsidRDefault="00CF01F3" w:rsidP="00BF4099">
      <w:pPr>
        <w:pStyle w:val="Bullet1"/>
      </w:pPr>
      <w:r w:rsidRPr="00A1397D">
        <w:t xml:space="preserve">world-class hospitals </w:t>
      </w:r>
      <w:r w:rsidR="0086771B" w:rsidRPr="00A1397D">
        <w:t xml:space="preserve">protect and improve the wellbeing of the community by </w:t>
      </w:r>
      <w:r w:rsidR="00A56D37" w:rsidRPr="00A1397D">
        <w:t>enabl</w:t>
      </w:r>
      <w:r w:rsidR="0086771B" w:rsidRPr="00A1397D">
        <w:t>ing</w:t>
      </w:r>
      <w:r w:rsidR="00222863" w:rsidRPr="00A1397D">
        <w:t xml:space="preserve"> doctors and nurses to provide high</w:t>
      </w:r>
      <w:r w:rsidR="00222863" w:rsidRPr="00A1397D">
        <w:noBreakHyphen/>
        <w:t>quality health</w:t>
      </w:r>
      <w:r w:rsidR="0027016B" w:rsidRPr="00A1397D">
        <w:t xml:space="preserve"> </w:t>
      </w:r>
      <w:r w:rsidR="00222863" w:rsidRPr="00A1397D">
        <w:t>care</w:t>
      </w:r>
    </w:p>
    <w:p w14:paraId="69720AA7" w14:textId="2DEA8717" w:rsidR="00793F64" w:rsidRPr="00A1397D" w:rsidRDefault="00793F64" w:rsidP="00BF4099">
      <w:pPr>
        <w:pStyle w:val="Bullet1"/>
      </w:pPr>
      <w:r w:rsidRPr="00A1397D">
        <w:t xml:space="preserve">modern schools </w:t>
      </w:r>
      <w:r w:rsidR="00D4267C" w:rsidRPr="00A1397D">
        <w:t xml:space="preserve">and training facilities </w:t>
      </w:r>
      <w:r w:rsidRPr="00A1397D">
        <w:t xml:space="preserve">ensure all </w:t>
      </w:r>
      <w:r w:rsidR="00D4267C" w:rsidRPr="00A1397D">
        <w:t>students</w:t>
      </w:r>
      <w:r w:rsidRPr="00A1397D">
        <w:t xml:space="preserve"> receive </w:t>
      </w:r>
      <w:r w:rsidR="009F389C" w:rsidRPr="00A1397D">
        <w:t xml:space="preserve">a </w:t>
      </w:r>
      <w:r w:rsidRPr="00A1397D">
        <w:t>quality education</w:t>
      </w:r>
      <w:r w:rsidR="00D4267C" w:rsidRPr="00A1397D">
        <w:t xml:space="preserve"> or training to equip them for the future</w:t>
      </w:r>
    </w:p>
    <w:p w14:paraId="570F958A" w14:textId="5312F684" w:rsidR="00222863" w:rsidRPr="00A1397D" w:rsidRDefault="00222863" w:rsidP="00BF4099">
      <w:pPr>
        <w:pStyle w:val="Bullet1"/>
      </w:pPr>
      <w:r w:rsidRPr="00A1397D">
        <w:t xml:space="preserve">social housing and mental health infrastructure support </w:t>
      </w:r>
      <w:r w:rsidR="00A56D37" w:rsidRPr="00A1397D">
        <w:t xml:space="preserve">those in need, including protecting the vulnerable and creating opportunities </w:t>
      </w:r>
      <w:r w:rsidR="0086771B" w:rsidRPr="00A1397D">
        <w:t>to improve their lives</w:t>
      </w:r>
      <w:r w:rsidR="00A56D37" w:rsidRPr="00A1397D">
        <w:t xml:space="preserve"> </w:t>
      </w:r>
    </w:p>
    <w:p w14:paraId="0BE8A60E" w14:textId="323EB2F7" w:rsidR="002F6884" w:rsidRPr="00A1397D" w:rsidRDefault="00222863" w:rsidP="00BF4099">
      <w:pPr>
        <w:pStyle w:val="Bullet1"/>
      </w:pPr>
      <w:r w:rsidRPr="00A1397D">
        <w:t>cultural and sporting infrastructure strengthen</w:t>
      </w:r>
      <w:r w:rsidR="00BA40A1" w:rsidRPr="00A1397D">
        <w:t>s</w:t>
      </w:r>
      <w:r w:rsidRPr="00A1397D">
        <w:t xml:space="preserve"> </w:t>
      </w:r>
      <w:r w:rsidR="009A5091" w:rsidRPr="00A1397D">
        <w:t xml:space="preserve">community </w:t>
      </w:r>
      <w:r w:rsidR="007171F0" w:rsidRPr="00A1397D">
        <w:t xml:space="preserve">engagement and </w:t>
      </w:r>
      <w:r w:rsidR="009A5091" w:rsidRPr="00A1397D">
        <w:t xml:space="preserve">cohesion </w:t>
      </w:r>
      <w:r w:rsidR="00A56D37" w:rsidRPr="00A1397D">
        <w:t xml:space="preserve">by </w:t>
      </w:r>
      <w:r w:rsidR="00152A44" w:rsidRPr="00A1397D">
        <w:t>enhancing</w:t>
      </w:r>
      <w:r w:rsidR="00A56D37" w:rsidRPr="00A1397D">
        <w:t xml:space="preserve"> </w:t>
      </w:r>
      <w:r w:rsidR="00A15F48" w:rsidRPr="00A1397D">
        <w:t>inter</w:t>
      </w:r>
      <w:r w:rsidR="00BA562B" w:rsidRPr="00A1397D">
        <w:t>connectivity</w:t>
      </w:r>
      <w:r w:rsidR="004C4B13" w:rsidRPr="00A1397D">
        <w:t xml:space="preserve"> and </w:t>
      </w:r>
      <w:r w:rsidR="007171F0" w:rsidRPr="00A1397D">
        <w:t xml:space="preserve">shared values. </w:t>
      </w:r>
      <w:r w:rsidR="00A15F48" w:rsidRPr="00A1397D">
        <w:t xml:space="preserve">Cultural infrastructure also </w:t>
      </w:r>
      <w:r w:rsidR="004C4B13" w:rsidRPr="00A1397D">
        <w:t>attrac</w:t>
      </w:r>
      <w:r w:rsidR="001A5C42" w:rsidRPr="00A1397D">
        <w:t xml:space="preserve">ts </w:t>
      </w:r>
      <w:r w:rsidR="004C4B13" w:rsidRPr="00A1397D">
        <w:t>tourism</w:t>
      </w:r>
      <w:r w:rsidR="001A5C42" w:rsidRPr="00A1397D">
        <w:t>,</w:t>
      </w:r>
      <w:r w:rsidR="004C4B13" w:rsidRPr="00A1397D">
        <w:t xml:space="preserve"> boost</w:t>
      </w:r>
      <w:r w:rsidR="001A5C42" w:rsidRPr="00A1397D">
        <w:t>ing</w:t>
      </w:r>
      <w:r w:rsidR="004C4B13" w:rsidRPr="00A1397D">
        <w:t xml:space="preserve"> the visitor economy</w:t>
      </w:r>
    </w:p>
    <w:p w14:paraId="20C23320" w14:textId="355E99D0" w:rsidR="00AD46C0" w:rsidRPr="00A1397D" w:rsidRDefault="006F337A" w:rsidP="00BF4099">
      <w:pPr>
        <w:pStyle w:val="Bullet1"/>
      </w:pPr>
      <w:bookmarkStart w:id="15" w:name="_Hlk515967892"/>
      <w:r w:rsidRPr="00A1397D">
        <w:t>r</w:t>
      </w:r>
      <w:r w:rsidR="000F2659" w:rsidRPr="00A1397D">
        <w:t>educ</w:t>
      </w:r>
      <w:r w:rsidRPr="00A1397D">
        <w:t>ing</w:t>
      </w:r>
      <w:r w:rsidR="000F2659" w:rsidRPr="00A1397D">
        <w:t xml:space="preserve"> </w:t>
      </w:r>
      <w:r w:rsidR="00BA40A1" w:rsidRPr="00A1397D">
        <w:t xml:space="preserve">road </w:t>
      </w:r>
      <w:r w:rsidR="00FC1F6E" w:rsidRPr="00A1397D">
        <w:t xml:space="preserve">congestion </w:t>
      </w:r>
      <w:r w:rsidR="000300A8" w:rsidRPr="00A1397D">
        <w:t>shorten</w:t>
      </w:r>
      <w:r w:rsidR="009B6F39" w:rsidRPr="00A1397D">
        <w:t>s</w:t>
      </w:r>
      <w:r w:rsidR="007B3E16" w:rsidRPr="00A1397D">
        <w:t xml:space="preserve"> travel time</w:t>
      </w:r>
      <w:r w:rsidR="00B10C87" w:rsidRPr="00A1397D">
        <w:t>s</w:t>
      </w:r>
      <w:r w:rsidR="00372008" w:rsidRPr="00A1397D">
        <w:t>,</w:t>
      </w:r>
      <w:r w:rsidR="0038471C" w:rsidRPr="00A1397D">
        <w:t xml:space="preserve"> </w:t>
      </w:r>
      <w:r w:rsidR="007B3E16" w:rsidRPr="00A1397D">
        <w:t>increase</w:t>
      </w:r>
      <w:r w:rsidR="009B6F39" w:rsidRPr="00A1397D">
        <w:t>s</w:t>
      </w:r>
      <w:r w:rsidR="007B3E16" w:rsidRPr="00A1397D">
        <w:t xml:space="preserve"> productivity</w:t>
      </w:r>
      <w:r w:rsidR="0038471C" w:rsidRPr="00A1397D">
        <w:t>, reduc</w:t>
      </w:r>
      <w:r w:rsidR="00372008" w:rsidRPr="00A1397D">
        <w:t>e</w:t>
      </w:r>
      <w:r w:rsidR="009B6F39" w:rsidRPr="00A1397D">
        <w:t>s</w:t>
      </w:r>
      <w:r w:rsidR="0038471C" w:rsidRPr="00A1397D">
        <w:t xml:space="preserve"> pollution</w:t>
      </w:r>
      <w:r w:rsidR="00372008" w:rsidRPr="00A1397D">
        <w:t xml:space="preserve"> and </w:t>
      </w:r>
      <w:r w:rsidR="00FB0C1F" w:rsidRPr="00A1397D">
        <w:t>improve</w:t>
      </w:r>
      <w:r w:rsidR="00D337B7" w:rsidRPr="00A1397D">
        <w:t>s</w:t>
      </w:r>
      <w:r w:rsidR="004D0765" w:rsidRPr="00A1397D">
        <w:t xml:space="preserve"> </w:t>
      </w:r>
      <w:r w:rsidR="00FB0C1F" w:rsidRPr="00A1397D">
        <w:t>overall quality of life</w:t>
      </w:r>
    </w:p>
    <w:p w14:paraId="1661304B" w14:textId="474E4609" w:rsidR="00626E55" w:rsidRPr="00A1397D" w:rsidRDefault="00B43184" w:rsidP="00BF4099">
      <w:pPr>
        <w:pStyle w:val="Bullet1"/>
      </w:pPr>
      <w:r w:rsidRPr="00A1397D">
        <w:t xml:space="preserve">digital </w:t>
      </w:r>
      <w:r w:rsidR="00E87BB6" w:rsidRPr="00A1397D">
        <w:t>enhancements</w:t>
      </w:r>
      <w:r w:rsidR="001E5726" w:rsidRPr="00A1397D">
        <w:t xml:space="preserve"> improve </w:t>
      </w:r>
      <w:r w:rsidR="005C6489" w:rsidRPr="00A1397D">
        <w:t>internet connectivity</w:t>
      </w:r>
      <w:r w:rsidR="00963B55" w:rsidRPr="00A1397D">
        <w:t>, speeds and reliability</w:t>
      </w:r>
      <w:r w:rsidR="00F248EC" w:rsidRPr="00A1397D">
        <w:t>,</w:t>
      </w:r>
      <w:r w:rsidR="00963B55" w:rsidRPr="00A1397D">
        <w:t xml:space="preserve"> </w:t>
      </w:r>
      <w:r w:rsidR="008E23D9" w:rsidRPr="00A1397D">
        <w:t>w</w:t>
      </w:r>
      <w:r w:rsidR="00581BDD" w:rsidRPr="00A1397D">
        <w:t xml:space="preserve">hich leads to </w:t>
      </w:r>
      <w:r w:rsidR="004B6614" w:rsidRPr="00A1397D">
        <w:t xml:space="preserve">gains in productivity and </w:t>
      </w:r>
      <w:r w:rsidR="00052797" w:rsidRPr="00A1397D">
        <w:t xml:space="preserve">social inclusion </w:t>
      </w:r>
      <w:r w:rsidR="00914ED9" w:rsidRPr="00A1397D">
        <w:t>across</w:t>
      </w:r>
      <w:r w:rsidR="008E23D9" w:rsidRPr="00A1397D">
        <w:t xml:space="preserve"> </w:t>
      </w:r>
      <w:r w:rsidR="00914ED9" w:rsidRPr="00A1397D">
        <w:t xml:space="preserve">our communities, especially </w:t>
      </w:r>
      <w:r w:rsidR="004A4781" w:rsidRPr="00A1397D">
        <w:t xml:space="preserve">in </w:t>
      </w:r>
      <w:r w:rsidR="00914ED9" w:rsidRPr="00A1397D">
        <w:t>remote and regional areas</w:t>
      </w:r>
      <w:r w:rsidR="00134683" w:rsidRPr="00A1397D">
        <w:t>.</w:t>
      </w:r>
    </w:p>
    <w:bookmarkEnd w:id="15"/>
    <w:p w14:paraId="19DD6F35" w14:textId="38AF54C0" w:rsidR="007C0428" w:rsidRPr="00A1397D" w:rsidRDefault="00C87436" w:rsidP="00BF4099">
      <w:pPr>
        <w:pStyle w:val="BodyText"/>
      </w:pPr>
      <w:r w:rsidRPr="00A1397D">
        <w:t xml:space="preserve">The </w:t>
      </w:r>
      <w:r w:rsidR="00C70028" w:rsidRPr="00A1397D">
        <w:t>G</w:t>
      </w:r>
      <w:r w:rsidRPr="00A1397D">
        <w:t xml:space="preserve">overnment is responding to these challenges </w:t>
      </w:r>
      <w:r w:rsidR="003D6A80" w:rsidRPr="00A1397D">
        <w:t>through its</w:t>
      </w:r>
      <w:r w:rsidRPr="00A1397D">
        <w:t xml:space="preserve"> record capital program </w:t>
      </w:r>
      <w:r w:rsidR="003D6A80" w:rsidRPr="00A1397D">
        <w:t xml:space="preserve">which </w:t>
      </w:r>
      <w:r w:rsidRPr="00A1397D">
        <w:t>will improve essential services</w:t>
      </w:r>
      <w:r w:rsidR="00793F64" w:rsidRPr="00A1397D">
        <w:t xml:space="preserve"> </w:t>
      </w:r>
      <w:r w:rsidR="00283EF0" w:rsidRPr="00A1397D">
        <w:t>and meet the needs of the community now and into the future</w:t>
      </w:r>
      <w:r w:rsidR="00633670" w:rsidRPr="00A1397D">
        <w:t xml:space="preserve"> (see </w:t>
      </w:r>
      <w:r w:rsidR="003F52E1" w:rsidRPr="00A1397D">
        <w:t>Box 1.</w:t>
      </w:r>
      <w:r w:rsidR="00633670" w:rsidRPr="00A1397D">
        <w:t>2).</w:t>
      </w:r>
    </w:p>
    <w:p w14:paraId="1F091B62" w14:textId="5E3F5F62" w:rsidR="004356CA" w:rsidRPr="00826275" w:rsidRDefault="005465FC" w:rsidP="00A33734">
      <w:pPr>
        <w:pStyle w:val="Heading2"/>
      </w:pPr>
      <w:bookmarkStart w:id="16" w:name="_Hlk11140559"/>
      <w:r>
        <w:t>Our</w:t>
      </w:r>
      <w:r w:rsidR="00D57C99" w:rsidRPr="00826275">
        <w:t xml:space="preserve"> fiscal management</w:t>
      </w:r>
    </w:p>
    <w:p w14:paraId="3B6C2F61" w14:textId="377ECE04" w:rsidR="004356CA" w:rsidRPr="00A1397D" w:rsidRDefault="004356CA" w:rsidP="00BF4099">
      <w:pPr>
        <w:pStyle w:val="BodyText"/>
      </w:pPr>
      <w:r w:rsidRPr="00A1397D">
        <w:t xml:space="preserve">The </w:t>
      </w:r>
      <w:r w:rsidR="00185C47" w:rsidRPr="00A1397D">
        <w:t xml:space="preserve">Government’s </w:t>
      </w:r>
      <w:r w:rsidRPr="00A1397D">
        <w:t xml:space="preserve">record infrastructure program is </w:t>
      </w:r>
      <w:r w:rsidR="00185C47" w:rsidRPr="00A1397D">
        <w:t>made</w:t>
      </w:r>
      <w:r w:rsidR="00663AF9" w:rsidRPr="00A1397D">
        <w:t xml:space="preserve"> </w:t>
      </w:r>
      <w:r w:rsidR="00793F64" w:rsidRPr="00A1397D">
        <w:t xml:space="preserve">possible </w:t>
      </w:r>
      <w:r w:rsidR="008D1D16" w:rsidRPr="00A1397D">
        <w:t>because of</w:t>
      </w:r>
      <w:r w:rsidR="00221589" w:rsidRPr="00A1397D">
        <w:t xml:space="preserve"> strong</w:t>
      </w:r>
      <w:r w:rsidRPr="00A1397D">
        <w:t xml:space="preserve"> </w:t>
      </w:r>
      <w:r w:rsidR="00663AF9" w:rsidRPr="00A1397D">
        <w:t xml:space="preserve">and sustainable </w:t>
      </w:r>
      <w:r w:rsidRPr="00A1397D">
        <w:t>fiscal management</w:t>
      </w:r>
      <w:r w:rsidR="0078163D" w:rsidRPr="00A1397D">
        <w:t>. This</w:t>
      </w:r>
      <w:r w:rsidRPr="00A1397D">
        <w:t xml:space="preserve"> has </w:t>
      </w:r>
      <w:r w:rsidR="006A2FBC" w:rsidRPr="00A1397D">
        <w:t>enabled</w:t>
      </w:r>
      <w:r w:rsidRPr="00A1397D">
        <w:t xml:space="preserve"> </w:t>
      </w:r>
      <w:r w:rsidR="006A2FBC" w:rsidRPr="00A1397D">
        <w:t xml:space="preserve">the acceleration of critical </w:t>
      </w:r>
      <w:r w:rsidR="00534CDD" w:rsidRPr="00A1397D">
        <w:t xml:space="preserve">projects </w:t>
      </w:r>
      <w:r w:rsidRPr="00A1397D">
        <w:t>whil</w:t>
      </w:r>
      <w:r w:rsidR="009E6A3E" w:rsidRPr="00A1397D">
        <w:t>e</w:t>
      </w:r>
      <w:r w:rsidRPr="00A1397D">
        <w:t xml:space="preserve"> maintaining the State’s triple-A credit rating. </w:t>
      </w:r>
      <w:r w:rsidR="00CC52CB" w:rsidRPr="00A1397D">
        <w:t>This</w:t>
      </w:r>
      <w:r w:rsidRPr="00A1397D">
        <w:t xml:space="preserve"> include</w:t>
      </w:r>
      <w:r w:rsidR="00CC52CB" w:rsidRPr="00A1397D">
        <w:t>s</w:t>
      </w:r>
      <w:r w:rsidRPr="00A1397D">
        <w:t>:</w:t>
      </w:r>
    </w:p>
    <w:p w14:paraId="40627F98" w14:textId="77777777" w:rsidR="004356CA" w:rsidRPr="00A1397D" w:rsidRDefault="00E21EF7" w:rsidP="00BF4099">
      <w:pPr>
        <w:pStyle w:val="Bullet1"/>
      </w:pPr>
      <w:r w:rsidRPr="00A1397D">
        <w:t xml:space="preserve">continuing </w:t>
      </w:r>
      <w:r w:rsidR="004356CA" w:rsidRPr="00A1397D">
        <w:t xml:space="preserve">management of recurrent expenditure, consistent with the </w:t>
      </w:r>
      <w:r w:rsidR="004356CA" w:rsidRPr="00A1397D">
        <w:rPr>
          <w:i/>
        </w:rPr>
        <w:t>Fiscal Responsibility Act 2012</w:t>
      </w:r>
      <w:r w:rsidR="00B2185F" w:rsidRPr="00A1397D">
        <w:t xml:space="preserve"> </w:t>
      </w:r>
    </w:p>
    <w:p w14:paraId="1DC5BE84" w14:textId="57A90C82" w:rsidR="004356CA" w:rsidRPr="00A1397D" w:rsidRDefault="00CC52CB" w:rsidP="00BF4099">
      <w:pPr>
        <w:pStyle w:val="Bullet1"/>
      </w:pPr>
      <w:r w:rsidRPr="00A1397D">
        <w:t xml:space="preserve">active </w:t>
      </w:r>
      <w:r w:rsidR="004356CA" w:rsidRPr="00A1397D">
        <w:t>management</w:t>
      </w:r>
      <w:r w:rsidR="00273FCC" w:rsidRPr="00A1397D">
        <w:t xml:space="preserve"> of the State’s balance sheet</w:t>
      </w:r>
      <w:r w:rsidR="004356CA" w:rsidRPr="00A1397D">
        <w:t xml:space="preserve">, including </w:t>
      </w:r>
      <w:r w:rsidR="0096083C" w:rsidRPr="00A1397D">
        <w:t xml:space="preserve">reinvesting the proceeds of </w:t>
      </w:r>
      <w:r w:rsidR="004356CA" w:rsidRPr="00A1397D">
        <w:t>asset recycling into productive infrastructure</w:t>
      </w:r>
      <w:r w:rsidR="002D3420" w:rsidRPr="00A1397D">
        <w:t xml:space="preserve"> via </w:t>
      </w:r>
      <w:r w:rsidR="009F4208" w:rsidRPr="00A1397D">
        <w:t>the New South Wales Infrast</w:t>
      </w:r>
      <w:r w:rsidR="0095194A" w:rsidRPr="00A1397D">
        <w:t xml:space="preserve">ructure </w:t>
      </w:r>
      <w:r w:rsidR="002E1B4A" w:rsidRPr="00A1397D">
        <w:t xml:space="preserve">Future </w:t>
      </w:r>
      <w:r w:rsidR="0095194A" w:rsidRPr="00A1397D">
        <w:t>Fund</w:t>
      </w:r>
      <w:r w:rsidR="0029066C" w:rsidRPr="00A1397D">
        <w:t xml:space="preserve"> (NIFF), allowing the Government to generate additional returns for taxpayers </w:t>
      </w:r>
    </w:p>
    <w:p w14:paraId="462A8EB1" w14:textId="45F0C63E" w:rsidR="004356CA" w:rsidRPr="00A1397D" w:rsidRDefault="004356CA" w:rsidP="00BF4099">
      <w:pPr>
        <w:pStyle w:val="Bullet1"/>
      </w:pPr>
      <w:r w:rsidRPr="00A1397D">
        <w:t>whole-of-government prioritisation of capital projects</w:t>
      </w:r>
      <w:r w:rsidR="00221589" w:rsidRPr="00A1397D">
        <w:t>,</w:t>
      </w:r>
      <w:r w:rsidRPr="00A1397D">
        <w:t xml:space="preserve"> </w:t>
      </w:r>
      <w:r w:rsidR="00221589" w:rsidRPr="00A1397D">
        <w:t xml:space="preserve">based on </w:t>
      </w:r>
      <w:r w:rsidR="0021738E" w:rsidRPr="00A1397D">
        <w:t xml:space="preserve">a </w:t>
      </w:r>
      <w:r w:rsidR="005F02D6" w:rsidRPr="00A1397D">
        <w:t>rigorous</w:t>
      </w:r>
      <w:r w:rsidR="00221589" w:rsidRPr="00A1397D">
        <w:t xml:space="preserve"> project assessment</w:t>
      </w:r>
      <w:r w:rsidR="005F02D6" w:rsidRPr="00A1397D">
        <w:t xml:space="preserve"> process</w:t>
      </w:r>
      <w:r w:rsidR="00221589" w:rsidRPr="00A1397D">
        <w:t xml:space="preserve">, </w:t>
      </w:r>
      <w:r w:rsidRPr="00A1397D">
        <w:t>to enable a more strategic approach to capital allocation.</w:t>
      </w:r>
    </w:p>
    <w:bookmarkEnd w:id="16"/>
    <w:p w14:paraId="2BEE2917" w14:textId="77777777" w:rsidR="00EC4C2E" w:rsidRPr="00A1397D" w:rsidRDefault="00EC4C2E">
      <w:pPr>
        <w:rPr>
          <w:rFonts w:ascii="Arial" w:hAnsi="Arial" w:cs="Arial"/>
          <w:sz w:val="23"/>
          <w:lang w:val="en-AU"/>
        </w:rPr>
      </w:pPr>
      <w:r w:rsidRPr="00A1397D">
        <w:rPr>
          <w:rFonts w:ascii="Arial" w:hAnsi="Arial" w:cs="Arial"/>
        </w:rPr>
        <w:br w:type="page"/>
      </w:r>
    </w:p>
    <w:p w14:paraId="2C47531C" w14:textId="7EEEFA7D" w:rsidR="003F2CD0" w:rsidRPr="00A1397D" w:rsidRDefault="008A008E" w:rsidP="00BF4099">
      <w:pPr>
        <w:pStyle w:val="BodyText"/>
      </w:pPr>
      <w:r w:rsidRPr="00A1397D">
        <w:lastRenderedPageBreak/>
        <w:t xml:space="preserve">The </w:t>
      </w:r>
      <w:r w:rsidR="00251D77" w:rsidRPr="00A1397D">
        <w:t>G</w:t>
      </w:r>
      <w:r w:rsidRPr="00A1397D">
        <w:t xml:space="preserve">overnment </w:t>
      </w:r>
      <w:r w:rsidR="007F14FB" w:rsidRPr="00A1397D">
        <w:t>uses</w:t>
      </w:r>
      <w:r w:rsidRPr="00A1397D">
        <w:t xml:space="preserve"> a strong c</w:t>
      </w:r>
      <w:r w:rsidR="004356CA" w:rsidRPr="00A1397D">
        <w:t>apital investment framework</w:t>
      </w:r>
      <w:r w:rsidRPr="00A1397D">
        <w:t xml:space="preserve"> </w:t>
      </w:r>
      <w:r w:rsidR="002C60CD" w:rsidRPr="00A1397D">
        <w:t>to</w:t>
      </w:r>
      <w:r w:rsidRPr="00A1397D">
        <w:t xml:space="preserve"> underpin</w:t>
      </w:r>
      <w:r w:rsidR="002C60CD" w:rsidRPr="00A1397D">
        <w:t xml:space="preserve"> investment decisions</w:t>
      </w:r>
      <w:r w:rsidR="00251D77" w:rsidRPr="00A1397D">
        <w:t xml:space="preserve">. This framework </w:t>
      </w:r>
      <w:r w:rsidR="00061C48" w:rsidRPr="00A1397D">
        <w:t xml:space="preserve">has been </w:t>
      </w:r>
      <w:r w:rsidR="00221589" w:rsidRPr="00A1397D">
        <w:t xml:space="preserve">designed </w:t>
      </w:r>
      <w:r w:rsidR="004356CA" w:rsidRPr="00A1397D">
        <w:t xml:space="preserve">to ensure </w:t>
      </w:r>
      <w:r w:rsidR="00B04BF2" w:rsidRPr="00A1397D">
        <w:t>the Government</w:t>
      </w:r>
      <w:r w:rsidR="00067084" w:rsidRPr="00A1397D">
        <w:t xml:space="preserve"> invests</w:t>
      </w:r>
      <w:r w:rsidR="00B04BF2" w:rsidRPr="00A1397D">
        <w:t xml:space="preserve"> </w:t>
      </w:r>
      <w:r w:rsidR="004356CA" w:rsidRPr="00A1397D">
        <w:t xml:space="preserve">in </w:t>
      </w:r>
      <w:r w:rsidR="00756454" w:rsidRPr="00A1397D">
        <w:t>critical</w:t>
      </w:r>
      <w:r w:rsidR="004356CA" w:rsidRPr="00A1397D">
        <w:t xml:space="preserve"> infrastructure projects</w:t>
      </w:r>
      <w:r w:rsidR="00D25DE0" w:rsidRPr="00A1397D">
        <w:t xml:space="preserve"> </w:t>
      </w:r>
      <w:r w:rsidR="00BA6DD7" w:rsidRPr="00A1397D">
        <w:t>that</w:t>
      </w:r>
      <w:r w:rsidR="00D25DE0" w:rsidRPr="00A1397D">
        <w:t xml:space="preserve"> </w:t>
      </w:r>
      <w:r w:rsidR="008210FF" w:rsidRPr="00A1397D">
        <w:t xml:space="preserve">provide the greatest </w:t>
      </w:r>
      <w:r w:rsidR="0059549F" w:rsidRPr="00A1397D">
        <w:t xml:space="preserve">economic </w:t>
      </w:r>
      <w:r w:rsidR="00F875B7" w:rsidRPr="00A1397D">
        <w:t>benefit</w:t>
      </w:r>
      <w:r w:rsidR="0096083C" w:rsidRPr="00A1397D">
        <w:t xml:space="preserve"> for </w:t>
      </w:r>
      <w:r w:rsidR="004356CA" w:rsidRPr="00A1397D">
        <w:t>the most effici</w:t>
      </w:r>
      <w:r w:rsidR="00D25DE0" w:rsidRPr="00A1397D">
        <w:t>ent cost</w:t>
      </w:r>
      <w:r w:rsidR="004356CA" w:rsidRPr="00A1397D">
        <w:t xml:space="preserve">. </w:t>
      </w:r>
    </w:p>
    <w:p w14:paraId="69B0F3BD" w14:textId="505D7466" w:rsidR="007D3EDE" w:rsidRPr="00A1397D" w:rsidRDefault="004356CA" w:rsidP="00BF4099">
      <w:pPr>
        <w:pStyle w:val="BodyText"/>
      </w:pPr>
      <w:r w:rsidRPr="00A1397D">
        <w:t>Th</w:t>
      </w:r>
      <w:r w:rsidR="00BC46B3" w:rsidRPr="00A1397D">
        <w:t>e</w:t>
      </w:r>
      <w:r w:rsidRPr="00A1397D">
        <w:t xml:space="preserve"> framework integrates planning, project selection, funding and delivery</w:t>
      </w:r>
      <w:r w:rsidR="00B22D5F" w:rsidRPr="00A1397D">
        <w:t>.</w:t>
      </w:r>
      <w:r w:rsidR="00BC46B3" w:rsidRPr="00A1397D">
        <w:t xml:space="preserve"> Chapter </w:t>
      </w:r>
      <w:r w:rsidR="00681348" w:rsidRPr="00A1397D">
        <w:t xml:space="preserve">4 </w:t>
      </w:r>
      <w:r w:rsidRPr="00A1397D">
        <w:t xml:space="preserve">of this </w:t>
      </w:r>
      <w:r w:rsidRPr="00A1397D">
        <w:rPr>
          <w:i/>
        </w:rPr>
        <w:t>Infrastructure Statement</w:t>
      </w:r>
      <w:r w:rsidR="00B22D5F" w:rsidRPr="00A1397D">
        <w:rPr>
          <w:i/>
        </w:rPr>
        <w:t xml:space="preserve"> </w:t>
      </w:r>
      <w:r w:rsidR="00856557" w:rsidRPr="00A1397D">
        <w:t xml:space="preserve">provides </w:t>
      </w:r>
      <w:r w:rsidR="00B22D5F" w:rsidRPr="00A1397D">
        <w:t xml:space="preserve">further </w:t>
      </w:r>
      <w:r w:rsidR="00301AF9" w:rsidRPr="00A1397D">
        <w:t xml:space="preserve">information </w:t>
      </w:r>
      <w:r w:rsidR="00856557" w:rsidRPr="00A1397D">
        <w:t>o</w:t>
      </w:r>
      <w:r w:rsidR="00A62871" w:rsidRPr="00A1397D">
        <w:t>n</w:t>
      </w:r>
      <w:r w:rsidR="00B22D5F" w:rsidRPr="00A1397D">
        <w:t xml:space="preserve"> the investment framework</w:t>
      </w:r>
      <w:r w:rsidRPr="00A1397D">
        <w:t>.</w:t>
      </w:r>
    </w:p>
    <w:p w14:paraId="0EA1E754" w14:textId="1F9BA469" w:rsidR="00D9177E" w:rsidRPr="00A1397D" w:rsidRDefault="00BC46B3" w:rsidP="00BF4099">
      <w:pPr>
        <w:pStyle w:val="BodyText"/>
      </w:pPr>
      <w:r w:rsidRPr="00A1397D">
        <w:t>Infrastructure N</w:t>
      </w:r>
      <w:r w:rsidR="003B51A6" w:rsidRPr="00A1397D">
        <w:t>SW plays a key</w:t>
      </w:r>
      <w:r w:rsidRPr="00A1397D">
        <w:t xml:space="preserve"> role in</w:t>
      </w:r>
      <w:r w:rsidR="003B51A6" w:rsidRPr="00A1397D">
        <w:t xml:space="preserve"> assisting the </w:t>
      </w:r>
      <w:r w:rsidR="008F5C4C" w:rsidRPr="00A1397D">
        <w:t>G</w:t>
      </w:r>
      <w:r w:rsidR="003B51A6" w:rsidRPr="00A1397D">
        <w:t xml:space="preserve">overnment to identify and prioritise infrastructure projects. </w:t>
      </w:r>
      <w:r w:rsidR="00915FEF" w:rsidRPr="00A1397D">
        <w:t xml:space="preserve">It </w:t>
      </w:r>
      <w:r w:rsidRPr="00A1397D">
        <w:t>provide</w:t>
      </w:r>
      <w:r w:rsidR="00915FEF" w:rsidRPr="00A1397D">
        <w:t>s</w:t>
      </w:r>
      <w:r w:rsidRPr="00A1397D">
        <w:t xml:space="preserve"> independent </w:t>
      </w:r>
      <w:r w:rsidR="00B04BF2" w:rsidRPr="00A1397D">
        <w:t xml:space="preserve">advice </w:t>
      </w:r>
      <w:r w:rsidRPr="00A1397D">
        <w:t xml:space="preserve">on infrastructure </w:t>
      </w:r>
      <w:r w:rsidR="0096083C" w:rsidRPr="00A1397D">
        <w:t>needs</w:t>
      </w:r>
      <w:r w:rsidRPr="00A1397D">
        <w:t xml:space="preserve"> and delivery</w:t>
      </w:r>
      <w:r w:rsidR="003B51A6" w:rsidRPr="00A1397D">
        <w:t xml:space="preserve">, with a focus on capital investment </w:t>
      </w:r>
      <w:r w:rsidR="004C2988" w:rsidRPr="00A1397D">
        <w:t xml:space="preserve">that brings </w:t>
      </w:r>
      <w:r w:rsidR="003B51A6" w:rsidRPr="00A1397D">
        <w:t>economic growth and social well</w:t>
      </w:r>
      <w:r w:rsidR="00681348" w:rsidRPr="00A1397D">
        <w:noBreakHyphen/>
      </w:r>
      <w:r w:rsidR="003B51A6" w:rsidRPr="00A1397D">
        <w:t>being</w:t>
      </w:r>
      <w:r w:rsidRPr="00A1397D">
        <w:t>.</w:t>
      </w:r>
    </w:p>
    <w:p w14:paraId="60EC4807" w14:textId="77777777" w:rsidR="008B0580" w:rsidRPr="00826275" w:rsidRDefault="008B0580" w:rsidP="008B0580">
      <w:pPr>
        <w:pStyle w:val="Heading3"/>
      </w:pPr>
      <w:r w:rsidRPr="00826275">
        <w:t>Asset recycling strategy</w:t>
      </w:r>
    </w:p>
    <w:p w14:paraId="63941712" w14:textId="786B8BF5" w:rsidR="008B0580" w:rsidRPr="00A1397D" w:rsidRDefault="008B0580" w:rsidP="00BF4099">
      <w:pPr>
        <w:pStyle w:val="BodyText"/>
      </w:pPr>
      <w:r w:rsidRPr="00A1397D">
        <w:t>The Government’s successful asset recycling strategy is enabling the delivery of</w:t>
      </w:r>
      <w:r w:rsidR="004329B6" w:rsidRPr="00A1397D">
        <w:t xml:space="preserve"> its</w:t>
      </w:r>
      <w:r w:rsidRPr="00A1397D">
        <w:t xml:space="preserve"> record </w:t>
      </w:r>
      <w:r w:rsidR="004329B6" w:rsidRPr="00A1397D">
        <w:t>infras</w:t>
      </w:r>
      <w:r w:rsidR="00AC3950" w:rsidRPr="00A1397D">
        <w:t>tructure</w:t>
      </w:r>
      <w:r w:rsidRPr="00A1397D">
        <w:t xml:space="preserve"> program</w:t>
      </w:r>
      <w:r w:rsidR="00E10A34" w:rsidRPr="00A1397D">
        <w:t xml:space="preserve"> and</w:t>
      </w:r>
      <w:r w:rsidR="00C71494" w:rsidRPr="00A1397D">
        <w:t xml:space="preserve"> contributing to</w:t>
      </w:r>
      <w:r w:rsidR="00DD01B7" w:rsidRPr="00A1397D">
        <w:t xml:space="preserve"> the</w:t>
      </w:r>
      <w:r w:rsidR="002A6FF2" w:rsidRPr="00A1397D">
        <w:t xml:space="preserve"> Government’s </w:t>
      </w:r>
      <w:r w:rsidR="00FD4B9B" w:rsidRPr="00A1397D">
        <w:t xml:space="preserve">commitment </w:t>
      </w:r>
      <w:r w:rsidR="00F96480" w:rsidRPr="00A1397D">
        <w:t xml:space="preserve">to </w:t>
      </w:r>
      <w:r w:rsidRPr="00A1397D">
        <w:t>maintain</w:t>
      </w:r>
      <w:r w:rsidR="008C1310" w:rsidRPr="00A1397D">
        <w:t>ing</w:t>
      </w:r>
      <w:r w:rsidRPr="00A1397D">
        <w:t xml:space="preserve"> </w:t>
      </w:r>
      <w:r w:rsidR="004D5049" w:rsidRPr="00A1397D">
        <w:t xml:space="preserve">the </w:t>
      </w:r>
      <w:r w:rsidRPr="00A1397D">
        <w:t xml:space="preserve">State’s triple-A credit rating. Asset recycling proceeds have </w:t>
      </w:r>
      <w:r w:rsidR="002F71A5" w:rsidRPr="00A1397D">
        <w:t xml:space="preserve">been invested in special purpose funds </w:t>
      </w:r>
      <w:r w:rsidR="00562527" w:rsidRPr="00A1397D">
        <w:t xml:space="preserve">such as the NIFF </w:t>
      </w:r>
      <w:r w:rsidR="00464F14" w:rsidRPr="00A1397D">
        <w:t xml:space="preserve">and the </w:t>
      </w:r>
      <w:r w:rsidR="00FE023E" w:rsidRPr="00A1397D">
        <w:t>NSW Generations Fund (</w:t>
      </w:r>
      <w:r w:rsidR="00DC097B" w:rsidRPr="00A1397D">
        <w:t xml:space="preserve">Refer to </w:t>
      </w:r>
      <w:r w:rsidR="00EA3C4E" w:rsidRPr="00A1397D">
        <w:t>s</w:t>
      </w:r>
      <w:r w:rsidR="00DC097B" w:rsidRPr="00A1397D">
        <w:t xml:space="preserve">ection 8.3 of </w:t>
      </w:r>
      <w:r w:rsidR="00EA3C4E" w:rsidRPr="00A1397D">
        <w:t>Budget Paper 1)</w:t>
      </w:r>
      <w:r w:rsidRPr="00A1397D">
        <w:t xml:space="preserve">, strengthening </w:t>
      </w:r>
      <w:r w:rsidR="004A089E" w:rsidRPr="00A1397D">
        <w:t>the</w:t>
      </w:r>
      <w:r w:rsidRPr="00A1397D">
        <w:t xml:space="preserve"> </w:t>
      </w:r>
      <w:r w:rsidR="00215C27" w:rsidRPr="00A1397D">
        <w:t xml:space="preserve">State’s </w:t>
      </w:r>
      <w:r w:rsidRPr="00A1397D">
        <w:t>net debt position and boosting budget reserves.</w:t>
      </w:r>
    </w:p>
    <w:p w14:paraId="43460846" w14:textId="6C269198" w:rsidR="008B0580" w:rsidRPr="00A1397D" w:rsidRDefault="008B0580" w:rsidP="00BF4099">
      <w:pPr>
        <w:pStyle w:val="BodyText"/>
      </w:pPr>
      <w:r w:rsidRPr="00A1397D">
        <w:t xml:space="preserve">Asset recycling has unlocked </w:t>
      </w:r>
      <w:r w:rsidR="00FB3B29" w:rsidRPr="00A1397D">
        <w:t xml:space="preserve">additional </w:t>
      </w:r>
      <w:r w:rsidRPr="00A1397D">
        <w:t>funding for infrastructure projects and</w:t>
      </w:r>
      <w:r w:rsidR="005C1D61" w:rsidRPr="00A1397D">
        <w:t xml:space="preserve"> </w:t>
      </w:r>
      <w:r w:rsidRPr="00A1397D">
        <w:t xml:space="preserve">enabled the </w:t>
      </w:r>
      <w:r w:rsidR="005C1D61" w:rsidRPr="00A1397D">
        <w:t xml:space="preserve">accelerated delivery </w:t>
      </w:r>
      <w:r w:rsidRPr="00A1397D">
        <w:t>of critical projects</w:t>
      </w:r>
      <w:r w:rsidR="00F35192" w:rsidRPr="00A1397D">
        <w:t>.</w:t>
      </w:r>
      <w:r w:rsidRPr="00A1397D">
        <w:t xml:space="preserve"> </w:t>
      </w:r>
      <w:r w:rsidR="00F35192" w:rsidRPr="00A1397D">
        <w:t>Examples</w:t>
      </w:r>
      <w:r w:rsidR="0065069A" w:rsidRPr="00A1397D">
        <w:t xml:space="preserve"> include</w:t>
      </w:r>
      <w:r w:rsidR="001225FC" w:rsidRPr="00A1397D">
        <w:t xml:space="preserve"> the</w:t>
      </w:r>
      <w:r w:rsidR="0065069A" w:rsidRPr="00A1397D">
        <w:t xml:space="preserve"> Sydney Metro City and Southwest, </w:t>
      </w:r>
      <w:r w:rsidR="00465C91" w:rsidRPr="00A1397D">
        <w:t xml:space="preserve">the </w:t>
      </w:r>
      <w:r w:rsidR="0065069A" w:rsidRPr="00A1397D">
        <w:t>More Trains, More Services</w:t>
      </w:r>
      <w:r w:rsidR="00465C91" w:rsidRPr="00A1397D">
        <w:t xml:space="preserve"> program</w:t>
      </w:r>
      <w:r w:rsidR="0065069A" w:rsidRPr="00A1397D">
        <w:t xml:space="preserve">, </w:t>
      </w:r>
      <w:r w:rsidR="00CA7F14" w:rsidRPr="00A1397D">
        <w:t>Regi</w:t>
      </w:r>
      <w:r w:rsidR="003B4E8C" w:rsidRPr="00A1397D">
        <w:t>onal Road Freight Corridor</w:t>
      </w:r>
      <w:r w:rsidR="0056241B" w:rsidRPr="00A1397D">
        <w:t xml:space="preserve"> and the Parramatta Light Rail</w:t>
      </w:r>
      <w:r w:rsidR="0065069A" w:rsidRPr="00A1397D">
        <w:t>.</w:t>
      </w:r>
    </w:p>
    <w:p w14:paraId="7407CD91" w14:textId="3C79DC2D" w:rsidR="0070536C" w:rsidRPr="00A1397D" w:rsidRDefault="0070536C" w:rsidP="00BF4099">
      <w:pPr>
        <w:pStyle w:val="BodyText"/>
      </w:pPr>
      <w:r w:rsidRPr="00A1397D">
        <w:t xml:space="preserve">The Government received </w:t>
      </w:r>
      <w:r w:rsidR="007B3FFD" w:rsidRPr="00A1397D">
        <w:t xml:space="preserve">a </w:t>
      </w:r>
      <w:r w:rsidRPr="00A1397D">
        <w:t>further $</w:t>
      </w:r>
      <w:r w:rsidR="00746A0A" w:rsidRPr="00A1397D">
        <w:t>9</w:t>
      </w:r>
      <w:r w:rsidRPr="00A1397D">
        <w:t>.</w:t>
      </w:r>
      <w:r w:rsidR="00746A0A" w:rsidRPr="00A1397D">
        <w:t>3</w:t>
      </w:r>
      <w:r w:rsidRPr="00A1397D">
        <w:t xml:space="preserve"> billion </w:t>
      </w:r>
      <w:r w:rsidR="007B3FFD" w:rsidRPr="00A1397D">
        <w:t xml:space="preserve">in </w:t>
      </w:r>
      <w:r w:rsidRPr="00A1397D">
        <w:t>asset recycling proceeds in 2018-19 from the sale of 51 per cent of Sydney Motorway Corporation</w:t>
      </w:r>
      <w:r w:rsidR="003269D0" w:rsidRPr="00A1397D">
        <w:t>. These proceed</w:t>
      </w:r>
      <w:r w:rsidR="00E162B8" w:rsidRPr="00A1397D">
        <w:t>s</w:t>
      </w:r>
      <w:r w:rsidRPr="00A1397D">
        <w:t xml:space="preserve"> will </w:t>
      </w:r>
      <w:r w:rsidR="00EA3C4E" w:rsidRPr="00A1397D">
        <w:t>support</w:t>
      </w:r>
      <w:r w:rsidRPr="00A1397D">
        <w:t xml:space="preserve"> </w:t>
      </w:r>
      <w:r w:rsidR="00E162B8" w:rsidRPr="00A1397D">
        <w:t>infrastructure</w:t>
      </w:r>
      <w:r w:rsidR="00791EA7" w:rsidRPr="00A1397D">
        <w:t xml:space="preserve"> delivery across </w:t>
      </w:r>
      <w:r w:rsidR="00A128F5" w:rsidRPr="00A1397D">
        <w:t>N</w:t>
      </w:r>
      <w:r w:rsidR="008F70E5" w:rsidRPr="00A1397D">
        <w:t xml:space="preserve">ew </w:t>
      </w:r>
      <w:r w:rsidR="00A128F5" w:rsidRPr="00A1397D">
        <w:t>S</w:t>
      </w:r>
      <w:r w:rsidR="008F70E5" w:rsidRPr="00A1397D">
        <w:t xml:space="preserve">outh </w:t>
      </w:r>
      <w:r w:rsidR="00A128F5" w:rsidRPr="00A1397D">
        <w:t>W</w:t>
      </w:r>
      <w:r w:rsidR="008F70E5" w:rsidRPr="00A1397D">
        <w:t>ales</w:t>
      </w:r>
      <w:r w:rsidR="00A128F5" w:rsidRPr="00A1397D">
        <w:t>, including</w:t>
      </w:r>
      <w:r w:rsidR="009F3E61" w:rsidRPr="00A1397D">
        <w:t xml:space="preserve"> the</w:t>
      </w:r>
      <w:r w:rsidR="00E162B8" w:rsidRPr="00A1397D">
        <w:t xml:space="preserve"> </w:t>
      </w:r>
      <w:r w:rsidR="009F3E61" w:rsidRPr="00A1397D">
        <w:t xml:space="preserve">acceleration and delivery of </w:t>
      </w:r>
      <w:r w:rsidR="00C716E7" w:rsidRPr="00A1397D">
        <w:t xml:space="preserve">the final stage </w:t>
      </w:r>
      <w:r w:rsidR="00070527" w:rsidRPr="00A1397D">
        <w:t xml:space="preserve">of </w:t>
      </w:r>
      <w:r w:rsidRPr="00A1397D">
        <w:t>WestConnex.</w:t>
      </w:r>
    </w:p>
    <w:p w14:paraId="22806DE0" w14:textId="77777777" w:rsidR="00F71DF5" w:rsidRPr="00A1397D" w:rsidRDefault="00F71DF5" w:rsidP="00F71DF5">
      <w:pPr>
        <w:rPr>
          <w:rFonts w:ascii="Arial" w:hAnsi="Arial" w:cs="Arial"/>
        </w:rPr>
      </w:pPr>
    </w:p>
    <w:tbl>
      <w:tblPr>
        <w:tblW w:w="0" w:type="auto"/>
        <w:shd w:val="pct5" w:color="auto" w:fill="auto"/>
        <w:tblCellMar>
          <w:left w:w="0" w:type="dxa"/>
          <w:right w:w="0" w:type="dxa"/>
        </w:tblCellMar>
        <w:tblLook w:val="04A0" w:firstRow="1" w:lastRow="0" w:firstColumn="1" w:lastColumn="0" w:noHBand="0" w:noVBand="1"/>
        <w:tblCaption w:val="Box 1.3: WestConnex transaction wins award"/>
        <w:tblDescription w:val="Box 1.3: WestConnex transaction wins award"/>
      </w:tblPr>
      <w:tblGrid>
        <w:gridCol w:w="9639"/>
      </w:tblGrid>
      <w:tr w:rsidR="0070536C" w:rsidRPr="00A1397D" w14:paraId="02CFD08E" w14:textId="77777777" w:rsidTr="007B49C4">
        <w:trPr>
          <w:trHeight w:val="2977"/>
        </w:trPr>
        <w:tc>
          <w:tcPr>
            <w:tcW w:w="9639" w:type="dxa"/>
            <w:shd w:val="pct5" w:color="auto" w:fill="auto"/>
            <w:tcMar>
              <w:top w:w="0" w:type="dxa"/>
              <w:left w:w="108" w:type="dxa"/>
              <w:bottom w:w="0" w:type="dxa"/>
              <w:right w:w="108" w:type="dxa"/>
            </w:tcMar>
          </w:tcPr>
          <w:p w14:paraId="477DC57C" w14:textId="58D2E6CA" w:rsidR="0070536C" w:rsidRPr="003A34B7" w:rsidRDefault="0070536C" w:rsidP="00F71DF5">
            <w:pPr>
              <w:pStyle w:val="Box11BoxHeading"/>
              <w:ind w:left="1027" w:hanging="1027"/>
              <w:rPr>
                <w:rFonts w:eastAsia="Calibri"/>
              </w:rPr>
            </w:pPr>
            <w:bookmarkStart w:id="17" w:name="_Hlk8894563"/>
            <w:r w:rsidRPr="003A34B7">
              <w:rPr>
                <w:highlight w:val="yellow"/>
              </w:rPr>
              <w:br w:type="page"/>
            </w:r>
            <w:r>
              <w:t xml:space="preserve">WestConnex transaction </w:t>
            </w:r>
            <w:r w:rsidR="009F3E61">
              <w:t>wins award</w:t>
            </w:r>
          </w:p>
          <w:p w14:paraId="4B4553B6" w14:textId="77777777" w:rsidR="00476FD6" w:rsidRPr="00A1397D" w:rsidRDefault="00EB5848" w:rsidP="00B06F09">
            <w:pPr>
              <w:pStyle w:val="BodyTextBox"/>
              <w:framePr w:wrap="around"/>
            </w:pPr>
            <w:r w:rsidRPr="00A1397D">
              <w:t xml:space="preserve">The WestConnex </w:t>
            </w:r>
            <w:r w:rsidR="00F0200B" w:rsidRPr="00A1397D">
              <w:t>t</w:t>
            </w:r>
            <w:r w:rsidRPr="00A1397D">
              <w:t xml:space="preserve">ransaction was </w:t>
            </w:r>
            <w:r w:rsidR="006E0E40" w:rsidRPr="00A1397D">
              <w:t>recognised as one of the most unique and complex M</w:t>
            </w:r>
            <w:r w:rsidR="005D4A5B" w:rsidRPr="00A1397D">
              <w:t xml:space="preserve">erger </w:t>
            </w:r>
            <w:r w:rsidR="00C80F44" w:rsidRPr="00A1397D">
              <w:t xml:space="preserve">and Acquisition </w:t>
            </w:r>
            <w:r w:rsidR="006E0E40" w:rsidRPr="00A1397D">
              <w:t>transactions in Australia’s history and</w:t>
            </w:r>
            <w:r w:rsidR="00C80F44" w:rsidRPr="00A1397D">
              <w:t xml:space="preserve"> </w:t>
            </w:r>
            <w:r w:rsidRPr="00A1397D">
              <w:t xml:space="preserve">named Australia’s best infrastructure project for 2019 at Infrastructure Partnerships Australia’s National Infrastructure Awards. </w:t>
            </w:r>
          </w:p>
          <w:p w14:paraId="193AE0D3" w14:textId="12C7E680" w:rsidR="0070536C" w:rsidRPr="00A1397D" w:rsidRDefault="0070536C" w:rsidP="00B06F09">
            <w:pPr>
              <w:pStyle w:val="BodyTextBox"/>
              <w:framePr w:wrap="around"/>
              <w:rPr>
                <w:szCs w:val="14"/>
              </w:rPr>
            </w:pPr>
            <w:r w:rsidRPr="00A1397D">
              <w:t xml:space="preserve">The WestConnex </w:t>
            </w:r>
            <w:r w:rsidR="00F0200B" w:rsidRPr="00A1397D">
              <w:t>t</w:t>
            </w:r>
            <w:r w:rsidRPr="00A1397D">
              <w:t xml:space="preserve">ransaction </w:t>
            </w:r>
            <w:r w:rsidR="00E75656" w:rsidRPr="00A1397D">
              <w:t>generated $9.3 billion for N</w:t>
            </w:r>
            <w:r w:rsidR="008F70E5" w:rsidRPr="00A1397D">
              <w:t xml:space="preserve">ew </w:t>
            </w:r>
            <w:r w:rsidR="00E75656" w:rsidRPr="00A1397D">
              <w:t>S</w:t>
            </w:r>
            <w:r w:rsidR="008F70E5" w:rsidRPr="00A1397D">
              <w:t xml:space="preserve">outh </w:t>
            </w:r>
            <w:r w:rsidR="00E75656" w:rsidRPr="00A1397D">
              <w:t>W</w:t>
            </w:r>
            <w:r w:rsidR="008F70E5" w:rsidRPr="00A1397D">
              <w:t>ales</w:t>
            </w:r>
            <w:r w:rsidR="00E75656" w:rsidRPr="00A1397D">
              <w:t xml:space="preserve"> t</w:t>
            </w:r>
            <w:r w:rsidR="00ED054C" w:rsidRPr="00A1397D">
              <w:t>axpayers</w:t>
            </w:r>
            <w:r w:rsidR="00E75656" w:rsidRPr="00A1397D">
              <w:t xml:space="preserve"> </w:t>
            </w:r>
            <w:r w:rsidR="00A64416" w:rsidRPr="00A1397D">
              <w:t xml:space="preserve">that will be used to </w:t>
            </w:r>
            <w:r w:rsidR="006B0CE5" w:rsidRPr="00A1397D">
              <w:t>support</w:t>
            </w:r>
            <w:r w:rsidR="00E403EA" w:rsidRPr="00A1397D">
              <w:t xml:space="preserve"> the M4-M5 Link, </w:t>
            </w:r>
            <w:r w:rsidR="00283E8A" w:rsidRPr="00A1397D">
              <w:t>the final stage of WestConnex</w:t>
            </w:r>
            <w:r w:rsidR="00EA3C4E" w:rsidRPr="00A1397D">
              <w:t>,</w:t>
            </w:r>
            <w:r w:rsidR="00E00A12" w:rsidRPr="00A1397D">
              <w:t xml:space="preserve"> and wider infrastructure for the people of N</w:t>
            </w:r>
            <w:r w:rsidR="008F70E5" w:rsidRPr="00A1397D">
              <w:t xml:space="preserve">ew </w:t>
            </w:r>
            <w:r w:rsidR="00E00A12" w:rsidRPr="00A1397D">
              <w:t>S</w:t>
            </w:r>
            <w:r w:rsidR="008F70E5" w:rsidRPr="00A1397D">
              <w:t xml:space="preserve">outh </w:t>
            </w:r>
            <w:r w:rsidR="00E00A12" w:rsidRPr="00A1397D">
              <w:t>W</w:t>
            </w:r>
            <w:r w:rsidR="008F70E5" w:rsidRPr="00A1397D">
              <w:t>ales</w:t>
            </w:r>
            <w:r w:rsidRPr="00A1397D">
              <w:t>.</w:t>
            </w:r>
            <w:r w:rsidR="00476FD6" w:rsidRPr="00A1397D">
              <w:t xml:space="preserve"> </w:t>
            </w:r>
            <w:r w:rsidR="00583294" w:rsidRPr="00A1397D">
              <w:t>The sale of 51 per cent of Sydney Motorway Corporation, the company delivering WestConnex</w:t>
            </w:r>
            <w:r w:rsidR="006077DE" w:rsidRPr="00A1397D">
              <w:t>,</w:t>
            </w:r>
            <w:r w:rsidR="00583294" w:rsidRPr="00A1397D">
              <w:t xml:space="preserve"> attracted widespread interest from domestic and global investors</w:t>
            </w:r>
            <w:r w:rsidR="00476FD6" w:rsidRPr="00A1397D">
              <w:t>.</w:t>
            </w:r>
          </w:p>
        </w:tc>
      </w:tr>
      <w:bookmarkEnd w:id="17"/>
    </w:tbl>
    <w:p w14:paraId="17061BF8" w14:textId="77777777" w:rsidR="00F71DF5" w:rsidRPr="00A1397D" w:rsidRDefault="00F71DF5" w:rsidP="00F71DF5">
      <w:pPr>
        <w:rPr>
          <w:rFonts w:ascii="Arial" w:hAnsi="Arial" w:cs="Arial"/>
        </w:rPr>
      </w:pPr>
    </w:p>
    <w:p w14:paraId="67D00BD1" w14:textId="0F92BB57" w:rsidR="00CA093E" w:rsidRPr="00A1397D" w:rsidRDefault="00B55DD0" w:rsidP="00BF4099">
      <w:pPr>
        <w:pStyle w:val="BodyText"/>
      </w:pPr>
      <w:r w:rsidRPr="00A1397D">
        <w:t xml:space="preserve">The </w:t>
      </w:r>
      <w:r w:rsidR="00132A61" w:rsidRPr="00A1397D">
        <w:t>balance of</w:t>
      </w:r>
      <w:r w:rsidR="008B0580" w:rsidRPr="00A1397D">
        <w:t xml:space="preserve"> Restart NSW </w:t>
      </w:r>
      <w:r w:rsidR="003E3C46" w:rsidRPr="00A1397D">
        <w:t xml:space="preserve">is </w:t>
      </w:r>
      <w:r w:rsidR="00913618" w:rsidRPr="00A1397D">
        <w:t xml:space="preserve">expected to </w:t>
      </w:r>
      <w:r w:rsidR="00876DE6" w:rsidRPr="00A1397D">
        <w:t>total</w:t>
      </w:r>
      <w:r w:rsidR="00913618" w:rsidRPr="00A1397D">
        <w:t xml:space="preserve"> </w:t>
      </w:r>
      <w:r w:rsidR="003E3C46" w:rsidRPr="00A1397D">
        <w:t xml:space="preserve">$33.3 </w:t>
      </w:r>
      <w:r w:rsidR="00DC706E" w:rsidRPr="00A1397D">
        <w:t>billion</w:t>
      </w:r>
      <w:r w:rsidR="00913618" w:rsidRPr="00A1397D">
        <w:t xml:space="preserve"> as at 30 June 2019</w:t>
      </w:r>
      <w:r w:rsidR="002F4182" w:rsidRPr="00A1397D">
        <w:t>,</w:t>
      </w:r>
      <w:r w:rsidR="00582977" w:rsidRPr="00A1397D">
        <w:t xml:space="preserve"> of </w:t>
      </w:r>
      <w:r w:rsidR="002F4182" w:rsidRPr="00A1397D">
        <w:t xml:space="preserve">which </w:t>
      </w:r>
      <w:r w:rsidR="003E3C46" w:rsidRPr="00A1397D">
        <w:t xml:space="preserve">$25.1 billion </w:t>
      </w:r>
      <w:r w:rsidR="00876DE6" w:rsidRPr="00A1397D">
        <w:t>relates</w:t>
      </w:r>
      <w:r w:rsidR="002F4182" w:rsidRPr="00A1397D">
        <w:t xml:space="preserve"> to proceeds</w:t>
      </w:r>
      <w:r w:rsidR="003E3C46" w:rsidRPr="00A1397D">
        <w:t xml:space="preserve"> </w:t>
      </w:r>
      <w:r w:rsidR="00913618" w:rsidRPr="00A1397D">
        <w:t>from</w:t>
      </w:r>
      <w:r w:rsidR="00DC706E" w:rsidRPr="00A1397D">
        <w:t xml:space="preserve"> the Government’s successful</w:t>
      </w:r>
      <w:r w:rsidRPr="00A1397D">
        <w:t xml:space="preserve"> </w:t>
      </w:r>
      <w:r w:rsidR="008B0580" w:rsidRPr="00A1397D">
        <w:t xml:space="preserve">asset recycling </w:t>
      </w:r>
      <w:r w:rsidR="00356CD5" w:rsidRPr="00A1397D">
        <w:t>program</w:t>
      </w:r>
      <w:r w:rsidR="00CB4144" w:rsidRPr="00A1397D">
        <w:t>.</w:t>
      </w:r>
      <w:r w:rsidR="008B0580" w:rsidRPr="00A1397D">
        <w:t xml:space="preserve"> These proceeds </w:t>
      </w:r>
      <w:r w:rsidR="0098284A" w:rsidRPr="00A1397D">
        <w:t>have been</w:t>
      </w:r>
      <w:r w:rsidR="008B0580" w:rsidRPr="00A1397D">
        <w:t xml:space="preserve"> </w:t>
      </w:r>
      <w:r w:rsidR="005C227F" w:rsidRPr="00A1397D">
        <w:t>supplemented</w:t>
      </w:r>
      <w:r w:rsidR="008B0580" w:rsidRPr="00A1397D">
        <w:t xml:space="preserve"> by </w:t>
      </w:r>
      <w:r w:rsidR="005C227F" w:rsidRPr="00A1397D">
        <w:t xml:space="preserve">interest earnings </w:t>
      </w:r>
      <w:r w:rsidR="0008019B" w:rsidRPr="00A1397D">
        <w:t xml:space="preserve">in Restart NSW </w:t>
      </w:r>
      <w:r w:rsidR="001840A7" w:rsidRPr="00A1397D">
        <w:t xml:space="preserve">and </w:t>
      </w:r>
      <w:r w:rsidR="008B0580" w:rsidRPr="00A1397D">
        <w:t>the Commonwealth Government</w:t>
      </w:r>
      <w:r w:rsidR="001840A7" w:rsidRPr="00A1397D">
        <w:t>’s</w:t>
      </w:r>
      <w:r w:rsidR="008B0580" w:rsidRPr="00A1397D">
        <w:t xml:space="preserve"> Asset Recycling Initiative payments</w:t>
      </w:r>
      <w:r w:rsidR="00E65018" w:rsidRPr="00A1397D">
        <w:t xml:space="preserve"> (see table 3.4)</w:t>
      </w:r>
      <w:r w:rsidR="00CA093E" w:rsidRPr="00A1397D">
        <w:t>.</w:t>
      </w:r>
    </w:p>
    <w:p w14:paraId="2C1F1183" w14:textId="0C892F23" w:rsidR="008B0580" w:rsidRPr="00A1397D" w:rsidRDefault="008B0580" w:rsidP="00BF4099">
      <w:pPr>
        <w:pStyle w:val="BodyText"/>
      </w:pPr>
      <w:r w:rsidRPr="00A1397D">
        <w:t xml:space="preserve">A further $4.2 billion was received on 30 June 2018 from the </w:t>
      </w:r>
      <w:r w:rsidR="00BB68AA" w:rsidRPr="00A1397D">
        <w:t>sale</w:t>
      </w:r>
      <w:r w:rsidRPr="00A1397D">
        <w:t xml:space="preserve"> of the State’s share of Snowy Hydro. These proceeds will be reinvested into </w:t>
      </w:r>
      <w:r w:rsidR="00CE7B1B" w:rsidRPr="00A1397D">
        <w:t xml:space="preserve">regional </w:t>
      </w:r>
      <w:r w:rsidRPr="00A1397D">
        <w:t xml:space="preserve">infrastructure </w:t>
      </w:r>
      <w:r w:rsidR="00CE7B1B" w:rsidRPr="00A1397D">
        <w:t>across</w:t>
      </w:r>
      <w:r w:rsidRPr="00A1397D">
        <w:t xml:space="preserve"> New South Wales through the Snowy Hydro Legacy Fund, as </w:t>
      </w:r>
      <w:r w:rsidR="0096383C" w:rsidRPr="00A1397D">
        <w:t>detailed in</w:t>
      </w:r>
      <w:r w:rsidRPr="00A1397D">
        <w:t xml:space="preserve"> Box </w:t>
      </w:r>
      <w:r w:rsidR="0096383C" w:rsidRPr="00A1397D">
        <w:t>2</w:t>
      </w:r>
      <w:r w:rsidRPr="00A1397D">
        <w:t>.</w:t>
      </w:r>
      <w:r w:rsidR="003E0FCE" w:rsidRPr="00A1397D">
        <w:t>1</w:t>
      </w:r>
      <w:r w:rsidR="007B698B" w:rsidRPr="00A1397D">
        <w:t>0</w:t>
      </w:r>
      <w:r w:rsidRPr="00A1397D">
        <w:t>.</w:t>
      </w:r>
    </w:p>
    <w:p w14:paraId="56284DC6" w14:textId="77777777" w:rsidR="00F71DF5" w:rsidRPr="00A1397D" w:rsidRDefault="00F71DF5" w:rsidP="00F71DF5">
      <w:pPr>
        <w:rPr>
          <w:rFonts w:ascii="Arial" w:hAnsi="Arial" w:cs="Arial"/>
          <w:lang w:val="en-AU"/>
        </w:rPr>
      </w:pPr>
      <w:bookmarkStart w:id="18" w:name="_Hlk9522916"/>
      <w:r w:rsidRPr="00A1397D">
        <w:rPr>
          <w:rFonts w:ascii="Arial" w:hAnsi="Arial" w:cs="Arial"/>
        </w:rPr>
        <w:br w:type="page"/>
      </w:r>
    </w:p>
    <w:p w14:paraId="4B4018C5" w14:textId="5464211F" w:rsidR="00A33734" w:rsidRPr="00FF6283" w:rsidRDefault="00A33734" w:rsidP="00A33734">
      <w:pPr>
        <w:pStyle w:val="Heading2"/>
      </w:pPr>
      <w:r>
        <w:lastRenderedPageBreak/>
        <w:t>F</w:t>
      </w:r>
      <w:r w:rsidRPr="00B70145">
        <w:t>our</w:t>
      </w:r>
      <w:r>
        <w:t>-</w:t>
      </w:r>
      <w:r w:rsidRPr="0004489C">
        <w:t>year</w:t>
      </w:r>
      <w:r>
        <w:t xml:space="preserve"> capital program</w:t>
      </w:r>
    </w:p>
    <w:p w14:paraId="5E71272B" w14:textId="64C19D56" w:rsidR="0071447B" w:rsidRPr="00A1397D" w:rsidRDefault="00A33734" w:rsidP="00BF4099">
      <w:pPr>
        <w:pStyle w:val="BodyText"/>
      </w:pPr>
      <w:r w:rsidRPr="00A1397D">
        <w:t>The Government’s capital spending program is forecast to be $</w:t>
      </w:r>
      <w:r w:rsidR="003E0FCE" w:rsidRPr="00A1397D">
        <w:t>9</w:t>
      </w:r>
      <w:r w:rsidR="00B619E5" w:rsidRPr="00A1397D">
        <w:t>3</w:t>
      </w:r>
      <w:r w:rsidRPr="00A1397D">
        <w:t>.</w:t>
      </w:r>
      <w:r w:rsidR="00B619E5" w:rsidRPr="00A1397D">
        <w:t>0</w:t>
      </w:r>
      <w:r w:rsidRPr="00A1397D">
        <w:t xml:space="preserve"> billion over four years to 2022-23.</w:t>
      </w:r>
      <w:r w:rsidR="008A5C0E" w:rsidRPr="00A1397D">
        <w:t xml:space="preserve"> </w:t>
      </w:r>
      <w:r w:rsidRPr="00A1397D">
        <w:t>Table 1.1 provides a reconciliation of capital expenditure between the 2018-19 and 2019</w:t>
      </w:r>
      <w:r w:rsidRPr="00A1397D">
        <w:noBreakHyphen/>
        <w:t>20 budgets. Movements in the profile of capital expenditure across years for individual projects are captured at an aggregate level in parameter and other variations.</w:t>
      </w:r>
      <w:r w:rsidR="00FF6F94" w:rsidRPr="00A1397D">
        <w:t xml:space="preserve"> </w:t>
      </w:r>
    </w:p>
    <w:p w14:paraId="760AA963" w14:textId="0D844C1D" w:rsidR="00DE5FE1" w:rsidRPr="00A1397D" w:rsidRDefault="0071447B" w:rsidP="00BF4099">
      <w:pPr>
        <w:pStyle w:val="BodyText"/>
      </w:pPr>
      <w:r w:rsidRPr="00A1397D">
        <w:t xml:space="preserve">Parameter and other budget variations are the result of changes to the cost and timing of service delivery that are largely outside government control. These include changes to economic conditions, variations to Commonwealth Government grants, accounting and technical adjustments (including accounting standard changes), and </w:t>
      </w:r>
      <w:r w:rsidR="00711E11" w:rsidRPr="00A1397D">
        <w:t>changes to project delivery schedules</w:t>
      </w:r>
      <w:r w:rsidRPr="00A1397D">
        <w:t>.</w:t>
      </w:r>
    </w:p>
    <w:p w14:paraId="12C840E7" w14:textId="31DD20DD" w:rsidR="00A33734" w:rsidRPr="00A1397D" w:rsidRDefault="00FF6F94" w:rsidP="00BF4099">
      <w:pPr>
        <w:pStyle w:val="BodyText"/>
      </w:pPr>
      <w:r w:rsidRPr="00A1397D">
        <w:t>The 2018-19</w:t>
      </w:r>
      <w:r w:rsidR="00B87184" w:rsidRPr="00A1397D">
        <w:t xml:space="preserve"> </w:t>
      </w:r>
      <w:r w:rsidR="002C03E5" w:rsidRPr="00A1397D">
        <w:t>p</w:t>
      </w:r>
      <w:r w:rsidR="00B87184" w:rsidRPr="00A1397D">
        <w:t>arameter and technical adjustment</w:t>
      </w:r>
      <w:r w:rsidR="00DE5FE1" w:rsidRPr="00A1397D">
        <w:t>s</w:t>
      </w:r>
      <w:r w:rsidR="007C1FC2" w:rsidRPr="00A1397D">
        <w:t xml:space="preserve"> </w:t>
      </w:r>
      <w:r w:rsidR="00C65DD0" w:rsidRPr="00A1397D">
        <w:t xml:space="preserve">predominately </w:t>
      </w:r>
      <w:r w:rsidR="00B87184" w:rsidRPr="00A1397D">
        <w:t xml:space="preserve">relates </w:t>
      </w:r>
      <w:r w:rsidR="004C3D98" w:rsidRPr="00A1397D">
        <w:t xml:space="preserve">to </w:t>
      </w:r>
      <w:r w:rsidR="002B4868" w:rsidRPr="00A1397D">
        <w:t>the</w:t>
      </w:r>
      <w:r w:rsidR="003907B2" w:rsidRPr="00A1397D">
        <w:t xml:space="preserve"> </w:t>
      </w:r>
      <w:r w:rsidR="007C1FC2" w:rsidRPr="00A1397D">
        <w:t xml:space="preserve">delivery of WestConnex, which is no longer accounted for as part of the Government’s capital program due to the </w:t>
      </w:r>
      <w:r w:rsidR="002B4868" w:rsidRPr="00A1397D">
        <w:t>project’s</w:t>
      </w:r>
      <w:r w:rsidR="007C1FC2" w:rsidRPr="00A1397D">
        <w:t xml:space="preserve"> partial sale in August 2018</w:t>
      </w:r>
      <w:r w:rsidR="009E29C8" w:rsidRPr="00A1397D">
        <w:t>.</w:t>
      </w:r>
    </w:p>
    <w:p w14:paraId="384F6F38" w14:textId="72C4BF8B" w:rsidR="00E2099A" w:rsidRPr="00F66A87" w:rsidDel="00896603" w:rsidRDefault="00A33734" w:rsidP="00A1397D">
      <w:pPr>
        <w:pStyle w:val="Table1X"/>
      </w:pPr>
      <w:r>
        <w:t>C</w:t>
      </w:r>
      <w:r w:rsidRPr="00FD134E">
        <w:t>apital expenditure reconciliation</w:t>
      </w:r>
    </w:p>
    <w:tbl>
      <w:tblPr>
        <w:tblW w:w="9660" w:type="dxa"/>
        <w:tblLook w:val="04A0" w:firstRow="1" w:lastRow="0" w:firstColumn="1" w:lastColumn="0" w:noHBand="0" w:noVBand="1"/>
        <w:tblCaption w:val="Table 1.1:  Capital expenditure reconciliation"/>
        <w:tblDescription w:val="Table 1.1:  Capital expenditure reconciliation"/>
      </w:tblPr>
      <w:tblGrid>
        <w:gridCol w:w="640"/>
        <w:gridCol w:w="3420"/>
        <w:gridCol w:w="1120"/>
        <w:gridCol w:w="1120"/>
        <w:gridCol w:w="1120"/>
        <w:gridCol w:w="1120"/>
        <w:gridCol w:w="1120"/>
      </w:tblGrid>
      <w:tr w:rsidR="00BC460A" w:rsidRPr="00A1397D" w14:paraId="36D25B14" w14:textId="77777777" w:rsidTr="00BC460A">
        <w:trPr>
          <w:trHeight w:val="290"/>
        </w:trPr>
        <w:tc>
          <w:tcPr>
            <w:tcW w:w="640" w:type="dxa"/>
            <w:tcBorders>
              <w:top w:val="nil"/>
              <w:left w:val="nil"/>
              <w:bottom w:val="nil"/>
              <w:right w:val="nil"/>
            </w:tcBorders>
            <w:shd w:val="clear" w:color="000000" w:fill="25A9E1"/>
            <w:vAlign w:val="center"/>
            <w:hideMark/>
          </w:tcPr>
          <w:p w14:paraId="6B92E12E" w14:textId="77777777" w:rsidR="00BC460A" w:rsidRPr="00A1397D" w:rsidRDefault="00BC460A" w:rsidP="00BC460A">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 </w:t>
            </w:r>
          </w:p>
        </w:tc>
        <w:tc>
          <w:tcPr>
            <w:tcW w:w="3420" w:type="dxa"/>
            <w:tcBorders>
              <w:top w:val="nil"/>
              <w:left w:val="nil"/>
              <w:bottom w:val="nil"/>
              <w:right w:val="nil"/>
            </w:tcBorders>
            <w:shd w:val="clear" w:color="000000" w:fill="25A9E1"/>
            <w:vAlign w:val="center"/>
            <w:hideMark/>
          </w:tcPr>
          <w:p w14:paraId="7CD58716" w14:textId="77777777" w:rsidR="00BC460A" w:rsidRPr="00A1397D" w:rsidRDefault="00BC460A" w:rsidP="00BC460A">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 </w:t>
            </w:r>
          </w:p>
        </w:tc>
        <w:tc>
          <w:tcPr>
            <w:tcW w:w="1120" w:type="dxa"/>
            <w:tcBorders>
              <w:top w:val="nil"/>
              <w:left w:val="nil"/>
              <w:bottom w:val="nil"/>
              <w:right w:val="nil"/>
            </w:tcBorders>
            <w:shd w:val="clear" w:color="000000" w:fill="25A9E1"/>
            <w:vAlign w:val="center"/>
            <w:hideMark/>
          </w:tcPr>
          <w:p w14:paraId="26AC4E0E" w14:textId="77777777" w:rsidR="00BC460A" w:rsidRPr="00A1397D" w:rsidRDefault="00BC460A" w:rsidP="00BC460A">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2018-19</w:t>
            </w:r>
          </w:p>
        </w:tc>
        <w:tc>
          <w:tcPr>
            <w:tcW w:w="1120" w:type="dxa"/>
            <w:tcBorders>
              <w:top w:val="nil"/>
              <w:left w:val="nil"/>
              <w:bottom w:val="nil"/>
              <w:right w:val="nil"/>
            </w:tcBorders>
            <w:shd w:val="clear" w:color="000000" w:fill="25A9E1"/>
            <w:vAlign w:val="center"/>
            <w:hideMark/>
          </w:tcPr>
          <w:p w14:paraId="3B3B3AB0" w14:textId="77777777" w:rsidR="00BC460A" w:rsidRPr="00A1397D" w:rsidRDefault="00BC460A" w:rsidP="00BC460A">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2019-20</w:t>
            </w:r>
          </w:p>
        </w:tc>
        <w:tc>
          <w:tcPr>
            <w:tcW w:w="1120" w:type="dxa"/>
            <w:tcBorders>
              <w:top w:val="nil"/>
              <w:left w:val="nil"/>
              <w:bottom w:val="nil"/>
              <w:right w:val="nil"/>
            </w:tcBorders>
            <w:shd w:val="clear" w:color="000000" w:fill="25A9E1"/>
            <w:vAlign w:val="center"/>
            <w:hideMark/>
          </w:tcPr>
          <w:p w14:paraId="6A475657" w14:textId="77777777" w:rsidR="00BC460A" w:rsidRPr="00A1397D" w:rsidRDefault="00BC460A" w:rsidP="00BC460A">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2020-21</w:t>
            </w:r>
          </w:p>
        </w:tc>
        <w:tc>
          <w:tcPr>
            <w:tcW w:w="1120" w:type="dxa"/>
            <w:tcBorders>
              <w:top w:val="nil"/>
              <w:left w:val="nil"/>
              <w:bottom w:val="nil"/>
              <w:right w:val="nil"/>
            </w:tcBorders>
            <w:shd w:val="clear" w:color="000000" w:fill="25A9E1"/>
            <w:vAlign w:val="center"/>
            <w:hideMark/>
          </w:tcPr>
          <w:p w14:paraId="4DC830BB" w14:textId="77777777" w:rsidR="00BC460A" w:rsidRPr="00A1397D" w:rsidRDefault="00BC460A" w:rsidP="00BC460A">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2021-22</w:t>
            </w:r>
          </w:p>
        </w:tc>
        <w:tc>
          <w:tcPr>
            <w:tcW w:w="1120" w:type="dxa"/>
            <w:tcBorders>
              <w:top w:val="nil"/>
              <w:left w:val="nil"/>
              <w:bottom w:val="nil"/>
              <w:right w:val="nil"/>
            </w:tcBorders>
            <w:shd w:val="clear" w:color="000000" w:fill="25A9E1"/>
            <w:vAlign w:val="center"/>
            <w:hideMark/>
          </w:tcPr>
          <w:p w14:paraId="140249B5" w14:textId="77777777" w:rsidR="00BC460A" w:rsidRPr="00A1397D" w:rsidRDefault="00BC460A" w:rsidP="00BC460A">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2022-23</w:t>
            </w:r>
          </w:p>
        </w:tc>
      </w:tr>
      <w:tr w:rsidR="00BC460A" w:rsidRPr="00A1397D" w14:paraId="521325D9" w14:textId="77777777" w:rsidTr="00BC460A">
        <w:trPr>
          <w:trHeight w:val="290"/>
        </w:trPr>
        <w:tc>
          <w:tcPr>
            <w:tcW w:w="640" w:type="dxa"/>
            <w:tcBorders>
              <w:top w:val="nil"/>
              <w:left w:val="nil"/>
              <w:bottom w:val="nil"/>
              <w:right w:val="nil"/>
            </w:tcBorders>
            <w:shd w:val="clear" w:color="000000" w:fill="0579B9"/>
            <w:vAlign w:val="center"/>
            <w:hideMark/>
          </w:tcPr>
          <w:p w14:paraId="3EFCDC31" w14:textId="77777777" w:rsidR="00BC460A" w:rsidRPr="00A1397D" w:rsidRDefault="00BC460A" w:rsidP="00BC460A">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 </w:t>
            </w:r>
          </w:p>
        </w:tc>
        <w:tc>
          <w:tcPr>
            <w:tcW w:w="3420" w:type="dxa"/>
            <w:tcBorders>
              <w:top w:val="nil"/>
              <w:left w:val="nil"/>
              <w:bottom w:val="nil"/>
              <w:right w:val="nil"/>
            </w:tcBorders>
            <w:shd w:val="clear" w:color="000000" w:fill="0579B9"/>
            <w:vAlign w:val="center"/>
            <w:hideMark/>
          </w:tcPr>
          <w:p w14:paraId="05981A0C" w14:textId="77777777" w:rsidR="00BC460A" w:rsidRPr="00A1397D" w:rsidRDefault="00BC460A" w:rsidP="00BC460A">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 </w:t>
            </w:r>
          </w:p>
        </w:tc>
        <w:tc>
          <w:tcPr>
            <w:tcW w:w="1120" w:type="dxa"/>
            <w:tcBorders>
              <w:top w:val="nil"/>
              <w:left w:val="nil"/>
              <w:bottom w:val="nil"/>
              <w:right w:val="nil"/>
            </w:tcBorders>
            <w:shd w:val="clear" w:color="000000" w:fill="0579B9"/>
            <w:vAlign w:val="center"/>
            <w:hideMark/>
          </w:tcPr>
          <w:p w14:paraId="372BF475" w14:textId="77777777" w:rsidR="00BC460A" w:rsidRPr="00A1397D" w:rsidRDefault="00BC460A" w:rsidP="00BC460A">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$m</w:t>
            </w:r>
          </w:p>
        </w:tc>
        <w:tc>
          <w:tcPr>
            <w:tcW w:w="1120" w:type="dxa"/>
            <w:tcBorders>
              <w:top w:val="nil"/>
              <w:left w:val="nil"/>
              <w:bottom w:val="nil"/>
              <w:right w:val="nil"/>
            </w:tcBorders>
            <w:shd w:val="clear" w:color="000000" w:fill="0579B9"/>
            <w:vAlign w:val="center"/>
            <w:hideMark/>
          </w:tcPr>
          <w:p w14:paraId="2C4E0BE4" w14:textId="77777777" w:rsidR="00BC460A" w:rsidRPr="00A1397D" w:rsidRDefault="00BC460A" w:rsidP="00BC460A">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$m</w:t>
            </w:r>
          </w:p>
        </w:tc>
        <w:tc>
          <w:tcPr>
            <w:tcW w:w="1120" w:type="dxa"/>
            <w:tcBorders>
              <w:top w:val="nil"/>
              <w:left w:val="nil"/>
              <w:bottom w:val="nil"/>
              <w:right w:val="nil"/>
            </w:tcBorders>
            <w:shd w:val="clear" w:color="000000" w:fill="0579B9"/>
            <w:vAlign w:val="center"/>
            <w:hideMark/>
          </w:tcPr>
          <w:p w14:paraId="492AE612" w14:textId="77777777" w:rsidR="00BC460A" w:rsidRPr="00A1397D" w:rsidRDefault="00BC460A" w:rsidP="00BC460A">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$m</w:t>
            </w:r>
          </w:p>
        </w:tc>
        <w:tc>
          <w:tcPr>
            <w:tcW w:w="1120" w:type="dxa"/>
            <w:tcBorders>
              <w:top w:val="nil"/>
              <w:left w:val="nil"/>
              <w:bottom w:val="nil"/>
              <w:right w:val="nil"/>
            </w:tcBorders>
            <w:shd w:val="clear" w:color="000000" w:fill="0579B9"/>
            <w:vAlign w:val="center"/>
            <w:hideMark/>
          </w:tcPr>
          <w:p w14:paraId="0DC91BE1" w14:textId="77777777" w:rsidR="00BC460A" w:rsidRPr="00A1397D" w:rsidRDefault="00BC460A" w:rsidP="00BC460A">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$m</w:t>
            </w:r>
          </w:p>
        </w:tc>
        <w:tc>
          <w:tcPr>
            <w:tcW w:w="1120" w:type="dxa"/>
            <w:tcBorders>
              <w:top w:val="nil"/>
              <w:left w:val="nil"/>
              <w:bottom w:val="nil"/>
              <w:right w:val="nil"/>
            </w:tcBorders>
            <w:shd w:val="clear" w:color="000000" w:fill="0579B9"/>
            <w:vAlign w:val="center"/>
            <w:hideMark/>
          </w:tcPr>
          <w:p w14:paraId="773F4A52" w14:textId="77777777" w:rsidR="00BC460A" w:rsidRPr="00A1397D" w:rsidRDefault="00BC460A" w:rsidP="00BC460A">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$m</w:t>
            </w:r>
          </w:p>
        </w:tc>
      </w:tr>
      <w:tr w:rsidR="00BC460A" w:rsidRPr="00A1397D" w14:paraId="79B25B7B" w14:textId="77777777" w:rsidTr="00BC460A">
        <w:trPr>
          <w:trHeight w:val="290"/>
        </w:trPr>
        <w:tc>
          <w:tcPr>
            <w:tcW w:w="4060" w:type="dxa"/>
            <w:gridSpan w:val="2"/>
            <w:tcBorders>
              <w:top w:val="single" w:sz="4" w:space="0" w:color="auto"/>
              <w:left w:val="nil"/>
              <w:bottom w:val="single" w:sz="4" w:space="0" w:color="auto"/>
              <w:right w:val="nil"/>
            </w:tcBorders>
            <w:shd w:val="clear" w:color="auto" w:fill="auto"/>
            <w:noWrap/>
            <w:vAlign w:val="center"/>
            <w:hideMark/>
          </w:tcPr>
          <w:p w14:paraId="439FCBA0" w14:textId="77777777" w:rsidR="00BC460A" w:rsidRPr="00A1397D" w:rsidRDefault="00BC460A" w:rsidP="00BC460A">
            <w:pPr>
              <w:rPr>
                <w:rFonts w:ascii="Arial" w:hAnsi="Arial" w:cs="Arial"/>
                <w:b/>
                <w:bCs/>
                <w:color w:val="0579B9"/>
                <w:sz w:val="18"/>
                <w:szCs w:val="18"/>
                <w:lang w:val="en-AU" w:eastAsia="en-AU"/>
              </w:rPr>
            </w:pPr>
            <w:r w:rsidRPr="00A1397D">
              <w:rPr>
                <w:rFonts w:ascii="Arial" w:hAnsi="Arial" w:cs="Arial"/>
                <w:b/>
                <w:bCs/>
                <w:color w:val="0579B9"/>
                <w:sz w:val="18"/>
                <w:szCs w:val="18"/>
                <w:lang w:val="en-AU" w:eastAsia="en-AU"/>
              </w:rPr>
              <w:t>Capital - 2018-19 Budget</w:t>
            </w:r>
          </w:p>
        </w:tc>
        <w:tc>
          <w:tcPr>
            <w:tcW w:w="1120" w:type="dxa"/>
            <w:tcBorders>
              <w:top w:val="single" w:sz="4" w:space="0" w:color="auto"/>
              <w:left w:val="nil"/>
              <w:bottom w:val="single" w:sz="4" w:space="0" w:color="auto"/>
              <w:right w:val="nil"/>
            </w:tcBorders>
            <w:shd w:val="clear" w:color="auto" w:fill="auto"/>
            <w:noWrap/>
            <w:vAlign w:val="center"/>
            <w:hideMark/>
          </w:tcPr>
          <w:p w14:paraId="64539223"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24,471</w:t>
            </w:r>
          </w:p>
        </w:tc>
        <w:tc>
          <w:tcPr>
            <w:tcW w:w="1120" w:type="dxa"/>
            <w:tcBorders>
              <w:top w:val="single" w:sz="4" w:space="0" w:color="auto"/>
              <w:left w:val="nil"/>
              <w:bottom w:val="single" w:sz="4" w:space="0" w:color="auto"/>
              <w:right w:val="nil"/>
            </w:tcBorders>
            <w:shd w:val="clear" w:color="000000" w:fill="F2F2F2"/>
            <w:noWrap/>
            <w:vAlign w:val="center"/>
            <w:hideMark/>
          </w:tcPr>
          <w:p w14:paraId="751A40D2"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22,547</w:t>
            </w:r>
          </w:p>
        </w:tc>
        <w:tc>
          <w:tcPr>
            <w:tcW w:w="1120" w:type="dxa"/>
            <w:tcBorders>
              <w:top w:val="single" w:sz="4" w:space="0" w:color="auto"/>
              <w:left w:val="nil"/>
              <w:bottom w:val="single" w:sz="4" w:space="0" w:color="auto"/>
              <w:right w:val="nil"/>
            </w:tcBorders>
            <w:shd w:val="clear" w:color="000000" w:fill="F2F2F2"/>
            <w:noWrap/>
            <w:vAlign w:val="center"/>
            <w:hideMark/>
          </w:tcPr>
          <w:p w14:paraId="0B35BF04"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21,042</w:t>
            </w:r>
          </w:p>
        </w:tc>
        <w:tc>
          <w:tcPr>
            <w:tcW w:w="1120" w:type="dxa"/>
            <w:tcBorders>
              <w:top w:val="single" w:sz="4" w:space="0" w:color="auto"/>
              <w:left w:val="nil"/>
              <w:bottom w:val="single" w:sz="4" w:space="0" w:color="auto"/>
              <w:right w:val="nil"/>
            </w:tcBorders>
            <w:shd w:val="clear" w:color="000000" w:fill="F2F2F2"/>
            <w:noWrap/>
            <w:vAlign w:val="center"/>
            <w:hideMark/>
          </w:tcPr>
          <w:p w14:paraId="27EDA058"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19,147</w:t>
            </w:r>
          </w:p>
        </w:tc>
        <w:tc>
          <w:tcPr>
            <w:tcW w:w="1120" w:type="dxa"/>
            <w:tcBorders>
              <w:top w:val="single" w:sz="4" w:space="0" w:color="auto"/>
              <w:left w:val="nil"/>
              <w:bottom w:val="single" w:sz="4" w:space="0" w:color="auto"/>
              <w:right w:val="nil"/>
            </w:tcBorders>
            <w:shd w:val="clear" w:color="000000" w:fill="F2F2F2"/>
            <w:noWrap/>
            <w:vAlign w:val="center"/>
            <w:hideMark/>
          </w:tcPr>
          <w:p w14:paraId="622D2A08" w14:textId="77777777" w:rsidR="00BC460A" w:rsidRPr="00A1397D" w:rsidRDefault="00BC460A" w:rsidP="00DE2C43">
            <w:pPr>
              <w:ind w:right="80"/>
              <w:jc w:val="right"/>
              <w:rPr>
                <w:rFonts w:ascii="Arial" w:hAnsi="Arial" w:cs="Arial"/>
                <w:color w:val="000000"/>
                <w:sz w:val="18"/>
                <w:szCs w:val="18"/>
                <w:lang w:val="en-AU" w:eastAsia="en-AU"/>
              </w:rPr>
            </w:pPr>
            <w:proofErr w:type="spellStart"/>
            <w:r w:rsidRPr="00A1397D">
              <w:rPr>
                <w:rFonts w:ascii="Arial" w:hAnsi="Arial" w:cs="Arial"/>
                <w:color w:val="000000"/>
                <w:sz w:val="18"/>
                <w:szCs w:val="18"/>
                <w:lang w:val="en-AU" w:eastAsia="en-AU"/>
              </w:rPr>
              <w:t>n.a.</w:t>
            </w:r>
            <w:proofErr w:type="spellEnd"/>
          </w:p>
        </w:tc>
      </w:tr>
      <w:tr w:rsidR="00BC460A" w:rsidRPr="00A1397D" w14:paraId="2AC66901" w14:textId="77777777" w:rsidTr="00BC460A">
        <w:trPr>
          <w:trHeight w:val="290"/>
        </w:trPr>
        <w:tc>
          <w:tcPr>
            <w:tcW w:w="4060" w:type="dxa"/>
            <w:gridSpan w:val="2"/>
            <w:tcBorders>
              <w:top w:val="nil"/>
              <w:left w:val="nil"/>
              <w:bottom w:val="nil"/>
              <w:right w:val="nil"/>
            </w:tcBorders>
            <w:shd w:val="clear" w:color="auto" w:fill="auto"/>
            <w:noWrap/>
            <w:vAlign w:val="center"/>
            <w:hideMark/>
          </w:tcPr>
          <w:p w14:paraId="4A6C7113" w14:textId="77777777" w:rsidR="00BC460A" w:rsidRPr="00A1397D" w:rsidRDefault="00BC460A" w:rsidP="00BC460A">
            <w:pPr>
              <w:rPr>
                <w:rFonts w:ascii="Arial" w:hAnsi="Arial" w:cs="Arial"/>
                <w:b/>
                <w:bCs/>
                <w:color w:val="000000"/>
                <w:sz w:val="18"/>
                <w:szCs w:val="18"/>
                <w:lang w:val="en-AU" w:eastAsia="en-AU"/>
              </w:rPr>
            </w:pPr>
            <w:r w:rsidRPr="00A1397D">
              <w:rPr>
                <w:rFonts w:ascii="Arial" w:hAnsi="Arial" w:cs="Arial"/>
                <w:b/>
                <w:bCs/>
                <w:color w:val="000000"/>
                <w:sz w:val="18"/>
                <w:szCs w:val="18"/>
                <w:lang w:val="en-AU" w:eastAsia="en-AU"/>
              </w:rPr>
              <w:t>Policy measures</w:t>
            </w:r>
          </w:p>
        </w:tc>
        <w:tc>
          <w:tcPr>
            <w:tcW w:w="1120" w:type="dxa"/>
            <w:tcBorders>
              <w:top w:val="nil"/>
              <w:left w:val="nil"/>
              <w:bottom w:val="nil"/>
              <w:right w:val="nil"/>
            </w:tcBorders>
            <w:shd w:val="clear" w:color="auto" w:fill="auto"/>
            <w:noWrap/>
            <w:vAlign w:val="center"/>
            <w:hideMark/>
          </w:tcPr>
          <w:p w14:paraId="3D3AB540" w14:textId="77777777" w:rsidR="00BC460A" w:rsidRPr="00A1397D" w:rsidRDefault="00BC460A" w:rsidP="00DE2C43">
            <w:pPr>
              <w:ind w:right="80"/>
              <w:jc w:val="right"/>
              <w:rPr>
                <w:rFonts w:ascii="Arial" w:hAnsi="Arial" w:cs="Arial"/>
                <w:b/>
                <w:bCs/>
                <w:color w:val="000000"/>
                <w:sz w:val="18"/>
                <w:szCs w:val="18"/>
                <w:lang w:val="en-AU" w:eastAsia="en-AU"/>
              </w:rPr>
            </w:pPr>
          </w:p>
        </w:tc>
        <w:tc>
          <w:tcPr>
            <w:tcW w:w="1120" w:type="dxa"/>
            <w:tcBorders>
              <w:top w:val="nil"/>
              <w:left w:val="nil"/>
              <w:bottom w:val="nil"/>
              <w:right w:val="nil"/>
            </w:tcBorders>
            <w:shd w:val="clear" w:color="000000" w:fill="F2F2F2"/>
            <w:noWrap/>
            <w:vAlign w:val="center"/>
            <w:hideMark/>
          </w:tcPr>
          <w:p w14:paraId="10483FCE"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 </w:t>
            </w:r>
          </w:p>
        </w:tc>
        <w:tc>
          <w:tcPr>
            <w:tcW w:w="1120" w:type="dxa"/>
            <w:tcBorders>
              <w:top w:val="nil"/>
              <w:left w:val="nil"/>
              <w:bottom w:val="nil"/>
              <w:right w:val="nil"/>
            </w:tcBorders>
            <w:shd w:val="clear" w:color="000000" w:fill="F2F2F2"/>
            <w:noWrap/>
            <w:vAlign w:val="center"/>
            <w:hideMark/>
          </w:tcPr>
          <w:p w14:paraId="3EC4765C"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 </w:t>
            </w:r>
          </w:p>
        </w:tc>
        <w:tc>
          <w:tcPr>
            <w:tcW w:w="1120" w:type="dxa"/>
            <w:tcBorders>
              <w:top w:val="nil"/>
              <w:left w:val="nil"/>
              <w:bottom w:val="nil"/>
              <w:right w:val="nil"/>
            </w:tcBorders>
            <w:shd w:val="clear" w:color="000000" w:fill="F2F2F2"/>
            <w:noWrap/>
            <w:vAlign w:val="center"/>
            <w:hideMark/>
          </w:tcPr>
          <w:p w14:paraId="11FD8DED"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 </w:t>
            </w:r>
          </w:p>
        </w:tc>
        <w:tc>
          <w:tcPr>
            <w:tcW w:w="1120" w:type="dxa"/>
            <w:tcBorders>
              <w:top w:val="nil"/>
              <w:left w:val="nil"/>
              <w:bottom w:val="nil"/>
              <w:right w:val="nil"/>
            </w:tcBorders>
            <w:shd w:val="clear" w:color="000000" w:fill="F2F2F2"/>
            <w:noWrap/>
            <w:vAlign w:val="center"/>
            <w:hideMark/>
          </w:tcPr>
          <w:p w14:paraId="473A8328"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 </w:t>
            </w:r>
          </w:p>
        </w:tc>
      </w:tr>
      <w:tr w:rsidR="00BC460A" w:rsidRPr="00A1397D" w14:paraId="64FDAA5A" w14:textId="77777777" w:rsidTr="00BC460A">
        <w:trPr>
          <w:trHeight w:val="290"/>
        </w:trPr>
        <w:tc>
          <w:tcPr>
            <w:tcW w:w="640" w:type="dxa"/>
            <w:tcBorders>
              <w:top w:val="nil"/>
              <w:left w:val="nil"/>
              <w:bottom w:val="nil"/>
              <w:right w:val="nil"/>
            </w:tcBorders>
            <w:shd w:val="clear" w:color="auto" w:fill="auto"/>
            <w:noWrap/>
            <w:vAlign w:val="center"/>
            <w:hideMark/>
          </w:tcPr>
          <w:p w14:paraId="18B70C2E" w14:textId="77777777" w:rsidR="00BC460A" w:rsidRPr="00A1397D" w:rsidRDefault="00BC460A" w:rsidP="00BC460A">
            <w:pPr>
              <w:jc w:val="center"/>
              <w:rPr>
                <w:rFonts w:ascii="Arial" w:hAnsi="Arial" w:cs="Arial"/>
                <w:color w:val="000000"/>
                <w:sz w:val="18"/>
                <w:szCs w:val="18"/>
                <w:lang w:val="en-AU" w:eastAsia="en-AU"/>
              </w:rPr>
            </w:pPr>
          </w:p>
        </w:tc>
        <w:tc>
          <w:tcPr>
            <w:tcW w:w="3420" w:type="dxa"/>
            <w:tcBorders>
              <w:top w:val="nil"/>
              <w:left w:val="nil"/>
              <w:bottom w:val="nil"/>
              <w:right w:val="nil"/>
            </w:tcBorders>
            <w:shd w:val="clear" w:color="auto" w:fill="auto"/>
            <w:noWrap/>
            <w:vAlign w:val="center"/>
            <w:hideMark/>
          </w:tcPr>
          <w:p w14:paraId="415AF8C2" w14:textId="77777777" w:rsidR="00BC460A" w:rsidRPr="00A1397D" w:rsidRDefault="00BC460A" w:rsidP="00BC460A">
            <w:pPr>
              <w:rPr>
                <w:rFonts w:ascii="Arial" w:hAnsi="Arial" w:cs="Arial"/>
                <w:color w:val="000000"/>
                <w:sz w:val="18"/>
                <w:szCs w:val="18"/>
                <w:lang w:val="en-AU" w:eastAsia="en-AU"/>
              </w:rPr>
            </w:pPr>
            <w:r w:rsidRPr="00A1397D">
              <w:rPr>
                <w:rFonts w:ascii="Arial" w:hAnsi="Arial" w:cs="Arial"/>
                <w:color w:val="000000"/>
                <w:sz w:val="18"/>
                <w:szCs w:val="18"/>
                <w:lang w:val="en-AU" w:eastAsia="en-AU"/>
              </w:rPr>
              <w:t>New capital works</w:t>
            </w:r>
            <w:r w:rsidRPr="00A1397D">
              <w:rPr>
                <w:rFonts w:ascii="Arial" w:hAnsi="Arial" w:cs="Arial"/>
                <w:color w:val="000000"/>
                <w:sz w:val="18"/>
                <w:szCs w:val="18"/>
                <w:vertAlign w:val="superscript"/>
                <w:lang w:val="en-AU" w:eastAsia="en-AU"/>
              </w:rPr>
              <w:t>(a)</w:t>
            </w:r>
          </w:p>
        </w:tc>
        <w:tc>
          <w:tcPr>
            <w:tcW w:w="1120" w:type="dxa"/>
            <w:tcBorders>
              <w:top w:val="nil"/>
              <w:left w:val="nil"/>
              <w:bottom w:val="nil"/>
              <w:right w:val="nil"/>
            </w:tcBorders>
            <w:shd w:val="clear" w:color="auto" w:fill="auto"/>
            <w:noWrap/>
            <w:vAlign w:val="center"/>
            <w:hideMark/>
          </w:tcPr>
          <w:p w14:paraId="5A05FF38"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777</w:t>
            </w:r>
          </w:p>
        </w:tc>
        <w:tc>
          <w:tcPr>
            <w:tcW w:w="1120" w:type="dxa"/>
            <w:tcBorders>
              <w:top w:val="nil"/>
              <w:left w:val="nil"/>
              <w:bottom w:val="nil"/>
              <w:right w:val="nil"/>
            </w:tcBorders>
            <w:shd w:val="clear" w:color="000000" w:fill="F2F2F2"/>
            <w:noWrap/>
            <w:vAlign w:val="center"/>
            <w:hideMark/>
          </w:tcPr>
          <w:p w14:paraId="331CF1E5"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1,330</w:t>
            </w:r>
          </w:p>
        </w:tc>
        <w:tc>
          <w:tcPr>
            <w:tcW w:w="1120" w:type="dxa"/>
            <w:tcBorders>
              <w:top w:val="nil"/>
              <w:left w:val="nil"/>
              <w:bottom w:val="nil"/>
              <w:right w:val="nil"/>
            </w:tcBorders>
            <w:shd w:val="clear" w:color="000000" w:fill="F2F2F2"/>
            <w:noWrap/>
            <w:vAlign w:val="center"/>
            <w:hideMark/>
          </w:tcPr>
          <w:p w14:paraId="78789CE7"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655</w:t>
            </w:r>
          </w:p>
        </w:tc>
        <w:tc>
          <w:tcPr>
            <w:tcW w:w="1120" w:type="dxa"/>
            <w:tcBorders>
              <w:top w:val="nil"/>
              <w:left w:val="nil"/>
              <w:bottom w:val="nil"/>
              <w:right w:val="nil"/>
            </w:tcBorders>
            <w:shd w:val="clear" w:color="000000" w:fill="F2F2F2"/>
            <w:noWrap/>
            <w:vAlign w:val="center"/>
            <w:hideMark/>
          </w:tcPr>
          <w:p w14:paraId="46284B65"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317</w:t>
            </w:r>
          </w:p>
        </w:tc>
        <w:tc>
          <w:tcPr>
            <w:tcW w:w="1120" w:type="dxa"/>
            <w:tcBorders>
              <w:top w:val="nil"/>
              <w:left w:val="nil"/>
              <w:bottom w:val="nil"/>
              <w:right w:val="nil"/>
            </w:tcBorders>
            <w:shd w:val="clear" w:color="000000" w:fill="F2F2F2"/>
            <w:noWrap/>
            <w:vAlign w:val="center"/>
            <w:hideMark/>
          </w:tcPr>
          <w:p w14:paraId="12E136BD" w14:textId="77777777" w:rsidR="00BC460A" w:rsidRPr="00A1397D" w:rsidRDefault="00BC460A" w:rsidP="00DE2C43">
            <w:pPr>
              <w:ind w:right="80"/>
              <w:jc w:val="right"/>
              <w:rPr>
                <w:rFonts w:ascii="Arial" w:hAnsi="Arial" w:cs="Arial"/>
                <w:color w:val="000000"/>
                <w:sz w:val="18"/>
                <w:szCs w:val="18"/>
                <w:lang w:val="en-AU" w:eastAsia="en-AU"/>
              </w:rPr>
            </w:pPr>
            <w:proofErr w:type="spellStart"/>
            <w:r w:rsidRPr="00A1397D">
              <w:rPr>
                <w:rFonts w:ascii="Arial" w:hAnsi="Arial" w:cs="Arial"/>
                <w:color w:val="000000"/>
                <w:sz w:val="18"/>
                <w:szCs w:val="18"/>
                <w:lang w:val="en-AU" w:eastAsia="en-AU"/>
              </w:rPr>
              <w:t>n.a.</w:t>
            </w:r>
            <w:proofErr w:type="spellEnd"/>
          </w:p>
        </w:tc>
      </w:tr>
      <w:tr w:rsidR="00BC460A" w:rsidRPr="00A1397D" w14:paraId="478755AD" w14:textId="77777777" w:rsidTr="00BC460A">
        <w:trPr>
          <w:trHeight w:val="290"/>
        </w:trPr>
        <w:tc>
          <w:tcPr>
            <w:tcW w:w="4060" w:type="dxa"/>
            <w:gridSpan w:val="2"/>
            <w:tcBorders>
              <w:top w:val="nil"/>
              <w:left w:val="nil"/>
              <w:bottom w:val="nil"/>
              <w:right w:val="nil"/>
            </w:tcBorders>
            <w:shd w:val="clear" w:color="auto" w:fill="auto"/>
            <w:noWrap/>
            <w:vAlign w:val="center"/>
            <w:hideMark/>
          </w:tcPr>
          <w:p w14:paraId="727D39A6" w14:textId="77777777" w:rsidR="00BC460A" w:rsidRPr="00A1397D" w:rsidRDefault="00BC460A" w:rsidP="00BC460A">
            <w:pPr>
              <w:rPr>
                <w:rFonts w:ascii="Arial" w:hAnsi="Arial" w:cs="Arial"/>
                <w:b/>
                <w:bCs/>
                <w:color w:val="000000"/>
                <w:sz w:val="18"/>
                <w:szCs w:val="18"/>
                <w:lang w:val="en-AU" w:eastAsia="en-AU"/>
              </w:rPr>
            </w:pPr>
            <w:r w:rsidRPr="00A1397D">
              <w:rPr>
                <w:rFonts w:ascii="Arial" w:hAnsi="Arial" w:cs="Arial"/>
                <w:b/>
                <w:bCs/>
                <w:color w:val="000000"/>
                <w:sz w:val="18"/>
                <w:szCs w:val="18"/>
                <w:lang w:val="en-AU" w:eastAsia="en-AU"/>
              </w:rPr>
              <w:t>Parameter and other variations</w:t>
            </w:r>
          </w:p>
        </w:tc>
        <w:tc>
          <w:tcPr>
            <w:tcW w:w="1120" w:type="dxa"/>
            <w:tcBorders>
              <w:top w:val="nil"/>
              <w:left w:val="nil"/>
              <w:bottom w:val="nil"/>
              <w:right w:val="nil"/>
            </w:tcBorders>
            <w:shd w:val="clear" w:color="auto" w:fill="auto"/>
            <w:noWrap/>
            <w:vAlign w:val="center"/>
            <w:hideMark/>
          </w:tcPr>
          <w:p w14:paraId="49199847"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(1,281)</w:t>
            </w:r>
          </w:p>
        </w:tc>
        <w:tc>
          <w:tcPr>
            <w:tcW w:w="1120" w:type="dxa"/>
            <w:tcBorders>
              <w:top w:val="nil"/>
              <w:left w:val="nil"/>
              <w:bottom w:val="nil"/>
              <w:right w:val="nil"/>
            </w:tcBorders>
            <w:shd w:val="clear" w:color="000000" w:fill="F2F2F2"/>
            <w:noWrap/>
            <w:vAlign w:val="center"/>
            <w:hideMark/>
          </w:tcPr>
          <w:p w14:paraId="75F3C91C"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342</w:t>
            </w:r>
          </w:p>
        </w:tc>
        <w:tc>
          <w:tcPr>
            <w:tcW w:w="1120" w:type="dxa"/>
            <w:tcBorders>
              <w:top w:val="nil"/>
              <w:left w:val="nil"/>
              <w:bottom w:val="nil"/>
              <w:right w:val="nil"/>
            </w:tcBorders>
            <w:shd w:val="clear" w:color="000000" w:fill="F2F2F2"/>
            <w:noWrap/>
            <w:vAlign w:val="center"/>
            <w:hideMark/>
          </w:tcPr>
          <w:p w14:paraId="247737E7"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331</w:t>
            </w:r>
          </w:p>
        </w:tc>
        <w:tc>
          <w:tcPr>
            <w:tcW w:w="1120" w:type="dxa"/>
            <w:tcBorders>
              <w:top w:val="nil"/>
              <w:left w:val="nil"/>
              <w:bottom w:val="nil"/>
              <w:right w:val="nil"/>
            </w:tcBorders>
            <w:shd w:val="clear" w:color="000000" w:fill="F2F2F2"/>
            <w:noWrap/>
            <w:vAlign w:val="center"/>
            <w:hideMark/>
          </w:tcPr>
          <w:p w14:paraId="0CA84ECB"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(140)</w:t>
            </w:r>
          </w:p>
        </w:tc>
        <w:tc>
          <w:tcPr>
            <w:tcW w:w="1120" w:type="dxa"/>
            <w:tcBorders>
              <w:top w:val="nil"/>
              <w:left w:val="nil"/>
              <w:bottom w:val="nil"/>
              <w:right w:val="nil"/>
            </w:tcBorders>
            <w:shd w:val="clear" w:color="000000" w:fill="F2F2F2"/>
            <w:noWrap/>
            <w:vAlign w:val="center"/>
            <w:hideMark/>
          </w:tcPr>
          <w:p w14:paraId="2FE38C3A" w14:textId="77777777" w:rsidR="00BC460A" w:rsidRPr="00A1397D" w:rsidRDefault="00BC460A" w:rsidP="00DE2C43">
            <w:pPr>
              <w:ind w:right="80"/>
              <w:jc w:val="right"/>
              <w:rPr>
                <w:rFonts w:ascii="Arial" w:hAnsi="Arial" w:cs="Arial"/>
                <w:color w:val="000000"/>
                <w:sz w:val="18"/>
                <w:szCs w:val="18"/>
                <w:lang w:val="en-AU" w:eastAsia="en-AU"/>
              </w:rPr>
            </w:pPr>
            <w:proofErr w:type="spellStart"/>
            <w:r w:rsidRPr="00A1397D">
              <w:rPr>
                <w:rFonts w:ascii="Arial" w:hAnsi="Arial" w:cs="Arial"/>
                <w:color w:val="000000"/>
                <w:sz w:val="18"/>
                <w:szCs w:val="18"/>
                <w:lang w:val="en-AU" w:eastAsia="en-AU"/>
              </w:rPr>
              <w:t>n.a.</w:t>
            </w:r>
            <w:proofErr w:type="spellEnd"/>
          </w:p>
        </w:tc>
      </w:tr>
      <w:tr w:rsidR="00BC460A" w:rsidRPr="00A1397D" w14:paraId="56382934" w14:textId="77777777" w:rsidTr="00BC460A">
        <w:trPr>
          <w:trHeight w:val="290"/>
        </w:trPr>
        <w:tc>
          <w:tcPr>
            <w:tcW w:w="4060" w:type="dxa"/>
            <w:gridSpan w:val="2"/>
            <w:tcBorders>
              <w:top w:val="single" w:sz="4" w:space="0" w:color="auto"/>
              <w:left w:val="nil"/>
              <w:bottom w:val="single" w:sz="4" w:space="0" w:color="auto"/>
              <w:right w:val="nil"/>
            </w:tcBorders>
            <w:shd w:val="clear" w:color="auto" w:fill="auto"/>
            <w:noWrap/>
            <w:vAlign w:val="center"/>
            <w:hideMark/>
          </w:tcPr>
          <w:p w14:paraId="2DEEA810" w14:textId="77777777" w:rsidR="00BC460A" w:rsidRPr="00A1397D" w:rsidRDefault="00BC460A" w:rsidP="00BC460A">
            <w:pPr>
              <w:rPr>
                <w:rFonts w:ascii="Arial" w:hAnsi="Arial" w:cs="Arial"/>
                <w:b/>
                <w:bCs/>
                <w:color w:val="0579B9"/>
                <w:sz w:val="18"/>
                <w:szCs w:val="18"/>
                <w:lang w:val="en-AU" w:eastAsia="en-AU"/>
              </w:rPr>
            </w:pPr>
            <w:r w:rsidRPr="00A1397D">
              <w:rPr>
                <w:rFonts w:ascii="Arial" w:hAnsi="Arial" w:cs="Arial"/>
                <w:b/>
                <w:bCs/>
                <w:color w:val="0579B9"/>
                <w:sz w:val="18"/>
                <w:szCs w:val="18"/>
                <w:lang w:val="en-AU" w:eastAsia="en-AU"/>
              </w:rPr>
              <w:t>Capital - 2019 Pre-election Budget Update</w:t>
            </w:r>
          </w:p>
        </w:tc>
        <w:tc>
          <w:tcPr>
            <w:tcW w:w="1120" w:type="dxa"/>
            <w:tcBorders>
              <w:top w:val="single" w:sz="4" w:space="0" w:color="auto"/>
              <w:left w:val="nil"/>
              <w:bottom w:val="single" w:sz="4" w:space="0" w:color="auto"/>
              <w:right w:val="nil"/>
            </w:tcBorders>
            <w:shd w:val="clear" w:color="auto" w:fill="auto"/>
            <w:noWrap/>
            <w:vAlign w:val="center"/>
            <w:hideMark/>
          </w:tcPr>
          <w:p w14:paraId="37B23BF7"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23,967</w:t>
            </w:r>
          </w:p>
        </w:tc>
        <w:tc>
          <w:tcPr>
            <w:tcW w:w="1120" w:type="dxa"/>
            <w:tcBorders>
              <w:top w:val="single" w:sz="4" w:space="0" w:color="auto"/>
              <w:left w:val="nil"/>
              <w:bottom w:val="single" w:sz="4" w:space="0" w:color="auto"/>
              <w:right w:val="nil"/>
            </w:tcBorders>
            <w:shd w:val="clear" w:color="000000" w:fill="F2F2F2"/>
            <w:noWrap/>
            <w:vAlign w:val="center"/>
            <w:hideMark/>
          </w:tcPr>
          <w:p w14:paraId="4BB33784"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24,219</w:t>
            </w:r>
          </w:p>
        </w:tc>
        <w:tc>
          <w:tcPr>
            <w:tcW w:w="1120" w:type="dxa"/>
            <w:tcBorders>
              <w:top w:val="single" w:sz="4" w:space="0" w:color="auto"/>
              <w:left w:val="nil"/>
              <w:bottom w:val="single" w:sz="4" w:space="0" w:color="auto"/>
              <w:right w:val="nil"/>
            </w:tcBorders>
            <w:shd w:val="clear" w:color="000000" w:fill="F2F2F2"/>
            <w:noWrap/>
            <w:vAlign w:val="center"/>
            <w:hideMark/>
          </w:tcPr>
          <w:p w14:paraId="3565930D"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22,028</w:t>
            </w:r>
          </w:p>
        </w:tc>
        <w:tc>
          <w:tcPr>
            <w:tcW w:w="1120" w:type="dxa"/>
            <w:tcBorders>
              <w:top w:val="single" w:sz="4" w:space="0" w:color="auto"/>
              <w:left w:val="nil"/>
              <w:bottom w:val="single" w:sz="4" w:space="0" w:color="auto"/>
              <w:right w:val="nil"/>
            </w:tcBorders>
            <w:shd w:val="clear" w:color="000000" w:fill="F2F2F2"/>
            <w:noWrap/>
            <w:vAlign w:val="center"/>
            <w:hideMark/>
          </w:tcPr>
          <w:p w14:paraId="14C73A3C"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19,324</w:t>
            </w:r>
          </w:p>
        </w:tc>
        <w:tc>
          <w:tcPr>
            <w:tcW w:w="1120" w:type="dxa"/>
            <w:tcBorders>
              <w:top w:val="single" w:sz="4" w:space="0" w:color="auto"/>
              <w:left w:val="nil"/>
              <w:bottom w:val="single" w:sz="4" w:space="0" w:color="auto"/>
              <w:right w:val="nil"/>
            </w:tcBorders>
            <w:shd w:val="clear" w:color="000000" w:fill="F2F2F2"/>
            <w:noWrap/>
            <w:vAlign w:val="center"/>
            <w:hideMark/>
          </w:tcPr>
          <w:p w14:paraId="3A11C17A" w14:textId="77777777" w:rsidR="00BC460A" w:rsidRPr="00A1397D" w:rsidRDefault="00BC460A" w:rsidP="00DE2C43">
            <w:pPr>
              <w:ind w:right="80"/>
              <w:jc w:val="right"/>
              <w:rPr>
                <w:rFonts w:ascii="Arial" w:hAnsi="Arial" w:cs="Arial"/>
                <w:color w:val="000000"/>
                <w:sz w:val="18"/>
                <w:szCs w:val="18"/>
                <w:lang w:val="en-AU" w:eastAsia="en-AU"/>
              </w:rPr>
            </w:pPr>
            <w:proofErr w:type="spellStart"/>
            <w:r w:rsidRPr="00A1397D">
              <w:rPr>
                <w:rFonts w:ascii="Arial" w:hAnsi="Arial" w:cs="Arial"/>
                <w:color w:val="000000"/>
                <w:sz w:val="18"/>
                <w:szCs w:val="18"/>
                <w:lang w:val="en-AU" w:eastAsia="en-AU"/>
              </w:rPr>
              <w:t>n.a.</w:t>
            </w:r>
            <w:proofErr w:type="spellEnd"/>
          </w:p>
        </w:tc>
      </w:tr>
      <w:tr w:rsidR="00BC460A" w:rsidRPr="00A1397D" w14:paraId="049A184E" w14:textId="77777777" w:rsidTr="00BC460A">
        <w:trPr>
          <w:trHeight w:val="290"/>
        </w:trPr>
        <w:tc>
          <w:tcPr>
            <w:tcW w:w="4060" w:type="dxa"/>
            <w:gridSpan w:val="2"/>
            <w:tcBorders>
              <w:top w:val="nil"/>
              <w:left w:val="nil"/>
              <w:bottom w:val="nil"/>
              <w:right w:val="nil"/>
            </w:tcBorders>
            <w:shd w:val="clear" w:color="auto" w:fill="auto"/>
            <w:noWrap/>
            <w:vAlign w:val="center"/>
            <w:hideMark/>
          </w:tcPr>
          <w:p w14:paraId="43919F75" w14:textId="77777777" w:rsidR="00BC460A" w:rsidRPr="00A1397D" w:rsidRDefault="00BC460A" w:rsidP="00BC460A">
            <w:pPr>
              <w:rPr>
                <w:rFonts w:ascii="Arial" w:hAnsi="Arial" w:cs="Arial"/>
                <w:b/>
                <w:bCs/>
                <w:color w:val="000000"/>
                <w:sz w:val="18"/>
                <w:szCs w:val="18"/>
                <w:lang w:val="en-AU" w:eastAsia="en-AU"/>
              </w:rPr>
            </w:pPr>
            <w:r w:rsidRPr="00A1397D">
              <w:rPr>
                <w:rFonts w:ascii="Arial" w:hAnsi="Arial" w:cs="Arial"/>
                <w:b/>
                <w:bCs/>
                <w:color w:val="000000"/>
                <w:sz w:val="18"/>
                <w:szCs w:val="18"/>
                <w:lang w:val="en-AU" w:eastAsia="en-AU"/>
              </w:rPr>
              <w:t>Policy measures</w:t>
            </w:r>
          </w:p>
        </w:tc>
        <w:tc>
          <w:tcPr>
            <w:tcW w:w="1120" w:type="dxa"/>
            <w:tcBorders>
              <w:top w:val="nil"/>
              <w:left w:val="nil"/>
              <w:bottom w:val="nil"/>
              <w:right w:val="nil"/>
            </w:tcBorders>
            <w:shd w:val="clear" w:color="auto" w:fill="auto"/>
            <w:noWrap/>
            <w:vAlign w:val="center"/>
            <w:hideMark/>
          </w:tcPr>
          <w:p w14:paraId="449F371A" w14:textId="77777777" w:rsidR="00BC460A" w:rsidRPr="00A1397D" w:rsidRDefault="00BC460A" w:rsidP="00DE2C43">
            <w:pPr>
              <w:ind w:right="80"/>
              <w:jc w:val="right"/>
              <w:rPr>
                <w:rFonts w:ascii="Arial" w:hAnsi="Arial" w:cs="Arial"/>
                <w:b/>
                <w:bCs/>
                <w:color w:val="000000"/>
                <w:sz w:val="18"/>
                <w:szCs w:val="18"/>
                <w:lang w:val="en-AU" w:eastAsia="en-AU"/>
              </w:rPr>
            </w:pPr>
          </w:p>
        </w:tc>
        <w:tc>
          <w:tcPr>
            <w:tcW w:w="1120" w:type="dxa"/>
            <w:tcBorders>
              <w:top w:val="nil"/>
              <w:left w:val="nil"/>
              <w:bottom w:val="nil"/>
              <w:right w:val="nil"/>
            </w:tcBorders>
            <w:shd w:val="clear" w:color="000000" w:fill="F2F2F2"/>
            <w:noWrap/>
            <w:vAlign w:val="center"/>
            <w:hideMark/>
          </w:tcPr>
          <w:p w14:paraId="2B11B3FE"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 </w:t>
            </w:r>
          </w:p>
        </w:tc>
        <w:tc>
          <w:tcPr>
            <w:tcW w:w="1120" w:type="dxa"/>
            <w:tcBorders>
              <w:top w:val="nil"/>
              <w:left w:val="nil"/>
              <w:bottom w:val="nil"/>
              <w:right w:val="nil"/>
            </w:tcBorders>
            <w:shd w:val="clear" w:color="000000" w:fill="F2F2F2"/>
            <w:noWrap/>
            <w:vAlign w:val="center"/>
            <w:hideMark/>
          </w:tcPr>
          <w:p w14:paraId="6132DF0E"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 </w:t>
            </w:r>
          </w:p>
        </w:tc>
        <w:tc>
          <w:tcPr>
            <w:tcW w:w="1120" w:type="dxa"/>
            <w:tcBorders>
              <w:top w:val="nil"/>
              <w:left w:val="nil"/>
              <w:bottom w:val="nil"/>
              <w:right w:val="nil"/>
            </w:tcBorders>
            <w:shd w:val="clear" w:color="000000" w:fill="F2F2F2"/>
            <w:noWrap/>
            <w:vAlign w:val="center"/>
            <w:hideMark/>
          </w:tcPr>
          <w:p w14:paraId="77A3F65F"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 </w:t>
            </w:r>
          </w:p>
        </w:tc>
        <w:tc>
          <w:tcPr>
            <w:tcW w:w="1120" w:type="dxa"/>
            <w:tcBorders>
              <w:top w:val="nil"/>
              <w:left w:val="nil"/>
              <w:bottom w:val="nil"/>
              <w:right w:val="nil"/>
            </w:tcBorders>
            <w:shd w:val="clear" w:color="000000" w:fill="F2F2F2"/>
            <w:noWrap/>
            <w:vAlign w:val="center"/>
            <w:hideMark/>
          </w:tcPr>
          <w:p w14:paraId="682F95FE"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 </w:t>
            </w:r>
          </w:p>
        </w:tc>
      </w:tr>
      <w:tr w:rsidR="00BC460A" w:rsidRPr="00A1397D" w14:paraId="6C4215F3" w14:textId="77777777" w:rsidTr="00BC460A">
        <w:trPr>
          <w:trHeight w:val="290"/>
        </w:trPr>
        <w:tc>
          <w:tcPr>
            <w:tcW w:w="640" w:type="dxa"/>
            <w:tcBorders>
              <w:top w:val="nil"/>
              <w:left w:val="nil"/>
              <w:bottom w:val="nil"/>
              <w:right w:val="nil"/>
            </w:tcBorders>
            <w:shd w:val="clear" w:color="auto" w:fill="auto"/>
            <w:noWrap/>
            <w:vAlign w:val="center"/>
            <w:hideMark/>
          </w:tcPr>
          <w:p w14:paraId="26A31273" w14:textId="77777777" w:rsidR="00BC460A" w:rsidRPr="00A1397D" w:rsidRDefault="00BC460A" w:rsidP="00BC460A">
            <w:pPr>
              <w:jc w:val="center"/>
              <w:rPr>
                <w:rFonts w:ascii="Arial" w:hAnsi="Arial" w:cs="Arial"/>
                <w:color w:val="000000"/>
                <w:sz w:val="18"/>
                <w:szCs w:val="18"/>
                <w:lang w:val="en-AU" w:eastAsia="en-AU"/>
              </w:rPr>
            </w:pPr>
          </w:p>
        </w:tc>
        <w:tc>
          <w:tcPr>
            <w:tcW w:w="3420" w:type="dxa"/>
            <w:tcBorders>
              <w:top w:val="nil"/>
              <w:left w:val="nil"/>
              <w:bottom w:val="nil"/>
              <w:right w:val="nil"/>
            </w:tcBorders>
            <w:shd w:val="clear" w:color="auto" w:fill="auto"/>
            <w:noWrap/>
            <w:vAlign w:val="center"/>
            <w:hideMark/>
          </w:tcPr>
          <w:p w14:paraId="59077C66" w14:textId="77777777" w:rsidR="00BC460A" w:rsidRPr="00A1397D" w:rsidRDefault="00BC460A" w:rsidP="00BC460A">
            <w:pPr>
              <w:rPr>
                <w:rFonts w:ascii="Arial" w:hAnsi="Arial" w:cs="Arial"/>
                <w:color w:val="000000"/>
                <w:sz w:val="18"/>
                <w:szCs w:val="18"/>
                <w:lang w:val="en-AU" w:eastAsia="en-AU"/>
              </w:rPr>
            </w:pPr>
            <w:r w:rsidRPr="00A1397D">
              <w:rPr>
                <w:rFonts w:ascii="Arial" w:hAnsi="Arial" w:cs="Arial"/>
                <w:color w:val="000000"/>
                <w:sz w:val="18"/>
                <w:szCs w:val="18"/>
                <w:lang w:val="en-AU" w:eastAsia="en-AU"/>
              </w:rPr>
              <w:t>New capital works</w:t>
            </w:r>
            <w:r w:rsidRPr="00A1397D">
              <w:rPr>
                <w:rFonts w:ascii="Arial" w:hAnsi="Arial" w:cs="Arial"/>
                <w:color w:val="000000"/>
                <w:sz w:val="18"/>
                <w:szCs w:val="18"/>
                <w:vertAlign w:val="superscript"/>
                <w:lang w:val="en-AU" w:eastAsia="en-AU"/>
              </w:rPr>
              <w:t>(a)</w:t>
            </w:r>
          </w:p>
        </w:tc>
        <w:tc>
          <w:tcPr>
            <w:tcW w:w="1120" w:type="dxa"/>
            <w:tcBorders>
              <w:top w:val="nil"/>
              <w:left w:val="nil"/>
              <w:bottom w:val="nil"/>
              <w:right w:val="nil"/>
            </w:tcBorders>
            <w:shd w:val="clear" w:color="auto" w:fill="auto"/>
            <w:noWrap/>
            <w:vAlign w:val="bottom"/>
            <w:hideMark/>
          </w:tcPr>
          <w:p w14:paraId="0F3C3EDB"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19</w:t>
            </w:r>
          </w:p>
        </w:tc>
        <w:tc>
          <w:tcPr>
            <w:tcW w:w="1120" w:type="dxa"/>
            <w:tcBorders>
              <w:top w:val="nil"/>
              <w:left w:val="nil"/>
              <w:bottom w:val="nil"/>
              <w:right w:val="nil"/>
            </w:tcBorders>
            <w:shd w:val="clear" w:color="000000" w:fill="F2F2F2"/>
            <w:noWrap/>
            <w:vAlign w:val="center"/>
            <w:hideMark/>
          </w:tcPr>
          <w:p w14:paraId="15441D52"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898</w:t>
            </w:r>
          </w:p>
        </w:tc>
        <w:tc>
          <w:tcPr>
            <w:tcW w:w="1120" w:type="dxa"/>
            <w:tcBorders>
              <w:top w:val="nil"/>
              <w:left w:val="nil"/>
              <w:bottom w:val="nil"/>
              <w:right w:val="nil"/>
            </w:tcBorders>
            <w:shd w:val="clear" w:color="000000" w:fill="F2F2F2"/>
            <w:noWrap/>
            <w:vAlign w:val="center"/>
            <w:hideMark/>
          </w:tcPr>
          <w:p w14:paraId="71258A62"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1,287</w:t>
            </w:r>
          </w:p>
        </w:tc>
        <w:tc>
          <w:tcPr>
            <w:tcW w:w="1120" w:type="dxa"/>
            <w:tcBorders>
              <w:top w:val="nil"/>
              <w:left w:val="nil"/>
              <w:bottom w:val="nil"/>
              <w:right w:val="nil"/>
            </w:tcBorders>
            <w:shd w:val="clear" w:color="000000" w:fill="F2F2F2"/>
            <w:noWrap/>
            <w:vAlign w:val="center"/>
            <w:hideMark/>
          </w:tcPr>
          <w:p w14:paraId="483AC943"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2,711</w:t>
            </w:r>
          </w:p>
        </w:tc>
        <w:tc>
          <w:tcPr>
            <w:tcW w:w="1120" w:type="dxa"/>
            <w:tcBorders>
              <w:top w:val="nil"/>
              <w:left w:val="nil"/>
              <w:bottom w:val="nil"/>
              <w:right w:val="nil"/>
            </w:tcBorders>
            <w:shd w:val="clear" w:color="000000" w:fill="F2F2F2"/>
            <w:noWrap/>
            <w:vAlign w:val="center"/>
            <w:hideMark/>
          </w:tcPr>
          <w:p w14:paraId="1247EC54"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2,388</w:t>
            </w:r>
          </w:p>
        </w:tc>
      </w:tr>
      <w:tr w:rsidR="00BC460A" w:rsidRPr="00A1397D" w14:paraId="04A530C6" w14:textId="77777777" w:rsidTr="00BC460A">
        <w:trPr>
          <w:trHeight w:val="290"/>
        </w:trPr>
        <w:tc>
          <w:tcPr>
            <w:tcW w:w="4060" w:type="dxa"/>
            <w:gridSpan w:val="2"/>
            <w:tcBorders>
              <w:top w:val="nil"/>
              <w:left w:val="nil"/>
              <w:bottom w:val="nil"/>
              <w:right w:val="nil"/>
            </w:tcBorders>
            <w:shd w:val="clear" w:color="auto" w:fill="auto"/>
            <w:noWrap/>
            <w:vAlign w:val="center"/>
            <w:hideMark/>
          </w:tcPr>
          <w:p w14:paraId="3E50F766" w14:textId="77777777" w:rsidR="00BC460A" w:rsidRPr="00A1397D" w:rsidRDefault="00BC460A" w:rsidP="00BC460A">
            <w:pPr>
              <w:rPr>
                <w:rFonts w:ascii="Arial" w:hAnsi="Arial" w:cs="Arial"/>
                <w:b/>
                <w:bCs/>
                <w:color w:val="000000"/>
                <w:sz w:val="18"/>
                <w:szCs w:val="18"/>
                <w:lang w:val="en-AU" w:eastAsia="en-AU"/>
              </w:rPr>
            </w:pPr>
            <w:r w:rsidRPr="00A1397D">
              <w:rPr>
                <w:rFonts w:ascii="Arial" w:hAnsi="Arial" w:cs="Arial"/>
                <w:b/>
                <w:bCs/>
                <w:color w:val="000000"/>
                <w:sz w:val="18"/>
                <w:szCs w:val="18"/>
                <w:lang w:val="en-AU" w:eastAsia="en-AU"/>
              </w:rPr>
              <w:t>Parameter and other variations</w:t>
            </w:r>
          </w:p>
        </w:tc>
        <w:tc>
          <w:tcPr>
            <w:tcW w:w="1120" w:type="dxa"/>
            <w:tcBorders>
              <w:top w:val="nil"/>
              <w:left w:val="nil"/>
              <w:bottom w:val="nil"/>
              <w:right w:val="nil"/>
            </w:tcBorders>
            <w:shd w:val="clear" w:color="auto" w:fill="auto"/>
            <w:noWrap/>
            <w:vAlign w:val="bottom"/>
            <w:hideMark/>
          </w:tcPr>
          <w:p w14:paraId="432FE217"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(786)</w:t>
            </w:r>
          </w:p>
        </w:tc>
        <w:tc>
          <w:tcPr>
            <w:tcW w:w="1120" w:type="dxa"/>
            <w:tcBorders>
              <w:top w:val="nil"/>
              <w:left w:val="nil"/>
              <w:bottom w:val="nil"/>
              <w:right w:val="nil"/>
            </w:tcBorders>
            <w:shd w:val="clear" w:color="000000" w:fill="F2F2F2"/>
            <w:noWrap/>
            <w:vAlign w:val="bottom"/>
            <w:hideMark/>
          </w:tcPr>
          <w:p w14:paraId="1F0164A0" w14:textId="77777777" w:rsidR="00BC460A" w:rsidRPr="00A1397D" w:rsidRDefault="00BC460A"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2,622</w:t>
            </w:r>
          </w:p>
        </w:tc>
        <w:tc>
          <w:tcPr>
            <w:tcW w:w="1120" w:type="dxa"/>
            <w:tcBorders>
              <w:top w:val="nil"/>
              <w:left w:val="nil"/>
              <w:bottom w:val="nil"/>
              <w:right w:val="nil"/>
            </w:tcBorders>
            <w:shd w:val="clear" w:color="000000" w:fill="F2F2F2"/>
            <w:noWrap/>
            <w:vAlign w:val="bottom"/>
            <w:hideMark/>
          </w:tcPr>
          <w:p w14:paraId="137E008E" w14:textId="65E6399A" w:rsidR="00BC460A" w:rsidRPr="00A1397D" w:rsidRDefault="001274A9"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534</w:t>
            </w:r>
          </w:p>
        </w:tc>
        <w:tc>
          <w:tcPr>
            <w:tcW w:w="1120" w:type="dxa"/>
            <w:tcBorders>
              <w:top w:val="nil"/>
              <w:left w:val="nil"/>
              <w:bottom w:val="nil"/>
              <w:right w:val="nil"/>
            </w:tcBorders>
            <w:shd w:val="clear" w:color="000000" w:fill="F2F2F2"/>
            <w:noWrap/>
            <w:vAlign w:val="bottom"/>
            <w:hideMark/>
          </w:tcPr>
          <w:p w14:paraId="63E8046D" w14:textId="42B4B351" w:rsidR="00BC460A" w:rsidRPr="00A1397D" w:rsidRDefault="001274A9" w:rsidP="00DE2C43">
            <w:pPr>
              <w:ind w:right="80"/>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635</w:t>
            </w:r>
          </w:p>
        </w:tc>
        <w:tc>
          <w:tcPr>
            <w:tcW w:w="1120" w:type="dxa"/>
            <w:tcBorders>
              <w:top w:val="nil"/>
              <w:left w:val="nil"/>
              <w:bottom w:val="nil"/>
              <w:right w:val="nil"/>
            </w:tcBorders>
            <w:shd w:val="clear" w:color="000000" w:fill="F2F2F2"/>
            <w:noWrap/>
            <w:vAlign w:val="center"/>
            <w:hideMark/>
          </w:tcPr>
          <w:p w14:paraId="56FEB651" w14:textId="77777777" w:rsidR="00BC460A" w:rsidRPr="00A1397D" w:rsidRDefault="00BC460A" w:rsidP="00DE2C43">
            <w:pPr>
              <w:ind w:right="80"/>
              <w:jc w:val="right"/>
              <w:rPr>
                <w:rFonts w:ascii="Arial" w:hAnsi="Arial" w:cs="Arial"/>
                <w:color w:val="000000"/>
                <w:sz w:val="18"/>
                <w:szCs w:val="18"/>
                <w:lang w:val="en-AU" w:eastAsia="en-AU"/>
              </w:rPr>
            </w:pPr>
            <w:proofErr w:type="spellStart"/>
            <w:r w:rsidRPr="00A1397D">
              <w:rPr>
                <w:rFonts w:ascii="Arial" w:hAnsi="Arial" w:cs="Arial"/>
                <w:color w:val="000000"/>
                <w:sz w:val="18"/>
                <w:szCs w:val="18"/>
                <w:lang w:val="en-AU" w:eastAsia="en-AU"/>
              </w:rPr>
              <w:t>n.a.</w:t>
            </w:r>
            <w:proofErr w:type="spellEnd"/>
          </w:p>
        </w:tc>
      </w:tr>
      <w:tr w:rsidR="00BC460A" w:rsidRPr="00A1397D" w14:paraId="5B7842EA" w14:textId="77777777" w:rsidTr="00BC460A">
        <w:trPr>
          <w:trHeight w:val="290"/>
        </w:trPr>
        <w:tc>
          <w:tcPr>
            <w:tcW w:w="4060" w:type="dxa"/>
            <w:gridSpan w:val="2"/>
            <w:tcBorders>
              <w:top w:val="single" w:sz="4" w:space="0" w:color="auto"/>
              <w:left w:val="nil"/>
              <w:bottom w:val="single" w:sz="4" w:space="0" w:color="auto"/>
              <w:right w:val="nil"/>
            </w:tcBorders>
            <w:shd w:val="clear" w:color="auto" w:fill="auto"/>
            <w:noWrap/>
            <w:vAlign w:val="center"/>
            <w:hideMark/>
          </w:tcPr>
          <w:p w14:paraId="504CCC42" w14:textId="77777777" w:rsidR="00BC460A" w:rsidRPr="00A1397D" w:rsidRDefault="00BC460A" w:rsidP="00BC460A">
            <w:pPr>
              <w:rPr>
                <w:rFonts w:ascii="Arial" w:hAnsi="Arial" w:cs="Arial"/>
                <w:b/>
                <w:bCs/>
                <w:color w:val="0579B9"/>
                <w:sz w:val="18"/>
                <w:szCs w:val="18"/>
                <w:lang w:val="en-AU" w:eastAsia="en-AU"/>
              </w:rPr>
            </w:pPr>
            <w:r w:rsidRPr="00A1397D">
              <w:rPr>
                <w:rFonts w:ascii="Arial" w:hAnsi="Arial" w:cs="Arial"/>
                <w:b/>
                <w:bCs/>
                <w:color w:val="0579B9"/>
                <w:sz w:val="18"/>
                <w:szCs w:val="18"/>
                <w:lang w:val="en-AU" w:eastAsia="en-AU"/>
              </w:rPr>
              <w:t>Capital - 2019-20 Budget</w:t>
            </w:r>
          </w:p>
        </w:tc>
        <w:tc>
          <w:tcPr>
            <w:tcW w:w="1120" w:type="dxa"/>
            <w:tcBorders>
              <w:top w:val="single" w:sz="4" w:space="0" w:color="auto"/>
              <w:left w:val="nil"/>
              <w:bottom w:val="single" w:sz="4" w:space="0" w:color="auto"/>
              <w:right w:val="nil"/>
            </w:tcBorders>
            <w:shd w:val="clear" w:color="auto" w:fill="auto"/>
            <w:noWrap/>
            <w:vAlign w:val="center"/>
            <w:hideMark/>
          </w:tcPr>
          <w:p w14:paraId="2D44DFE3" w14:textId="77777777" w:rsidR="00BC460A" w:rsidRPr="00A1397D" w:rsidRDefault="00BC460A" w:rsidP="00DE2C43">
            <w:pPr>
              <w:ind w:right="80"/>
              <w:jc w:val="right"/>
              <w:rPr>
                <w:rFonts w:ascii="Arial" w:hAnsi="Arial" w:cs="Arial"/>
                <w:b/>
                <w:bCs/>
                <w:color w:val="0579B9"/>
                <w:sz w:val="18"/>
                <w:szCs w:val="18"/>
                <w:lang w:val="en-AU" w:eastAsia="en-AU"/>
              </w:rPr>
            </w:pPr>
            <w:r w:rsidRPr="00A1397D">
              <w:rPr>
                <w:rFonts w:ascii="Arial" w:hAnsi="Arial" w:cs="Arial"/>
                <w:b/>
                <w:bCs/>
                <w:color w:val="0579B9"/>
                <w:sz w:val="18"/>
                <w:szCs w:val="18"/>
                <w:lang w:val="en-AU" w:eastAsia="en-AU"/>
              </w:rPr>
              <w:t>23,199</w:t>
            </w:r>
          </w:p>
        </w:tc>
        <w:tc>
          <w:tcPr>
            <w:tcW w:w="1120" w:type="dxa"/>
            <w:tcBorders>
              <w:top w:val="single" w:sz="4" w:space="0" w:color="auto"/>
              <w:left w:val="nil"/>
              <w:bottom w:val="single" w:sz="4" w:space="0" w:color="auto"/>
              <w:right w:val="nil"/>
            </w:tcBorders>
            <w:shd w:val="clear" w:color="000000" w:fill="F2F2F2"/>
            <w:noWrap/>
            <w:vAlign w:val="center"/>
            <w:hideMark/>
          </w:tcPr>
          <w:p w14:paraId="464DCE1F" w14:textId="77777777" w:rsidR="00BC460A" w:rsidRPr="00A1397D" w:rsidRDefault="00BC460A" w:rsidP="00DE2C43">
            <w:pPr>
              <w:ind w:right="80"/>
              <w:jc w:val="right"/>
              <w:rPr>
                <w:rFonts w:ascii="Arial" w:hAnsi="Arial" w:cs="Arial"/>
                <w:b/>
                <w:bCs/>
                <w:color w:val="0579B9"/>
                <w:sz w:val="18"/>
                <w:szCs w:val="18"/>
                <w:lang w:val="en-AU" w:eastAsia="en-AU"/>
              </w:rPr>
            </w:pPr>
            <w:r w:rsidRPr="00A1397D">
              <w:rPr>
                <w:rFonts w:ascii="Arial" w:hAnsi="Arial" w:cs="Arial"/>
                <w:b/>
                <w:bCs/>
                <w:color w:val="0579B9"/>
                <w:sz w:val="18"/>
                <w:szCs w:val="18"/>
                <w:lang w:val="en-AU" w:eastAsia="en-AU"/>
              </w:rPr>
              <w:t>27,739</w:t>
            </w:r>
          </w:p>
        </w:tc>
        <w:tc>
          <w:tcPr>
            <w:tcW w:w="1120" w:type="dxa"/>
            <w:tcBorders>
              <w:top w:val="single" w:sz="4" w:space="0" w:color="auto"/>
              <w:left w:val="nil"/>
              <w:bottom w:val="single" w:sz="4" w:space="0" w:color="auto"/>
              <w:right w:val="nil"/>
            </w:tcBorders>
            <w:shd w:val="clear" w:color="000000" w:fill="F2F2F2"/>
            <w:noWrap/>
            <w:vAlign w:val="center"/>
            <w:hideMark/>
          </w:tcPr>
          <w:p w14:paraId="31E9601E" w14:textId="09D5F6A1" w:rsidR="00BC460A" w:rsidRPr="00A1397D" w:rsidRDefault="00C76771" w:rsidP="00DE2C43">
            <w:pPr>
              <w:ind w:right="80"/>
              <w:jc w:val="right"/>
              <w:rPr>
                <w:rFonts w:ascii="Arial" w:hAnsi="Arial" w:cs="Arial"/>
                <w:b/>
                <w:bCs/>
                <w:color w:val="0579B9"/>
                <w:sz w:val="18"/>
                <w:szCs w:val="18"/>
                <w:lang w:val="en-AU" w:eastAsia="en-AU"/>
              </w:rPr>
            </w:pPr>
            <w:r w:rsidRPr="00A1397D">
              <w:rPr>
                <w:rFonts w:ascii="Arial" w:hAnsi="Arial" w:cs="Arial"/>
                <w:b/>
                <w:bCs/>
                <w:color w:val="0579B9"/>
                <w:sz w:val="18"/>
                <w:szCs w:val="18"/>
                <w:lang w:val="en-AU" w:eastAsia="en-AU"/>
              </w:rPr>
              <w:t>23,849</w:t>
            </w:r>
          </w:p>
        </w:tc>
        <w:tc>
          <w:tcPr>
            <w:tcW w:w="1120" w:type="dxa"/>
            <w:tcBorders>
              <w:top w:val="single" w:sz="4" w:space="0" w:color="auto"/>
              <w:left w:val="nil"/>
              <w:bottom w:val="single" w:sz="4" w:space="0" w:color="auto"/>
              <w:right w:val="nil"/>
            </w:tcBorders>
            <w:shd w:val="clear" w:color="000000" w:fill="F2F2F2"/>
            <w:noWrap/>
            <w:vAlign w:val="center"/>
            <w:hideMark/>
          </w:tcPr>
          <w:p w14:paraId="6119251B" w14:textId="5C9CE3A4" w:rsidR="00BC460A" w:rsidRPr="00A1397D" w:rsidRDefault="00C76771" w:rsidP="00DE2C43">
            <w:pPr>
              <w:ind w:right="80"/>
              <w:jc w:val="right"/>
              <w:rPr>
                <w:rFonts w:ascii="Arial" w:hAnsi="Arial" w:cs="Arial"/>
                <w:b/>
                <w:bCs/>
                <w:color w:val="0579B9"/>
                <w:sz w:val="18"/>
                <w:szCs w:val="18"/>
                <w:lang w:val="en-AU" w:eastAsia="en-AU"/>
              </w:rPr>
            </w:pPr>
            <w:r w:rsidRPr="00A1397D">
              <w:rPr>
                <w:rFonts w:ascii="Arial" w:hAnsi="Arial" w:cs="Arial"/>
                <w:b/>
                <w:bCs/>
                <w:color w:val="0579B9"/>
                <w:sz w:val="18"/>
                <w:szCs w:val="18"/>
                <w:lang w:val="en-AU" w:eastAsia="en-AU"/>
              </w:rPr>
              <w:t>22,671</w:t>
            </w:r>
          </w:p>
        </w:tc>
        <w:tc>
          <w:tcPr>
            <w:tcW w:w="1120" w:type="dxa"/>
            <w:tcBorders>
              <w:top w:val="single" w:sz="4" w:space="0" w:color="auto"/>
              <w:left w:val="nil"/>
              <w:bottom w:val="single" w:sz="4" w:space="0" w:color="auto"/>
              <w:right w:val="nil"/>
            </w:tcBorders>
            <w:shd w:val="clear" w:color="000000" w:fill="F2F2F2"/>
            <w:noWrap/>
            <w:vAlign w:val="center"/>
            <w:hideMark/>
          </w:tcPr>
          <w:p w14:paraId="1CB15E38" w14:textId="57C1F9F2" w:rsidR="00BC460A" w:rsidRPr="00A1397D" w:rsidRDefault="00BC460A" w:rsidP="00DE2C43">
            <w:pPr>
              <w:ind w:right="80"/>
              <w:jc w:val="right"/>
              <w:rPr>
                <w:rFonts w:ascii="Arial" w:hAnsi="Arial" w:cs="Arial"/>
                <w:b/>
                <w:bCs/>
                <w:color w:val="0579B9"/>
                <w:sz w:val="18"/>
                <w:szCs w:val="18"/>
                <w:lang w:val="en-AU" w:eastAsia="en-AU"/>
              </w:rPr>
            </w:pPr>
            <w:r w:rsidRPr="00A1397D">
              <w:rPr>
                <w:rFonts w:ascii="Arial" w:hAnsi="Arial" w:cs="Arial"/>
                <w:b/>
                <w:bCs/>
                <w:color w:val="0579B9"/>
                <w:sz w:val="18"/>
                <w:szCs w:val="18"/>
                <w:lang w:val="en-AU" w:eastAsia="en-AU"/>
              </w:rPr>
              <w:t>1</w:t>
            </w:r>
            <w:r w:rsidR="000F703E" w:rsidRPr="00A1397D">
              <w:rPr>
                <w:rFonts w:ascii="Arial" w:hAnsi="Arial" w:cs="Arial"/>
                <w:b/>
                <w:bCs/>
                <w:color w:val="0579B9"/>
                <w:sz w:val="18"/>
                <w:szCs w:val="18"/>
                <w:lang w:val="en-AU" w:eastAsia="en-AU"/>
              </w:rPr>
              <w:t>8</w:t>
            </w:r>
            <w:r w:rsidRPr="00A1397D">
              <w:rPr>
                <w:rFonts w:ascii="Arial" w:hAnsi="Arial" w:cs="Arial"/>
                <w:b/>
                <w:bCs/>
                <w:color w:val="0579B9"/>
                <w:sz w:val="18"/>
                <w:szCs w:val="18"/>
                <w:lang w:val="en-AU" w:eastAsia="en-AU"/>
              </w:rPr>
              <w:t>,775</w:t>
            </w:r>
          </w:p>
        </w:tc>
      </w:tr>
    </w:tbl>
    <w:p w14:paraId="540EB715" w14:textId="77777777" w:rsidR="00BD23C8" w:rsidRPr="00A1397D" w:rsidRDefault="00BD23C8" w:rsidP="00BD23C8">
      <w:pPr>
        <w:rPr>
          <w:rFonts w:ascii="Arial" w:hAnsi="Arial" w:cs="Arial"/>
          <w:sz w:val="6"/>
          <w:szCs w:val="6"/>
        </w:rPr>
      </w:pPr>
    </w:p>
    <w:p w14:paraId="4CC9126A" w14:textId="2A13C8E5" w:rsidR="00A33734" w:rsidRPr="00A1397D" w:rsidRDefault="00A33734" w:rsidP="00A33734">
      <w:pPr>
        <w:widowControl w:val="0"/>
        <w:numPr>
          <w:ilvl w:val="0"/>
          <w:numId w:val="2"/>
        </w:numPr>
        <w:tabs>
          <w:tab w:val="left" w:pos="364"/>
          <w:tab w:val="right" w:pos="4196"/>
          <w:tab w:val="right" w:pos="5046"/>
          <w:tab w:val="right" w:pos="5897"/>
          <w:tab w:val="right" w:pos="6747"/>
          <w:tab w:val="right" w:pos="7598"/>
        </w:tabs>
        <w:autoSpaceDE w:val="0"/>
        <w:autoSpaceDN w:val="0"/>
        <w:spacing w:before="20" w:after="20"/>
        <w:rPr>
          <w:rFonts w:ascii="Arial" w:hAnsi="Arial" w:cs="Arial"/>
          <w:kern w:val="28"/>
          <w:sz w:val="17"/>
          <w:szCs w:val="17"/>
        </w:rPr>
      </w:pPr>
      <w:r w:rsidRPr="00A1397D">
        <w:rPr>
          <w:rFonts w:ascii="Arial" w:hAnsi="Arial" w:cs="Arial"/>
          <w:kern w:val="28"/>
          <w:sz w:val="17"/>
          <w:szCs w:val="17"/>
        </w:rPr>
        <w:t>Includes the estimated impact of spending funds committed and reserved in Restart NSW.</w:t>
      </w:r>
    </w:p>
    <w:p w14:paraId="64B51DD1" w14:textId="72BDE579" w:rsidR="00A33734" w:rsidRPr="00A1397D" w:rsidRDefault="00A33734" w:rsidP="00BF4099">
      <w:pPr>
        <w:pStyle w:val="BodyText"/>
      </w:pPr>
      <w:r w:rsidRPr="00A1397D">
        <w:t xml:space="preserve">Table 1.1 shows that </w:t>
      </w:r>
      <w:r w:rsidR="00FB6A99" w:rsidRPr="00A1397D">
        <w:t xml:space="preserve">the </w:t>
      </w:r>
      <w:r w:rsidR="00615094" w:rsidRPr="00A1397D">
        <w:t>201</w:t>
      </w:r>
      <w:r w:rsidR="00986096" w:rsidRPr="00A1397D">
        <w:t>9</w:t>
      </w:r>
      <w:r w:rsidR="00615094" w:rsidRPr="00A1397D">
        <w:t>-</w:t>
      </w:r>
      <w:r w:rsidR="00986096" w:rsidRPr="00A1397D">
        <w:t>20</w:t>
      </w:r>
      <w:r w:rsidR="00FB6A99" w:rsidRPr="00A1397D">
        <w:t xml:space="preserve"> </w:t>
      </w:r>
      <w:r w:rsidRPr="00A1397D">
        <w:t>capital expenditure</w:t>
      </w:r>
      <w:r w:rsidR="00FB6A99" w:rsidRPr="00A1397D">
        <w:t xml:space="preserve"> </w:t>
      </w:r>
      <w:r w:rsidR="00952AD3" w:rsidRPr="00A1397D">
        <w:t>compared t</w:t>
      </w:r>
      <w:r w:rsidR="00986096" w:rsidRPr="00A1397D">
        <w:t xml:space="preserve">o 2018-19 </w:t>
      </w:r>
      <w:r w:rsidR="00C35B6B" w:rsidRPr="00A1397D">
        <w:t>h</w:t>
      </w:r>
      <w:r w:rsidRPr="00A1397D">
        <w:t xml:space="preserve">as </w:t>
      </w:r>
      <w:r w:rsidR="00CD227E" w:rsidRPr="00A1397D">
        <w:t>in</w:t>
      </w:r>
      <w:r w:rsidRPr="00A1397D">
        <w:t>creased</w:t>
      </w:r>
      <w:r w:rsidR="00615094" w:rsidRPr="00A1397D">
        <w:t xml:space="preserve"> from $</w:t>
      </w:r>
      <w:r w:rsidR="00B25106" w:rsidRPr="00A1397D">
        <w:t>2</w:t>
      </w:r>
      <w:r w:rsidR="00CD227E" w:rsidRPr="00A1397D">
        <w:t>3</w:t>
      </w:r>
      <w:r w:rsidR="00615094" w:rsidRPr="00A1397D">
        <w:t>.</w:t>
      </w:r>
      <w:r w:rsidR="00CD227E" w:rsidRPr="00A1397D">
        <w:t>2</w:t>
      </w:r>
      <w:r w:rsidR="00615094" w:rsidRPr="00A1397D">
        <w:t xml:space="preserve"> billion</w:t>
      </w:r>
      <w:r w:rsidRPr="00A1397D">
        <w:t xml:space="preserve"> to $</w:t>
      </w:r>
      <w:r w:rsidR="00A324BD" w:rsidRPr="00A1397D">
        <w:t>2</w:t>
      </w:r>
      <w:r w:rsidR="00CD227E" w:rsidRPr="00A1397D">
        <w:t>7.</w:t>
      </w:r>
      <w:r w:rsidR="008B6609" w:rsidRPr="00A1397D">
        <w:t>7</w:t>
      </w:r>
      <w:r w:rsidR="00F95C69" w:rsidRPr="00A1397D">
        <w:t xml:space="preserve"> </w:t>
      </w:r>
      <w:r w:rsidRPr="00A1397D">
        <w:t xml:space="preserve">billion. Key drivers of this increase include new spending initiatives </w:t>
      </w:r>
      <w:r w:rsidR="002F05E1" w:rsidRPr="00A1397D">
        <w:t>resulting from election commitments</w:t>
      </w:r>
      <w:r w:rsidR="00684486" w:rsidRPr="00A1397D">
        <w:t xml:space="preserve">, </w:t>
      </w:r>
      <w:r w:rsidR="000C510F" w:rsidRPr="00A1397D">
        <w:t xml:space="preserve">the </w:t>
      </w:r>
      <w:r w:rsidR="00684486" w:rsidRPr="00A1397D">
        <w:t>acceleration</w:t>
      </w:r>
      <w:r w:rsidR="000C510F" w:rsidRPr="00A1397D">
        <w:t xml:space="preserve"> of </w:t>
      </w:r>
      <w:r w:rsidR="00583BC5" w:rsidRPr="00A1397D">
        <w:t>projects from forward years in Transport,</w:t>
      </w:r>
      <w:r w:rsidR="00524E0B" w:rsidRPr="00A1397D">
        <w:t xml:space="preserve"> </w:t>
      </w:r>
      <w:r w:rsidR="004645F8" w:rsidRPr="00A1397D">
        <w:t xml:space="preserve">the </w:t>
      </w:r>
      <w:r w:rsidR="00524E0B" w:rsidRPr="00A1397D">
        <w:t>reprofiling o</w:t>
      </w:r>
      <w:r w:rsidR="004645F8" w:rsidRPr="00A1397D">
        <w:t>f</w:t>
      </w:r>
      <w:r w:rsidR="00524E0B" w:rsidRPr="00A1397D">
        <w:t xml:space="preserve"> projects </w:t>
      </w:r>
      <w:r w:rsidR="0013320F" w:rsidRPr="00A1397D">
        <w:t>from 2018-19 to 2019-20</w:t>
      </w:r>
      <w:r w:rsidRPr="00A1397D">
        <w:t xml:space="preserve"> and the impact of new accounting standards on </w:t>
      </w:r>
      <w:r w:rsidR="00E71E35" w:rsidRPr="00A1397D">
        <w:t xml:space="preserve">capitalising </w:t>
      </w:r>
      <w:r w:rsidRPr="00A1397D">
        <w:t>operating leases.</w:t>
      </w:r>
    </w:p>
    <w:p w14:paraId="1345D74F" w14:textId="77777777" w:rsidR="00A33734" w:rsidRPr="000B454D" w:rsidRDefault="00A33734" w:rsidP="00A33734">
      <w:pPr>
        <w:pStyle w:val="Heading3"/>
      </w:pPr>
      <w:bookmarkStart w:id="19" w:name="_Hlk10533709"/>
      <w:r w:rsidRPr="000B454D">
        <w:t>Impact of changes to accounting standards</w:t>
      </w:r>
    </w:p>
    <w:bookmarkEnd w:id="19"/>
    <w:p w14:paraId="7961B941" w14:textId="7A194F1C" w:rsidR="00A33734" w:rsidRPr="00A1397D" w:rsidRDefault="00A33734" w:rsidP="00BF4099">
      <w:pPr>
        <w:pStyle w:val="BodyText"/>
      </w:pPr>
      <w:r w:rsidRPr="00A1397D">
        <w:t>AASB 16 Leases is a new accounting standard that requires leases (including operating leases) to be reported on the balance sheet</w:t>
      </w:r>
      <w:r w:rsidR="00E94C63" w:rsidRPr="00A1397D">
        <w:t xml:space="preserve"> as </w:t>
      </w:r>
      <w:r w:rsidR="005B5893" w:rsidRPr="00A1397D">
        <w:t xml:space="preserve">a lease </w:t>
      </w:r>
      <w:r w:rsidR="00E94C63" w:rsidRPr="00A1397D">
        <w:t>asset</w:t>
      </w:r>
      <w:r w:rsidR="005B5893" w:rsidRPr="00A1397D">
        <w:t xml:space="preserve"> with an offsetting lease liability</w:t>
      </w:r>
      <w:r w:rsidRPr="00A1397D">
        <w:t xml:space="preserve">. The new standards come into effect for the 2019-20 budget year. Adjustments associated with the introduction of the new standards are forecast to increase </w:t>
      </w:r>
      <w:r w:rsidR="00F46C35" w:rsidRPr="00A1397D">
        <w:t xml:space="preserve">reported </w:t>
      </w:r>
      <w:r w:rsidRPr="00A1397D">
        <w:t>capital expenditure by $1.6 billion (</w:t>
      </w:r>
      <w:r w:rsidR="008C4808" w:rsidRPr="00A1397D">
        <w:t xml:space="preserve">for the period </w:t>
      </w:r>
      <w:r w:rsidRPr="00A1397D">
        <w:t>2019-20 to 2022</w:t>
      </w:r>
      <w:r w:rsidRPr="00A1397D">
        <w:noBreakHyphen/>
        <w:t>23) as set out in Table 1.</w:t>
      </w:r>
      <w:r w:rsidR="00592927" w:rsidRPr="00A1397D">
        <w:t>3</w:t>
      </w:r>
      <w:r w:rsidRPr="00A1397D">
        <w:t>.</w:t>
      </w:r>
    </w:p>
    <w:p w14:paraId="350CDE5C" w14:textId="6701DA03" w:rsidR="00A33734" w:rsidRPr="00DD46F4" w:rsidRDefault="00A33734" w:rsidP="00A33734">
      <w:pPr>
        <w:pStyle w:val="Table1X"/>
      </w:pPr>
      <w:r w:rsidRPr="00DD46F4">
        <w:t xml:space="preserve">Impact of </w:t>
      </w:r>
      <w:r w:rsidR="00423C11">
        <w:t>l</w:t>
      </w:r>
      <w:r w:rsidRPr="00DD46F4">
        <w:t>eases under new accounting standards</w:t>
      </w:r>
    </w:p>
    <w:tbl>
      <w:tblPr>
        <w:tblW w:w="9702" w:type="dxa"/>
        <w:tblLook w:val="04A0" w:firstRow="1" w:lastRow="0" w:firstColumn="1" w:lastColumn="0" w:noHBand="0" w:noVBand="1"/>
        <w:tblCaption w:val="Table 1.1:  Capital expenditure reconciliation"/>
        <w:tblDescription w:val="Table 1.1:  Capital expenditure reconciliation"/>
      </w:tblPr>
      <w:tblGrid>
        <w:gridCol w:w="1035"/>
        <w:gridCol w:w="2509"/>
        <w:gridCol w:w="985"/>
        <w:gridCol w:w="1134"/>
        <w:gridCol w:w="1276"/>
        <w:gridCol w:w="1275"/>
        <w:gridCol w:w="1488"/>
      </w:tblGrid>
      <w:tr w:rsidR="00A33734" w:rsidRPr="00A1397D" w14:paraId="3F3F74C7" w14:textId="77777777" w:rsidTr="00BD23C8">
        <w:trPr>
          <w:trHeight w:val="307"/>
        </w:trPr>
        <w:tc>
          <w:tcPr>
            <w:tcW w:w="1035" w:type="dxa"/>
            <w:tcBorders>
              <w:top w:val="nil"/>
              <w:left w:val="nil"/>
              <w:bottom w:val="nil"/>
              <w:right w:val="nil"/>
            </w:tcBorders>
            <w:shd w:val="clear" w:color="000000" w:fill="25A9E1"/>
            <w:vAlign w:val="center"/>
            <w:hideMark/>
          </w:tcPr>
          <w:p w14:paraId="32215390" w14:textId="77777777" w:rsidR="00A33734" w:rsidRPr="00A1397D" w:rsidRDefault="00A33734" w:rsidP="002370B8">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 </w:t>
            </w:r>
          </w:p>
        </w:tc>
        <w:tc>
          <w:tcPr>
            <w:tcW w:w="2509" w:type="dxa"/>
            <w:tcBorders>
              <w:top w:val="nil"/>
              <w:left w:val="nil"/>
              <w:bottom w:val="nil"/>
              <w:right w:val="nil"/>
            </w:tcBorders>
            <w:shd w:val="clear" w:color="000000" w:fill="25A9E1"/>
            <w:vAlign w:val="center"/>
            <w:hideMark/>
          </w:tcPr>
          <w:p w14:paraId="438F8E1C" w14:textId="77777777" w:rsidR="00A33734" w:rsidRPr="00A1397D" w:rsidRDefault="00A33734" w:rsidP="002370B8">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 </w:t>
            </w:r>
          </w:p>
        </w:tc>
        <w:tc>
          <w:tcPr>
            <w:tcW w:w="985" w:type="dxa"/>
            <w:tcBorders>
              <w:top w:val="nil"/>
              <w:left w:val="nil"/>
              <w:bottom w:val="nil"/>
              <w:right w:val="nil"/>
            </w:tcBorders>
            <w:shd w:val="clear" w:color="000000" w:fill="25A9E1"/>
            <w:vAlign w:val="center"/>
            <w:hideMark/>
          </w:tcPr>
          <w:p w14:paraId="754B96FE" w14:textId="77777777" w:rsidR="00A33734" w:rsidRPr="00A1397D" w:rsidRDefault="00A33734" w:rsidP="002370B8">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2019-20</w:t>
            </w:r>
          </w:p>
        </w:tc>
        <w:tc>
          <w:tcPr>
            <w:tcW w:w="1134" w:type="dxa"/>
            <w:tcBorders>
              <w:top w:val="nil"/>
              <w:left w:val="nil"/>
              <w:bottom w:val="nil"/>
              <w:right w:val="nil"/>
            </w:tcBorders>
            <w:shd w:val="clear" w:color="000000" w:fill="25A9E1"/>
            <w:vAlign w:val="center"/>
            <w:hideMark/>
          </w:tcPr>
          <w:p w14:paraId="6FEC91C5" w14:textId="77777777" w:rsidR="00A33734" w:rsidRPr="00A1397D" w:rsidRDefault="00A33734" w:rsidP="002370B8">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2020-21</w:t>
            </w:r>
          </w:p>
        </w:tc>
        <w:tc>
          <w:tcPr>
            <w:tcW w:w="1276" w:type="dxa"/>
            <w:tcBorders>
              <w:top w:val="nil"/>
              <w:left w:val="nil"/>
              <w:bottom w:val="nil"/>
              <w:right w:val="nil"/>
            </w:tcBorders>
            <w:shd w:val="clear" w:color="000000" w:fill="25A9E1"/>
            <w:vAlign w:val="center"/>
            <w:hideMark/>
          </w:tcPr>
          <w:p w14:paraId="61A12A60" w14:textId="77777777" w:rsidR="00A33734" w:rsidRPr="00A1397D" w:rsidRDefault="00A33734" w:rsidP="002370B8">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2021-22</w:t>
            </w:r>
          </w:p>
        </w:tc>
        <w:tc>
          <w:tcPr>
            <w:tcW w:w="1275" w:type="dxa"/>
            <w:tcBorders>
              <w:top w:val="nil"/>
              <w:left w:val="nil"/>
              <w:bottom w:val="nil"/>
              <w:right w:val="nil"/>
            </w:tcBorders>
            <w:shd w:val="clear" w:color="000000" w:fill="25A9E1"/>
            <w:vAlign w:val="center"/>
            <w:hideMark/>
          </w:tcPr>
          <w:p w14:paraId="7EE38FCB" w14:textId="77777777" w:rsidR="00A33734" w:rsidRPr="00A1397D" w:rsidRDefault="00A33734" w:rsidP="002370B8">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2022-23</w:t>
            </w:r>
          </w:p>
        </w:tc>
        <w:tc>
          <w:tcPr>
            <w:tcW w:w="1488" w:type="dxa"/>
            <w:tcBorders>
              <w:top w:val="nil"/>
              <w:left w:val="nil"/>
              <w:bottom w:val="nil"/>
              <w:right w:val="nil"/>
            </w:tcBorders>
            <w:shd w:val="clear" w:color="000000" w:fill="25A9E1"/>
            <w:vAlign w:val="center"/>
            <w:hideMark/>
          </w:tcPr>
          <w:p w14:paraId="7B1066AA" w14:textId="77777777" w:rsidR="00A33734" w:rsidRPr="00A1397D" w:rsidRDefault="00A33734" w:rsidP="002370B8">
            <w:pPr>
              <w:jc w:val="center"/>
              <w:rPr>
                <w:rFonts w:ascii="Arial" w:hAnsi="Arial" w:cs="Arial"/>
                <w:color w:val="FFFFFF"/>
                <w:sz w:val="18"/>
                <w:szCs w:val="18"/>
                <w:lang w:val="en-AU" w:eastAsia="en-AU"/>
              </w:rPr>
            </w:pPr>
            <w:proofErr w:type="gramStart"/>
            <w:r w:rsidRPr="00A1397D">
              <w:rPr>
                <w:rFonts w:ascii="Arial" w:hAnsi="Arial" w:cs="Arial"/>
                <w:color w:val="FFFFFF"/>
                <w:sz w:val="18"/>
                <w:szCs w:val="18"/>
                <w:lang w:val="en-AU" w:eastAsia="en-AU"/>
              </w:rPr>
              <w:t>Four year</w:t>
            </w:r>
            <w:proofErr w:type="gramEnd"/>
            <w:r w:rsidRPr="00A1397D">
              <w:rPr>
                <w:rFonts w:ascii="Arial" w:hAnsi="Arial" w:cs="Arial"/>
                <w:color w:val="FFFFFF"/>
                <w:sz w:val="18"/>
                <w:szCs w:val="18"/>
                <w:lang w:val="en-AU" w:eastAsia="en-AU"/>
              </w:rPr>
              <w:t xml:space="preserve"> total</w:t>
            </w:r>
          </w:p>
        </w:tc>
      </w:tr>
      <w:tr w:rsidR="00A33734" w:rsidRPr="00A1397D" w14:paraId="45D3BE79" w14:textId="77777777" w:rsidTr="00BD23C8">
        <w:trPr>
          <w:trHeight w:val="323"/>
        </w:trPr>
        <w:tc>
          <w:tcPr>
            <w:tcW w:w="1035" w:type="dxa"/>
            <w:tcBorders>
              <w:top w:val="nil"/>
              <w:left w:val="nil"/>
              <w:bottom w:val="nil"/>
              <w:right w:val="nil"/>
            </w:tcBorders>
            <w:shd w:val="clear" w:color="000000" w:fill="0579B9"/>
            <w:vAlign w:val="center"/>
            <w:hideMark/>
          </w:tcPr>
          <w:p w14:paraId="006FDB3A" w14:textId="77777777" w:rsidR="00A33734" w:rsidRPr="00A1397D" w:rsidRDefault="00A33734" w:rsidP="002370B8">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 </w:t>
            </w:r>
          </w:p>
        </w:tc>
        <w:tc>
          <w:tcPr>
            <w:tcW w:w="2509" w:type="dxa"/>
            <w:tcBorders>
              <w:top w:val="nil"/>
              <w:left w:val="nil"/>
              <w:bottom w:val="nil"/>
              <w:right w:val="nil"/>
            </w:tcBorders>
            <w:shd w:val="clear" w:color="000000" w:fill="0579B9"/>
            <w:vAlign w:val="center"/>
            <w:hideMark/>
          </w:tcPr>
          <w:p w14:paraId="5E39E6E2" w14:textId="77777777" w:rsidR="00A33734" w:rsidRPr="00A1397D" w:rsidRDefault="00A33734" w:rsidP="002370B8">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 </w:t>
            </w:r>
          </w:p>
        </w:tc>
        <w:tc>
          <w:tcPr>
            <w:tcW w:w="985" w:type="dxa"/>
            <w:tcBorders>
              <w:top w:val="nil"/>
              <w:left w:val="nil"/>
              <w:bottom w:val="nil"/>
              <w:right w:val="nil"/>
            </w:tcBorders>
            <w:shd w:val="clear" w:color="000000" w:fill="0579B9"/>
            <w:vAlign w:val="center"/>
            <w:hideMark/>
          </w:tcPr>
          <w:p w14:paraId="6E5B4963" w14:textId="77777777" w:rsidR="00A33734" w:rsidRPr="00A1397D" w:rsidRDefault="00A33734" w:rsidP="002370B8">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$m</w:t>
            </w:r>
          </w:p>
        </w:tc>
        <w:tc>
          <w:tcPr>
            <w:tcW w:w="1134" w:type="dxa"/>
            <w:tcBorders>
              <w:top w:val="nil"/>
              <w:left w:val="nil"/>
              <w:bottom w:val="nil"/>
              <w:right w:val="nil"/>
            </w:tcBorders>
            <w:shd w:val="clear" w:color="000000" w:fill="0579B9"/>
            <w:vAlign w:val="center"/>
            <w:hideMark/>
          </w:tcPr>
          <w:p w14:paraId="3F1B45BD" w14:textId="77777777" w:rsidR="00A33734" w:rsidRPr="00A1397D" w:rsidRDefault="00A33734" w:rsidP="002370B8">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$m</w:t>
            </w:r>
          </w:p>
        </w:tc>
        <w:tc>
          <w:tcPr>
            <w:tcW w:w="1276" w:type="dxa"/>
            <w:tcBorders>
              <w:top w:val="nil"/>
              <w:left w:val="nil"/>
              <w:bottom w:val="nil"/>
              <w:right w:val="nil"/>
            </w:tcBorders>
            <w:shd w:val="clear" w:color="000000" w:fill="0579B9"/>
            <w:vAlign w:val="center"/>
            <w:hideMark/>
          </w:tcPr>
          <w:p w14:paraId="144F375C" w14:textId="77777777" w:rsidR="00A33734" w:rsidRPr="00A1397D" w:rsidRDefault="00A33734" w:rsidP="002370B8">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$m</w:t>
            </w:r>
          </w:p>
        </w:tc>
        <w:tc>
          <w:tcPr>
            <w:tcW w:w="1275" w:type="dxa"/>
            <w:tcBorders>
              <w:top w:val="nil"/>
              <w:left w:val="nil"/>
              <w:bottom w:val="nil"/>
              <w:right w:val="nil"/>
            </w:tcBorders>
            <w:shd w:val="clear" w:color="000000" w:fill="0579B9"/>
            <w:vAlign w:val="center"/>
            <w:hideMark/>
          </w:tcPr>
          <w:p w14:paraId="3E0B73C7" w14:textId="77777777" w:rsidR="00A33734" w:rsidRPr="00A1397D" w:rsidRDefault="00A33734" w:rsidP="002370B8">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$m</w:t>
            </w:r>
          </w:p>
        </w:tc>
        <w:tc>
          <w:tcPr>
            <w:tcW w:w="1488" w:type="dxa"/>
            <w:tcBorders>
              <w:top w:val="nil"/>
              <w:left w:val="nil"/>
              <w:bottom w:val="nil"/>
              <w:right w:val="nil"/>
            </w:tcBorders>
            <w:shd w:val="clear" w:color="000000" w:fill="0579B9"/>
            <w:vAlign w:val="center"/>
            <w:hideMark/>
          </w:tcPr>
          <w:p w14:paraId="58656B57" w14:textId="77777777" w:rsidR="00A33734" w:rsidRPr="00A1397D" w:rsidRDefault="00A33734" w:rsidP="002370B8">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$m</w:t>
            </w:r>
          </w:p>
        </w:tc>
      </w:tr>
      <w:tr w:rsidR="005331FA" w:rsidRPr="00A1397D" w14:paraId="615DD209" w14:textId="77777777" w:rsidTr="00BD23C8">
        <w:trPr>
          <w:trHeight w:val="323"/>
        </w:trPr>
        <w:tc>
          <w:tcPr>
            <w:tcW w:w="3544" w:type="dxa"/>
            <w:gridSpan w:val="2"/>
            <w:tcBorders>
              <w:top w:val="single" w:sz="4" w:space="0" w:color="auto"/>
              <w:left w:val="nil"/>
              <w:bottom w:val="single" w:sz="4" w:space="0" w:color="auto"/>
              <w:right w:val="nil"/>
            </w:tcBorders>
            <w:shd w:val="clear" w:color="auto" w:fill="auto"/>
            <w:noWrap/>
            <w:vAlign w:val="center"/>
            <w:hideMark/>
          </w:tcPr>
          <w:p w14:paraId="673F07F0" w14:textId="37FCE4A0" w:rsidR="00A33734" w:rsidRPr="00A1397D" w:rsidRDefault="00A33734" w:rsidP="002370B8">
            <w:pPr>
              <w:rPr>
                <w:rFonts w:ascii="Arial" w:hAnsi="Arial" w:cs="Arial"/>
                <w:b/>
                <w:bCs/>
                <w:color w:val="0579B9"/>
                <w:sz w:val="18"/>
                <w:szCs w:val="18"/>
                <w:lang w:val="en-AU" w:eastAsia="en-AU"/>
              </w:rPr>
            </w:pPr>
            <w:r w:rsidRPr="00A1397D">
              <w:rPr>
                <w:rFonts w:ascii="Arial" w:hAnsi="Arial" w:cs="Arial"/>
                <w:b/>
                <w:bCs/>
                <w:color w:val="0579B9"/>
                <w:sz w:val="18"/>
                <w:szCs w:val="18"/>
                <w:lang w:val="en-AU" w:eastAsia="en-AU"/>
              </w:rPr>
              <w:t xml:space="preserve">Impact of </w:t>
            </w:r>
            <w:r w:rsidR="007A05F1" w:rsidRPr="00A1397D">
              <w:rPr>
                <w:rFonts w:ascii="Arial" w:hAnsi="Arial" w:cs="Arial"/>
                <w:b/>
                <w:bCs/>
                <w:color w:val="0579B9"/>
                <w:sz w:val="18"/>
                <w:szCs w:val="18"/>
                <w:lang w:val="en-AU" w:eastAsia="en-AU"/>
              </w:rPr>
              <w:t>l</w:t>
            </w:r>
            <w:r w:rsidRPr="00A1397D">
              <w:rPr>
                <w:rFonts w:ascii="Arial" w:hAnsi="Arial" w:cs="Arial"/>
                <w:b/>
                <w:bCs/>
                <w:color w:val="0579B9"/>
                <w:sz w:val="18"/>
                <w:szCs w:val="18"/>
                <w:lang w:val="en-AU" w:eastAsia="en-AU"/>
              </w:rPr>
              <w:t>eases - 2018-19 Budget</w:t>
            </w:r>
          </w:p>
        </w:tc>
        <w:tc>
          <w:tcPr>
            <w:tcW w:w="985" w:type="dxa"/>
            <w:tcBorders>
              <w:top w:val="single" w:sz="4" w:space="0" w:color="auto"/>
              <w:left w:val="nil"/>
              <w:bottom w:val="single" w:sz="4" w:space="0" w:color="auto"/>
              <w:right w:val="nil"/>
            </w:tcBorders>
            <w:shd w:val="clear" w:color="000000" w:fill="F2F2F2"/>
            <w:noWrap/>
            <w:vAlign w:val="center"/>
            <w:hideMark/>
          </w:tcPr>
          <w:p w14:paraId="7820762C" w14:textId="77777777" w:rsidR="00A33734" w:rsidRPr="00A1397D" w:rsidRDefault="00A33734" w:rsidP="002370B8">
            <w:pPr>
              <w:ind w:firstLineChars="200" w:firstLine="361"/>
              <w:rPr>
                <w:rFonts w:ascii="Arial" w:hAnsi="Arial" w:cs="Arial"/>
                <w:b/>
                <w:color w:val="0579B9"/>
                <w:sz w:val="18"/>
                <w:szCs w:val="18"/>
                <w:lang w:val="en-AU" w:eastAsia="en-AU"/>
              </w:rPr>
            </w:pPr>
            <w:r w:rsidRPr="00A1397D">
              <w:rPr>
                <w:rFonts w:ascii="Arial" w:hAnsi="Arial" w:cs="Arial"/>
                <w:b/>
                <w:color w:val="0579B9"/>
                <w:sz w:val="18"/>
                <w:szCs w:val="18"/>
                <w:lang w:val="en-AU" w:eastAsia="en-AU"/>
              </w:rPr>
              <w:t>414</w:t>
            </w:r>
          </w:p>
        </w:tc>
        <w:tc>
          <w:tcPr>
            <w:tcW w:w="1134" w:type="dxa"/>
            <w:tcBorders>
              <w:top w:val="single" w:sz="4" w:space="0" w:color="auto"/>
              <w:left w:val="nil"/>
              <w:bottom w:val="single" w:sz="4" w:space="0" w:color="auto"/>
              <w:right w:val="nil"/>
            </w:tcBorders>
            <w:shd w:val="clear" w:color="000000" w:fill="F2F2F2"/>
            <w:noWrap/>
            <w:vAlign w:val="center"/>
            <w:hideMark/>
          </w:tcPr>
          <w:p w14:paraId="10627D15" w14:textId="77777777" w:rsidR="00A33734" w:rsidRPr="00A1397D" w:rsidRDefault="00A33734" w:rsidP="002370B8">
            <w:pPr>
              <w:ind w:firstLineChars="200" w:firstLine="361"/>
              <w:rPr>
                <w:rFonts w:ascii="Arial" w:hAnsi="Arial" w:cs="Arial"/>
                <w:b/>
                <w:color w:val="0579B9"/>
                <w:sz w:val="18"/>
                <w:szCs w:val="18"/>
                <w:lang w:val="en-AU" w:eastAsia="en-AU"/>
              </w:rPr>
            </w:pPr>
            <w:r w:rsidRPr="00A1397D">
              <w:rPr>
                <w:rFonts w:ascii="Arial" w:hAnsi="Arial" w:cs="Arial"/>
                <w:b/>
                <w:color w:val="0579B9"/>
                <w:sz w:val="18"/>
                <w:szCs w:val="18"/>
                <w:lang w:val="en-AU" w:eastAsia="en-AU"/>
              </w:rPr>
              <w:t>350</w:t>
            </w:r>
          </w:p>
        </w:tc>
        <w:tc>
          <w:tcPr>
            <w:tcW w:w="1276" w:type="dxa"/>
            <w:tcBorders>
              <w:top w:val="single" w:sz="4" w:space="0" w:color="auto"/>
              <w:left w:val="nil"/>
              <w:bottom w:val="single" w:sz="4" w:space="0" w:color="auto"/>
              <w:right w:val="nil"/>
            </w:tcBorders>
            <w:shd w:val="clear" w:color="000000" w:fill="F2F2F2"/>
            <w:noWrap/>
            <w:vAlign w:val="center"/>
            <w:hideMark/>
          </w:tcPr>
          <w:p w14:paraId="2D65554A" w14:textId="77777777" w:rsidR="00A33734" w:rsidRPr="00A1397D" w:rsidRDefault="00A33734" w:rsidP="002370B8">
            <w:pPr>
              <w:ind w:firstLineChars="200" w:firstLine="361"/>
              <w:rPr>
                <w:rFonts w:ascii="Arial" w:hAnsi="Arial" w:cs="Arial"/>
                <w:b/>
                <w:color w:val="0579B9"/>
                <w:sz w:val="18"/>
                <w:szCs w:val="18"/>
                <w:lang w:val="en-AU" w:eastAsia="en-AU"/>
              </w:rPr>
            </w:pPr>
            <w:r w:rsidRPr="00A1397D">
              <w:rPr>
                <w:rFonts w:ascii="Arial" w:hAnsi="Arial" w:cs="Arial"/>
                <w:b/>
                <w:color w:val="0579B9"/>
                <w:sz w:val="18"/>
                <w:szCs w:val="18"/>
                <w:lang w:val="en-AU" w:eastAsia="en-AU"/>
              </w:rPr>
              <w:t>409</w:t>
            </w:r>
          </w:p>
        </w:tc>
        <w:tc>
          <w:tcPr>
            <w:tcW w:w="1275" w:type="dxa"/>
            <w:tcBorders>
              <w:top w:val="single" w:sz="4" w:space="0" w:color="auto"/>
              <w:left w:val="nil"/>
              <w:bottom w:val="single" w:sz="4" w:space="0" w:color="auto"/>
              <w:right w:val="nil"/>
            </w:tcBorders>
            <w:shd w:val="clear" w:color="000000" w:fill="F2F2F2"/>
            <w:noWrap/>
            <w:vAlign w:val="center"/>
            <w:hideMark/>
          </w:tcPr>
          <w:p w14:paraId="2385B660" w14:textId="77777777" w:rsidR="00A33734" w:rsidRPr="00A1397D" w:rsidRDefault="00A33734" w:rsidP="002370B8">
            <w:pPr>
              <w:ind w:firstLineChars="200" w:firstLine="361"/>
              <w:rPr>
                <w:rFonts w:ascii="Arial" w:hAnsi="Arial" w:cs="Arial"/>
                <w:b/>
                <w:color w:val="0579B9"/>
                <w:sz w:val="18"/>
                <w:szCs w:val="18"/>
                <w:lang w:val="en-AU" w:eastAsia="en-AU"/>
              </w:rPr>
            </w:pPr>
            <w:r w:rsidRPr="00A1397D">
              <w:rPr>
                <w:rFonts w:ascii="Arial" w:hAnsi="Arial" w:cs="Arial"/>
                <w:b/>
                <w:color w:val="0579B9"/>
                <w:sz w:val="18"/>
                <w:szCs w:val="18"/>
                <w:lang w:val="en-AU" w:eastAsia="en-AU"/>
              </w:rPr>
              <w:t>384</w:t>
            </w:r>
          </w:p>
        </w:tc>
        <w:tc>
          <w:tcPr>
            <w:tcW w:w="1488" w:type="dxa"/>
            <w:tcBorders>
              <w:top w:val="single" w:sz="4" w:space="0" w:color="auto"/>
              <w:left w:val="nil"/>
              <w:bottom w:val="single" w:sz="4" w:space="0" w:color="auto"/>
              <w:right w:val="nil"/>
            </w:tcBorders>
            <w:shd w:val="clear" w:color="000000" w:fill="F2F2F2"/>
            <w:noWrap/>
            <w:vAlign w:val="center"/>
            <w:hideMark/>
          </w:tcPr>
          <w:p w14:paraId="5BB24715" w14:textId="77777777" w:rsidR="00A33734" w:rsidRPr="00A1397D" w:rsidRDefault="00A33734" w:rsidP="002370B8">
            <w:pPr>
              <w:ind w:firstLineChars="200" w:firstLine="361"/>
              <w:rPr>
                <w:rFonts w:ascii="Arial" w:hAnsi="Arial" w:cs="Arial"/>
                <w:b/>
                <w:color w:val="0579B9"/>
                <w:sz w:val="18"/>
                <w:szCs w:val="18"/>
                <w:lang w:val="en-AU" w:eastAsia="en-AU"/>
              </w:rPr>
            </w:pPr>
            <w:r w:rsidRPr="00A1397D">
              <w:rPr>
                <w:rFonts w:ascii="Arial" w:hAnsi="Arial" w:cs="Arial"/>
                <w:b/>
                <w:color w:val="0579B9"/>
                <w:sz w:val="18"/>
                <w:szCs w:val="18"/>
                <w:lang w:val="en-AU" w:eastAsia="en-AU"/>
              </w:rPr>
              <w:t>1,557</w:t>
            </w:r>
          </w:p>
        </w:tc>
      </w:tr>
    </w:tbl>
    <w:p w14:paraId="674F8234" w14:textId="77777777" w:rsidR="00A33734" w:rsidRPr="00A1397D" w:rsidDel="00C92F69" w:rsidRDefault="00A33734" w:rsidP="00A33734">
      <w:pPr>
        <w:rPr>
          <w:rFonts w:ascii="Arial" w:hAnsi="Arial" w:cs="Arial"/>
        </w:rPr>
      </w:pPr>
    </w:p>
    <w:p w14:paraId="24258E3D" w14:textId="77777777" w:rsidR="00F71DF5" w:rsidRPr="00A1397D" w:rsidRDefault="00F71DF5" w:rsidP="00BD23C8">
      <w:pPr>
        <w:rPr>
          <w:rFonts w:ascii="Arial" w:hAnsi="Arial" w:cs="Arial"/>
          <w:lang w:val="en-AU"/>
        </w:rPr>
      </w:pPr>
      <w:r w:rsidRPr="00A1397D">
        <w:rPr>
          <w:rFonts w:ascii="Arial" w:hAnsi="Arial" w:cs="Arial"/>
          <w:lang w:val="en-AU"/>
        </w:rPr>
        <w:br w:type="page"/>
      </w:r>
    </w:p>
    <w:p w14:paraId="3D528DCE" w14:textId="633C8775" w:rsidR="00867996" w:rsidRPr="00A1397D" w:rsidRDefault="005F6F7A" w:rsidP="005828F1">
      <w:pPr>
        <w:keepNext/>
        <w:widowControl w:val="0"/>
        <w:spacing w:before="240" w:after="100" w:line="240" w:lineRule="atLeast"/>
        <w:outlineLvl w:val="2"/>
        <w:rPr>
          <w:rFonts w:ascii="Arial" w:hAnsi="Arial" w:cs="Arial"/>
          <w:b/>
          <w:kern w:val="28"/>
          <w:sz w:val="28"/>
          <w:szCs w:val="36"/>
        </w:rPr>
      </w:pPr>
      <w:r>
        <w:rPr>
          <w:rFonts w:ascii="Arial" w:hAnsi="Arial"/>
          <w:b/>
          <w:kern w:val="28"/>
          <w:sz w:val="28"/>
          <w:szCs w:val="36"/>
          <w:lang w:val="en-AU"/>
        </w:rPr>
        <w:lastRenderedPageBreak/>
        <w:t>Breakdown of the capital program</w:t>
      </w:r>
    </w:p>
    <w:p w14:paraId="688CC64C" w14:textId="7BDBA6E9" w:rsidR="00A85015" w:rsidRPr="00A1397D" w:rsidRDefault="00A33734" w:rsidP="00BF4099">
      <w:pPr>
        <w:pStyle w:val="BodyText"/>
      </w:pPr>
      <w:r w:rsidRPr="00A1397D">
        <w:t xml:space="preserve">The breakdown of capital expenditure by </w:t>
      </w:r>
      <w:r w:rsidR="009408B3" w:rsidRPr="00A1397D">
        <w:t>c</w:t>
      </w:r>
      <w:r w:rsidR="0041651E" w:rsidRPr="00A1397D">
        <w:t>luster</w:t>
      </w:r>
      <w:r w:rsidRPr="00A1397D">
        <w:t xml:space="preserve"> is shown in Table 1.</w:t>
      </w:r>
      <w:r w:rsidR="00DD46F4" w:rsidRPr="00A1397D">
        <w:t>3</w:t>
      </w:r>
      <w:r w:rsidRPr="00A1397D">
        <w:t>.</w:t>
      </w:r>
      <w:r w:rsidR="00A85015" w:rsidRPr="00A1397D">
        <w:t xml:space="preserve"> Chapter 5 </w:t>
      </w:r>
      <w:r w:rsidR="009D727C" w:rsidRPr="00A1397D">
        <w:t>(general government</w:t>
      </w:r>
      <w:r w:rsidR="00596B6B" w:rsidRPr="00A1397D">
        <w:t xml:space="preserve"> agencies</w:t>
      </w:r>
      <w:r w:rsidR="009D727C" w:rsidRPr="00A1397D">
        <w:t xml:space="preserve">) </w:t>
      </w:r>
      <w:r w:rsidR="00A85015" w:rsidRPr="00A1397D">
        <w:t>and Chapter 6</w:t>
      </w:r>
      <w:r w:rsidR="00BC77C2" w:rsidRPr="00A1397D">
        <w:t xml:space="preserve"> </w:t>
      </w:r>
      <w:r w:rsidR="009D727C" w:rsidRPr="00A1397D">
        <w:t>(</w:t>
      </w:r>
      <w:r w:rsidR="00BC77C2" w:rsidRPr="00A1397D">
        <w:t>public non</w:t>
      </w:r>
      <w:r w:rsidR="00090FAE" w:rsidRPr="00A1397D">
        <w:t>-</w:t>
      </w:r>
      <w:r w:rsidR="00BC77C2" w:rsidRPr="00A1397D">
        <w:t>financial</w:t>
      </w:r>
      <w:r w:rsidR="00596B6B" w:rsidRPr="00A1397D">
        <w:t xml:space="preserve"> corporations</w:t>
      </w:r>
      <w:r w:rsidR="009D727C" w:rsidRPr="00A1397D">
        <w:t>)</w:t>
      </w:r>
      <w:r w:rsidR="00BC77C2" w:rsidRPr="00A1397D">
        <w:t>,</w:t>
      </w:r>
      <w:r w:rsidR="00A85015" w:rsidRPr="00A1397D">
        <w:t xml:space="preserve"> set out the detailed programs of </w:t>
      </w:r>
      <w:r w:rsidR="00A81046" w:rsidRPr="00A1397D">
        <w:t xml:space="preserve">the </w:t>
      </w:r>
      <w:r w:rsidR="009D727C" w:rsidRPr="00A1397D">
        <w:t>individual</w:t>
      </w:r>
      <w:r w:rsidR="00A85015" w:rsidRPr="00A1397D">
        <w:t xml:space="preserve"> </w:t>
      </w:r>
      <w:r w:rsidR="00A81046" w:rsidRPr="00A1397D">
        <w:t>agencies</w:t>
      </w:r>
      <w:r w:rsidR="009D727C" w:rsidRPr="00A1397D">
        <w:t>.</w:t>
      </w:r>
      <w:r w:rsidR="005B4774" w:rsidRPr="00A1397D">
        <w:t xml:space="preserve"> </w:t>
      </w:r>
    </w:p>
    <w:p w14:paraId="7042E40C" w14:textId="65057BC6" w:rsidR="00A33734" w:rsidRPr="00A1397D" w:rsidRDefault="00A33734" w:rsidP="00BF4099">
      <w:pPr>
        <w:pStyle w:val="BodyText"/>
      </w:pPr>
      <w:r w:rsidRPr="00A1397D">
        <w:t xml:space="preserve">More than half the four-year capital program reflects record levels of investment in </w:t>
      </w:r>
      <w:r w:rsidR="00B029A1" w:rsidRPr="00A1397D">
        <w:t>productive</w:t>
      </w:r>
      <w:r w:rsidRPr="00A1397D">
        <w:t xml:space="preserve"> road and rail infrastructure. The table also highlights the record infrastructure spend in </w:t>
      </w:r>
      <w:r w:rsidR="00A85015" w:rsidRPr="00A1397D">
        <w:t>H</w:t>
      </w:r>
      <w:r w:rsidRPr="00A1397D">
        <w:t>ealth</w:t>
      </w:r>
      <w:r w:rsidR="00806AC3" w:rsidRPr="00A1397D">
        <w:rPr>
          <w:vertAlign w:val="superscript"/>
        </w:rPr>
        <w:t>(d)</w:t>
      </w:r>
      <w:r w:rsidRPr="00A1397D">
        <w:t xml:space="preserve"> and </w:t>
      </w:r>
      <w:r w:rsidR="00A85015" w:rsidRPr="00A1397D">
        <w:t>E</w:t>
      </w:r>
      <w:r w:rsidRPr="00A1397D">
        <w:t>ducation over the four years to 2022-23.</w:t>
      </w:r>
    </w:p>
    <w:p w14:paraId="5133946C" w14:textId="33191896" w:rsidR="00A33734" w:rsidRDefault="00C67A83" w:rsidP="00A33734">
      <w:pPr>
        <w:pStyle w:val="Table1X"/>
      </w:pPr>
      <w:r>
        <w:t>State</w:t>
      </w:r>
      <w:r w:rsidR="00F733B9" w:rsidRPr="006D40CE">
        <w:t xml:space="preserve"> </w:t>
      </w:r>
      <w:r w:rsidR="00A33734" w:rsidRPr="006D40CE">
        <w:t xml:space="preserve">capital spending by </w:t>
      </w:r>
      <w:r w:rsidR="00F6363E">
        <w:t>c</w:t>
      </w:r>
      <w:r w:rsidR="00A33734">
        <w:t>luster</w:t>
      </w:r>
      <w:r w:rsidR="00A33734" w:rsidRPr="005C123F">
        <w:rPr>
          <w:vertAlign w:val="superscript"/>
        </w:rPr>
        <w:t>(a)</w:t>
      </w:r>
      <w:r w:rsidR="00A33734">
        <w:rPr>
          <w:vertAlign w:val="superscript"/>
        </w:rPr>
        <w:t>(b)</w:t>
      </w:r>
    </w:p>
    <w:tbl>
      <w:tblPr>
        <w:tblW w:w="9856" w:type="dxa"/>
        <w:tblLook w:val="04A0" w:firstRow="1" w:lastRow="0" w:firstColumn="1" w:lastColumn="0" w:noHBand="0" w:noVBand="1"/>
        <w:tblCaption w:val="Table 1.3: State capital spending by cluster(a)(b)"/>
        <w:tblDescription w:val="Table 1.3: State capital spending by cluster(a)(b)"/>
      </w:tblPr>
      <w:tblGrid>
        <w:gridCol w:w="3969"/>
        <w:gridCol w:w="993"/>
        <w:gridCol w:w="992"/>
        <w:gridCol w:w="1134"/>
        <w:gridCol w:w="992"/>
        <w:gridCol w:w="898"/>
        <w:gridCol w:w="878"/>
      </w:tblGrid>
      <w:tr w:rsidR="000F13AB" w:rsidRPr="00A1397D" w14:paraId="0D84B397" w14:textId="77777777" w:rsidTr="000F13AB">
        <w:trPr>
          <w:trHeight w:val="290"/>
        </w:trPr>
        <w:tc>
          <w:tcPr>
            <w:tcW w:w="3969" w:type="dxa"/>
            <w:tcBorders>
              <w:top w:val="nil"/>
              <w:left w:val="nil"/>
              <w:bottom w:val="nil"/>
              <w:right w:val="nil"/>
            </w:tcBorders>
            <w:shd w:val="clear" w:color="000000" w:fill="25A9E1"/>
            <w:noWrap/>
            <w:vAlign w:val="bottom"/>
            <w:hideMark/>
          </w:tcPr>
          <w:p w14:paraId="7CEB362C" w14:textId="77777777" w:rsidR="000F13AB" w:rsidRPr="00A1397D" w:rsidRDefault="000F13AB" w:rsidP="000F13AB">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 </w:t>
            </w:r>
          </w:p>
        </w:tc>
        <w:tc>
          <w:tcPr>
            <w:tcW w:w="993" w:type="dxa"/>
            <w:tcBorders>
              <w:top w:val="nil"/>
              <w:left w:val="nil"/>
              <w:bottom w:val="nil"/>
              <w:right w:val="nil"/>
            </w:tcBorders>
            <w:shd w:val="clear" w:color="000000" w:fill="25A9E1"/>
            <w:noWrap/>
            <w:vAlign w:val="bottom"/>
            <w:hideMark/>
          </w:tcPr>
          <w:p w14:paraId="668A3D87" w14:textId="77777777" w:rsidR="000F13AB" w:rsidRPr="00A1397D" w:rsidRDefault="000F13AB" w:rsidP="000F13AB">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2019-20</w:t>
            </w:r>
          </w:p>
        </w:tc>
        <w:tc>
          <w:tcPr>
            <w:tcW w:w="992" w:type="dxa"/>
            <w:tcBorders>
              <w:top w:val="nil"/>
              <w:left w:val="nil"/>
              <w:bottom w:val="nil"/>
              <w:right w:val="nil"/>
            </w:tcBorders>
            <w:shd w:val="clear" w:color="000000" w:fill="25A9E1"/>
            <w:noWrap/>
            <w:vAlign w:val="bottom"/>
            <w:hideMark/>
          </w:tcPr>
          <w:p w14:paraId="60675482" w14:textId="77777777" w:rsidR="000F13AB" w:rsidRPr="00A1397D" w:rsidRDefault="000F13AB" w:rsidP="000F13AB">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2020-21</w:t>
            </w:r>
          </w:p>
        </w:tc>
        <w:tc>
          <w:tcPr>
            <w:tcW w:w="1134" w:type="dxa"/>
            <w:tcBorders>
              <w:top w:val="nil"/>
              <w:left w:val="nil"/>
              <w:bottom w:val="nil"/>
              <w:right w:val="nil"/>
            </w:tcBorders>
            <w:shd w:val="clear" w:color="000000" w:fill="25A9E1"/>
            <w:noWrap/>
            <w:vAlign w:val="bottom"/>
            <w:hideMark/>
          </w:tcPr>
          <w:p w14:paraId="7721F1B7" w14:textId="77777777" w:rsidR="000F13AB" w:rsidRPr="00A1397D" w:rsidRDefault="000F13AB" w:rsidP="000F13AB">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2021-22</w:t>
            </w:r>
          </w:p>
        </w:tc>
        <w:tc>
          <w:tcPr>
            <w:tcW w:w="992" w:type="dxa"/>
            <w:tcBorders>
              <w:top w:val="nil"/>
              <w:left w:val="nil"/>
              <w:bottom w:val="nil"/>
              <w:right w:val="nil"/>
            </w:tcBorders>
            <w:shd w:val="clear" w:color="000000" w:fill="25A9E1"/>
            <w:noWrap/>
            <w:vAlign w:val="bottom"/>
            <w:hideMark/>
          </w:tcPr>
          <w:p w14:paraId="6C42E84C" w14:textId="77777777" w:rsidR="000F13AB" w:rsidRPr="00A1397D" w:rsidRDefault="000F13AB" w:rsidP="000F13AB">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2022-23</w:t>
            </w:r>
          </w:p>
        </w:tc>
        <w:tc>
          <w:tcPr>
            <w:tcW w:w="1776" w:type="dxa"/>
            <w:gridSpan w:val="2"/>
            <w:vMerge w:val="restart"/>
            <w:tcBorders>
              <w:top w:val="nil"/>
              <w:left w:val="nil"/>
              <w:bottom w:val="nil"/>
              <w:right w:val="nil"/>
            </w:tcBorders>
            <w:shd w:val="clear" w:color="000000" w:fill="25A9E1"/>
            <w:noWrap/>
            <w:vAlign w:val="center"/>
            <w:hideMark/>
          </w:tcPr>
          <w:p w14:paraId="5DD69E53" w14:textId="77777777" w:rsidR="000F13AB" w:rsidRPr="00A1397D" w:rsidRDefault="000F13AB" w:rsidP="000F13AB">
            <w:pPr>
              <w:jc w:val="center"/>
              <w:rPr>
                <w:rFonts w:ascii="Arial" w:hAnsi="Arial" w:cs="Arial"/>
                <w:color w:val="FFFFFF"/>
                <w:sz w:val="18"/>
                <w:szCs w:val="18"/>
                <w:lang w:val="en-AU" w:eastAsia="en-AU"/>
              </w:rPr>
            </w:pPr>
            <w:proofErr w:type="gramStart"/>
            <w:r w:rsidRPr="00A1397D">
              <w:rPr>
                <w:rFonts w:ascii="Arial" w:hAnsi="Arial" w:cs="Arial"/>
                <w:color w:val="FFFFFF"/>
                <w:sz w:val="18"/>
                <w:szCs w:val="18"/>
                <w:lang w:val="en-AU" w:eastAsia="en-AU"/>
              </w:rPr>
              <w:t>Four year</w:t>
            </w:r>
            <w:proofErr w:type="gramEnd"/>
            <w:r w:rsidRPr="00A1397D">
              <w:rPr>
                <w:rFonts w:ascii="Arial" w:hAnsi="Arial" w:cs="Arial"/>
                <w:color w:val="FFFFFF"/>
                <w:sz w:val="18"/>
                <w:szCs w:val="18"/>
                <w:lang w:val="en-AU" w:eastAsia="en-AU"/>
              </w:rPr>
              <w:t xml:space="preserve"> total</w:t>
            </w:r>
          </w:p>
        </w:tc>
      </w:tr>
      <w:tr w:rsidR="000F13AB" w:rsidRPr="00A1397D" w14:paraId="0241F6AB" w14:textId="77777777" w:rsidTr="000F13AB">
        <w:trPr>
          <w:trHeight w:val="290"/>
        </w:trPr>
        <w:tc>
          <w:tcPr>
            <w:tcW w:w="3969" w:type="dxa"/>
            <w:tcBorders>
              <w:top w:val="nil"/>
              <w:left w:val="nil"/>
              <w:bottom w:val="nil"/>
              <w:right w:val="nil"/>
            </w:tcBorders>
            <w:shd w:val="clear" w:color="000000" w:fill="25A9E1"/>
            <w:noWrap/>
            <w:vAlign w:val="bottom"/>
            <w:hideMark/>
          </w:tcPr>
          <w:p w14:paraId="36EA6EBD" w14:textId="77777777" w:rsidR="000F13AB" w:rsidRPr="00A1397D" w:rsidRDefault="000F13AB" w:rsidP="000F13AB">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 </w:t>
            </w:r>
          </w:p>
        </w:tc>
        <w:tc>
          <w:tcPr>
            <w:tcW w:w="993" w:type="dxa"/>
            <w:tcBorders>
              <w:top w:val="nil"/>
              <w:left w:val="nil"/>
              <w:bottom w:val="nil"/>
              <w:right w:val="nil"/>
            </w:tcBorders>
            <w:shd w:val="clear" w:color="000000" w:fill="25A9E1"/>
            <w:noWrap/>
            <w:vAlign w:val="bottom"/>
            <w:hideMark/>
          </w:tcPr>
          <w:p w14:paraId="5AA71C0E" w14:textId="77777777" w:rsidR="000F13AB" w:rsidRPr="00A1397D" w:rsidRDefault="000F13AB" w:rsidP="000F13AB">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Budget</w:t>
            </w:r>
          </w:p>
        </w:tc>
        <w:tc>
          <w:tcPr>
            <w:tcW w:w="3118" w:type="dxa"/>
            <w:gridSpan w:val="3"/>
            <w:tcBorders>
              <w:top w:val="nil"/>
              <w:left w:val="nil"/>
              <w:bottom w:val="nil"/>
              <w:right w:val="nil"/>
            </w:tcBorders>
            <w:shd w:val="clear" w:color="000000" w:fill="25A9E1"/>
            <w:noWrap/>
            <w:vAlign w:val="bottom"/>
            <w:hideMark/>
          </w:tcPr>
          <w:p w14:paraId="57EC254B" w14:textId="77777777" w:rsidR="000F13AB" w:rsidRPr="00A1397D" w:rsidRDefault="000F13AB" w:rsidP="000F13AB">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Forward Estimates</w:t>
            </w:r>
          </w:p>
        </w:tc>
        <w:tc>
          <w:tcPr>
            <w:tcW w:w="1776" w:type="dxa"/>
            <w:gridSpan w:val="2"/>
            <w:vMerge/>
            <w:tcBorders>
              <w:top w:val="nil"/>
              <w:left w:val="nil"/>
              <w:bottom w:val="nil"/>
              <w:right w:val="nil"/>
            </w:tcBorders>
            <w:vAlign w:val="center"/>
            <w:hideMark/>
          </w:tcPr>
          <w:p w14:paraId="195F90C8" w14:textId="77777777" w:rsidR="000F13AB" w:rsidRPr="00A1397D" w:rsidRDefault="000F13AB" w:rsidP="000F13AB">
            <w:pPr>
              <w:rPr>
                <w:rFonts w:ascii="Arial" w:hAnsi="Arial" w:cs="Arial"/>
                <w:color w:val="FFFFFF"/>
                <w:sz w:val="18"/>
                <w:szCs w:val="18"/>
                <w:lang w:val="en-AU" w:eastAsia="en-AU"/>
              </w:rPr>
            </w:pPr>
          </w:p>
        </w:tc>
      </w:tr>
      <w:tr w:rsidR="000F13AB" w:rsidRPr="00A1397D" w14:paraId="2C3DBAFF" w14:textId="77777777" w:rsidTr="000F13AB">
        <w:trPr>
          <w:trHeight w:val="290"/>
        </w:trPr>
        <w:tc>
          <w:tcPr>
            <w:tcW w:w="3969" w:type="dxa"/>
            <w:tcBorders>
              <w:top w:val="nil"/>
              <w:left w:val="nil"/>
              <w:bottom w:val="nil"/>
              <w:right w:val="nil"/>
            </w:tcBorders>
            <w:shd w:val="clear" w:color="000000" w:fill="3379B9"/>
            <w:noWrap/>
            <w:vAlign w:val="bottom"/>
            <w:hideMark/>
          </w:tcPr>
          <w:p w14:paraId="37A09F77" w14:textId="77777777" w:rsidR="000F13AB" w:rsidRPr="00A1397D" w:rsidRDefault="000F13AB" w:rsidP="000F13AB">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 </w:t>
            </w:r>
          </w:p>
        </w:tc>
        <w:tc>
          <w:tcPr>
            <w:tcW w:w="993" w:type="dxa"/>
            <w:tcBorders>
              <w:top w:val="nil"/>
              <w:left w:val="nil"/>
              <w:bottom w:val="nil"/>
              <w:right w:val="nil"/>
            </w:tcBorders>
            <w:shd w:val="clear" w:color="000000" w:fill="3379B9"/>
            <w:noWrap/>
            <w:vAlign w:val="bottom"/>
            <w:hideMark/>
          </w:tcPr>
          <w:p w14:paraId="28126B8E" w14:textId="77777777" w:rsidR="000F13AB" w:rsidRPr="00A1397D" w:rsidRDefault="000F13AB" w:rsidP="000F13AB">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$m</w:t>
            </w:r>
          </w:p>
        </w:tc>
        <w:tc>
          <w:tcPr>
            <w:tcW w:w="992" w:type="dxa"/>
            <w:tcBorders>
              <w:top w:val="nil"/>
              <w:left w:val="nil"/>
              <w:bottom w:val="nil"/>
              <w:right w:val="nil"/>
            </w:tcBorders>
            <w:shd w:val="clear" w:color="000000" w:fill="3379B9"/>
            <w:noWrap/>
            <w:vAlign w:val="bottom"/>
            <w:hideMark/>
          </w:tcPr>
          <w:p w14:paraId="65B4F077" w14:textId="77777777" w:rsidR="000F13AB" w:rsidRPr="00A1397D" w:rsidRDefault="000F13AB" w:rsidP="000F13AB">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$m</w:t>
            </w:r>
          </w:p>
        </w:tc>
        <w:tc>
          <w:tcPr>
            <w:tcW w:w="1134" w:type="dxa"/>
            <w:tcBorders>
              <w:top w:val="nil"/>
              <w:left w:val="nil"/>
              <w:bottom w:val="nil"/>
              <w:right w:val="nil"/>
            </w:tcBorders>
            <w:shd w:val="clear" w:color="000000" w:fill="3379B9"/>
            <w:noWrap/>
            <w:vAlign w:val="bottom"/>
            <w:hideMark/>
          </w:tcPr>
          <w:p w14:paraId="6979E2D0" w14:textId="77777777" w:rsidR="000F13AB" w:rsidRPr="00A1397D" w:rsidRDefault="000F13AB" w:rsidP="000F13AB">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$m</w:t>
            </w:r>
          </w:p>
        </w:tc>
        <w:tc>
          <w:tcPr>
            <w:tcW w:w="992" w:type="dxa"/>
            <w:tcBorders>
              <w:top w:val="nil"/>
              <w:left w:val="nil"/>
              <w:bottom w:val="nil"/>
              <w:right w:val="nil"/>
            </w:tcBorders>
            <w:shd w:val="clear" w:color="000000" w:fill="3379B9"/>
            <w:noWrap/>
            <w:vAlign w:val="bottom"/>
            <w:hideMark/>
          </w:tcPr>
          <w:p w14:paraId="03FF40C0" w14:textId="77777777" w:rsidR="000F13AB" w:rsidRPr="00A1397D" w:rsidRDefault="000F13AB" w:rsidP="000F13AB">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$m</w:t>
            </w:r>
          </w:p>
        </w:tc>
        <w:tc>
          <w:tcPr>
            <w:tcW w:w="898" w:type="dxa"/>
            <w:tcBorders>
              <w:top w:val="nil"/>
              <w:left w:val="nil"/>
              <w:bottom w:val="nil"/>
              <w:right w:val="nil"/>
            </w:tcBorders>
            <w:shd w:val="clear" w:color="000000" w:fill="3379B9"/>
            <w:noWrap/>
            <w:vAlign w:val="bottom"/>
            <w:hideMark/>
          </w:tcPr>
          <w:p w14:paraId="7263AA89" w14:textId="77777777" w:rsidR="000F13AB" w:rsidRPr="00A1397D" w:rsidRDefault="000F13AB" w:rsidP="000F13AB">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$m</w:t>
            </w:r>
          </w:p>
        </w:tc>
        <w:tc>
          <w:tcPr>
            <w:tcW w:w="878" w:type="dxa"/>
            <w:tcBorders>
              <w:top w:val="nil"/>
              <w:left w:val="nil"/>
              <w:bottom w:val="nil"/>
              <w:right w:val="nil"/>
            </w:tcBorders>
            <w:shd w:val="clear" w:color="000000" w:fill="3379B9"/>
            <w:noWrap/>
            <w:vAlign w:val="bottom"/>
            <w:hideMark/>
          </w:tcPr>
          <w:p w14:paraId="74925116" w14:textId="77777777" w:rsidR="000F13AB" w:rsidRPr="00A1397D" w:rsidRDefault="000F13AB" w:rsidP="000F13AB">
            <w:pPr>
              <w:jc w:val="center"/>
              <w:rPr>
                <w:rFonts w:ascii="Arial" w:hAnsi="Arial" w:cs="Arial"/>
                <w:color w:val="FFFFFF"/>
                <w:sz w:val="18"/>
                <w:szCs w:val="18"/>
                <w:lang w:val="en-AU" w:eastAsia="en-AU"/>
              </w:rPr>
            </w:pPr>
            <w:r w:rsidRPr="00A1397D">
              <w:rPr>
                <w:rFonts w:ascii="Arial" w:hAnsi="Arial" w:cs="Arial"/>
                <w:color w:val="FFFFFF"/>
                <w:sz w:val="18"/>
                <w:szCs w:val="18"/>
                <w:lang w:val="en-AU" w:eastAsia="en-AU"/>
              </w:rPr>
              <w:t>%</w:t>
            </w:r>
          </w:p>
        </w:tc>
      </w:tr>
      <w:tr w:rsidR="000F13AB" w:rsidRPr="00A1397D" w14:paraId="5945A4F0" w14:textId="77777777" w:rsidTr="000F13AB">
        <w:trPr>
          <w:trHeight w:val="290"/>
        </w:trPr>
        <w:tc>
          <w:tcPr>
            <w:tcW w:w="3969" w:type="dxa"/>
            <w:tcBorders>
              <w:top w:val="nil"/>
              <w:left w:val="nil"/>
              <w:bottom w:val="nil"/>
              <w:right w:val="nil"/>
            </w:tcBorders>
            <w:shd w:val="clear" w:color="auto" w:fill="auto"/>
            <w:noWrap/>
            <w:vAlign w:val="bottom"/>
            <w:hideMark/>
          </w:tcPr>
          <w:p w14:paraId="573B81CE" w14:textId="77777777" w:rsidR="000F13AB" w:rsidRPr="00A1397D" w:rsidRDefault="000F13AB" w:rsidP="000F13AB">
            <w:pPr>
              <w:rPr>
                <w:rFonts w:ascii="Arial" w:hAnsi="Arial" w:cs="Arial"/>
                <w:color w:val="000000"/>
                <w:sz w:val="18"/>
                <w:szCs w:val="18"/>
                <w:lang w:val="en-AU" w:eastAsia="en-AU"/>
              </w:rPr>
            </w:pPr>
            <w:r w:rsidRPr="00A1397D">
              <w:rPr>
                <w:rFonts w:ascii="Arial" w:hAnsi="Arial" w:cs="Arial"/>
                <w:color w:val="000000"/>
                <w:sz w:val="18"/>
                <w:szCs w:val="18"/>
                <w:lang w:val="en-AU" w:eastAsia="en-AU"/>
              </w:rPr>
              <w:t>Transport</w:t>
            </w:r>
            <w:r w:rsidRPr="00A1397D">
              <w:rPr>
                <w:rFonts w:ascii="Arial" w:hAnsi="Arial" w:cs="Arial"/>
                <w:color w:val="000000"/>
                <w:sz w:val="18"/>
                <w:szCs w:val="18"/>
                <w:vertAlign w:val="superscript"/>
                <w:lang w:val="en-AU" w:eastAsia="en-AU"/>
              </w:rPr>
              <w:t>(c)</w:t>
            </w:r>
          </w:p>
        </w:tc>
        <w:tc>
          <w:tcPr>
            <w:tcW w:w="993" w:type="dxa"/>
            <w:tcBorders>
              <w:top w:val="nil"/>
              <w:left w:val="nil"/>
              <w:bottom w:val="nil"/>
              <w:right w:val="nil"/>
            </w:tcBorders>
            <w:shd w:val="clear" w:color="000000" w:fill="F2F2F2"/>
            <w:noWrap/>
            <w:vAlign w:val="bottom"/>
            <w:hideMark/>
          </w:tcPr>
          <w:p w14:paraId="20EFAC61" w14:textId="77777777" w:rsidR="000F13AB" w:rsidRPr="00A1397D" w:rsidRDefault="000F13AB" w:rsidP="00DE2C43">
            <w:pPr>
              <w:ind w:left="-286" w:right="76"/>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16,597</w:t>
            </w:r>
          </w:p>
        </w:tc>
        <w:tc>
          <w:tcPr>
            <w:tcW w:w="992" w:type="dxa"/>
            <w:tcBorders>
              <w:top w:val="nil"/>
              <w:left w:val="nil"/>
              <w:bottom w:val="nil"/>
              <w:right w:val="nil"/>
            </w:tcBorders>
            <w:shd w:val="clear" w:color="000000" w:fill="F2F2F2"/>
            <w:noWrap/>
            <w:vAlign w:val="bottom"/>
            <w:hideMark/>
          </w:tcPr>
          <w:p w14:paraId="25B4D856" w14:textId="649F668A" w:rsidR="000F13AB" w:rsidRPr="00A1397D" w:rsidRDefault="00F5305D"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13,245</w:t>
            </w:r>
          </w:p>
        </w:tc>
        <w:tc>
          <w:tcPr>
            <w:tcW w:w="1134" w:type="dxa"/>
            <w:tcBorders>
              <w:top w:val="nil"/>
              <w:left w:val="nil"/>
              <w:bottom w:val="nil"/>
              <w:right w:val="nil"/>
            </w:tcBorders>
            <w:shd w:val="clear" w:color="000000" w:fill="F2F2F2"/>
            <w:noWrap/>
            <w:vAlign w:val="bottom"/>
            <w:hideMark/>
          </w:tcPr>
          <w:p w14:paraId="25DC1F94" w14:textId="401BDB46" w:rsidR="000F13AB" w:rsidRPr="00A1397D" w:rsidRDefault="00F5305D"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14,108</w:t>
            </w:r>
          </w:p>
        </w:tc>
        <w:tc>
          <w:tcPr>
            <w:tcW w:w="992" w:type="dxa"/>
            <w:tcBorders>
              <w:top w:val="nil"/>
              <w:left w:val="nil"/>
              <w:bottom w:val="nil"/>
              <w:right w:val="nil"/>
            </w:tcBorders>
            <w:shd w:val="clear" w:color="000000" w:fill="F2F2F2"/>
            <w:noWrap/>
            <w:vAlign w:val="bottom"/>
            <w:hideMark/>
          </w:tcPr>
          <w:p w14:paraId="08B43D6C" w14:textId="2AE4E22E" w:rsidR="000F13AB" w:rsidRPr="00A1397D" w:rsidRDefault="00F5305D"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11,618</w:t>
            </w:r>
          </w:p>
        </w:tc>
        <w:tc>
          <w:tcPr>
            <w:tcW w:w="898" w:type="dxa"/>
            <w:tcBorders>
              <w:top w:val="nil"/>
              <w:left w:val="nil"/>
              <w:bottom w:val="nil"/>
              <w:right w:val="nil"/>
            </w:tcBorders>
            <w:shd w:val="clear" w:color="auto" w:fill="auto"/>
            <w:noWrap/>
            <w:vAlign w:val="bottom"/>
            <w:hideMark/>
          </w:tcPr>
          <w:p w14:paraId="05A504BF" w14:textId="47111C1F" w:rsidR="000F13AB" w:rsidRPr="00A1397D" w:rsidRDefault="00F5305D"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55,568</w:t>
            </w:r>
          </w:p>
        </w:tc>
        <w:tc>
          <w:tcPr>
            <w:tcW w:w="878" w:type="dxa"/>
            <w:tcBorders>
              <w:top w:val="nil"/>
              <w:left w:val="nil"/>
              <w:bottom w:val="nil"/>
              <w:right w:val="nil"/>
            </w:tcBorders>
            <w:shd w:val="clear" w:color="auto" w:fill="auto"/>
            <w:noWrap/>
            <w:vAlign w:val="bottom"/>
            <w:hideMark/>
          </w:tcPr>
          <w:p w14:paraId="26B3C2D1" w14:textId="109A577B" w:rsidR="000F13AB" w:rsidRPr="00A1397D" w:rsidRDefault="00484F65" w:rsidP="00DE2C43">
            <w:pPr>
              <w:ind w:left="-443" w:right="105"/>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59.7</w:t>
            </w:r>
          </w:p>
        </w:tc>
      </w:tr>
      <w:tr w:rsidR="00283E40" w:rsidRPr="00A1397D" w14:paraId="27E144BB" w14:textId="77777777" w:rsidTr="000F13AB">
        <w:trPr>
          <w:trHeight w:val="290"/>
        </w:trPr>
        <w:tc>
          <w:tcPr>
            <w:tcW w:w="3969" w:type="dxa"/>
            <w:tcBorders>
              <w:top w:val="nil"/>
              <w:left w:val="nil"/>
              <w:bottom w:val="nil"/>
              <w:right w:val="nil"/>
            </w:tcBorders>
            <w:shd w:val="clear" w:color="auto" w:fill="auto"/>
            <w:noWrap/>
            <w:vAlign w:val="bottom"/>
            <w:hideMark/>
          </w:tcPr>
          <w:p w14:paraId="5FD5834C" w14:textId="77777777" w:rsidR="00283E40" w:rsidRPr="00A1397D" w:rsidRDefault="00283E40" w:rsidP="00283E40">
            <w:pPr>
              <w:rPr>
                <w:rFonts w:ascii="Arial" w:hAnsi="Arial" w:cs="Arial"/>
                <w:color w:val="000000"/>
                <w:sz w:val="18"/>
                <w:szCs w:val="18"/>
                <w:lang w:val="en-AU" w:eastAsia="en-AU"/>
              </w:rPr>
            </w:pPr>
            <w:r w:rsidRPr="00A1397D">
              <w:rPr>
                <w:rFonts w:ascii="Arial" w:hAnsi="Arial" w:cs="Arial"/>
                <w:color w:val="000000"/>
                <w:sz w:val="18"/>
                <w:szCs w:val="18"/>
                <w:lang w:val="en-AU" w:eastAsia="en-AU"/>
              </w:rPr>
              <w:t>Health</w:t>
            </w:r>
            <w:r w:rsidRPr="00A1397D">
              <w:rPr>
                <w:rFonts w:ascii="Arial" w:hAnsi="Arial" w:cs="Arial"/>
                <w:color w:val="000000"/>
                <w:sz w:val="18"/>
                <w:szCs w:val="18"/>
                <w:vertAlign w:val="superscript"/>
                <w:lang w:val="en-AU" w:eastAsia="en-AU"/>
              </w:rPr>
              <w:t xml:space="preserve"> (d)</w:t>
            </w:r>
          </w:p>
        </w:tc>
        <w:tc>
          <w:tcPr>
            <w:tcW w:w="993" w:type="dxa"/>
            <w:tcBorders>
              <w:top w:val="nil"/>
              <w:left w:val="nil"/>
              <w:bottom w:val="nil"/>
              <w:right w:val="nil"/>
            </w:tcBorders>
            <w:shd w:val="clear" w:color="000000" w:fill="F2F2F2"/>
            <w:noWrap/>
            <w:vAlign w:val="bottom"/>
            <w:hideMark/>
          </w:tcPr>
          <w:p w14:paraId="1D1ADAF8" w14:textId="77777777" w:rsidR="00283E40" w:rsidRPr="00A1397D" w:rsidRDefault="00283E40" w:rsidP="00DE2C43">
            <w:pPr>
              <w:ind w:left="-286" w:right="76"/>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2,727</w:t>
            </w:r>
          </w:p>
        </w:tc>
        <w:tc>
          <w:tcPr>
            <w:tcW w:w="992" w:type="dxa"/>
            <w:tcBorders>
              <w:top w:val="nil"/>
              <w:left w:val="nil"/>
              <w:bottom w:val="nil"/>
              <w:right w:val="nil"/>
            </w:tcBorders>
            <w:shd w:val="clear" w:color="000000" w:fill="F2F2F2"/>
            <w:noWrap/>
            <w:vAlign w:val="bottom"/>
            <w:hideMark/>
          </w:tcPr>
          <w:p w14:paraId="2A4F2633"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2,652</w:t>
            </w:r>
          </w:p>
        </w:tc>
        <w:tc>
          <w:tcPr>
            <w:tcW w:w="1134" w:type="dxa"/>
            <w:tcBorders>
              <w:top w:val="nil"/>
              <w:left w:val="nil"/>
              <w:bottom w:val="nil"/>
              <w:right w:val="nil"/>
            </w:tcBorders>
            <w:shd w:val="clear" w:color="000000" w:fill="F2F2F2"/>
            <w:noWrap/>
            <w:vAlign w:val="bottom"/>
            <w:hideMark/>
          </w:tcPr>
          <w:p w14:paraId="39793EA8"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2,003</w:t>
            </w:r>
          </w:p>
        </w:tc>
        <w:tc>
          <w:tcPr>
            <w:tcW w:w="992" w:type="dxa"/>
            <w:tcBorders>
              <w:top w:val="nil"/>
              <w:left w:val="nil"/>
              <w:bottom w:val="nil"/>
              <w:right w:val="nil"/>
            </w:tcBorders>
            <w:shd w:val="clear" w:color="000000" w:fill="F2F2F2"/>
            <w:noWrap/>
            <w:vAlign w:val="bottom"/>
            <w:hideMark/>
          </w:tcPr>
          <w:p w14:paraId="7B657B7C"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1,590</w:t>
            </w:r>
          </w:p>
        </w:tc>
        <w:tc>
          <w:tcPr>
            <w:tcW w:w="898" w:type="dxa"/>
            <w:tcBorders>
              <w:top w:val="nil"/>
              <w:left w:val="nil"/>
              <w:bottom w:val="nil"/>
              <w:right w:val="nil"/>
            </w:tcBorders>
            <w:shd w:val="clear" w:color="auto" w:fill="auto"/>
            <w:noWrap/>
            <w:vAlign w:val="bottom"/>
            <w:hideMark/>
          </w:tcPr>
          <w:p w14:paraId="7F3F36AF"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8,972</w:t>
            </w:r>
          </w:p>
        </w:tc>
        <w:tc>
          <w:tcPr>
            <w:tcW w:w="878" w:type="dxa"/>
            <w:tcBorders>
              <w:top w:val="nil"/>
              <w:left w:val="nil"/>
              <w:bottom w:val="nil"/>
              <w:right w:val="nil"/>
            </w:tcBorders>
            <w:shd w:val="clear" w:color="auto" w:fill="auto"/>
            <w:noWrap/>
            <w:vAlign w:val="bottom"/>
            <w:hideMark/>
          </w:tcPr>
          <w:p w14:paraId="3721D47B" w14:textId="465B0E55" w:rsidR="00283E40" w:rsidRPr="00A1397D" w:rsidRDefault="00283E40" w:rsidP="00DE2C43">
            <w:pPr>
              <w:ind w:left="-443" w:right="105"/>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9.6</w:t>
            </w:r>
          </w:p>
        </w:tc>
      </w:tr>
      <w:tr w:rsidR="00283E40" w:rsidRPr="00A1397D" w14:paraId="0A2599BA" w14:textId="77777777" w:rsidTr="000F13AB">
        <w:trPr>
          <w:trHeight w:val="290"/>
        </w:trPr>
        <w:tc>
          <w:tcPr>
            <w:tcW w:w="3969" w:type="dxa"/>
            <w:tcBorders>
              <w:top w:val="nil"/>
              <w:left w:val="nil"/>
              <w:bottom w:val="nil"/>
              <w:right w:val="nil"/>
            </w:tcBorders>
            <w:shd w:val="clear" w:color="auto" w:fill="auto"/>
            <w:noWrap/>
            <w:vAlign w:val="bottom"/>
            <w:hideMark/>
          </w:tcPr>
          <w:p w14:paraId="08168FCE" w14:textId="64D1092F" w:rsidR="00283E40" w:rsidRPr="00A1397D" w:rsidRDefault="00283E40" w:rsidP="00283E40">
            <w:pPr>
              <w:rPr>
                <w:rFonts w:ascii="Arial" w:hAnsi="Arial" w:cs="Arial"/>
                <w:color w:val="000000"/>
                <w:sz w:val="18"/>
                <w:szCs w:val="18"/>
                <w:lang w:val="en-AU" w:eastAsia="en-AU"/>
              </w:rPr>
            </w:pPr>
            <w:r w:rsidRPr="00A1397D">
              <w:rPr>
                <w:rFonts w:ascii="Arial" w:hAnsi="Arial" w:cs="Arial"/>
                <w:color w:val="000000"/>
                <w:sz w:val="18"/>
                <w:szCs w:val="18"/>
                <w:lang w:val="en-AU" w:eastAsia="en-AU"/>
              </w:rPr>
              <w:t>Education</w:t>
            </w:r>
          </w:p>
        </w:tc>
        <w:tc>
          <w:tcPr>
            <w:tcW w:w="993" w:type="dxa"/>
            <w:tcBorders>
              <w:top w:val="nil"/>
              <w:left w:val="nil"/>
              <w:bottom w:val="nil"/>
              <w:right w:val="nil"/>
            </w:tcBorders>
            <w:shd w:val="clear" w:color="000000" w:fill="F2F2F2"/>
            <w:noWrap/>
            <w:vAlign w:val="bottom"/>
            <w:hideMark/>
          </w:tcPr>
          <w:p w14:paraId="64978B74" w14:textId="77777777" w:rsidR="00283E40" w:rsidRPr="00A1397D" w:rsidRDefault="00283E40" w:rsidP="00DE2C43">
            <w:pPr>
              <w:ind w:left="-286" w:right="76"/>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2,366</w:t>
            </w:r>
          </w:p>
        </w:tc>
        <w:tc>
          <w:tcPr>
            <w:tcW w:w="992" w:type="dxa"/>
            <w:tcBorders>
              <w:top w:val="nil"/>
              <w:left w:val="nil"/>
              <w:bottom w:val="nil"/>
              <w:right w:val="nil"/>
            </w:tcBorders>
            <w:shd w:val="clear" w:color="000000" w:fill="F2F2F2"/>
            <w:noWrap/>
            <w:vAlign w:val="bottom"/>
            <w:hideMark/>
          </w:tcPr>
          <w:p w14:paraId="24CDD522"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2,182</w:t>
            </w:r>
          </w:p>
        </w:tc>
        <w:tc>
          <w:tcPr>
            <w:tcW w:w="1134" w:type="dxa"/>
            <w:tcBorders>
              <w:top w:val="nil"/>
              <w:left w:val="nil"/>
              <w:bottom w:val="nil"/>
              <w:right w:val="nil"/>
            </w:tcBorders>
            <w:shd w:val="clear" w:color="000000" w:fill="F2F2F2"/>
            <w:noWrap/>
            <w:vAlign w:val="bottom"/>
            <w:hideMark/>
          </w:tcPr>
          <w:p w14:paraId="077633B9"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1,676</w:t>
            </w:r>
          </w:p>
        </w:tc>
        <w:tc>
          <w:tcPr>
            <w:tcW w:w="992" w:type="dxa"/>
            <w:tcBorders>
              <w:top w:val="nil"/>
              <w:left w:val="nil"/>
              <w:bottom w:val="nil"/>
              <w:right w:val="nil"/>
            </w:tcBorders>
            <w:shd w:val="clear" w:color="000000" w:fill="F2F2F2"/>
            <w:noWrap/>
            <w:vAlign w:val="bottom"/>
            <w:hideMark/>
          </w:tcPr>
          <w:p w14:paraId="5CAB06CA"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1,040</w:t>
            </w:r>
          </w:p>
        </w:tc>
        <w:tc>
          <w:tcPr>
            <w:tcW w:w="898" w:type="dxa"/>
            <w:tcBorders>
              <w:top w:val="nil"/>
              <w:left w:val="nil"/>
              <w:bottom w:val="nil"/>
              <w:right w:val="nil"/>
            </w:tcBorders>
            <w:shd w:val="clear" w:color="auto" w:fill="auto"/>
            <w:noWrap/>
            <w:vAlign w:val="bottom"/>
            <w:hideMark/>
          </w:tcPr>
          <w:p w14:paraId="28305145"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7,265</w:t>
            </w:r>
          </w:p>
        </w:tc>
        <w:tc>
          <w:tcPr>
            <w:tcW w:w="878" w:type="dxa"/>
            <w:tcBorders>
              <w:top w:val="nil"/>
              <w:left w:val="nil"/>
              <w:bottom w:val="nil"/>
              <w:right w:val="nil"/>
            </w:tcBorders>
            <w:shd w:val="clear" w:color="auto" w:fill="auto"/>
            <w:noWrap/>
            <w:vAlign w:val="bottom"/>
            <w:hideMark/>
          </w:tcPr>
          <w:p w14:paraId="60AA8E65" w14:textId="2E41BC87" w:rsidR="00283E40" w:rsidRPr="00A1397D" w:rsidRDefault="00283E40" w:rsidP="00DE2C43">
            <w:pPr>
              <w:ind w:left="-443" w:right="105"/>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7.8</w:t>
            </w:r>
          </w:p>
        </w:tc>
      </w:tr>
      <w:tr w:rsidR="00283E40" w:rsidRPr="00A1397D" w14:paraId="0F6CD88D" w14:textId="77777777" w:rsidTr="000F13AB">
        <w:trPr>
          <w:trHeight w:val="290"/>
        </w:trPr>
        <w:tc>
          <w:tcPr>
            <w:tcW w:w="3969" w:type="dxa"/>
            <w:tcBorders>
              <w:top w:val="nil"/>
              <w:left w:val="nil"/>
              <w:bottom w:val="nil"/>
              <w:right w:val="nil"/>
            </w:tcBorders>
            <w:shd w:val="clear" w:color="auto" w:fill="auto"/>
            <w:noWrap/>
            <w:vAlign w:val="bottom"/>
            <w:hideMark/>
          </w:tcPr>
          <w:p w14:paraId="5F8730A9" w14:textId="77777777" w:rsidR="00283E40" w:rsidRPr="00A1397D" w:rsidRDefault="00283E40" w:rsidP="00283E40">
            <w:pPr>
              <w:rPr>
                <w:rFonts w:ascii="Arial" w:hAnsi="Arial" w:cs="Arial"/>
                <w:color w:val="000000"/>
                <w:sz w:val="18"/>
                <w:szCs w:val="18"/>
                <w:lang w:val="en-AU" w:eastAsia="en-AU"/>
              </w:rPr>
            </w:pPr>
            <w:r w:rsidRPr="00A1397D">
              <w:rPr>
                <w:rFonts w:ascii="Arial" w:hAnsi="Arial" w:cs="Arial"/>
                <w:color w:val="000000"/>
                <w:sz w:val="18"/>
                <w:szCs w:val="18"/>
                <w:lang w:val="en-AU" w:eastAsia="en-AU"/>
              </w:rPr>
              <w:t>Stronger Communities</w:t>
            </w:r>
          </w:p>
        </w:tc>
        <w:tc>
          <w:tcPr>
            <w:tcW w:w="993" w:type="dxa"/>
            <w:tcBorders>
              <w:top w:val="nil"/>
              <w:left w:val="nil"/>
              <w:bottom w:val="nil"/>
              <w:right w:val="nil"/>
            </w:tcBorders>
            <w:shd w:val="clear" w:color="000000" w:fill="F2F2F2"/>
            <w:noWrap/>
            <w:vAlign w:val="bottom"/>
            <w:hideMark/>
          </w:tcPr>
          <w:p w14:paraId="6062B728" w14:textId="77777777" w:rsidR="00283E40" w:rsidRPr="00A1397D" w:rsidRDefault="00283E40" w:rsidP="00DE2C43">
            <w:pPr>
              <w:ind w:left="-286" w:right="76"/>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1,262</w:t>
            </w:r>
          </w:p>
        </w:tc>
        <w:tc>
          <w:tcPr>
            <w:tcW w:w="992" w:type="dxa"/>
            <w:tcBorders>
              <w:top w:val="nil"/>
              <w:left w:val="nil"/>
              <w:bottom w:val="nil"/>
              <w:right w:val="nil"/>
            </w:tcBorders>
            <w:shd w:val="clear" w:color="000000" w:fill="F2F2F2"/>
            <w:noWrap/>
            <w:vAlign w:val="bottom"/>
            <w:hideMark/>
          </w:tcPr>
          <w:p w14:paraId="46196BB9"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1,173</w:t>
            </w:r>
          </w:p>
        </w:tc>
        <w:tc>
          <w:tcPr>
            <w:tcW w:w="1134" w:type="dxa"/>
            <w:tcBorders>
              <w:top w:val="nil"/>
              <w:left w:val="nil"/>
              <w:bottom w:val="nil"/>
              <w:right w:val="nil"/>
            </w:tcBorders>
            <w:shd w:val="clear" w:color="000000" w:fill="F2F2F2"/>
            <w:noWrap/>
            <w:vAlign w:val="bottom"/>
            <w:hideMark/>
          </w:tcPr>
          <w:p w14:paraId="58466B27"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400</w:t>
            </w:r>
          </w:p>
        </w:tc>
        <w:tc>
          <w:tcPr>
            <w:tcW w:w="992" w:type="dxa"/>
            <w:tcBorders>
              <w:top w:val="nil"/>
              <w:left w:val="nil"/>
              <w:bottom w:val="nil"/>
              <w:right w:val="nil"/>
            </w:tcBorders>
            <w:shd w:val="clear" w:color="000000" w:fill="F2F2F2"/>
            <w:noWrap/>
            <w:vAlign w:val="bottom"/>
            <w:hideMark/>
          </w:tcPr>
          <w:p w14:paraId="208993EE"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411</w:t>
            </w:r>
          </w:p>
        </w:tc>
        <w:tc>
          <w:tcPr>
            <w:tcW w:w="898" w:type="dxa"/>
            <w:tcBorders>
              <w:top w:val="nil"/>
              <w:left w:val="nil"/>
              <w:bottom w:val="nil"/>
              <w:right w:val="nil"/>
            </w:tcBorders>
            <w:shd w:val="clear" w:color="auto" w:fill="auto"/>
            <w:noWrap/>
            <w:vAlign w:val="bottom"/>
            <w:hideMark/>
          </w:tcPr>
          <w:p w14:paraId="58FCE65A"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3,247</w:t>
            </w:r>
          </w:p>
        </w:tc>
        <w:tc>
          <w:tcPr>
            <w:tcW w:w="878" w:type="dxa"/>
            <w:tcBorders>
              <w:top w:val="nil"/>
              <w:left w:val="nil"/>
              <w:bottom w:val="nil"/>
              <w:right w:val="nil"/>
            </w:tcBorders>
            <w:shd w:val="clear" w:color="auto" w:fill="auto"/>
            <w:noWrap/>
            <w:vAlign w:val="bottom"/>
            <w:hideMark/>
          </w:tcPr>
          <w:p w14:paraId="791E032D" w14:textId="2AEA653B" w:rsidR="00283E40" w:rsidRPr="00A1397D" w:rsidRDefault="00283E40" w:rsidP="00DE2C43">
            <w:pPr>
              <w:ind w:left="-443" w:right="105"/>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3.5</w:t>
            </w:r>
          </w:p>
        </w:tc>
      </w:tr>
      <w:tr w:rsidR="00283E40" w:rsidRPr="00A1397D" w14:paraId="60449F02" w14:textId="77777777" w:rsidTr="000F13AB">
        <w:trPr>
          <w:trHeight w:val="290"/>
        </w:trPr>
        <w:tc>
          <w:tcPr>
            <w:tcW w:w="3969" w:type="dxa"/>
            <w:tcBorders>
              <w:top w:val="nil"/>
              <w:left w:val="nil"/>
              <w:bottom w:val="nil"/>
              <w:right w:val="nil"/>
            </w:tcBorders>
            <w:shd w:val="clear" w:color="auto" w:fill="auto"/>
            <w:noWrap/>
            <w:vAlign w:val="bottom"/>
            <w:hideMark/>
          </w:tcPr>
          <w:p w14:paraId="5DBC4ECB" w14:textId="425A2FFC" w:rsidR="00283E40" w:rsidRPr="00A1397D" w:rsidRDefault="00283E40" w:rsidP="00283E40">
            <w:pPr>
              <w:rPr>
                <w:rFonts w:ascii="Arial" w:hAnsi="Arial" w:cs="Arial"/>
                <w:color w:val="000000"/>
                <w:sz w:val="18"/>
                <w:szCs w:val="18"/>
                <w:lang w:val="en-AU" w:eastAsia="en-AU"/>
              </w:rPr>
            </w:pPr>
            <w:r w:rsidRPr="00A1397D">
              <w:rPr>
                <w:rFonts w:ascii="Arial" w:hAnsi="Arial" w:cs="Arial"/>
                <w:color w:val="000000"/>
                <w:sz w:val="18"/>
                <w:szCs w:val="18"/>
                <w:lang w:val="en-AU" w:eastAsia="en-AU"/>
              </w:rPr>
              <w:t xml:space="preserve">Premier's </w:t>
            </w:r>
            <w:r w:rsidR="009408B3" w:rsidRPr="00A1397D">
              <w:rPr>
                <w:rFonts w:ascii="Arial" w:hAnsi="Arial" w:cs="Arial"/>
                <w:color w:val="000000"/>
                <w:sz w:val="18"/>
                <w:szCs w:val="18"/>
                <w:lang w:val="en-AU" w:eastAsia="en-AU"/>
              </w:rPr>
              <w:t>c</w:t>
            </w:r>
            <w:r w:rsidRPr="00A1397D">
              <w:rPr>
                <w:rFonts w:ascii="Arial" w:hAnsi="Arial" w:cs="Arial"/>
                <w:color w:val="000000"/>
                <w:sz w:val="18"/>
                <w:szCs w:val="18"/>
                <w:lang w:val="en-AU" w:eastAsia="en-AU"/>
              </w:rPr>
              <w:t>luster</w:t>
            </w:r>
          </w:p>
        </w:tc>
        <w:tc>
          <w:tcPr>
            <w:tcW w:w="993" w:type="dxa"/>
            <w:tcBorders>
              <w:top w:val="nil"/>
              <w:left w:val="nil"/>
              <w:bottom w:val="nil"/>
              <w:right w:val="nil"/>
            </w:tcBorders>
            <w:shd w:val="clear" w:color="000000" w:fill="F2F2F2"/>
            <w:noWrap/>
            <w:vAlign w:val="bottom"/>
            <w:hideMark/>
          </w:tcPr>
          <w:p w14:paraId="1C27BD15" w14:textId="77777777" w:rsidR="00283E40" w:rsidRPr="00A1397D" w:rsidRDefault="00283E40" w:rsidP="00DE2C43">
            <w:pPr>
              <w:ind w:left="-286" w:right="76"/>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826</w:t>
            </w:r>
          </w:p>
        </w:tc>
        <w:tc>
          <w:tcPr>
            <w:tcW w:w="992" w:type="dxa"/>
            <w:tcBorders>
              <w:top w:val="nil"/>
              <w:left w:val="nil"/>
              <w:bottom w:val="nil"/>
              <w:right w:val="nil"/>
            </w:tcBorders>
            <w:shd w:val="clear" w:color="000000" w:fill="F2F2F2"/>
            <w:noWrap/>
            <w:vAlign w:val="bottom"/>
            <w:hideMark/>
          </w:tcPr>
          <w:p w14:paraId="3B8D815B"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805</w:t>
            </w:r>
          </w:p>
        </w:tc>
        <w:tc>
          <w:tcPr>
            <w:tcW w:w="1134" w:type="dxa"/>
            <w:tcBorders>
              <w:top w:val="nil"/>
              <w:left w:val="nil"/>
              <w:bottom w:val="nil"/>
              <w:right w:val="nil"/>
            </w:tcBorders>
            <w:shd w:val="clear" w:color="000000" w:fill="F2F2F2"/>
            <w:noWrap/>
            <w:vAlign w:val="bottom"/>
            <w:hideMark/>
          </w:tcPr>
          <w:p w14:paraId="3EA858C6"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452</w:t>
            </w:r>
          </w:p>
        </w:tc>
        <w:tc>
          <w:tcPr>
            <w:tcW w:w="992" w:type="dxa"/>
            <w:tcBorders>
              <w:top w:val="nil"/>
              <w:left w:val="nil"/>
              <w:bottom w:val="nil"/>
              <w:right w:val="nil"/>
            </w:tcBorders>
            <w:shd w:val="clear" w:color="000000" w:fill="F2F2F2"/>
            <w:noWrap/>
            <w:vAlign w:val="bottom"/>
            <w:hideMark/>
          </w:tcPr>
          <w:p w14:paraId="5B62802A"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330</w:t>
            </w:r>
          </w:p>
        </w:tc>
        <w:tc>
          <w:tcPr>
            <w:tcW w:w="898" w:type="dxa"/>
            <w:tcBorders>
              <w:top w:val="nil"/>
              <w:left w:val="nil"/>
              <w:bottom w:val="nil"/>
              <w:right w:val="nil"/>
            </w:tcBorders>
            <w:shd w:val="clear" w:color="auto" w:fill="auto"/>
            <w:noWrap/>
            <w:vAlign w:val="bottom"/>
            <w:hideMark/>
          </w:tcPr>
          <w:p w14:paraId="6CDBBC19"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2,414</w:t>
            </w:r>
          </w:p>
        </w:tc>
        <w:tc>
          <w:tcPr>
            <w:tcW w:w="878" w:type="dxa"/>
            <w:tcBorders>
              <w:top w:val="nil"/>
              <w:left w:val="nil"/>
              <w:bottom w:val="nil"/>
              <w:right w:val="nil"/>
            </w:tcBorders>
            <w:shd w:val="clear" w:color="auto" w:fill="auto"/>
            <w:noWrap/>
            <w:vAlign w:val="bottom"/>
            <w:hideMark/>
          </w:tcPr>
          <w:p w14:paraId="44CBFA0D" w14:textId="7D3A4845" w:rsidR="00283E40" w:rsidRPr="00A1397D" w:rsidRDefault="00283E40" w:rsidP="00DE2C43">
            <w:pPr>
              <w:ind w:left="-443" w:right="105"/>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2.6</w:t>
            </w:r>
          </w:p>
        </w:tc>
      </w:tr>
      <w:tr w:rsidR="00283E40" w:rsidRPr="00A1397D" w14:paraId="01395FC7" w14:textId="77777777" w:rsidTr="000F13AB">
        <w:trPr>
          <w:trHeight w:val="290"/>
        </w:trPr>
        <w:tc>
          <w:tcPr>
            <w:tcW w:w="3969" w:type="dxa"/>
            <w:tcBorders>
              <w:top w:val="nil"/>
              <w:left w:val="nil"/>
              <w:bottom w:val="nil"/>
              <w:right w:val="nil"/>
            </w:tcBorders>
            <w:shd w:val="clear" w:color="auto" w:fill="auto"/>
            <w:noWrap/>
            <w:vAlign w:val="bottom"/>
            <w:hideMark/>
          </w:tcPr>
          <w:p w14:paraId="43950B35" w14:textId="77777777" w:rsidR="00283E40" w:rsidRPr="00A1397D" w:rsidRDefault="00283E40" w:rsidP="00283E40">
            <w:pPr>
              <w:rPr>
                <w:rFonts w:ascii="Arial" w:hAnsi="Arial" w:cs="Arial"/>
                <w:color w:val="000000"/>
                <w:sz w:val="18"/>
                <w:szCs w:val="18"/>
                <w:lang w:val="en-AU" w:eastAsia="en-AU"/>
              </w:rPr>
            </w:pPr>
            <w:r w:rsidRPr="00A1397D">
              <w:rPr>
                <w:rFonts w:ascii="Arial" w:hAnsi="Arial" w:cs="Arial"/>
                <w:color w:val="000000"/>
                <w:sz w:val="18"/>
                <w:szCs w:val="18"/>
                <w:lang w:val="en-AU" w:eastAsia="en-AU"/>
              </w:rPr>
              <w:t>Planning, Industry and Environment</w:t>
            </w:r>
          </w:p>
        </w:tc>
        <w:tc>
          <w:tcPr>
            <w:tcW w:w="993" w:type="dxa"/>
            <w:tcBorders>
              <w:top w:val="nil"/>
              <w:left w:val="nil"/>
              <w:bottom w:val="nil"/>
              <w:right w:val="nil"/>
            </w:tcBorders>
            <w:shd w:val="clear" w:color="000000" w:fill="F2F2F2"/>
            <w:noWrap/>
            <w:vAlign w:val="bottom"/>
            <w:hideMark/>
          </w:tcPr>
          <w:p w14:paraId="47DBD748" w14:textId="77777777" w:rsidR="00283E40" w:rsidRPr="00A1397D" w:rsidRDefault="00283E40" w:rsidP="00DE2C43">
            <w:pPr>
              <w:ind w:left="-286" w:right="76"/>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787</w:t>
            </w:r>
          </w:p>
        </w:tc>
        <w:tc>
          <w:tcPr>
            <w:tcW w:w="992" w:type="dxa"/>
            <w:tcBorders>
              <w:top w:val="nil"/>
              <w:left w:val="nil"/>
              <w:bottom w:val="nil"/>
              <w:right w:val="nil"/>
            </w:tcBorders>
            <w:shd w:val="clear" w:color="000000" w:fill="F2F2F2"/>
            <w:noWrap/>
            <w:vAlign w:val="bottom"/>
            <w:hideMark/>
          </w:tcPr>
          <w:p w14:paraId="57DEB5A1"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536</w:t>
            </w:r>
          </w:p>
        </w:tc>
        <w:tc>
          <w:tcPr>
            <w:tcW w:w="1134" w:type="dxa"/>
            <w:tcBorders>
              <w:top w:val="nil"/>
              <w:left w:val="nil"/>
              <w:bottom w:val="nil"/>
              <w:right w:val="nil"/>
            </w:tcBorders>
            <w:shd w:val="clear" w:color="000000" w:fill="F2F2F2"/>
            <w:noWrap/>
            <w:vAlign w:val="bottom"/>
            <w:hideMark/>
          </w:tcPr>
          <w:p w14:paraId="15EABE7A"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495</w:t>
            </w:r>
          </w:p>
        </w:tc>
        <w:tc>
          <w:tcPr>
            <w:tcW w:w="992" w:type="dxa"/>
            <w:tcBorders>
              <w:top w:val="nil"/>
              <w:left w:val="nil"/>
              <w:bottom w:val="nil"/>
              <w:right w:val="nil"/>
            </w:tcBorders>
            <w:shd w:val="clear" w:color="000000" w:fill="F2F2F2"/>
            <w:noWrap/>
            <w:vAlign w:val="bottom"/>
            <w:hideMark/>
          </w:tcPr>
          <w:p w14:paraId="699A11C1"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371</w:t>
            </w:r>
          </w:p>
        </w:tc>
        <w:tc>
          <w:tcPr>
            <w:tcW w:w="898" w:type="dxa"/>
            <w:tcBorders>
              <w:top w:val="nil"/>
              <w:left w:val="nil"/>
              <w:bottom w:val="nil"/>
              <w:right w:val="nil"/>
            </w:tcBorders>
            <w:shd w:val="clear" w:color="auto" w:fill="auto"/>
            <w:noWrap/>
            <w:vAlign w:val="bottom"/>
            <w:hideMark/>
          </w:tcPr>
          <w:p w14:paraId="56A8053C"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2,190</w:t>
            </w:r>
          </w:p>
        </w:tc>
        <w:tc>
          <w:tcPr>
            <w:tcW w:w="878" w:type="dxa"/>
            <w:tcBorders>
              <w:top w:val="nil"/>
              <w:left w:val="nil"/>
              <w:bottom w:val="nil"/>
              <w:right w:val="nil"/>
            </w:tcBorders>
            <w:shd w:val="clear" w:color="auto" w:fill="auto"/>
            <w:noWrap/>
            <w:vAlign w:val="bottom"/>
            <w:hideMark/>
          </w:tcPr>
          <w:p w14:paraId="06DDACC3" w14:textId="3FF375FA" w:rsidR="00283E40" w:rsidRPr="00A1397D" w:rsidRDefault="00283E40" w:rsidP="00DE2C43">
            <w:pPr>
              <w:ind w:left="-443" w:right="105"/>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2.4</w:t>
            </w:r>
          </w:p>
        </w:tc>
      </w:tr>
      <w:tr w:rsidR="00283E40" w:rsidRPr="00A1397D" w14:paraId="4996033D" w14:textId="77777777" w:rsidTr="000F13AB">
        <w:trPr>
          <w:trHeight w:val="290"/>
        </w:trPr>
        <w:tc>
          <w:tcPr>
            <w:tcW w:w="3969" w:type="dxa"/>
            <w:tcBorders>
              <w:top w:val="nil"/>
              <w:left w:val="nil"/>
              <w:bottom w:val="nil"/>
              <w:right w:val="nil"/>
            </w:tcBorders>
            <w:shd w:val="clear" w:color="auto" w:fill="auto"/>
            <w:noWrap/>
            <w:vAlign w:val="bottom"/>
            <w:hideMark/>
          </w:tcPr>
          <w:p w14:paraId="111C0BD8" w14:textId="77777777" w:rsidR="00283E40" w:rsidRPr="00A1397D" w:rsidRDefault="00283E40" w:rsidP="00283E40">
            <w:pPr>
              <w:rPr>
                <w:rFonts w:ascii="Arial" w:hAnsi="Arial" w:cs="Arial"/>
                <w:color w:val="000000"/>
                <w:sz w:val="18"/>
                <w:szCs w:val="18"/>
                <w:lang w:val="en-AU" w:eastAsia="en-AU"/>
              </w:rPr>
            </w:pPr>
            <w:r w:rsidRPr="00A1397D">
              <w:rPr>
                <w:rFonts w:ascii="Arial" w:hAnsi="Arial" w:cs="Arial"/>
                <w:color w:val="000000"/>
                <w:sz w:val="18"/>
                <w:szCs w:val="18"/>
                <w:lang w:val="en-AU" w:eastAsia="en-AU"/>
              </w:rPr>
              <w:t>Customer Service</w:t>
            </w:r>
          </w:p>
        </w:tc>
        <w:tc>
          <w:tcPr>
            <w:tcW w:w="993" w:type="dxa"/>
            <w:tcBorders>
              <w:top w:val="nil"/>
              <w:left w:val="nil"/>
              <w:bottom w:val="nil"/>
              <w:right w:val="nil"/>
            </w:tcBorders>
            <w:shd w:val="clear" w:color="000000" w:fill="F2F2F2"/>
            <w:noWrap/>
            <w:vAlign w:val="bottom"/>
            <w:hideMark/>
          </w:tcPr>
          <w:p w14:paraId="7BFF19EF" w14:textId="77777777" w:rsidR="00283E40" w:rsidRPr="00A1397D" w:rsidRDefault="00283E40" w:rsidP="00DE2C43">
            <w:pPr>
              <w:ind w:left="-286" w:right="76"/>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335</w:t>
            </w:r>
          </w:p>
        </w:tc>
        <w:tc>
          <w:tcPr>
            <w:tcW w:w="992" w:type="dxa"/>
            <w:tcBorders>
              <w:top w:val="nil"/>
              <w:left w:val="nil"/>
              <w:bottom w:val="nil"/>
              <w:right w:val="nil"/>
            </w:tcBorders>
            <w:shd w:val="clear" w:color="000000" w:fill="F2F2F2"/>
            <w:noWrap/>
            <w:vAlign w:val="bottom"/>
            <w:hideMark/>
          </w:tcPr>
          <w:p w14:paraId="0492E192"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190</w:t>
            </w:r>
          </w:p>
        </w:tc>
        <w:tc>
          <w:tcPr>
            <w:tcW w:w="1134" w:type="dxa"/>
            <w:tcBorders>
              <w:top w:val="nil"/>
              <w:left w:val="nil"/>
              <w:bottom w:val="nil"/>
              <w:right w:val="nil"/>
            </w:tcBorders>
            <w:shd w:val="clear" w:color="000000" w:fill="F2F2F2"/>
            <w:noWrap/>
            <w:vAlign w:val="bottom"/>
            <w:hideMark/>
          </w:tcPr>
          <w:p w14:paraId="11E463F3"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86</w:t>
            </w:r>
          </w:p>
        </w:tc>
        <w:tc>
          <w:tcPr>
            <w:tcW w:w="992" w:type="dxa"/>
            <w:tcBorders>
              <w:top w:val="nil"/>
              <w:left w:val="nil"/>
              <w:bottom w:val="nil"/>
              <w:right w:val="nil"/>
            </w:tcBorders>
            <w:shd w:val="clear" w:color="000000" w:fill="F2F2F2"/>
            <w:noWrap/>
            <w:vAlign w:val="bottom"/>
            <w:hideMark/>
          </w:tcPr>
          <w:p w14:paraId="01DB26D1"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78</w:t>
            </w:r>
          </w:p>
        </w:tc>
        <w:tc>
          <w:tcPr>
            <w:tcW w:w="898" w:type="dxa"/>
            <w:tcBorders>
              <w:top w:val="nil"/>
              <w:left w:val="nil"/>
              <w:bottom w:val="nil"/>
              <w:right w:val="nil"/>
            </w:tcBorders>
            <w:shd w:val="clear" w:color="auto" w:fill="auto"/>
            <w:noWrap/>
            <w:vAlign w:val="bottom"/>
            <w:hideMark/>
          </w:tcPr>
          <w:p w14:paraId="4F6CC29E"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689</w:t>
            </w:r>
          </w:p>
        </w:tc>
        <w:tc>
          <w:tcPr>
            <w:tcW w:w="878" w:type="dxa"/>
            <w:tcBorders>
              <w:top w:val="nil"/>
              <w:left w:val="nil"/>
              <w:bottom w:val="nil"/>
              <w:right w:val="nil"/>
            </w:tcBorders>
            <w:shd w:val="clear" w:color="auto" w:fill="auto"/>
            <w:noWrap/>
            <w:vAlign w:val="bottom"/>
            <w:hideMark/>
          </w:tcPr>
          <w:p w14:paraId="1A730510" w14:textId="7A01DBD9" w:rsidR="00283E40" w:rsidRPr="00A1397D" w:rsidRDefault="00283E40" w:rsidP="00DE2C43">
            <w:pPr>
              <w:ind w:left="-443" w:right="105"/>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0.7</w:t>
            </w:r>
          </w:p>
        </w:tc>
      </w:tr>
      <w:tr w:rsidR="00283E40" w:rsidRPr="00A1397D" w14:paraId="57A5C74E" w14:textId="77777777" w:rsidTr="000F13AB">
        <w:trPr>
          <w:trHeight w:val="290"/>
        </w:trPr>
        <w:tc>
          <w:tcPr>
            <w:tcW w:w="3969" w:type="dxa"/>
            <w:tcBorders>
              <w:top w:val="nil"/>
              <w:left w:val="nil"/>
              <w:bottom w:val="nil"/>
              <w:right w:val="nil"/>
            </w:tcBorders>
            <w:shd w:val="clear" w:color="auto" w:fill="auto"/>
            <w:noWrap/>
            <w:vAlign w:val="bottom"/>
            <w:hideMark/>
          </w:tcPr>
          <w:p w14:paraId="1B071F7E" w14:textId="77777777" w:rsidR="00283E40" w:rsidRPr="00A1397D" w:rsidRDefault="00283E40" w:rsidP="00283E40">
            <w:pPr>
              <w:rPr>
                <w:rFonts w:ascii="Arial" w:hAnsi="Arial" w:cs="Arial"/>
                <w:color w:val="000000"/>
                <w:sz w:val="18"/>
                <w:szCs w:val="18"/>
                <w:lang w:val="en-AU" w:eastAsia="en-AU"/>
              </w:rPr>
            </w:pPr>
            <w:r w:rsidRPr="00A1397D">
              <w:rPr>
                <w:rFonts w:ascii="Arial" w:hAnsi="Arial" w:cs="Arial"/>
                <w:color w:val="000000"/>
                <w:sz w:val="18"/>
                <w:szCs w:val="18"/>
                <w:lang w:val="en-AU" w:eastAsia="en-AU"/>
              </w:rPr>
              <w:t>Other PNFCs</w:t>
            </w:r>
            <w:r w:rsidRPr="00A1397D">
              <w:rPr>
                <w:rFonts w:ascii="Arial" w:hAnsi="Arial" w:cs="Arial"/>
                <w:color w:val="000000"/>
                <w:sz w:val="18"/>
                <w:szCs w:val="18"/>
                <w:vertAlign w:val="superscript"/>
                <w:lang w:val="en-AU" w:eastAsia="en-AU"/>
              </w:rPr>
              <w:t>(c)</w:t>
            </w:r>
          </w:p>
        </w:tc>
        <w:tc>
          <w:tcPr>
            <w:tcW w:w="993" w:type="dxa"/>
            <w:tcBorders>
              <w:top w:val="nil"/>
              <w:left w:val="nil"/>
              <w:bottom w:val="nil"/>
              <w:right w:val="nil"/>
            </w:tcBorders>
            <w:shd w:val="clear" w:color="000000" w:fill="F2F2F2"/>
            <w:noWrap/>
            <w:vAlign w:val="bottom"/>
            <w:hideMark/>
          </w:tcPr>
          <w:p w14:paraId="7B4FE090" w14:textId="77777777" w:rsidR="00283E40" w:rsidRPr="00A1397D" w:rsidRDefault="00283E40" w:rsidP="00DE2C43">
            <w:pPr>
              <w:ind w:left="-286" w:right="76"/>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2,341</w:t>
            </w:r>
          </w:p>
        </w:tc>
        <w:tc>
          <w:tcPr>
            <w:tcW w:w="992" w:type="dxa"/>
            <w:tcBorders>
              <w:top w:val="nil"/>
              <w:left w:val="nil"/>
              <w:bottom w:val="nil"/>
              <w:right w:val="nil"/>
            </w:tcBorders>
            <w:shd w:val="clear" w:color="000000" w:fill="F2F2F2"/>
            <w:noWrap/>
            <w:vAlign w:val="bottom"/>
            <w:hideMark/>
          </w:tcPr>
          <w:p w14:paraId="4266F291"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2,536</w:t>
            </w:r>
          </w:p>
        </w:tc>
        <w:tc>
          <w:tcPr>
            <w:tcW w:w="1134" w:type="dxa"/>
            <w:tcBorders>
              <w:top w:val="nil"/>
              <w:left w:val="nil"/>
              <w:bottom w:val="nil"/>
              <w:right w:val="nil"/>
            </w:tcBorders>
            <w:shd w:val="clear" w:color="000000" w:fill="F2F2F2"/>
            <w:noWrap/>
            <w:vAlign w:val="bottom"/>
            <w:hideMark/>
          </w:tcPr>
          <w:p w14:paraId="02748111"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2,709</w:t>
            </w:r>
          </w:p>
        </w:tc>
        <w:tc>
          <w:tcPr>
            <w:tcW w:w="992" w:type="dxa"/>
            <w:tcBorders>
              <w:top w:val="nil"/>
              <w:left w:val="nil"/>
              <w:bottom w:val="nil"/>
              <w:right w:val="nil"/>
            </w:tcBorders>
            <w:shd w:val="clear" w:color="000000" w:fill="F2F2F2"/>
            <w:noWrap/>
            <w:vAlign w:val="bottom"/>
            <w:hideMark/>
          </w:tcPr>
          <w:p w14:paraId="4A881B3A"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2,788</w:t>
            </w:r>
          </w:p>
        </w:tc>
        <w:tc>
          <w:tcPr>
            <w:tcW w:w="898" w:type="dxa"/>
            <w:tcBorders>
              <w:top w:val="nil"/>
              <w:left w:val="nil"/>
              <w:bottom w:val="nil"/>
              <w:right w:val="nil"/>
            </w:tcBorders>
            <w:shd w:val="clear" w:color="auto" w:fill="auto"/>
            <w:noWrap/>
            <w:vAlign w:val="bottom"/>
            <w:hideMark/>
          </w:tcPr>
          <w:p w14:paraId="628966CC"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10,374</w:t>
            </w:r>
          </w:p>
        </w:tc>
        <w:tc>
          <w:tcPr>
            <w:tcW w:w="878" w:type="dxa"/>
            <w:tcBorders>
              <w:top w:val="nil"/>
              <w:left w:val="nil"/>
              <w:bottom w:val="nil"/>
              <w:right w:val="nil"/>
            </w:tcBorders>
            <w:shd w:val="clear" w:color="auto" w:fill="auto"/>
            <w:noWrap/>
            <w:vAlign w:val="bottom"/>
            <w:hideMark/>
          </w:tcPr>
          <w:p w14:paraId="4C399213" w14:textId="345C007B" w:rsidR="00283E40" w:rsidRPr="00A1397D" w:rsidRDefault="00283E40" w:rsidP="00DE2C43">
            <w:pPr>
              <w:ind w:left="-443" w:right="105"/>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11.2</w:t>
            </w:r>
          </w:p>
        </w:tc>
      </w:tr>
      <w:tr w:rsidR="00283E40" w:rsidRPr="00A1397D" w14:paraId="6FBF5968" w14:textId="77777777" w:rsidTr="000F13AB">
        <w:trPr>
          <w:trHeight w:val="290"/>
        </w:trPr>
        <w:tc>
          <w:tcPr>
            <w:tcW w:w="3969" w:type="dxa"/>
            <w:tcBorders>
              <w:top w:val="nil"/>
              <w:left w:val="nil"/>
              <w:bottom w:val="nil"/>
              <w:right w:val="nil"/>
            </w:tcBorders>
            <w:shd w:val="clear" w:color="auto" w:fill="auto"/>
            <w:noWrap/>
            <w:vAlign w:val="bottom"/>
            <w:hideMark/>
          </w:tcPr>
          <w:p w14:paraId="0DDBE477" w14:textId="77777777" w:rsidR="00283E40" w:rsidRPr="00A1397D" w:rsidRDefault="00283E40" w:rsidP="00283E40">
            <w:pPr>
              <w:rPr>
                <w:rFonts w:ascii="Arial" w:hAnsi="Arial" w:cs="Arial"/>
                <w:color w:val="000000"/>
                <w:sz w:val="18"/>
                <w:szCs w:val="18"/>
                <w:lang w:val="en-AU" w:eastAsia="en-AU"/>
              </w:rPr>
            </w:pPr>
            <w:r w:rsidRPr="00A1397D">
              <w:rPr>
                <w:rFonts w:ascii="Arial" w:hAnsi="Arial" w:cs="Arial"/>
                <w:color w:val="000000"/>
                <w:sz w:val="18"/>
                <w:szCs w:val="18"/>
                <w:lang w:val="en-AU" w:eastAsia="en-AU"/>
              </w:rPr>
              <w:t xml:space="preserve">Other </w:t>
            </w:r>
          </w:p>
        </w:tc>
        <w:tc>
          <w:tcPr>
            <w:tcW w:w="993" w:type="dxa"/>
            <w:tcBorders>
              <w:top w:val="nil"/>
              <w:left w:val="nil"/>
              <w:bottom w:val="nil"/>
              <w:right w:val="nil"/>
            </w:tcBorders>
            <w:shd w:val="clear" w:color="000000" w:fill="F2F2F2"/>
            <w:noWrap/>
            <w:vAlign w:val="bottom"/>
            <w:hideMark/>
          </w:tcPr>
          <w:p w14:paraId="47D856A3" w14:textId="77777777" w:rsidR="00283E40" w:rsidRPr="00A1397D" w:rsidRDefault="00283E40" w:rsidP="00DE2C43">
            <w:pPr>
              <w:ind w:left="-286" w:right="76"/>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497</w:t>
            </w:r>
          </w:p>
        </w:tc>
        <w:tc>
          <w:tcPr>
            <w:tcW w:w="992" w:type="dxa"/>
            <w:tcBorders>
              <w:top w:val="nil"/>
              <w:left w:val="nil"/>
              <w:bottom w:val="nil"/>
              <w:right w:val="nil"/>
            </w:tcBorders>
            <w:shd w:val="clear" w:color="000000" w:fill="F2F2F2"/>
            <w:noWrap/>
            <w:vAlign w:val="bottom"/>
            <w:hideMark/>
          </w:tcPr>
          <w:p w14:paraId="518087E7"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530</w:t>
            </w:r>
          </w:p>
        </w:tc>
        <w:tc>
          <w:tcPr>
            <w:tcW w:w="1134" w:type="dxa"/>
            <w:tcBorders>
              <w:top w:val="nil"/>
              <w:left w:val="nil"/>
              <w:bottom w:val="nil"/>
              <w:right w:val="nil"/>
            </w:tcBorders>
            <w:shd w:val="clear" w:color="000000" w:fill="F2F2F2"/>
            <w:noWrap/>
            <w:vAlign w:val="bottom"/>
            <w:hideMark/>
          </w:tcPr>
          <w:p w14:paraId="4AEA76D8"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741</w:t>
            </w:r>
          </w:p>
        </w:tc>
        <w:tc>
          <w:tcPr>
            <w:tcW w:w="992" w:type="dxa"/>
            <w:tcBorders>
              <w:top w:val="nil"/>
              <w:left w:val="nil"/>
              <w:bottom w:val="nil"/>
              <w:right w:val="nil"/>
            </w:tcBorders>
            <w:shd w:val="clear" w:color="000000" w:fill="F2F2F2"/>
            <w:noWrap/>
            <w:vAlign w:val="bottom"/>
            <w:hideMark/>
          </w:tcPr>
          <w:p w14:paraId="1FDE12B7"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548</w:t>
            </w:r>
          </w:p>
        </w:tc>
        <w:tc>
          <w:tcPr>
            <w:tcW w:w="898" w:type="dxa"/>
            <w:tcBorders>
              <w:top w:val="nil"/>
              <w:left w:val="nil"/>
              <w:bottom w:val="nil"/>
              <w:right w:val="nil"/>
            </w:tcBorders>
            <w:shd w:val="clear" w:color="auto" w:fill="auto"/>
            <w:noWrap/>
            <w:vAlign w:val="bottom"/>
            <w:hideMark/>
          </w:tcPr>
          <w:p w14:paraId="2580AC95" w14:textId="77777777" w:rsidR="00283E40" w:rsidRPr="00A1397D" w:rsidRDefault="00283E40" w:rsidP="00DE2C43">
            <w:pPr>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2,316</w:t>
            </w:r>
          </w:p>
        </w:tc>
        <w:tc>
          <w:tcPr>
            <w:tcW w:w="878" w:type="dxa"/>
            <w:tcBorders>
              <w:top w:val="nil"/>
              <w:left w:val="nil"/>
              <w:bottom w:val="nil"/>
              <w:right w:val="nil"/>
            </w:tcBorders>
            <w:shd w:val="clear" w:color="auto" w:fill="auto"/>
            <w:noWrap/>
            <w:vAlign w:val="bottom"/>
            <w:hideMark/>
          </w:tcPr>
          <w:p w14:paraId="54698926" w14:textId="488B30D8" w:rsidR="00283E40" w:rsidRPr="00A1397D" w:rsidRDefault="00283E40" w:rsidP="00DE2C43">
            <w:pPr>
              <w:ind w:left="-443" w:right="105"/>
              <w:jc w:val="right"/>
              <w:rPr>
                <w:rFonts w:ascii="Arial" w:hAnsi="Arial" w:cs="Arial"/>
                <w:color w:val="000000"/>
                <w:sz w:val="18"/>
                <w:szCs w:val="18"/>
                <w:lang w:val="en-AU" w:eastAsia="en-AU"/>
              </w:rPr>
            </w:pPr>
            <w:r w:rsidRPr="00A1397D">
              <w:rPr>
                <w:rFonts w:ascii="Arial" w:hAnsi="Arial" w:cs="Arial"/>
                <w:color w:val="000000"/>
                <w:sz w:val="18"/>
                <w:szCs w:val="18"/>
                <w:lang w:val="en-AU" w:eastAsia="en-AU"/>
              </w:rPr>
              <w:t>2.5</w:t>
            </w:r>
          </w:p>
        </w:tc>
      </w:tr>
      <w:tr w:rsidR="00283E40" w:rsidRPr="00A1397D" w14:paraId="434E7AB2" w14:textId="77777777" w:rsidTr="00DE2C43">
        <w:trPr>
          <w:trHeight w:val="290"/>
        </w:trPr>
        <w:tc>
          <w:tcPr>
            <w:tcW w:w="3969" w:type="dxa"/>
            <w:tcBorders>
              <w:top w:val="single" w:sz="4" w:space="0" w:color="auto"/>
              <w:left w:val="nil"/>
              <w:bottom w:val="single" w:sz="4" w:space="0" w:color="auto"/>
              <w:right w:val="nil"/>
            </w:tcBorders>
            <w:shd w:val="clear" w:color="auto" w:fill="auto"/>
            <w:noWrap/>
            <w:vAlign w:val="center"/>
            <w:hideMark/>
          </w:tcPr>
          <w:p w14:paraId="1AD5EC7C" w14:textId="77777777" w:rsidR="00283E40" w:rsidRPr="00A1397D" w:rsidRDefault="00283E40" w:rsidP="00283E40">
            <w:pPr>
              <w:rPr>
                <w:rFonts w:ascii="Arial" w:hAnsi="Arial" w:cs="Arial"/>
                <w:b/>
                <w:bCs/>
                <w:color w:val="000000"/>
                <w:sz w:val="18"/>
                <w:szCs w:val="18"/>
                <w:lang w:val="en-AU" w:eastAsia="en-AU"/>
              </w:rPr>
            </w:pPr>
            <w:r w:rsidRPr="00A1397D">
              <w:rPr>
                <w:rFonts w:ascii="Arial" w:hAnsi="Arial" w:cs="Arial"/>
                <w:b/>
                <w:bCs/>
                <w:color w:val="0579B9"/>
                <w:sz w:val="18"/>
                <w:szCs w:val="18"/>
                <w:lang w:val="en-AU" w:eastAsia="en-AU"/>
              </w:rPr>
              <w:t>Total</w:t>
            </w:r>
            <w:r w:rsidRPr="00A1397D">
              <w:rPr>
                <w:rFonts w:ascii="Arial" w:hAnsi="Arial" w:cs="Arial"/>
                <w:b/>
                <w:bCs/>
                <w:color w:val="0579B9"/>
                <w:sz w:val="18"/>
                <w:szCs w:val="18"/>
                <w:vertAlign w:val="superscript"/>
                <w:lang w:val="en-AU" w:eastAsia="en-AU"/>
              </w:rPr>
              <w:t>(e)</w:t>
            </w:r>
          </w:p>
        </w:tc>
        <w:tc>
          <w:tcPr>
            <w:tcW w:w="993" w:type="dxa"/>
            <w:tcBorders>
              <w:top w:val="single" w:sz="4" w:space="0" w:color="auto"/>
              <w:left w:val="nil"/>
              <w:bottom w:val="single" w:sz="4" w:space="0" w:color="auto"/>
              <w:right w:val="nil"/>
            </w:tcBorders>
            <w:shd w:val="clear" w:color="000000" w:fill="F2F2F2"/>
            <w:noWrap/>
            <w:vAlign w:val="center"/>
            <w:hideMark/>
          </w:tcPr>
          <w:p w14:paraId="1BDE14B6" w14:textId="77777777" w:rsidR="00283E40" w:rsidRPr="00A1397D" w:rsidRDefault="00283E40" w:rsidP="00DE2C43">
            <w:pPr>
              <w:ind w:left="-286" w:right="76"/>
              <w:jc w:val="right"/>
              <w:rPr>
                <w:rFonts w:ascii="Arial" w:hAnsi="Arial" w:cs="Arial"/>
                <w:b/>
                <w:bCs/>
                <w:color w:val="0579B9"/>
                <w:sz w:val="18"/>
                <w:szCs w:val="18"/>
                <w:lang w:val="en-AU" w:eastAsia="en-AU"/>
              </w:rPr>
            </w:pPr>
            <w:r w:rsidRPr="00A1397D">
              <w:rPr>
                <w:rFonts w:ascii="Arial" w:hAnsi="Arial" w:cs="Arial"/>
                <w:b/>
                <w:bCs/>
                <w:color w:val="0579B9"/>
                <w:sz w:val="18"/>
                <w:szCs w:val="18"/>
                <w:lang w:val="en-AU" w:eastAsia="en-AU"/>
              </w:rPr>
              <w:t>27,739</w:t>
            </w:r>
          </w:p>
        </w:tc>
        <w:tc>
          <w:tcPr>
            <w:tcW w:w="992" w:type="dxa"/>
            <w:tcBorders>
              <w:top w:val="single" w:sz="4" w:space="0" w:color="auto"/>
              <w:left w:val="nil"/>
              <w:bottom w:val="single" w:sz="4" w:space="0" w:color="auto"/>
              <w:right w:val="nil"/>
            </w:tcBorders>
            <w:shd w:val="clear" w:color="000000" w:fill="F2F2F2"/>
            <w:noWrap/>
            <w:vAlign w:val="center"/>
            <w:hideMark/>
          </w:tcPr>
          <w:p w14:paraId="31CD3E6B" w14:textId="64384244" w:rsidR="00283E40" w:rsidRPr="00A1397D" w:rsidRDefault="00283E40" w:rsidP="00DE2C43">
            <w:pPr>
              <w:jc w:val="right"/>
              <w:rPr>
                <w:rFonts w:ascii="Arial" w:hAnsi="Arial" w:cs="Arial"/>
                <w:b/>
                <w:bCs/>
                <w:color w:val="0579B9"/>
                <w:sz w:val="18"/>
                <w:szCs w:val="18"/>
                <w:lang w:val="en-AU" w:eastAsia="en-AU"/>
              </w:rPr>
            </w:pPr>
            <w:r w:rsidRPr="00A1397D">
              <w:rPr>
                <w:rFonts w:ascii="Arial" w:hAnsi="Arial" w:cs="Arial"/>
                <w:b/>
                <w:bCs/>
                <w:color w:val="0579B9"/>
                <w:sz w:val="18"/>
                <w:szCs w:val="18"/>
                <w:lang w:val="en-AU" w:eastAsia="en-AU"/>
              </w:rPr>
              <w:t>23,849</w:t>
            </w:r>
          </w:p>
        </w:tc>
        <w:tc>
          <w:tcPr>
            <w:tcW w:w="1134" w:type="dxa"/>
            <w:tcBorders>
              <w:top w:val="single" w:sz="4" w:space="0" w:color="auto"/>
              <w:left w:val="nil"/>
              <w:bottom w:val="single" w:sz="4" w:space="0" w:color="auto"/>
              <w:right w:val="nil"/>
            </w:tcBorders>
            <w:shd w:val="clear" w:color="000000" w:fill="F2F2F2"/>
            <w:noWrap/>
            <w:vAlign w:val="center"/>
            <w:hideMark/>
          </w:tcPr>
          <w:p w14:paraId="29E06078" w14:textId="5E89C50D" w:rsidR="00283E40" w:rsidRPr="00A1397D" w:rsidRDefault="00283E40" w:rsidP="00DE2C43">
            <w:pPr>
              <w:jc w:val="right"/>
              <w:rPr>
                <w:rFonts w:ascii="Arial" w:hAnsi="Arial" w:cs="Arial"/>
                <w:b/>
                <w:bCs/>
                <w:color w:val="0579B9"/>
                <w:sz w:val="18"/>
                <w:szCs w:val="18"/>
                <w:lang w:val="en-AU" w:eastAsia="en-AU"/>
              </w:rPr>
            </w:pPr>
            <w:r w:rsidRPr="00A1397D">
              <w:rPr>
                <w:rFonts w:ascii="Arial" w:hAnsi="Arial" w:cs="Arial"/>
                <w:b/>
                <w:bCs/>
                <w:color w:val="0579B9"/>
                <w:sz w:val="18"/>
                <w:szCs w:val="18"/>
                <w:lang w:val="en-AU" w:eastAsia="en-AU"/>
              </w:rPr>
              <w:t>22,671</w:t>
            </w:r>
          </w:p>
        </w:tc>
        <w:tc>
          <w:tcPr>
            <w:tcW w:w="992" w:type="dxa"/>
            <w:tcBorders>
              <w:top w:val="single" w:sz="4" w:space="0" w:color="auto"/>
              <w:left w:val="nil"/>
              <w:bottom w:val="single" w:sz="4" w:space="0" w:color="auto"/>
              <w:right w:val="nil"/>
            </w:tcBorders>
            <w:shd w:val="clear" w:color="000000" w:fill="F2F2F2"/>
            <w:noWrap/>
            <w:vAlign w:val="center"/>
            <w:hideMark/>
          </w:tcPr>
          <w:p w14:paraId="1FE1AE04" w14:textId="0AEDB209" w:rsidR="00283E40" w:rsidRPr="00A1397D" w:rsidRDefault="00283E40" w:rsidP="00DE2C43">
            <w:pPr>
              <w:jc w:val="right"/>
              <w:rPr>
                <w:rFonts w:ascii="Arial" w:hAnsi="Arial" w:cs="Arial"/>
                <w:b/>
                <w:bCs/>
                <w:color w:val="0579B9"/>
                <w:sz w:val="18"/>
                <w:szCs w:val="18"/>
                <w:lang w:val="en-AU" w:eastAsia="en-AU"/>
              </w:rPr>
            </w:pPr>
            <w:r w:rsidRPr="00A1397D">
              <w:rPr>
                <w:rFonts w:ascii="Arial" w:hAnsi="Arial" w:cs="Arial"/>
                <w:b/>
                <w:bCs/>
                <w:color w:val="0579B9"/>
                <w:sz w:val="18"/>
                <w:szCs w:val="18"/>
                <w:lang w:val="en-AU" w:eastAsia="en-AU"/>
              </w:rPr>
              <w:t>18,775</w:t>
            </w:r>
          </w:p>
        </w:tc>
        <w:tc>
          <w:tcPr>
            <w:tcW w:w="898" w:type="dxa"/>
            <w:tcBorders>
              <w:top w:val="single" w:sz="4" w:space="0" w:color="auto"/>
              <w:left w:val="nil"/>
              <w:bottom w:val="single" w:sz="4" w:space="0" w:color="auto"/>
              <w:right w:val="nil"/>
            </w:tcBorders>
            <w:shd w:val="clear" w:color="auto" w:fill="auto"/>
            <w:noWrap/>
            <w:vAlign w:val="center"/>
            <w:hideMark/>
          </w:tcPr>
          <w:p w14:paraId="2FDDA1CD" w14:textId="4F6A39B1" w:rsidR="00283E40" w:rsidRPr="00A1397D" w:rsidRDefault="00283E40" w:rsidP="00DE2C43">
            <w:pPr>
              <w:jc w:val="right"/>
              <w:rPr>
                <w:rFonts w:ascii="Arial" w:hAnsi="Arial" w:cs="Arial"/>
                <w:b/>
                <w:bCs/>
                <w:color w:val="0579B9"/>
                <w:sz w:val="18"/>
                <w:szCs w:val="18"/>
                <w:lang w:val="en-AU" w:eastAsia="en-AU"/>
              </w:rPr>
            </w:pPr>
            <w:r w:rsidRPr="00A1397D">
              <w:rPr>
                <w:rFonts w:ascii="Arial" w:hAnsi="Arial" w:cs="Arial"/>
                <w:b/>
                <w:bCs/>
                <w:color w:val="0579B9"/>
                <w:sz w:val="18"/>
                <w:szCs w:val="18"/>
                <w:lang w:val="en-AU" w:eastAsia="en-AU"/>
              </w:rPr>
              <w:t>93,034</w:t>
            </w:r>
          </w:p>
        </w:tc>
        <w:tc>
          <w:tcPr>
            <w:tcW w:w="878" w:type="dxa"/>
            <w:tcBorders>
              <w:top w:val="single" w:sz="4" w:space="0" w:color="auto"/>
              <w:left w:val="nil"/>
              <w:bottom w:val="single" w:sz="4" w:space="0" w:color="auto"/>
              <w:right w:val="nil"/>
            </w:tcBorders>
            <w:shd w:val="clear" w:color="auto" w:fill="auto"/>
            <w:noWrap/>
            <w:vAlign w:val="center"/>
            <w:hideMark/>
          </w:tcPr>
          <w:p w14:paraId="649500D9" w14:textId="77777777" w:rsidR="00283E40" w:rsidRPr="00A1397D" w:rsidRDefault="00283E40" w:rsidP="00DE2C43">
            <w:pPr>
              <w:ind w:left="-443" w:right="105"/>
              <w:jc w:val="right"/>
              <w:rPr>
                <w:rFonts w:ascii="Arial" w:hAnsi="Arial" w:cs="Arial"/>
                <w:b/>
                <w:bCs/>
                <w:color w:val="0579B9"/>
                <w:sz w:val="18"/>
                <w:szCs w:val="18"/>
                <w:lang w:val="en-AU" w:eastAsia="en-AU"/>
              </w:rPr>
            </w:pPr>
            <w:r w:rsidRPr="00A1397D">
              <w:rPr>
                <w:rFonts w:ascii="Arial" w:hAnsi="Arial" w:cs="Arial"/>
                <w:b/>
                <w:bCs/>
                <w:color w:val="0579B9"/>
                <w:sz w:val="18"/>
                <w:szCs w:val="18"/>
                <w:lang w:val="en-AU" w:eastAsia="en-AU"/>
              </w:rPr>
              <w:t>100</w:t>
            </w:r>
          </w:p>
        </w:tc>
      </w:tr>
    </w:tbl>
    <w:p w14:paraId="16AD9AE0" w14:textId="77777777" w:rsidR="00A33734" w:rsidRPr="00A1397D" w:rsidRDefault="00A33734" w:rsidP="00A33734">
      <w:pPr>
        <w:rPr>
          <w:rFonts w:ascii="Arial" w:hAnsi="Arial" w:cs="Arial"/>
          <w:sz w:val="4"/>
        </w:rPr>
      </w:pPr>
    </w:p>
    <w:p w14:paraId="705B2379" w14:textId="18EF9D35" w:rsidR="001E361D" w:rsidRPr="00A1397D" w:rsidRDefault="001E361D" w:rsidP="001E361D">
      <w:pPr>
        <w:widowControl w:val="0"/>
        <w:numPr>
          <w:ilvl w:val="0"/>
          <w:numId w:val="8"/>
        </w:numPr>
        <w:tabs>
          <w:tab w:val="left" w:pos="364"/>
          <w:tab w:val="right" w:pos="4196"/>
          <w:tab w:val="right" w:pos="5046"/>
          <w:tab w:val="right" w:pos="5897"/>
          <w:tab w:val="right" w:pos="6747"/>
          <w:tab w:val="right" w:pos="7598"/>
        </w:tabs>
        <w:autoSpaceDE w:val="0"/>
        <w:autoSpaceDN w:val="0"/>
        <w:ind w:left="357" w:hanging="357"/>
        <w:rPr>
          <w:rFonts w:ascii="Arial" w:hAnsi="Arial" w:cs="Arial"/>
          <w:kern w:val="28"/>
          <w:sz w:val="17"/>
          <w:szCs w:val="17"/>
        </w:rPr>
      </w:pPr>
      <w:r w:rsidRPr="00A1397D">
        <w:rPr>
          <w:rFonts w:ascii="Arial" w:hAnsi="Arial" w:cs="Arial"/>
          <w:kern w:val="28"/>
          <w:sz w:val="17"/>
          <w:szCs w:val="17"/>
        </w:rPr>
        <w:t xml:space="preserve">Clusters are reported where appropriate to align with new Machinery of Government changes announced in April 2019 which take effect from 1 July 2019. For information on </w:t>
      </w:r>
      <w:r w:rsidR="004C0EE0" w:rsidRPr="00A1397D">
        <w:rPr>
          <w:rFonts w:ascii="Arial" w:hAnsi="Arial" w:cs="Arial"/>
          <w:kern w:val="28"/>
          <w:sz w:val="17"/>
          <w:szCs w:val="17"/>
        </w:rPr>
        <w:t>c</w:t>
      </w:r>
      <w:r w:rsidRPr="00A1397D">
        <w:rPr>
          <w:rFonts w:ascii="Arial" w:hAnsi="Arial" w:cs="Arial"/>
          <w:kern w:val="28"/>
          <w:sz w:val="17"/>
          <w:szCs w:val="17"/>
        </w:rPr>
        <w:t>lusters, refer Chapter 2.</w:t>
      </w:r>
    </w:p>
    <w:p w14:paraId="51CDFD33" w14:textId="5103C60F" w:rsidR="00BC6297" w:rsidRPr="00A1397D" w:rsidRDefault="00BC6297" w:rsidP="00BC6297">
      <w:pPr>
        <w:widowControl w:val="0"/>
        <w:numPr>
          <w:ilvl w:val="0"/>
          <w:numId w:val="8"/>
        </w:numPr>
        <w:tabs>
          <w:tab w:val="left" w:pos="364"/>
          <w:tab w:val="right" w:pos="4196"/>
          <w:tab w:val="right" w:pos="5046"/>
          <w:tab w:val="right" w:pos="5897"/>
          <w:tab w:val="right" w:pos="6747"/>
          <w:tab w:val="right" w:pos="7598"/>
        </w:tabs>
        <w:autoSpaceDE w:val="0"/>
        <w:autoSpaceDN w:val="0"/>
        <w:ind w:left="357" w:hanging="357"/>
        <w:rPr>
          <w:rFonts w:ascii="Arial" w:hAnsi="Arial" w:cs="Arial"/>
          <w:kern w:val="28"/>
          <w:sz w:val="17"/>
          <w:szCs w:val="17"/>
        </w:rPr>
      </w:pPr>
      <w:r w:rsidRPr="00A1397D">
        <w:rPr>
          <w:rFonts w:ascii="Arial" w:hAnsi="Arial" w:cs="Arial"/>
          <w:kern w:val="28"/>
          <w:sz w:val="17"/>
          <w:szCs w:val="17"/>
        </w:rPr>
        <w:t>Numbers represented in the table are on an eliminated Government Sector basis. This table does not agree with individual agencies reporting which is done on a</w:t>
      </w:r>
      <w:r w:rsidR="005D7461" w:rsidRPr="00A1397D">
        <w:rPr>
          <w:rFonts w:ascii="Arial" w:hAnsi="Arial" w:cs="Arial"/>
          <w:kern w:val="28"/>
          <w:sz w:val="17"/>
          <w:szCs w:val="17"/>
        </w:rPr>
        <w:t>n</w:t>
      </w:r>
      <w:r w:rsidRPr="00A1397D">
        <w:rPr>
          <w:rFonts w:ascii="Arial" w:hAnsi="Arial" w:cs="Arial"/>
          <w:kern w:val="28"/>
          <w:sz w:val="17"/>
          <w:szCs w:val="17"/>
        </w:rPr>
        <w:t xml:space="preserve"> uneliminated basis.</w:t>
      </w:r>
    </w:p>
    <w:p w14:paraId="71BEA1FF" w14:textId="18D20C9C" w:rsidR="009B7D9C" w:rsidRPr="00A1397D" w:rsidRDefault="00A33734" w:rsidP="00A33734">
      <w:pPr>
        <w:widowControl w:val="0"/>
        <w:numPr>
          <w:ilvl w:val="0"/>
          <w:numId w:val="8"/>
        </w:numPr>
        <w:tabs>
          <w:tab w:val="left" w:pos="364"/>
          <w:tab w:val="right" w:pos="4196"/>
          <w:tab w:val="right" w:pos="5046"/>
          <w:tab w:val="right" w:pos="5897"/>
          <w:tab w:val="right" w:pos="6747"/>
          <w:tab w:val="right" w:pos="7598"/>
        </w:tabs>
        <w:autoSpaceDE w:val="0"/>
        <w:autoSpaceDN w:val="0"/>
        <w:ind w:left="357" w:hanging="357"/>
        <w:rPr>
          <w:rFonts w:ascii="Arial" w:hAnsi="Arial" w:cs="Arial"/>
          <w:kern w:val="28"/>
          <w:sz w:val="17"/>
          <w:szCs w:val="17"/>
        </w:rPr>
      </w:pPr>
      <w:r w:rsidRPr="00A1397D">
        <w:rPr>
          <w:rFonts w:ascii="Arial" w:hAnsi="Arial" w:cs="Arial"/>
          <w:kern w:val="28"/>
          <w:sz w:val="17"/>
          <w:szCs w:val="17"/>
        </w:rPr>
        <w:t xml:space="preserve">Other Public Non-Financial Corporations (PNFCs) exclude Transport agencies which are reported </w:t>
      </w:r>
      <w:r w:rsidR="00A63129" w:rsidRPr="00A1397D">
        <w:rPr>
          <w:rFonts w:ascii="Arial" w:hAnsi="Arial" w:cs="Arial"/>
          <w:kern w:val="28"/>
          <w:sz w:val="17"/>
          <w:szCs w:val="17"/>
        </w:rPr>
        <w:t xml:space="preserve">as part of </w:t>
      </w:r>
      <w:r w:rsidRPr="00A1397D">
        <w:rPr>
          <w:rFonts w:ascii="Arial" w:hAnsi="Arial" w:cs="Arial"/>
          <w:kern w:val="28"/>
          <w:sz w:val="17"/>
          <w:szCs w:val="17"/>
        </w:rPr>
        <w:t xml:space="preserve">the Transport </w:t>
      </w:r>
      <w:r w:rsidR="004C0EE0" w:rsidRPr="00A1397D">
        <w:rPr>
          <w:rFonts w:ascii="Arial" w:hAnsi="Arial" w:cs="Arial"/>
          <w:kern w:val="28"/>
          <w:sz w:val="17"/>
          <w:szCs w:val="17"/>
        </w:rPr>
        <w:t>c</w:t>
      </w:r>
      <w:r w:rsidRPr="00A1397D">
        <w:rPr>
          <w:rFonts w:ascii="Arial" w:hAnsi="Arial" w:cs="Arial"/>
          <w:kern w:val="28"/>
          <w:sz w:val="17"/>
          <w:szCs w:val="17"/>
        </w:rPr>
        <w:t>luster</w:t>
      </w:r>
      <w:r w:rsidR="00A63129" w:rsidRPr="00A1397D">
        <w:rPr>
          <w:rFonts w:ascii="Arial" w:hAnsi="Arial" w:cs="Arial"/>
          <w:kern w:val="28"/>
          <w:sz w:val="17"/>
          <w:szCs w:val="17"/>
        </w:rPr>
        <w:t xml:space="preserve">, </w:t>
      </w:r>
      <w:r w:rsidR="002A79BF" w:rsidRPr="00A1397D">
        <w:rPr>
          <w:rFonts w:ascii="Arial" w:hAnsi="Arial" w:cs="Arial"/>
          <w:kern w:val="28"/>
          <w:sz w:val="17"/>
          <w:szCs w:val="17"/>
        </w:rPr>
        <w:t xml:space="preserve">and mainly comprise energy, water and property agencies. </w:t>
      </w:r>
      <w:r w:rsidR="00323EEA" w:rsidRPr="00A1397D">
        <w:rPr>
          <w:rFonts w:ascii="Arial" w:hAnsi="Arial" w:cs="Arial"/>
          <w:kern w:val="28"/>
          <w:sz w:val="17"/>
          <w:szCs w:val="17"/>
        </w:rPr>
        <w:t>2019-20 budgets are set out in Chapter 6. Key expenditure in the year include social housing $364.5 million, water bulk system upgrades $231.8 million and growth and renewal of the metropolitan water supply system $859.7 million.</w:t>
      </w:r>
    </w:p>
    <w:p w14:paraId="062A4216" w14:textId="59DB4636" w:rsidR="00A33734" w:rsidRPr="00A1397D" w:rsidRDefault="00A33734" w:rsidP="00A33734">
      <w:pPr>
        <w:widowControl w:val="0"/>
        <w:numPr>
          <w:ilvl w:val="0"/>
          <w:numId w:val="8"/>
        </w:numPr>
        <w:tabs>
          <w:tab w:val="left" w:pos="364"/>
          <w:tab w:val="right" w:pos="4196"/>
          <w:tab w:val="right" w:pos="5046"/>
          <w:tab w:val="right" w:pos="5897"/>
          <w:tab w:val="right" w:pos="6747"/>
          <w:tab w:val="right" w:pos="7598"/>
        </w:tabs>
        <w:autoSpaceDE w:val="0"/>
        <w:autoSpaceDN w:val="0"/>
        <w:ind w:left="357" w:hanging="357"/>
        <w:rPr>
          <w:rFonts w:ascii="Arial" w:hAnsi="Arial" w:cs="Arial"/>
          <w:kern w:val="28"/>
          <w:sz w:val="17"/>
          <w:szCs w:val="17"/>
        </w:rPr>
      </w:pPr>
      <w:bookmarkStart w:id="20" w:name="_Hlk515907559"/>
      <w:r w:rsidRPr="00A1397D">
        <w:rPr>
          <w:rFonts w:ascii="Arial" w:hAnsi="Arial" w:cs="Arial"/>
          <w:kern w:val="28"/>
          <w:sz w:val="17"/>
          <w:szCs w:val="17"/>
        </w:rPr>
        <w:t xml:space="preserve">Health spending on capital is </w:t>
      </w:r>
      <w:r w:rsidR="00F7369B" w:rsidRPr="00A1397D">
        <w:rPr>
          <w:rFonts w:ascii="Arial" w:hAnsi="Arial" w:cs="Arial"/>
          <w:kern w:val="28"/>
          <w:sz w:val="17"/>
          <w:szCs w:val="17"/>
        </w:rPr>
        <w:t xml:space="preserve">forecast </w:t>
      </w:r>
      <w:r w:rsidRPr="00A1397D">
        <w:rPr>
          <w:rFonts w:ascii="Arial" w:hAnsi="Arial" w:cs="Arial"/>
          <w:kern w:val="28"/>
          <w:sz w:val="17"/>
          <w:szCs w:val="17"/>
        </w:rPr>
        <w:t>to total $</w:t>
      </w:r>
      <w:r w:rsidR="00EA24F7" w:rsidRPr="00A1397D">
        <w:rPr>
          <w:rFonts w:ascii="Arial" w:hAnsi="Arial" w:cs="Arial"/>
          <w:kern w:val="28"/>
          <w:sz w:val="17"/>
          <w:szCs w:val="17"/>
        </w:rPr>
        <w:t>10</w:t>
      </w:r>
      <w:r w:rsidRPr="00A1397D">
        <w:rPr>
          <w:rFonts w:ascii="Arial" w:hAnsi="Arial" w:cs="Arial"/>
          <w:kern w:val="28"/>
          <w:sz w:val="17"/>
          <w:szCs w:val="17"/>
        </w:rPr>
        <w:t>.</w:t>
      </w:r>
      <w:r w:rsidR="00EA24F7" w:rsidRPr="00A1397D">
        <w:rPr>
          <w:rFonts w:ascii="Arial" w:hAnsi="Arial" w:cs="Arial"/>
          <w:kern w:val="28"/>
          <w:sz w:val="17"/>
          <w:szCs w:val="17"/>
        </w:rPr>
        <w:t>1</w:t>
      </w:r>
      <w:r w:rsidRPr="00A1397D">
        <w:rPr>
          <w:rFonts w:ascii="Arial" w:hAnsi="Arial" w:cs="Arial"/>
          <w:kern w:val="28"/>
          <w:sz w:val="17"/>
          <w:szCs w:val="17"/>
        </w:rPr>
        <w:t xml:space="preserve"> billion over the four years to 202</w:t>
      </w:r>
      <w:r w:rsidR="007F34A8" w:rsidRPr="00A1397D">
        <w:rPr>
          <w:rFonts w:ascii="Arial" w:hAnsi="Arial" w:cs="Arial"/>
          <w:kern w:val="28"/>
          <w:sz w:val="17"/>
          <w:szCs w:val="17"/>
        </w:rPr>
        <w:t>2</w:t>
      </w:r>
      <w:r w:rsidRPr="00A1397D">
        <w:rPr>
          <w:rFonts w:ascii="Arial" w:hAnsi="Arial" w:cs="Arial"/>
          <w:kern w:val="28"/>
          <w:sz w:val="17"/>
          <w:szCs w:val="17"/>
        </w:rPr>
        <w:t>-2</w:t>
      </w:r>
      <w:r w:rsidR="007F34A8" w:rsidRPr="00A1397D">
        <w:rPr>
          <w:rFonts w:ascii="Arial" w:hAnsi="Arial" w:cs="Arial"/>
          <w:kern w:val="28"/>
          <w:sz w:val="17"/>
          <w:szCs w:val="17"/>
        </w:rPr>
        <w:t>3</w:t>
      </w:r>
      <w:r w:rsidRPr="00A1397D">
        <w:rPr>
          <w:rFonts w:ascii="Arial" w:hAnsi="Arial" w:cs="Arial"/>
          <w:kern w:val="28"/>
          <w:sz w:val="17"/>
          <w:szCs w:val="17"/>
        </w:rPr>
        <w:t>. Table 1.</w:t>
      </w:r>
      <w:r w:rsidR="00B83B8D" w:rsidRPr="00A1397D">
        <w:rPr>
          <w:rFonts w:ascii="Arial" w:hAnsi="Arial" w:cs="Arial"/>
          <w:kern w:val="28"/>
          <w:sz w:val="17"/>
          <w:szCs w:val="17"/>
        </w:rPr>
        <w:t>3</w:t>
      </w:r>
      <w:r w:rsidRPr="00A1397D">
        <w:rPr>
          <w:rFonts w:ascii="Arial" w:hAnsi="Arial" w:cs="Arial"/>
          <w:kern w:val="28"/>
          <w:sz w:val="17"/>
          <w:szCs w:val="17"/>
        </w:rPr>
        <w:t xml:space="preserve"> does not include $14</w:t>
      </w:r>
      <w:r w:rsidR="007F34A8" w:rsidRPr="00A1397D">
        <w:rPr>
          <w:rFonts w:ascii="Arial" w:hAnsi="Arial" w:cs="Arial"/>
          <w:kern w:val="28"/>
          <w:sz w:val="17"/>
          <w:szCs w:val="17"/>
        </w:rPr>
        <w:t>8</w:t>
      </w:r>
      <w:r w:rsidRPr="00A1397D">
        <w:rPr>
          <w:rFonts w:ascii="Arial" w:hAnsi="Arial" w:cs="Arial"/>
          <w:kern w:val="28"/>
          <w:sz w:val="17"/>
          <w:szCs w:val="17"/>
        </w:rPr>
        <w:t>.</w:t>
      </w:r>
      <w:r w:rsidR="007F34A8" w:rsidRPr="00A1397D">
        <w:rPr>
          <w:rFonts w:ascii="Arial" w:hAnsi="Arial" w:cs="Arial"/>
          <w:kern w:val="28"/>
          <w:sz w:val="17"/>
          <w:szCs w:val="17"/>
        </w:rPr>
        <w:t>3</w:t>
      </w:r>
      <w:r w:rsidRPr="00A1397D">
        <w:rPr>
          <w:rFonts w:ascii="Arial" w:hAnsi="Arial" w:cs="Arial"/>
          <w:kern w:val="28"/>
          <w:sz w:val="17"/>
          <w:szCs w:val="17"/>
        </w:rPr>
        <w:t> million in 201</w:t>
      </w:r>
      <w:r w:rsidR="007F34A8" w:rsidRPr="00A1397D">
        <w:rPr>
          <w:rFonts w:ascii="Arial" w:hAnsi="Arial" w:cs="Arial"/>
          <w:kern w:val="28"/>
          <w:sz w:val="17"/>
          <w:szCs w:val="17"/>
        </w:rPr>
        <w:t>9</w:t>
      </w:r>
      <w:r w:rsidRPr="00A1397D">
        <w:rPr>
          <w:rFonts w:ascii="Arial" w:hAnsi="Arial" w:cs="Arial"/>
          <w:kern w:val="28"/>
          <w:sz w:val="17"/>
          <w:szCs w:val="17"/>
        </w:rPr>
        <w:t>-</w:t>
      </w:r>
      <w:r w:rsidR="007F34A8" w:rsidRPr="00A1397D">
        <w:rPr>
          <w:rFonts w:ascii="Arial" w:hAnsi="Arial" w:cs="Arial"/>
          <w:kern w:val="28"/>
          <w:sz w:val="17"/>
          <w:szCs w:val="17"/>
        </w:rPr>
        <w:t>20</w:t>
      </w:r>
      <w:r w:rsidRPr="00A1397D">
        <w:rPr>
          <w:rFonts w:ascii="Arial" w:hAnsi="Arial" w:cs="Arial"/>
          <w:kern w:val="28"/>
          <w:sz w:val="17"/>
          <w:szCs w:val="17"/>
        </w:rPr>
        <w:t>, $14</w:t>
      </w:r>
      <w:r w:rsidR="00CE51BD" w:rsidRPr="00A1397D">
        <w:rPr>
          <w:rFonts w:ascii="Arial" w:hAnsi="Arial" w:cs="Arial"/>
          <w:kern w:val="28"/>
          <w:sz w:val="17"/>
          <w:szCs w:val="17"/>
        </w:rPr>
        <w:t>5</w:t>
      </w:r>
      <w:r w:rsidRPr="00A1397D">
        <w:rPr>
          <w:rFonts w:ascii="Arial" w:hAnsi="Arial" w:cs="Arial"/>
          <w:kern w:val="28"/>
          <w:sz w:val="17"/>
          <w:szCs w:val="17"/>
        </w:rPr>
        <w:t>.</w:t>
      </w:r>
      <w:r w:rsidR="00CE51BD" w:rsidRPr="00A1397D">
        <w:rPr>
          <w:rFonts w:ascii="Arial" w:hAnsi="Arial" w:cs="Arial"/>
          <w:kern w:val="28"/>
          <w:sz w:val="17"/>
          <w:szCs w:val="17"/>
        </w:rPr>
        <w:t>7</w:t>
      </w:r>
      <w:r w:rsidRPr="00A1397D">
        <w:rPr>
          <w:rFonts w:ascii="Arial" w:hAnsi="Arial" w:cs="Arial"/>
          <w:kern w:val="28"/>
          <w:sz w:val="17"/>
          <w:szCs w:val="17"/>
        </w:rPr>
        <w:t> million in 20</w:t>
      </w:r>
      <w:r w:rsidR="00CE51BD" w:rsidRPr="00A1397D">
        <w:rPr>
          <w:rFonts w:ascii="Arial" w:hAnsi="Arial" w:cs="Arial"/>
          <w:kern w:val="28"/>
          <w:sz w:val="17"/>
          <w:szCs w:val="17"/>
        </w:rPr>
        <w:t>20</w:t>
      </w:r>
      <w:r w:rsidRPr="00A1397D">
        <w:rPr>
          <w:rFonts w:ascii="Arial" w:hAnsi="Arial" w:cs="Arial"/>
          <w:kern w:val="28"/>
          <w:sz w:val="17"/>
          <w:szCs w:val="17"/>
        </w:rPr>
        <w:noBreakHyphen/>
        <w:t>2</w:t>
      </w:r>
      <w:r w:rsidR="00CE51BD" w:rsidRPr="00A1397D">
        <w:rPr>
          <w:rFonts w:ascii="Arial" w:hAnsi="Arial" w:cs="Arial"/>
          <w:kern w:val="28"/>
          <w:sz w:val="17"/>
          <w:szCs w:val="17"/>
        </w:rPr>
        <w:t>1</w:t>
      </w:r>
      <w:r w:rsidRPr="00A1397D">
        <w:rPr>
          <w:rFonts w:ascii="Arial" w:hAnsi="Arial" w:cs="Arial"/>
          <w:kern w:val="28"/>
          <w:sz w:val="17"/>
          <w:szCs w:val="17"/>
        </w:rPr>
        <w:t>, $1</w:t>
      </w:r>
      <w:r w:rsidR="00CE51BD" w:rsidRPr="00A1397D">
        <w:rPr>
          <w:rFonts w:ascii="Arial" w:hAnsi="Arial" w:cs="Arial"/>
          <w:kern w:val="28"/>
          <w:sz w:val="17"/>
          <w:szCs w:val="17"/>
        </w:rPr>
        <w:t>38</w:t>
      </w:r>
      <w:r w:rsidRPr="00A1397D">
        <w:rPr>
          <w:rFonts w:ascii="Arial" w:hAnsi="Arial" w:cs="Arial"/>
          <w:kern w:val="28"/>
          <w:sz w:val="17"/>
          <w:szCs w:val="17"/>
        </w:rPr>
        <w:t>.</w:t>
      </w:r>
      <w:r w:rsidR="00CE51BD" w:rsidRPr="00A1397D">
        <w:rPr>
          <w:rFonts w:ascii="Arial" w:hAnsi="Arial" w:cs="Arial"/>
          <w:kern w:val="28"/>
          <w:sz w:val="17"/>
          <w:szCs w:val="17"/>
        </w:rPr>
        <w:t>2</w:t>
      </w:r>
      <w:r w:rsidRPr="00A1397D">
        <w:rPr>
          <w:rFonts w:ascii="Arial" w:hAnsi="Arial" w:cs="Arial"/>
          <w:kern w:val="28"/>
          <w:sz w:val="17"/>
          <w:szCs w:val="17"/>
        </w:rPr>
        <w:t> million in 202</w:t>
      </w:r>
      <w:r w:rsidR="0017275F" w:rsidRPr="00A1397D">
        <w:rPr>
          <w:rFonts w:ascii="Arial" w:hAnsi="Arial" w:cs="Arial"/>
          <w:kern w:val="28"/>
          <w:sz w:val="17"/>
          <w:szCs w:val="17"/>
        </w:rPr>
        <w:t>1</w:t>
      </w:r>
      <w:r w:rsidRPr="00A1397D">
        <w:rPr>
          <w:rFonts w:ascii="Arial" w:hAnsi="Arial" w:cs="Arial"/>
          <w:kern w:val="28"/>
          <w:sz w:val="17"/>
          <w:szCs w:val="17"/>
        </w:rPr>
        <w:noBreakHyphen/>
        <w:t>2</w:t>
      </w:r>
      <w:r w:rsidR="0017275F" w:rsidRPr="00A1397D">
        <w:rPr>
          <w:rFonts w:ascii="Arial" w:hAnsi="Arial" w:cs="Arial"/>
          <w:kern w:val="28"/>
          <w:sz w:val="17"/>
          <w:szCs w:val="17"/>
        </w:rPr>
        <w:t>2</w:t>
      </w:r>
      <w:r w:rsidRPr="00A1397D">
        <w:rPr>
          <w:rFonts w:ascii="Arial" w:hAnsi="Arial" w:cs="Arial"/>
          <w:kern w:val="28"/>
          <w:sz w:val="17"/>
          <w:szCs w:val="17"/>
        </w:rPr>
        <w:t>, and $1</w:t>
      </w:r>
      <w:r w:rsidR="0017275F" w:rsidRPr="00A1397D">
        <w:rPr>
          <w:rFonts w:ascii="Arial" w:hAnsi="Arial" w:cs="Arial"/>
          <w:kern w:val="28"/>
          <w:sz w:val="17"/>
          <w:szCs w:val="17"/>
        </w:rPr>
        <w:t>04</w:t>
      </w:r>
      <w:r w:rsidRPr="00A1397D">
        <w:rPr>
          <w:rFonts w:ascii="Arial" w:hAnsi="Arial" w:cs="Arial"/>
          <w:kern w:val="28"/>
          <w:sz w:val="17"/>
          <w:szCs w:val="17"/>
        </w:rPr>
        <w:t>.2 million in 202</w:t>
      </w:r>
      <w:r w:rsidR="0017275F" w:rsidRPr="00A1397D">
        <w:rPr>
          <w:rFonts w:ascii="Arial" w:hAnsi="Arial" w:cs="Arial"/>
          <w:kern w:val="28"/>
          <w:sz w:val="17"/>
          <w:szCs w:val="17"/>
        </w:rPr>
        <w:t>2</w:t>
      </w:r>
      <w:r w:rsidRPr="00A1397D">
        <w:rPr>
          <w:rFonts w:ascii="Arial" w:hAnsi="Arial" w:cs="Arial"/>
          <w:kern w:val="28"/>
          <w:sz w:val="17"/>
          <w:szCs w:val="17"/>
        </w:rPr>
        <w:t>-2</w:t>
      </w:r>
      <w:r w:rsidR="0017275F" w:rsidRPr="00A1397D">
        <w:rPr>
          <w:rFonts w:ascii="Arial" w:hAnsi="Arial" w:cs="Arial"/>
          <w:kern w:val="28"/>
          <w:sz w:val="17"/>
          <w:szCs w:val="17"/>
        </w:rPr>
        <w:t>3</w:t>
      </w:r>
      <w:r w:rsidRPr="00A1397D">
        <w:rPr>
          <w:rFonts w:ascii="Arial" w:hAnsi="Arial" w:cs="Arial"/>
          <w:kern w:val="28"/>
          <w:sz w:val="17"/>
          <w:szCs w:val="17"/>
        </w:rPr>
        <w:t xml:space="preserve"> for</w:t>
      </w:r>
      <w:r w:rsidR="00577F8B" w:rsidRPr="00A1397D">
        <w:rPr>
          <w:rFonts w:ascii="Arial" w:hAnsi="Arial" w:cs="Arial"/>
          <w:kern w:val="28"/>
          <w:sz w:val="17"/>
          <w:szCs w:val="17"/>
        </w:rPr>
        <w:t xml:space="preserve"> minor capital spending</w:t>
      </w:r>
      <w:r w:rsidRPr="00A1397D">
        <w:rPr>
          <w:rFonts w:ascii="Arial" w:hAnsi="Arial" w:cs="Arial"/>
          <w:kern w:val="28"/>
          <w:sz w:val="17"/>
          <w:szCs w:val="17"/>
        </w:rPr>
        <w:t xml:space="preserve"> </w:t>
      </w:r>
      <w:r w:rsidR="00577F8B" w:rsidRPr="00A1397D">
        <w:rPr>
          <w:rFonts w:ascii="Arial" w:hAnsi="Arial" w:cs="Arial"/>
          <w:kern w:val="28"/>
          <w:sz w:val="17"/>
          <w:szCs w:val="17"/>
        </w:rPr>
        <w:t>for</w:t>
      </w:r>
      <w:r w:rsidRPr="00A1397D">
        <w:rPr>
          <w:rFonts w:ascii="Arial" w:hAnsi="Arial" w:cs="Arial"/>
          <w:kern w:val="28"/>
          <w:sz w:val="17"/>
          <w:szCs w:val="17"/>
        </w:rPr>
        <w:t xml:space="preserve"> the construction of health capital projects which fall below </w:t>
      </w:r>
      <w:r w:rsidR="003E1476" w:rsidRPr="00A1397D">
        <w:rPr>
          <w:rFonts w:ascii="Arial" w:hAnsi="Arial" w:cs="Arial"/>
          <w:kern w:val="28"/>
          <w:sz w:val="17"/>
          <w:szCs w:val="17"/>
        </w:rPr>
        <w:t xml:space="preserve">a </w:t>
      </w:r>
      <w:proofErr w:type="spellStart"/>
      <w:r w:rsidRPr="00A1397D">
        <w:rPr>
          <w:rFonts w:ascii="Arial" w:hAnsi="Arial" w:cs="Arial"/>
          <w:kern w:val="28"/>
          <w:sz w:val="17"/>
          <w:szCs w:val="17"/>
        </w:rPr>
        <w:t>capitalisation</w:t>
      </w:r>
      <w:proofErr w:type="spellEnd"/>
      <w:r w:rsidRPr="00A1397D">
        <w:rPr>
          <w:rFonts w:ascii="Arial" w:hAnsi="Arial" w:cs="Arial"/>
          <w:kern w:val="28"/>
          <w:sz w:val="17"/>
          <w:szCs w:val="17"/>
        </w:rPr>
        <w:t xml:space="preserve"> threshold and is not </w:t>
      </w:r>
      <w:r w:rsidR="003E1476" w:rsidRPr="00A1397D">
        <w:rPr>
          <w:rFonts w:ascii="Arial" w:hAnsi="Arial" w:cs="Arial"/>
          <w:kern w:val="28"/>
          <w:sz w:val="17"/>
          <w:szCs w:val="17"/>
        </w:rPr>
        <w:t xml:space="preserve">reported </w:t>
      </w:r>
      <w:r w:rsidRPr="00A1397D">
        <w:rPr>
          <w:rFonts w:ascii="Arial" w:hAnsi="Arial" w:cs="Arial"/>
          <w:kern w:val="28"/>
          <w:sz w:val="17"/>
          <w:szCs w:val="17"/>
        </w:rPr>
        <w:t>as capital expenditur</w:t>
      </w:r>
      <w:r w:rsidR="00F7369B" w:rsidRPr="00A1397D">
        <w:rPr>
          <w:rFonts w:ascii="Arial" w:hAnsi="Arial" w:cs="Arial"/>
          <w:kern w:val="28"/>
          <w:sz w:val="17"/>
          <w:szCs w:val="17"/>
        </w:rPr>
        <w:t>e</w:t>
      </w:r>
      <w:r w:rsidRPr="00A1397D">
        <w:rPr>
          <w:rFonts w:ascii="Arial" w:hAnsi="Arial" w:cs="Arial"/>
          <w:kern w:val="28"/>
          <w:sz w:val="17"/>
          <w:szCs w:val="17"/>
        </w:rPr>
        <w:t>.</w:t>
      </w:r>
      <w:r w:rsidR="00BD44B8" w:rsidRPr="00A1397D">
        <w:rPr>
          <w:rFonts w:ascii="Arial" w:hAnsi="Arial" w:cs="Arial"/>
          <w:kern w:val="28"/>
          <w:sz w:val="17"/>
          <w:szCs w:val="17"/>
        </w:rPr>
        <w:t xml:space="preserve"> </w:t>
      </w:r>
      <w:r w:rsidR="00BE7D2D" w:rsidRPr="00A1397D">
        <w:rPr>
          <w:rFonts w:ascii="Arial" w:hAnsi="Arial" w:cs="Arial"/>
          <w:kern w:val="28"/>
          <w:sz w:val="17"/>
          <w:szCs w:val="17"/>
        </w:rPr>
        <w:t>Additionally,</w:t>
      </w:r>
      <w:r w:rsidR="008951B3" w:rsidRPr="00A1397D">
        <w:rPr>
          <w:rFonts w:ascii="Arial" w:hAnsi="Arial" w:cs="Arial"/>
          <w:kern w:val="28"/>
          <w:sz w:val="17"/>
          <w:szCs w:val="17"/>
        </w:rPr>
        <w:t xml:space="preserve"> </w:t>
      </w:r>
      <w:r w:rsidR="00B14391" w:rsidRPr="00A1397D">
        <w:rPr>
          <w:rFonts w:ascii="Arial" w:hAnsi="Arial" w:cs="Arial"/>
          <w:kern w:val="28"/>
          <w:sz w:val="17"/>
          <w:szCs w:val="17"/>
        </w:rPr>
        <w:t xml:space="preserve">assets </w:t>
      </w:r>
      <w:r w:rsidR="00BD44B8" w:rsidRPr="00A1397D">
        <w:rPr>
          <w:rFonts w:ascii="Arial" w:hAnsi="Arial" w:cs="Arial"/>
          <w:kern w:val="28"/>
          <w:sz w:val="17"/>
          <w:szCs w:val="17"/>
        </w:rPr>
        <w:t>lease</w:t>
      </w:r>
      <w:r w:rsidR="00B14391" w:rsidRPr="00A1397D">
        <w:rPr>
          <w:rFonts w:ascii="Arial" w:hAnsi="Arial" w:cs="Arial"/>
          <w:kern w:val="28"/>
          <w:sz w:val="17"/>
          <w:szCs w:val="17"/>
        </w:rPr>
        <w:t>d by</w:t>
      </w:r>
      <w:r w:rsidR="008951B3" w:rsidRPr="00A1397D">
        <w:rPr>
          <w:rFonts w:ascii="Arial" w:hAnsi="Arial" w:cs="Arial"/>
          <w:kern w:val="28"/>
          <w:sz w:val="17"/>
          <w:szCs w:val="17"/>
        </w:rPr>
        <w:t xml:space="preserve"> </w:t>
      </w:r>
      <w:r w:rsidR="00BD44B8" w:rsidRPr="00A1397D">
        <w:rPr>
          <w:rFonts w:ascii="Arial" w:hAnsi="Arial" w:cs="Arial"/>
          <w:kern w:val="28"/>
          <w:sz w:val="17"/>
          <w:szCs w:val="17"/>
        </w:rPr>
        <w:t xml:space="preserve">Health </w:t>
      </w:r>
      <w:r w:rsidR="00B14391" w:rsidRPr="00A1397D">
        <w:rPr>
          <w:rFonts w:ascii="Arial" w:hAnsi="Arial" w:cs="Arial"/>
          <w:kern w:val="28"/>
          <w:sz w:val="17"/>
          <w:szCs w:val="17"/>
        </w:rPr>
        <w:t xml:space="preserve">from </w:t>
      </w:r>
      <w:r w:rsidR="00BD44B8" w:rsidRPr="00A1397D">
        <w:rPr>
          <w:rFonts w:ascii="Arial" w:hAnsi="Arial" w:cs="Arial"/>
          <w:kern w:val="28"/>
          <w:sz w:val="17"/>
          <w:szCs w:val="17"/>
        </w:rPr>
        <w:t xml:space="preserve">other </w:t>
      </w:r>
      <w:r w:rsidR="00E70411" w:rsidRPr="00A1397D">
        <w:rPr>
          <w:rFonts w:ascii="Arial" w:hAnsi="Arial" w:cs="Arial"/>
          <w:kern w:val="28"/>
          <w:sz w:val="17"/>
          <w:szCs w:val="17"/>
        </w:rPr>
        <w:t>c</w:t>
      </w:r>
      <w:r w:rsidR="00BD44B8" w:rsidRPr="00A1397D">
        <w:rPr>
          <w:rFonts w:ascii="Arial" w:hAnsi="Arial" w:cs="Arial"/>
          <w:kern w:val="28"/>
          <w:sz w:val="17"/>
          <w:szCs w:val="17"/>
        </w:rPr>
        <w:t>luster</w:t>
      </w:r>
      <w:r w:rsidR="00176ACC" w:rsidRPr="00A1397D">
        <w:rPr>
          <w:rFonts w:ascii="Arial" w:hAnsi="Arial" w:cs="Arial"/>
          <w:kern w:val="28"/>
          <w:sz w:val="17"/>
          <w:szCs w:val="17"/>
        </w:rPr>
        <w:t>s</w:t>
      </w:r>
      <w:r w:rsidR="00BD44B8" w:rsidRPr="00A1397D">
        <w:rPr>
          <w:rFonts w:ascii="Arial" w:hAnsi="Arial" w:cs="Arial"/>
          <w:kern w:val="28"/>
          <w:sz w:val="17"/>
          <w:szCs w:val="17"/>
        </w:rPr>
        <w:t xml:space="preserve"> are </w:t>
      </w:r>
      <w:r w:rsidR="005527DF" w:rsidRPr="00A1397D">
        <w:rPr>
          <w:rFonts w:ascii="Arial" w:hAnsi="Arial" w:cs="Arial"/>
          <w:kern w:val="28"/>
          <w:sz w:val="17"/>
          <w:szCs w:val="17"/>
        </w:rPr>
        <w:t>eliminated</w:t>
      </w:r>
      <w:r w:rsidR="00F47D70" w:rsidRPr="00A1397D">
        <w:rPr>
          <w:rFonts w:ascii="Arial" w:hAnsi="Arial" w:cs="Arial"/>
          <w:kern w:val="28"/>
          <w:sz w:val="17"/>
          <w:szCs w:val="17"/>
        </w:rPr>
        <w:t xml:space="preserve"> in the above </w:t>
      </w:r>
      <w:r w:rsidR="00B14391" w:rsidRPr="00A1397D">
        <w:rPr>
          <w:rFonts w:ascii="Arial" w:hAnsi="Arial" w:cs="Arial"/>
          <w:kern w:val="28"/>
          <w:sz w:val="17"/>
          <w:szCs w:val="17"/>
        </w:rPr>
        <w:t>table</w:t>
      </w:r>
      <w:r w:rsidR="00F60D11" w:rsidRPr="00A1397D">
        <w:rPr>
          <w:rFonts w:ascii="Arial" w:hAnsi="Arial" w:cs="Arial"/>
          <w:kern w:val="28"/>
          <w:sz w:val="17"/>
          <w:szCs w:val="17"/>
        </w:rPr>
        <w:t>.</w:t>
      </w:r>
      <w:r w:rsidR="00F2086A" w:rsidRPr="00A1397D">
        <w:rPr>
          <w:rFonts w:ascii="Arial" w:hAnsi="Arial" w:cs="Arial"/>
          <w:kern w:val="28"/>
          <w:sz w:val="17"/>
          <w:szCs w:val="17"/>
        </w:rPr>
        <w:t xml:space="preserve"> </w:t>
      </w:r>
    </w:p>
    <w:p w14:paraId="1E36065C" w14:textId="77777777" w:rsidR="00A33734" w:rsidRPr="00A1397D" w:rsidRDefault="00A33734" w:rsidP="00A33734">
      <w:pPr>
        <w:widowControl w:val="0"/>
        <w:numPr>
          <w:ilvl w:val="0"/>
          <w:numId w:val="8"/>
        </w:numPr>
        <w:tabs>
          <w:tab w:val="left" w:pos="364"/>
          <w:tab w:val="right" w:pos="4196"/>
          <w:tab w:val="right" w:pos="5046"/>
          <w:tab w:val="right" w:pos="5897"/>
          <w:tab w:val="right" w:pos="6747"/>
          <w:tab w:val="right" w:pos="7598"/>
        </w:tabs>
        <w:autoSpaceDE w:val="0"/>
        <w:autoSpaceDN w:val="0"/>
        <w:ind w:left="357" w:hanging="357"/>
        <w:rPr>
          <w:rFonts w:ascii="Arial" w:hAnsi="Arial" w:cs="Arial"/>
          <w:kern w:val="28"/>
          <w:sz w:val="17"/>
          <w:szCs w:val="17"/>
        </w:rPr>
      </w:pPr>
      <w:r w:rsidRPr="00A1397D">
        <w:rPr>
          <w:rFonts w:ascii="Arial" w:hAnsi="Arial" w:cs="Arial"/>
          <w:kern w:val="28"/>
          <w:sz w:val="17"/>
          <w:szCs w:val="17"/>
        </w:rPr>
        <w:t>Spending excludes capital expenditure by public financial corporations.</w:t>
      </w:r>
    </w:p>
    <w:bookmarkEnd w:id="20"/>
    <w:p w14:paraId="2616958B" w14:textId="77777777" w:rsidR="00A33734" w:rsidRPr="00A1397D" w:rsidRDefault="00A33734" w:rsidP="00A33734">
      <w:pPr>
        <w:rPr>
          <w:rFonts w:ascii="Arial" w:hAnsi="Arial" w:cs="Arial"/>
        </w:rPr>
      </w:pPr>
    </w:p>
    <w:p w14:paraId="5F5BB779" w14:textId="1C73071D" w:rsidR="00427F40" w:rsidRPr="00146FA1" w:rsidRDefault="00427F40" w:rsidP="00A33734">
      <w:pPr>
        <w:pStyle w:val="Heading2"/>
      </w:pPr>
      <w:r w:rsidRPr="00146FA1">
        <w:t xml:space="preserve">Funding </w:t>
      </w:r>
      <w:r w:rsidR="00E41F59" w:rsidRPr="00146FA1">
        <w:t xml:space="preserve">the </w:t>
      </w:r>
      <w:r w:rsidR="00F2326F" w:rsidRPr="00146FA1">
        <w:t>d</w:t>
      </w:r>
      <w:r w:rsidR="00E41F59" w:rsidRPr="00146FA1">
        <w:t xml:space="preserve">elivery of </w:t>
      </w:r>
      <w:r w:rsidR="00F2326F" w:rsidRPr="00146FA1">
        <w:t>i</w:t>
      </w:r>
      <w:r w:rsidR="00E41F59" w:rsidRPr="00146FA1">
        <w:t>nfrastructure</w:t>
      </w:r>
      <w:bookmarkEnd w:id="18"/>
      <w:r w:rsidR="006F102C" w:rsidRPr="00146FA1">
        <w:t xml:space="preserve"> </w:t>
      </w:r>
    </w:p>
    <w:p w14:paraId="5C9A8BD9" w14:textId="2A1320A4" w:rsidR="00427F40" w:rsidRPr="00A1397D" w:rsidRDefault="00427F40" w:rsidP="00BF4099">
      <w:pPr>
        <w:pStyle w:val="BodyText"/>
      </w:pPr>
      <w:r w:rsidRPr="00A1397D">
        <w:t xml:space="preserve">The State’s capital program </w:t>
      </w:r>
      <w:r w:rsidR="00D00EC0" w:rsidRPr="00A1397D">
        <w:t>of</w:t>
      </w:r>
      <w:r w:rsidRPr="00A1397D">
        <w:t xml:space="preserve"> $</w:t>
      </w:r>
      <w:r w:rsidR="003C1A52" w:rsidRPr="00A1397D">
        <w:t>9</w:t>
      </w:r>
      <w:r w:rsidR="003B00FB" w:rsidRPr="00A1397D">
        <w:t>3</w:t>
      </w:r>
      <w:r w:rsidRPr="00A1397D">
        <w:t>.</w:t>
      </w:r>
      <w:r w:rsidR="003B00FB" w:rsidRPr="00A1397D">
        <w:t>0</w:t>
      </w:r>
      <w:r w:rsidRPr="00A1397D">
        <w:t xml:space="preserve"> billion over four years to 2022-23 is funded from:</w:t>
      </w:r>
    </w:p>
    <w:p w14:paraId="2FF3FD71" w14:textId="77777777" w:rsidR="00427F40" w:rsidRPr="00A1397D" w:rsidRDefault="00427F40" w:rsidP="00BF4099">
      <w:pPr>
        <w:pStyle w:val="Bullet1"/>
      </w:pPr>
      <w:r w:rsidRPr="00A1397D">
        <w:t>state sources, comprising:</w:t>
      </w:r>
    </w:p>
    <w:p w14:paraId="3E4EAA53" w14:textId="3AD7FEE2" w:rsidR="00427F40" w:rsidRPr="00A1397D" w:rsidRDefault="00427F40" w:rsidP="00BF4099">
      <w:pPr>
        <w:pStyle w:val="Bullet2"/>
      </w:pPr>
      <w:r w:rsidRPr="00A1397D">
        <w:t>taxation, other own-source State revenues and borrowings ($</w:t>
      </w:r>
      <w:r w:rsidR="00E95422" w:rsidRPr="00A1397D">
        <w:t>6</w:t>
      </w:r>
      <w:r w:rsidR="00907257" w:rsidRPr="00A1397D">
        <w:t>4</w:t>
      </w:r>
      <w:r w:rsidRPr="00A1397D">
        <w:t>.</w:t>
      </w:r>
      <w:r w:rsidR="00907257" w:rsidRPr="00A1397D">
        <w:t>1</w:t>
      </w:r>
      <w:r w:rsidRPr="00A1397D">
        <w:t xml:space="preserve"> billion)</w:t>
      </w:r>
    </w:p>
    <w:p w14:paraId="6AE8F68F" w14:textId="3E5E174C" w:rsidR="00427F40" w:rsidRPr="00A1397D" w:rsidRDefault="00427F40" w:rsidP="00BF4099">
      <w:pPr>
        <w:pStyle w:val="Bullet2"/>
      </w:pPr>
      <w:r w:rsidRPr="00A1397D">
        <w:t>Restart NSW (including the Rebuilding NSW plan), via sources such as asset recycling proceeds, windfall tax revenues and the issuing of Waratah Bonds ($</w:t>
      </w:r>
      <w:r w:rsidR="00E95422" w:rsidRPr="00A1397D">
        <w:t>11</w:t>
      </w:r>
      <w:r w:rsidRPr="00A1397D">
        <w:t>.</w:t>
      </w:r>
      <w:r w:rsidR="00E95422" w:rsidRPr="00A1397D">
        <w:t>2</w:t>
      </w:r>
      <w:r w:rsidRPr="00A1397D">
        <w:t xml:space="preserve"> billion)</w:t>
      </w:r>
      <w:r w:rsidRPr="00A1397D">
        <w:rPr>
          <w:rStyle w:val="FootnoteReference"/>
        </w:rPr>
        <w:footnoteReference w:id="8"/>
      </w:r>
    </w:p>
    <w:p w14:paraId="0647C5F0" w14:textId="2E796249" w:rsidR="00427F40" w:rsidRPr="00A1397D" w:rsidRDefault="00427F40" w:rsidP="00BF4099">
      <w:pPr>
        <w:pStyle w:val="Bullet1"/>
      </w:pPr>
      <w:r w:rsidRPr="00A1397D">
        <w:t>Public non-financial corporations (PNFC) own-source funding (including from equity, retained earnings and borrowings) ($</w:t>
      </w:r>
      <w:r w:rsidR="003A3839" w:rsidRPr="00A1397D">
        <w:t>1</w:t>
      </w:r>
      <w:r w:rsidR="00BD126F" w:rsidRPr="00A1397D">
        <w:t>1</w:t>
      </w:r>
      <w:r w:rsidRPr="00A1397D">
        <w:t>.</w:t>
      </w:r>
      <w:r w:rsidR="00BD126F" w:rsidRPr="00A1397D">
        <w:t>5</w:t>
      </w:r>
      <w:r w:rsidRPr="00A1397D">
        <w:t> billion)</w:t>
      </w:r>
    </w:p>
    <w:p w14:paraId="4FA97675" w14:textId="79D841D0" w:rsidR="00A26080" w:rsidRPr="00A1397D" w:rsidRDefault="00427F40" w:rsidP="00BF4099">
      <w:pPr>
        <w:pStyle w:val="Bullet1"/>
        <w:rPr>
          <w:color w:val="4F4F4F"/>
          <w:sz w:val="22"/>
          <w:lang w:eastAsia="en-AU"/>
        </w:rPr>
      </w:pPr>
      <w:r w:rsidRPr="00A1397D">
        <w:t>Commonwealth Government grants ($</w:t>
      </w:r>
      <w:r w:rsidR="003A3839" w:rsidRPr="00A1397D">
        <w:t>6</w:t>
      </w:r>
      <w:r w:rsidRPr="00A1397D">
        <w:t>.</w:t>
      </w:r>
      <w:r w:rsidR="003A3839" w:rsidRPr="00A1397D">
        <w:t>3</w:t>
      </w:r>
      <w:r w:rsidRPr="00A1397D">
        <w:t xml:space="preserve"> billion).</w:t>
      </w:r>
    </w:p>
    <w:p w14:paraId="2E6FFA5B" w14:textId="77777777" w:rsidR="00614D59" w:rsidRDefault="00614D59">
      <w:pPr>
        <w:rPr>
          <w:rFonts w:ascii="Arial" w:hAnsi="Arial"/>
          <w:i/>
          <w:color w:val="4F4F4F"/>
          <w:sz w:val="22"/>
          <w:lang w:val="en-AU" w:eastAsia="en-AU"/>
        </w:rPr>
      </w:pPr>
      <w:r w:rsidRPr="00A1397D">
        <w:rPr>
          <w:rFonts w:ascii="Arial" w:hAnsi="Arial" w:cs="Arial"/>
          <w:lang w:val="en-AU" w:eastAsia="en-AU"/>
        </w:rPr>
        <w:br w:type="page"/>
      </w:r>
    </w:p>
    <w:p w14:paraId="594CC7F7" w14:textId="77777777" w:rsidR="00427F40" w:rsidRPr="00FD0E34" w:rsidRDefault="00427F40" w:rsidP="00427F40">
      <w:pPr>
        <w:pStyle w:val="Chart1X"/>
        <w:rPr>
          <w:lang w:val="en-AU" w:eastAsia="en-AU"/>
        </w:rPr>
      </w:pPr>
      <w:r w:rsidRPr="004F4954">
        <w:rPr>
          <w:lang w:val="en-AU" w:eastAsia="en-AU"/>
        </w:rPr>
        <w:lastRenderedPageBreak/>
        <w:t xml:space="preserve">Summary of capital expenditure and funding sources </w:t>
      </w:r>
      <w:r w:rsidRPr="00FD0E34">
        <w:rPr>
          <w:lang w:val="en-AU" w:eastAsia="en-AU"/>
        </w:rPr>
        <w:t>- 201</w:t>
      </w:r>
      <w:r w:rsidR="0095786B" w:rsidRPr="00FD0E34">
        <w:rPr>
          <w:lang w:val="en-AU" w:eastAsia="en-AU"/>
        </w:rPr>
        <w:t>9</w:t>
      </w:r>
      <w:r w:rsidRPr="00FD0E34">
        <w:rPr>
          <w:lang w:val="en-AU" w:eastAsia="en-AU"/>
        </w:rPr>
        <w:t>-</w:t>
      </w:r>
      <w:r w:rsidR="0095786B" w:rsidRPr="00FD0E34">
        <w:rPr>
          <w:lang w:val="en-AU" w:eastAsia="en-AU"/>
        </w:rPr>
        <w:t>20</w:t>
      </w:r>
      <w:r w:rsidRPr="00FD0E34">
        <w:rPr>
          <w:lang w:val="en-AU" w:eastAsia="en-AU"/>
        </w:rPr>
        <w:t xml:space="preserve"> to 202</w:t>
      </w:r>
      <w:r w:rsidR="0095786B" w:rsidRPr="00FD0E34">
        <w:rPr>
          <w:lang w:val="en-AU" w:eastAsia="en-AU"/>
        </w:rPr>
        <w:t>2</w:t>
      </w:r>
      <w:r w:rsidRPr="00FD0E34">
        <w:rPr>
          <w:lang w:val="en-AU" w:eastAsia="en-AU"/>
        </w:rPr>
        <w:t>-2</w:t>
      </w:r>
      <w:r w:rsidR="0095786B" w:rsidRPr="00FD0E34">
        <w:rPr>
          <w:lang w:val="en-AU" w:eastAsia="en-AU"/>
        </w:rPr>
        <w:t>3</w:t>
      </w:r>
    </w:p>
    <w:p w14:paraId="1379AF89" w14:textId="52946A16" w:rsidR="00427F40" w:rsidRPr="00A1397D" w:rsidRDefault="00427F40" w:rsidP="005A5C28">
      <w:pPr>
        <w:jc w:val="center"/>
        <w:rPr>
          <w:rFonts w:ascii="Arial" w:hAnsi="Arial" w:cs="Arial"/>
        </w:rPr>
      </w:pPr>
    </w:p>
    <w:p w14:paraId="3E4FD7E9" w14:textId="5CBC9E17" w:rsidR="00427F40" w:rsidRPr="00A1397D" w:rsidRDefault="00DE3EA9" w:rsidP="00427F40">
      <w:pPr>
        <w:rPr>
          <w:rFonts w:ascii="Arial" w:hAnsi="Arial" w:cs="Arial"/>
        </w:rPr>
      </w:pPr>
      <w:r w:rsidRPr="00A1397D">
        <w:rPr>
          <w:rFonts w:ascii="Arial" w:hAnsi="Arial" w:cs="Arial"/>
          <w:noProof/>
        </w:rPr>
        <w:drawing>
          <wp:inline distT="0" distB="0" distL="0" distR="0" wp14:anchorId="1E340BEB" wp14:editId="0871E0BE">
            <wp:extent cx="6120765" cy="2548890"/>
            <wp:effectExtent l="0" t="0" r="0" b="3810"/>
            <wp:docPr id="8" name="Chart 8" descr="Chart 1.2: Summary of capital expenditure and funding sources - 2019-20 to 2022-23">
              <a:extLst xmlns:a="http://schemas.openxmlformats.org/drawingml/2006/main">
                <a:ext uri="{FF2B5EF4-FFF2-40B4-BE49-F238E27FC236}">
                  <a16:creationId xmlns:a16="http://schemas.microsoft.com/office/drawing/2014/main" id="{00000000-0008-0000-1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181AE7E1" w14:textId="159BC7D4" w:rsidR="00427F40" w:rsidRPr="00A1397D" w:rsidRDefault="00427F40" w:rsidP="00BF4099">
      <w:pPr>
        <w:pStyle w:val="BodyText"/>
      </w:pPr>
      <w:r w:rsidRPr="00A1397D">
        <w:t>As shown in Chart 1.</w:t>
      </w:r>
      <w:r w:rsidR="00532EDF" w:rsidRPr="00A1397D">
        <w:t>2</w:t>
      </w:r>
      <w:r w:rsidRPr="00A1397D">
        <w:t>, the capital program is comprised of $</w:t>
      </w:r>
      <w:r w:rsidR="00810B02" w:rsidRPr="00A1397D">
        <w:t>7</w:t>
      </w:r>
      <w:r w:rsidR="007D585B" w:rsidRPr="00A1397D">
        <w:t>1</w:t>
      </w:r>
      <w:r w:rsidRPr="00A1397D">
        <w:t>.</w:t>
      </w:r>
      <w:r w:rsidR="007D585B" w:rsidRPr="00A1397D">
        <w:t>7</w:t>
      </w:r>
      <w:r w:rsidRPr="00A1397D">
        <w:t xml:space="preserve"> billion from the general government sector and $</w:t>
      </w:r>
      <w:r w:rsidR="00973300" w:rsidRPr="00A1397D">
        <w:t>2</w:t>
      </w:r>
      <w:r w:rsidR="004A46DE" w:rsidRPr="00A1397D">
        <w:t>1</w:t>
      </w:r>
      <w:r w:rsidRPr="00A1397D">
        <w:t>.</w:t>
      </w:r>
      <w:r w:rsidR="00100DA8" w:rsidRPr="00A1397D">
        <w:t>3</w:t>
      </w:r>
      <w:r w:rsidRPr="00A1397D">
        <w:t> billion from the PNFC sector.</w:t>
      </w:r>
    </w:p>
    <w:p w14:paraId="5B3E5B3C" w14:textId="63A6E60E" w:rsidR="00427F40" w:rsidRPr="00A1397D" w:rsidRDefault="00427F40" w:rsidP="00BF4099">
      <w:pPr>
        <w:pStyle w:val="BodyText"/>
      </w:pPr>
      <w:r w:rsidRPr="00A1397D">
        <w:t xml:space="preserve">State </w:t>
      </w:r>
      <w:r w:rsidR="00045A6D" w:rsidRPr="00A1397D">
        <w:t>sources</w:t>
      </w:r>
      <w:r w:rsidRPr="00A1397D">
        <w:t xml:space="preserve"> is expected to be the largest funding source for capital expenditure</w:t>
      </w:r>
      <w:r w:rsidR="002B27FF" w:rsidRPr="00A1397D">
        <w:t>, totalling</w:t>
      </w:r>
      <w:r w:rsidRPr="00A1397D">
        <w:t xml:space="preserve"> $</w:t>
      </w:r>
      <w:r w:rsidR="0031160B" w:rsidRPr="00A1397D">
        <w:t>64</w:t>
      </w:r>
      <w:r w:rsidRPr="00A1397D">
        <w:t>.</w:t>
      </w:r>
      <w:r w:rsidR="0031160B" w:rsidRPr="00A1397D">
        <w:t>1</w:t>
      </w:r>
      <w:r w:rsidRPr="00A1397D">
        <w:t xml:space="preserve"> billion over the four years to 202</w:t>
      </w:r>
      <w:r w:rsidR="00107DBA" w:rsidRPr="00A1397D">
        <w:t>2</w:t>
      </w:r>
      <w:r w:rsidRPr="00A1397D">
        <w:t>-2</w:t>
      </w:r>
      <w:r w:rsidR="00107DBA" w:rsidRPr="00A1397D">
        <w:t>3</w:t>
      </w:r>
      <w:r w:rsidRPr="00A1397D">
        <w:t>.</w:t>
      </w:r>
    </w:p>
    <w:p w14:paraId="41E38FBB" w14:textId="4FF21112" w:rsidR="00427F40" w:rsidRPr="00A1397D" w:rsidRDefault="00427F40" w:rsidP="00BF4099">
      <w:pPr>
        <w:pStyle w:val="BodyText"/>
      </w:pPr>
      <w:r w:rsidRPr="00A1397D">
        <w:t>Commonwealth Government funding comprises infrastructure grants for specific projects and accounts for $</w:t>
      </w:r>
      <w:r w:rsidR="002F1F4D" w:rsidRPr="00A1397D">
        <w:t>6</w:t>
      </w:r>
      <w:r w:rsidRPr="00A1397D">
        <w:t>.</w:t>
      </w:r>
      <w:r w:rsidR="002F1F4D" w:rsidRPr="00A1397D">
        <w:t>3</w:t>
      </w:r>
      <w:r w:rsidRPr="00A1397D">
        <w:t> billion, or 6.</w:t>
      </w:r>
      <w:r w:rsidR="009A2C32" w:rsidRPr="00A1397D">
        <w:t>7</w:t>
      </w:r>
      <w:r w:rsidRPr="00A1397D">
        <w:t> per cent, of the capital program. PNFC own-source funding is $1</w:t>
      </w:r>
      <w:r w:rsidR="00100DA8" w:rsidRPr="00A1397D">
        <w:t>1</w:t>
      </w:r>
      <w:r w:rsidRPr="00A1397D">
        <w:t>.</w:t>
      </w:r>
      <w:r w:rsidR="00100DA8" w:rsidRPr="00A1397D">
        <w:t>5</w:t>
      </w:r>
      <w:r w:rsidRPr="00A1397D">
        <w:t xml:space="preserve"> billion, or 12.</w:t>
      </w:r>
      <w:r w:rsidR="006763AF" w:rsidRPr="00A1397D">
        <w:t>4</w:t>
      </w:r>
      <w:r w:rsidR="00E347ED" w:rsidRPr="00A1397D">
        <w:t xml:space="preserve"> </w:t>
      </w:r>
      <w:r w:rsidRPr="00A1397D">
        <w:t>per cent of the capital program.</w:t>
      </w:r>
    </w:p>
    <w:p w14:paraId="780696D4" w14:textId="7805ABC5" w:rsidR="007D6809" w:rsidRPr="00736BB2" w:rsidRDefault="007D6809" w:rsidP="007D6809">
      <w:pPr>
        <w:pStyle w:val="Heading3"/>
      </w:pPr>
      <w:r w:rsidRPr="00736BB2">
        <w:t>State funding</w:t>
      </w:r>
    </w:p>
    <w:p w14:paraId="2FD53BCD" w14:textId="37BED1A2" w:rsidR="007D6809" w:rsidRPr="00A1397D" w:rsidRDefault="007D6809" w:rsidP="00BF4099">
      <w:pPr>
        <w:pStyle w:val="BodyText"/>
      </w:pPr>
      <w:r w:rsidRPr="00A1397D">
        <w:t>The State funded program is $</w:t>
      </w:r>
      <w:r w:rsidR="00E356DF" w:rsidRPr="00A1397D">
        <w:t>7</w:t>
      </w:r>
      <w:r w:rsidR="008E64DB" w:rsidRPr="00A1397D">
        <w:t>5</w:t>
      </w:r>
      <w:r w:rsidRPr="00A1397D">
        <w:t>.</w:t>
      </w:r>
      <w:r w:rsidR="008E64DB" w:rsidRPr="00A1397D">
        <w:t>2</w:t>
      </w:r>
      <w:r w:rsidRPr="00A1397D">
        <w:t xml:space="preserve"> billion over the four years to 202</w:t>
      </w:r>
      <w:r w:rsidR="00F54D1E" w:rsidRPr="00A1397D">
        <w:t>2</w:t>
      </w:r>
      <w:r w:rsidRPr="00A1397D">
        <w:t>-2</w:t>
      </w:r>
      <w:r w:rsidR="00F54D1E" w:rsidRPr="00A1397D">
        <w:t>3</w:t>
      </w:r>
      <w:r w:rsidRPr="00A1397D">
        <w:t xml:space="preserve"> and includes </w:t>
      </w:r>
      <w:r w:rsidR="00052110" w:rsidRPr="00A1397D">
        <w:t>S</w:t>
      </w:r>
      <w:r w:rsidR="00773EFB" w:rsidRPr="00A1397D">
        <w:t xml:space="preserve">tate </w:t>
      </w:r>
      <w:r w:rsidR="00052110" w:rsidRPr="00A1397D">
        <w:t xml:space="preserve">sources and </w:t>
      </w:r>
      <w:r w:rsidRPr="00A1397D">
        <w:t>Restart NSW. Chart 1.</w:t>
      </w:r>
      <w:r w:rsidR="00A565EE" w:rsidRPr="00A1397D">
        <w:t>3</w:t>
      </w:r>
      <w:r w:rsidRPr="00A1397D">
        <w:t xml:space="preserve"> shows the changes in the State funded capital investment program since 20</w:t>
      </w:r>
      <w:r w:rsidR="00613FCA" w:rsidRPr="00A1397D">
        <w:t>07</w:t>
      </w:r>
      <w:r w:rsidRPr="00A1397D">
        <w:t>-</w:t>
      </w:r>
      <w:r w:rsidR="00613FCA" w:rsidRPr="00A1397D">
        <w:t>08</w:t>
      </w:r>
      <w:r w:rsidRPr="00A1397D">
        <w:t>. The program increases to an average of $</w:t>
      </w:r>
      <w:r w:rsidR="00C70301" w:rsidRPr="00A1397D">
        <w:t>1</w:t>
      </w:r>
      <w:r w:rsidR="00FD2DC7" w:rsidRPr="00A1397D">
        <w:t>8</w:t>
      </w:r>
      <w:r w:rsidRPr="00A1397D">
        <w:t>.</w:t>
      </w:r>
      <w:r w:rsidR="00FD2DC7" w:rsidRPr="00A1397D">
        <w:t>8</w:t>
      </w:r>
      <w:r w:rsidRPr="00A1397D">
        <w:t xml:space="preserve"> billion per annum over the four years to 202</w:t>
      </w:r>
      <w:r w:rsidR="00BC584A" w:rsidRPr="00A1397D">
        <w:t>2</w:t>
      </w:r>
      <w:r w:rsidRPr="00A1397D">
        <w:t>-2</w:t>
      </w:r>
      <w:r w:rsidR="00BC584A" w:rsidRPr="00A1397D">
        <w:t>3</w:t>
      </w:r>
      <w:r w:rsidRPr="00A1397D">
        <w:t xml:space="preserve">, </w:t>
      </w:r>
      <w:r w:rsidR="00211C0C" w:rsidRPr="00A1397D">
        <w:t>4</w:t>
      </w:r>
      <w:r w:rsidR="00703312" w:rsidRPr="00A1397D">
        <w:t>0</w:t>
      </w:r>
      <w:r w:rsidRPr="00A1397D">
        <w:t>.</w:t>
      </w:r>
      <w:r w:rsidR="001C3EAD" w:rsidRPr="00A1397D">
        <w:t>7</w:t>
      </w:r>
      <w:r w:rsidRPr="00A1397D">
        <w:t xml:space="preserve"> per cent higher than the four years to 201</w:t>
      </w:r>
      <w:r w:rsidR="00561CCB" w:rsidRPr="00A1397D">
        <w:t>8</w:t>
      </w:r>
      <w:r w:rsidRPr="00A1397D">
        <w:t>-1</w:t>
      </w:r>
      <w:r w:rsidR="00561CCB" w:rsidRPr="00A1397D">
        <w:t>9</w:t>
      </w:r>
      <w:r w:rsidR="00127ED8" w:rsidRPr="00A1397D">
        <w:t>,</w:t>
      </w:r>
      <w:r w:rsidRPr="00A1397D">
        <w:t xml:space="preserve"> </w:t>
      </w:r>
      <w:r w:rsidR="00ED0F5F" w:rsidRPr="00A1397D">
        <w:t>1</w:t>
      </w:r>
      <w:r w:rsidR="001C3EAD" w:rsidRPr="00A1397D">
        <w:t>4</w:t>
      </w:r>
      <w:r w:rsidR="00ED0F5F" w:rsidRPr="00A1397D">
        <w:t>5</w:t>
      </w:r>
      <w:r w:rsidRPr="00A1397D">
        <w:t>.</w:t>
      </w:r>
      <w:r w:rsidR="001C3EAD" w:rsidRPr="00A1397D">
        <w:t>3</w:t>
      </w:r>
      <w:r w:rsidRPr="00A1397D">
        <w:t> per cent higher than the four years to 201</w:t>
      </w:r>
      <w:r w:rsidR="00DF4B65" w:rsidRPr="00A1397D">
        <w:t>4</w:t>
      </w:r>
      <w:r w:rsidRPr="00A1397D">
        <w:t>-1</w:t>
      </w:r>
      <w:r w:rsidR="00DF4B65" w:rsidRPr="00A1397D">
        <w:t>5</w:t>
      </w:r>
      <w:r w:rsidR="00127ED8" w:rsidRPr="00A1397D">
        <w:t xml:space="preserve"> </w:t>
      </w:r>
      <w:r w:rsidR="00627F2C" w:rsidRPr="00A1397D">
        <w:t>and 202.3 per cent higher than the four years to 2010-11.</w:t>
      </w:r>
    </w:p>
    <w:p w14:paraId="2263F9D2" w14:textId="41EBD6FF" w:rsidR="007D6809" w:rsidRPr="00A1397D" w:rsidRDefault="007D6809" w:rsidP="00BF4099">
      <w:pPr>
        <w:pStyle w:val="BodyText"/>
      </w:pPr>
      <w:r w:rsidRPr="00A1397D">
        <w:t xml:space="preserve">State funded capital expenditure is expected </w:t>
      </w:r>
      <w:r w:rsidR="00BA5856" w:rsidRPr="00A1397D">
        <w:t xml:space="preserve">to </w:t>
      </w:r>
      <w:r w:rsidR="004B04DC" w:rsidRPr="00A1397D">
        <w:t>reach</w:t>
      </w:r>
      <w:r w:rsidRPr="00A1397D">
        <w:t xml:space="preserve"> </w:t>
      </w:r>
      <w:r w:rsidR="0087111A" w:rsidRPr="00A1397D">
        <w:t>$</w:t>
      </w:r>
      <w:r w:rsidR="00821C07" w:rsidRPr="00A1397D">
        <w:t>23</w:t>
      </w:r>
      <w:r w:rsidR="0087111A" w:rsidRPr="00A1397D">
        <w:t>.</w:t>
      </w:r>
      <w:r w:rsidR="00821C07" w:rsidRPr="00A1397D">
        <w:t>5</w:t>
      </w:r>
      <w:r w:rsidR="0087111A" w:rsidRPr="00A1397D">
        <w:t xml:space="preserve"> billion </w:t>
      </w:r>
      <w:r w:rsidRPr="00A1397D">
        <w:t>in 201</w:t>
      </w:r>
      <w:r w:rsidR="000C7F04" w:rsidRPr="00A1397D">
        <w:t>9</w:t>
      </w:r>
      <w:r w:rsidRPr="00A1397D">
        <w:t>-</w:t>
      </w:r>
      <w:r w:rsidR="000C7F04" w:rsidRPr="00A1397D">
        <w:t>20</w:t>
      </w:r>
      <w:r w:rsidRPr="00A1397D">
        <w:t xml:space="preserve">, driven by </w:t>
      </w:r>
      <w:r w:rsidR="00F139BF" w:rsidRPr="00A1397D">
        <w:t xml:space="preserve">record investment in Health and Education and </w:t>
      </w:r>
      <w:r w:rsidRPr="00A1397D">
        <w:t>spending on public transport and roads projects, including Sydney Metro City and Southwest, CBD and South East Light Rail</w:t>
      </w:r>
      <w:r w:rsidR="00FA335C" w:rsidRPr="00A1397D">
        <w:t>,</w:t>
      </w:r>
      <w:r w:rsidRPr="00A1397D">
        <w:t xml:space="preserve"> Parramatta Light Rail Stage 1</w:t>
      </w:r>
      <w:r w:rsidR="00E84ADB" w:rsidRPr="00A1397D">
        <w:t xml:space="preserve"> an</w:t>
      </w:r>
      <w:r w:rsidR="00DB1023" w:rsidRPr="00A1397D">
        <w:t>d</w:t>
      </w:r>
      <w:r w:rsidR="00E84ADB" w:rsidRPr="00A1397D">
        <w:t xml:space="preserve"> </w:t>
      </w:r>
      <w:r w:rsidR="005F2AFF" w:rsidRPr="00A1397D">
        <w:t xml:space="preserve">the </w:t>
      </w:r>
      <w:r w:rsidR="00E07B56" w:rsidRPr="00A1397D">
        <w:rPr>
          <w:rFonts w:eastAsiaTheme="minorEastAsia"/>
        </w:rPr>
        <w:t xml:space="preserve">final stage of the </w:t>
      </w:r>
      <w:r w:rsidR="00547C05" w:rsidRPr="00A1397D">
        <w:rPr>
          <w:rFonts w:eastAsiaTheme="minorEastAsia"/>
        </w:rPr>
        <w:t xml:space="preserve">WestConnex </w:t>
      </w:r>
      <w:r w:rsidR="00E07B56" w:rsidRPr="00A1397D">
        <w:rPr>
          <w:rFonts w:eastAsiaTheme="minorEastAsia"/>
        </w:rPr>
        <w:t>project</w:t>
      </w:r>
      <w:r w:rsidR="00547C05" w:rsidRPr="00A1397D">
        <w:rPr>
          <w:rFonts w:eastAsiaTheme="minorEastAsia"/>
        </w:rPr>
        <w:t xml:space="preserve"> (</w:t>
      </w:r>
      <w:r w:rsidR="00E07B56" w:rsidRPr="00A1397D">
        <w:rPr>
          <w:rFonts w:eastAsiaTheme="minorEastAsia"/>
        </w:rPr>
        <w:t>the M4-M5 link tunnel and Rozelle Interchange</w:t>
      </w:r>
      <w:r w:rsidR="00547C05" w:rsidRPr="00A1397D">
        <w:rPr>
          <w:rFonts w:eastAsiaTheme="minorEastAsia"/>
        </w:rPr>
        <w:t>)</w:t>
      </w:r>
      <w:r w:rsidRPr="00A1397D">
        <w:t>.</w:t>
      </w:r>
    </w:p>
    <w:p w14:paraId="2280479F" w14:textId="05C68D61" w:rsidR="007D6809" w:rsidRPr="00A1397D" w:rsidRDefault="007D6809" w:rsidP="00BF4099">
      <w:pPr>
        <w:pStyle w:val="BodyText"/>
      </w:pPr>
      <w:r w:rsidRPr="00A1397D">
        <w:t>The reduction in expenditure over the later years to 202</w:t>
      </w:r>
      <w:r w:rsidR="004E3260" w:rsidRPr="00A1397D">
        <w:t>2</w:t>
      </w:r>
      <w:r w:rsidRPr="00A1397D">
        <w:t>-2</w:t>
      </w:r>
      <w:r w:rsidR="004E3260" w:rsidRPr="00A1397D">
        <w:t>3</w:t>
      </w:r>
      <w:r w:rsidRPr="00A1397D">
        <w:t xml:space="preserve"> reflects the </w:t>
      </w:r>
      <w:r w:rsidR="00E73844" w:rsidRPr="00A1397D">
        <w:t xml:space="preserve">tailing off or </w:t>
      </w:r>
      <w:r w:rsidR="005B7C34" w:rsidRPr="00A1397D">
        <w:t>end of construction</w:t>
      </w:r>
      <w:r w:rsidRPr="00A1397D">
        <w:t xml:space="preserve"> of </w:t>
      </w:r>
      <w:r w:rsidR="00706006" w:rsidRPr="00A1397D">
        <w:t xml:space="preserve">several </w:t>
      </w:r>
      <w:r w:rsidRPr="00A1397D">
        <w:t>major projects</w:t>
      </w:r>
      <w:r w:rsidR="00706006" w:rsidRPr="00A1397D">
        <w:t xml:space="preserve"> in the prior </w:t>
      </w:r>
      <w:r w:rsidR="00534F2D" w:rsidRPr="00A1397D">
        <w:t>period</w:t>
      </w:r>
      <w:r w:rsidRPr="00A1397D">
        <w:t>, including</w:t>
      </w:r>
      <w:r w:rsidR="00534F2D" w:rsidRPr="00A1397D">
        <w:t xml:space="preserve"> (but not limited to)</w:t>
      </w:r>
      <w:r w:rsidRPr="00A1397D">
        <w:t xml:space="preserve"> the CBD and South East Light Rail</w:t>
      </w:r>
      <w:r w:rsidR="00FA6C33" w:rsidRPr="00A1397D">
        <w:t>,</w:t>
      </w:r>
      <w:r w:rsidRPr="00A1397D">
        <w:t xml:space="preserve"> </w:t>
      </w:r>
      <w:r w:rsidR="00B622C2" w:rsidRPr="00A1397D">
        <w:t xml:space="preserve">Sydney </w:t>
      </w:r>
      <w:r w:rsidR="00E425F9" w:rsidRPr="00A1397D">
        <w:t xml:space="preserve">Metro </w:t>
      </w:r>
      <w:r w:rsidR="00B622C2" w:rsidRPr="00A1397D">
        <w:t>City and South</w:t>
      </w:r>
      <w:r w:rsidR="00B240E1" w:rsidRPr="00A1397D">
        <w:t>w</w:t>
      </w:r>
      <w:r w:rsidR="00B622C2" w:rsidRPr="00A1397D">
        <w:t>est</w:t>
      </w:r>
      <w:r w:rsidR="00FA6C33" w:rsidRPr="00A1397D">
        <w:t>,</w:t>
      </w:r>
      <w:r w:rsidR="007C6B66" w:rsidRPr="00A1397D">
        <w:t xml:space="preserve"> the WestConnex </w:t>
      </w:r>
      <w:r w:rsidR="00E62C74">
        <w:t>new M4</w:t>
      </w:r>
      <w:r w:rsidR="00F401CA" w:rsidRPr="00A1397D">
        <w:t xml:space="preserve"> </w:t>
      </w:r>
      <w:r w:rsidR="007C6B66" w:rsidRPr="00A1397D">
        <w:t>Tunnel, the WestConnex New M5 Tunnel</w:t>
      </w:r>
      <w:r w:rsidR="00D8466F" w:rsidRPr="00A1397D">
        <w:t>, More Trains, More Services</w:t>
      </w:r>
      <w:r w:rsidR="006867A2" w:rsidRPr="00A1397D">
        <w:t xml:space="preserve">, </w:t>
      </w:r>
      <w:r w:rsidR="00B83413" w:rsidRPr="00A1397D">
        <w:t>Westmead Hospi</w:t>
      </w:r>
      <w:r w:rsidR="006867A2" w:rsidRPr="00A1397D">
        <w:t xml:space="preserve">tal </w:t>
      </w:r>
      <w:r w:rsidR="00B83413" w:rsidRPr="00A1397D">
        <w:t>R</w:t>
      </w:r>
      <w:r w:rsidR="00A26134" w:rsidRPr="00A1397D">
        <w:t>edevelopment</w:t>
      </w:r>
      <w:r w:rsidR="007C6B66" w:rsidRPr="00A1397D">
        <w:t xml:space="preserve"> </w:t>
      </w:r>
      <w:r w:rsidR="00D3677E" w:rsidRPr="00A1397D">
        <w:t xml:space="preserve">Stage 1 </w:t>
      </w:r>
      <w:r w:rsidR="007C6B66" w:rsidRPr="00A1397D">
        <w:t>and the Sydney Football Stadium</w:t>
      </w:r>
      <w:r w:rsidRPr="00A1397D">
        <w:t>.</w:t>
      </w:r>
    </w:p>
    <w:p w14:paraId="50524F30" w14:textId="77777777" w:rsidR="00452F10" w:rsidRDefault="00452F10" w:rsidP="00452F10">
      <w:pPr>
        <w:rPr>
          <w:rFonts w:ascii="Arial" w:hAnsi="Arial"/>
          <w:b/>
          <w:kern w:val="28"/>
          <w:sz w:val="28"/>
          <w:szCs w:val="36"/>
          <w:lang w:val="en-AU"/>
        </w:rPr>
      </w:pPr>
      <w:r w:rsidRPr="00A1397D">
        <w:rPr>
          <w:rFonts w:ascii="Arial" w:hAnsi="Arial" w:cs="Arial"/>
        </w:rPr>
        <w:br w:type="page"/>
      </w:r>
    </w:p>
    <w:p w14:paraId="1084D5AA" w14:textId="416BF9DC" w:rsidR="00427F40" w:rsidRPr="005D268D" w:rsidRDefault="00427F40" w:rsidP="00A1397D">
      <w:pPr>
        <w:pStyle w:val="Chart1X"/>
        <w:spacing w:after="240"/>
      </w:pPr>
      <w:r w:rsidRPr="005D268D">
        <w:lastRenderedPageBreak/>
        <w:t>State funded capital expenditure program</w:t>
      </w:r>
      <w:r w:rsidRPr="007C62FC">
        <w:rPr>
          <w:vertAlign w:val="superscript"/>
        </w:rPr>
        <w:t>(a)</w:t>
      </w:r>
      <w:r w:rsidR="005001E5">
        <w:rPr>
          <w:vertAlign w:val="superscript"/>
        </w:rPr>
        <w:t>(b)(c)</w:t>
      </w:r>
    </w:p>
    <w:p w14:paraId="53059739" w14:textId="403A69BA" w:rsidR="00427F40" w:rsidRPr="00A1397D" w:rsidRDefault="00DE0C2B" w:rsidP="00A1397D">
      <w:pPr>
        <w:rPr>
          <w:rFonts w:ascii="Arial" w:hAnsi="Arial" w:cs="Arial"/>
          <w:sz w:val="2"/>
        </w:rPr>
      </w:pPr>
      <w:r w:rsidRPr="00A1397D">
        <w:rPr>
          <w:rFonts w:ascii="Arial" w:hAnsi="Arial" w:cs="Arial"/>
          <w:noProof/>
        </w:rPr>
        <w:drawing>
          <wp:inline distT="0" distB="0" distL="0" distR="0" wp14:anchorId="62BD4486" wp14:editId="550F317C">
            <wp:extent cx="6120765" cy="2239645"/>
            <wp:effectExtent l="0" t="0" r="0" b="8255"/>
            <wp:docPr id="20" name="Chart 20" descr="Chart 1.3: State funded capital expenditure program">
              <a:extLst xmlns:a="http://schemas.openxmlformats.org/drawingml/2006/main">
                <a:ext uri="{FF2B5EF4-FFF2-40B4-BE49-F238E27FC236}">
                  <a16:creationId xmlns:a16="http://schemas.microsoft.com/office/drawing/2014/main" id="{5F6A3807-9920-466A-BF52-206F2E46C38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88755F4" w14:textId="7ECAF2C2" w:rsidR="00427F40" w:rsidRPr="00A1397D" w:rsidRDefault="00427F40" w:rsidP="00427F40">
      <w:pPr>
        <w:widowControl w:val="0"/>
        <w:numPr>
          <w:ilvl w:val="0"/>
          <w:numId w:val="7"/>
        </w:numPr>
        <w:tabs>
          <w:tab w:val="left" w:pos="336"/>
          <w:tab w:val="right" w:pos="4196"/>
          <w:tab w:val="right" w:pos="5046"/>
          <w:tab w:val="right" w:pos="5897"/>
          <w:tab w:val="right" w:pos="6747"/>
          <w:tab w:val="right" w:pos="7598"/>
        </w:tabs>
        <w:autoSpaceDE w:val="0"/>
        <w:autoSpaceDN w:val="0"/>
        <w:ind w:left="357" w:hanging="357"/>
        <w:rPr>
          <w:rFonts w:ascii="Arial" w:hAnsi="Arial" w:cs="Arial"/>
          <w:sz w:val="17"/>
          <w:szCs w:val="17"/>
        </w:rPr>
      </w:pPr>
      <w:r w:rsidRPr="00A1397D">
        <w:rPr>
          <w:rFonts w:ascii="Arial" w:hAnsi="Arial" w:cs="Arial"/>
          <w:sz w:val="17"/>
          <w:szCs w:val="17"/>
        </w:rPr>
        <w:t>The State funded capital program includes expenditure in the general government sector and State funded contributions to PNFCs, including for WestConnex.</w:t>
      </w:r>
    </w:p>
    <w:p w14:paraId="1AF928DE" w14:textId="2E199D98" w:rsidR="00427F40" w:rsidRPr="00A1397D" w:rsidRDefault="00427F40" w:rsidP="00427F40">
      <w:pPr>
        <w:widowControl w:val="0"/>
        <w:numPr>
          <w:ilvl w:val="0"/>
          <w:numId w:val="7"/>
        </w:numPr>
        <w:tabs>
          <w:tab w:val="left" w:pos="336"/>
          <w:tab w:val="right" w:pos="4196"/>
          <w:tab w:val="right" w:pos="5046"/>
          <w:tab w:val="right" w:pos="5897"/>
          <w:tab w:val="right" w:pos="6747"/>
          <w:tab w:val="right" w:pos="7598"/>
        </w:tabs>
        <w:autoSpaceDE w:val="0"/>
        <w:autoSpaceDN w:val="0"/>
        <w:ind w:left="357" w:hanging="357"/>
        <w:rPr>
          <w:rFonts w:ascii="Arial" w:hAnsi="Arial" w:cs="Arial"/>
          <w:sz w:val="17"/>
          <w:szCs w:val="17"/>
        </w:rPr>
      </w:pPr>
      <w:r w:rsidRPr="00A1397D">
        <w:rPr>
          <w:rFonts w:ascii="Arial" w:hAnsi="Arial" w:cs="Arial"/>
          <w:sz w:val="17"/>
          <w:szCs w:val="17"/>
        </w:rPr>
        <w:t>The four years to 202</w:t>
      </w:r>
      <w:r w:rsidR="00ED3FB0" w:rsidRPr="00A1397D">
        <w:rPr>
          <w:rFonts w:ascii="Arial" w:hAnsi="Arial" w:cs="Arial"/>
          <w:sz w:val="17"/>
          <w:szCs w:val="17"/>
        </w:rPr>
        <w:t>2</w:t>
      </w:r>
      <w:r w:rsidRPr="00A1397D">
        <w:rPr>
          <w:rFonts w:ascii="Arial" w:hAnsi="Arial" w:cs="Arial"/>
          <w:sz w:val="17"/>
          <w:szCs w:val="17"/>
        </w:rPr>
        <w:t>-2</w:t>
      </w:r>
      <w:r w:rsidR="00ED3FB0" w:rsidRPr="00A1397D">
        <w:rPr>
          <w:rFonts w:ascii="Arial" w:hAnsi="Arial" w:cs="Arial"/>
          <w:sz w:val="17"/>
          <w:szCs w:val="17"/>
        </w:rPr>
        <w:t>3</w:t>
      </w:r>
      <w:r w:rsidRPr="00A1397D">
        <w:rPr>
          <w:rFonts w:ascii="Arial" w:hAnsi="Arial" w:cs="Arial"/>
          <w:sz w:val="17"/>
          <w:szCs w:val="17"/>
        </w:rPr>
        <w:t xml:space="preserve"> includes the impact of Restart NSW reservations, following on from the decision </w:t>
      </w:r>
      <w:r w:rsidR="00624481" w:rsidRPr="00A1397D">
        <w:rPr>
          <w:rFonts w:ascii="Arial" w:hAnsi="Arial" w:cs="Arial"/>
          <w:sz w:val="17"/>
          <w:szCs w:val="17"/>
        </w:rPr>
        <w:t>in</w:t>
      </w:r>
      <w:r w:rsidRPr="00A1397D">
        <w:rPr>
          <w:rFonts w:ascii="Arial" w:hAnsi="Arial" w:cs="Arial"/>
          <w:sz w:val="17"/>
          <w:szCs w:val="17"/>
        </w:rPr>
        <w:t xml:space="preserve"> 2017</w:t>
      </w:r>
      <w:r w:rsidRPr="00A1397D">
        <w:rPr>
          <w:rFonts w:ascii="Arial" w:hAnsi="Arial" w:cs="Arial"/>
          <w:sz w:val="17"/>
          <w:szCs w:val="17"/>
        </w:rPr>
        <w:noBreakHyphen/>
        <w:t>18 to reflect the expenditure of these reservations in the budget estimates.</w:t>
      </w:r>
    </w:p>
    <w:p w14:paraId="63A17B1A" w14:textId="1A73DF98" w:rsidR="00427F40" w:rsidRPr="00A1397D" w:rsidRDefault="00427F40" w:rsidP="00427F40">
      <w:pPr>
        <w:widowControl w:val="0"/>
        <w:numPr>
          <w:ilvl w:val="0"/>
          <w:numId w:val="7"/>
        </w:numPr>
        <w:tabs>
          <w:tab w:val="left" w:pos="336"/>
          <w:tab w:val="right" w:pos="4196"/>
          <w:tab w:val="right" w:pos="5046"/>
          <w:tab w:val="right" w:pos="5897"/>
          <w:tab w:val="right" w:pos="6747"/>
          <w:tab w:val="right" w:pos="7598"/>
        </w:tabs>
        <w:autoSpaceDE w:val="0"/>
        <w:autoSpaceDN w:val="0"/>
        <w:ind w:left="357" w:hanging="357"/>
        <w:rPr>
          <w:rFonts w:ascii="Arial" w:hAnsi="Arial" w:cs="Arial"/>
          <w:sz w:val="17"/>
          <w:szCs w:val="17"/>
        </w:rPr>
      </w:pPr>
      <w:r w:rsidRPr="00A1397D">
        <w:rPr>
          <w:rFonts w:ascii="Arial" w:hAnsi="Arial" w:cs="Arial"/>
          <w:sz w:val="17"/>
          <w:szCs w:val="17"/>
        </w:rPr>
        <w:t>PPP projects with State funded expenditure over the four years to 202</w:t>
      </w:r>
      <w:r w:rsidR="00642B18" w:rsidRPr="00A1397D">
        <w:rPr>
          <w:rFonts w:ascii="Arial" w:hAnsi="Arial" w:cs="Arial"/>
          <w:sz w:val="17"/>
          <w:szCs w:val="17"/>
        </w:rPr>
        <w:t>2</w:t>
      </w:r>
      <w:r w:rsidRPr="00A1397D">
        <w:rPr>
          <w:rFonts w:ascii="Arial" w:hAnsi="Arial" w:cs="Arial"/>
          <w:sz w:val="17"/>
          <w:szCs w:val="17"/>
        </w:rPr>
        <w:t>-2</w:t>
      </w:r>
      <w:r w:rsidR="00642B18" w:rsidRPr="00A1397D">
        <w:rPr>
          <w:rFonts w:ascii="Arial" w:hAnsi="Arial" w:cs="Arial"/>
          <w:sz w:val="17"/>
          <w:szCs w:val="17"/>
        </w:rPr>
        <w:t>3</w:t>
      </w:r>
      <w:r w:rsidRPr="00A1397D">
        <w:rPr>
          <w:rFonts w:ascii="Arial" w:hAnsi="Arial" w:cs="Arial"/>
          <w:sz w:val="17"/>
          <w:szCs w:val="17"/>
        </w:rPr>
        <w:t xml:space="preserve"> include </w:t>
      </w:r>
      <w:r w:rsidR="146219AA" w:rsidRPr="00A1397D">
        <w:rPr>
          <w:rFonts w:ascii="Arial" w:hAnsi="Arial" w:cs="Arial"/>
          <w:sz w:val="17"/>
          <w:szCs w:val="17"/>
        </w:rPr>
        <w:t xml:space="preserve">the </w:t>
      </w:r>
      <w:r w:rsidRPr="00A1397D">
        <w:rPr>
          <w:rFonts w:ascii="Arial" w:hAnsi="Arial" w:cs="Arial"/>
          <w:sz w:val="17"/>
          <w:szCs w:val="17"/>
        </w:rPr>
        <w:t>CBD and South East Light Rail, and the New Grafton Correctional Centre.</w:t>
      </w:r>
    </w:p>
    <w:p w14:paraId="26AC0F54" w14:textId="6A4945D5" w:rsidR="00427F40" w:rsidRPr="00F71A50" w:rsidRDefault="00427F40" w:rsidP="00427F40">
      <w:pPr>
        <w:pStyle w:val="Heading3"/>
      </w:pPr>
      <w:r w:rsidRPr="00BE0412">
        <w:t>Commonwealth</w:t>
      </w:r>
      <w:r w:rsidRPr="00F71A50">
        <w:t xml:space="preserve"> Government funding</w:t>
      </w:r>
    </w:p>
    <w:p w14:paraId="31D4BEA4" w14:textId="65798B01" w:rsidR="00427F40" w:rsidRPr="00A1397D" w:rsidRDefault="00427F40" w:rsidP="00BF4099">
      <w:pPr>
        <w:pStyle w:val="BodyText"/>
      </w:pPr>
      <w:r w:rsidRPr="00A1397D">
        <w:t>The Commonwealth Government will contribute $</w:t>
      </w:r>
      <w:r w:rsidR="0028378A" w:rsidRPr="00A1397D">
        <w:t>6</w:t>
      </w:r>
      <w:r w:rsidRPr="00A1397D">
        <w:t>.</w:t>
      </w:r>
      <w:r w:rsidR="0028378A" w:rsidRPr="00A1397D">
        <w:t>3</w:t>
      </w:r>
      <w:r w:rsidRPr="00A1397D">
        <w:t xml:space="preserve"> billion to the New South Wales capital program over the four years to 202</w:t>
      </w:r>
      <w:r w:rsidR="00CA2196" w:rsidRPr="00A1397D">
        <w:t>2</w:t>
      </w:r>
      <w:r w:rsidRPr="00A1397D">
        <w:t>-2</w:t>
      </w:r>
      <w:r w:rsidR="00CA2196" w:rsidRPr="00A1397D">
        <w:t>3</w:t>
      </w:r>
      <w:r w:rsidRPr="00A1397D">
        <w:t>. Chart 1.</w:t>
      </w:r>
      <w:r w:rsidR="00E95753" w:rsidRPr="00A1397D">
        <w:t>4</w:t>
      </w:r>
      <w:r w:rsidRPr="00A1397D">
        <w:t xml:space="preserve"> shows the Commonwealth</w:t>
      </w:r>
      <w:r w:rsidR="118E1421" w:rsidRPr="00A1397D">
        <w:t>’s</w:t>
      </w:r>
      <w:r w:rsidRPr="00A1397D">
        <w:t xml:space="preserve"> contribution to the program over the years 201</w:t>
      </w:r>
      <w:r w:rsidR="002D35BC" w:rsidRPr="00A1397D">
        <w:t>3</w:t>
      </w:r>
      <w:r w:rsidRPr="00A1397D">
        <w:t>-1</w:t>
      </w:r>
      <w:r w:rsidR="002D35BC" w:rsidRPr="00A1397D">
        <w:t>4</w:t>
      </w:r>
      <w:r w:rsidRPr="00A1397D">
        <w:t xml:space="preserve"> to 202</w:t>
      </w:r>
      <w:r w:rsidR="00191761" w:rsidRPr="00A1397D">
        <w:t>2</w:t>
      </w:r>
      <w:r w:rsidRPr="00A1397D">
        <w:t>-2</w:t>
      </w:r>
      <w:r w:rsidR="00191761" w:rsidRPr="00A1397D">
        <w:t>3</w:t>
      </w:r>
      <w:r w:rsidRPr="00A1397D">
        <w:t xml:space="preserve">. </w:t>
      </w:r>
      <w:r w:rsidR="252DDF40" w:rsidRPr="00A1397D">
        <w:t>Fundi</w:t>
      </w:r>
      <w:r w:rsidR="73779E3C" w:rsidRPr="00A1397D">
        <w:t>ng</w:t>
      </w:r>
      <w:r w:rsidRPr="00A1397D">
        <w:t xml:space="preserve"> </w:t>
      </w:r>
      <w:r w:rsidR="00CC616D" w:rsidRPr="00A1397D">
        <w:t xml:space="preserve">reached </w:t>
      </w:r>
      <w:r w:rsidR="00EC45DC" w:rsidRPr="00A1397D">
        <w:t>over $3.0 billion</w:t>
      </w:r>
      <w:r w:rsidRPr="00A1397D">
        <w:t xml:space="preserve"> in 2016-17</w:t>
      </w:r>
      <w:r w:rsidR="00C8164B" w:rsidRPr="00A1397D">
        <w:t xml:space="preserve"> and 2017-18</w:t>
      </w:r>
      <w:r w:rsidRPr="00A1397D">
        <w:t xml:space="preserve"> due to the receipt of Commonwealth Government Asset Recycling Initiative payments, with $1.0 billion received in 2016-17 and $847.8 million in 2017-18.</w:t>
      </w:r>
    </w:p>
    <w:p w14:paraId="49A26B1A" w14:textId="1C76D0A7" w:rsidR="00427F40" w:rsidRPr="00A1397D" w:rsidRDefault="00FC65A7" w:rsidP="00BF4099">
      <w:pPr>
        <w:pStyle w:val="BodyText"/>
      </w:pPr>
      <w:r w:rsidRPr="00A1397D">
        <w:t>C</w:t>
      </w:r>
      <w:r w:rsidR="00427F40" w:rsidRPr="00A1397D">
        <w:t xml:space="preserve">ontributions from the Commonwealth Government </w:t>
      </w:r>
      <w:r w:rsidR="002F462A" w:rsidRPr="00A1397D">
        <w:t>are</w:t>
      </w:r>
      <w:r w:rsidR="007C563A" w:rsidRPr="00A1397D">
        <w:t xml:space="preserve"> </w:t>
      </w:r>
      <w:r w:rsidR="00087976" w:rsidRPr="00A1397D">
        <w:t xml:space="preserve">currently </w:t>
      </w:r>
      <w:r w:rsidR="007C563A" w:rsidRPr="00A1397D">
        <w:t>forecast to</w:t>
      </w:r>
      <w:r w:rsidR="00427F40" w:rsidRPr="00A1397D">
        <w:t xml:space="preserve"> decline over the four years to 202</w:t>
      </w:r>
      <w:r w:rsidR="1229D9BA" w:rsidRPr="00A1397D">
        <w:t>2</w:t>
      </w:r>
      <w:r w:rsidR="00427F40" w:rsidRPr="00A1397D">
        <w:t>-2</w:t>
      </w:r>
      <w:r w:rsidR="1229D9BA" w:rsidRPr="00A1397D">
        <w:t>3</w:t>
      </w:r>
      <w:r w:rsidR="00427F40" w:rsidRPr="00A1397D">
        <w:t xml:space="preserve"> due to the </w:t>
      </w:r>
      <w:r w:rsidR="00087976" w:rsidRPr="00A1397D">
        <w:t>completion</w:t>
      </w:r>
      <w:r w:rsidR="00427F40" w:rsidRPr="00A1397D">
        <w:t xml:space="preserve"> of </w:t>
      </w:r>
      <w:r w:rsidR="00123E5E" w:rsidRPr="00A1397D">
        <w:t xml:space="preserve">various </w:t>
      </w:r>
      <w:r w:rsidR="00427F40" w:rsidRPr="00A1397D">
        <w:t>major road projects</w:t>
      </w:r>
      <w:r w:rsidR="00123E5E" w:rsidRPr="00A1397D">
        <w:t xml:space="preserve"> linked to the Commonwealth program</w:t>
      </w:r>
      <w:r w:rsidRPr="00A1397D">
        <w:t>.</w:t>
      </w:r>
      <w:r w:rsidR="00427F40" w:rsidRPr="00A1397D">
        <w:t xml:space="preserve"> </w:t>
      </w:r>
      <w:r w:rsidRPr="00A1397D">
        <w:t>C</w:t>
      </w:r>
      <w:r w:rsidR="00B922EA" w:rsidRPr="00A1397D">
        <w:t xml:space="preserve">ontributions are expected to increase once again </w:t>
      </w:r>
      <w:r w:rsidR="00427F40" w:rsidRPr="00A1397D">
        <w:t>as new funding agreements are implemented</w:t>
      </w:r>
      <w:r w:rsidR="008D0D18" w:rsidRPr="00A1397D">
        <w:t xml:space="preserve"> for the Western Sydney Airport</w:t>
      </w:r>
      <w:r w:rsidR="0002253E" w:rsidRPr="00A1397D">
        <w:t xml:space="preserve">, </w:t>
      </w:r>
      <w:r w:rsidR="00A159AF" w:rsidRPr="00A1397D">
        <w:t>see</w:t>
      </w:r>
      <w:r w:rsidR="0002253E" w:rsidRPr="00A1397D">
        <w:t xml:space="preserve"> </w:t>
      </w:r>
      <w:r w:rsidR="0002552E" w:rsidRPr="00A1397D">
        <w:t xml:space="preserve">Box </w:t>
      </w:r>
      <w:r w:rsidR="0002253E" w:rsidRPr="00A1397D">
        <w:t>1.</w:t>
      </w:r>
      <w:r w:rsidR="002A05DE" w:rsidRPr="00A1397D">
        <w:t>4</w:t>
      </w:r>
      <w:r w:rsidR="0002552E" w:rsidRPr="00A1397D">
        <w:t>.</w:t>
      </w:r>
    </w:p>
    <w:p w14:paraId="76F38FE5" w14:textId="0AD5FE4F" w:rsidR="00427F40" w:rsidRPr="00065C5A" w:rsidRDefault="00427F40" w:rsidP="00427F40">
      <w:pPr>
        <w:pStyle w:val="Chart1X"/>
      </w:pPr>
      <w:r w:rsidRPr="00065C5A">
        <w:t>Commonwealth Government contribution to St</w:t>
      </w:r>
      <w:r>
        <w:t>ate capital expenditure program</w:t>
      </w:r>
    </w:p>
    <w:p w14:paraId="78E44105" w14:textId="06843A22" w:rsidR="00427F40" w:rsidRPr="00A1397D" w:rsidRDefault="00DB348F" w:rsidP="00427F40">
      <w:pPr>
        <w:rPr>
          <w:rFonts w:ascii="Arial" w:hAnsi="Arial" w:cs="Arial"/>
        </w:rPr>
      </w:pPr>
      <w:r w:rsidRPr="00A1397D">
        <w:rPr>
          <w:rFonts w:ascii="Arial" w:hAnsi="Arial" w:cs="Arial"/>
          <w:noProof/>
        </w:rPr>
        <w:drawing>
          <wp:inline distT="0" distB="0" distL="0" distR="0" wp14:anchorId="3BB40E75" wp14:editId="688FCA4E">
            <wp:extent cx="6120765" cy="2707237"/>
            <wp:effectExtent l="0" t="0" r="0" b="0"/>
            <wp:docPr id="14" name="Picture 14" descr="Chart 1.4: Commonwealth Government contribution to State capital expenditure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2707237"/>
                    </a:xfrm>
                    <a:prstGeom prst="rect">
                      <a:avLst/>
                    </a:prstGeom>
                    <a:noFill/>
                    <a:ln>
                      <a:noFill/>
                    </a:ln>
                  </pic:spPr>
                </pic:pic>
              </a:graphicData>
            </a:graphic>
          </wp:inline>
        </w:drawing>
      </w:r>
    </w:p>
    <w:p w14:paraId="006ED1B7" w14:textId="77777777" w:rsidR="00200E01" w:rsidRPr="00A1397D" w:rsidRDefault="00200E01" w:rsidP="00200E01">
      <w:pPr>
        <w:rPr>
          <w:rFonts w:ascii="Arial" w:hAnsi="Arial" w:cs="Arial"/>
          <w:sz w:val="16"/>
        </w:rPr>
      </w:pPr>
      <w:bookmarkStart w:id="21" w:name="_Hlk514421774"/>
    </w:p>
    <w:tbl>
      <w:tblPr>
        <w:tblW w:w="9334" w:type="dxa"/>
        <w:tblInd w:w="108" w:type="dxa"/>
        <w:shd w:val="pct5" w:color="auto" w:fill="auto"/>
        <w:tblCellMar>
          <w:left w:w="0" w:type="dxa"/>
          <w:right w:w="0" w:type="dxa"/>
        </w:tblCellMar>
        <w:tblLook w:val="04A0" w:firstRow="1" w:lastRow="0" w:firstColumn="1" w:lastColumn="0" w:noHBand="0" w:noVBand="1"/>
        <w:tblCaption w:val="Box 1.4: North South Metro Rail Link – Stage 1"/>
        <w:tblDescription w:val="Box 1.4: North South Metro Rail Link – Stage 1"/>
      </w:tblPr>
      <w:tblGrid>
        <w:gridCol w:w="9334"/>
      </w:tblGrid>
      <w:tr w:rsidR="00200E01" w:rsidRPr="00A1397D" w14:paraId="2685F922" w14:textId="77777777" w:rsidTr="00BB0A6C">
        <w:trPr>
          <w:trHeight w:val="5812"/>
        </w:trPr>
        <w:tc>
          <w:tcPr>
            <w:tcW w:w="9334" w:type="dxa"/>
            <w:shd w:val="pct5" w:color="auto" w:fill="auto"/>
            <w:tcMar>
              <w:top w:w="0" w:type="dxa"/>
              <w:left w:w="108" w:type="dxa"/>
              <w:bottom w:w="0" w:type="dxa"/>
              <w:right w:w="108" w:type="dxa"/>
            </w:tcMar>
          </w:tcPr>
          <w:p w14:paraId="366FF92D" w14:textId="59A59A7F" w:rsidR="00200E01" w:rsidRPr="00226736" w:rsidRDefault="00200E01" w:rsidP="007C0428">
            <w:pPr>
              <w:pStyle w:val="Box11BoxHeading"/>
              <w:ind w:left="1062" w:hanging="1062"/>
              <w:rPr>
                <w:rFonts w:eastAsia="Calibri"/>
              </w:rPr>
            </w:pPr>
            <w:bookmarkStart w:id="22" w:name="_Hlk515543047"/>
            <w:r w:rsidRPr="00EC41E7">
              <w:rPr>
                <w:highlight w:val="yellow"/>
              </w:rPr>
              <w:lastRenderedPageBreak/>
              <w:br w:type="page"/>
            </w:r>
            <w:bookmarkStart w:id="23" w:name="_Hlk514664209"/>
            <w:r w:rsidR="0042370D">
              <w:t>North South Metro Rail</w:t>
            </w:r>
            <w:r w:rsidRPr="00226736">
              <w:t xml:space="preserve"> </w:t>
            </w:r>
            <w:r w:rsidR="00751475">
              <w:t xml:space="preserve">Link </w:t>
            </w:r>
            <w:r w:rsidRPr="00226736">
              <w:t>– Stage 1</w:t>
            </w:r>
          </w:p>
          <w:p w14:paraId="00B706D3" w14:textId="28144CFF" w:rsidR="00200E01" w:rsidRPr="00A1397D" w:rsidRDefault="00200E01" w:rsidP="00B06F09">
            <w:pPr>
              <w:pStyle w:val="BodyTextBox"/>
              <w:framePr w:wrap="around"/>
            </w:pPr>
            <w:bookmarkStart w:id="24" w:name="_Hlk514665722"/>
            <w:r w:rsidRPr="00A1397D">
              <w:rPr>
                <w:b/>
              </w:rPr>
              <w:t xml:space="preserve">Program: </w:t>
            </w:r>
            <w:r w:rsidR="00581930" w:rsidRPr="00A1397D">
              <w:t>A new</w:t>
            </w:r>
            <w:r w:rsidR="001B66CE" w:rsidRPr="00A1397D">
              <w:t xml:space="preserve"> </w:t>
            </w:r>
            <w:r w:rsidR="00F90300" w:rsidRPr="00A1397D">
              <w:t>m</w:t>
            </w:r>
            <w:r w:rsidR="001B66CE" w:rsidRPr="00A1397D">
              <w:t xml:space="preserve">etro </w:t>
            </w:r>
            <w:r w:rsidR="00F1348C" w:rsidRPr="00A1397D">
              <w:t xml:space="preserve">line </w:t>
            </w:r>
            <w:r w:rsidR="001B66CE" w:rsidRPr="00A1397D">
              <w:t>from St Marys to the Western Sydney Aerotropolis via Western Sydney International (Nancy-Bird Walton) Airport. The railway line will connect to the existing T1 Western train line at St Marys. The project was announced as part of the Western Sydney City Deal.</w:t>
            </w:r>
          </w:p>
          <w:p w14:paraId="088D7292" w14:textId="68E550B7" w:rsidR="00200E01" w:rsidRPr="00A1397D" w:rsidRDefault="00200E01" w:rsidP="00B06F09">
            <w:pPr>
              <w:pStyle w:val="BodyTextBox"/>
              <w:framePr w:wrap="around"/>
            </w:pPr>
            <w:r w:rsidRPr="00A1397D">
              <w:rPr>
                <w:b/>
              </w:rPr>
              <w:t>Service delivery objective:</w:t>
            </w:r>
            <w:r w:rsidRPr="00A1397D">
              <w:t xml:space="preserve"> </w:t>
            </w:r>
            <w:r w:rsidR="00BA7E57" w:rsidRPr="00A1397D">
              <w:t xml:space="preserve">The railway line will connect passengers and employees to the new Western Sydney Airport and the </w:t>
            </w:r>
            <w:r w:rsidR="00F76AE8" w:rsidRPr="00A1397D">
              <w:t>Western Sydney</w:t>
            </w:r>
            <w:r w:rsidR="00BA7E57" w:rsidRPr="00A1397D">
              <w:t xml:space="preserve"> Aerotropolis. The construction of the new rail link in Western Sydney will also help to reduce reliance on cars in the area.</w:t>
            </w:r>
          </w:p>
          <w:p w14:paraId="5041386F" w14:textId="789E35A8" w:rsidR="00B838A1" w:rsidRPr="006703E5" w:rsidRDefault="00B838A1" w:rsidP="006703E5">
            <w:pPr>
              <w:pStyle w:val="Bullet1inabox"/>
              <w:numPr>
                <w:ilvl w:val="0"/>
                <w:numId w:val="0"/>
              </w:numPr>
              <w:rPr>
                <w:lang w:val="en-US"/>
              </w:rPr>
            </w:pPr>
            <w:r w:rsidRPr="00167D49">
              <w:rPr>
                <w:szCs w:val="19"/>
              </w:rPr>
              <w:t xml:space="preserve">The North South Metro Rail </w:t>
            </w:r>
            <w:r w:rsidR="00842994">
              <w:rPr>
                <w:szCs w:val="19"/>
              </w:rPr>
              <w:t xml:space="preserve">Link </w:t>
            </w:r>
            <w:r w:rsidRPr="00167D49">
              <w:rPr>
                <w:szCs w:val="19"/>
              </w:rPr>
              <w:t>project will have</w:t>
            </w:r>
            <w:r w:rsidRPr="0071447B">
              <w:rPr>
                <w:lang w:val="en-US"/>
              </w:rPr>
              <w:t xml:space="preserve"> f</w:t>
            </w:r>
            <w:r w:rsidRPr="00167D49">
              <w:rPr>
                <w:lang w:val="en-US"/>
              </w:rPr>
              <w:t>ully-automated driverless trains</w:t>
            </w:r>
            <w:r w:rsidR="00F770C6">
              <w:rPr>
                <w:lang w:val="en-US"/>
              </w:rPr>
              <w:t>,</w:t>
            </w:r>
            <w:r w:rsidRPr="00167D49">
              <w:rPr>
                <w:lang w:val="en-US"/>
              </w:rPr>
              <w:t xml:space="preserve"> like the rest of the Sydney Metro system</w:t>
            </w:r>
            <w:r w:rsidR="00F770C6">
              <w:rPr>
                <w:lang w:val="en-US"/>
              </w:rPr>
              <w:t>,</w:t>
            </w:r>
            <w:r w:rsidRPr="00167D49">
              <w:rPr>
                <w:lang w:val="en-US"/>
              </w:rPr>
              <w:t xml:space="preserve"> with fast, frequent services</w:t>
            </w:r>
            <w:r w:rsidR="0051758B">
              <w:rPr>
                <w:lang w:val="en-US"/>
              </w:rPr>
              <w:t>. C</w:t>
            </w:r>
            <w:r w:rsidRPr="00167D49">
              <w:rPr>
                <w:lang w:val="en-US"/>
              </w:rPr>
              <w:t>ustomers w</w:t>
            </w:r>
            <w:r w:rsidR="00586D91">
              <w:rPr>
                <w:lang w:val="en-US"/>
              </w:rPr>
              <w:t xml:space="preserve">ill not </w:t>
            </w:r>
            <w:r w:rsidRPr="00167D49">
              <w:rPr>
                <w:lang w:val="en-US"/>
              </w:rPr>
              <w:t>need a timetable, they</w:t>
            </w:r>
            <w:r w:rsidR="002A220C">
              <w:rPr>
                <w:lang w:val="en-US"/>
              </w:rPr>
              <w:t xml:space="preserve"> wi</w:t>
            </w:r>
            <w:r w:rsidRPr="00167D49">
              <w:rPr>
                <w:lang w:val="en-US"/>
              </w:rPr>
              <w:t>ll just turn up and go</w:t>
            </w:r>
            <w:r w:rsidRPr="0071447B">
              <w:rPr>
                <w:lang w:val="en-US"/>
              </w:rPr>
              <w:t>.</w:t>
            </w:r>
          </w:p>
          <w:p w14:paraId="6C1B70B6" w14:textId="2B6CA8CA" w:rsidR="008F691C" w:rsidRPr="00A1397D" w:rsidRDefault="00200E01" w:rsidP="00661B4D">
            <w:pPr>
              <w:pStyle w:val="BodyTextBox"/>
              <w:framePr w:hSpace="0" w:wrap="auto" w:vAnchor="margin" w:hAnchor="text" w:yAlign="inline"/>
            </w:pPr>
            <w:r w:rsidRPr="00A1397D">
              <w:rPr>
                <w:b/>
              </w:rPr>
              <w:t>Implementation</w:t>
            </w:r>
            <w:r w:rsidRPr="00A1397D">
              <w:t>:</w:t>
            </w:r>
            <w:r w:rsidR="006703E5" w:rsidRPr="00A1397D" w:rsidDel="00F065DD">
              <w:t xml:space="preserve"> </w:t>
            </w:r>
            <w:r w:rsidR="006703E5" w:rsidRPr="00A1397D">
              <w:t>The Commonwealth and New South Wales governments have a shared objective of having the metro rail operational in 2026 when the Western Sydney Airport is scheduled to open.</w:t>
            </w:r>
          </w:p>
          <w:bookmarkEnd w:id="23"/>
          <w:bookmarkEnd w:id="24"/>
          <w:p w14:paraId="61020BA7" w14:textId="0315459E" w:rsidR="00200E01" w:rsidRPr="00A1397D" w:rsidRDefault="00200E01" w:rsidP="00B06F09">
            <w:pPr>
              <w:pStyle w:val="BodyTextBox"/>
              <w:framePr w:wrap="around"/>
            </w:pPr>
            <w:r w:rsidRPr="00A1397D">
              <w:rPr>
                <w:b/>
              </w:rPr>
              <w:t>Funding allocation:</w:t>
            </w:r>
            <w:r w:rsidRPr="00A1397D">
              <w:t xml:space="preserve"> </w:t>
            </w:r>
            <w:r w:rsidR="005329D9">
              <w:t>The Budget will provide over $2.0 billion over the next four years, subject to completion of the business case, to commence construction of the New South Wales and Commonwealth Government funded project.</w:t>
            </w:r>
          </w:p>
        </w:tc>
      </w:tr>
      <w:bookmarkEnd w:id="21"/>
      <w:bookmarkEnd w:id="22"/>
    </w:tbl>
    <w:p w14:paraId="3EE258FF" w14:textId="77777777" w:rsidR="00D80A12" w:rsidRPr="00A1397D" w:rsidRDefault="00D80A12" w:rsidP="00427F40">
      <w:pPr>
        <w:rPr>
          <w:rFonts w:ascii="Arial" w:hAnsi="Arial" w:cs="Arial"/>
        </w:rPr>
      </w:pPr>
    </w:p>
    <w:p w14:paraId="43F62056" w14:textId="17BC4341" w:rsidR="00C83CC7" w:rsidRPr="00AF022A" w:rsidRDefault="00C83CC7" w:rsidP="00A33734">
      <w:pPr>
        <w:pStyle w:val="Heading2"/>
      </w:pPr>
      <w:bookmarkStart w:id="25" w:name="_Toc481587894"/>
      <w:bookmarkStart w:id="26" w:name="_Toc481587890"/>
      <w:r w:rsidRPr="00AF022A">
        <w:t>Existing assets and maintenance program</w:t>
      </w:r>
      <w:bookmarkEnd w:id="25"/>
    </w:p>
    <w:p w14:paraId="544365D9" w14:textId="77777777" w:rsidR="00C83CC7" w:rsidRDefault="00C83CC7" w:rsidP="00C83CC7">
      <w:pPr>
        <w:pStyle w:val="Heading3"/>
      </w:pPr>
      <w:r>
        <w:t xml:space="preserve">Existing assets </w:t>
      </w:r>
    </w:p>
    <w:p w14:paraId="38A7112C" w14:textId="77777777" w:rsidR="00514190" w:rsidRPr="00A1397D" w:rsidRDefault="00C83CC7" w:rsidP="00BF4099">
      <w:pPr>
        <w:pStyle w:val="BodyText"/>
      </w:pPr>
      <w:r w:rsidRPr="00A1397D">
        <w:t>The State’s physical assets comprise land and buildings, plant and equipment and infrastructure systems. Key assets include transport networks, public schools, hospitals, police and court facilities, public housing, water storage and supply networks, electricity and distribution networks and roads. Physical assets exclude intangibles, inventories and assets held for sale.</w:t>
      </w:r>
    </w:p>
    <w:p w14:paraId="7C4A8891" w14:textId="18F69573" w:rsidR="009D3D61" w:rsidRPr="00A1397D" w:rsidRDefault="003E0DB7" w:rsidP="00BF4099">
      <w:pPr>
        <w:pStyle w:val="BodyText"/>
      </w:pPr>
      <w:r w:rsidRPr="00A1397D">
        <w:t xml:space="preserve">Table 1.4 shows that </w:t>
      </w:r>
      <w:r w:rsidR="00EB5472" w:rsidRPr="00A1397D">
        <w:t xml:space="preserve">even with the Government’s asset recycling program, the State’s asset base is </w:t>
      </w:r>
      <w:r w:rsidR="00585B04" w:rsidRPr="00A1397D">
        <w:t>growing,</w:t>
      </w:r>
      <w:r w:rsidR="00EB5472" w:rsidRPr="00A1397D">
        <w:t xml:space="preserve"> and </w:t>
      </w:r>
      <w:r w:rsidR="00D00E97" w:rsidRPr="00A1397D">
        <w:t xml:space="preserve">the </w:t>
      </w:r>
      <w:r w:rsidR="00242EB0" w:rsidRPr="00A1397D">
        <w:t>people</w:t>
      </w:r>
      <w:r w:rsidR="00EB5472" w:rsidRPr="00A1397D">
        <w:t xml:space="preserve"> </w:t>
      </w:r>
      <w:r w:rsidR="00D00E97" w:rsidRPr="00A1397D">
        <w:t xml:space="preserve">of New South Wales are </w:t>
      </w:r>
      <w:r w:rsidR="00EB5472" w:rsidRPr="00A1397D">
        <w:t>shar</w:t>
      </w:r>
      <w:r w:rsidR="00D00E97" w:rsidRPr="00A1397D">
        <w:t>ing</w:t>
      </w:r>
      <w:r w:rsidR="00EB5472" w:rsidRPr="00A1397D">
        <w:t xml:space="preserve"> in this wealth. The </w:t>
      </w:r>
      <w:r w:rsidR="00D152BD" w:rsidRPr="00A1397D">
        <w:t>State’s physical assets are estimated to have a value of $355.9</w:t>
      </w:r>
      <w:r w:rsidR="007F6080" w:rsidRPr="00A1397D">
        <w:t> </w:t>
      </w:r>
      <w:r w:rsidR="00D152BD" w:rsidRPr="00A1397D">
        <w:t xml:space="preserve">billion as at 30 June 2019, an increase of $16.1 billion from 30 June 2018. </w:t>
      </w:r>
      <w:r w:rsidRPr="00A1397D">
        <w:t>T</w:t>
      </w:r>
      <w:r w:rsidR="00C83CC7" w:rsidRPr="00A1397D">
        <w:t>he State’s physical assets across both the general government and PNFC sectors were valued at $</w:t>
      </w:r>
      <w:r w:rsidR="00E338BC" w:rsidRPr="00A1397D">
        <w:t>339</w:t>
      </w:r>
      <w:r w:rsidR="00C83CC7" w:rsidRPr="00A1397D">
        <w:t>.</w:t>
      </w:r>
      <w:r w:rsidR="004D1DDA" w:rsidRPr="00A1397D">
        <w:t>8</w:t>
      </w:r>
      <w:r w:rsidR="007F6080" w:rsidRPr="00A1397D">
        <w:t> </w:t>
      </w:r>
      <w:r w:rsidR="00C83CC7" w:rsidRPr="00A1397D">
        <w:t xml:space="preserve">billion </w:t>
      </w:r>
      <w:r w:rsidR="000D76DD" w:rsidRPr="00A1397D">
        <w:t>as at 30</w:t>
      </w:r>
      <w:r w:rsidR="00C83CC7" w:rsidRPr="00A1397D">
        <w:t xml:space="preserve"> June 201</w:t>
      </w:r>
      <w:r w:rsidR="001D169B" w:rsidRPr="00A1397D">
        <w:t>8</w:t>
      </w:r>
      <w:r w:rsidR="00C83CC7" w:rsidRPr="00A1397D">
        <w:t xml:space="preserve">. </w:t>
      </w:r>
    </w:p>
    <w:p w14:paraId="52661CBC" w14:textId="5B9E07CF" w:rsidR="00C83CC7" w:rsidRDefault="00C83CC7" w:rsidP="007C62FC">
      <w:pPr>
        <w:pStyle w:val="Table1X"/>
      </w:pPr>
      <w:r w:rsidRPr="00443538">
        <w:t xml:space="preserve">State </w:t>
      </w:r>
      <w:r w:rsidRPr="00F47989">
        <w:t>owned</w:t>
      </w:r>
      <w:r w:rsidRPr="00443538">
        <w:t xml:space="preserve"> </w:t>
      </w:r>
      <w:r w:rsidRPr="002E75A4">
        <w:t>physical</w:t>
      </w:r>
      <w:r w:rsidRPr="00443538">
        <w:t xml:space="preserve"> assets: value by sector </w:t>
      </w:r>
      <w:r w:rsidRPr="00B02582">
        <w:rPr>
          <w:vertAlign w:val="superscript"/>
        </w:rPr>
        <w:t>(a)(b)</w:t>
      </w:r>
      <w:r w:rsidRPr="00CC41C9">
        <w:t xml:space="preserve"> </w:t>
      </w:r>
    </w:p>
    <w:tbl>
      <w:tblPr>
        <w:tblW w:w="9680" w:type="dxa"/>
        <w:tblLook w:val="04A0" w:firstRow="1" w:lastRow="0" w:firstColumn="1" w:lastColumn="0" w:noHBand="0" w:noVBand="1"/>
        <w:tblCaption w:val="Table 1.4: State owned physical assets: value by sector"/>
        <w:tblDescription w:val="Table 1.4: State owned physical assets: value by sector"/>
      </w:tblPr>
      <w:tblGrid>
        <w:gridCol w:w="4460"/>
        <w:gridCol w:w="1040"/>
        <w:gridCol w:w="1040"/>
        <w:gridCol w:w="1040"/>
        <w:gridCol w:w="1040"/>
        <w:gridCol w:w="1060"/>
      </w:tblGrid>
      <w:tr w:rsidR="00471DDB" w:rsidRPr="00A1397D" w14:paraId="44E4D926" w14:textId="77777777" w:rsidTr="00471DDB">
        <w:trPr>
          <w:trHeight w:val="495"/>
        </w:trPr>
        <w:tc>
          <w:tcPr>
            <w:tcW w:w="4460" w:type="dxa"/>
            <w:tcBorders>
              <w:top w:val="nil"/>
              <w:left w:val="nil"/>
              <w:bottom w:val="nil"/>
              <w:right w:val="nil"/>
            </w:tcBorders>
            <w:shd w:val="clear" w:color="000000" w:fill="25A9E1"/>
            <w:noWrap/>
            <w:vAlign w:val="bottom"/>
            <w:hideMark/>
          </w:tcPr>
          <w:p w14:paraId="6C4890D3" w14:textId="77777777" w:rsidR="00471DDB" w:rsidRPr="00A1397D" w:rsidRDefault="00471DDB" w:rsidP="00471DDB">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As at 30 June</w:t>
            </w:r>
          </w:p>
        </w:tc>
        <w:tc>
          <w:tcPr>
            <w:tcW w:w="1040" w:type="dxa"/>
            <w:tcBorders>
              <w:top w:val="nil"/>
              <w:left w:val="nil"/>
              <w:bottom w:val="nil"/>
              <w:right w:val="nil"/>
            </w:tcBorders>
            <w:shd w:val="clear" w:color="000000" w:fill="25A9E1"/>
            <w:vAlign w:val="bottom"/>
            <w:hideMark/>
          </w:tcPr>
          <w:p w14:paraId="36E8D89A" w14:textId="77777777" w:rsidR="00471DDB" w:rsidRPr="00A1397D" w:rsidRDefault="00471DDB" w:rsidP="00471DDB">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2016</w:t>
            </w:r>
            <w:r w:rsidRPr="00A1397D">
              <w:rPr>
                <w:rFonts w:ascii="Arial" w:hAnsi="Arial" w:cs="Arial"/>
                <w:color w:val="FFFFFF"/>
                <w:sz w:val="17"/>
                <w:szCs w:val="17"/>
                <w:lang w:val="en-AU" w:eastAsia="en-AU"/>
              </w:rPr>
              <w:br/>
              <w:t>Actual</w:t>
            </w:r>
          </w:p>
        </w:tc>
        <w:tc>
          <w:tcPr>
            <w:tcW w:w="1040" w:type="dxa"/>
            <w:tcBorders>
              <w:top w:val="nil"/>
              <w:left w:val="nil"/>
              <w:bottom w:val="nil"/>
              <w:right w:val="nil"/>
            </w:tcBorders>
            <w:shd w:val="clear" w:color="000000" w:fill="25A9E1"/>
            <w:vAlign w:val="bottom"/>
            <w:hideMark/>
          </w:tcPr>
          <w:p w14:paraId="1DCA5FCB" w14:textId="77777777" w:rsidR="00471DDB" w:rsidRPr="00A1397D" w:rsidRDefault="00471DDB" w:rsidP="00471DDB">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2017</w:t>
            </w:r>
            <w:r w:rsidRPr="00A1397D">
              <w:rPr>
                <w:rFonts w:ascii="Arial" w:hAnsi="Arial" w:cs="Arial"/>
                <w:color w:val="FFFFFF"/>
                <w:sz w:val="17"/>
                <w:szCs w:val="17"/>
                <w:lang w:val="en-AU" w:eastAsia="en-AU"/>
              </w:rPr>
              <w:br/>
              <w:t xml:space="preserve">Actual </w:t>
            </w:r>
          </w:p>
        </w:tc>
        <w:tc>
          <w:tcPr>
            <w:tcW w:w="1040" w:type="dxa"/>
            <w:tcBorders>
              <w:top w:val="nil"/>
              <w:left w:val="nil"/>
              <w:bottom w:val="nil"/>
              <w:right w:val="nil"/>
            </w:tcBorders>
            <w:shd w:val="clear" w:color="000000" w:fill="25A9E1"/>
            <w:vAlign w:val="bottom"/>
            <w:hideMark/>
          </w:tcPr>
          <w:p w14:paraId="77C9AC09" w14:textId="77777777" w:rsidR="00471DDB" w:rsidRPr="00A1397D" w:rsidRDefault="00471DDB" w:rsidP="00471DDB">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2018</w:t>
            </w:r>
            <w:r w:rsidRPr="00A1397D">
              <w:rPr>
                <w:rFonts w:ascii="Arial" w:hAnsi="Arial" w:cs="Arial"/>
                <w:color w:val="FFFFFF"/>
                <w:sz w:val="17"/>
                <w:szCs w:val="17"/>
                <w:lang w:val="en-AU" w:eastAsia="en-AU"/>
              </w:rPr>
              <w:br/>
              <w:t xml:space="preserve">Actual </w:t>
            </w:r>
          </w:p>
        </w:tc>
        <w:tc>
          <w:tcPr>
            <w:tcW w:w="1040" w:type="dxa"/>
            <w:tcBorders>
              <w:top w:val="nil"/>
              <w:left w:val="nil"/>
              <w:bottom w:val="nil"/>
              <w:right w:val="nil"/>
            </w:tcBorders>
            <w:shd w:val="clear" w:color="000000" w:fill="25A9E1"/>
            <w:vAlign w:val="bottom"/>
            <w:hideMark/>
          </w:tcPr>
          <w:p w14:paraId="0ED9C571" w14:textId="77777777" w:rsidR="00471DDB" w:rsidRPr="00A1397D" w:rsidRDefault="00471DDB" w:rsidP="00471DDB">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2019</w:t>
            </w:r>
            <w:r w:rsidRPr="00A1397D">
              <w:rPr>
                <w:rFonts w:ascii="Arial" w:hAnsi="Arial" w:cs="Arial"/>
                <w:color w:val="FFFFFF"/>
                <w:sz w:val="17"/>
                <w:szCs w:val="17"/>
                <w:lang w:val="en-AU" w:eastAsia="en-AU"/>
              </w:rPr>
              <w:br/>
              <w:t>Revised</w:t>
            </w:r>
          </w:p>
        </w:tc>
        <w:tc>
          <w:tcPr>
            <w:tcW w:w="1060" w:type="dxa"/>
            <w:tcBorders>
              <w:top w:val="nil"/>
              <w:left w:val="nil"/>
              <w:bottom w:val="nil"/>
              <w:right w:val="nil"/>
            </w:tcBorders>
            <w:shd w:val="clear" w:color="000000" w:fill="25A9E1"/>
            <w:vAlign w:val="bottom"/>
            <w:hideMark/>
          </w:tcPr>
          <w:p w14:paraId="53783061" w14:textId="77777777" w:rsidR="00471DDB" w:rsidRPr="00A1397D" w:rsidRDefault="00471DDB" w:rsidP="00471DDB">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2020</w:t>
            </w:r>
            <w:r w:rsidRPr="00A1397D">
              <w:rPr>
                <w:rFonts w:ascii="Arial" w:hAnsi="Arial" w:cs="Arial"/>
                <w:color w:val="FFFFFF"/>
                <w:sz w:val="17"/>
                <w:szCs w:val="17"/>
                <w:lang w:val="en-AU" w:eastAsia="en-AU"/>
              </w:rPr>
              <w:br/>
              <w:t>Budget</w:t>
            </w:r>
          </w:p>
        </w:tc>
      </w:tr>
      <w:tr w:rsidR="00471DDB" w:rsidRPr="00A1397D" w14:paraId="1BCE60D2" w14:textId="77777777" w:rsidTr="00471DDB">
        <w:trPr>
          <w:trHeight w:val="255"/>
        </w:trPr>
        <w:tc>
          <w:tcPr>
            <w:tcW w:w="4460" w:type="dxa"/>
            <w:tcBorders>
              <w:top w:val="nil"/>
              <w:left w:val="nil"/>
              <w:bottom w:val="nil"/>
              <w:right w:val="nil"/>
            </w:tcBorders>
            <w:shd w:val="clear" w:color="000000" w:fill="0579B9"/>
            <w:vAlign w:val="center"/>
            <w:hideMark/>
          </w:tcPr>
          <w:p w14:paraId="1A6B4D77" w14:textId="77777777" w:rsidR="00471DDB" w:rsidRPr="00A1397D" w:rsidRDefault="00471DDB" w:rsidP="00471DDB">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 </w:t>
            </w:r>
          </w:p>
        </w:tc>
        <w:tc>
          <w:tcPr>
            <w:tcW w:w="1040" w:type="dxa"/>
            <w:tcBorders>
              <w:top w:val="nil"/>
              <w:left w:val="nil"/>
              <w:bottom w:val="nil"/>
              <w:right w:val="nil"/>
            </w:tcBorders>
            <w:shd w:val="clear" w:color="000000" w:fill="0579B9"/>
            <w:hideMark/>
          </w:tcPr>
          <w:p w14:paraId="21878CB9" w14:textId="77777777" w:rsidR="00471DDB" w:rsidRPr="00A1397D" w:rsidRDefault="00471DDB" w:rsidP="00471DDB">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$m</w:t>
            </w:r>
          </w:p>
        </w:tc>
        <w:tc>
          <w:tcPr>
            <w:tcW w:w="1040" w:type="dxa"/>
            <w:tcBorders>
              <w:top w:val="nil"/>
              <w:left w:val="nil"/>
              <w:bottom w:val="nil"/>
              <w:right w:val="nil"/>
            </w:tcBorders>
            <w:shd w:val="clear" w:color="000000" w:fill="0579B9"/>
            <w:hideMark/>
          </w:tcPr>
          <w:p w14:paraId="682E5B6A" w14:textId="77777777" w:rsidR="00471DDB" w:rsidRPr="00A1397D" w:rsidRDefault="00471DDB" w:rsidP="00471DDB">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$m</w:t>
            </w:r>
          </w:p>
        </w:tc>
        <w:tc>
          <w:tcPr>
            <w:tcW w:w="1040" w:type="dxa"/>
            <w:tcBorders>
              <w:top w:val="nil"/>
              <w:left w:val="nil"/>
              <w:bottom w:val="nil"/>
              <w:right w:val="nil"/>
            </w:tcBorders>
            <w:shd w:val="clear" w:color="000000" w:fill="0579B9"/>
            <w:hideMark/>
          </w:tcPr>
          <w:p w14:paraId="5575D2EA" w14:textId="77777777" w:rsidR="00471DDB" w:rsidRPr="00A1397D" w:rsidRDefault="00471DDB" w:rsidP="00471DDB">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$m</w:t>
            </w:r>
          </w:p>
        </w:tc>
        <w:tc>
          <w:tcPr>
            <w:tcW w:w="1040" w:type="dxa"/>
            <w:tcBorders>
              <w:top w:val="nil"/>
              <w:left w:val="nil"/>
              <w:bottom w:val="nil"/>
              <w:right w:val="nil"/>
            </w:tcBorders>
            <w:shd w:val="clear" w:color="000000" w:fill="0579B9"/>
            <w:hideMark/>
          </w:tcPr>
          <w:p w14:paraId="242939F2" w14:textId="77777777" w:rsidR="00471DDB" w:rsidRPr="00A1397D" w:rsidRDefault="00471DDB" w:rsidP="00471DDB">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$m</w:t>
            </w:r>
          </w:p>
        </w:tc>
        <w:tc>
          <w:tcPr>
            <w:tcW w:w="1060" w:type="dxa"/>
            <w:tcBorders>
              <w:top w:val="nil"/>
              <w:left w:val="nil"/>
              <w:bottom w:val="nil"/>
              <w:right w:val="nil"/>
            </w:tcBorders>
            <w:shd w:val="clear" w:color="000000" w:fill="0579B9"/>
            <w:hideMark/>
          </w:tcPr>
          <w:p w14:paraId="5CA0B1B5" w14:textId="77777777" w:rsidR="00471DDB" w:rsidRPr="00A1397D" w:rsidRDefault="00471DDB" w:rsidP="00471DDB">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$m</w:t>
            </w:r>
          </w:p>
        </w:tc>
      </w:tr>
      <w:tr w:rsidR="00471DDB" w:rsidRPr="00A1397D" w14:paraId="0D134AF7" w14:textId="77777777" w:rsidTr="00471DDB">
        <w:trPr>
          <w:trHeight w:val="240"/>
        </w:trPr>
        <w:tc>
          <w:tcPr>
            <w:tcW w:w="4460" w:type="dxa"/>
            <w:tcBorders>
              <w:top w:val="nil"/>
              <w:left w:val="nil"/>
              <w:bottom w:val="nil"/>
              <w:right w:val="nil"/>
            </w:tcBorders>
            <w:shd w:val="clear" w:color="auto" w:fill="auto"/>
            <w:noWrap/>
            <w:vAlign w:val="bottom"/>
            <w:hideMark/>
          </w:tcPr>
          <w:p w14:paraId="576519A0" w14:textId="77777777" w:rsidR="00471DDB" w:rsidRPr="00A1397D" w:rsidRDefault="00471DDB" w:rsidP="00DE2C43">
            <w:pPr>
              <w:spacing w:before="40"/>
              <w:rPr>
                <w:rFonts w:ascii="Arial" w:hAnsi="Arial" w:cs="Arial"/>
                <w:sz w:val="16"/>
                <w:szCs w:val="16"/>
                <w:lang w:val="en-AU" w:eastAsia="en-AU"/>
              </w:rPr>
            </w:pPr>
            <w:r w:rsidRPr="00A1397D">
              <w:rPr>
                <w:rFonts w:ascii="Arial" w:hAnsi="Arial" w:cs="Arial"/>
                <w:sz w:val="16"/>
                <w:szCs w:val="16"/>
                <w:lang w:val="en-AU" w:eastAsia="en-AU"/>
              </w:rPr>
              <w:t>General Government Sector</w:t>
            </w:r>
          </w:p>
        </w:tc>
        <w:tc>
          <w:tcPr>
            <w:tcW w:w="1040" w:type="dxa"/>
            <w:tcBorders>
              <w:top w:val="nil"/>
              <w:left w:val="nil"/>
              <w:bottom w:val="nil"/>
              <w:right w:val="nil"/>
            </w:tcBorders>
            <w:shd w:val="clear" w:color="auto" w:fill="auto"/>
            <w:noWrap/>
            <w:vAlign w:val="center"/>
            <w:hideMark/>
          </w:tcPr>
          <w:p w14:paraId="5C94F7F3" w14:textId="3A9016CF" w:rsidR="00471DDB" w:rsidRPr="00A1397D" w:rsidRDefault="00471DDB" w:rsidP="00DE2C43">
            <w:pPr>
              <w:spacing w:before="40"/>
              <w:jc w:val="right"/>
              <w:rPr>
                <w:rFonts w:ascii="Arial" w:hAnsi="Arial" w:cs="Arial"/>
                <w:sz w:val="16"/>
                <w:szCs w:val="16"/>
                <w:lang w:val="en-AU" w:eastAsia="en-AU"/>
              </w:rPr>
            </w:pPr>
            <w:r w:rsidRPr="00A1397D">
              <w:rPr>
                <w:rFonts w:ascii="Arial" w:hAnsi="Arial" w:cs="Arial"/>
                <w:sz w:val="16"/>
                <w:szCs w:val="16"/>
                <w:lang w:val="en-AU" w:eastAsia="en-AU"/>
              </w:rPr>
              <w:t>164,414</w:t>
            </w:r>
          </w:p>
        </w:tc>
        <w:tc>
          <w:tcPr>
            <w:tcW w:w="1040" w:type="dxa"/>
            <w:tcBorders>
              <w:top w:val="nil"/>
              <w:left w:val="nil"/>
              <w:bottom w:val="nil"/>
              <w:right w:val="nil"/>
            </w:tcBorders>
            <w:shd w:val="clear" w:color="auto" w:fill="auto"/>
            <w:noWrap/>
            <w:vAlign w:val="center"/>
            <w:hideMark/>
          </w:tcPr>
          <w:p w14:paraId="59F90389" w14:textId="3ED16456" w:rsidR="00471DDB" w:rsidRPr="00A1397D" w:rsidRDefault="00471DDB" w:rsidP="00DE2C43">
            <w:pPr>
              <w:spacing w:before="40"/>
              <w:jc w:val="right"/>
              <w:rPr>
                <w:rFonts w:ascii="Arial" w:hAnsi="Arial" w:cs="Arial"/>
                <w:sz w:val="16"/>
                <w:szCs w:val="16"/>
                <w:lang w:val="en-AU" w:eastAsia="en-AU"/>
              </w:rPr>
            </w:pPr>
            <w:r w:rsidRPr="00A1397D">
              <w:rPr>
                <w:rFonts w:ascii="Arial" w:hAnsi="Arial" w:cs="Arial"/>
                <w:sz w:val="16"/>
                <w:szCs w:val="16"/>
                <w:lang w:val="en-AU" w:eastAsia="en-AU"/>
              </w:rPr>
              <w:t>176,199</w:t>
            </w:r>
          </w:p>
        </w:tc>
        <w:tc>
          <w:tcPr>
            <w:tcW w:w="1040" w:type="dxa"/>
            <w:tcBorders>
              <w:top w:val="nil"/>
              <w:left w:val="nil"/>
              <w:bottom w:val="nil"/>
              <w:right w:val="nil"/>
            </w:tcBorders>
            <w:shd w:val="clear" w:color="auto" w:fill="auto"/>
            <w:noWrap/>
            <w:vAlign w:val="center"/>
            <w:hideMark/>
          </w:tcPr>
          <w:p w14:paraId="41098BF1" w14:textId="4A208AE5" w:rsidR="00471DDB" w:rsidRPr="00A1397D" w:rsidRDefault="00471DDB" w:rsidP="00DE2C43">
            <w:pPr>
              <w:spacing w:before="40"/>
              <w:jc w:val="right"/>
              <w:rPr>
                <w:rFonts w:ascii="Arial" w:hAnsi="Arial" w:cs="Arial"/>
                <w:sz w:val="16"/>
                <w:szCs w:val="16"/>
                <w:lang w:val="en-AU" w:eastAsia="en-AU"/>
              </w:rPr>
            </w:pPr>
            <w:r w:rsidRPr="00A1397D">
              <w:rPr>
                <w:rFonts w:ascii="Arial" w:hAnsi="Arial" w:cs="Arial"/>
                <w:sz w:val="16"/>
                <w:szCs w:val="16"/>
                <w:lang w:val="en-AU" w:eastAsia="en-AU"/>
              </w:rPr>
              <w:t>198,563</w:t>
            </w:r>
          </w:p>
        </w:tc>
        <w:tc>
          <w:tcPr>
            <w:tcW w:w="1040" w:type="dxa"/>
            <w:tcBorders>
              <w:top w:val="nil"/>
              <w:left w:val="nil"/>
              <w:bottom w:val="nil"/>
              <w:right w:val="nil"/>
            </w:tcBorders>
            <w:shd w:val="clear" w:color="000000" w:fill="F2F2F2"/>
            <w:noWrap/>
            <w:vAlign w:val="center"/>
            <w:hideMark/>
          </w:tcPr>
          <w:p w14:paraId="264A68FB" w14:textId="2DB015AC" w:rsidR="00471DDB" w:rsidRPr="00A1397D" w:rsidRDefault="00471DDB" w:rsidP="00DE2C43">
            <w:pPr>
              <w:spacing w:before="40"/>
              <w:jc w:val="right"/>
              <w:rPr>
                <w:rFonts w:ascii="Arial" w:hAnsi="Arial" w:cs="Arial"/>
                <w:sz w:val="16"/>
                <w:szCs w:val="16"/>
                <w:lang w:val="en-AU" w:eastAsia="en-AU"/>
              </w:rPr>
            </w:pPr>
            <w:r w:rsidRPr="00A1397D">
              <w:rPr>
                <w:rFonts w:ascii="Arial" w:hAnsi="Arial" w:cs="Arial"/>
                <w:sz w:val="16"/>
                <w:szCs w:val="16"/>
                <w:lang w:val="en-AU" w:eastAsia="en-AU"/>
              </w:rPr>
              <w:t>224,826</w:t>
            </w:r>
          </w:p>
        </w:tc>
        <w:tc>
          <w:tcPr>
            <w:tcW w:w="1060" w:type="dxa"/>
            <w:tcBorders>
              <w:top w:val="nil"/>
              <w:left w:val="nil"/>
              <w:bottom w:val="nil"/>
              <w:right w:val="nil"/>
            </w:tcBorders>
            <w:shd w:val="clear" w:color="000000" w:fill="F2F2F2"/>
            <w:noWrap/>
            <w:vAlign w:val="center"/>
            <w:hideMark/>
          </w:tcPr>
          <w:p w14:paraId="0FAA2327" w14:textId="3E15D9A7" w:rsidR="00471DDB" w:rsidRPr="00A1397D" w:rsidRDefault="00471DDB" w:rsidP="00DE2C43">
            <w:pPr>
              <w:spacing w:before="40"/>
              <w:jc w:val="right"/>
              <w:rPr>
                <w:rFonts w:ascii="Arial" w:hAnsi="Arial" w:cs="Arial"/>
                <w:sz w:val="16"/>
                <w:szCs w:val="16"/>
                <w:lang w:val="en-AU" w:eastAsia="en-AU"/>
              </w:rPr>
            </w:pPr>
            <w:r w:rsidRPr="00A1397D">
              <w:rPr>
                <w:rFonts w:ascii="Arial" w:hAnsi="Arial" w:cs="Arial"/>
                <w:sz w:val="16"/>
                <w:szCs w:val="16"/>
                <w:lang w:val="en-AU" w:eastAsia="en-AU"/>
              </w:rPr>
              <w:t>237,862</w:t>
            </w:r>
          </w:p>
        </w:tc>
      </w:tr>
      <w:tr w:rsidR="00471DDB" w:rsidRPr="00A1397D" w14:paraId="29618A68" w14:textId="77777777" w:rsidTr="00471DDB">
        <w:trPr>
          <w:trHeight w:val="300"/>
        </w:trPr>
        <w:tc>
          <w:tcPr>
            <w:tcW w:w="4460" w:type="dxa"/>
            <w:tcBorders>
              <w:top w:val="nil"/>
              <w:left w:val="nil"/>
              <w:bottom w:val="single" w:sz="4" w:space="0" w:color="auto"/>
              <w:right w:val="nil"/>
            </w:tcBorders>
            <w:shd w:val="clear" w:color="auto" w:fill="auto"/>
            <w:noWrap/>
            <w:vAlign w:val="bottom"/>
            <w:hideMark/>
          </w:tcPr>
          <w:p w14:paraId="382F9742" w14:textId="77777777" w:rsidR="00471DDB" w:rsidRPr="00A1397D" w:rsidRDefault="00471DDB" w:rsidP="00471DDB">
            <w:pPr>
              <w:rPr>
                <w:rFonts w:ascii="Arial" w:hAnsi="Arial" w:cs="Arial"/>
                <w:sz w:val="16"/>
                <w:szCs w:val="16"/>
                <w:lang w:val="en-AU" w:eastAsia="en-AU"/>
              </w:rPr>
            </w:pPr>
            <w:r w:rsidRPr="00A1397D">
              <w:rPr>
                <w:rFonts w:ascii="Arial" w:hAnsi="Arial" w:cs="Arial"/>
                <w:sz w:val="16"/>
                <w:szCs w:val="16"/>
                <w:lang w:val="en-AU" w:eastAsia="en-AU"/>
              </w:rPr>
              <w:t>Public Non-Financial Corporations</w:t>
            </w:r>
          </w:p>
        </w:tc>
        <w:tc>
          <w:tcPr>
            <w:tcW w:w="1040" w:type="dxa"/>
            <w:tcBorders>
              <w:top w:val="nil"/>
              <w:left w:val="nil"/>
              <w:bottom w:val="single" w:sz="4" w:space="0" w:color="auto"/>
              <w:right w:val="nil"/>
            </w:tcBorders>
            <w:shd w:val="clear" w:color="auto" w:fill="auto"/>
            <w:noWrap/>
            <w:vAlign w:val="center"/>
            <w:hideMark/>
          </w:tcPr>
          <w:p w14:paraId="14CA9B4B" w14:textId="5CB8E255" w:rsidR="00471DDB" w:rsidRPr="00A1397D" w:rsidRDefault="00471DDB" w:rsidP="00471DDB">
            <w:pPr>
              <w:jc w:val="right"/>
              <w:rPr>
                <w:rFonts w:ascii="Arial" w:hAnsi="Arial" w:cs="Arial"/>
                <w:sz w:val="16"/>
                <w:szCs w:val="16"/>
                <w:lang w:val="en-AU" w:eastAsia="en-AU"/>
              </w:rPr>
            </w:pPr>
            <w:r w:rsidRPr="00A1397D">
              <w:rPr>
                <w:rFonts w:ascii="Arial" w:hAnsi="Arial" w:cs="Arial"/>
                <w:sz w:val="16"/>
                <w:szCs w:val="16"/>
                <w:lang w:val="en-AU" w:eastAsia="en-AU"/>
              </w:rPr>
              <w:t>140,303</w:t>
            </w:r>
          </w:p>
        </w:tc>
        <w:tc>
          <w:tcPr>
            <w:tcW w:w="1040" w:type="dxa"/>
            <w:tcBorders>
              <w:top w:val="nil"/>
              <w:left w:val="nil"/>
              <w:bottom w:val="single" w:sz="4" w:space="0" w:color="auto"/>
              <w:right w:val="nil"/>
            </w:tcBorders>
            <w:shd w:val="clear" w:color="auto" w:fill="auto"/>
            <w:noWrap/>
            <w:vAlign w:val="center"/>
            <w:hideMark/>
          </w:tcPr>
          <w:p w14:paraId="3BB43755" w14:textId="2981D71B" w:rsidR="00471DDB" w:rsidRPr="00A1397D" w:rsidRDefault="00471DDB" w:rsidP="00471DDB">
            <w:pPr>
              <w:jc w:val="right"/>
              <w:rPr>
                <w:rFonts w:ascii="Arial" w:hAnsi="Arial" w:cs="Arial"/>
                <w:sz w:val="16"/>
                <w:szCs w:val="16"/>
                <w:lang w:val="en-AU" w:eastAsia="en-AU"/>
              </w:rPr>
            </w:pPr>
            <w:r w:rsidRPr="00A1397D">
              <w:rPr>
                <w:rFonts w:ascii="Arial" w:hAnsi="Arial" w:cs="Arial"/>
                <w:sz w:val="16"/>
                <w:szCs w:val="16"/>
                <w:lang w:val="en-AU" w:eastAsia="en-AU"/>
              </w:rPr>
              <w:t>130,960</w:t>
            </w:r>
          </w:p>
        </w:tc>
        <w:tc>
          <w:tcPr>
            <w:tcW w:w="1040" w:type="dxa"/>
            <w:tcBorders>
              <w:top w:val="nil"/>
              <w:left w:val="nil"/>
              <w:bottom w:val="single" w:sz="4" w:space="0" w:color="auto"/>
              <w:right w:val="nil"/>
            </w:tcBorders>
            <w:shd w:val="clear" w:color="auto" w:fill="auto"/>
            <w:noWrap/>
            <w:vAlign w:val="center"/>
            <w:hideMark/>
          </w:tcPr>
          <w:p w14:paraId="0BBB7C5E" w14:textId="48FD2B23" w:rsidR="00471DDB" w:rsidRPr="00A1397D" w:rsidRDefault="00471DDB" w:rsidP="00471DDB">
            <w:pPr>
              <w:jc w:val="right"/>
              <w:rPr>
                <w:rFonts w:ascii="Arial" w:hAnsi="Arial" w:cs="Arial"/>
                <w:sz w:val="16"/>
                <w:szCs w:val="16"/>
                <w:lang w:val="en-AU" w:eastAsia="en-AU"/>
              </w:rPr>
            </w:pPr>
            <w:r w:rsidRPr="00A1397D">
              <w:rPr>
                <w:rFonts w:ascii="Arial" w:hAnsi="Arial" w:cs="Arial"/>
                <w:sz w:val="16"/>
                <w:szCs w:val="16"/>
                <w:lang w:val="en-AU" w:eastAsia="en-AU"/>
              </w:rPr>
              <w:t>140,012</w:t>
            </w:r>
          </w:p>
        </w:tc>
        <w:tc>
          <w:tcPr>
            <w:tcW w:w="1040" w:type="dxa"/>
            <w:tcBorders>
              <w:top w:val="nil"/>
              <w:left w:val="nil"/>
              <w:bottom w:val="single" w:sz="4" w:space="0" w:color="auto"/>
              <w:right w:val="nil"/>
            </w:tcBorders>
            <w:shd w:val="clear" w:color="000000" w:fill="F2F2F2"/>
            <w:noWrap/>
            <w:vAlign w:val="center"/>
            <w:hideMark/>
          </w:tcPr>
          <w:p w14:paraId="329ED660" w14:textId="6F7C7538" w:rsidR="00471DDB" w:rsidRPr="00A1397D" w:rsidRDefault="00471DDB" w:rsidP="00471DDB">
            <w:pPr>
              <w:jc w:val="right"/>
              <w:rPr>
                <w:rFonts w:ascii="Arial" w:hAnsi="Arial" w:cs="Arial"/>
                <w:sz w:val="16"/>
                <w:szCs w:val="16"/>
                <w:lang w:val="en-AU" w:eastAsia="en-AU"/>
              </w:rPr>
            </w:pPr>
            <w:r w:rsidRPr="00A1397D">
              <w:rPr>
                <w:rFonts w:ascii="Arial" w:hAnsi="Arial" w:cs="Arial"/>
                <w:sz w:val="16"/>
                <w:szCs w:val="16"/>
                <w:lang w:val="en-AU" w:eastAsia="en-AU"/>
              </w:rPr>
              <w:t>130,497</w:t>
            </w:r>
          </w:p>
        </w:tc>
        <w:tc>
          <w:tcPr>
            <w:tcW w:w="1060" w:type="dxa"/>
            <w:tcBorders>
              <w:top w:val="nil"/>
              <w:left w:val="nil"/>
              <w:bottom w:val="single" w:sz="4" w:space="0" w:color="auto"/>
              <w:right w:val="nil"/>
            </w:tcBorders>
            <w:shd w:val="clear" w:color="000000" w:fill="F2F2F2"/>
            <w:noWrap/>
            <w:vAlign w:val="center"/>
            <w:hideMark/>
          </w:tcPr>
          <w:p w14:paraId="1292EB82" w14:textId="5048F21D" w:rsidR="00471DDB" w:rsidRPr="00A1397D" w:rsidRDefault="00471DDB" w:rsidP="00471DDB">
            <w:pPr>
              <w:jc w:val="right"/>
              <w:rPr>
                <w:rFonts w:ascii="Arial" w:hAnsi="Arial" w:cs="Arial"/>
                <w:sz w:val="16"/>
                <w:szCs w:val="16"/>
                <w:lang w:val="en-AU" w:eastAsia="en-AU"/>
              </w:rPr>
            </w:pPr>
            <w:r w:rsidRPr="00A1397D">
              <w:rPr>
                <w:rFonts w:ascii="Arial" w:hAnsi="Arial" w:cs="Arial"/>
                <w:sz w:val="16"/>
                <w:szCs w:val="16"/>
                <w:lang w:val="en-AU" w:eastAsia="en-AU"/>
              </w:rPr>
              <w:t>141,896</w:t>
            </w:r>
          </w:p>
        </w:tc>
      </w:tr>
      <w:tr w:rsidR="00471DDB" w:rsidRPr="00A1397D" w14:paraId="20FF604C" w14:textId="77777777" w:rsidTr="00DB348F">
        <w:trPr>
          <w:trHeight w:val="340"/>
        </w:trPr>
        <w:tc>
          <w:tcPr>
            <w:tcW w:w="4460" w:type="dxa"/>
            <w:tcBorders>
              <w:top w:val="single" w:sz="4" w:space="0" w:color="auto"/>
              <w:left w:val="nil"/>
              <w:bottom w:val="single" w:sz="4" w:space="0" w:color="auto"/>
              <w:right w:val="nil"/>
            </w:tcBorders>
            <w:shd w:val="clear" w:color="auto" w:fill="auto"/>
            <w:noWrap/>
            <w:vAlign w:val="center"/>
            <w:hideMark/>
          </w:tcPr>
          <w:p w14:paraId="1E0789C1" w14:textId="77777777" w:rsidR="00471DDB" w:rsidRPr="00A1397D" w:rsidRDefault="00471DDB" w:rsidP="00471DDB">
            <w:pPr>
              <w:rPr>
                <w:rFonts w:ascii="Arial" w:hAnsi="Arial" w:cs="Arial"/>
                <w:b/>
                <w:bCs/>
                <w:color w:val="0579B9"/>
                <w:sz w:val="16"/>
                <w:szCs w:val="16"/>
                <w:lang w:val="en-AU" w:eastAsia="en-AU"/>
              </w:rPr>
            </w:pPr>
            <w:r w:rsidRPr="00A1397D">
              <w:rPr>
                <w:rFonts w:ascii="Arial" w:hAnsi="Arial" w:cs="Arial"/>
                <w:b/>
                <w:bCs/>
                <w:color w:val="0579B9"/>
                <w:sz w:val="16"/>
                <w:szCs w:val="16"/>
                <w:lang w:val="en-AU" w:eastAsia="en-AU"/>
              </w:rPr>
              <w:t xml:space="preserve">Total </w:t>
            </w:r>
            <w:r w:rsidRPr="00A1397D">
              <w:rPr>
                <w:rFonts w:ascii="Arial" w:hAnsi="Arial" w:cs="Arial"/>
                <w:b/>
                <w:bCs/>
                <w:color w:val="0579B9"/>
                <w:sz w:val="16"/>
                <w:szCs w:val="16"/>
                <w:vertAlign w:val="superscript"/>
                <w:lang w:val="en-AU" w:eastAsia="en-AU"/>
              </w:rPr>
              <w:t xml:space="preserve">(c) </w:t>
            </w:r>
          </w:p>
        </w:tc>
        <w:tc>
          <w:tcPr>
            <w:tcW w:w="1040" w:type="dxa"/>
            <w:tcBorders>
              <w:top w:val="single" w:sz="4" w:space="0" w:color="auto"/>
              <w:left w:val="nil"/>
              <w:bottom w:val="single" w:sz="4" w:space="0" w:color="auto"/>
              <w:right w:val="nil"/>
            </w:tcBorders>
            <w:shd w:val="clear" w:color="auto" w:fill="auto"/>
            <w:noWrap/>
            <w:vAlign w:val="center"/>
            <w:hideMark/>
          </w:tcPr>
          <w:p w14:paraId="223C8004" w14:textId="3CC38235" w:rsidR="00471DDB" w:rsidRPr="00A1397D" w:rsidRDefault="00471DDB" w:rsidP="00DB348F">
            <w:pPr>
              <w:jc w:val="right"/>
              <w:rPr>
                <w:rFonts w:ascii="Arial" w:hAnsi="Arial" w:cs="Arial"/>
                <w:b/>
                <w:bCs/>
                <w:color w:val="0579B9"/>
                <w:sz w:val="16"/>
                <w:szCs w:val="16"/>
                <w:lang w:val="en-AU" w:eastAsia="en-AU"/>
              </w:rPr>
            </w:pPr>
            <w:r w:rsidRPr="00A1397D">
              <w:rPr>
                <w:rFonts w:ascii="Arial" w:hAnsi="Arial" w:cs="Arial"/>
                <w:b/>
                <w:bCs/>
                <w:color w:val="0579B9"/>
                <w:sz w:val="16"/>
                <w:szCs w:val="16"/>
                <w:lang w:val="en-AU" w:eastAsia="en-AU"/>
              </w:rPr>
              <w:t>304,717</w:t>
            </w:r>
          </w:p>
        </w:tc>
        <w:tc>
          <w:tcPr>
            <w:tcW w:w="1040" w:type="dxa"/>
            <w:tcBorders>
              <w:top w:val="single" w:sz="4" w:space="0" w:color="auto"/>
              <w:left w:val="nil"/>
              <w:bottom w:val="single" w:sz="4" w:space="0" w:color="auto"/>
              <w:right w:val="nil"/>
            </w:tcBorders>
            <w:shd w:val="clear" w:color="auto" w:fill="auto"/>
            <w:noWrap/>
            <w:vAlign w:val="center"/>
            <w:hideMark/>
          </w:tcPr>
          <w:p w14:paraId="0607D733" w14:textId="0F94D9EA" w:rsidR="00471DDB" w:rsidRPr="00A1397D" w:rsidRDefault="00471DDB" w:rsidP="00DB348F">
            <w:pPr>
              <w:jc w:val="right"/>
              <w:rPr>
                <w:rFonts w:ascii="Arial" w:hAnsi="Arial" w:cs="Arial"/>
                <w:b/>
                <w:bCs/>
                <w:color w:val="0579B9"/>
                <w:sz w:val="16"/>
                <w:szCs w:val="16"/>
                <w:lang w:val="en-AU" w:eastAsia="en-AU"/>
              </w:rPr>
            </w:pPr>
            <w:r w:rsidRPr="00A1397D">
              <w:rPr>
                <w:rFonts w:ascii="Arial" w:hAnsi="Arial" w:cs="Arial"/>
                <w:b/>
                <w:bCs/>
                <w:color w:val="0579B9"/>
                <w:sz w:val="16"/>
                <w:szCs w:val="16"/>
                <w:lang w:val="en-AU" w:eastAsia="en-AU"/>
              </w:rPr>
              <w:t>307,714</w:t>
            </w:r>
          </w:p>
        </w:tc>
        <w:tc>
          <w:tcPr>
            <w:tcW w:w="1040" w:type="dxa"/>
            <w:tcBorders>
              <w:top w:val="single" w:sz="4" w:space="0" w:color="auto"/>
              <w:left w:val="nil"/>
              <w:bottom w:val="single" w:sz="4" w:space="0" w:color="auto"/>
              <w:right w:val="nil"/>
            </w:tcBorders>
            <w:shd w:val="clear" w:color="auto" w:fill="auto"/>
            <w:noWrap/>
            <w:vAlign w:val="center"/>
            <w:hideMark/>
          </w:tcPr>
          <w:p w14:paraId="75D7666A" w14:textId="1B992538" w:rsidR="00471DDB" w:rsidRPr="00A1397D" w:rsidRDefault="00471DDB" w:rsidP="00DB348F">
            <w:pPr>
              <w:jc w:val="right"/>
              <w:rPr>
                <w:rFonts w:ascii="Arial" w:hAnsi="Arial" w:cs="Arial"/>
                <w:b/>
                <w:bCs/>
                <w:color w:val="0579B9"/>
                <w:sz w:val="16"/>
                <w:szCs w:val="16"/>
                <w:lang w:val="en-AU" w:eastAsia="en-AU"/>
              </w:rPr>
            </w:pPr>
            <w:r w:rsidRPr="00A1397D">
              <w:rPr>
                <w:rFonts w:ascii="Arial" w:hAnsi="Arial" w:cs="Arial"/>
                <w:b/>
                <w:bCs/>
                <w:color w:val="0579B9"/>
                <w:sz w:val="16"/>
                <w:szCs w:val="16"/>
                <w:lang w:val="en-AU" w:eastAsia="en-AU"/>
              </w:rPr>
              <w:t>339,835</w:t>
            </w:r>
          </w:p>
        </w:tc>
        <w:tc>
          <w:tcPr>
            <w:tcW w:w="1040" w:type="dxa"/>
            <w:tcBorders>
              <w:top w:val="single" w:sz="4" w:space="0" w:color="auto"/>
              <w:left w:val="nil"/>
              <w:bottom w:val="single" w:sz="4" w:space="0" w:color="auto"/>
              <w:right w:val="nil"/>
            </w:tcBorders>
            <w:shd w:val="clear" w:color="000000" w:fill="F2F2F2"/>
            <w:noWrap/>
            <w:vAlign w:val="center"/>
            <w:hideMark/>
          </w:tcPr>
          <w:p w14:paraId="6380D4C3" w14:textId="6B839E4D" w:rsidR="00471DDB" w:rsidRPr="00A1397D" w:rsidRDefault="00471DDB" w:rsidP="00DB348F">
            <w:pPr>
              <w:jc w:val="right"/>
              <w:rPr>
                <w:rFonts w:ascii="Arial" w:hAnsi="Arial" w:cs="Arial"/>
                <w:b/>
                <w:bCs/>
                <w:color w:val="0579B9"/>
                <w:sz w:val="16"/>
                <w:szCs w:val="16"/>
                <w:lang w:val="en-AU" w:eastAsia="en-AU"/>
              </w:rPr>
            </w:pPr>
            <w:r w:rsidRPr="00A1397D">
              <w:rPr>
                <w:rFonts w:ascii="Arial" w:hAnsi="Arial" w:cs="Arial"/>
                <w:b/>
                <w:bCs/>
                <w:color w:val="0579B9"/>
                <w:sz w:val="16"/>
                <w:szCs w:val="16"/>
                <w:lang w:val="en-AU" w:eastAsia="en-AU"/>
              </w:rPr>
              <w:t>355,892</w:t>
            </w:r>
          </w:p>
        </w:tc>
        <w:tc>
          <w:tcPr>
            <w:tcW w:w="1060" w:type="dxa"/>
            <w:tcBorders>
              <w:top w:val="single" w:sz="4" w:space="0" w:color="auto"/>
              <w:left w:val="nil"/>
              <w:bottom w:val="single" w:sz="4" w:space="0" w:color="auto"/>
              <w:right w:val="nil"/>
            </w:tcBorders>
            <w:shd w:val="clear" w:color="000000" w:fill="F2F2F2"/>
            <w:noWrap/>
            <w:vAlign w:val="center"/>
            <w:hideMark/>
          </w:tcPr>
          <w:p w14:paraId="606F182D" w14:textId="0D82969A" w:rsidR="00471DDB" w:rsidRPr="00A1397D" w:rsidRDefault="00471DDB" w:rsidP="00DB348F">
            <w:pPr>
              <w:jc w:val="right"/>
              <w:rPr>
                <w:rFonts w:ascii="Arial" w:hAnsi="Arial" w:cs="Arial"/>
                <w:b/>
                <w:bCs/>
                <w:color w:val="0579B9"/>
                <w:sz w:val="16"/>
                <w:szCs w:val="16"/>
                <w:lang w:val="en-AU" w:eastAsia="en-AU"/>
              </w:rPr>
            </w:pPr>
            <w:r w:rsidRPr="00A1397D">
              <w:rPr>
                <w:rFonts w:ascii="Arial" w:hAnsi="Arial" w:cs="Arial"/>
                <w:b/>
                <w:bCs/>
                <w:color w:val="0579B9"/>
                <w:sz w:val="16"/>
                <w:szCs w:val="16"/>
                <w:lang w:val="en-AU" w:eastAsia="en-AU"/>
              </w:rPr>
              <w:t>380,350</w:t>
            </w:r>
          </w:p>
        </w:tc>
      </w:tr>
    </w:tbl>
    <w:p w14:paraId="79BE30D0" w14:textId="77777777" w:rsidR="00C045BC" w:rsidRPr="00A1397D" w:rsidRDefault="00C045BC" w:rsidP="00C045BC">
      <w:pPr>
        <w:rPr>
          <w:rFonts w:ascii="Arial" w:hAnsi="Arial" w:cs="Arial"/>
          <w:sz w:val="6"/>
          <w:szCs w:val="6"/>
        </w:rPr>
      </w:pPr>
    </w:p>
    <w:p w14:paraId="081A0160" w14:textId="77777777" w:rsidR="00C83CC7" w:rsidRPr="00A1397D" w:rsidRDefault="00C83CC7" w:rsidP="00BD23C8">
      <w:pPr>
        <w:widowControl w:val="0"/>
        <w:numPr>
          <w:ilvl w:val="0"/>
          <w:numId w:val="4"/>
        </w:numPr>
        <w:tabs>
          <w:tab w:val="left" w:pos="364"/>
          <w:tab w:val="right" w:pos="4196"/>
          <w:tab w:val="right" w:pos="5046"/>
          <w:tab w:val="right" w:pos="5897"/>
          <w:tab w:val="right" w:pos="6747"/>
          <w:tab w:val="right" w:pos="7598"/>
        </w:tabs>
        <w:autoSpaceDE w:val="0"/>
        <w:autoSpaceDN w:val="0"/>
        <w:ind w:left="357" w:hanging="357"/>
        <w:jc w:val="both"/>
        <w:rPr>
          <w:rFonts w:ascii="Arial" w:hAnsi="Arial" w:cs="Arial"/>
          <w:kern w:val="28"/>
          <w:sz w:val="17"/>
          <w:szCs w:val="17"/>
        </w:rPr>
      </w:pPr>
      <w:r w:rsidRPr="00A1397D">
        <w:rPr>
          <w:rFonts w:ascii="Arial" w:hAnsi="Arial" w:cs="Arial"/>
          <w:kern w:val="28"/>
          <w:sz w:val="17"/>
          <w:szCs w:val="17"/>
        </w:rPr>
        <w:t>Net of depreciation.</w:t>
      </w:r>
    </w:p>
    <w:p w14:paraId="68B36B42" w14:textId="77777777" w:rsidR="00C83CC7" w:rsidRPr="00A1397D" w:rsidRDefault="00C83CC7" w:rsidP="00BD23C8">
      <w:pPr>
        <w:widowControl w:val="0"/>
        <w:numPr>
          <w:ilvl w:val="0"/>
          <w:numId w:val="4"/>
        </w:numPr>
        <w:tabs>
          <w:tab w:val="left" w:pos="364"/>
          <w:tab w:val="right" w:pos="4196"/>
          <w:tab w:val="right" w:pos="5046"/>
          <w:tab w:val="right" w:pos="5897"/>
          <w:tab w:val="right" w:pos="6747"/>
          <w:tab w:val="right" w:pos="7598"/>
        </w:tabs>
        <w:autoSpaceDE w:val="0"/>
        <w:autoSpaceDN w:val="0"/>
        <w:ind w:left="357" w:hanging="357"/>
        <w:jc w:val="both"/>
        <w:rPr>
          <w:rFonts w:ascii="Arial" w:hAnsi="Arial" w:cs="Arial"/>
          <w:kern w:val="28"/>
          <w:sz w:val="17"/>
          <w:szCs w:val="17"/>
        </w:rPr>
      </w:pPr>
      <w:r w:rsidRPr="00A1397D">
        <w:rPr>
          <w:rFonts w:ascii="Arial" w:hAnsi="Arial" w:cs="Arial"/>
          <w:kern w:val="28"/>
          <w:sz w:val="17"/>
          <w:szCs w:val="17"/>
        </w:rPr>
        <w:t>Includes investment properties.</w:t>
      </w:r>
    </w:p>
    <w:p w14:paraId="0DE97739" w14:textId="77777777" w:rsidR="00427F40" w:rsidRPr="00A1397D" w:rsidRDefault="00C83CC7" w:rsidP="00BD23C8">
      <w:pPr>
        <w:widowControl w:val="0"/>
        <w:numPr>
          <w:ilvl w:val="0"/>
          <w:numId w:val="4"/>
        </w:numPr>
        <w:tabs>
          <w:tab w:val="left" w:pos="364"/>
          <w:tab w:val="right" w:pos="4196"/>
          <w:tab w:val="right" w:pos="5046"/>
          <w:tab w:val="right" w:pos="5897"/>
          <w:tab w:val="right" w:pos="6747"/>
          <w:tab w:val="right" w:pos="7598"/>
        </w:tabs>
        <w:autoSpaceDE w:val="0"/>
        <w:autoSpaceDN w:val="0"/>
        <w:ind w:left="357" w:hanging="357"/>
        <w:jc w:val="both"/>
        <w:rPr>
          <w:rFonts w:ascii="Arial" w:hAnsi="Arial" w:cs="Arial"/>
        </w:rPr>
      </w:pPr>
      <w:r w:rsidRPr="00A1397D">
        <w:rPr>
          <w:rFonts w:ascii="Arial" w:hAnsi="Arial" w:cs="Arial"/>
          <w:kern w:val="28"/>
          <w:sz w:val="17"/>
          <w:szCs w:val="17"/>
        </w:rPr>
        <w:t>Consolidated total may not equal the sum of the individual sectors due to differences in classification between the individual sectors and the consolidated sector.</w:t>
      </w:r>
    </w:p>
    <w:p w14:paraId="2AC164A8" w14:textId="77777777" w:rsidR="00A1397D" w:rsidRPr="00A1397D" w:rsidRDefault="00A1397D">
      <w:pPr>
        <w:rPr>
          <w:rFonts w:ascii="Arial" w:hAnsi="Arial" w:cs="Arial"/>
          <w:sz w:val="23"/>
          <w:lang w:val="en-AU"/>
        </w:rPr>
      </w:pPr>
      <w:r w:rsidRPr="00A1397D">
        <w:rPr>
          <w:rFonts w:ascii="Arial" w:hAnsi="Arial" w:cs="Arial"/>
        </w:rPr>
        <w:br w:type="page"/>
      </w:r>
    </w:p>
    <w:p w14:paraId="5354E458" w14:textId="010490B5" w:rsidR="00A6316B" w:rsidRPr="00A1397D" w:rsidRDefault="00A6316B" w:rsidP="00BF4099">
      <w:pPr>
        <w:pStyle w:val="BodyText"/>
      </w:pPr>
      <w:r w:rsidRPr="00A1397D">
        <w:lastRenderedPageBreak/>
        <w:t>Chart 1.</w:t>
      </w:r>
      <w:r w:rsidR="000E2B08" w:rsidRPr="00A1397D">
        <w:t>5</w:t>
      </w:r>
      <w:r w:rsidRPr="00A1397D">
        <w:t xml:space="preserve"> details the components of the State’s physical assets. The largest component at 30 June 201</w:t>
      </w:r>
      <w:r w:rsidR="008F5FCA" w:rsidRPr="00A1397D">
        <w:t>8</w:t>
      </w:r>
      <w:r w:rsidRPr="00A1397D">
        <w:t xml:space="preserve"> was infrastructure systems ($</w:t>
      </w:r>
      <w:r w:rsidR="00651E7D" w:rsidRPr="00A1397D">
        <w:t>160</w:t>
      </w:r>
      <w:r w:rsidRPr="00A1397D">
        <w:t>.</w:t>
      </w:r>
      <w:r w:rsidR="00651E7D" w:rsidRPr="00A1397D">
        <w:t>2</w:t>
      </w:r>
      <w:r w:rsidRPr="00A1397D">
        <w:t xml:space="preserve"> billion), which included roads, railways, ports, dams and pipelines. The remaining components comprise buildings ($</w:t>
      </w:r>
      <w:r w:rsidR="00636958" w:rsidRPr="00A1397D">
        <w:t>88</w:t>
      </w:r>
      <w:r w:rsidRPr="00A1397D">
        <w:t>.</w:t>
      </w:r>
      <w:r w:rsidR="00636958" w:rsidRPr="00A1397D">
        <w:t>9</w:t>
      </w:r>
      <w:r w:rsidRPr="00A1397D">
        <w:t xml:space="preserve"> billion), land ($</w:t>
      </w:r>
      <w:r w:rsidR="006C020A" w:rsidRPr="00A1397D">
        <w:t>73</w:t>
      </w:r>
      <w:r w:rsidRPr="00A1397D">
        <w:t>.</w:t>
      </w:r>
      <w:r w:rsidR="006C020A" w:rsidRPr="00A1397D">
        <w:t>3</w:t>
      </w:r>
      <w:r w:rsidRPr="00A1397D">
        <w:t> billion) and plant and equipment ($</w:t>
      </w:r>
      <w:r w:rsidR="006C020A" w:rsidRPr="00A1397D">
        <w:t>17</w:t>
      </w:r>
      <w:r w:rsidRPr="00A1397D">
        <w:t>.</w:t>
      </w:r>
      <w:r w:rsidR="00F57CF1" w:rsidRPr="00A1397D">
        <w:t>3</w:t>
      </w:r>
      <w:r w:rsidRPr="00A1397D">
        <w:t xml:space="preserve"> billion).</w:t>
      </w:r>
    </w:p>
    <w:p w14:paraId="7AC8F675" w14:textId="431B84EB" w:rsidR="00E57248" w:rsidRPr="00DF3D6B" w:rsidRDefault="00E57248" w:rsidP="007C62FC">
      <w:pPr>
        <w:pStyle w:val="Chart1X"/>
        <w:rPr>
          <w:lang w:eastAsia="en-AU"/>
        </w:rPr>
      </w:pPr>
      <w:r w:rsidRPr="00DF3D6B">
        <w:rPr>
          <w:lang w:eastAsia="en-AU"/>
        </w:rPr>
        <w:t>State owned physical assets: val</w:t>
      </w:r>
      <w:r w:rsidR="00875580">
        <w:rPr>
          <w:lang w:eastAsia="en-AU"/>
        </w:rPr>
        <w:t>ue by type, as at 30 June 201</w:t>
      </w:r>
      <w:r w:rsidR="00293E26">
        <w:rPr>
          <w:lang w:eastAsia="en-AU"/>
        </w:rPr>
        <w:t>8</w:t>
      </w:r>
    </w:p>
    <w:p w14:paraId="0AA3D554" w14:textId="4BB140E9" w:rsidR="00FC2527" w:rsidRPr="00A1397D" w:rsidRDefault="001D4EC2" w:rsidP="00FC2527">
      <w:pPr>
        <w:rPr>
          <w:rFonts w:ascii="Arial" w:hAnsi="Arial" w:cs="Arial"/>
        </w:rPr>
      </w:pPr>
      <w:r w:rsidRPr="00A1397D">
        <w:rPr>
          <w:rFonts w:ascii="Arial" w:hAnsi="Arial" w:cs="Arial"/>
          <w:noProof/>
        </w:rPr>
        <w:drawing>
          <wp:inline distT="0" distB="0" distL="0" distR="0" wp14:anchorId="6A13F858" wp14:editId="636FD45F">
            <wp:extent cx="5747164" cy="2859985"/>
            <wp:effectExtent l="0" t="0" r="0" b="0"/>
            <wp:docPr id="5" name="Chart 5" descr="Chart 1.5: State owned physical assets: value by type, as at 30 June 2018">
              <a:extLst xmlns:a="http://schemas.openxmlformats.org/drawingml/2006/main">
                <a:ext uri="{FF2B5EF4-FFF2-40B4-BE49-F238E27FC236}">
                  <a16:creationId xmlns:a16="http://schemas.microsoft.com/office/drawing/2014/main" id="{00000000-0008-0000-1E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A3B9D81" w14:textId="30207779" w:rsidR="00C83CC7" w:rsidRPr="00A1397D" w:rsidRDefault="00FC2527" w:rsidP="005D268D">
      <w:pPr>
        <w:ind w:left="357" w:hanging="357"/>
        <w:rPr>
          <w:rFonts w:ascii="Arial" w:hAnsi="Arial" w:cs="Arial"/>
        </w:rPr>
      </w:pPr>
      <w:r w:rsidRPr="00A1397D">
        <w:rPr>
          <w:rFonts w:ascii="Arial" w:hAnsi="Arial" w:cs="Arial"/>
          <w:kern w:val="28"/>
          <w:sz w:val="17"/>
          <w:szCs w:val="17"/>
        </w:rPr>
        <w:t xml:space="preserve">(a) </w:t>
      </w:r>
      <w:r w:rsidR="00465D55" w:rsidRPr="00A1397D">
        <w:rPr>
          <w:rFonts w:ascii="Arial" w:hAnsi="Arial" w:cs="Arial"/>
          <w:kern w:val="28"/>
          <w:sz w:val="17"/>
          <w:szCs w:val="17"/>
        </w:rPr>
        <w:tab/>
        <w:t>Infrastructure Systems are assets that comprise public facilities and which provide essential services</w:t>
      </w:r>
      <w:r w:rsidR="00722D17" w:rsidRPr="00A1397D">
        <w:rPr>
          <w:rFonts w:ascii="Arial" w:hAnsi="Arial" w:cs="Arial"/>
          <w:kern w:val="28"/>
          <w:sz w:val="17"/>
          <w:szCs w:val="17"/>
        </w:rPr>
        <w:t>. They also</w:t>
      </w:r>
      <w:r w:rsidR="00465D55" w:rsidRPr="00A1397D">
        <w:rPr>
          <w:rFonts w:ascii="Arial" w:hAnsi="Arial" w:cs="Arial"/>
          <w:kern w:val="28"/>
          <w:sz w:val="17"/>
          <w:szCs w:val="17"/>
        </w:rPr>
        <w:t xml:space="preserve"> enhance the productive capacity of the economy, including roads, bridges</w:t>
      </w:r>
      <w:r w:rsidR="00DE0375" w:rsidRPr="00A1397D">
        <w:rPr>
          <w:rFonts w:ascii="Arial" w:hAnsi="Arial" w:cs="Arial"/>
          <w:kern w:val="28"/>
          <w:sz w:val="17"/>
          <w:szCs w:val="17"/>
        </w:rPr>
        <w:t>,</w:t>
      </w:r>
      <w:r w:rsidR="00465D55" w:rsidRPr="00A1397D">
        <w:rPr>
          <w:rFonts w:ascii="Arial" w:hAnsi="Arial" w:cs="Arial"/>
          <w:kern w:val="28"/>
          <w:sz w:val="17"/>
          <w:szCs w:val="17"/>
        </w:rPr>
        <w:t xml:space="preserve"> and water infrastructure and distribution works</w:t>
      </w:r>
      <w:r w:rsidRPr="00A1397D">
        <w:rPr>
          <w:rFonts w:ascii="Arial" w:hAnsi="Arial" w:cs="Arial"/>
          <w:kern w:val="28"/>
          <w:sz w:val="17"/>
          <w:szCs w:val="17"/>
        </w:rPr>
        <w:t>.</w:t>
      </w:r>
      <w:r w:rsidR="00465D55" w:rsidRPr="00A1397D">
        <w:rPr>
          <w:rFonts w:ascii="Arial" w:hAnsi="Arial" w:cs="Arial"/>
        </w:rPr>
        <w:t xml:space="preserve"> </w:t>
      </w:r>
    </w:p>
    <w:p w14:paraId="6C163B39" w14:textId="77777777" w:rsidR="00C83CC7" w:rsidRPr="004F4954" w:rsidRDefault="00C83CC7" w:rsidP="00A1397D">
      <w:pPr>
        <w:pStyle w:val="Heading3"/>
      </w:pPr>
      <w:r w:rsidRPr="00BE0412">
        <w:t>Infrastructure</w:t>
      </w:r>
      <w:r w:rsidRPr="00FF6283">
        <w:t xml:space="preserve"> maintenance</w:t>
      </w:r>
    </w:p>
    <w:p w14:paraId="2BEADFFC" w14:textId="77777777" w:rsidR="00C83CC7" w:rsidRPr="00A1397D" w:rsidRDefault="00C83CC7" w:rsidP="00BF4099">
      <w:pPr>
        <w:pStyle w:val="BodyText"/>
      </w:pPr>
      <w:r w:rsidRPr="00A1397D">
        <w:t xml:space="preserve">Agencies maintain their infrastructure </w:t>
      </w:r>
      <w:r w:rsidR="00427FA6" w:rsidRPr="00A1397D">
        <w:t>to</w:t>
      </w:r>
      <w:r w:rsidRPr="00A1397D">
        <w:t xml:space="preserve"> support the delivery of high-quality services.</w:t>
      </w:r>
    </w:p>
    <w:p w14:paraId="6C9F9E23" w14:textId="3606F9D4" w:rsidR="00565DB6" w:rsidRPr="00A1397D" w:rsidRDefault="00C83CC7" w:rsidP="00BF4099">
      <w:pPr>
        <w:pStyle w:val="BodyText"/>
      </w:pPr>
      <w:r w:rsidRPr="00A1397D">
        <w:t>Treasury guidelines require that direct employee, contractor and external costs on infrastructure maintenance activities are reported as part of an agency’s maintenance expenditure. Table 1.</w:t>
      </w:r>
      <w:r w:rsidR="000E2B08" w:rsidRPr="00A1397D">
        <w:t>5</w:t>
      </w:r>
      <w:r w:rsidRPr="00A1397D">
        <w:t xml:space="preserve"> shows that the maintenance expenditure estimates for the general government and PNFC sectors are expected to </w:t>
      </w:r>
      <w:r w:rsidR="00040F57" w:rsidRPr="00A1397D">
        <w:t>increase</w:t>
      </w:r>
      <w:r w:rsidRPr="00A1397D">
        <w:t xml:space="preserve"> over the four years to 202</w:t>
      </w:r>
      <w:r w:rsidR="004C0041" w:rsidRPr="00A1397D">
        <w:t>2</w:t>
      </w:r>
      <w:r w:rsidRPr="00A1397D">
        <w:t>-2</w:t>
      </w:r>
      <w:r w:rsidR="004C0041" w:rsidRPr="00A1397D">
        <w:t>3</w:t>
      </w:r>
      <w:r w:rsidR="00F807F6" w:rsidRPr="00A1397D">
        <w:t xml:space="preserve"> </w:t>
      </w:r>
      <w:r w:rsidR="009B0CB7" w:rsidRPr="00A1397D">
        <w:t>mainly</w:t>
      </w:r>
      <w:r w:rsidR="00FE3B16" w:rsidRPr="00A1397D">
        <w:t xml:space="preserve"> due to the</w:t>
      </w:r>
      <w:r w:rsidR="009B0CB7" w:rsidRPr="00A1397D">
        <w:t xml:space="preserve"> </w:t>
      </w:r>
      <w:r w:rsidR="00926060" w:rsidRPr="00A1397D">
        <w:t>G</w:t>
      </w:r>
      <w:r w:rsidR="009B0CB7" w:rsidRPr="00A1397D">
        <w:t>overnment</w:t>
      </w:r>
      <w:r w:rsidR="00926060" w:rsidRPr="00A1397D">
        <w:t>’s</w:t>
      </w:r>
      <w:r w:rsidR="009B0CB7" w:rsidRPr="00A1397D">
        <w:t xml:space="preserve"> commitment</w:t>
      </w:r>
      <w:r w:rsidR="00C20BD6" w:rsidRPr="00A1397D">
        <w:t xml:space="preserve"> </w:t>
      </w:r>
      <w:r w:rsidR="009B0CB7" w:rsidRPr="00A1397D">
        <w:t xml:space="preserve">to </w:t>
      </w:r>
      <w:r w:rsidR="0051347E" w:rsidRPr="00A1397D">
        <w:t xml:space="preserve">clear </w:t>
      </w:r>
      <w:r w:rsidR="00926060" w:rsidRPr="00A1397D">
        <w:t xml:space="preserve">the </w:t>
      </w:r>
      <w:r w:rsidR="00CF0128" w:rsidRPr="00A1397D">
        <w:t xml:space="preserve">existing </w:t>
      </w:r>
      <w:r w:rsidR="006C5EF8" w:rsidRPr="00A1397D">
        <w:t>school</w:t>
      </w:r>
      <w:r w:rsidR="00D05001" w:rsidRPr="00A1397D">
        <w:t xml:space="preserve"> </w:t>
      </w:r>
      <w:r w:rsidR="00CF0128" w:rsidRPr="00A1397D">
        <w:t xml:space="preserve">maintenance </w:t>
      </w:r>
      <w:r w:rsidR="0041451A" w:rsidRPr="00A1397D">
        <w:t>backlog</w:t>
      </w:r>
      <w:r w:rsidRPr="00A1397D">
        <w:t>.</w:t>
      </w:r>
    </w:p>
    <w:p w14:paraId="42828B84" w14:textId="2591ACC5" w:rsidR="00C83CC7" w:rsidRPr="003F2849" w:rsidRDefault="00C83CC7" w:rsidP="007C62FC">
      <w:pPr>
        <w:pStyle w:val="Table1X"/>
      </w:pPr>
      <w:r w:rsidRPr="008B2949">
        <w:t>Maintenance</w:t>
      </w:r>
      <w:r w:rsidRPr="00FF6283">
        <w:t xml:space="preserve"> expenses</w:t>
      </w:r>
      <w:r w:rsidR="00185851" w:rsidRPr="00B86A15">
        <w:rPr>
          <w:vertAlign w:val="superscript"/>
        </w:rPr>
        <w:t>(a)</w:t>
      </w:r>
    </w:p>
    <w:p w14:paraId="5D397E47" w14:textId="0B13E640" w:rsidR="00C045BC" w:rsidRPr="00A1397D" w:rsidRDefault="00C045BC" w:rsidP="007F6080">
      <w:pPr>
        <w:rPr>
          <w:rFonts w:ascii="Arial" w:hAnsi="Arial" w:cs="Arial"/>
          <w:sz w:val="6"/>
          <w:szCs w:val="6"/>
        </w:rPr>
      </w:pPr>
    </w:p>
    <w:tbl>
      <w:tblPr>
        <w:tblW w:w="9560" w:type="dxa"/>
        <w:tblLook w:val="04A0" w:firstRow="1" w:lastRow="0" w:firstColumn="1" w:lastColumn="0" w:noHBand="0" w:noVBand="1"/>
        <w:tblCaption w:val="Table 1.5: Maintenance expenses(a)"/>
        <w:tblDescription w:val="Table 1.5: Maintenance expenses(a)"/>
      </w:tblPr>
      <w:tblGrid>
        <w:gridCol w:w="1040"/>
        <w:gridCol w:w="2200"/>
        <w:gridCol w:w="1180"/>
        <w:gridCol w:w="960"/>
        <w:gridCol w:w="1040"/>
        <w:gridCol w:w="1040"/>
        <w:gridCol w:w="1060"/>
        <w:gridCol w:w="1040"/>
      </w:tblGrid>
      <w:tr w:rsidR="00753513" w:rsidRPr="00A1397D" w14:paraId="762E2CAB" w14:textId="77777777" w:rsidTr="00753513">
        <w:trPr>
          <w:trHeight w:val="300"/>
        </w:trPr>
        <w:tc>
          <w:tcPr>
            <w:tcW w:w="1040" w:type="dxa"/>
            <w:tcBorders>
              <w:top w:val="nil"/>
              <w:left w:val="nil"/>
              <w:bottom w:val="nil"/>
              <w:right w:val="nil"/>
            </w:tcBorders>
            <w:shd w:val="clear" w:color="000000" w:fill="25A9E1"/>
            <w:vAlign w:val="bottom"/>
            <w:hideMark/>
          </w:tcPr>
          <w:p w14:paraId="11C81373"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 </w:t>
            </w:r>
          </w:p>
        </w:tc>
        <w:tc>
          <w:tcPr>
            <w:tcW w:w="2200" w:type="dxa"/>
            <w:tcBorders>
              <w:top w:val="nil"/>
              <w:left w:val="nil"/>
              <w:bottom w:val="nil"/>
              <w:right w:val="nil"/>
            </w:tcBorders>
            <w:shd w:val="clear" w:color="000000" w:fill="25A9E1"/>
            <w:vAlign w:val="bottom"/>
            <w:hideMark/>
          </w:tcPr>
          <w:p w14:paraId="439EE9A9"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 </w:t>
            </w:r>
          </w:p>
        </w:tc>
        <w:tc>
          <w:tcPr>
            <w:tcW w:w="2140" w:type="dxa"/>
            <w:gridSpan w:val="2"/>
            <w:tcBorders>
              <w:top w:val="nil"/>
              <w:left w:val="nil"/>
              <w:bottom w:val="nil"/>
              <w:right w:val="nil"/>
            </w:tcBorders>
            <w:shd w:val="clear" w:color="000000" w:fill="25A9E1"/>
            <w:vAlign w:val="bottom"/>
            <w:hideMark/>
          </w:tcPr>
          <w:p w14:paraId="4276CBCA"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2018-19</w:t>
            </w:r>
          </w:p>
        </w:tc>
        <w:tc>
          <w:tcPr>
            <w:tcW w:w="1040" w:type="dxa"/>
            <w:tcBorders>
              <w:top w:val="nil"/>
              <w:left w:val="nil"/>
              <w:bottom w:val="nil"/>
              <w:right w:val="nil"/>
            </w:tcBorders>
            <w:shd w:val="clear" w:color="000000" w:fill="25A9E1"/>
            <w:vAlign w:val="bottom"/>
            <w:hideMark/>
          </w:tcPr>
          <w:p w14:paraId="6274E497"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2019-20</w:t>
            </w:r>
          </w:p>
        </w:tc>
        <w:tc>
          <w:tcPr>
            <w:tcW w:w="1040" w:type="dxa"/>
            <w:tcBorders>
              <w:top w:val="nil"/>
              <w:left w:val="nil"/>
              <w:bottom w:val="nil"/>
              <w:right w:val="nil"/>
            </w:tcBorders>
            <w:shd w:val="clear" w:color="000000" w:fill="25A9E1"/>
            <w:vAlign w:val="bottom"/>
            <w:hideMark/>
          </w:tcPr>
          <w:p w14:paraId="39725763"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2020-21</w:t>
            </w:r>
          </w:p>
        </w:tc>
        <w:tc>
          <w:tcPr>
            <w:tcW w:w="1060" w:type="dxa"/>
            <w:tcBorders>
              <w:top w:val="nil"/>
              <w:left w:val="nil"/>
              <w:bottom w:val="nil"/>
              <w:right w:val="nil"/>
            </w:tcBorders>
            <w:shd w:val="clear" w:color="000000" w:fill="25A9E1"/>
            <w:vAlign w:val="bottom"/>
            <w:hideMark/>
          </w:tcPr>
          <w:p w14:paraId="728F4555"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2021-22</w:t>
            </w:r>
          </w:p>
        </w:tc>
        <w:tc>
          <w:tcPr>
            <w:tcW w:w="1040" w:type="dxa"/>
            <w:tcBorders>
              <w:top w:val="nil"/>
              <w:left w:val="nil"/>
              <w:bottom w:val="nil"/>
              <w:right w:val="nil"/>
            </w:tcBorders>
            <w:shd w:val="clear" w:color="000000" w:fill="25A9E1"/>
            <w:vAlign w:val="bottom"/>
            <w:hideMark/>
          </w:tcPr>
          <w:p w14:paraId="7D63BBF2"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 xml:space="preserve">2022-23 </w:t>
            </w:r>
          </w:p>
        </w:tc>
      </w:tr>
      <w:tr w:rsidR="00753513" w:rsidRPr="00A1397D" w14:paraId="36B78C8B" w14:textId="77777777" w:rsidTr="00EF1359">
        <w:trPr>
          <w:trHeight w:val="251"/>
        </w:trPr>
        <w:tc>
          <w:tcPr>
            <w:tcW w:w="1040" w:type="dxa"/>
            <w:tcBorders>
              <w:top w:val="nil"/>
              <w:left w:val="nil"/>
              <w:bottom w:val="nil"/>
              <w:right w:val="nil"/>
            </w:tcBorders>
            <w:shd w:val="clear" w:color="000000" w:fill="25A9E1"/>
            <w:hideMark/>
          </w:tcPr>
          <w:p w14:paraId="6474A2C4"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 </w:t>
            </w:r>
          </w:p>
        </w:tc>
        <w:tc>
          <w:tcPr>
            <w:tcW w:w="2200" w:type="dxa"/>
            <w:tcBorders>
              <w:top w:val="nil"/>
              <w:left w:val="nil"/>
              <w:bottom w:val="nil"/>
              <w:right w:val="nil"/>
            </w:tcBorders>
            <w:shd w:val="clear" w:color="000000" w:fill="25A9E1"/>
            <w:hideMark/>
          </w:tcPr>
          <w:p w14:paraId="699522C6"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 </w:t>
            </w:r>
          </w:p>
        </w:tc>
        <w:tc>
          <w:tcPr>
            <w:tcW w:w="1180" w:type="dxa"/>
            <w:tcBorders>
              <w:top w:val="nil"/>
              <w:left w:val="nil"/>
              <w:bottom w:val="nil"/>
              <w:right w:val="nil"/>
            </w:tcBorders>
            <w:shd w:val="clear" w:color="000000" w:fill="25A9E1"/>
            <w:hideMark/>
          </w:tcPr>
          <w:p w14:paraId="19640383"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Budget</w:t>
            </w:r>
          </w:p>
        </w:tc>
        <w:tc>
          <w:tcPr>
            <w:tcW w:w="960" w:type="dxa"/>
            <w:tcBorders>
              <w:top w:val="nil"/>
              <w:left w:val="nil"/>
              <w:bottom w:val="nil"/>
              <w:right w:val="nil"/>
            </w:tcBorders>
            <w:shd w:val="clear" w:color="000000" w:fill="25A9E1"/>
            <w:hideMark/>
          </w:tcPr>
          <w:p w14:paraId="2CE77C8D"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Revised</w:t>
            </w:r>
          </w:p>
        </w:tc>
        <w:tc>
          <w:tcPr>
            <w:tcW w:w="1040" w:type="dxa"/>
            <w:tcBorders>
              <w:top w:val="nil"/>
              <w:left w:val="nil"/>
              <w:bottom w:val="nil"/>
              <w:right w:val="nil"/>
            </w:tcBorders>
            <w:shd w:val="clear" w:color="000000" w:fill="25A9E1"/>
            <w:hideMark/>
          </w:tcPr>
          <w:p w14:paraId="47A1FD65"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Budget</w:t>
            </w:r>
          </w:p>
        </w:tc>
        <w:tc>
          <w:tcPr>
            <w:tcW w:w="3140" w:type="dxa"/>
            <w:gridSpan w:val="3"/>
            <w:tcBorders>
              <w:top w:val="nil"/>
              <w:left w:val="nil"/>
              <w:bottom w:val="nil"/>
              <w:right w:val="nil"/>
            </w:tcBorders>
            <w:shd w:val="clear" w:color="000000" w:fill="25A9E1"/>
            <w:hideMark/>
          </w:tcPr>
          <w:p w14:paraId="2C82F32B"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Forward estimates</w:t>
            </w:r>
          </w:p>
        </w:tc>
      </w:tr>
      <w:tr w:rsidR="00753513" w:rsidRPr="00A1397D" w14:paraId="1A01A2AB" w14:textId="77777777" w:rsidTr="00EF1359">
        <w:trPr>
          <w:trHeight w:val="226"/>
        </w:trPr>
        <w:tc>
          <w:tcPr>
            <w:tcW w:w="1040" w:type="dxa"/>
            <w:tcBorders>
              <w:top w:val="nil"/>
              <w:left w:val="nil"/>
              <w:bottom w:val="nil"/>
              <w:right w:val="nil"/>
            </w:tcBorders>
            <w:shd w:val="clear" w:color="000000" w:fill="0579B9"/>
            <w:hideMark/>
          </w:tcPr>
          <w:p w14:paraId="3A9774C2"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 </w:t>
            </w:r>
          </w:p>
        </w:tc>
        <w:tc>
          <w:tcPr>
            <w:tcW w:w="2200" w:type="dxa"/>
            <w:tcBorders>
              <w:top w:val="nil"/>
              <w:left w:val="nil"/>
              <w:bottom w:val="nil"/>
              <w:right w:val="nil"/>
            </w:tcBorders>
            <w:shd w:val="clear" w:color="000000" w:fill="0579B9"/>
            <w:hideMark/>
          </w:tcPr>
          <w:p w14:paraId="5F66FC29"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 </w:t>
            </w:r>
          </w:p>
        </w:tc>
        <w:tc>
          <w:tcPr>
            <w:tcW w:w="1180" w:type="dxa"/>
            <w:tcBorders>
              <w:top w:val="nil"/>
              <w:left w:val="nil"/>
              <w:bottom w:val="nil"/>
              <w:right w:val="nil"/>
            </w:tcBorders>
            <w:shd w:val="clear" w:color="000000" w:fill="0579B9"/>
            <w:hideMark/>
          </w:tcPr>
          <w:p w14:paraId="0CE487E4"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$m</w:t>
            </w:r>
          </w:p>
        </w:tc>
        <w:tc>
          <w:tcPr>
            <w:tcW w:w="960" w:type="dxa"/>
            <w:tcBorders>
              <w:top w:val="nil"/>
              <w:left w:val="nil"/>
              <w:bottom w:val="nil"/>
              <w:right w:val="nil"/>
            </w:tcBorders>
            <w:shd w:val="clear" w:color="000000" w:fill="0579B9"/>
            <w:hideMark/>
          </w:tcPr>
          <w:p w14:paraId="363DE4E2"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$m</w:t>
            </w:r>
          </w:p>
        </w:tc>
        <w:tc>
          <w:tcPr>
            <w:tcW w:w="1040" w:type="dxa"/>
            <w:tcBorders>
              <w:top w:val="nil"/>
              <w:left w:val="nil"/>
              <w:bottom w:val="nil"/>
              <w:right w:val="nil"/>
            </w:tcBorders>
            <w:shd w:val="clear" w:color="000000" w:fill="0579B9"/>
            <w:hideMark/>
          </w:tcPr>
          <w:p w14:paraId="7F828EA2"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$m</w:t>
            </w:r>
          </w:p>
        </w:tc>
        <w:tc>
          <w:tcPr>
            <w:tcW w:w="1040" w:type="dxa"/>
            <w:tcBorders>
              <w:top w:val="nil"/>
              <w:left w:val="nil"/>
              <w:bottom w:val="nil"/>
              <w:right w:val="nil"/>
            </w:tcBorders>
            <w:shd w:val="clear" w:color="000000" w:fill="0579B9"/>
            <w:hideMark/>
          </w:tcPr>
          <w:p w14:paraId="4EA6E991"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$m</w:t>
            </w:r>
          </w:p>
        </w:tc>
        <w:tc>
          <w:tcPr>
            <w:tcW w:w="1060" w:type="dxa"/>
            <w:tcBorders>
              <w:top w:val="nil"/>
              <w:left w:val="nil"/>
              <w:bottom w:val="nil"/>
              <w:right w:val="nil"/>
            </w:tcBorders>
            <w:shd w:val="clear" w:color="000000" w:fill="0579B9"/>
            <w:hideMark/>
          </w:tcPr>
          <w:p w14:paraId="745B3E4F"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$m</w:t>
            </w:r>
          </w:p>
        </w:tc>
        <w:tc>
          <w:tcPr>
            <w:tcW w:w="1040" w:type="dxa"/>
            <w:tcBorders>
              <w:top w:val="nil"/>
              <w:left w:val="nil"/>
              <w:bottom w:val="nil"/>
              <w:right w:val="nil"/>
            </w:tcBorders>
            <w:shd w:val="clear" w:color="000000" w:fill="0579B9"/>
            <w:hideMark/>
          </w:tcPr>
          <w:p w14:paraId="6B724659" w14:textId="77777777" w:rsidR="00753513" w:rsidRPr="00A1397D" w:rsidRDefault="00753513" w:rsidP="00753513">
            <w:pPr>
              <w:jc w:val="center"/>
              <w:rPr>
                <w:rFonts w:ascii="Arial" w:hAnsi="Arial" w:cs="Arial"/>
                <w:color w:val="FFFFFF"/>
                <w:sz w:val="17"/>
                <w:szCs w:val="17"/>
                <w:lang w:val="en-AU" w:eastAsia="en-AU"/>
              </w:rPr>
            </w:pPr>
            <w:r w:rsidRPr="00A1397D">
              <w:rPr>
                <w:rFonts w:ascii="Arial" w:hAnsi="Arial" w:cs="Arial"/>
                <w:color w:val="FFFFFF"/>
                <w:sz w:val="17"/>
                <w:szCs w:val="17"/>
                <w:lang w:val="en-AU" w:eastAsia="en-AU"/>
              </w:rPr>
              <w:t>$m</w:t>
            </w:r>
          </w:p>
        </w:tc>
      </w:tr>
      <w:tr w:rsidR="00753513" w:rsidRPr="00A1397D" w14:paraId="78A5E6E3" w14:textId="77777777" w:rsidTr="00DE2C43">
        <w:trPr>
          <w:trHeight w:val="60"/>
        </w:trPr>
        <w:tc>
          <w:tcPr>
            <w:tcW w:w="3240" w:type="dxa"/>
            <w:gridSpan w:val="2"/>
            <w:tcBorders>
              <w:top w:val="nil"/>
              <w:left w:val="nil"/>
              <w:bottom w:val="nil"/>
              <w:right w:val="nil"/>
            </w:tcBorders>
            <w:shd w:val="clear" w:color="000000" w:fill="FFFFFF"/>
            <w:noWrap/>
            <w:vAlign w:val="center"/>
            <w:hideMark/>
          </w:tcPr>
          <w:p w14:paraId="4BCA47F9" w14:textId="77777777" w:rsidR="00753513" w:rsidRPr="00A1397D" w:rsidRDefault="00753513" w:rsidP="00DE2C43">
            <w:pPr>
              <w:spacing w:before="40"/>
              <w:rPr>
                <w:rFonts w:ascii="Arial" w:hAnsi="Arial" w:cs="Arial"/>
                <w:sz w:val="16"/>
                <w:szCs w:val="16"/>
                <w:lang w:val="en-AU" w:eastAsia="en-AU"/>
              </w:rPr>
            </w:pPr>
            <w:r w:rsidRPr="00A1397D">
              <w:rPr>
                <w:rFonts w:ascii="Arial" w:hAnsi="Arial" w:cs="Arial"/>
                <w:sz w:val="16"/>
                <w:szCs w:val="16"/>
                <w:lang w:val="en-AU" w:eastAsia="en-AU"/>
              </w:rPr>
              <w:t>General Government Sector</w:t>
            </w:r>
          </w:p>
        </w:tc>
        <w:tc>
          <w:tcPr>
            <w:tcW w:w="1180" w:type="dxa"/>
            <w:tcBorders>
              <w:top w:val="nil"/>
              <w:left w:val="nil"/>
              <w:bottom w:val="nil"/>
              <w:right w:val="nil"/>
            </w:tcBorders>
            <w:shd w:val="clear" w:color="000000" w:fill="FFFFFF"/>
            <w:noWrap/>
            <w:vAlign w:val="center"/>
            <w:hideMark/>
          </w:tcPr>
          <w:p w14:paraId="2A37EABC" w14:textId="77777777" w:rsidR="00753513" w:rsidRPr="00A1397D" w:rsidRDefault="00753513" w:rsidP="00DE2C43">
            <w:pPr>
              <w:spacing w:before="40"/>
              <w:ind w:right="218" w:firstLineChars="100" w:firstLine="160"/>
              <w:jc w:val="right"/>
              <w:rPr>
                <w:rFonts w:ascii="Arial" w:hAnsi="Arial" w:cs="Arial"/>
                <w:sz w:val="16"/>
                <w:szCs w:val="16"/>
                <w:lang w:val="en-AU" w:eastAsia="en-AU"/>
              </w:rPr>
            </w:pPr>
            <w:r w:rsidRPr="00A1397D">
              <w:rPr>
                <w:rFonts w:ascii="Arial" w:hAnsi="Arial" w:cs="Arial"/>
                <w:sz w:val="16"/>
                <w:szCs w:val="16"/>
                <w:lang w:val="en-AU" w:eastAsia="en-AU"/>
              </w:rPr>
              <w:t>1,936</w:t>
            </w:r>
          </w:p>
        </w:tc>
        <w:tc>
          <w:tcPr>
            <w:tcW w:w="960" w:type="dxa"/>
            <w:tcBorders>
              <w:top w:val="nil"/>
              <w:left w:val="nil"/>
              <w:bottom w:val="nil"/>
              <w:right w:val="nil"/>
            </w:tcBorders>
            <w:shd w:val="clear" w:color="000000" w:fill="FFFFFF"/>
            <w:noWrap/>
            <w:vAlign w:val="center"/>
            <w:hideMark/>
          </w:tcPr>
          <w:p w14:paraId="3E34E884" w14:textId="77777777" w:rsidR="00753513" w:rsidRPr="00A1397D" w:rsidRDefault="00753513" w:rsidP="00DE2C43">
            <w:pPr>
              <w:spacing w:before="40"/>
              <w:ind w:right="177" w:firstLineChars="100" w:firstLine="160"/>
              <w:jc w:val="right"/>
              <w:rPr>
                <w:rFonts w:ascii="Arial" w:hAnsi="Arial" w:cs="Arial"/>
                <w:sz w:val="16"/>
                <w:szCs w:val="16"/>
                <w:lang w:val="en-AU" w:eastAsia="en-AU"/>
              </w:rPr>
            </w:pPr>
            <w:r w:rsidRPr="00A1397D">
              <w:rPr>
                <w:rFonts w:ascii="Arial" w:hAnsi="Arial" w:cs="Arial"/>
                <w:sz w:val="16"/>
                <w:szCs w:val="16"/>
                <w:lang w:val="en-AU" w:eastAsia="en-AU"/>
              </w:rPr>
              <w:t>1,949</w:t>
            </w:r>
          </w:p>
        </w:tc>
        <w:tc>
          <w:tcPr>
            <w:tcW w:w="1040" w:type="dxa"/>
            <w:tcBorders>
              <w:top w:val="nil"/>
              <w:left w:val="nil"/>
              <w:bottom w:val="nil"/>
              <w:right w:val="nil"/>
            </w:tcBorders>
            <w:shd w:val="clear" w:color="000000" w:fill="F2F2F2"/>
            <w:noWrap/>
            <w:vAlign w:val="center"/>
            <w:hideMark/>
          </w:tcPr>
          <w:p w14:paraId="0EC8EEF7" w14:textId="77777777" w:rsidR="00753513" w:rsidRPr="00A1397D" w:rsidRDefault="00753513" w:rsidP="00DE2C43">
            <w:pPr>
              <w:spacing w:before="40"/>
              <w:ind w:right="177" w:firstLineChars="100" w:firstLine="160"/>
              <w:jc w:val="right"/>
              <w:rPr>
                <w:rFonts w:ascii="Arial" w:hAnsi="Arial" w:cs="Arial"/>
                <w:sz w:val="16"/>
                <w:szCs w:val="16"/>
                <w:lang w:val="en-AU" w:eastAsia="en-AU"/>
              </w:rPr>
            </w:pPr>
            <w:r w:rsidRPr="00A1397D">
              <w:rPr>
                <w:rFonts w:ascii="Arial" w:hAnsi="Arial" w:cs="Arial"/>
                <w:sz w:val="16"/>
                <w:szCs w:val="16"/>
                <w:lang w:val="en-AU" w:eastAsia="en-AU"/>
              </w:rPr>
              <w:t>2,051</w:t>
            </w:r>
          </w:p>
        </w:tc>
        <w:tc>
          <w:tcPr>
            <w:tcW w:w="1040" w:type="dxa"/>
            <w:tcBorders>
              <w:top w:val="nil"/>
              <w:left w:val="nil"/>
              <w:bottom w:val="nil"/>
              <w:right w:val="nil"/>
            </w:tcBorders>
            <w:shd w:val="clear" w:color="000000" w:fill="F2F2F2"/>
            <w:noWrap/>
            <w:vAlign w:val="center"/>
            <w:hideMark/>
          </w:tcPr>
          <w:p w14:paraId="4D84397E" w14:textId="77777777" w:rsidR="00753513" w:rsidRPr="00A1397D" w:rsidRDefault="00753513" w:rsidP="00DE2C43">
            <w:pPr>
              <w:spacing w:before="40"/>
              <w:ind w:right="177" w:firstLineChars="100" w:firstLine="160"/>
              <w:jc w:val="right"/>
              <w:rPr>
                <w:rFonts w:ascii="Arial" w:hAnsi="Arial" w:cs="Arial"/>
                <w:sz w:val="16"/>
                <w:szCs w:val="16"/>
                <w:lang w:val="en-AU" w:eastAsia="en-AU"/>
              </w:rPr>
            </w:pPr>
            <w:r w:rsidRPr="00A1397D">
              <w:rPr>
                <w:rFonts w:ascii="Arial" w:hAnsi="Arial" w:cs="Arial"/>
                <w:sz w:val="16"/>
                <w:szCs w:val="16"/>
                <w:lang w:val="en-AU" w:eastAsia="en-AU"/>
              </w:rPr>
              <w:t>1,955</w:t>
            </w:r>
          </w:p>
        </w:tc>
        <w:tc>
          <w:tcPr>
            <w:tcW w:w="1060" w:type="dxa"/>
            <w:tcBorders>
              <w:top w:val="nil"/>
              <w:left w:val="nil"/>
              <w:bottom w:val="nil"/>
              <w:right w:val="nil"/>
            </w:tcBorders>
            <w:shd w:val="clear" w:color="000000" w:fill="F2F2F2"/>
            <w:noWrap/>
            <w:vAlign w:val="center"/>
            <w:hideMark/>
          </w:tcPr>
          <w:p w14:paraId="649E86B7" w14:textId="77777777" w:rsidR="00753513" w:rsidRPr="00A1397D" w:rsidRDefault="00753513" w:rsidP="00DE2C43">
            <w:pPr>
              <w:spacing w:before="40"/>
              <w:ind w:right="177" w:firstLineChars="100" w:firstLine="160"/>
              <w:jc w:val="right"/>
              <w:rPr>
                <w:rFonts w:ascii="Arial" w:hAnsi="Arial" w:cs="Arial"/>
                <w:sz w:val="16"/>
                <w:szCs w:val="16"/>
                <w:lang w:val="en-AU" w:eastAsia="en-AU"/>
              </w:rPr>
            </w:pPr>
            <w:r w:rsidRPr="00A1397D">
              <w:rPr>
                <w:rFonts w:ascii="Arial" w:hAnsi="Arial" w:cs="Arial"/>
                <w:sz w:val="16"/>
                <w:szCs w:val="16"/>
                <w:lang w:val="en-AU" w:eastAsia="en-AU"/>
              </w:rPr>
              <w:t>1,953</w:t>
            </w:r>
          </w:p>
        </w:tc>
        <w:tc>
          <w:tcPr>
            <w:tcW w:w="1040" w:type="dxa"/>
            <w:tcBorders>
              <w:top w:val="nil"/>
              <w:left w:val="nil"/>
              <w:bottom w:val="nil"/>
              <w:right w:val="nil"/>
            </w:tcBorders>
            <w:shd w:val="clear" w:color="000000" w:fill="F2F2F2"/>
            <w:noWrap/>
            <w:vAlign w:val="center"/>
            <w:hideMark/>
          </w:tcPr>
          <w:p w14:paraId="30A3028F" w14:textId="77777777" w:rsidR="00753513" w:rsidRPr="00A1397D" w:rsidRDefault="00753513" w:rsidP="00DE2C43">
            <w:pPr>
              <w:spacing w:before="40"/>
              <w:ind w:right="177" w:firstLineChars="100" w:firstLine="160"/>
              <w:jc w:val="right"/>
              <w:rPr>
                <w:rFonts w:ascii="Arial" w:hAnsi="Arial" w:cs="Arial"/>
                <w:sz w:val="16"/>
                <w:szCs w:val="16"/>
                <w:lang w:val="en-AU" w:eastAsia="en-AU"/>
              </w:rPr>
            </w:pPr>
            <w:r w:rsidRPr="00A1397D">
              <w:rPr>
                <w:rFonts w:ascii="Arial" w:hAnsi="Arial" w:cs="Arial"/>
                <w:sz w:val="16"/>
                <w:szCs w:val="16"/>
                <w:lang w:val="en-AU" w:eastAsia="en-AU"/>
              </w:rPr>
              <w:t>2,154</w:t>
            </w:r>
          </w:p>
        </w:tc>
      </w:tr>
      <w:tr w:rsidR="00753513" w:rsidRPr="00A1397D" w14:paraId="45FFB311" w14:textId="77777777" w:rsidTr="00753513">
        <w:trPr>
          <w:trHeight w:val="340"/>
        </w:trPr>
        <w:tc>
          <w:tcPr>
            <w:tcW w:w="3240" w:type="dxa"/>
            <w:gridSpan w:val="2"/>
            <w:tcBorders>
              <w:top w:val="nil"/>
              <w:left w:val="nil"/>
              <w:bottom w:val="nil"/>
              <w:right w:val="nil"/>
            </w:tcBorders>
            <w:shd w:val="clear" w:color="000000" w:fill="FFFFFF"/>
            <w:noWrap/>
            <w:vAlign w:val="center"/>
            <w:hideMark/>
          </w:tcPr>
          <w:p w14:paraId="0F97827C" w14:textId="77777777" w:rsidR="00753513" w:rsidRPr="00A1397D" w:rsidRDefault="00753513" w:rsidP="00753513">
            <w:pPr>
              <w:rPr>
                <w:rFonts w:ascii="Arial" w:hAnsi="Arial" w:cs="Arial"/>
                <w:sz w:val="16"/>
                <w:szCs w:val="16"/>
                <w:lang w:val="en-AU" w:eastAsia="en-AU"/>
              </w:rPr>
            </w:pPr>
            <w:r w:rsidRPr="00A1397D">
              <w:rPr>
                <w:rFonts w:ascii="Arial" w:hAnsi="Arial" w:cs="Arial"/>
                <w:sz w:val="16"/>
                <w:szCs w:val="16"/>
                <w:lang w:val="en-AU" w:eastAsia="en-AU"/>
              </w:rPr>
              <w:t>Public Non-Financial Corporation Sector</w:t>
            </w:r>
          </w:p>
        </w:tc>
        <w:tc>
          <w:tcPr>
            <w:tcW w:w="1180" w:type="dxa"/>
            <w:tcBorders>
              <w:top w:val="nil"/>
              <w:left w:val="nil"/>
              <w:bottom w:val="nil"/>
              <w:right w:val="nil"/>
            </w:tcBorders>
            <w:shd w:val="clear" w:color="000000" w:fill="FFFFFF"/>
            <w:noWrap/>
            <w:vAlign w:val="center"/>
            <w:hideMark/>
          </w:tcPr>
          <w:p w14:paraId="427597CD" w14:textId="77777777" w:rsidR="00753513" w:rsidRPr="00A1397D" w:rsidRDefault="00753513" w:rsidP="00753513">
            <w:pPr>
              <w:ind w:right="218" w:firstLineChars="100" w:firstLine="160"/>
              <w:jc w:val="right"/>
              <w:rPr>
                <w:rFonts w:ascii="Arial" w:hAnsi="Arial" w:cs="Arial"/>
                <w:sz w:val="16"/>
                <w:szCs w:val="16"/>
                <w:lang w:val="en-AU" w:eastAsia="en-AU"/>
              </w:rPr>
            </w:pPr>
            <w:r w:rsidRPr="00A1397D">
              <w:rPr>
                <w:rFonts w:ascii="Arial" w:hAnsi="Arial" w:cs="Arial"/>
                <w:sz w:val="16"/>
                <w:szCs w:val="16"/>
                <w:lang w:val="en-AU" w:eastAsia="en-AU"/>
              </w:rPr>
              <w:t>2,067</w:t>
            </w:r>
          </w:p>
        </w:tc>
        <w:tc>
          <w:tcPr>
            <w:tcW w:w="960" w:type="dxa"/>
            <w:tcBorders>
              <w:top w:val="nil"/>
              <w:left w:val="nil"/>
              <w:bottom w:val="nil"/>
              <w:right w:val="nil"/>
            </w:tcBorders>
            <w:shd w:val="clear" w:color="000000" w:fill="FFFFFF"/>
            <w:noWrap/>
            <w:vAlign w:val="center"/>
            <w:hideMark/>
          </w:tcPr>
          <w:p w14:paraId="344D7BA0" w14:textId="77777777" w:rsidR="00753513" w:rsidRPr="00A1397D" w:rsidRDefault="00753513" w:rsidP="00753513">
            <w:pPr>
              <w:ind w:right="177" w:firstLineChars="100" w:firstLine="160"/>
              <w:jc w:val="right"/>
              <w:rPr>
                <w:rFonts w:ascii="Arial" w:hAnsi="Arial" w:cs="Arial"/>
                <w:sz w:val="16"/>
                <w:szCs w:val="16"/>
                <w:lang w:val="en-AU" w:eastAsia="en-AU"/>
              </w:rPr>
            </w:pPr>
            <w:r w:rsidRPr="00A1397D">
              <w:rPr>
                <w:rFonts w:ascii="Arial" w:hAnsi="Arial" w:cs="Arial"/>
                <w:sz w:val="16"/>
                <w:szCs w:val="16"/>
                <w:lang w:val="en-AU" w:eastAsia="en-AU"/>
              </w:rPr>
              <w:t>2,152</w:t>
            </w:r>
          </w:p>
        </w:tc>
        <w:tc>
          <w:tcPr>
            <w:tcW w:w="1040" w:type="dxa"/>
            <w:tcBorders>
              <w:top w:val="nil"/>
              <w:left w:val="nil"/>
              <w:bottom w:val="nil"/>
              <w:right w:val="nil"/>
            </w:tcBorders>
            <w:shd w:val="clear" w:color="000000" w:fill="F2F2F2"/>
            <w:noWrap/>
            <w:vAlign w:val="center"/>
            <w:hideMark/>
          </w:tcPr>
          <w:p w14:paraId="1B8C6F09" w14:textId="77777777" w:rsidR="00753513" w:rsidRPr="00A1397D" w:rsidRDefault="00753513" w:rsidP="00753513">
            <w:pPr>
              <w:ind w:right="177" w:firstLineChars="100" w:firstLine="160"/>
              <w:jc w:val="right"/>
              <w:rPr>
                <w:rFonts w:ascii="Arial" w:hAnsi="Arial" w:cs="Arial"/>
                <w:sz w:val="16"/>
                <w:szCs w:val="16"/>
                <w:lang w:val="en-AU" w:eastAsia="en-AU"/>
              </w:rPr>
            </w:pPr>
            <w:r w:rsidRPr="00A1397D">
              <w:rPr>
                <w:rFonts w:ascii="Arial" w:hAnsi="Arial" w:cs="Arial"/>
                <w:sz w:val="16"/>
                <w:szCs w:val="16"/>
                <w:lang w:val="en-AU" w:eastAsia="en-AU"/>
              </w:rPr>
              <w:t>2,139</w:t>
            </w:r>
          </w:p>
        </w:tc>
        <w:tc>
          <w:tcPr>
            <w:tcW w:w="1040" w:type="dxa"/>
            <w:tcBorders>
              <w:top w:val="nil"/>
              <w:left w:val="nil"/>
              <w:bottom w:val="nil"/>
              <w:right w:val="nil"/>
            </w:tcBorders>
            <w:shd w:val="clear" w:color="000000" w:fill="F2F2F2"/>
            <w:noWrap/>
            <w:vAlign w:val="center"/>
            <w:hideMark/>
          </w:tcPr>
          <w:p w14:paraId="758C71CD" w14:textId="77777777" w:rsidR="00753513" w:rsidRPr="00A1397D" w:rsidRDefault="00753513" w:rsidP="00753513">
            <w:pPr>
              <w:ind w:right="177" w:firstLineChars="100" w:firstLine="160"/>
              <w:jc w:val="right"/>
              <w:rPr>
                <w:rFonts w:ascii="Arial" w:hAnsi="Arial" w:cs="Arial"/>
                <w:sz w:val="16"/>
                <w:szCs w:val="16"/>
                <w:lang w:val="en-AU" w:eastAsia="en-AU"/>
              </w:rPr>
            </w:pPr>
            <w:r w:rsidRPr="00A1397D">
              <w:rPr>
                <w:rFonts w:ascii="Arial" w:hAnsi="Arial" w:cs="Arial"/>
                <w:sz w:val="16"/>
                <w:szCs w:val="16"/>
                <w:lang w:val="en-AU" w:eastAsia="en-AU"/>
              </w:rPr>
              <w:t>2,068</w:t>
            </w:r>
          </w:p>
        </w:tc>
        <w:tc>
          <w:tcPr>
            <w:tcW w:w="1060" w:type="dxa"/>
            <w:tcBorders>
              <w:top w:val="nil"/>
              <w:left w:val="nil"/>
              <w:bottom w:val="nil"/>
              <w:right w:val="nil"/>
            </w:tcBorders>
            <w:shd w:val="clear" w:color="000000" w:fill="F2F2F2"/>
            <w:noWrap/>
            <w:vAlign w:val="center"/>
            <w:hideMark/>
          </w:tcPr>
          <w:p w14:paraId="27F6B4E5" w14:textId="77777777" w:rsidR="00753513" w:rsidRPr="00A1397D" w:rsidRDefault="00753513" w:rsidP="00753513">
            <w:pPr>
              <w:ind w:right="177" w:firstLineChars="100" w:firstLine="160"/>
              <w:jc w:val="right"/>
              <w:rPr>
                <w:rFonts w:ascii="Arial" w:hAnsi="Arial" w:cs="Arial"/>
                <w:sz w:val="16"/>
                <w:szCs w:val="16"/>
                <w:lang w:val="en-AU" w:eastAsia="en-AU"/>
              </w:rPr>
            </w:pPr>
            <w:r w:rsidRPr="00A1397D">
              <w:rPr>
                <w:rFonts w:ascii="Arial" w:hAnsi="Arial" w:cs="Arial"/>
                <w:sz w:val="16"/>
                <w:szCs w:val="16"/>
                <w:lang w:val="en-AU" w:eastAsia="en-AU"/>
              </w:rPr>
              <w:t>2,067</w:t>
            </w:r>
          </w:p>
        </w:tc>
        <w:tc>
          <w:tcPr>
            <w:tcW w:w="1040" w:type="dxa"/>
            <w:tcBorders>
              <w:top w:val="nil"/>
              <w:left w:val="nil"/>
              <w:bottom w:val="nil"/>
              <w:right w:val="nil"/>
            </w:tcBorders>
            <w:shd w:val="clear" w:color="000000" w:fill="F2F2F2"/>
            <w:noWrap/>
            <w:vAlign w:val="center"/>
            <w:hideMark/>
          </w:tcPr>
          <w:p w14:paraId="3E866C90" w14:textId="77777777" w:rsidR="00753513" w:rsidRPr="00A1397D" w:rsidRDefault="00753513" w:rsidP="00753513">
            <w:pPr>
              <w:ind w:right="177" w:firstLineChars="100" w:firstLine="160"/>
              <w:jc w:val="right"/>
              <w:rPr>
                <w:rFonts w:ascii="Arial" w:hAnsi="Arial" w:cs="Arial"/>
                <w:sz w:val="16"/>
                <w:szCs w:val="16"/>
                <w:lang w:val="en-AU" w:eastAsia="en-AU"/>
              </w:rPr>
            </w:pPr>
            <w:r w:rsidRPr="00A1397D">
              <w:rPr>
                <w:rFonts w:ascii="Arial" w:hAnsi="Arial" w:cs="Arial"/>
                <w:sz w:val="16"/>
                <w:szCs w:val="16"/>
                <w:lang w:val="en-AU" w:eastAsia="en-AU"/>
              </w:rPr>
              <w:t>2,032</w:t>
            </w:r>
          </w:p>
        </w:tc>
      </w:tr>
      <w:tr w:rsidR="00753513" w:rsidRPr="00A1397D" w14:paraId="70177E29" w14:textId="77777777" w:rsidTr="00753513">
        <w:trPr>
          <w:trHeight w:val="340"/>
        </w:trPr>
        <w:tc>
          <w:tcPr>
            <w:tcW w:w="1040" w:type="dxa"/>
            <w:tcBorders>
              <w:top w:val="single" w:sz="4" w:space="0" w:color="auto"/>
              <w:left w:val="nil"/>
              <w:bottom w:val="single" w:sz="4" w:space="0" w:color="auto"/>
              <w:right w:val="nil"/>
            </w:tcBorders>
            <w:shd w:val="clear" w:color="000000" w:fill="FFFFFF"/>
            <w:noWrap/>
            <w:vAlign w:val="center"/>
            <w:hideMark/>
          </w:tcPr>
          <w:p w14:paraId="7D857C72" w14:textId="77777777" w:rsidR="00753513" w:rsidRPr="00A1397D" w:rsidRDefault="00753513" w:rsidP="00753513">
            <w:pPr>
              <w:rPr>
                <w:rFonts w:ascii="Arial" w:hAnsi="Arial" w:cs="Arial"/>
                <w:b/>
                <w:bCs/>
                <w:color w:val="0579B9"/>
                <w:sz w:val="16"/>
                <w:szCs w:val="16"/>
                <w:lang w:val="en-AU" w:eastAsia="en-AU"/>
              </w:rPr>
            </w:pPr>
            <w:r w:rsidRPr="00A1397D">
              <w:rPr>
                <w:rFonts w:ascii="Arial" w:hAnsi="Arial" w:cs="Arial"/>
                <w:b/>
                <w:bCs/>
                <w:color w:val="0579B9"/>
                <w:sz w:val="16"/>
                <w:szCs w:val="16"/>
                <w:lang w:val="en-AU" w:eastAsia="en-AU"/>
              </w:rPr>
              <w:t>Total</w:t>
            </w:r>
          </w:p>
        </w:tc>
        <w:tc>
          <w:tcPr>
            <w:tcW w:w="2200" w:type="dxa"/>
            <w:tcBorders>
              <w:top w:val="single" w:sz="4" w:space="0" w:color="auto"/>
              <w:left w:val="nil"/>
              <w:bottom w:val="single" w:sz="4" w:space="0" w:color="auto"/>
              <w:right w:val="nil"/>
            </w:tcBorders>
            <w:shd w:val="clear" w:color="000000" w:fill="FFFFFF"/>
            <w:noWrap/>
            <w:vAlign w:val="center"/>
            <w:hideMark/>
          </w:tcPr>
          <w:p w14:paraId="0504297D" w14:textId="77777777" w:rsidR="00753513" w:rsidRPr="00A1397D" w:rsidRDefault="00753513" w:rsidP="00753513">
            <w:pPr>
              <w:jc w:val="right"/>
              <w:rPr>
                <w:rFonts w:ascii="Arial" w:hAnsi="Arial" w:cs="Arial"/>
                <w:b/>
                <w:bCs/>
                <w:color w:val="0579B9"/>
                <w:sz w:val="16"/>
                <w:szCs w:val="16"/>
                <w:lang w:val="en-AU" w:eastAsia="en-AU"/>
              </w:rPr>
            </w:pPr>
            <w:r w:rsidRPr="00A1397D">
              <w:rPr>
                <w:rFonts w:ascii="Arial" w:hAnsi="Arial" w:cs="Arial"/>
                <w:b/>
                <w:bCs/>
                <w:color w:val="0579B9"/>
                <w:sz w:val="16"/>
                <w:szCs w:val="16"/>
                <w:lang w:val="en-AU" w:eastAsia="en-AU"/>
              </w:rPr>
              <w:t> </w:t>
            </w:r>
          </w:p>
        </w:tc>
        <w:tc>
          <w:tcPr>
            <w:tcW w:w="1180" w:type="dxa"/>
            <w:tcBorders>
              <w:top w:val="single" w:sz="4" w:space="0" w:color="auto"/>
              <w:left w:val="nil"/>
              <w:bottom w:val="single" w:sz="4" w:space="0" w:color="auto"/>
              <w:right w:val="nil"/>
            </w:tcBorders>
            <w:shd w:val="clear" w:color="auto" w:fill="auto"/>
            <w:noWrap/>
            <w:vAlign w:val="center"/>
            <w:hideMark/>
          </w:tcPr>
          <w:p w14:paraId="0BB84E7F" w14:textId="77777777" w:rsidR="00753513" w:rsidRPr="00A1397D" w:rsidRDefault="00753513" w:rsidP="00753513">
            <w:pPr>
              <w:ind w:right="218" w:firstLineChars="100" w:firstLine="161"/>
              <w:jc w:val="right"/>
              <w:rPr>
                <w:rFonts w:ascii="Arial" w:hAnsi="Arial" w:cs="Arial"/>
                <w:b/>
                <w:color w:val="0579B9"/>
                <w:sz w:val="16"/>
                <w:szCs w:val="16"/>
                <w:lang w:val="en-AU" w:eastAsia="en-AU"/>
              </w:rPr>
            </w:pPr>
            <w:r w:rsidRPr="00A1397D">
              <w:rPr>
                <w:rFonts w:ascii="Arial" w:hAnsi="Arial" w:cs="Arial"/>
                <w:b/>
                <w:color w:val="0579B9"/>
                <w:sz w:val="16"/>
                <w:szCs w:val="16"/>
                <w:lang w:val="en-AU" w:eastAsia="en-AU"/>
              </w:rPr>
              <w:t>3,999</w:t>
            </w:r>
          </w:p>
        </w:tc>
        <w:tc>
          <w:tcPr>
            <w:tcW w:w="960" w:type="dxa"/>
            <w:tcBorders>
              <w:top w:val="single" w:sz="4" w:space="0" w:color="auto"/>
              <w:left w:val="nil"/>
              <w:bottom w:val="single" w:sz="4" w:space="0" w:color="auto"/>
              <w:right w:val="nil"/>
            </w:tcBorders>
            <w:shd w:val="clear" w:color="000000" w:fill="FFFFFF"/>
            <w:noWrap/>
            <w:vAlign w:val="center"/>
            <w:hideMark/>
          </w:tcPr>
          <w:p w14:paraId="38A80673" w14:textId="77777777" w:rsidR="00753513" w:rsidRPr="00A1397D" w:rsidRDefault="00753513" w:rsidP="00753513">
            <w:pPr>
              <w:ind w:right="177" w:firstLineChars="100" w:firstLine="161"/>
              <w:jc w:val="right"/>
              <w:rPr>
                <w:rFonts w:ascii="Arial" w:hAnsi="Arial" w:cs="Arial"/>
                <w:b/>
                <w:color w:val="0579B9"/>
                <w:sz w:val="16"/>
                <w:szCs w:val="16"/>
                <w:lang w:val="en-AU" w:eastAsia="en-AU"/>
              </w:rPr>
            </w:pPr>
            <w:r w:rsidRPr="00A1397D">
              <w:rPr>
                <w:rFonts w:ascii="Arial" w:hAnsi="Arial" w:cs="Arial"/>
                <w:b/>
                <w:color w:val="0579B9"/>
                <w:sz w:val="16"/>
                <w:szCs w:val="16"/>
                <w:lang w:val="en-AU" w:eastAsia="en-AU"/>
              </w:rPr>
              <w:t>4,097</w:t>
            </w:r>
          </w:p>
        </w:tc>
        <w:tc>
          <w:tcPr>
            <w:tcW w:w="1040" w:type="dxa"/>
            <w:tcBorders>
              <w:top w:val="single" w:sz="4" w:space="0" w:color="auto"/>
              <w:left w:val="nil"/>
              <w:bottom w:val="single" w:sz="4" w:space="0" w:color="auto"/>
              <w:right w:val="nil"/>
            </w:tcBorders>
            <w:shd w:val="clear" w:color="000000" w:fill="F2F2F2"/>
            <w:noWrap/>
            <w:vAlign w:val="center"/>
            <w:hideMark/>
          </w:tcPr>
          <w:p w14:paraId="210C38FB" w14:textId="77777777" w:rsidR="00753513" w:rsidRPr="00A1397D" w:rsidRDefault="00753513" w:rsidP="00753513">
            <w:pPr>
              <w:ind w:right="177" w:firstLineChars="100" w:firstLine="161"/>
              <w:jc w:val="right"/>
              <w:rPr>
                <w:rFonts w:ascii="Arial" w:hAnsi="Arial" w:cs="Arial"/>
                <w:b/>
                <w:color w:val="0579B9"/>
                <w:sz w:val="16"/>
                <w:szCs w:val="16"/>
                <w:lang w:val="en-AU" w:eastAsia="en-AU"/>
              </w:rPr>
            </w:pPr>
            <w:r w:rsidRPr="00A1397D">
              <w:rPr>
                <w:rFonts w:ascii="Arial" w:hAnsi="Arial" w:cs="Arial"/>
                <w:b/>
                <w:color w:val="0579B9"/>
                <w:sz w:val="16"/>
                <w:szCs w:val="16"/>
                <w:lang w:val="en-AU" w:eastAsia="en-AU"/>
              </w:rPr>
              <w:t>4,184</w:t>
            </w:r>
          </w:p>
        </w:tc>
        <w:tc>
          <w:tcPr>
            <w:tcW w:w="1040" w:type="dxa"/>
            <w:tcBorders>
              <w:top w:val="single" w:sz="4" w:space="0" w:color="auto"/>
              <w:left w:val="nil"/>
              <w:bottom w:val="single" w:sz="4" w:space="0" w:color="auto"/>
              <w:right w:val="nil"/>
            </w:tcBorders>
            <w:shd w:val="clear" w:color="000000" w:fill="F2F2F2"/>
            <w:noWrap/>
            <w:vAlign w:val="center"/>
            <w:hideMark/>
          </w:tcPr>
          <w:p w14:paraId="6CF2A86F" w14:textId="77777777" w:rsidR="00753513" w:rsidRPr="00A1397D" w:rsidRDefault="00753513" w:rsidP="00753513">
            <w:pPr>
              <w:ind w:right="177" w:firstLineChars="100" w:firstLine="161"/>
              <w:jc w:val="right"/>
              <w:rPr>
                <w:rFonts w:ascii="Arial" w:hAnsi="Arial" w:cs="Arial"/>
                <w:b/>
                <w:color w:val="0579B9"/>
                <w:sz w:val="16"/>
                <w:szCs w:val="16"/>
                <w:lang w:val="en-AU" w:eastAsia="en-AU"/>
              </w:rPr>
            </w:pPr>
            <w:r w:rsidRPr="00A1397D">
              <w:rPr>
                <w:rFonts w:ascii="Arial" w:hAnsi="Arial" w:cs="Arial"/>
                <w:b/>
                <w:color w:val="0579B9"/>
                <w:sz w:val="16"/>
                <w:szCs w:val="16"/>
                <w:lang w:val="en-AU" w:eastAsia="en-AU"/>
              </w:rPr>
              <w:t>4,018</w:t>
            </w:r>
          </w:p>
        </w:tc>
        <w:tc>
          <w:tcPr>
            <w:tcW w:w="1060" w:type="dxa"/>
            <w:tcBorders>
              <w:top w:val="single" w:sz="4" w:space="0" w:color="auto"/>
              <w:left w:val="nil"/>
              <w:bottom w:val="single" w:sz="4" w:space="0" w:color="auto"/>
              <w:right w:val="nil"/>
            </w:tcBorders>
            <w:shd w:val="clear" w:color="000000" w:fill="F2F2F2"/>
            <w:noWrap/>
            <w:vAlign w:val="center"/>
            <w:hideMark/>
          </w:tcPr>
          <w:p w14:paraId="34348D75" w14:textId="77777777" w:rsidR="00753513" w:rsidRPr="00A1397D" w:rsidRDefault="00753513" w:rsidP="00753513">
            <w:pPr>
              <w:ind w:right="177" w:firstLineChars="100" w:firstLine="161"/>
              <w:jc w:val="right"/>
              <w:rPr>
                <w:rFonts w:ascii="Arial" w:hAnsi="Arial" w:cs="Arial"/>
                <w:b/>
                <w:color w:val="0579B9"/>
                <w:sz w:val="16"/>
                <w:szCs w:val="16"/>
                <w:lang w:val="en-AU" w:eastAsia="en-AU"/>
              </w:rPr>
            </w:pPr>
            <w:r w:rsidRPr="00A1397D">
              <w:rPr>
                <w:rFonts w:ascii="Arial" w:hAnsi="Arial" w:cs="Arial"/>
                <w:b/>
                <w:color w:val="0579B9"/>
                <w:sz w:val="16"/>
                <w:szCs w:val="16"/>
                <w:lang w:val="en-AU" w:eastAsia="en-AU"/>
              </w:rPr>
              <w:t>4,015</w:t>
            </w:r>
          </w:p>
        </w:tc>
        <w:tc>
          <w:tcPr>
            <w:tcW w:w="1040" w:type="dxa"/>
            <w:tcBorders>
              <w:top w:val="single" w:sz="4" w:space="0" w:color="auto"/>
              <w:left w:val="nil"/>
              <w:bottom w:val="single" w:sz="4" w:space="0" w:color="auto"/>
              <w:right w:val="nil"/>
            </w:tcBorders>
            <w:shd w:val="clear" w:color="000000" w:fill="F2F2F2"/>
            <w:noWrap/>
            <w:vAlign w:val="center"/>
            <w:hideMark/>
          </w:tcPr>
          <w:p w14:paraId="5F2380F7" w14:textId="77777777" w:rsidR="00753513" w:rsidRPr="00A1397D" w:rsidRDefault="00753513" w:rsidP="00753513">
            <w:pPr>
              <w:ind w:right="177" w:firstLineChars="100" w:firstLine="161"/>
              <w:jc w:val="right"/>
              <w:rPr>
                <w:rFonts w:ascii="Arial" w:hAnsi="Arial" w:cs="Arial"/>
                <w:b/>
                <w:color w:val="0579B9"/>
                <w:sz w:val="16"/>
                <w:szCs w:val="16"/>
                <w:lang w:val="en-AU" w:eastAsia="en-AU"/>
              </w:rPr>
            </w:pPr>
            <w:r w:rsidRPr="00A1397D">
              <w:rPr>
                <w:rFonts w:ascii="Arial" w:hAnsi="Arial" w:cs="Arial"/>
                <w:b/>
                <w:color w:val="0579B9"/>
                <w:sz w:val="16"/>
                <w:szCs w:val="16"/>
                <w:lang w:val="en-AU" w:eastAsia="en-AU"/>
              </w:rPr>
              <w:t>4,182</w:t>
            </w:r>
          </w:p>
        </w:tc>
      </w:tr>
    </w:tbl>
    <w:p w14:paraId="39DF2610" w14:textId="77777777" w:rsidR="00753513" w:rsidRPr="00A1397D" w:rsidRDefault="00753513" w:rsidP="00753513">
      <w:pPr>
        <w:widowControl w:val="0"/>
        <w:tabs>
          <w:tab w:val="left" w:pos="350"/>
          <w:tab w:val="right" w:pos="4196"/>
          <w:tab w:val="right" w:pos="5046"/>
          <w:tab w:val="right" w:pos="5897"/>
          <w:tab w:val="right" w:pos="6747"/>
          <w:tab w:val="right" w:pos="7598"/>
        </w:tabs>
        <w:autoSpaceDE w:val="0"/>
        <w:autoSpaceDN w:val="0"/>
        <w:spacing w:before="20" w:after="20"/>
        <w:rPr>
          <w:rFonts w:ascii="Arial" w:hAnsi="Arial" w:cs="Arial"/>
          <w:sz w:val="6"/>
          <w:szCs w:val="6"/>
        </w:rPr>
      </w:pPr>
    </w:p>
    <w:p w14:paraId="1D404F74" w14:textId="03AB6E41" w:rsidR="00C83CC7" w:rsidRPr="00A1397D" w:rsidRDefault="00C83CC7" w:rsidP="00753513">
      <w:pPr>
        <w:pStyle w:val="ListParagraph"/>
        <w:widowControl w:val="0"/>
        <w:numPr>
          <w:ilvl w:val="0"/>
          <w:numId w:val="38"/>
        </w:numPr>
        <w:tabs>
          <w:tab w:val="left" w:pos="350"/>
          <w:tab w:val="right" w:pos="4196"/>
          <w:tab w:val="right" w:pos="5046"/>
          <w:tab w:val="right" w:pos="5897"/>
          <w:tab w:val="right" w:pos="6747"/>
          <w:tab w:val="right" w:pos="7598"/>
        </w:tabs>
        <w:autoSpaceDE w:val="0"/>
        <w:autoSpaceDN w:val="0"/>
        <w:spacing w:before="20" w:after="20"/>
        <w:ind w:left="357" w:hanging="357"/>
        <w:rPr>
          <w:rFonts w:ascii="Arial" w:hAnsi="Arial" w:cs="Arial"/>
          <w:sz w:val="17"/>
          <w:szCs w:val="17"/>
        </w:rPr>
      </w:pPr>
      <w:r w:rsidRPr="00A1397D">
        <w:rPr>
          <w:rFonts w:ascii="Arial" w:hAnsi="Arial" w:cs="Arial"/>
          <w:sz w:val="17"/>
          <w:szCs w:val="17"/>
        </w:rPr>
        <w:t>Total spending may not equal the total of general government and PNFC expenditure due to intra-sector purchases.</w:t>
      </w:r>
    </w:p>
    <w:bookmarkEnd w:id="26"/>
    <w:p w14:paraId="4734D774" w14:textId="77777777" w:rsidR="00FE3322" w:rsidRPr="00A1397D" w:rsidRDefault="00FE3322" w:rsidP="00356E02">
      <w:pPr>
        <w:rPr>
          <w:rFonts w:ascii="Arial" w:hAnsi="Arial" w:cs="Arial"/>
        </w:rPr>
      </w:pPr>
    </w:p>
    <w:sectPr w:rsidR="00FE3322" w:rsidRPr="00A1397D" w:rsidSect="00464EBC">
      <w:headerReference w:type="even" r:id="rId21"/>
      <w:headerReference w:type="default" r:id="rId22"/>
      <w:footerReference w:type="even" r:id="rId23"/>
      <w:footerReference w:type="default" r:id="rId24"/>
      <w:headerReference w:type="first" r:id="rId25"/>
      <w:footerReference w:type="first" r:id="rId26"/>
      <w:footnotePr>
        <w:numStart w:val="3"/>
      </w:footnotePr>
      <w:pgSz w:w="11907" w:h="16840" w:code="9"/>
      <w:pgMar w:top="1134" w:right="1134" w:bottom="510" w:left="1134" w:header="454"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516D3A" w14:textId="77777777" w:rsidR="007C2458" w:rsidRDefault="007C2458">
      <w:r>
        <w:separator/>
      </w:r>
    </w:p>
    <w:p w14:paraId="41D809D6" w14:textId="77777777" w:rsidR="007C2458" w:rsidRDefault="007C2458"/>
    <w:p w14:paraId="17FE2053" w14:textId="77777777" w:rsidR="007C2458" w:rsidRDefault="007C2458"/>
  </w:endnote>
  <w:endnote w:type="continuationSeparator" w:id="0">
    <w:p w14:paraId="04C1F098" w14:textId="77777777" w:rsidR="007C2458" w:rsidRDefault="007C2458">
      <w:r>
        <w:continuationSeparator/>
      </w:r>
    </w:p>
    <w:p w14:paraId="1F379A83" w14:textId="77777777" w:rsidR="007C2458" w:rsidRDefault="007C2458"/>
    <w:p w14:paraId="332F5C45" w14:textId="77777777" w:rsidR="007C2458" w:rsidRDefault="007C2458"/>
  </w:endnote>
  <w:endnote w:type="continuationNotice" w:id="1">
    <w:p w14:paraId="2FF0F548" w14:textId="77777777" w:rsidR="007C2458" w:rsidRDefault="007C24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40502020204"/>
    <w:charset w:val="00"/>
    <w:family w:val="swiss"/>
    <w:pitch w:val="variable"/>
    <w:sig w:usb0="01002A87" w:usb1="00000000" w:usb2="00000000" w:usb3="00000000" w:csb0="000100FF" w:csb1="00000000"/>
  </w:font>
  <w:font w:name="Arial Bold">
    <w:altName w:val="Arial"/>
    <w:panose1 w:val="020B07040202020202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Yu Mincho">
    <w:charset w:val="80"/>
    <w:family w:val="roman"/>
    <w:pitch w:val="variable"/>
    <w:sig w:usb0="800002E7" w:usb1="2AC7FCFF" w:usb2="00000012" w:usb3="00000000" w:csb0="0002009F" w:csb1="00000000"/>
  </w:font>
  <w:font w:name="Yu Gothic Light">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D2C0A4" w14:textId="310193C6" w:rsidR="007C2458" w:rsidRDefault="007C2458" w:rsidP="00826275">
    <w:pPr>
      <w:pBdr>
        <w:top w:val="single" w:sz="4" w:space="4" w:color="auto"/>
      </w:pBdr>
      <w:tabs>
        <w:tab w:val="right" w:pos="9639"/>
      </w:tabs>
      <w:rPr>
        <w:rFonts w:ascii="Arial" w:hAnsi="Arial" w:cs="Arial"/>
        <w:sz w:val="18"/>
        <w:szCs w:val="18"/>
      </w:rPr>
    </w:pPr>
    <w:r w:rsidRPr="00BB1FE9">
      <w:rPr>
        <w:rFonts w:ascii="Arial" w:hAnsi="Arial" w:cs="Arial"/>
        <w:sz w:val="18"/>
        <w:szCs w:val="18"/>
      </w:rPr>
      <w:t xml:space="preserve">1 </w:t>
    </w:r>
    <w:r>
      <w:rPr>
        <w:rFonts w:ascii="Arial" w:hAnsi="Arial" w:cs="Arial"/>
        <w:sz w:val="18"/>
        <w:szCs w:val="18"/>
      </w:rPr>
      <w:t xml:space="preserve">- </w:t>
    </w:r>
    <w:r w:rsidRPr="009B17A3">
      <w:rPr>
        <w:rFonts w:ascii="Arial" w:hAnsi="Arial" w:cs="Arial"/>
        <w:sz w:val="18"/>
        <w:szCs w:val="18"/>
      </w:rPr>
      <w:fldChar w:fldCharType="begin"/>
    </w:r>
    <w:r w:rsidRPr="009B17A3">
      <w:rPr>
        <w:rFonts w:ascii="Arial" w:hAnsi="Arial" w:cs="Arial"/>
        <w:sz w:val="18"/>
        <w:szCs w:val="18"/>
      </w:rPr>
      <w:instrText xml:space="preserve"> PAGE   \* MERGEFORMAT </w:instrText>
    </w:r>
    <w:r w:rsidRPr="009B17A3">
      <w:rPr>
        <w:rFonts w:ascii="Arial" w:hAnsi="Arial" w:cs="Arial"/>
        <w:sz w:val="18"/>
        <w:szCs w:val="18"/>
      </w:rPr>
      <w:fldChar w:fldCharType="separate"/>
    </w:r>
    <w:r>
      <w:rPr>
        <w:rFonts w:ascii="Arial" w:hAnsi="Arial" w:cs="Arial"/>
        <w:noProof/>
        <w:sz w:val="18"/>
        <w:szCs w:val="18"/>
      </w:rPr>
      <w:t>4</w:t>
    </w:r>
    <w:r w:rsidRPr="009B17A3">
      <w:rPr>
        <w:rFonts w:ascii="Arial" w:hAnsi="Arial" w:cs="Arial"/>
        <w:noProof/>
        <w:sz w:val="18"/>
        <w:szCs w:val="18"/>
      </w:rPr>
      <w:fldChar w:fldCharType="end"/>
    </w:r>
    <w:r>
      <w:rPr>
        <w:rFonts w:ascii="Arial" w:hAnsi="Arial" w:cs="Arial"/>
        <w:sz w:val="18"/>
        <w:szCs w:val="18"/>
      </w:rPr>
      <w:tab/>
    </w:r>
    <w:r w:rsidRPr="00BB1FE9">
      <w:rPr>
        <w:rFonts w:ascii="Arial" w:hAnsi="Arial" w:cs="Arial"/>
        <w:sz w:val="18"/>
        <w:szCs w:val="18"/>
      </w:rPr>
      <w:t>Infrastructure Statement 201</w:t>
    </w:r>
    <w:r>
      <w:rPr>
        <w:rFonts w:ascii="Arial" w:hAnsi="Arial" w:cs="Arial"/>
        <w:sz w:val="18"/>
        <w:szCs w:val="18"/>
      </w:rPr>
      <w:t>9</w:t>
    </w:r>
    <w:r w:rsidRPr="00BB1FE9">
      <w:rPr>
        <w:rFonts w:ascii="Arial" w:hAnsi="Arial" w:cs="Arial"/>
        <w:sz w:val="18"/>
        <w:szCs w:val="18"/>
      </w:rPr>
      <w:t>-</w:t>
    </w:r>
    <w:r>
      <w:rPr>
        <w:rFonts w:ascii="Arial" w:hAnsi="Arial" w:cs="Arial"/>
        <w:sz w:val="18"/>
        <w:szCs w:val="18"/>
      </w:rPr>
      <w:t>20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A6FABE" w14:textId="0C162BE0" w:rsidR="007C2458" w:rsidRDefault="007C2458" w:rsidP="00826275">
    <w:pPr>
      <w:pBdr>
        <w:top w:val="single" w:sz="4" w:space="4" w:color="auto"/>
      </w:pBdr>
      <w:tabs>
        <w:tab w:val="right" w:pos="9639"/>
      </w:tabs>
      <w:rPr>
        <w:rFonts w:ascii="Arial" w:hAnsi="Arial" w:cs="Arial"/>
        <w:sz w:val="18"/>
        <w:szCs w:val="18"/>
      </w:rPr>
    </w:pPr>
    <w:r w:rsidRPr="00BB1FE9">
      <w:rPr>
        <w:rFonts w:ascii="Arial" w:hAnsi="Arial" w:cs="Arial"/>
        <w:sz w:val="18"/>
        <w:szCs w:val="18"/>
      </w:rPr>
      <w:t>Infrastructure Statement 201</w:t>
    </w:r>
    <w:r>
      <w:rPr>
        <w:rFonts w:ascii="Arial" w:hAnsi="Arial" w:cs="Arial"/>
        <w:sz w:val="18"/>
        <w:szCs w:val="18"/>
      </w:rPr>
      <w:t>9</w:t>
    </w:r>
    <w:r w:rsidRPr="00BB1FE9">
      <w:rPr>
        <w:rFonts w:ascii="Arial" w:hAnsi="Arial" w:cs="Arial"/>
        <w:sz w:val="18"/>
        <w:szCs w:val="18"/>
      </w:rPr>
      <w:t>-</w:t>
    </w:r>
    <w:r>
      <w:rPr>
        <w:rFonts w:ascii="Arial" w:hAnsi="Arial" w:cs="Arial"/>
        <w:sz w:val="18"/>
        <w:szCs w:val="18"/>
      </w:rPr>
      <w:t>20</w:t>
    </w:r>
    <w:r>
      <w:rPr>
        <w:rFonts w:ascii="Arial" w:hAnsi="Arial" w:cs="Arial"/>
        <w:sz w:val="18"/>
        <w:szCs w:val="18"/>
      </w:rPr>
      <w:tab/>
    </w:r>
    <w:r w:rsidRPr="00BB1FE9">
      <w:rPr>
        <w:rFonts w:ascii="Arial" w:hAnsi="Arial" w:cs="Arial"/>
        <w:sz w:val="18"/>
        <w:szCs w:val="18"/>
      </w:rPr>
      <w:t xml:space="preserve">1 </w:t>
    </w:r>
    <w:r>
      <w:rPr>
        <w:rFonts w:ascii="Arial" w:hAnsi="Arial" w:cs="Arial"/>
        <w:sz w:val="18"/>
        <w:szCs w:val="18"/>
      </w:rPr>
      <w:t xml:space="preserve">- </w:t>
    </w:r>
    <w:r w:rsidRPr="009B17A3">
      <w:rPr>
        <w:rFonts w:ascii="Arial" w:hAnsi="Arial" w:cs="Arial"/>
        <w:sz w:val="18"/>
        <w:szCs w:val="18"/>
      </w:rPr>
      <w:fldChar w:fldCharType="begin"/>
    </w:r>
    <w:r w:rsidRPr="009B17A3">
      <w:rPr>
        <w:rFonts w:ascii="Arial" w:hAnsi="Arial" w:cs="Arial"/>
        <w:sz w:val="18"/>
        <w:szCs w:val="18"/>
      </w:rPr>
      <w:instrText xml:space="preserve"> PAGE   \* MERGEFORMAT </w:instrText>
    </w:r>
    <w:r w:rsidRPr="009B17A3">
      <w:rPr>
        <w:rFonts w:ascii="Arial" w:hAnsi="Arial" w:cs="Arial"/>
        <w:sz w:val="18"/>
        <w:szCs w:val="18"/>
      </w:rPr>
      <w:fldChar w:fldCharType="separate"/>
    </w:r>
    <w:r>
      <w:rPr>
        <w:rFonts w:ascii="Arial" w:hAnsi="Arial" w:cs="Arial"/>
        <w:noProof/>
        <w:sz w:val="18"/>
        <w:szCs w:val="18"/>
      </w:rPr>
      <w:t>3</w:t>
    </w:r>
    <w:r w:rsidRPr="009B17A3">
      <w:rPr>
        <w:rFonts w:ascii="Arial" w:hAnsi="Arial" w:cs="Arial"/>
        <w:noProof/>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868DD" w14:textId="66E942E9" w:rsidR="007C2458" w:rsidRDefault="007C2458" w:rsidP="00661D6A">
    <w:pPr>
      <w:pBdr>
        <w:top w:val="single" w:sz="4" w:space="4" w:color="auto"/>
      </w:pBdr>
      <w:tabs>
        <w:tab w:val="right" w:pos="9639"/>
      </w:tabs>
      <w:rPr>
        <w:rFonts w:ascii="Arial" w:hAnsi="Arial" w:cs="Arial"/>
        <w:noProof/>
        <w:sz w:val="18"/>
        <w:szCs w:val="18"/>
      </w:rPr>
    </w:pPr>
    <w:r w:rsidRPr="00F048DD">
      <w:rPr>
        <w:rFonts w:ascii="Arial" w:hAnsi="Arial" w:cs="Arial"/>
        <w:sz w:val="18"/>
        <w:szCs w:val="18"/>
      </w:rPr>
      <w:t>Infrastructure Statement 2019-20</w:t>
    </w:r>
    <w:r>
      <w:rPr>
        <w:rFonts w:ascii="Arial" w:hAnsi="Arial" w:cs="Arial"/>
        <w:sz w:val="18"/>
        <w:szCs w:val="18"/>
      </w:rPr>
      <w:tab/>
    </w:r>
    <w:r w:rsidRPr="00BB1FE9">
      <w:rPr>
        <w:rFonts w:ascii="Arial" w:hAnsi="Arial" w:cs="Arial"/>
        <w:sz w:val="18"/>
        <w:szCs w:val="18"/>
      </w:rPr>
      <w:t xml:space="preserve">1 </w:t>
    </w:r>
    <w:r>
      <w:rPr>
        <w:rFonts w:ascii="Arial" w:hAnsi="Arial" w:cs="Arial"/>
        <w:sz w:val="18"/>
        <w:szCs w:val="18"/>
      </w:rPr>
      <w:t xml:space="preserve">- </w:t>
    </w:r>
    <w:r w:rsidRPr="009B17A3">
      <w:rPr>
        <w:rFonts w:ascii="Arial" w:hAnsi="Arial" w:cs="Arial"/>
        <w:sz w:val="18"/>
        <w:szCs w:val="18"/>
      </w:rPr>
      <w:fldChar w:fldCharType="begin"/>
    </w:r>
    <w:r w:rsidRPr="009B17A3">
      <w:rPr>
        <w:rFonts w:ascii="Arial" w:hAnsi="Arial" w:cs="Arial"/>
        <w:sz w:val="18"/>
        <w:szCs w:val="18"/>
      </w:rPr>
      <w:instrText xml:space="preserve"> PAGE   \* MERGEFORMAT </w:instrText>
    </w:r>
    <w:r w:rsidRPr="009B17A3">
      <w:rPr>
        <w:rFonts w:ascii="Arial" w:hAnsi="Arial" w:cs="Arial"/>
        <w:sz w:val="18"/>
        <w:szCs w:val="18"/>
      </w:rPr>
      <w:fldChar w:fldCharType="separate"/>
    </w:r>
    <w:r>
      <w:rPr>
        <w:rFonts w:ascii="Arial" w:hAnsi="Arial" w:cs="Arial"/>
        <w:noProof/>
        <w:sz w:val="18"/>
        <w:szCs w:val="18"/>
      </w:rPr>
      <w:t>1</w:t>
    </w:r>
    <w:r w:rsidRPr="009B17A3">
      <w:rPr>
        <w:rFonts w:ascii="Arial" w:hAnsi="Arial" w:cs="Arial"/>
        <w:noProof/>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89EC51" w14:textId="77777777" w:rsidR="007C2458" w:rsidRDefault="007C2458">
      <w:r>
        <w:separator/>
      </w:r>
    </w:p>
  </w:footnote>
  <w:footnote w:type="continuationSeparator" w:id="0">
    <w:p w14:paraId="3D278A5F" w14:textId="77777777" w:rsidR="007C2458" w:rsidRDefault="007C2458">
      <w:r>
        <w:continuationSeparator/>
      </w:r>
    </w:p>
    <w:p w14:paraId="30F42937" w14:textId="77777777" w:rsidR="007C2458" w:rsidRDefault="007C2458"/>
    <w:p w14:paraId="21DE007E" w14:textId="77777777" w:rsidR="007C2458" w:rsidRDefault="007C2458"/>
  </w:footnote>
  <w:footnote w:type="continuationNotice" w:id="1">
    <w:p w14:paraId="26EF5C67" w14:textId="77777777" w:rsidR="007C2458" w:rsidRDefault="007C2458"/>
  </w:footnote>
  <w:footnote w:id="2">
    <w:p w14:paraId="541A1E86" w14:textId="433C041D" w:rsidR="007C2458" w:rsidRPr="00AC43FC" w:rsidRDefault="007C2458" w:rsidP="008546BE">
      <w:pPr>
        <w:ind w:left="709" w:hanging="284"/>
        <w:rPr>
          <w:rFonts w:ascii="Arial" w:hAnsi="Arial" w:cs="Arial"/>
          <w:sz w:val="17"/>
          <w:szCs w:val="17"/>
          <w:lang w:val="en-AU"/>
        </w:rPr>
      </w:pPr>
      <w:r w:rsidRPr="00AC43FC">
        <w:rPr>
          <w:rFonts w:ascii="Arial" w:hAnsi="Arial" w:cs="Arial"/>
          <w:sz w:val="17"/>
          <w:szCs w:val="17"/>
          <w:vertAlign w:val="superscript"/>
        </w:rPr>
        <w:footnoteRef/>
      </w:r>
      <w:r w:rsidRPr="00AC43FC">
        <w:rPr>
          <w:rFonts w:ascii="Arial" w:hAnsi="Arial" w:cs="Arial"/>
          <w:sz w:val="17"/>
          <w:szCs w:val="17"/>
        </w:rPr>
        <w:t xml:space="preserve"> </w:t>
      </w:r>
      <w:r w:rsidRPr="00AC43FC">
        <w:rPr>
          <w:rFonts w:ascii="Arial" w:hAnsi="Arial" w:cs="Arial"/>
          <w:sz w:val="17"/>
          <w:szCs w:val="17"/>
        </w:rPr>
        <w:tab/>
        <w:t xml:space="preserve">The ETC </w:t>
      </w:r>
      <w:r>
        <w:rPr>
          <w:rFonts w:ascii="Arial" w:hAnsi="Arial" w:cs="Arial"/>
          <w:sz w:val="17"/>
          <w:szCs w:val="17"/>
        </w:rPr>
        <w:t>of projects identified in this chapter</w:t>
      </w:r>
      <w:r w:rsidRPr="00AC43FC">
        <w:rPr>
          <w:rFonts w:ascii="Arial" w:hAnsi="Arial" w:cs="Arial"/>
          <w:sz w:val="17"/>
          <w:szCs w:val="17"/>
        </w:rPr>
        <w:t xml:space="preserve"> may include prior year expenditure and expenditure beyond the budget and forward estimates.</w:t>
      </w:r>
    </w:p>
  </w:footnote>
  <w:footnote w:id="3">
    <w:p w14:paraId="18980A52" w14:textId="7076A6AC" w:rsidR="007C2458" w:rsidRPr="002370B8" w:rsidRDefault="007C2458" w:rsidP="008546BE">
      <w:pPr>
        <w:pStyle w:val="FootnoteText"/>
        <w:spacing w:before="0" w:after="0"/>
        <w:ind w:hanging="284"/>
        <w:rPr>
          <w:rFonts w:ascii="Arial" w:hAnsi="Arial" w:cs="Arial"/>
          <w:i w:val="0"/>
          <w:sz w:val="17"/>
          <w:szCs w:val="17"/>
          <w:lang w:val="en-AU"/>
        </w:rPr>
      </w:pPr>
      <w:r w:rsidRPr="00167D49">
        <w:rPr>
          <w:rStyle w:val="FootnoteReference"/>
          <w:rFonts w:ascii="Arial" w:hAnsi="Arial" w:cs="Arial"/>
          <w:i w:val="0"/>
          <w:sz w:val="17"/>
          <w:szCs w:val="17"/>
        </w:rPr>
        <w:footnoteRef/>
      </w:r>
      <w:r w:rsidRPr="002370B8">
        <w:rPr>
          <w:i w:val="0"/>
        </w:rPr>
        <w:t xml:space="preserve"> </w:t>
      </w:r>
      <w:r w:rsidRPr="002370B8">
        <w:rPr>
          <w:i w:val="0"/>
          <w:lang w:val="en-AU"/>
        </w:rPr>
        <w:tab/>
      </w:r>
      <w:r w:rsidRPr="002370B8">
        <w:rPr>
          <w:rFonts w:ascii="Arial" w:hAnsi="Arial" w:cs="Arial"/>
          <w:i w:val="0"/>
          <w:sz w:val="17"/>
          <w:szCs w:val="17"/>
          <w:lang w:val="en-AU"/>
        </w:rPr>
        <w:t xml:space="preserve">Numbers represented in the </w:t>
      </w:r>
      <w:r>
        <w:rPr>
          <w:rFonts w:ascii="Arial" w:hAnsi="Arial" w:cs="Arial"/>
          <w:i w:val="0"/>
          <w:sz w:val="17"/>
          <w:szCs w:val="17"/>
          <w:lang w:val="en-AU"/>
        </w:rPr>
        <w:t>text</w:t>
      </w:r>
      <w:r w:rsidRPr="002370B8">
        <w:rPr>
          <w:rFonts w:ascii="Arial" w:hAnsi="Arial" w:cs="Arial"/>
          <w:i w:val="0"/>
          <w:sz w:val="17"/>
          <w:szCs w:val="17"/>
          <w:lang w:val="en-AU"/>
        </w:rPr>
        <w:t xml:space="preserve"> are on an eliminated Government Sector basis. Th</w:t>
      </w:r>
      <w:r>
        <w:rPr>
          <w:rFonts w:ascii="Arial" w:hAnsi="Arial" w:cs="Arial"/>
          <w:i w:val="0"/>
          <w:sz w:val="17"/>
          <w:szCs w:val="17"/>
          <w:lang w:val="en-AU"/>
        </w:rPr>
        <w:t>ese numbers</w:t>
      </w:r>
      <w:r w:rsidRPr="002370B8">
        <w:rPr>
          <w:rFonts w:ascii="Arial" w:hAnsi="Arial" w:cs="Arial"/>
          <w:i w:val="0"/>
          <w:sz w:val="17"/>
          <w:szCs w:val="17"/>
          <w:lang w:val="en-AU"/>
        </w:rPr>
        <w:t xml:space="preserve"> </w:t>
      </w:r>
      <w:r>
        <w:rPr>
          <w:rFonts w:ascii="Arial" w:hAnsi="Arial" w:cs="Arial"/>
          <w:i w:val="0"/>
          <w:sz w:val="17"/>
          <w:szCs w:val="17"/>
          <w:lang w:val="en-AU"/>
        </w:rPr>
        <w:t xml:space="preserve">may </w:t>
      </w:r>
      <w:r w:rsidRPr="002370B8">
        <w:rPr>
          <w:rFonts w:ascii="Arial" w:hAnsi="Arial" w:cs="Arial"/>
          <w:i w:val="0"/>
          <w:sz w:val="17"/>
          <w:szCs w:val="17"/>
          <w:lang w:val="en-AU"/>
        </w:rPr>
        <w:t>not agree with individual agenc</w:t>
      </w:r>
      <w:r>
        <w:rPr>
          <w:rFonts w:ascii="Arial" w:hAnsi="Arial" w:cs="Arial"/>
          <w:i w:val="0"/>
          <w:sz w:val="17"/>
          <w:szCs w:val="17"/>
          <w:lang w:val="en-AU"/>
        </w:rPr>
        <w:t>y</w:t>
      </w:r>
      <w:r w:rsidRPr="002370B8">
        <w:rPr>
          <w:rFonts w:ascii="Arial" w:hAnsi="Arial" w:cs="Arial"/>
          <w:i w:val="0"/>
          <w:sz w:val="17"/>
          <w:szCs w:val="17"/>
          <w:lang w:val="en-AU"/>
        </w:rPr>
        <w:t xml:space="preserve"> reporting which is done on a uneliminated basis.</w:t>
      </w:r>
    </w:p>
  </w:footnote>
  <w:footnote w:id="4">
    <w:p w14:paraId="139ACD82" w14:textId="17299F8D" w:rsidR="007C2458" w:rsidRDefault="007C2458" w:rsidP="008546BE">
      <w:pPr>
        <w:ind w:left="709" w:hanging="284"/>
        <w:rPr>
          <w:rFonts w:ascii="Arial" w:hAnsi="Arial" w:cs="Arial"/>
          <w:sz w:val="17"/>
          <w:szCs w:val="17"/>
          <w:lang w:val="en-AU"/>
        </w:rPr>
      </w:pPr>
      <w:r w:rsidRPr="00AC43FC">
        <w:rPr>
          <w:rFonts w:ascii="Arial" w:hAnsi="Arial" w:cs="Arial"/>
          <w:sz w:val="17"/>
          <w:szCs w:val="17"/>
          <w:vertAlign w:val="superscript"/>
        </w:rPr>
        <w:footnoteRef/>
      </w:r>
      <w:r w:rsidRPr="00AC43FC">
        <w:rPr>
          <w:rFonts w:ascii="Arial" w:hAnsi="Arial" w:cs="Arial"/>
          <w:sz w:val="17"/>
          <w:szCs w:val="17"/>
        </w:rPr>
        <w:t xml:space="preserve"> </w:t>
      </w:r>
      <w:r w:rsidRPr="00AC43FC">
        <w:rPr>
          <w:rFonts w:ascii="Arial" w:hAnsi="Arial" w:cs="Arial"/>
          <w:sz w:val="17"/>
          <w:szCs w:val="17"/>
        </w:rPr>
        <w:tab/>
      </w:r>
      <w:r w:rsidRPr="00AC43FC">
        <w:rPr>
          <w:rFonts w:ascii="Arial" w:hAnsi="Arial" w:cs="Arial"/>
          <w:sz w:val="17"/>
          <w:szCs w:val="17"/>
          <w:lang w:val="en-AU"/>
        </w:rPr>
        <w:t>Health capital expenditure includes capital expensing amounts</w:t>
      </w:r>
      <w:r>
        <w:rPr>
          <w:rFonts w:ascii="Arial" w:hAnsi="Arial" w:cs="Arial"/>
          <w:sz w:val="17"/>
          <w:szCs w:val="17"/>
          <w:lang w:val="en-AU"/>
        </w:rPr>
        <w:t xml:space="preserve"> and </w:t>
      </w:r>
      <w:r w:rsidRPr="00167D49">
        <w:rPr>
          <w:rFonts w:ascii="Arial" w:hAnsi="Arial" w:cs="Arial"/>
          <w:sz w:val="17"/>
          <w:szCs w:val="17"/>
          <w:lang w:val="en-AU"/>
        </w:rPr>
        <w:t>leases following a change in accounting standards.</w:t>
      </w:r>
      <w:r w:rsidRPr="00AC43FC">
        <w:rPr>
          <w:rFonts w:ascii="Arial" w:hAnsi="Arial" w:cs="Arial"/>
          <w:sz w:val="17"/>
          <w:szCs w:val="17"/>
          <w:lang w:val="en-AU"/>
        </w:rPr>
        <w:t xml:space="preserve"> Further information is provided at footnote </w:t>
      </w:r>
      <w:r>
        <w:rPr>
          <w:rFonts w:ascii="Arial" w:hAnsi="Arial" w:cs="Arial"/>
          <w:sz w:val="17"/>
          <w:szCs w:val="17"/>
          <w:lang w:val="en-AU"/>
        </w:rPr>
        <w:t>d</w:t>
      </w:r>
      <w:r w:rsidRPr="00AC43FC">
        <w:rPr>
          <w:rFonts w:ascii="Arial" w:hAnsi="Arial" w:cs="Arial"/>
          <w:sz w:val="17"/>
          <w:szCs w:val="17"/>
          <w:lang w:val="en-AU"/>
        </w:rPr>
        <w:t>) of Table 1.</w:t>
      </w:r>
      <w:r>
        <w:rPr>
          <w:rFonts w:ascii="Arial" w:hAnsi="Arial" w:cs="Arial"/>
          <w:sz w:val="17"/>
          <w:szCs w:val="17"/>
          <w:lang w:val="en-AU"/>
        </w:rPr>
        <w:t>3</w:t>
      </w:r>
      <w:r w:rsidRPr="00AC43FC">
        <w:rPr>
          <w:rFonts w:ascii="Arial" w:hAnsi="Arial" w:cs="Arial"/>
          <w:sz w:val="17"/>
          <w:szCs w:val="17"/>
          <w:lang w:val="en-AU"/>
        </w:rPr>
        <w:t>.</w:t>
      </w:r>
    </w:p>
    <w:p w14:paraId="32DA9A06" w14:textId="77777777" w:rsidR="007C2458" w:rsidRPr="00AC43FC" w:rsidRDefault="007C2458" w:rsidP="008546BE">
      <w:pPr>
        <w:ind w:left="709" w:hanging="284"/>
        <w:rPr>
          <w:lang w:val="en-AU"/>
        </w:rPr>
      </w:pPr>
    </w:p>
  </w:footnote>
  <w:footnote w:id="5">
    <w:p w14:paraId="64E03F8F" w14:textId="7D0F3A44" w:rsidR="007C2458" w:rsidRDefault="007C2458" w:rsidP="000877B0">
      <w:pPr>
        <w:ind w:left="709" w:hanging="283"/>
        <w:rPr>
          <w:rFonts w:ascii="Arial" w:hAnsi="Arial" w:cs="Arial"/>
          <w:sz w:val="17"/>
          <w:szCs w:val="17"/>
          <w:lang w:val="en-AU"/>
        </w:rPr>
      </w:pPr>
      <w:r w:rsidRPr="000877B0">
        <w:rPr>
          <w:rStyle w:val="FootnoteReference"/>
          <w:rFonts w:ascii="Arial" w:hAnsi="Arial" w:cs="Arial"/>
          <w:sz w:val="17"/>
          <w:szCs w:val="17"/>
        </w:rPr>
        <w:footnoteRef/>
      </w:r>
      <w:r w:rsidRPr="000877B0">
        <w:rPr>
          <w:rFonts w:ascii="Arial" w:hAnsi="Arial" w:cs="Arial"/>
          <w:sz w:val="17"/>
          <w:szCs w:val="17"/>
        </w:rPr>
        <w:t xml:space="preserve"> </w:t>
      </w:r>
      <w:r w:rsidRPr="000877B0">
        <w:rPr>
          <w:rFonts w:ascii="Arial" w:hAnsi="Arial" w:cs="Arial"/>
          <w:sz w:val="17"/>
          <w:szCs w:val="17"/>
        </w:rPr>
        <w:tab/>
      </w:r>
      <w:r w:rsidRPr="00DE2C43">
        <w:rPr>
          <w:rFonts w:ascii="Arial" w:hAnsi="Arial" w:cs="Arial"/>
          <w:sz w:val="17"/>
          <w:szCs w:val="17"/>
          <w:lang w:val="en-AU"/>
        </w:rPr>
        <w:t>This includes $128.0 million in funding from the Commonwealth for the redevelopment of Shellharbour Hospital under its Community Health and Hospitals Program.</w:t>
      </w:r>
    </w:p>
    <w:p w14:paraId="4C3B39EA" w14:textId="77777777" w:rsidR="007C2458" w:rsidRPr="00DE2C43" w:rsidRDefault="007C2458" w:rsidP="000877B0">
      <w:pPr>
        <w:ind w:left="709" w:hanging="283"/>
        <w:rPr>
          <w:rFonts w:ascii="Arial" w:hAnsi="Arial" w:cs="Arial"/>
          <w:iCs/>
          <w:color w:val="002060"/>
          <w:sz w:val="17"/>
          <w:szCs w:val="17"/>
        </w:rPr>
      </w:pPr>
    </w:p>
  </w:footnote>
  <w:footnote w:id="6">
    <w:p w14:paraId="4F974E4C" w14:textId="66AC4CFA" w:rsidR="007C2458" w:rsidRDefault="007C2458" w:rsidP="00B04B5E">
      <w:pPr>
        <w:ind w:left="709" w:hanging="283"/>
        <w:rPr>
          <w:rFonts w:ascii="Arial" w:hAnsi="Arial" w:cs="Arial"/>
          <w:sz w:val="17"/>
          <w:szCs w:val="17"/>
        </w:rPr>
      </w:pPr>
      <w:r w:rsidRPr="00834EDE">
        <w:rPr>
          <w:rFonts w:ascii="Arial" w:hAnsi="Arial" w:cs="Arial"/>
          <w:sz w:val="17"/>
          <w:szCs w:val="17"/>
          <w:vertAlign w:val="superscript"/>
        </w:rPr>
        <w:footnoteRef/>
      </w:r>
      <w:r w:rsidRPr="00834EDE">
        <w:rPr>
          <w:rFonts w:ascii="Arial" w:hAnsi="Arial" w:cs="Arial"/>
          <w:sz w:val="17"/>
          <w:szCs w:val="17"/>
        </w:rPr>
        <w:t xml:space="preserve"> </w:t>
      </w:r>
      <w:r>
        <w:rPr>
          <w:rFonts w:ascii="Arial" w:hAnsi="Arial" w:cs="Arial"/>
          <w:sz w:val="17"/>
          <w:szCs w:val="17"/>
        </w:rPr>
        <w:tab/>
      </w:r>
      <w:r w:rsidRPr="00834EDE">
        <w:rPr>
          <w:rFonts w:ascii="Arial" w:hAnsi="Arial" w:cs="Arial"/>
          <w:sz w:val="17"/>
          <w:szCs w:val="17"/>
        </w:rPr>
        <w:t>Centre for International Economics,</w:t>
      </w:r>
      <w:r w:rsidRPr="311A39C6">
        <w:rPr>
          <w:rFonts w:ascii="Arial" w:hAnsi="Arial" w:cs="Arial"/>
          <w:i/>
          <w:iCs/>
          <w:sz w:val="17"/>
          <w:szCs w:val="17"/>
        </w:rPr>
        <w:t xml:space="preserve"> Impact of the State Infrastructure Strategy 2018,</w:t>
      </w:r>
      <w:r>
        <w:rPr>
          <w:rFonts w:ascii="Arial" w:hAnsi="Arial" w:cs="Arial"/>
          <w:sz w:val="17"/>
          <w:szCs w:val="17"/>
        </w:rPr>
        <w:t xml:space="preserve"> Centre for International Economics,</w:t>
      </w:r>
      <w:r w:rsidRPr="00834EDE">
        <w:rPr>
          <w:rFonts w:ascii="Arial" w:hAnsi="Arial" w:cs="Arial"/>
          <w:sz w:val="17"/>
          <w:szCs w:val="17"/>
        </w:rPr>
        <w:t xml:space="preserve"> 2018.</w:t>
      </w:r>
    </w:p>
    <w:p w14:paraId="7B120322" w14:textId="77777777" w:rsidR="007C2458" w:rsidRPr="00A85B9C" w:rsidRDefault="007C2458" w:rsidP="00B04B5E">
      <w:pPr>
        <w:ind w:left="709" w:hanging="283"/>
        <w:rPr>
          <w:rFonts w:ascii="Arial" w:hAnsi="Arial" w:cs="Arial"/>
          <w:sz w:val="17"/>
          <w:szCs w:val="17"/>
        </w:rPr>
      </w:pPr>
    </w:p>
  </w:footnote>
  <w:footnote w:id="7">
    <w:p w14:paraId="0741D6E9" w14:textId="3BDF1683" w:rsidR="007C2458" w:rsidRDefault="007C2458" w:rsidP="00DF62AE">
      <w:pPr>
        <w:ind w:left="709" w:hanging="283"/>
        <w:rPr>
          <w:rFonts w:ascii="Arial" w:hAnsi="Arial" w:cs="Arial"/>
          <w:sz w:val="17"/>
          <w:szCs w:val="17"/>
          <w:lang w:val="en-AU"/>
        </w:rPr>
      </w:pPr>
      <w:r w:rsidRPr="008546BE">
        <w:rPr>
          <w:rFonts w:ascii="Arial" w:hAnsi="Arial" w:cs="Arial"/>
          <w:sz w:val="17"/>
          <w:szCs w:val="17"/>
          <w:vertAlign w:val="superscript"/>
        </w:rPr>
        <w:footnoteRef/>
      </w:r>
      <w:r w:rsidRPr="008546BE">
        <w:rPr>
          <w:rFonts w:ascii="Arial" w:hAnsi="Arial" w:cs="Arial"/>
          <w:sz w:val="17"/>
          <w:szCs w:val="17"/>
          <w:lang w:val="en-AU"/>
        </w:rPr>
        <w:tab/>
        <w:t>Infrastructure NSW, State Infrastructure Strategy 2018-2038, Sydney, 2018.</w:t>
      </w:r>
    </w:p>
    <w:p w14:paraId="786F736E" w14:textId="77777777" w:rsidR="007C2458" w:rsidRPr="008546BE" w:rsidRDefault="007C2458" w:rsidP="00DF62AE">
      <w:pPr>
        <w:ind w:left="709" w:hanging="283"/>
        <w:rPr>
          <w:rFonts w:ascii="Arial" w:hAnsi="Arial" w:cs="Arial"/>
          <w:sz w:val="17"/>
          <w:szCs w:val="17"/>
          <w:highlight w:val="yellow"/>
          <w:lang w:val="en-AU"/>
        </w:rPr>
      </w:pPr>
    </w:p>
  </w:footnote>
  <w:footnote w:id="8">
    <w:p w14:paraId="2C10F05C" w14:textId="4695C3AE" w:rsidR="007C2458" w:rsidRDefault="007C2458" w:rsidP="000877B0">
      <w:pPr>
        <w:ind w:left="709" w:hanging="283"/>
        <w:rPr>
          <w:rFonts w:ascii="Arial" w:hAnsi="Arial" w:cs="Arial"/>
          <w:sz w:val="17"/>
          <w:szCs w:val="17"/>
        </w:rPr>
      </w:pPr>
      <w:r w:rsidRPr="00EB5A58">
        <w:rPr>
          <w:rFonts w:ascii="Arial" w:hAnsi="Arial" w:cs="Arial"/>
          <w:sz w:val="17"/>
          <w:szCs w:val="17"/>
          <w:vertAlign w:val="superscript"/>
        </w:rPr>
        <w:footnoteRef/>
      </w:r>
      <w:r w:rsidRPr="00EB5A58">
        <w:rPr>
          <w:rFonts w:ascii="Arial" w:hAnsi="Arial" w:cs="Arial"/>
          <w:sz w:val="17"/>
          <w:szCs w:val="17"/>
          <w:vertAlign w:val="superscript"/>
        </w:rPr>
        <w:t xml:space="preserve"> </w:t>
      </w:r>
      <w:r>
        <w:rPr>
          <w:rFonts w:ascii="Arial" w:hAnsi="Arial" w:cs="Arial"/>
          <w:sz w:val="17"/>
          <w:szCs w:val="17"/>
          <w:vertAlign w:val="superscript"/>
        </w:rPr>
        <w:tab/>
      </w:r>
      <w:r>
        <w:rPr>
          <w:rFonts w:ascii="Arial" w:hAnsi="Arial" w:cs="Arial"/>
          <w:sz w:val="17"/>
          <w:szCs w:val="17"/>
        </w:rPr>
        <w:t>A t</w:t>
      </w:r>
      <w:r w:rsidRPr="00141A9D">
        <w:rPr>
          <w:rFonts w:ascii="Arial" w:hAnsi="Arial" w:cs="Arial"/>
          <w:sz w:val="17"/>
          <w:szCs w:val="17"/>
        </w:rPr>
        <w:t xml:space="preserve">otal </w:t>
      </w:r>
      <w:r>
        <w:rPr>
          <w:rFonts w:ascii="Arial" w:hAnsi="Arial" w:cs="Arial"/>
          <w:sz w:val="17"/>
          <w:szCs w:val="17"/>
        </w:rPr>
        <w:t xml:space="preserve">of $33.1 billion is </w:t>
      </w:r>
      <w:r w:rsidRPr="00141A9D">
        <w:rPr>
          <w:rFonts w:ascii="Arial" w:hAnsi="Arial" w:cs="Arial"/>
          <w:sz w:val="17"/>
          <w:szCs w:val="17"/>
        </w:rPr>
        <w:t xml:space="preserve">committed and reserved </w:t>
      </w:r>
      <w:r>
        <w:rPr>
          <w:rFonts w:ascii="Arial" w:hAnsi="Arial" w:cs="Arial"/>
          <w:sz w:val="17"/>
          <w:szCs w:val="17"/>
        </w:rPr>
        <w:t>within</w:t>
      </w:r>
      <w:r w:rsidRPr="00141A9D">
        <w:rPr>
          <w:rFonts w:ascii="Arial" w:hAnsi="Arial" w:cs="Arial"/>
          <w:sz w:val="17"/>
          <w:szCs w:val="17"/>
        </w:rPr>
        <w:t xml:space="preserve"> Restart NSW</w:t>
      </w:r>
      <w:r>
        <w:rPr>
          <w:rFonts w:ascii="Arial" w:hAnsi="Arial" w:cs="Arial"/>
          <w:sz w:val="17"/>
          <w:szCs w:val="17"/>
        </w:rPr>
        <w:t xml:space="preserve"> (see Chart 3.1), with</w:t>
      </w:r>
      <w:r w:rsidRPr="008319B6">
        <w:rPr>
          <w:rFonts w:ascii="Arial" w:hAnsi="Arial" w:cs="Arial"/>
          <w:sz w:val="17"/>
          <w:szCs w:val="17"/>
        </w:rPr>
        <w:t xml:space="preserve"> $1</w:t>
      </w:r>
      <w:r>
        <w:rPr>
          <w:rFonts w:ascii="Arial" w:hAnsi="Arial" w:cs="Arial"/>
          <w:sz w:val="17"/>
          <w:szCs w:val="17"/>
        </w:rPr>
        <w:t>1</w:t>
      </w:r>
      <w:r w:rsidRPr="008319B6">
        <w:rPr>
          <w:rFonts w:ascii="Arial" w:hAnsi="Arial" w:cs="Arial"/>
          <w:sz w:val="17"/>
          <w:szCs w:val="17"/>
        </w:rPr>
        <w:t>.</w:t>
      </w:r>
      <w:r>
        <w:rPr>
          <w:rFonts w:ascii="Arial" w:hAnsi="Arial" w:cs="Arial"/>
          <w:sz w:val="17"/>
          <w:szCs w:val="17"/>
        </w:rPr>
        <w:t>2</w:t>
      </w:r>
      <w:r w:rsidRPr="008319B6">
        <w:rPr>
          <w:rFonts w:ascii="Arial" w:hAnsi="Arial" w:cs="Arial"/>
          <w:sz w:val="17"/>
          <w:szCs w:val="17"/>
        </w:rPr>
        <w:t xml:space="preserve"> billion committed and reserved over </w:t>
      </w:r>
      <w:r>
        <w:rPr>
          <w:rFonts w:ascii="Arial" w:hAnsi="Arial" w:cs="Arial"/>
          <w:sz w:val="17"/>
          <w:szCs w:val="17"/>
        </w:rPr>
        <w:t xml:space="preserve">the </w:t>
      </w:r>
      <w:r w:rsidRPr="008319B6">
        <w:rPr>
          <w:rFonts w:ascii="Arial" w:hAnsi="Arial" w:cs="Arial"/>
          <w:sz w:val="17"/>
          <w:szCs w:val="17"/>
        </w:rPr>
        <w:t>four years to 202</w:t>
      </w:r>
      <w:r>
        <w:rPr>
          <w:rFonts w:ascii="Arial" w:hAnsi="Arial" w:cs="Arial"/>
          <w:sz w:val="17"/>
          <w:szCs w:val="17"/>
        </w:rPr>
        <w:t>2</w:t>
      </w:r>
      <w:r w:rsidRPr="008319B6">
        <w:rPr>
          <w:rFonts w:ascii="Arial" w:hAnsi="Arial" w:cs="Arial"/>
          <w:sz w:val="17"/>
          <w:szCs w:val="17"/>
        </w:rPr>
        <w:t>-2</w:t>
      </w:r>
      <w:r>
        <w:rPr>
          <w:rFonts w:ascii="Arial" w:hAnsi="Arial" w:cs="Arial"/>
          <w:sz w:val="17"/>
          <w:szCs w:val="17"/>
        </w:rPr>
        <w:t>3.</w:t>
      </w:r>
      <w:r w:rsidRPr="008319B6">
        <w:rPr>
          <w:rFonts w:ascii="Arial" w:hAnsi="Arial" w:cs="Arial"/>
          <w:sz w:val="17"/>
          <w:szCs w:val="17"/>
        </w:rPr>
        <w:t xml:space="preserve"> </w:t>
      </w:r>
      <w:r>
        <w:rPr>
          <w:rFonts w:ascii="Arial" w:hAnsi="Arial" w:cs="Arial"/>
          <w:sz w:val="17"/>
          <w:szCs w:val="17"/>
        </w:rPr>
        <w:t xml:space="preserve">Additional </w:t>
      </w:r>
      <w:r w:rsidRPr="008319B6">
        <w:rPr>
          <w:rFonts w:ascii="Arial" w:hAnsi="Arial" w:cs="Arial"/>
          <w:sz w:val="17"/>
          <w:szCs w:val="17"/>
        </w:rPr>
        <w:t>expenditure</w:t>
      </w:r>
      <w:r>
        <w:rPr>
          <w:rFonts w:ascii="Arial" w:hAnsi="Arial" w:cs="Arial"/>
          <w:sz w:val="17"/>
          <w:szCs w:val="17"/>
        </w:rPr>
        <w:t xml:space="preserve"> is</w:t>
      </w:r>
      <w:r w:rsidRPr="008319B6">
        <w:rPr>
          <w:rFonts w:ascii="Arial" w:hAnsi="Arial" w:cs="Arial"/>
          <w:sz w:val="17"/>
          <w:szCs w:val="17"/>
        </w:rPr>
        <w:t xml:space="preserve"> forecast outside the budget and forward estimates.</w:t>
      </w:r>
    </w:p>
    <w:p w14:paraId="7A80D7AE" w14:textId="77777777" w:rsidR="007C2458" w:rsidRPr="00EB5A58" w:rsidRDefault="007C2458" w:rsidP="000877B0">
      <w:pPr>
        <w:ind w:left="709" w:hanging="283"/>
        <w:rPr>
          <w:rFonts w:ascii="Arial" w:hAnsi="Arial" w:cs="Arial"/>
          <w:sz w:val="17"/>
          <w:szCs w:val="17"/>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F84A91" w14:textId="06414C42" w:rsidR="007C2458" w:rsidRDefault="007C2458" w:rsidP="00826275">
    <w:pPr>
      <w:pBdr>
        <w:bottom w:val="single" w:sz="4" w:space="4" w:color="auto"/>
      </w:pBdr>
    </w:pPr>
    <w:r>
      <w:rPr>
        <w:rFonts w:ascii="Arial" w:hAnsi="Arial"/>
        <w:sz w:val="18"/>
        <w:szCs w:val="18"/>
      </w:rPr>
      <w:t>Overview</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F23D85" w14:textId="31E924FF" w:rsidR="007C2458" w:rsidRDefault="007C2458" w:rsidP="00826275">
    <w:pPr>
      <w:pBdr>
        <w:bottom w:val="single" w:sz="4" w:space="4" w:color="auto"/>
      </w:pBdr>
      <w:jc w:val="right"/>
    </w:pPr>
    <w:r>
      <w:rPr>
        <w:rFonts w:ascii="Arial" w:hAnsi="Arial"/>
        <w:sz w:val="18"/>
        <w:szCs w:val="18"/>
      </w:rPr>
      <w:t>Overview</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B4A2A5" w14:textId="3790A4C3" w:rsidR="007C2458" w:rsidRPr="004D40B5" w:rsidRDefault="007C2458" w:rsidP="00ED716C">
    <w:pPr>
      <w:rPr>
        <w:rFonts w:ascii="Arial" w:hAnsi="Arial" w:cs="Arial"/>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F7564C90"/>
    <w:lvl w:ilvl="0">
      <w:start w:val="1"/>
      <w:numFmt w:val="decimal"/>
      <w:lvlText w:val="%1."/>
      <w:lvlJc w:val="left"/>
      <w:pPr>
        <w:tabs>
          <w:tab w:val="num" w:pos="360"/>
        </w:tabs>
        <w:ind w:left="360" w:hanging="360"/>
      </w:pPr>
    </w:lvl>
  </w:abstractNum>
  <w:abstractNum w:abstractNumId="1" w15:restartNumberingAfterBreak="0">
    <w:nsid w:val="FFFFFF89"/>
    <w:multiLevelType w:val="singleLevel"/>
    <w:tmpl w:val="9F4A5E38"/>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5DE5882"/>
    <w:multiLevelType w:val="singleLevel"/>
    <w:tmpl w:val="022A7A84"/>
    <w:lvl w:ilvl="0">
      <w:start w:val="1"/>
      <w:numFmt w:val="bullet"/>
      <w:pStyle w:val="Bullet3"/>
      <w:lvlText w:val=""/>
      <w:lvlJc w:val="left"/>
      <w:pPr>
        <w:tabs>
          <w:tab w:val="num" w:pos="1276"/>
        </w:tabs>
        <w:ind w:left="1276" w:hanging="425"/>
      </w:pPr>
      <w:rPr>
        <w:rFonts w:ascii="Symbol" w:hAnsi="Symbol" w:hint="default"/>
        <w:sz w:val="22"/>
      </w:rPr>
    </w:lvl>
  </w:abstractNum>
  <w:abstractNum w:abstractNumId="3" w15:restartNumberingAfterBreak="0">
    <w:nsid w:val="0C9314E8"/>
    <w:multiLevelType w:val="hybridMultilevel"/>
    <w:tmpl w:val="CA2691FA"/>
    <w:lvl w:ilvl="0" w:tplc="5F1E71D0">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DCB4AFF"/>
    <w:multiLevelType w:val="hybridMultilevel"/>
    <w:tmpl w:val="C4CC58DA"/>
    <w:lvl w:ilvl="0" w:tplc="54B061C6">
      <w:start w:val="1"/>
      <w:numFmt w:val="bullet"/>
      <w:pStyle w:val="ListBullet1"/>
      <w:lvlText w:val=""/>
      <w:lvlJc w:val="left"/>
      <w:pPr>
        <w:tabs>
          <w:tab w:val="num" w:pos="454"/>
        </w:tabs>
        <w:ind w:left="454" w:hanging="454"/>
      </w:pPr>
      <w:rPr>
        <w:rFonts w:ascii="Symbol" w:hAnsi="Symbol" w:hint="default"/>
      </w:rPr>
    </w:lvl>
    <w:lvl w:ilvl="1" w:tplc="5A70E5E4">
      <w:numFmt w:val="bullet"/>
      <w:lvlText w:val="-"/>
      <w:lvlJc w:val="left"/>
      <w:pPr>
        <w:tabs>
          <w:tab w:val="num" w:pos="1440"/>
        </w:tabs>
        <w:ind w:left="1440" w:hanging="360"/>
      </w:pPr>
      <w:rPr>
        <w:rFonts w:ascii="Arial" w:eastAsia="Times New Roman" w:hAnsi="Arial" w:cs="Arial"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F4C7886"/>
    <w:multiLevelType w:val="hybridMultilevel"/>
    <w:tmpl w:val="C226CE7A"/>
    <w:lvl w:ilvl="0" w:tplc="AC9EAA0E">
      <w:start w:val="1"/>
      <w:numFmt w:val="bullet"/>
      <w:lvlText w:val=""/>
      <w:lvlJc w:val="left"/>
      <w:pPr>
        <w:ind w:left="360" w:hanging="360"/>
      </w:pPr>
      <w:rPr>
        <w:rFonts w:ascii="Symbol" w:hAnsi="Symbol" w:hint="default"/>
        <w:sz w:val="23"/>
      </w:rPr>
    </w:lvl>
    <w:lvl w:ilvl="1" w:tplc="0AC204BA">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17E4323"/>
    <w:multiLevelType w:val="hybridMultilevel"/>
    <w:tmpl w:val="5A3283DC"/>
    <w:lvl w:ilvl="0" w:tplc="737E4158">
      <w:start w:val="1"/>
      <w:numFmt w:val="decimal"/>
      <w:pStyle w:val="Table2X"/>
      <w:lvlText w:val="Table 2.%1:"/>
      <w:lvlJc w:val="left"/>
      <w:pPr>
        <w:ind w:left="360" w:hanging="360"/>
      </w:pPr>
      <w:rPr>
        <w:rFonts w:ascii="Lucida Sans" w:hAnsi="Lucida Sans" w:hint="default"/>
        <w:b w:val="0"/>
        <w:i w:val="0"/>
        <w:caps w:val="0"/>
        <w:color w:val="auto"/>
        <w:sz w:val="22"/>
        <w:u w:val="none"/>
      </w:rPr>
    </w:lvl>
    <w:lvl w:ilvl="1" w:tplc="0C090019">
      <w:start w:val="1"/>
      <w:numFmt w:val="lowerLetter"/>
      <w:lvlText w:val="(%2)"/>
      <w:lvlJc w:val="left"/>
      <w:pPr>
        <w:tabs>
          <w:tab w:val="num" w:pos="1440"/>
        </w:tabs>
        <w:ind w:left="1440" w:hanging="360"/>
      </w:pPr>
      <w:rPr>
        <w:rFonts w:hint="default"/>
      </w:r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 w15:restartNumberingAfterBreak="0">
    <w:nsid w:val="15035A54"/>
    <w:multiLevelType w:val="hybridMultilevel"/>
    <w:tmpl w:val="D9147070"/>
    <w:lvl w:ilvl="0" w:tplc="DAD49878">
      <w:start w:val="1"/>
      <w:numFmt w:val="lowerLetter"/>
      <w:lvlText w:val="(%1)"/>
      <w:lvlJc w:val="left"/>
      <w:pPr>
        <w:ind w:left="360" w:hanging="360"/>
      </w:pPr>
      <w:rPr>
        <w:rFonts w:ascii="Arial" w:hAnsi="Arial" w:hint="default"/>
        <w:b w:val="0"/>
        <w:i w:val="0"/>
        <w:sz w:val="16"/>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 w15:restartNumberingAfterBreak="0">
    <w:nsid w:val="170F504B"/>
    <w:multiLevelType w:val="hybridMultilevel"/>
    <w:tmpl w:val="7AB02344"/>
    <w:lvl w:ilvl="0" w:tplc="8B50261E">
      <w:start w:val="1"/>
      <w:numFmt w:val="bullet"/>
      <w:lvlText w:val=""/>
      <w:lvlJc w:val="left"/>
      <w:pPr>
        <w:ind w:left="360" w:hanging="360"/>
      </w:pPr>
      <w:rPr>
        <w:rFonts w:ascii="Symbol" w:hAnsi="Symbol" w:hint="default"/>
      </w:rPr>
    </w:lvl>
    <w:lvl w:ilvl="1" w:tplc="247881CC">
      <w:start w:val="1"/>
      <w:numFmt w:val="bullet"/>
      <w:lvlText w:val="­"/>
      <w:lvlJc w:val="left"/>
      <w:pPr>
        <w:ind w:left="1440" w:hanging="360"/>
      </w:pPr>
      <w:rPr>
        <w:rFonts w:ascii="Courier New" w:hAnsi="Courier New" w:hint="default"/>
        <w:color w:val="auto"/>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18D97EF1"/>
    <w:multiLevelType w:val="hybridMultilevel"/>
    <w:tmpl w:val="7C403B5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9395607"/>
    <w:multiLevelType w:val="hybridMultilevel"/>
    <w:tmpl w:val="213A31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19B14A29"/>
    <w:multiLevelType w:val="hybridMultilevel"/>
    <w:tmpl w:val="2A2E7E86"/>
    <w:lvl w:ilvl="0" w:tplc="86282FC6">
      <w:start w:val="1"/>
      <w:numFmt w:val="lowerLetter"/>
      <w:lvlText w:val="(%1)"/>
      <w:lvlJc w:val="left"/>
      <w:pPr>
        <w:ind w:left="360" w:hanging="360"/>
      </w:pPr>
      <w:rPr>
        <w:rFonts w:ascii="Arial" w:hAnsi="Arial" w:hint="default"/>
        <w:b w:val="0"/>
        <w:i w:val="0"/>
        <w:sz w:val="16"/>
      </w:r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2" w15:restartNumberingAfterBreak="0">
    <w:nsid w:val="1BDC0207"/>
    <w:multiLevelType w:val="multilevel"/>
    <w:tmpl w:val="0018E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C855A3C"/>
    <w:multiLevelType w:val="hybridMultilevel"/>
    <w:tmpl w:val="9CF611C8"/>
    <w:lvl w:ilvl="0" w:tplc="29C60F92">
      <w:start w:val="1"/>
      <w:numFmt w:val="lowerLetter"/>
      <w:lvlText w:val="(%1)"/>
      <w:lvlJc w:val="left"/>
      <w:pPr>
        <w:ind w:left="360" w:hanging="360"/>
      </w:pPr>
      <w:rPr>
        <w:rFonts w:ascii="Arial" w:hAnsi="Arial" w:hint="default"/>
        <w:b w:val="0"/>
        <w:i w:val="0"/>
        <w:sz w:val="16"/>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4" w15:restartNumberingAfterBreak="0">
    <w:nsid w:val="242F5316"/>
    <w:multiLevelType w:val="hybridMultilevel"/>
    <w:tmpl w:val="2A2E7E86"/>
    <w:lvl w:ilvl="0" w:tplc="86282FC6">
      <w:start w:val="1"/>
      <w:numFmt w:val="lowerLetter"/>
      <w:lvlText w:val="(%1)"/>
      <w:lvlJc w:val="left"/>
      <w:pPr>
        <w:ind w:left="1704" w:hanging="360"/>
      </w:pPr>
      <w:rPr>
        <w:rFonts w:ascii="Arial" w:hAnsi="Arial" w:hint="default"/>
        <w:b w:val="0"/>
        <w:i w:val="0"/>
        <w:sz w:val="16"/>
      </w:rPr>
    </w:lvl>
    <w:lvl w:ilvl="1" w:tplc="0C090019">
      <w:start w:val="1"/>
      <w:numFmt w:val="lowerLetter"/>
      <w:lvlText w:val="%2."/>
      <w:lvlJc w:val="left"/>
      <w:pPr>
        <w:ind w:left="2424" w:hanging="360"/>
      </w:pPr>
    </w:lvl>
    <w:lvl w:ilvl="2" w:tplc="0C09001B" w:tentative="1">
      <w:start w:val="1"/>
      <w:numFmt w:val="lowerRoman"/>
      <w:lvlText w:val="%3."/>
      <w:lvlJc w:val="right"/>
      <w:pPr>
        <w:ind w:left="3144" w:hanging="180"/>
      </w:pPr>
    </w:lvl>
    <w:lvl w:ilvl="3" w:tplc="0C09000F" w:tentative="1">
      <w:start w:val="1"/>
      <w:numFmt w:val="decimal"/>
      <w:lvlText w:val="%4."/>
      <w:lvlJc w:val="left"/>
      <w:pPr>
        <w:ind w:left="3864" w:hanging="360"/>
      </w:pPr>
    </w:lvl>
    <w:lvl w:ilvl="4" w:tplc="0C090019" w:tentative="1">
      <w:start w:val="1"/>
      <w:numFmt w:val="lowerLetter"/>
      <w:lvlText w:val="%5."/>
      <w:lvlJc w:val="left"/>
      <w:pPr>
        <w:ind w:left="4584" w:hanging="360"/>
      </w:pPr>
    </w:lvl>
    <w:lvl w:ilvl="5" w:tplc="0C09001B" w:tentative="1">
      <w:start w:val="1"/>
      <w:numFmt w:val="lowerRoman"/>
      <w:lvlText w:val="%6."/>
      <w:lvlJc w:val="right"/>
      <w:pPr>
        <w:ind w:left="5304" w:hanging="180"/>
      </w:pPr>
    </w:lvl>
    <w:lvl w:ilvl="6" w:tplc="0C09000F" w:tentative="1">
      <w:start w:val="1"/>
      <w:numFmt w:val="decimal"/>
      <w:lvlText w:val="%7."/>
      <w:lvlJc w:val="left"/>
      <w:pPr>
        <w:ind w:left="6024" w:hanging="360"/>
      </w:pPr>
    </w:lvl>
    <w:lvl w:ilvl="7" w:tplc="0C090019" w:tentative="1">
      <w:start w:val="1"/>
      <w:numFmt w:val="lowerLetter"/>
      <w:lvlText w:val="%8."/>
      <w:lvlJc w:val="left"/>
      <w:pPr>
        <w:ind w:left="6744" w:hanging="360"/>
      </w:pPr>
    </w:lvl>
    <w:lvl w:ilvl="8" w:tplc="0C09001B" w:tentative="1">
      <w:start w:val="1"/>
      <w:numFmt w:val="lowerRoman"/>
      <w:lvlText w:val="%9."/>
      <w:lvlJc w:val="right"/>
      <w:pPr>
        <w:ind w:left="7464" w:hanging="180"/>
      </w:pPr>
    </w:lvl>
  </w:abstractNum>
  <w:abstractNum w:abstractNumId="15" w15:restartNumberingAfterBreak="0">
    <w:nsid w:val="27856019"/>
    <w:multiLevelType w:val="hybridMultilevel"/>
    <w:tmpl w:val="90E886D0"/>
    <w:lvl w:ilvl="0" w:tplc="5866960E">
      <w:start w:val="1"/>
      <w:numFmt w:val="bullet"/>
      <w:pStyle w:val="Bullet1inabox"/>
      <w:lvlText w:val="•"/>
      <w:lvlJc w:val="left"/>
      <w:pPr>
        <w:ind w:left="360" w:hanging="360"/>
      </w:pPr>
      <w:rPr>
        <w:rFonts w:ascii="Arial" w:hAnsi="Arial" w:hint="default"/>
        <w:color w:val="0A7CB9"/>
        <w:sz w:val="2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30B83AB9"/>
    <w:multiLevelType w:val="hybridMultilevel"/>
    <w:tmpl w:val="2A2E7E86"/>
    <w:lvl w:ilvl="0" w:tplc="86282FC6">
      <w:start w:val="1"/>
      <w:numFmt w:val="lowerLetter"/>
      <w:lvlText w:val="(%1)"/>
      <w:lvlJc w:val="left"/>
      <w:pPr>
        <w:ind w:left="360" w:hanging="360"/>
      </w:pPr>
      <w:rPr>
        <w:rFonts w:ascii="Arial" w:hAnsi="Arial" w:hint="default"/>
        <w:b w:val="0"/>
        <w:i w:val="0"/>
        <w:sz w:val="16"/>
      </w:r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7" w15:restartNumberingAfterBreak="0">
    <w:nsid w:val="30FD1D10"/>
    <w:multiLevelType w:val="hybridMultilevel"/>
    <w:tmpl w:val="730029C8"/>
    <w:lvl w:ilvl="0" w:tplc="75B8B702">
      <w:start w:val="2022"/>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31164B94"/>
    <w:multiLevelType w:val="hybridMultilevel"/>
    <w:tmpl w:val="6228EF5E"/>
    <w:lvl w:ilvl="0" w:tplc="AF8E62DE">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19" w15:restartNumberingAfterBreak="0">
    <w:nsid w:val="3DF944FB"/>
    <w:multiLevelType w:val="singleLevel"/>
    <w:tmpl w:val="96863882"/>
    <w:lvl w:ilvl="0">
      <w:start w:val="1"/>
      <w:numFmt w:val="bullet"/>
      <w:pStyle w:val="Bullet4"/>
      <w:lvlText w:val=""/>
      <w:lvlJc w:val="left"/>
      <w:pPr>
        <w:tabs>
          <w:tab w:val="num" w:pos="1701"/>
        </w:tabs>
        <w:ind w:left="1701" w:hanging="425"/>
      </w:pPr>
      <w:rPr>
        <w:rFonts w:ascii="Symbol" w:hAnsi="Symbol" w:hint="default"/>
        <w:sz w:val="22"/>
      </w:rPr>
    </w:lvl>
  </w:abstractNum>
  <w:abstractNum w:abstractNumId="20" w15:restartNumberingAfterBreak="0">
    <w:nsid w:val="463A575D"/>
    <w:multiLevelType w:val="hybridMultilevel"/>
    <w:tmpl w:val="9DEA86B6"/>
    <w:lvl w:ilvl="0" w:tplc="0C090001">
      <w:start w:val="1"/>
      <w:numFmt w:val="bullet"/>
      <w:lvlText w:val=""/>
      <w:lvlJc w:val="left"/>
      <w:pPr>
        <w:ind w:left="360" w:hanging="360"/>
      </w:pPr>
      <w:rPr>
        <w:rFonts w:ascii="Symbol" w:hAnsi="Symbol" w:hint="default"/>
      </w:rPr>
    </w:lvl>
    <w:lvl w:ilvl="1" w:tplc="0C090003">
      <w:start w:val="1"/>
      <w:numFmt w:val="bullet"/>
      <w:lvlText w:val="o"/>
      <w:lvlJc w:val="left"/>
      <w:pPr>
        <w:ind w:left="1080" w:hanging="360"/>
      </w:pPr>
      <w:rPr>
        <w:rFonts w:ascii="Courier New" w:hAnsi="Courier New" w:cs="Courier New" w:hint="default"/>
      </w:rPr>
    </w:lvl>
    <w:lvl w:ilvl="2" w:tplc="0C090005">
      <w:start w:val="1"/>
      <w:numFmt w:val="bullet"/>
      <w:lvlText w:val=""/>
      <w:lvlJc w:val="left"/>
      <w:pPr>
        <w:ind w:left="1800" w:hanging="360"/>
      </w:pPr>
      <w:rPr>
        <w:rFonts w:ascii="Wingdings" w:hAnsi="Wingdings" w:hint="default"/>
      </w:rPr>
    </w:lvl>
    <w:lvl w:ilvl="3" w:tplc="0C090001">
      <w:start w:val="1"/>
      <w:numFmt w:val="bullet"/>
      <w:lvlText w:val=""/>
      <w:lvlJc w:val="left"/>
      <w:pPr>
        <w:ind w:left="2520" w:hanging="360"/>
      </w:pPr>
      <w:rPr>
        <w:rFonts w:ascii="Symbol" w:hAnsi="Symbol" w:hint="default"/>
      </w:rPr>
    </w:lvl>
    <w:lvl w:ilvl="4" w:tplc="0C090003">
      <w:start w:val="1"/>
      <w:numFmt w:val="bullet"/>
      <w:lvlText w:val="o"/>
      <w:lvlJc w:val="left"/>
      <w:pPr>
        <w:ind w:left="3240" w:hanging="360"/>
      </w:pPr>
      <w:rPr>
        <w:rFonts w:ascii="Courier New" w:hAnsi="Courier New" w:cs="Courier New" w:hint="default"/>
      </w:rPr>
    </w:lvl>
    <w:lvl w:ilvl="5" w:tplc="0C090005">
      <w:start w:val="1"/>
      <w:numFmt w:val="bullet"/>
      <w:lvlText w:val=""/>
      <w:lvlJc w:val="left"/>
      <w:pPr>
        <w:ind w:left="3960" w:hanging="360"/>
      </w:pPr>
      <w:rPr>
        <w:rFonts w:ascii="Wingdings" w:hAnsi="Wingdings" w:hint="default"/>
      </w:rPr>
    </w:lvl>
    <w:lvl w:ilvl="6" w:tplc="0C090001">
      <w:start w:val="1"/>
      <w:numFmt w:val="bullet"/>
      <w:lvlText w:val=""/>
      <w:lvlJc w:val="left"/>
      <w:pPr>
        <w:ind w:left="4680" w:hanging="360"/>
      </w:pPr>
      <w:rPr>
        <w:rFonts w:ascii="Symbol" w:hAnsi="Symbol" w:hint="default"/>
      </w:rPr>
    </w:lvl>
    <w:lvl w:ilvl="7" w:tplc="0C090003">
      <w:start w:val="1"/>
      <w:numFmt w:val="bullet"/>
      <w:lvlText w:val="o"/>
      <w:lvlJc w:val="left"/>
      <w:pPr>
        <w:ind w:left="5400" w:hanging="360"/>
      </w:pPr>
      <w:rPr>
        <w:rFonts w:ascii="Courier New" w:hAnsi="Courier New" w:cs="Courier New" w:hint="default"/>
      </w:rPr>
    </w:lvl>
    <w:lvl w:ilvl="8" w:tplc="0C090005">
      <w:start w:val="1"/>
      <w:numFmt w:val="bullet"/>
      <w:lvlText w:val=""/>
      <w:lvlJc w:val="left"/>
      <w:pPr>
        <w:ind w:left="6120" w:hanging="360"/>
      </w:pPr>
      <w:rPr>
        <w:rFonts w:ascii="Wingdings" w:hAnsi="Wingdings" w:hint="default"/>
      </w:rPr>
    </w:lvl>
  </w:abstractNum>
  <w:abstractNum w:abstractNumId="21" w15:restartNumberingAfterBreak="0">
    <w:nsid w:val="4F234A99"/>
    <w:multiLevelType w:val="hybridMultilevel"/>
    <w:tmpl w:val="9CF611C8"/>
    <w:lvl w:ilvl="0" w:tplc="29C60F92">
      <w:start w:val="1"/>
      <w:numFmt w:val="lowerLetter"/>
      <w:lvlText w:val="(%1)"/>
      <w:lvlJc w:val="left"/>
      <w:pPr>
        <w:ind w:left="360" w:hanging="360"/>
      </w:pPr>
      <w:rPr>
        <w:rFonts w:ascii="Arial" w:hAnsi="Arial" w:hint="default"/>
        <w:b w:val="0"/>
        <w:i w:val="0"/>
        <w:sz w:val="16"/>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2" w15:restartNumberingAfterBreak="0">
    <w:nsid w:val="4F5E1517"/>
    <w:multiLevelType w:val="hybridMultilevel"/>
    <w:tmpl w:val="FE7A4732"/>
    <w:lvl w:ilvl="0" w:tplc="BFB03B94">
      <w:start w:val="1"/>
      <w:numFmt w:val="decimal"/>
      <w:pStyle w:val="Table1X"/>
      <w:lvlText w:val="Table 1.%1:"/>
      <w:lvlJc w:val="left"/>
      <w:pPr>
        <w:ind w:left="1210" w:hanging="360"/>
      </w:pPr>
      <w:rPr>
        <w:rFonts w:ascii="Arial" w:hAnsi="Arial" w:hint="default"/>
        <w:b w:val="0"/>
        <w:i/>
        <w:caps w:val="0"/>
        <w:color w:val="4F4F4F"/>
        <w:sz w:val="22"/>
        <w:u w:val="none"/>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51045771"/>
    <w:multiLevelType w:val="hybridMultilevel"/>
    <w:tmpl w:val="CADA9D78"/>
    <w:lvl w:ilvl="0" w:tplc="37E0EB26">
      <w:start w:val="1"/>
      <w:numFmt w:val="decimal"/>
      <w:pStyle w:val="TableHeading"/>
      <w:lvlText w:val="Table x.%1:"/>
      <w:lvlJc w:val="left"/>
      <w:pPr>
        <w:tabs>
          <w:tab w:val="num" w:pos="1440"/>
        </w:tabs>
        <w:ind w:left="360" w:hanging="360"/>
      </w:pPr>
      <w:rPr>
        <w:rFonts w:ascii="Arial" w:hAnsi="Arial" w:hint="default"/>
        <w:sz w:val="24"/>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4" w15:restartNumberingAfterBreak="0">
    <w:nsid w:val="51C06DAC"/>
    <w:multiLevelType w:val="hybridMultilevel"/>
    <w:tmpl w:val="695C7CD4"/>
    <w:lvl w:ilvl="0" w:tplc="CB3E7CA0">
      <w:start w:val="1"/>
      <w:numFmt w:val="lowerLetter"/>
      <w:lvlText w:val="(%1)"/>
      <w:lvlJc w:val="left"/>
      <w:pPr>
        <w:ind w:left="710" w:hanging="360"/>
      </w:pPr>
      <w:rPr>
        <w:rFonts w:ascii="Arial" w:hAnsi="Arial" w:hint="default"/>
        <w:b w:val="0"/>
        <w:i w:val="0"/>
        <w:sz w:val="16"/>
      </w:rPr>
    </w:lvl>
    <w:lvl w:ilvl="1" w:tplc="0C090019" w:tentative="1">
      <w:start w:val="1"/>
      <w:numFmt w:val="lowerLetter"/>
      <w:lvlText w:val="%2."/>
      <w:lvlJc w:val="left"/>
      <w:pPr>
        <w:ind w:left="1430" w:hanging="360"/>
      </w:pPr>
    </w:lvl>
    <w:lvl w:ilvl="2" w:tplc="0C09001B" w:tentative="1">
      <w:start w:val="1"/>
      <w:numFmt w:val="lowerRoman"/>
      <w:lvlText w:val="%3."/>
      <w:lvlJc w:val="right"/>
      <w:pPr>
        <w:ind w:left="2150" w:hanging="180"/>
      </w:pPr>
    </w:lvl>
    <w:lvl w:ilvl="3" w:tplc="0C09000F" w:tentative="1">
      <w:start w:val="1"/>
      <w:numFmt w:val="decimal"/>
      <w:lvlText w:val="%4."/>
      <w:lvlJc w:val="left"/>
      <w:pPr>
        <w:ind w:left="2870" w:hanging="360"/>
      </w:pPr>
    </w:lvl>
    <w:lvl w:ilvl="4" w:tplc="0C090019" w:tentative="1">
      <w:start w:val="1"/>
      <w:numFmt w:val="lowerLetter"/>
      <w:lvlText w:val="%5."/>
      <w:lvlJc w:val="left"/>
      <w:pPr>
        <w:ind w:left="3590" w:hanging="360"/>
      </w:pPr>
    </w:lvl>
    <w:lvl w:ilvl="5" w:tplc="0C09001B" w:tentative="1">
      <w:start w:val="1"/>
      <w:numFmt w:val="lowerRoman"/>
      <w:lvlText w:val="%6."/>
      <w:lvlJc w:val="right"/>
      <w:pPr>
        <w:ind w:left="4310" w:hanging="180"/>
      </w:pPr>
    </w:lvl>
    <w:lvl w:ilvl="6" w:tplc="0C09000F" w:tentative="1">
      <w:start w:val="1"/>
      <w:numFmt w:val="decimal"/>
      <w:lvlText w:val="%7."/>
      <w:lvlJc w:val="left"/>
      <w:pPr>
        <w:ind w:left="5030" w:hanging="360"/>
      </w:pPr>
    </w:lvl>
    <w:lvl w:ilvl="7" w:tplc="0C090019" w:tentative="1">
      <w:start w:val="1"/>
      <w:numFmt w:val="lowerLetter"/>
      <w:lvlText w:val="%8."/>
      <w:lvlJc w:val="left"/>
      <w:pPr>
        <w:ind w:left="5750" w:hanging="360"/>
      </w:pPr>
    </w:lvl>
    <w:lvl w:ilvl="8" w:tplc="0C09001B" w:tentative="1">
      <w:start w:val="1"/>
      <w:numFmt w:val="lowerRoman"/>
      <w:lvlText w:val="%9."/>
      <w:lvlJc w:val="right"/>
      <w:pPr>
        <w:ind w:left="6470" w:hanging="180"/>
      </w:pPr>
    </w:lvl>
  </w:abstractNum>
  <w:abstractNum w:abstractNumId="25" w15:restartNumberingAfterBreak="0">
    <w:nsid w:val="52BD70C2"/>
    <w:multiLevelType w:val="hybridMultilevel"/>
    <w:tmpl w:val="577A4FCA"/>
    <w:lvl w:ilvl="0" w:tplc="C100B666">
      <w:start w:val="1"/>
      <w:numFmt w:val="bullet"/>
      <w:pStyle w:val="Bullet2"/>
      <w:lvlText w:val="–"/>
      <w:lvlJc w:val="left"/>
      <w:pPr>
        <w:tabs>
          <w:tab w:val="num" w:pos="785"/>
        </w:tabs>
        <w:ind w:left="785" w:hanging="360"/>
      </w:pPr>
      <w:rPr>
        <w:rFonts w:ascii="Lucida Sans" w:hAnsi="Lucida Sans" w:hint="default"/>
        <w:sz w:val="24"/>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31C2649"/>
    <w:multiLevelType w:val="hybridMultilevel"/>
    <w:tmpl w:val="DBA4B926"/>
    <w:lvl w:ilvl="0" w:tplc="C40EC024">
      <w:start w:val="1"/>
      <w:numFmt w:val="lowerLetter"/>
      <w:lvlText w:val="(%1)"/>
      <w:lvlJc w:val="left"/>
      <w:pPr>
        <w:ind w:left="360" w:hanging="360"/>
      </w:pPr>
      <w:rPr>
        <w:rFonts w:ascii="Arial" w:hAnsi="Arial" w:hint="default"/>
        <w:b w:val="0"/>
        <w:i w:val="0"/>
        <w:sz w:val="16"/>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7" w15:restartNumberingAfterBreak="0">
    <w:nsid w:val="5B522501"/>
    <w:multiLevelType w:val="hybridMultilevel"/>
    <w:tmpl w:val="6F76962A"/>
    <w:lvl w:ilvl="0" w:tplc="4C40BA7A">
      <w:numFmt w:val="bullet"/>
      <w:pStyle w:val="Bullet1"/>
      <w:lvlText w:val="•"/>
      <w:lvlJc w:val="left"/>
      <w:pPr>
        <w:ind w:left="720" w:hanging="360"/>
      </w:pPr>
      <w:rPr>
        <w:rFonts w:ascii="Arial" w:hAnsi="Arial" w:cs="Arial" w:hint="default"/>
        <w:color w:val="auto"/>
        <w:sz w:val="2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62B04876"/>
    <w:multiLevelType w:val="hybridMultilevel"/>
    <w:tmpl w:val="A9FCDE20"/>
    <w:lvl w:ilvl="0" w:tplc="8EA831B0">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64E75030"/>
    <w:multiLevelType w:val="hybridMultilevel"/>
    <w:tmpl w:val="E0B4F3C0"/>
    <w:lvl w:ilvl="0" w:tplc="E6222D6A">
      <w:start w:val="1"/>
      <w:numFmt w:val="decimal"/>
      <w:pStyle w:val="Heading2"/>
      <w:lvlText w:val="1.%1"/>
      <w:lvlJc w:val="left"/>
      <w:pPr>
        <w:ind w:left="360" w:hanging="360"/>
      </w:pPr>
      <w:rPr>
        <w:rFonts w:ascii="Arial Bold" w:hAnsi="Arial Bold" w:hint="default"/>
        <w:b/>
        <w:i w:val="0"/>
        <w:color w:val="00ABE6"/>
        <w:sz w:val="2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656A572E"/>
    <w:multiLevelType w:val="hybridMultilevel"/>
    <w:tmpl w:val="0FE88974"/>
    <w:lvl w:ilvl="0" w:tplc="EE7EF20E">
      <w:start w:val="1"/>
      <w:numFmt w:val="decimal"/>
      <w:pStyle w:val="Chart1X"/>
      <w:lvlText w:val="Chart 1.%1:"/>
      <w:lvlJc w:val="left"/>
      <w:pPr>
        <w:ind w:left="1494" w:hanging="360"/>
      </w:pPr>
      <w:rPr>
        <w:rFonts w:ascii="Arial" w:hAnsi="Arial" w:hint="default"/>
        <w:b w:val="0"/>
        <w:i/>
        <w:caps w:val="0"/>
        <w:color w:val="4F4F4F"/>
        <w:sz w:val="22"/>
        <w:u w:val="none"/>
      </w:rPr>
    </w:lvl>
    <w:lvl w:ilvl="1" w:tplc="0C090019" w:tentative="1">
      <w:start w:val="1"/>
      <w:numFmt w:val="lowerLetter"/>
      <w:lvlText w:val="%2."/>
      <w:lvlJc w:val="left"/>
      <w:pPr>
        <w:ind w:left="2214" w:hanging="360"/>
      </w:pPr>
    </w:lvl>
    <w:lvl w:ilvl="2" w:tplc="0C09001B" w:tentative="1">
      <w:start w:val="1"/>
      <w:numFmt w:val="lowerRoman"/>
      <w:lvlText w:val="%3."/>
      <w:lvlJc w:val="right"/>
      <w:pPr>
        <w:ind w:left="2934" w:hanging="180"/>
      </w:pPr>
    </w:lvl>
    <w:lvl w:ilvl="3" w:tplc="0C09000F" w:tentative="1">
      <w:start w:val="1"/>
      <w:numFmt w:val="decimal"/>
      <w:lvlText w:val="%4."/>
      <w:lvlJc w:val="left"/>
      <w:pPr>
        <w:ind w:left="3654" w:hanging="360"/>
      </w:pPr>
    </w:lvl>
    <w:lvl w:ilvl="4" w:tplc="0C090019" w:tentative="1">
      <w:start w:val="1"/>
      <w:numFmt w:val="lowerLetter"/>
      <w:lvlText w:val="%5."/>
      <w:lvlJc w:val="left"/>
      <w:pPr>
        <w:ind w:left="4374" w:hanging="360"/>
      </w:pPr>
    </w:lvl>
    <w:lvl w:ilvl="5" w:tplc="0C09001B" w:tentative="1">
      <w:start w:val="1"/>
      <w:numFmt w:val="lowerRoman"/>
      <w:lvlText w:val="%6."/>
      <w:lvlJc w:val="right"/>
      <w:pPr>
        <w:ind w:left="5094" w:hanging="180"/>
      </w:pPr>
    </w:lvl>
    <w:lvl w:ilvl="6" w:tplc="0C09000F" w:tentative="1">
      <w:start w:val="1"/>
      <w:numFmt w:val="decimal"/>
      <w:lvlText w:val="%7."/>
      <w:lvlJc w:val="left"/>
      <w:pPr>
        <w:ind w:left="5814" w:hanging="360"/>
      </w:pPr>
    </w:lvl>
    <w:lvl w:ilvl="7" w:tplc="0C090019" w:tentative="1">
      <w:start w:val="1"/>
      <w:numFmt w:val="lowerLetter"/>
      <w:lvlText w:val="%8."/>
      <w:lvlJc w:val="left"/>
      <w:pPr>
        <w:ind w:left="6534" w:hanging="360"/>
      </w:pPr>
    </w:lvl>
    <w:lvl w:ilvl="8" w:tplc="0C09001B" w:tentative="1">
      <w:start w:val="1"/>
      <w:numFmt w:val="lowerRoman"/>
      <w:lvlText w:val="%9."/>
      <w:lvlJc w:val="right"/>
      <w:pPr>
        <w:ind w:left="7254" w:hanging="180"/>
      </w:pPr>
    </w:lvl>
  </w:abstractNum>
  <w:abstractNum w:abstractNumId="31" w15:restartNumberingAfterBreak="0">
    <w:nsid w:val="6D633B70"/>
    <w:multiLevelType w:val="hybridMultilevel"/>
    <w:tmpl w:val="D91EFFA0"/>
    <w:lvl w:ilvl="0" w:tplc="A3D84086">
      <w:start w:val="1"/>
      <w:numFmt w:val="decimal"/>
      <w:pStyle w:val="Box11BoxHeading"/>
      <w:lvlText w:val="Box 1.%1:"/>
      <w:lvlJc w:val="left"/>
      <w:pPr>
        <w:ind w:left="720" w:hanging="360"/>
      </w:pPr>
      <w:rPr>
        <w:rFonts w:ascii="Arial Bold" w:hAnsi="Arial Bold" w:cs="Times New Roman" w:hint="default"/>
        <w:b/>
        <w:i w:val="0"/>
        <w:caps w:val="0"/>
        <w:color w:val="auto"/>
        <w:sz w:val="23"/>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6D6B71F0"/>
    <w:multiLevelType w:val="hybridMultilevel"/>
    <w:tmpl w:val="919E0636"/>
    <w:lvl w:ilvl="0" w:tplc="A3FEEC18">
      <w:start w:val="1"/>
      <w:numFmt w:val="decimal"/>
      <w:pStyle w:val="11Heading2"/>
      <w:lvlText w:val="1.%1"/>
      <w:lvlJc w:val="left"/>
      <w:pPr>
        <w:ind w:left="720" w:hanging="360"/>
      </w:pPr>
      <w:rPr>
        <w:rFonts w:ascii="Arial Bold" w:hAnsi="Arial Bold" w:hint="default"/>
        <w:b/>
        <w:i w:val="0"/>
        <w:sz w:val="28"/>
        <w:u w:color="00ABE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7C727261"/>
    <w:multiLevelType w:val="hybridMultilevel"/>
    <w:tmpl w:val="5B82F12A"/>
    <w:lvl w:ilvl="0" w:tplc="5DACE2E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6"/>
  </w:num>
  <w:num w:numId="2">
    <w:abstractNumId w:val="21"/>
  </w:num>
  <w:num w:numId="3">
    <w:abstractNumId w:val="7"/>
  </w:num>
  <w:num w:numId="4">
    <w:abstractNumId w:val="24"/>
  </w:num>
  <w:num w:numId="5">
    <w:abstractNumId w:val="14"/>
  </w:num>
  <w:num w:numId="6">
    <w:abstractNumId w:val="29"/>
  </w:num>
  <w:num w:numId="7">
    <w:abstractNumId w:val="16"/>
  </w:num>
  <w:num w:numId="8">
    <w:abstractNumId w:val="13"/>
  </w:num>
  <w:num w:numId="9">
    <w:abstractNumId w:val="11"/>
  </w:num>
  <w:num w:numId="10">
    <w:abstractNumId w:val="29"/>
  </w:num>
  <w:num w:numId="11">
    <w:abstractNumId w:val="27"/>
  </w:num>
  <w:num w:numId="12">
    <w:abstractNumId w:val="15"/>
  </w:num>
  <w:num w:numId="13">
    <w:abstractNumId w:val="25"/>
  </w:num>
  <w:num w:numId="14">
    <w:abstractNumId w:val="2"/>
  </w:num>
  <w:num w:numId="15">
    <w:abstractNumId w:val="19"/>
  </w:num>
  <w:num w:numId="16">
    <w:abstractNumId w:val="30"/>
  </w:num>
  <w:num w:numId="17">
    <w:abstractNumId w:val="4"/>
  </w:num>
  <w:num w:numId="18">
    <w:abstractNumId w:val="22"/>
  </w:num>
  <w:num w:numId="19">
    <w:abstractNumId w:val="6"/>
  </w:num>
  <w:num w:numId="20">
    <w:abstractNumId w:val="23"/>
  </w:num>
  <w:num w:numId="21">
    <w:abstractNumId w:val="1"/>
  </w:num>
  <w:num w:numId="22">
    <w:abstractNumId w:val="0"/>
  </w:num>
  <w:num w:numId="23">
    <w:abstractNumId w:val="17"/>
  </w:num>
  <w:num w:numId="24">
    <w:abstractNumId w:val="8"/>
  </w:num>
  <w:num w:numId="25">
    <w:abstractNumId w:val="5"/>
  </w:num>
  <w:num w:numId="26">
    <w:abstractNumId w:val="3"/>
  </w:num>
  <w:num w:numId="27">
    <w:abstractNumId w:val="31"/>
  </w:num>
  <w:num w:numId="28">
    <w:abstractNumId w:val="32"/>
  </w:num>
  <w:num w:numId="29">
    <w:abstractNumId w:val="10"/>
  </w:num>
  <w:num w:numId="30">
    <w:abstractNumId w:val="33"/>
  </w:num>
  <w:num w:numId="31">
    <w:abstractNumId w:val="15"/>
  </w:num>
  <w:num w:numId="32">
    <w:abstractNumId w:val="25"/>
  </w:num>
  <w:num w:numId="33">
    <w:abstractNumId w:val="9"/>
  </w:num>
  <w:num w:numId="34">
    <w:abstractNumId w:val="18"/>
  </w:num>
  <w:num w:numId="35">
    <w:abstractNumId w:val="20"/>
  </w:num>
  <w:num w:numId="36">
    <w:abstractNumId w:val="12"/>
  </w:num>
  <w:num w:numId="37">
    <w:abstractNumId w:val="15"/>
  </w:num>
  <w:num w:numId="38">
    <w:abstractNumId w:val="2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defaultTabStop w:val="720"/>
  <w:evenAndOddHeaders/>
  <w:noPunctuationKerning/>
  <w:characterSpacingControl w:val="doNotCompress"/>
  <w:hdrShapeDefaults>
    <o:shapedefaults v:ext="edit" spidmax="8193"/>
  </w:hdrShapeDefaults>
  <w:footnotePr>
    <w:numStart w:val="3"/>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4CFE"/>
    <w:rsid w:val="000003BC"/>
    <w:rsid w:val="0000048F"/>
    <w:rsid w:val="0000055E"/>
    <w:rsid w:val="00000594"/>
    <w:rsid w:val="00000870"/>
    <w:rsid w:val="00000963"/>
    <w:rsid w:val="000009A1"/>
    <w:rsid w:val="0000130E"/>
    <w:rsid w:val="0000161B"/>
    <w:rsid w:val="00001623"/>
    <w:rsid w:val="00001655"/>
    <w:rsid w:val="00001B81"/>
    <w:rsid w:val="00002640"/>
    <w:rsid w:val="00002697"/>
    <w:rsid w:val="00002A44"/>
    <w:rsid w:val="00002F60"/>
    <w:rsid w:val="00003377"/>
    <w:rsid w:val="00003431"/>
    <w:rsid w:val="000043CB"/>
    <w:rsid w:val="000044D4"/>
    <w:rsid w:val="000046AF"/>
    <w:rsid w:val="00004989"/>
    <w:rsid w:val="00004B81"/>
    <w:rsid w:val="00004E1D"/>
    <w:rsid w:val="00005017"/>
    <w:rsid w:val="00005107"/>
    <w:rsid w:val="00005236"/>
    <w:rsid w:val="0000533C"/>
    <w:rsid w:val="000054E7"/>
    <w:rsid w:val="00005555"/>
    <w:rsid w:val="00005833"/>
    <w:rsid w:val="000058DE"/>
    <w:rsid w:val="00005B1E"/>
    <w:rsid w:val="00006138"/>
    <w:rsid w:val="0000678D"/>
    <w:rsid w:val="00006923"/>
    <w:rsid w:val="00006AC8"/>
    <w:rsid w:val="00006C0D"/>
    <w:rsid w:val="00006ED7"/>
    <w:rsid w:val="00007A3E"/>
    <w:rsid w:val="00007FF1"/>
    <w:rsid w:val="00010457"/>
    <w:rsid w:val="00010689"/>
    <w:rsid w:val="00010732"/>
    <w:rsid w:val="000107E5"/>
    <w:rsid w:val="00010ECC"/>
    <w:rsid w:val="00010FC3"/>
    <w:rsid w:val="000110CD"/>
    <w:rsid w:val="000111B4"/>
    <w:rsid w:val="00011505"/>
    <w:rsid w:val="00011554"/>
    <w:rsid w:val="00011574"/>
    <w:rsid w:val="00011675"/>
    <w:rsid w:val="00011879"/>
    <w:rsid w:val="000119DD"/>
    <w:rsid w:val="0001260E"/>
    <w:rsid w:val="00012788"/>
    <w:rsid w:val="0001297E"/>
    <w:rsid w:val="00012A77"/>
    <w:rsid w:val="00012C13"/>
    <w:rsid w:val="0001317F"/>
    <w:rsid w:val="000134F0"/>
    <w:rsid w:val="00013536"/>
    <w:rsid w:val="0001375D"/>
    <w:rsid w:val="000137AA"/>
    <w:rsid w:val="00013874"/>
    <w:rsid w:val="000139B1"/>
    <w:rsid w:val="00013C12"/>
    <w:rsid w:val="00013C24"/>
    <w:rsid w:val="00013F17"/>
    <w:rsid w:val="00013F57"/>
    <w:rsid w:val="00013FFA"/>
    <w:rsid w:val="000141B6"/>
    <w:rsid w:val="000142C9"/>
    <w:rsid w:val="00014609"/>
    <w:rsid w:val="000146D2"/>
    <w:rsid w:val="00014A55"/>
    <w:rsid w:val="00014AE9"/>
    <w:rsid w:val="0001531F"/>
    <w:rsid w:val="0001539A"/>
    <w:rsid w:val="0001544B"/>
    <w:rsid w:val="00015686"/>
    <w:rsid w:val="00015760"/>
    <w:rsid w:val="0001584D"/>
    <w:rsid w:val="00015B68"/>
    <w:rsid w:val="00015C35"/>
    <w:rsid w:val="00015D09"/>
    <w:rsid w:val="00015F01"/>
    <w:rsid w:val="00016167"/>
    <w:rsid w:val="0001622A"/>
    <w:rsid w:val="00016314"/>
    <w:rsid w:val="0001657A"/>
    <w:rsid w:val="000165C2"/>
    <w:rsid w:val="000168BC"/>
    <w:rsid w:val="000172DA"/>
    <w:rsid w:val="00017752"/>
    <w:rsid w:val="00017A06"/>
    <w:rsid w:val="00017B94"/>
    <w:rsid w:val="00017D86"/>
    <w:rsid w:val="00017F31"/>
    <w:rsid w:val="00017F5C"/>
    <w:rsid w:val="0002020D"/>
    <w:rsid w:val="00020370"/>
    <w:rsid w:val="000206F6"/>
    <w:rsid w:val="00020957"/>
    <w:rsid w:val="00020D60"/>
    <w:rsid w:val="00021182"/>
    <w:rsid w:val="000211B3"/>
    <w:rsid w:val="0002128C"/>
    <w:rsid w:val="0002147F"/>
    <w:rsid w:val="00021501"/>
    <w:rsid w:val="00021538"/>
    <w:rsid w:val="00021696"/>
    <w:rsid w:val="00021C55"/>
    <w:rsid w:val="000224AC"/>
    <w:rsid w:val="0002253E"/>
    <w:rsid w:val="000227FA"/>
    <w:rsid w:val="00023357"/>
    <w:rsid w:val="0002364F"/>
    <w:rsid w:val="00023A04"/>
    <w:rsid w:val="00023CD2"/>
    <w:rsid w:val="000245D8"/>
    <w:rsid w:val="000247FA"/>
    <w:rsid w:val="00024930"/>
    <w:rsid w:val="00024B91"/>
    <w:rsid w:val="00024C0C"/>
    <w:rsid w:val="00024FE5"/>
    <w:rsid w:val="000253A2"/>
    <w:rsid w:val="0002552E"/>
    <w:rsid w:val="00025A35"/>
    <w:rsid w:val="00025DF5"/>
    <w:rsid w:val="00025FFD"/>
    <w:rsid w:val="000262E3"/>
    <w:rsid w:val="00026A1E"/>
    <w:rsid w:val="00026BD0"/>
    <w:rsid w:val="00026ED5"/>
    <w:rsid w:val="000270EB"/>
    <w:rsid w:val="000273D0"/>
    <w:rsid w:val="000273E3"/>
    <w:rsid w:val="00027429"/>
    <w:rsid w:val="00027452"/>
    <w:rsid w:val="00027777"/>
    <w:rsid w:val="00027B04"/>
    <w:rsid w:val="00027B21"/>
    <w:rsid w:val="00027CBE"/>
    <w:rsid w:val="000300A8"/>
    <w:rsid w:val="000303E9"/>
    <w:rsid w:val="0003064A"/>
    <w:rsid w:val="0003077E"/>
    <w:rsid w:val="00030A53"/>
    <w:rsid w:val="00030B2A"/>
    <w:rsid w:val="00030B33"/>
    <w:rsid w:val="0003106A"/>
    <w:rsid w:val="00031238"/>
    <w:rsid w:val="00031339"/>
    <w:rsid w:val="00031355"/>
    <w:rsid w:val="000315A1"/>
    <w:rsid w:val="000316D5"/>
    <w:rsid w:val="00031735"/>
    <w:rsid w:val="00031FF4"/>
    <w:rsid w:val="00032367"/>
    <w:rsid w:val="00032633"/>
    <w:rsid w:val="00032701"/>
    <w:rsid w:val="00032B3B"/>
    <w:rsid w:val="00032B60"/>
    <w:rsid w:val="00032D1B"/>
    <w:rsid w:val="00032EED"/>
    <w:rsid w:val="000330B2"/>
    <w:rsid w:val="0003312A"/>
    <w:rsid w:val="00033170"/>
    <w:rsid w:val="000334B7"/>
    <w:rsid w:val="00033579"/>
    <w:rsid w:val="0003380B"/>
    <w:rsid w:val="00033E14"/>
    <w:rsid w:val="000340C4"/>
    <w:rsid w:val="000340D9"/>
    <w:rsid w:val="00034554"/>
    <w:rsid w:val="00034E62"/>
    <w:rsid w:val="0003534D"/>
    <w:rsid w:val="00035A6E"/>
    <w:rsid w:val="0003641F"/>
    <w:rsid w:val="000367DD"/>
    <w:rsid w:val="00036B32"/>
    <w:rsid w:val="00036BFA"/>
    <w:rsid w:val="00036D0B"/>
    <w:rsid w:val="00036F12"/>
    <w:rsid w:val="00036F4B"/>
    <w:rsid w:val="0003709A"/>
    <w:rsid w:val="00037236"/>
    <w:rsid w:val="000374DD"/>
    <w:rsid w:val="0003761A"/>
    <w:rsid w:val="00037636"/>
    <w:rsid w:val="00040BB2"/>
    <w:rsid w:val="00040EDC"/>
    <w:rsid w:val="00040EE4"/>
    <w:rsid w:val="00040F57"/>
    <w:rsid w:val="000411BB"/>
    <w:rsid w:val="00041215"/>
    <w:rsid w:val="000412F4"/>
    <w:rsid w:val="000414F1"/>
    <w:rsid w:val="0004177E"/>
    <w:rsid w:val="000419ED"/>
    <w:rsid w:val="00041A14"/>
    <w:rsid w:val="00041DF0"/>
    <w:rsid w:val="000425E2"/>
    <w:rsid w:val="00042A03"/>
    <w:rsid w:val="0004306D"/>
    <w:rsid w:val="00043232"/>
    <w:rsid w:val="0004326D"/>
    <w:rsid w:val="000432D1"/>
    <w:rsid w:val="00043355"/>
    <w:rsid w:val="00043618"/>
    <w:rsid w:val="00043C73"/>
    <w:rsid w:val="00043FCF"/>
    <w:rsid w:val="000443CD"/>
    <w:rsid w:val="0004440F"/>
    <w:rsid w:val="000446D6"/>
    <w:rsid w:val="0004489C"/>
    <w:rsid w:val="000449DB"/>
    <w:rsid w:val="00044D6A"/>
    <w:rsid w:val="00045272"/>
    <w:rsid w:val="000452F1"/>
    <w:rsid w:val="000453B1"/>
    <w:rsid w:val="00045A08"/>
    <w:rsid w:val="00045A69"/>
    <w:rsid w:val="00045A6D"/>
    <w:rsid w:val="00045F66"/>
    <w:rsid w:val="000461EA"/>
    <w:rsid w:val="0004649D"/>
    <w:rsid w:val="000468CF"/>
    <w:rsid w:val="00046B9F"/>
    <w:rsid w:val="00046BA7"/>
    <w:rsid w:val="00046C86"/>
    <w:rsid w:val="0004718F"/>
    <w:rsid w:val="00047A05"/>
    <w:rsid w:val="000500C6"/>
    <w:rsid w:val="000500EE"/>
    <w:rsid w:val="0005016D"/>
    <w:rsid w:val="00050179"/>
    <w:rsid w:val="000501BA"/>
    <w:rsid w:val="00050631"/>
    <w:rsid w:val="00050D1C"/>
    <w:rsid w:val="00051064"/>
    <w:rsid w:val="00051355"/>
    <w:rsid w:val="00051444"/>
    <w:rsid w:val="00051A3C"/>
    <w:rsid w:val="00051B7F"/>
    <w:rsid w:val="00051D2F"/>
    <w:rsid w:val="00051E92"/>
    <w:rsid w:val="00051F54"/>
    <w:rsid w:val="00052110"/>
    <w:rsid w:val="000521BD"/>
    <w:rsid w:val="00052423"/>
    <w:rsid w:val="00052501"/>
    <w:rsid w:val="00052582"/>
    <w:rsid w:val="00052740"/>
    <w:rsid w:val="00052797"/>
    <w:rsid w:val="000529FE"/>
    <w:rsid w:val="00052CBC"/>
    <w:rsid w:val="00053463"/>
    <w:rsid w:val="00053491"/>
    <w:rsid w:val="00053ABD"/>
    <w:rsid w:val="0005408A"/>
    <w:rsid w:val="000540F1"/>
    <w:rsid w:val="000549C6"/>
    <w:rsid w:val="00054C62"/>
    <w:rsid w:val="0005547C"/>
    <w:rsid w:val="00055538"/>
    <w:rsid w:val="00055A63"/>
    <w:rsid w:val="000561BA"/>
    <w:rsid w:val="000562A8"/>
    <w:rsid w:val="00056414"/>
    <w:rsid w:val="0005676A"/>
    <w:rsid w:val="00056990"/>
    <w:rsid w:val="000569A4"/>
    <w:rsid w:val="00056A37"/>
    <w:rsid w:val="000570C0"/>
    <w:rsid w:val="00057388"/>
    <w:rsid w:val="00057550"/>
    <w:rsid w:val="000578F2"/>
    <w:rsid w:val="00057914"/>
    <w:rsid w:val="00057A6E"/>
    <w:rsid w:val="0006000A"/>
    <w:rsid w:val="0006047A"/>
    <w:rsid w:val="000608F4"/>
    <w:rsid w:val="00060D6F"/>
    <w:rsid w:val="00060ED3"/>
    <w:rsid w:val="00060EEB"/>
    <w:rsid w:val="00060F91"/>
    <w:rsid w:val="0006114D"/>
    <w:rsid w:val="0006148E"/>
    <w:rsid w:val="0006148F"/>
    <w:rsid w:val="00061993"/>
    <w:rsid w:val="00061C48"/>
    <w:rsid w:val="00061F05"/>
    <w:rsid w:val="00062210"/>
    <w:rsid w:val="00062A80"/>
    <w:rsid w:val="00062AFB"/>
    <w:rsid w:val="00062D7C"/>
    <w:rsid w:val="00062DD4"/>
    <w:rsid w:val="00062E04"/>
    <w:rsid w:val="00062E3A"/>
    <w:rsid w:val="000631B6"/>
    <w:rsid w:val="0006345E"/>
    <w:rsid w:val="0006368D"/>
    <w:rsid w:val="0006377B"/>
    <w:rsid w:val="00063CAF"/>
    <w:rsid w:val="00063F34"/>
    <w:rsid w:val="000645CE"/>
    <w:rsid w:val="0006468A"/>
    <w:rsid w:val="0006499A"/>
    <w:rsid w:val="000656DD"/>
    <w:rsid w:val="00065D80"/>
    <w:rsid w:val="00065E5F"/>
    <w:rsid w:val="00065EA2"/>
    <w:rsid w:val="00065EDA"/>
    <w:rsid w:val="000660E1"/>
    <w:rsid w:val="000662F2"/>
    <w:rsid w:val="000663BD"/>
    <w:rsid w:val="000667AE"/>
    <w:rsid w:val="00066BAC"/>
    <w:rsid w:val="00066D62"/>
    <w:rsid w:val="00067084"/>
    <w:rsid w:val="00067124"/>
    <w:rsid w:val="000671C8"/>
    <w:rsid w:val="000671CD"/>
    <w:rsid w:val="00067482"/>
    <w:rsid w:val="000674B8"/>
    <w:rsid w:val="00067637"/>
    <w:rsid w:val="0006768C"/>
    <w:rsid w:val="00070291"/>
    <w:rsid w:val="00070305"/>
    <w:rsid w:val="00070527"/>
    <w:rsid w:val="00070E30"/>
    <w:rsid w:val="0007118A"/>
    <w:rsid w:val="00071569"/>
    <w:rsid w:val="00071744"/>
    <w:rsid w:val="00071992"/>
    <w:rsid w:val="0007245C"/>
    <w:rsid w:val="00072621"/>
    <w:rsid w:val="00072861"/>
    <w:rsid w:val="00072A04"/>
    <w:rsid w:val="00072ABF"/>
    <w:rsid w:val="00072B0A"/>
    <w:rsid w:val="00072B23"/>
    <w:rsid w:val="00072C8F"/>
    <w:rsid w:val="00072CF4"/>
    <w:rsid w:val="00072DA6"/>
    <w:rsid w:val="00072E86"/>
    <w:rsid w:val="00073229"/>
    <w:rsid w:val="00073323"/>
    <w:rsid w:val="00073419"/>
    <w:rsid w:val="00073879"/>
    <w:rsid w:val="0007387E"/>
    <w:rsid w:val="00073C45"/>
    <w:rsid w:val="00073EA5"/>
    <w:rsid w:val="00073F5E"/>
    <w:rsid w:val="00073F64"/>
    <w:rsid w:val="0007417D"/>
    <w:rsid w:val="00074B42"/>
    <w:rsid w:val="00074EDE"/>
    <w:rsid w:val="00074F85"/>
    <w:rsid w:val="00075358"/>
    <w:rsid w:val="0007547D"/>
    <w:rsid w:val="0007583A"/>
    <w:rsid w:val="00075A3B"/>
    <w:rsid w:val="00076165"/>
    <w:rsid w:val="000762BA"/>
    <w:rsid w:val="00076420"/>
    <w:rsid w:val="00076435"/>
    <w:rsid w:val="00076A44"/>
    <w:rsid w:val="00076D35"/>
    <w:rsid w:val="00076FE2"/>
    <w:rsid w:val="00077002"/>
    <w:rsid w:val="0007704D"/>
    <w:rsid w:val="0007705F"/>
    <w:rsid w:val="00077274"/>
    <w:rsid w:val="000779B3"/>
    <w:rsid w:val="00077A56"/>
    <w:rsid w:val="00077C5C"/>
    <w:rsid w:val="00077DCD"/>
    <w:rsid w:val="0008019B"/>
    <w:rsid w:val="00080225"/>
    <w:rsid w:val="00080646"/>
    <w:rsid w:val="00080A0D"/>
    <w:rsid w:val="00080CD4"/>
    <w:rsid w:val="00080DFA"/>
    <w:rsid w:val="00080E31"/>
    <w:rsid w:val="00080F36"/>
    <w:rsid w:val="00080F7D"/>
    <w:rsid w:val="000810D5"/>
    <w:rsid w:val="000811C9"/>
    <w:rsid w:val="000816F1"/>
    <w:rsid w:val="000819C6"/>
    <w:rsid w:val="0008208B"/>
    <w:rsid w:val="000822CA"/>
    <w:rsid w:val="0008245B"/>
    <w:rsid w:val="000824E7"/>
    <w:rsid w:val="00082614"/>
    <w:rsid w:val="00082695"/>
    <w:rsid w:val="000826E3"/>
    <w:rsid w:val="00082E44"/>
    <w:rsid w:val="00082F86"/>
    <w:rsid w:val="00082FD4"/>
    <w:rsid w:val="00083064"/>
    <w:rsid w:val="000830B5"/>
    <w:rsid w:val="000830BC"/>
    <w:rsid w:val="00083532"/>
    <w:rsid w:val="0008362A"/>
    <w:rsid w:val="0008371E"/>
    <w:rsid w:val="00083757"/>
    <w:rsid w:val="0008382E"/>
    <w:rsid w:val="000839C4"/>
    <w:rsid w:val="00083AD0"/>
    <w:rsid w:val="00083C82"/>
    <w:rsid w:val="00083E15"/>
    <w:rsid w:val="00083F6D"/>
    <w:rsid w:val="00084016"/>
    <w:rsid w:val="0008418B"/>
    <w:rsid w:val="00084309"/>
    <w:rsid w:val="000843BE"/>
    <w:rsid w:val="000843ED"/>
    <w:rsid w:val="0008456B"/>
    <w:rsid w:val="00084AEA"/>
    <w:rsid w:val="00084B4C"/>
    <w:rsid w:val="00084B53"/>
    <w:rsid w:val="00084BD9"/>
    <w:rsid w:val="00084D6B"/>
    <w:rsid w:val="00084D78"/>
    <w:rsid w:val="00085194"/>
    <w:rsid w:val="000852F0"/>
    <w:rsid w:val="000853F9"/>
    <w:rsid w:val="00085497"/>
    <w:rsid w:val="000856EF"/>
    <w:rsid w:val="00085928"/>
    <w:rsid w:val="000859AA"/>
    <w:rsid w:val="00085A4F"/>
    <w:rsid w:val="00085F06"/>
    <w:rsid w:val="00085FEA"/>
    <w:rsid w:val="0008623A"/>
    <w:rsid w:val="00086481"/>
    <w:rsid w:val="000866C7"/>
    <w:rsid w:val="00086B47"/>
    <w:rsid w:val="00086D62"/>
    <w:rsid w:val="0008703E"/>
    <w:rsid w:val="000874F8"/>
    <w:rsid w:val="000877B0"/>
    <w:rsid w:val="00087976"/>
    <w:rsid w:val="000879FA"/>
    <w:rsid w:val="00087BCF"/>
    <w:rsid w:val="00087E88"/>
    <w:rsid w:val="00087EB4"/>
    <w:rsid w:val="00087EC5"/>
    <w:rsid w:val="0009013C"/>
    <w:rsid w:val="000902C1"/>
    <w:rsid w:val="0009052C"/>
    <w:rsid w:val="00090DA1"/>
    <w:rsid w:val="00090FAE"/>
    <w:rsid w:val="00091381"/>
    <w:rsid w:val="000913F8"/>
    <w:rsid w:val="00091529"/>
    <w:rsid w:val="00091561"/>
    <w:rsid w:val="000919D3"/>
    <w:rsid w:val="00091E51"/>
    <w:rsid w:val="00091EC4"/>
    <w:rsid w:val="0009205B"/>
    <w:rsid w:val="00092360"/>
    <w:rsid w:val="000923CA"/>
    <w:rsid w:val="00092699"/>
    <w:rsid w:val="00092D45"/>
    <w:rsid w:val="00092DE6"/>
    <w:rsid w:val="00093031"/>
    <w:rsid w:val="0009341D"/>
    <w:rsid w:val="00093855"/>
    <w:rsid w:val="00093CA0"/>
    <w:rsid w:val="00093FB4"/>
    <w:rsid w:val="00094019"/>
    <w:rsid w:val="000947EC"/>
    <w:rsid w:val="00094983"/>
    <w:rsid w:val="00094EE3"/>
    <w:rsid w:val="000954DE"/>
    <w:rsid w:val="000958F9"/>
    <w:rsid w:val="000959DA"/>
    <w:rsid w:val="00095A9C"/>
    <w:rsid w:val="00095E1A"/>
    <w:rsid w:val="00096059"/>
    <w:rsid w:val="00096087"/>
    <w:rsid w:val="00096141"/>
    <w:rsid w:val="000965E6"/>
    <w:rsid w:val="00096852"/>
    <w:rsid w:val="00096A8F"/>
    <w:rsid w:val="00096E45"/>
    <w:rsid w:val="00096F19"/>
    <w:rsid w:val="000971A3"/>
    <w:rsid w:val="0009733A"/>
    <w:rsid w:val="00097420"/>
    <w:rsid w:val="00097550"/>
    <w:rsid w:val="00097555"/>
    <w:rsid w:val="000975FF"/>
    <w:rsid w:val="00097F0B"/>
    <w:rsid w:val="00097F6C"/>
    <w:rsid w:val="000A0622"/>
    <w:rsid w:val="000A06BB"/>
    <w:rsid w:val="000A0AF2"/>
    <w:rsid w:val="000A0B65"/>
    <w:rsid w:val="000A0C6A"/>
    <w:rsid w:val="000A11BF"/>
    <w:rsid w:val="000A135A"/>
    <w:rsid w:val="000A1A8A"/>
    <w:rsid w:val="000A208A"/>
    <w:rsid w:val="000A216B"/>
    <w:rsid w:val="000A261A"/>
    <w:rsid w:val="000A2655"/>
    <w:rsid w:val="000A2659"/>
    <w:rsid w:val="000A26A8"/>
    <w:rsid w:val="000A2E51"/>
    <w:rsid w:val="000A30B6"/>
    <w:rsid w:val="000A3298"/>
    <w:rsid w:val="000A399C"/>
    <w:rsid w:val="000A3A33"/>
    <w:rsid w:val="000A3AC7"/>
    <w:rsid w:val="000A3C2E"/>
    <w:rsid w:val="000A3E10"/>
    <w:rsid w:val="000A44F5"/>
    <w:rsid w:val="000A47CD"/>
    <w:rsid w:val="000A47E7"/>
    <w:rsid w:val="000A4914"/>
    <w:rsid w:val="000A49D6"/>
    <w:rsid w:val="000A4BF7"/>
    <w:rsid w:val="000A4F11"/>
    <w:rsid w:val="000A5096"/>
    <w:rsid w:val="000A5676"/>
    <w:rsid w:val="000A56E4"/>
    <w:rsid w:val="000A5845"/>
    <w:rsid w:val="000A5D58"/>
    <w:rsid w:val="000A6005"/>
    <w:rsid w:val="000A6117"/>
    <w:rsid w:val="000A61B7"/>
    <w:rsid w:val="000A6449"/>
    <w:rsid w:val="000A6929"/>
    <w:rsid w:val="000A731B"/>
    <w:rsid w:val="000A7BB4"/>
    <w:rsid w:val="000A7CE5"/>
    <w:rsid w:val="000B0358"/>
    <w:rsid w:val="000B0AC8"/>
    <w:rsid w:val="000B1033"/>
    <w:rsid w:val="000B1283"/>
    <w:rsid w:val="000B13CB"/>
    <w:rsid w:val="000B16AA"/>
    <w:rsid w:val="000B1806"/>
    <w:rsid w:val="000B1A41"/>
    <w:rsid w:val="000B1BEE"/>
    <w:rsid w:val="000B1CE3"/>
    <w:rsid w:val="000B208A"/>
    <w:rsid w:val="000B21CB"/>
    <w:rsid w:val="000B29D8"/>
    <w:rsid w:val="000B2AE3"/>
    <w:rsid w:val="000B2CFF"/>
    <w:rsid w:val="000B3345"/>
    <w:rsid w:val="000B390D"/>
    <w:rsid w:val="000B3BF1"/>
    <w:rsid w:val="000B40FF"/>
    <w:rsid w:val="000B453F"/>
    <w:rsid w:val="000B454D"/>
    <w:rsid w:val="000B4667"/>
    <w:rsid w:val="000B469A"/>
    <w:rsid w:val="000B49E7"/>
    <w:rsid w:val="000B4B1D"/>
    <w:rsid w:val="000B5091"/>
    <w:rsid w:val="000B51D1"/>
    <w:rsid w:val="000B5494"/>
    <w:rsid w:val="000B5717"/>
    <w:rsid w:val="000B5A80"/>
    <w:rsid w:val="000B659C"/>
    <w:rsid w:val="000B65C0"/>
    <w:rsid w:val="000B67CA"/>
    <w:rsid w:val="000B6B14"/>
    <w:rsid w:val="000B6E34"/>
    <w:rsid w:val="000B7338"/>
    <w:rsid w:val="000B73CA"/>
    <w:rsid w:val="000B75A4"/>
    <w:rsid w:val="000B77B9"/>
    <w:rsid w:val="000C047F"/>
    <w:rsid w:val="000C05E0"/>
    <w:rsid w:val="000C06D1"/>
    <w:rsid w:val="000C1570"/>
    <w:rsid w:val="000C1706"/>
    <w:rsid w:val="000C1A76"/>
    <w:rsid w:val="000C1F56"/>
    <w:rsid w:val="000C1FA0"/>
    <w:rsid w:val="000C211E"/>
    <w:rsid w:val="000C2301"/>
    <w:rsid w:val="000C239A"/>
    <w:rsid w:val="000C255E"/>
    <w:rsid w:val="000C2F09"/>
    <w:rsid w:val="000C30FC"/>
    <w:rsid w:val="000C338F"/>
    <w:rsid w:val="000C3433"/>
    <w:rsid w:val="000C39D5"/>
    <w:rsid w:val="000C3F8B"/>
    <w:rsid w:val="000C4587"/>
    <w:rsid w:val="000C4AFA"/>
    <w:rsid w:val="000C4C8C"/>
    <w:rsid w:val="000C4DBB"/>
    <w:rsid w:val="000C4F15"/>
    <w:rsid w:val="000C5048"/>
    <w:rsid w:val="000C50C6"/>
    <w:rsid w:val="000C510F"/>
    <w:rsid w:val="000C523F"/>
    <w:rsid w:val="000C5257"/>
    <w:rsid w:val="000C570B"/>
    <w:rsid w:val="000C5830"/>
    <w:rsid w:val="000C5910"/>
    <w:rsid w:val="000C5B65"/>
    <w:rsid w:val="000C5B7F"/>
    <w:rsid w:val="000C5DF4"/>
    <w:rsid w:val="000C5E85"/>
    <w:rsid w:val="000C65EF"/>
    <w:rsid w:val="000C6B71"/>
    <w:rsid w:val="000C73F4"/>
    <w:rsid w:val="000C7846"/>
    <w:rsid w:val="000C794B"/>
    <w:rsid w:val="000C7A25"/>
    <w:rsid w:val="000C7F04"/>
    <w:rsid w:val="000D02CE"/>
    <w:rsid w:val="000D0654"/>
    <w:rsid w:val="000D088B"/>
    <w:rsid w:val="000D0C6F"/>
    <w:rsid w:val="000D0CBE"/>
    <w:rsid w:val="000D1100"/>
    <w:rsid w:val="000D11B1"/>
    <w:rsid w:val="000D11C1"/>
    <w:rsid w:val="000D127D"/>
    <w:rsid w:val="000D1372"/>
    <w:rsid w:val="000D14DF"/>
    <w:rsid w:val="000D154A"/>
    <w:rsid w:val="000D1887"/>
    <w:rsid w:val="000D1CD3"/>
    <w:rsid w:val="000D1DEB"/>
    <w:rsid w:val="000D1EFB"/>
    <w:rsid w:val="000D22CE"/>
    <w:rsid w:val="000D29C6"/>
    <w:rsid w:val="000D2A25"/>
    <w:rsid w:val="000D31E6"/>
    <w:rsid w:val="000D33E4"/>
    <w:rsid w:val="000D36CF"/>
    <w:rsid w:val="000D383A"/>
    <w:rsid w:val="000D3949"/>
    <w:rsid w:val="000D3EFF"/>
    <w:rsid w:val="000D47FD"/>
    <w:rsid w:val="000D49FF"/>
    <w:rsid w:val="000D4B1F"/>
    <w:rsid w:val="000D4E8A"/>
    <w:rsid w:val="000D4EBD"/>
    <w:rsid w:val="000D4F6C"/>
    <w:rsid w:val="000D5129"/>
    <w:rsid w:val="000D5234"/>
    <w:rsid w:val="000D5285"/>
    <w:rsid w:val="000D54F6"/>
    <w:rsid w:val="000D572D"/>
    <w:rsid w:val="000D574B"/>
    <w:rsid w:val="000D57A7"/>
    <w:rsid w:val="000D63AA"/>
    <w:rsid w:val="000D6C2A"/>
    <w:rsid w:val="000D7210"/>
    <w:rsid w:val="000D7680"/>
    <w:rsid w:val="000D76DD"/>
    <w:rsid w:val="000E01C8"/>
    <w:rsid w:val="000E0496"/>
    <w:rsid w:val="000E088F"/>
    <w:rsid w:val="000E0D60"/>
    <w:rsid w:val="000E12A8"/>
    <w:rsid w:val="000E13CC"/>
    <w:rsid w:val="000E14EA"/>
    <w:rsid w:val="000E1A28"/>
    <w:rsid w:val="000E1E0D"/>
    <w:rsid w:val="000E208C"/>
    <w:rsid w:val="000E21ED"/>
    <w:rsid w:val="000E223D"/>
    <w:rsid w:val="000E2524"/>
    <w:rsid w:val="000E266B"/>
    <w:rsid w:val="000E26E8"/>
    <w:rsid w:val="000E283C"/>
    <w:rsid w:val="000E29D1"/>
    <w:rsid w:val="000E2B08"/>
    <w:rsid w:val="000E2B22"/>
    <w:rsid w:val="000E2C80"/>
    <w:rsid w:val="000E309B"/>
    <w:rsid w:val="000E310D"/>
    <w:rsid w:val="000E354C"/>
    <w:rsid w:val="000E3FFF"/>
    <w:rsid w:val="000E413C"/>
    <w:rsid w:val="000E41C2"/>
    <w:rsid w:val="000E4332"/>
    <w:rsid w:val="000E4425"/>
    <w:rsid w:val="000E4501"/>
    <w:rsid w:val="000E474C"/>
    <w:rsid w:val="000E4942"/>
    <w:rsid w:val="000E49AD"/>
    <w:rsid w:val="000E4C3E"/>
    <w:rsid w:val="000E4D01"/>
    <w:rsid w:val="000E4E0B"/>
    <w:rsid w:val="000E5036"/>
    <w:rsid w:val="000E5109"/>
    <w:rsid w:val="000E5C9A"/>
    <w:rsid w:val="000E5EFD"/>
    <w:rsid w:val="000E65E3"/>
    <w:rsid w:val="000E6604"/>
    <w:rsid w:val="000E6A19"/>
    <w:rsid w:val="000E6A20"/>
    <w:rsid w:val="000E6B14"/>
    <w:rsid w:val="000E6EFB"/>
    <w:rsid w:val="000E742B"/>
    <w:rsid w:val="000E7DDD"/>
    <w:rsid w:val="000F019B"/>
    <w:rsid w:val="000F03D2"/>
    <w:rsid w:val="000F0423"/>
    <w:rsid w:val="000F0685"/>
    <w:rsid w:val="000F06DA"/>
    <w:rsid w:val="000F0B80"/>
    <w:rsid w:val="000F0D14"/>
    <w:rsid w:val="000F0D75"/>
    <w:rsid w:val="000F0EF2"/>
    <w:rsid w:val="000F0F04"/>
    <w:rsid w:val="000F10B8"/>
    <w:rsid w:val="000F13AB"/>
    <w:rsid w:val="000F1485"/>
    <w:rsid w:val="000F1499"/>
    <w:rsid w:val="000F18BA"/>
    <w:rsid w:val="000F1C18"/>
    <w:rsid w:val="000F1D2B"/>
    <w:rsid w:val="000F1E1F"/>
    <w:rsid w:val="000F1F62"/>
    <w:rsid w:val="000F2659"/>
    <w:rsid w:val="000F2913"/>
    <w:rsid w:val="000F2CE9"/>
    <w:rsid w:val="000F2DB1"/>
    <w:rsid w:val="000F2E4B"/>
    <w:rsid w:val="000F2F97"/>
    <w:rsid w:val="000F34B4"/>
    <w:rsid w:val="000F3781"/>
    <w:rsid w:val="000F39C1"/>
    <w:rsid w:val="000F3D4A"/>
    <w:rsid w:val="000F3F11"/>
    <w:rsid w:val="000F41DF"/>
    <w:rsid w:val="000F43D1"/>
    <w:rsid w:val="000F442C"/>
    <w:rsid w:val="000F4775"/>
    <w:rsid w:val="000F4F11"/>
    <w:rsid w:val="000F52A7"/>
    <w:rsid w:val="000F53C2"/>
    <w:rsid w:val="000F5637"/>
    <w:rsid w:val="000F6026"/>
    <w:rsid w:val="000F6352"/>
    <w:rsid w:val="000F63AA"/>
    <w:rsid w:val="000F63EE"/>
    <w:rsid w:val="000F6564"/>
    <w:rsid w:val="000F662D"/>
    <w:rsid w:val="000F66B6"/>
    <w:rsid w:val="000F6802"/>
    <w:rsid w:val="000F6983"/>
    <w:rsid w:val="000F6B13"/>
    <w:rsid w:val="000F6B37"/>
    <w:rsid w:val="000F703E"/>
    <w:rsid w:val="000F74EE"/>
    <w:rsid w:val="000F75B7"/>
    <w:rsid w:val="000F7C83"/>
    <w:rsid w:val="000F7D1E"/>
    <w:rsid w:val="000F7E94"/>
    <w:rsid w:val="000F7F73"/>
    <w:rsid w:val="001002ED"/>
    <w:rsid w:val="00100B2F"/>
    <w:rsid w:val="00100DA8"/>
    <w:rsid w:val="001011B6"/>
    <w:rsid w:val="001011FA"/>
    <w:rsid w:val="001014E4"/>
    <w:rsid w:val="00101615"/>
    <w:rsid w:val="0010161B"/>
    <w:rsid w:val="001019B9"/>
    <w:rsid w:val="00101A82"/>
    <w:rsid w:val="00101B65"/>
    <w:rsid w:val="00101E49"/>
    <w:rsid w:val="0010204B"/>
    <w:rsid w:val="001024DB"/>
    <w:rsid w:val="001029E1"/>
    <w:rsid w:val="00103066"/>
    <w:rsid w:val="00103170"/>
    <w:rsid w:val="001031F3"/>
    <w:rsid w:val="00103523"/>
    <w:rsid w:val="001035EA"/>
    <w:rsid w:val="00103DC3"/>
    <w:rsid w:val="00103E43"/>
    <w:rsid w:val="00103E68"/>
    <w:rsid w:val="00103F00"/>
    <w:rsid w:val="00104308"/>
    <w:rsid w:val="00104EED"/>
    <w:rsid w:val="001055F9"/>
    <w:rsid w:val="0010570F"/>
    <w:rsid w:val="0010575B"/>
    <w:rsid w:val="001059C7"/>
    <w:rsid w:val="00105A3E"/>
    <w:rsid w:val="00105A77"/>
    <w:rsid w:val="00105E67"/>
    <w:rsid w:val="001061FC"/>
    <w:rsid w:val="00106B80"/>
    <w:rsid w:val="00106FEC"/>
    <w:rsid w:val="001071C9"/>
    <w:rsid w:val="001073EC"/>
    <w:rsid w:val="00107669"/>
    <w:rsid w:val="00107726"/>
    <w:rsid w:val="00107954"/>
    <w:rsid w:val="00107DBA"/>
    <w:rsid w:val="00107E9E"/>
    <w:rsid w:val="00110605"/>
    <w:rsid w:val="00110770"/>
    <w:rsid w:val="00110AF4"/>
    <w:rsid w:val="00110BFD"/>
    <w:rsid w:val="00110E37"/>
    <w:rsid w:val="001113F3"/>
    <w:rsid w:val="001115B9"/>
    <w:rsid w:val="00111763"/>
    <w:rsid w:val="00111895"/>
    <w:rsid w:val="00111C32"/>
    <w:rsid w:val="00112173"/>
    <w:rsid w:val="00112261"/>
    <w:rsid w:val="001122F0"/>
    <w:rsid w:val="00112481"/>
    <w:rsid w:val="00112697"/>
    <w:rsid w:val="001129E3"/>
    <w:rsid w:val="00112A86"/>
    <w:rsid w:val="00112CEC"/>
    <w:rsid w:val="00112F93"/>
    <w:rsid w:val="00113072"/>
    <w:rsid w:val="001131D6"/>
    <w:rsid w:val="001134D4"/>
    <w:rsid w:val="00113504"/>
    <w:rsid w:val="00114171"/>
    <w:rsid w:val="00114244"/>
    <w:rsid w:val="00114468"/>
    <w:rsid w:val="0011451D"/>
    <w:rsid w:val="0011462E"/>
    <w:rsid w:val="0011481C"/>
    <w:rsid w:val="001148F7"/>
    <w:rsid w:val="00114906"/>
    <w:rsid w:val="00114A24"/>
    <w:rsid w:val="00114B00"/>
    <w:rsid w:val="00114F50"/>
    <w:rsid w:val="00115266"/>
    <w:rsid w:val="001156CF"/>
    <w:rsid w:val="00115716"/>
    <w:rsid w:val="001157DA"/>
    <w:rsid w:val="00115AC3"/>
    <w:rsid w:val="00115E75"/>
    <w:rsid w:val="00116669"/>
    <w:rsid w:val="00116A22"/>
    <w:rsid w:val="00116ECE"/>
    <w:rsid w:val="00116EF2"/>
    <w:rsid w:val="00117578"/>
    <w:rsid w:val="00117581"/>
    <w:rsid w:val="001175C2"/>
    <w:rsid w:val="00117641"/>
    <w:rsid w:val="00117DB4"/>
    <w:rsid w:val="0012001D"/>
    <w:rsid w:val="0012010E"/>
    <w:rsid w:val="00120245"/>
    <w:rsid w:val="001202DC"/>
    <w:rsid w:val="001208D0"/>
    <w:rsid w:val="00120AFF"/>
    <w:rsid w:val="0012191B"/>
    <w:rsid w:val="00121A26"/>
    <w:rsid w:val="00121CBF"/>
    <w:rsid w:val="00121EFF"/>
    <w:rsid w:val="0012213F"/>
    <w:rsid w:val="0012248B"/>
    <w:rsid w:val="00122523"/>
    <w:rsid w:val="001225E5"/>
    <w:rsid w:val="001225FC"/>
    <w:rsid w:val="001226B3"/>
    <w:rsid w:val="00122B5C"/>
    <w:rsid w:val="00123175"/>
    <w:rsid w:val="0012381F"/>
    <w:rsid w:val="001239BB"/>
    <w:rsid w:val="00123B45"/>
    <w:rsid w:val="00123E39"/>
    <w:rsid w:val="00123E5E"/>
    <w:rsid w:val="0012428A"/>
    <w:rsid w:val="001243D3"/>
    <w:rsid w:val="00124691"/>
    <w:rsid w:val="0012495F"/>
    <w:rsid w:val="00124AE3"/>
    <w:rsid w:val="00124BB2"/>
    <w:rsid w:val="00124D4B"/>
    <w:rsid w:val="0012540B"/>
    <w:rsid w:val="00125510"/>
    <w:rsid w:val="001257DD"/>
    <w:rsid w:val="00125849"/>
    <w:rsid w:val="001258C0"/>
    <w:rsid w:val="00125B01"/>
    <w:rsid w:val="00125D6D"/>
    <w:rsid w:val="00125D70"/>
    <w:rsid w:val="001261C9"/>
    <w:rsid w:val="0012625F"/>
    <w:rsid w:val="001264F5"/>
    <w:rsid w:val="0012661E"/>
    <w:rsid w:val="00126713"/>
    <w:rsid w:val="001268AE"/>
    <w:rsid w:val="001268C2"/>
    <w:rsid w:val="00126B25"/>
    <w:rsid w:val="00126B68"/>
    <w:rsid w:val="00126D0C"/>
    <w:rsid w:val="00126E4A"/>
    <w:rsid w:val="00126F94"/>
    <w:rsid w:val="001270A7"/>
    <w:rsid w:val="001274A9"/>
    <w:rsid w:val="00127516"/>
    <w:rsid w:val="001275BA"/>
    <w:rsid w:val="0012769E"/>
    <w:rsid w:val="00127ED8"/>
    <w:rsid w:val="00130144"/>
    <w:rsid w:val="001303F0"/>
    <w:rsid w:val="00130919"/>
    <w:rsid w:val="00130AD4"/>
    <w:rsid w:val="00130D6D"/>
    <w:rsid w:val="0013135D"/>
    <w:rsid w:val="0013190B"/>
    <w:rsid w:val="001319F4"/>
    <w:rsid w:val="00131DE7"/>
    <w:rsid w:val="001327BB"/>
    <w:rsid w:val="00132A61"/>
    <w:rsid w:val="00132AF1"/>
    <w:rsid w:val="00132BE8"/>
    <w:rsid w:val="0013320F"/>
    <w:rsid w:val="00133365"/>
    <w:rsid w:val="001333B5"/>
    <w:rsid w:val="0013341F"/>
    <w:rsid w:val="00133B02"/>
    <w:rsid w:val="00133BF4"/>
    <w:rsid w:val="00133DEB"/>
    <w:rsid w:val="00134059"/>
    <w:rsid w:val="001341E0"/>
    <w:rsid w:val="00134313"/>
    <w:rsid w:val="0013462E"/>
    <w:rsid w:val="00134683"/>
    <w:rsid w:val="001347B1"/>
    <w:rsid w:val="00134831"/>
    <w:rsid w:val="00134867"/>
    <w:rsid w:val="00134895"/>
    <w:rsid w:val="00134956"/>
    <w:rsid w:val="00134A3C"/>
    <w:rsid w:val="00134DBD"/>
    <w:rsid w:val="00135007"/>
    <w:rsid w:val="0013526B"/>
    <w:rsid w:val="00135434"/>
    <w:rsid w:val="00135681"/>
    <w:rsid w:val="00135824"/>
    <w:rsid w:val="00135935"/>
    <w:rsid w:val="00135949"/>
    <w:rsid w:val="00135E7D"/>
    <w:rsid w:val="001364A4"/>
    <w:rsid w:val="00136A09"/>
    <w:rsid w:val="00136AD2"/>
    <w:rsid w:val="00136B7A"/>
    <w:rsid w:val="00136DAF"/>
    <w:rsid w:val="00136E24"/>
    <w:rsid w:val="00136F52"/>
    <w:rsid w:val="001375C4"/>
    <w:rsid w:val="00137779"/>
    <w:rsid w:val="001378EA"/>
    <w:rsid w:val="00137A9C"/>
    <w:rsid w:val="00137F6C"/>
    <w:rsid w:val="00140571"/>
    <w:rsid w:val="001409E6"/>
    <w:rsid w:val="00140A25"/>
    <w:rsid w:val="00140B0E"/>
    <w:rsid w:val="00140C82"/>
    <w:rsid w:val="00140D40"/>
    <w:rsid w:val="00140F89"/>
    <w:rsid w:val="00140F98"/>
    <w:rsid w:val="00141647"/>
    <w:rsid w:val="001418D5"/>
    <w:rsid w:val="001419AC"/>
    <w:rsid w:val="00141A4F"/>
    <w:rsid w:val="00141A9D"/>
    <w:rsid w:val="00141B76"/>
    <w:rsid w:val="00141FF9"/>
    <w:rsid w:val="001424C4"/>
    <w:rsid w:val="00142A7F"/>
    <w:rsid w:val="001430B0"/>
    <w:rsid w:val="00143363"/>
    <w:rsid w:val="00143563"/>
    <w:rsid w:val="001439A3"/>
    <w:rsid w:val="00143BCA"/>
    <w:rsid w:val="00144294"/>
    <w:rsid w:val="0014433C"/>
    <w:rsid w:val="001443E9"/>
    <w:rsid w:val="001449FC"/>
    <w:rsid w:val="00144D48"/>
    <w:rsid w:val="00144E0E"/>
    <w:rsid w:val="00144E26"/>
    <w:rsid w:val="00144EEB"/>
    <w:rsid w:val="00144F44"/>
    <w:rsid w:val="0014510C"/>
    <w:rsid w:val="001454DA"/>
    <w:rsid w:val="0014552E"/>
    <w:rsid w:val="001457E5"/>
    <w:rsid w:val="00145801"/>
    <w:rsid w:val="0014580B"/>
    <w:rsid w:val="00145B34"/>
    <w:rsid w:val="00145BD3"/>
    <w:rsid w:val="00145D57"/>
    <w:rsid w:val="00145DE2"/>
    <w:rsid w:val="00146585"/>
    <w:rsid w:val="0014685E"/>
    <w:rsid w:val="0014698A"/>
    <w:rsid w:val="00146BDD"/>
    <w:rsid w:val="00146D9D"/>
    <w:rsid w:val="00146E7F"/>
    <w:rsid w:val="00146FA1"/>
    <w:rsid w:val="0014700C"/>
    <w:rsid w:val="00147F60"/>
    <w:rsid w:val="00147FE9"/>
    <w:rsid w:val="0015009A"/>
    <w:rsid w:val="0015016C"/>
    <w:rsid w:val="001504B2"/>
    <w:rsid w:val="0015062F"/>
    <w:rsid w:val="00150CE0"/>
    <w:rsid w:val="00150E82"/>
    <w:rsid w:val="001514F6"/>
    <w:rsid w:val="001515AA"/>
    <w:rsid w:val="00151705"/>
    <w:rsid w:val="00151A7B"/>
    <w:rsid w:val="00151BAB"/>
    <w:rsid w:val="00151D6F"/>
    <w:rsid w:val="00152950"/>
    <w:rsid w:val="00152A44"/>
    <w:rsid w:val="0015323C"/>
    <w:rsid w:val="00153516"/>
    <w:rsid w:val="00153762"/>
    <w:rsid w:val="00153896"/>
    <w:rsid w:val="00153AEA"/>
    <w:rsid w:val="00153C77"/>
    <w:rsid w:val="00154053"/>
    <w:rsid w:val="00154331"/>
    <w:rsid w:val="00154416"/>
    <w:rsid w:val="0015470C"/>
    <w:rsid w:val="00154868"/>
    <w:rsid w:val="001548CD"/>
    <w:rsid w:val="0015495F"/>
    <w:rsid w:val="0015524F"/>
    <w:rsid w:val="001554D3"/>
    <w:rsid w:val="001555F2"/>
    <w:rsid w:val="0015566D"/>
    <w:rsid w:val="00155A10"/>
    <w:rsid w:val="00155B88"/>
    <w:rsid w:val="0015610E"/>
    <w:rsid w:val="001563F3"/>
    <w:rsid w:val="00156B7E"/>
    <w:rsid w:val="00156C23"/>
    <w:rsid w:val="00156C3B"/>
    <w:rsid w:val="00156E15"/>
    <w:rsid w:val="001572DD"/>
    <w:rsid w:val="00157888"/>
    <w:rsid w:val="001578EF"/>
    <w:rsid w:val="00157A9C"/>
    <w:rsid w:val="00157B91"/>
    <w:rsid w:val="00157F01"/>
    <w:rsid w:val="00157FCF"/>
    <w:rsid w:val="00160074"/>
    <w:rsid w:val="0016012C"/>
    <w:rsid w:val="0016066F"/>
    <w:rsid w:val="001608A5"/>
    <w:rsid w:val="0016097C"/>
    <w:rsid w:val="0016099E"/>
    <w:rsid w:val="001609EB"/>
    <w:rsid w:val="00160E9D"/>
    <w:rsid w:val="00160EAF"/>
    <w:rsid w:val="0016105E"/>
    <w:rsid w:val="00161191"/>
    <w:rsid w:val="00161274"/>
    <w:rsid w:val="001618CC"/>
    <w:rsid w:val="001618FB"/>
    <w:rsid w:val="00161A2F"/>
    <w:rsid w:val="00161ABC"/>
    <w:rsid w:val="00161B01"/>
    <w:rsid w:val="00161E2C"/>
    <w:rsid w:val="00161E8C"/>
    <w:rsid w:val="001624F2"/>
    <w:rsid w:val="0016267F"/>
    <w:rsid w:val="0016269F"/>
    <w:rsid w:val="00162C62"/>
    <w:rsid w:val="00162D49"/>
    <w:rsid w:val="00162DEE"/>
    <w:rsid w:val="00162E64"/>
    <w:rsid w:val="001632A8"/>
    <w:rsid w:val="001633CA"/>
    <w:rsid w:val="00163833"/>
    <w:rsid w:val="00163BB4"/>
    <w:rsid w:val="00163DD9"/>
    <w:rsid w:val="00164314"/>
    <w:rsid w:val="0016454A"/>
    <w:rsid w:val="0016481E"/>
    <w:rsid w:val="00164886"/>
    <w:rsid w:val="00164A08"/>
    <w:rsid w:val="00164A24"/>
    <w:rsid w:val="00164AF5"/>
    <w:rsid w:val="00164C49"/>
    <w:rsid w:val="00164EA1"/>
    <w:rsid w:val="001652B8"/>
    <w:rsid w:val="00165625"/>
    <w:rsid w:val="001659E3"/>
    <w:rsid w:val="00165B23"/>
    <w:rsid w:val="00165CCE"/>
    <w:rsid w:val="00166137"/>
    <w:rsid w:val="001662A0"/>
    <w:rsid w:val="0016647C"/>
    <w:rsid w:val="001665D7"/>
    <w:rsid w:val="0016677C"/>
    <w:rsid w:val="00166AB6"/>
    <w:rsid w:val="00166B32"/>
    <w:rsid w:val="00166BBD"/>
    <w:rsid w:val="00166DF2"/>
    <w:rsid w:val="00166FB9"/>
    <w:rsid w:val="001676B7"/>
    <w:rsid w:val="0016777E"/>
    <w:rsid w:val="00167961"/>
    <w:rsid w:val="001679FE"/>
    <w:rsid w:val="00167ACF"/>
    <w:rsid w:val="00167BF7"/>
    <w:rsid w:val="00167D49"/>
    <w:rsid w:val="00167D85"/>
    <w:rsid w:val="00170132"/>
    <w:rsid w:val="001704F1"/>
    <w:rsid w:val="0017069E"/>
    <w:rsid w:val="001706B5"/>
    <w:rsid w:val="001709C0"/>
    <w:rsid w:val="00170AE1"/>
    <w:rsid w:val="0017138B"/>
    <w:rsid w:val="001717F6"/>
    <w:rsid w:val="00171ABC"/>
    <w:rsid w:val="00171D6B"/>
    <w:rsid w:val="00171D74"/>
    <w:rsid w:val="001721DC"/>
    <w:rsid w:val="0017229C"/>
    <w:rsid w:val="001723C1"/>
    <w:rsid w:val="0017275F"/>
    <w:rsid w:val="00172E96"/>
    <w:rsid w:val="001730F3"/>
    <w:rsid w:val="001731AE"/>
    <w:rsid w:val="001731E2"/>
    <w:rsid w:val="00173A9B"/>
    <w:rsid w:val="00173EC2"/>
    <w:rsid w:val="001743C9"/>
    <w:rsid w:val="00174604"/>
    <w:rsid w:val="00174643"/>
    <w:rsid w:val="0017472B"/>
    <w:rsid w:val="00174846"/>
    <w:rsid w:val="00175150"/>
    <w:rsid w:val="00175243"/>
    <w:rsid w:val="001752C4"/>
    <w:rsid w:val="0017549C"/>
    <w:rsid w:val="001756E7"/>
    <w:rsid w:val="00175897"/>
    <w:rsid w:val="001764D0"/>
    <w:rsid w:val="00176ACC"/>
    <w:rsid w:val="00176D64"/>
    <w:rsid w:val="00176FC2"/>
    <w:rsid w:val="00177592"/>
    <w:rsid w:val="001777A7"/>
    <w:rsid w:val="0017791E"/>
    <w:rsid w:val="0017797F"/>
    <w:rsid w:val="00177D3A"/>
    <w:rsid w:val="00180764"/>
    <w:rsid w:val="001808AB"/>
    <w:rsid w:val="00180AF8"/>
    <w:rsid w:val="00180E88"/>
    <w:rsid w:val="001814BF"/>
    <w:rsid w:val="001819D4"/>
    <w:rsid w:val="00181B1A"/>
    <w:rsid w:val="00181F5E"/>
    <w:rsid w:val="001820BC"/>
    <w:rsid w:val="001824EA"/>
    <w:rsid w:val="00182EC0"/>
    <w:rsid w:val="00183242"/>
    <w:rsid w:val="00183A7D"/>
    <w:rsid w:val="00183BDB"/>
    <w:rsid w:val="00183F1A"/>
    <w:rsid w:val="001840A7"/>
    <w:rsid w:val="001841BF"/>
    <w:rsid w:val="001841D3"/>
    <w:rsid w:val="001841E8"/>
    <w:rsid w:val="001842CB"/>
    <w:rsid w:val="00184B92"/>
    <w:rsid w:val="00184ED1"/>
    <w:rsid w:val="001850C9"/>
    <w:rsid w:val="00185330"/>
    <w:rsid w:val="001854DC"/>
    <w:rsid w:val="00185851"/>
    <w:rsid w:val="00185C12"/>
    <w:rsid w:val="00185C43"/>
    <w:rsid w:val="00185C47"/>
    <w:rsid w:val="00185E73"/>
    <w:rsid w:val="00185F88"/>
    <w:rsid w:val="0018603E"/>
    <w:rsid w:val="001863E8"/>
    <w:rsid w:val="00186585"/>
    <w:rsid w:val="0018669E"/>
    <w:rsid w:val="0018671B"/>
    <w:rsid w:val="00186ACD"/>
    <w:rsid w:val="00186C83"/>
    <w:rsid w:val="00187165"/>
    <w:rsid w:val="001872D3"/>
    <w:rsid w:val="00187356"/>
    <w:rsid w:val="00187799"/>
    <w:rsid w:val="00187A5B"/>
    <w:rsid w:val="00187C96"/>
    <w:rsid w:val="00187CFB"/>
    <w:rsid w:val="00187DB8"/>
    <w:rsid w:val="00190047"/>
    <w:rsid w:val="001904D5"/>
    <w:rsid w:val="0019083E"/>
    <w:rsid w:val="001908C6"/>
    <w:rsid w:val="00190CFB"/>
    <w:rsid w:val="00190E2D"/>
    <w:rsid w:val="001913C4"/>
    <w:rsid w:val="001913F4"/>
    <w:rsid w:val="00191473"/>
    <w:rsid w:val="00191761"/>
    <w:rsid w:val="00191C59"/>
    <w:rsid w:val="001922B9"/>
    <w:rsid w:val="001922F4"/>
    <w:rsid w:val="0019232E"/>
    <w:rsid w:val="001924B1"/>
    <w:rsid w:val="001924D1"/>
    <w:rsid w:val="00192618"/>
    <w:rsid w:val="00192667"/>
    <w:rsid w:val="00192E4A"/>
    <w:rsid w:val="0019309F"/>
    <w:rsid w:val="0019316E"/>
    <w:rsid w:val="001934B2"/>
    <w:rsid w:val="001935FF"/>
    <w:rsid w:val="0019361C"/>
    <w:rsid w:val="00193920"/>
    <w:rsid w:val="00193AC6"/>
    <w:rsid w:val="00193BE4"/>
    <w:rsid w:val="00193F44"/>
    <w:rsid w:val="001940BE"/>
    <w:rsid w:val="0019454D"/>
    <w:rsid w:val="0019467D"/>
    <w:rsid w:val="00194A5D"/>
    <w:rsid w:val="00194C1E"/>
    <w:rsid w:val="00194CE5"/>
    <w:rsid w:val="00194E1D"/>
    <w:rsid w:val="00194E6E"/>
    <w:rsid w:val="00194EE2"/>
    <w:rsid w:val="00194F20"/>
    <w:rsid w:val="001951A1"/>
    <w:rsid w:val="00195400"/>
    <w:rsid w:val="0019541A"/>
    <w:rsid w:val="0019604F"/>
    <w:rsid w:val="001962D9"/>
    <w:rsid w:val="0019683E"/>
    <w:rsid w:val="0019694D"/>
    <w:rsid w:val="00196BAA"/>
    <w:rsid w:val="00196E80"/>
    <w:rsid w:val="00196FF9"/>
    <w:rsid w:val="001974A0"/>
    <w:rsid w:val="00197CB8"/>
    <w:rsid w:val="001A0310"/>
    <w:rsid w:val="001A05B2"/>
    <w:rsid w:val="001A05E2"/>
    <w:rsid w:val="001A0661"/>
    <w:rsid w:val="001A0FD2"/>
    <w:rsid w:val="001A138A"/>
    <w:rsid w:val="001A1885"/>
    <w:rsid w:val="001A19C4"/>
    <w:rsid w:val="001A1E14"/>
    <w:rsid w:val="001A2047"/>
    <w:rsid w:val="001A2463"/>
    <w:rsid w:val="001A2592"/>
    <w:rsid w:val="001A28F2"/>
    <w:rsid w:val="001A2D02"/>
    <w:rsid w:val="001A319F"/>
    <w:rsid w:val="001A3280"/>
    <w:rsid w:val="001A3363"/>
    <w:rsid w:val="001A3567"/>
    <w:rsid w:val="001A3CD7"/>
    <w:rsid w:val="001A3E46"/>
    <w:rsid w:val="001A44CB"/>
    <w:rsid w:val="001A4660"/>
    <w:rsid w:val="001A4913"/>
    <w:rsid w:val="001A4A03"/>
    <w:rsid w:val="001A4B1F"/>
    <w:rsid w:val="001A56BC"/>
    <w:rsid w:val="001A579E"/>
    <w:rsid w:val="001A58E8"/>
    <w:rsid w:val="001A5B7B"/>
    <w:rsid w:val="001A5B9F"/>
    <w:rsid w:val="001A5C42"/>
    <w:rsid w:val="001A6108"/>
    <w:rsid w:val="001A65F8"/>
    <w:rsid w:val="001A673A"/>
    <w:rsid w:val="001A68F4"/>
    <w:rsid w:val="001A6E72"/>
    <w:rsid w:val="001A767C"/>
    <w:rsid w:val="001A768E"/>
    <w:rsid w:val="001A7BA0"/>
    <w:rsid w:val="001A7F25"/>
    <w:rsid w:val="001A7F81"/>
    <w:rsid w:val="001B04DC"/>
    <w:rsid w:val="001B0BCE"/>
    <w:rsid w:val="001B0C21"/>
    <w:rsid w:val="001B0DAB"/>
    <w:rsid w:val="001B109B"/>
    <w:rsid w:val="001B1272"/>
    <w:rsid w:val="001B1287"/>
    <w:rsid w:val="001B1A7F"/>
    <w:rsid w:val="001B1EB7"/>
    <w:rsid w:val="001B1F4F"/>
    <w:rsid w:val="001B20BB"/>
    <w:rsid w:val="001B24C7"/>
    <w:rsid w:val="001B266F"/>
    <w:rsid w:val="001B2811"/>
    <w:rsid w:val="001B2AB9"/>
    <w:rsid w:val="001B2B4E"/>
    <w:rsid w:val="001B2B93"/>
    <w:rsid w:val="001B2B9D"/>
    <w:rsid w:val="001B2C67"/>
    <w:rsid w:val="001B388D"/>
    <w:rsid w:val="001B3ABA"/>
    <w:rsid w:val="001B3C8C"/>
    <w:rsid w:val="001B3E40"/>
    <w:rsid w:val="001B3EAC"/>
    <w:rsid w:val="001B4615"/>
    <w:rsid w:val="001B47DA"/>
    <w:rsid w:val="001B4B1D"/>
    <w:rsid w:val="001B4BC8"/>
    <w:rsid w:val="001B4BE6"/>
    <w:rsid w:val="001B4D54"/>
    <w:rsid w:val="001B4DA4"/>
    <w:rsid w:val="001B5099"/>
    <w:rsid w:val="001B548D"/>
    <w:rsid w:val="001B54FB"/>
    <w:rsid w:val="001B562B"/>
    <w:rsid w:val="001B5D66"/>
    <w:rsid w:val="001B5E74"/>
    <w:rsid w:val="001B66CE"/>
    <w:rsid w:val="001B6FEC"/>
    <w:rsid w:val="001B714B"/>
    <w:rsid w:val="001B7188"/>
    <w:rsid w:val="001B71D8"/>
    <w:rsid w:val="001B79E0"/>
    <w:rsid w:val="001B7EE7"/>
    <w:rsid w:val="001C07BE"/>
    <w:rsid w:val="001C18C5"/>
    <w:rsid w:val="001C1EF1"/>
    <w:rsid w:val="001C2479"/>
    <w:rsid w:val="001C2512"/>
    <w:rsid w:val="001C280C"/>
    <w:rsid w:val="001C2D62"/>
    <w:rsid w:val="001C2E1E"/>
    <w:rsid w:val="001C323F"/>
    <w:rsid w:val="001C362C"/>
    <w:rsid w:val="001C3D82"/>
    <w:rsid w:val="001C3E43"/>
    <w:rsid w:val="001C3EAD"/>
    <w:rsid w:val="001C414A"/>
    <w:rsid w:val="001C45E6"/>
    <w:rsid w:val="001C4879"/>
    <w:rsid w:val="001C4B01"/>
    <w:rsid w:val="001C4BCD"/>
    <w:rsid w:val="001C51AF"/>
    <w:rsid w:val="001C56C9"/>
    <w:rsid w:val="001C58B8"/>
    <w:rsid w:val="001C5A9D"/>
    <w:rsid w:val="001C5D0D"/>
    <w:rsid w:val="001C5E98"/>
    <w:rsid w:val="001C6068"/>
    <w:rsid w:val="001C63A6"/>
    <w:rsid w:val="001C665E"/>
    <w:rsid w:val="001C670F"/>
    <w:rsid w:val="001C68BE"/>
    <w:rsid w:val="001C6FDD"/>
    <w:rsid w:val="001C701B"/>
    <w:rsid w:val="001C70FA"/>
    <w:rsid w:val="001C7767"/>
    <w:rsid w:val="001C7794"/>
    <w:rsid w:val="001C7856"/>
    <w:rsid w:val="001C7B0E"/>
    <w:rsid w:val="001C7EEF"/>
    <w:rsid w:val="001C7EFF"/>
    <w:rsid w:val="001D048B"/>
    <w:rsid w:val="001D0893"/>
    <w:rsid w:val="001D0933"/>
    <w:rsid w:val="001D0DCD"/>
    <w:rsid w:val="001D1127"/>
    <w:rsid w:val="001D1507"/>
    <w:rsid w:val="001D15BA"/>
    <w:rsid w:val="001D169B"/>
    <w:rsid w:val="001D16D1"/>
    <w:rsid w:val="001D1747"/>
    <w:rsid w:val="001D1B29"/>
    <w:rsid w:val="001D1C61"/>
    <w:rsid w:val="001D1DC4"/>
    <w:rsid w:val="001D2253"/>
    <w:rsid w:val="001D27E8"/>
    <w:rsid w:val="001D2A9C"/>
    <w:rsid w:val="001D30D1"/>
    <w:rsid w:val="001D317F"/>
    <w:rsid w:val="001D3B60"/>
    <w:rsid w:val="001D3BC7"/>
    <w:rsid w:val="001D3C47"/>
    <w:rsid w:val="001D3CC3"/>
    <w:rsid w:val="001D4209"/>
    <w:rsid w:val="001D43F1"/>
    <w:rsid w:val="001D44D1"/>
    <w:rsid w:val="001D46B8"/>
    <w:rsid w:val="001D482A"/>
    <w:rsid w:val="001D4AC2"/>
    <w:rsid w:val="001D4BB6"/>
    <w:rsid w:val="001D4EC2"/>
    <w:rsid w:val="001D5414"/>
    <w:rsid w:val="001D5420"/>
    <w:rsid w:val="001D550F"/>
    <w:rsid w:val="001D552F"/>
    <w:rsid w:val="001D5533"/>
    <w:rsid w:val="001D57B0"/>
    <w:rsid w:val="001D57C9"/>
    <w:rsid w:val="001D5868"/>
    <w:rsid w:val="001D593F"/>
    <w:rsid w:val="001D6572"/>
    <w:rsid w:val="001D66ED"/>
    <w:rsid w:val="001D6CF2"/>
    <w:rsid w:val="001D6CFF"/>
    <w:rsid w:val="001D7009"/>
    <w:rsid w:val="001D72FE"/>
    <w:rsid w:val="001D73FA"/>
    <w:rsid w:val="001D7AEC"/>
    <w:rsid w:val="001E0240"/>
    <w:rsid w:val="001E06F2"/>
    <w:rsid w:val="001E0879"/>
    <w:rsid w:val="001E1679"/>
    <w:rsid w:val="001E1699"/>
    <w:rsid w:val="001E1849"/>
    <w:rsid w:val="001E1C0D"/>
    <w:rsid w:val="001E1D17"/>
    <w:rsid w:val="001E1E1F"/>
    <w:rsid w:val="001E1F4B"/>
    <w:rsid w:val="001E2359"/>
    <w:rsid w:val="001E25B0"/>
    <w:rsid w:val="001E29B4"/>
    <w:rsid w:val="001E2B39"/>
    <w:rsid w:val="001E2CAE"/>
    <w:rsid w:val="001E2F8E"/>
    <w:rsid w:val="001E2FA3"/>
    <w:rsid w:val="001E3154"/>
    <w:rsid w:val="001E334E"/>
    <w:rsid w:val="001E33D2"/>
    <w:rsid w:val="001E3409"/>
    <w:rsid w:val="001E361D"/>
    <w:rsid w:val="001E39E5"/>
    <w:rsid w:val="001E3B5C"/>
    <w:rsid w:val="001E3C52"/>
    <w:rsid w:val="001E41FC"/>
    <w:rsid w:val="001E423A"/>
    <w:rsid w:val="001E425B"/>
    <w:rsid w:val="001E43BA"/>
    <w:rsid w:val="001E4432"/>
    <w:rsid w:val="001E44D9"/>
    <w:rsid w:val="001E4791"/>
    <w:rsid w:val="001E4D3F"/>
    <w:rsid w:val="001E4FB0"/>
    <w:rsid w:val="001E5726"/>
    <w:rsid w:val="001E5C00"/>
    <w:rsid w:val="001E5C74"/>
    <w:rsid w:val="001E5F21"/>
    <w:rsid w:val="001E5FC3"/>
    <w:rsid w:val="001E6811"/>
    <w:rsid w:val="001E6CF1"/>
    <w:rsid w:val="001E705D"/>
    <w:rsid w:val="001E7081"/>
    <w:rsid w:val="001E7496"/>
    <w:rsid w:val="001F0421"/>
    <w:rsid w:val="001F044C"/>
    <w:rsid w:val="001F0990"/>
    <w:rsid w:val="001F0A34"/>
    <w:rsid w:val="001F0B53"/>
    <w:rsid w:val="001F112A"/>
    <w:rsid w:val="001F120F"/>
    <w:rsid w:val="001F1733"/>
    <w:rsid w:val="001F1910"/>
    <w:rsid w:val="001F1A7E"/>
    <w:rsid w:val="001F1B67"/>
    <w:rsid w:val="001F1BC1"/>
    <w:rsid w:val="001F1E9F"/>
    <w:rsid w:val="001F203C"/>
    <w:rsid w:val="001F237D"/>
    <w:rsid w:val="001F24BA"/>
    <w:rsid w:val="001F26C8"/>
    <w:rsid w:val="001F29D0"/>
    <w:rsid w:val="001F2CCF"/>
    <w:rsid w:val="001F2E0F"/>
    <w:rsid w:val="001F31CC"/>
    <w:rsid w:val="001F31F2"/>
    <w:rsid w:val="001F35B3"/>
    <w:rsid w:val="001F3842"/>
    <w:rsid w:val="001F3851"/>
    <w:rsid w:val="001F3A03"/>
    <w:rsid w:val="001F3DCC"/>
    <w:rsid w:val="001F40FF"/>
    <w:rsid w:val="001F4270"/>
    <w:rsid w:val="001F43BD"/>
    <w:rsid w:val="001F44AB"/>
    <w:rsid w:val="001F450F"/>
    <w:rsid w:val="001F4517"/>
    <w:rsid w:val="001F4F44"/>
    <w:rsid w:val="001F52AE"/>
    <w:rsid w:val="001F5830"/>
    <w:rsid w:val="001F5876"/>
    <w:rsid w:val="001F5DEF"/>
    <w:rsid w:val="001F637F"/>
    <w:rsid w:val="001F639D"/>
    <w:rsid w:val="001F6684"/>
    <w:rsid w:val="001F692B"/>
    <w:rsid w:val="001F6933"/>
    <w:rsid w:val="001F6B53"/>
    <w:rsid w:val="001F6E0B"/>
    <w:rsid w:val="001F6E7A"/>
    <w:rsid w:val="001F76E7"/>
    <w:rsid w:val="001F7A33"/>
    <w:rsid w:val="001F7C23"/>
    <w:rsid w:val="00200806"/>
    <w:rsid w:val="00200863"/>
    <w:rsid w:val="00200976"/>
    <w:rsid w:val="00200E01"/>
    <w:rsid w:val="00201113"/>
    <w:rsid w:val="002015A6"/>
    <w:rsid w:val="002015B0"/>
    <w:rsid w:val="00201B26"/>
    <w:rsid w:val="0020205E"/>
    <w:rsid w:val="00202228"/>
    <w:rsid w:val="002025B1"/>
    <w:rsid w:val="002027A9"/>
    <w:rsid w:val="002027F6"/>
    <w:rsid w:val="00202E11"/>
    <w:rsid w:val="00202FCB"/>
    <w:rsid w:val="00202FD4"/>
    <w:rsid w:val="00203095"/>
    <w:rsid w:val="00203382"/>
    <w:rsid w:val="00203709"/>
    <w:rsid w:val="0020380A"/>
    <w:rsid w:val="0020384B"/>
    <w:rsid w:val="00204349"/>
    <w:rsid w:val="0020480E"/>
    <w:rsid w:val="00204C3D"/>
    <w:rsid w:val="002051BD"/>
    <w:rsid w:val="00205556"/>
    <w:rsid w:val="002055D3"/>
    <w:rsid w:val="002056B0"/>
    <w:rsid w:val="002058BB"/>
    <w:rsid w:val="00205911"/>
    <w:rsid w:val="0020598C"/>
    <w:rsid w:val="00205A78"/>
    <w:rsid w:val="00205FD5"/>
    <w:rsid w:val="002060FB"/>
    <w:rsid w:val="0020642C"/>
    <w:rsid w:val="00206850"/>
    <w:rsid w:val="002068AA"/>
    <w:rsid w:val="00206DA5"/>
    <w:rsid w:val="00206DBF"/>
    <w:rsid w:val="00207702"/>
    <w:rsid w:val="00207C36"/>
    <w:rsid w:val="00207D38"/>
    <w:rsid w:val="00207FCB"/>
    <w:rsid w:val="0021000B"/>
    <w:rsid w:val="0021018D"/>
    <w:rsid w:val="00210417"/>
    <w:rsid w:val="002106B0"/>
    <w:rsid w:val="00210803"/>
    <w:rsid w:val="00210A14"/>
    <w:rsid w:val="00210CD7"/>
    <w:rsid w:val="00210D0E"/>
    <w:rsid w:val="00210D6F"/>
    <w:rsid w:val="00210E15"/>
    <w:rsid w:val="002110BB"/>
    <w:rsid w:val="002114D1"/>
    <w:rsid w:val="002115B1"/>
    <w:rsid w:val="00211A4A"/>
    <w:rsid w:val="00211C0C"/>
    <w:rsid w:val="00211C0F"/>
    <w:rsid w:val="002121A6"/>
    <w:rsid w:val="0021263A"/>
    <w:rsid w:val="002127C8"/>
    <w:rsid w:val="002128BF"/>
    <w:rsid w:val="002129A1"/>
    <w:rsid w:val="00212BF1"/>
    <w:rsid w:val="00212E23"/>
    <w:rsid w:val="002130C4"/>
    <w:rsid w:val="002135AF"/>
    <w:rsid w:val="00213654"/>
    <w:rsid w:val="0021397C"/>
    <w:rsid w:val="00213F10"/>
    <w:rsid w:val="0021407D"/>
    <w:rsid w:val="002140DC"/>
    <w:rsid w:val="0021435A"/>
    <w:rsid w:val="00214A8B"/>
    <w:rsid w:val="00214ADE"/>
    <w:rsid w:val="00214B41"/>
    <w:rsid w:val="00215249"/>
    <w:rsid w:val="00215550"/>
    <w:rsid w:val="00215BF4"/>
    <w:rsid w:val="00215C27"/>
    <w:rsid w:val="00215D7B"/>
    <w:rsid w:val="00215F7E"/>
    <w:rsid w:val="002166F9"/>
    <w:rsid w:val="00216AD5"/>
    <w:rsid w:val="0021738E"/>
    <w:rsid w:val="00217602"/>
    <w:rsid w:val="0021787F"/>
    <w:rsid w:val="00217D86"/>
    <w:rsid w:val="002200FE"/>
    <w:rsid w:val="00220275"/>
    <w:rsid w:val="0022032F"/>
    <w:rsid w:val="002203D7"/>
    <w:rsid w:val="002203EA"/>
    <w:rsid w:val="00220996"/>
    <w:rsid w:val="00221589"/>
    <w:rsid w:val="00221650"/>
    <w:rsid w:val="002217ED"/>
    <w:rsid w:val="0022192D"/>
    <w:rsid w:val="00221E2C"/>
    <w:rsid w:val="0022266A"/>
    <w:rsid w:val="00222863"/>
    <w:rsid w:val="00223482"/>
    <w:rsid w:val="002234F4"/>
    <w:rsid w:val="0022351F"/>
    <w:rsid w:val="00223C17"/>
    <w:rsid w:val="00223C39"/>
    <w:rsid w:val="00223CC4"/>
    <w:rsid w:val="00223D37"/>
    <w:rsid w:val="0022417A"/>
    <w:rsid w:val="00224534"/>
    <w:rsid w:val="002248AC"/>
    <w:rsid w:val="00224C11"/>
    <w:rsid w:val="00224E75"/>
    <w:rsid w:val="00224EFF"/>
    <w:rsid w:val="002250DF"/>
    <w:rsid w:val="0022596A"/>
    <w:rsid w:val="00225E18"/>
    <w:rsid w:val="00225FB1"/>
    <w:rsid w:val="002260F2"/>
    <w:rsid w:val="00226208"/>
    <w:rsid w:val="002263F2"/>
    <w:rsid w:val="0022658B"/>
    <w:rsid w:val="00226645"/>
    <w:rsid w:val="002266BB"/>
    <w:rsid w:val="00226736"/>
    <w:rsid w:val="00226B9F"/>
    <w:rsid w:val="002278DC"/>
    <w:rsid w:val="002279A5"/>
    <w:rsid w:val="00227B73"/>
    <w:rsid w:val="00227E0E"/>
    <w:rsid w:val="00230194"/>
    <w:rsid w:val="0023032D"/>
    <w:rsid w:val="002305A1"/>
    <w:rsid w:val="0023073E"/>
    <w:rsid w:val="00230D53"/>
    <w:rsid w:val="00230EDC"/>
    <w:rsid w:val="0023107C"/>
    <w:rsid w:val="0023112C"/>
    <w:rsid w:val="00231144"/>
    <w:rsid w:val="002312FD"/>
    <w:rsid w:val="00231514"/>
    <w:rsid w:val="00231E52"/>
    <w:rsid w:val="002321B5"/>
    <w:rsid w:val="00232550"/>
    <w:rsid w:val="00232D45"/>
    <w:rsid w:val="00232F4E"/>
    <w:rsid w:val="002331B6"/>
    <w:rsid w:val="002339AD"/>
    <w:rsid w:val="00233A9D"/>
    <w:rsid w:val="00233CA2"/>
    <w:rsid w:val="00233F93"/>
    <w:rsid w:val="002343F1"/>
    <w:rsid w:val="002344C0"/>
    <w:rsid w:val="00234502"/>
    <w:rsid w:val="00234681"/>
    <w:rsid w:val="00234747"/>
    <w:rsid w:val="00234779"/>
    <w:rsid w:val="0023479C"/>
    <w:rsid w:val="00234ED8"/>
    <w:rsid w:val="00234EE9"/>
    <w:rsid w:val="002351AB"/>
    <w:rsid w:val="00235205"/>
    <w:rsid w:val="00235289"/>
    <w:rsid w:val="002353BB"/>
    <w:rsid w:val="0023541D"/>
    <w:rsid w:val="00235585"/>
    <w:rsid w:val="002355BE"/>
    <w:rsid w:val="002355E1"/>
    <w:rsid w:val="00235A28"/>
    <w:rsid w:val="00235DF6"/>
    <w:rsid w:val="002361E3"/>
    <w:rsid w:val="002362AE"/>
    <w:rsid w:val="00236393"/>
    <w:rsid w:val="002365C9"/>
    <w:rsid w:val="00236F9B"/>
    <w:rsid w:val="002370B8"/>
    <w:rsid w:val="002375F0"/>
    <w:rsid w:val="0023760D"/>
    <w:rsid w:val="00237A4E"/>
    <w:rsid w:val="00237AC9"/>
    <w:rsid w:val="00237D4C"/>
    <w:rsid w:val="00237ED4"/>
    <w:rsid w:val="002401D6"/>
    <w:rsid w:val="002407E0"/>
    <w:rsid w:val="0024089F"/>
    <w:rsid w:val="002408F5"/>
    <w:rsid w:val="00240E12"/>
    <w:rsid w:val="002412BF"/>
    <w:rsid w:val="002414B2"/>
    <w:rsid w:val="00241974"/>
    <w:rsid w:val="00242328"/>
    <w:rsid w:val="00242451"/>
    <w:rsid w:val="002426CB"/>
    <w:rsid w:val="00242A8B"/>
    <w:rsid w:val="00242E7B"/>
    <w:rsid w:val="00242EB0"/>
    <w:rsid w:val="00242F45"/>
    <w:rsid w:val="00242FDC"/>
    <w:rsid w:val="002430E5"/>
    <w:rsid w:val="00243648"/>
    <w:rsid w:val="00243E10"/>
    <w:rsid w:val="00243FB0"/>
    <w:rsid w:val="00244098"/>
    <w:rsid w:val="00244105"/>
    <w:rsid w:val="00244258"/>
    <w:rsid w:val="00244532"/>
    <w:rsid w:val="0024481A"/>
    <w:rsid w:val="00244896"/>
    <w:rsid w:val="00244A59"/>
    <w:rsid w:val="002452BA"/>
    <w:rsid w:val="002456B7"/>
    <w:rsid w:val="002457C8"/>
    <w:rsid w:val="00245974"/>
    <w:rsid w:val="00245EF3"/>
    <w:rsid w:val="00245F80"/>
    <w:rsid w:val="002461D5"/>
    <w:rsid w:val="002462C1"/>
    <w:rsid w:val="00246481"/>
    <w:rsid w:val="002465A4"/>
    <w:rsid w:val="002467F9"/>
    <w:rsid w:val="00246D45"/>
    <w:rsid w:val="00246DF5"/>
    <w:rsid w:val="00247108"/>
    <w:rsid w:val="00247261"/>
    <w:rsid w:val="002474D3"/>
    <w:rsid w:val="00247821"/>
    <w:rsid w:val="00247CB9"/>
    <w:rsid w:val="00250216"/>
    <w:rsid w:val="0025086D"/>
    <w:rsid w:val="00250883"/>
    <w:rsid w:val="002509D1"/>
    <w:rsid w:val="00250A50"/>
    <w:rsid w:val="00250D26"/>
    <w:rsid w:val="00250E1D"/>
    <w:rsid w:val="0025103A"/>
    <w:rsid w:val="0025114F"/>
    <w:rsid w:val="002515A8"/>
    <w:rsid w:val="00251678"/>
    <w:rsid w:val="00251733"/>
    <w:rsid w:val="00251D77"/>
    <w:rsid w:val="00252291"/>
    <w:rsid w:val="002523CB"/>
    <w:rsid w:val="00252789"/>
    <w:rsid w:val="00252B51"/>
    <w:rsid w:val="00252E69"/>
    <w:rsid w:val="002532D1"/>
    <w:rsid w:val="0025332A"/>
    <w:rsid w:val="002533F3"/>
    <w:rsid w:val="002535C5"/>
    <w:rsid w:val="002537B1"/>
    <w:rsid w:val="0025391A"/>
    <w:rsid w:val="00253C51"/>
    <w:rsid w:val="00253D22"/>
    <w:rsid w:val="00254080"/>
    <w:rsid w:val="00254442"/>
    <w:rsid w:val="002547BB"/>
    <w:rsid w:val="00254817"/>
    <w:rsid w:val="002549B4"/>
    <w:rsid w:val="002549D2"/>
    <w:rsid w:val="00254BCB"/>
    <w:rsid w:val="00254CD3"/>
    <w:rsid w:val="00254FE3"/>
    <w:rsid w:val="002552F2"/>
    <w:rsid w:val="0025532D"/>
    <w:rsid w:val="002555E8"/>
    <w:rsid w:val="002558A8"/>
    <w:rsid w:val="002559A3"/>
    <w:rsid w:val="00255C62"/>
    <w:rsid w:val="00255DC8"/>
    <w:rsid w:val="00255EAE"/>
    <w:rsid w:val="002568AB"/>
    <w:rsid w:val="00256F6A"/>
    <w:rsid w:val="00257171"/>
    <w:rsid w:val="0026027A"/>
    <w:rsid w:val="0026067C"/>
    <w:rsid w:val="0026068B"/>
    <w:rsid w:val="00260A9A"/>
    <w:rsid w:val="00260B0E"/>
    <w:rsid w:val="00261266"/>
    <w:rsid w:val="00261A8F"/>
    <w:rsid w:val="00261E04"/>
    <w:rsid w:val="00262009"/>
    <w:rsid w:val="002621BE"/>
    <w:rsid w:val="0026233A"/>
    <w:rsid w:val="002623C2"/>
    <w:rsid w:val="0026258B"/>
    <w:rsid w:val="00262998"/>
    <w:rsid w:val="00262AB5"/>
    <w:rsid w:val="00263292"/>
    <w:rsid w:val="00263642"/>
    <w:rsid w:val="00263716"/>
    <w:rsid w:val="00263881"/>
    <w:rsid w:val="0026391F"/>
    <w:rsid w:val="0026418E"/>
    <w:rsid w:val="002643B9"/>
    <w:rsid w:val="00264B43"/>
    <w:rsid w:val="00264DA5"/>
    <w:rsid w:val="00264E9A"/>
    <w:rsid w:val="002650DD"/>
    <w:rsid w:val="00265120"/>
    <w:rsid w:val="00265437"/>
    <w:rsid w:val="002656A1"/>
    <w:rsid w:val="0026570C"/>
    <w:rsid w:val="002657B7"/>
    <w:rsid w:val="00265AE9"/>
    <w:rsid w:val="00265BC5"/>
    <w:rsid w:val="00265C5B"/>
    <w:rsid w:val="00265D26"/>
    <w:rsid w:val="0026605A"/>
    <w:rsid w:val="002661E8"/>
    <w:rsid w:val="00266703"/>
    <w:rsid w:val="0026688D"/>
    <w:rsid w:val="00266A22"/>
    <w:rsid w:val="00266A44"/>
    <w:rsid w:val="00266C31"/>
    <w:rsid w:val="00266ED9"/>
    <w:rsid w:val="00267079"/>
    <w:rsid w:val="0026735D"/>
    <w:rsid w:val="002677CB"/>
    <w:rsid w:val="00267A18"/>
    <w:rsid w:val="00267B57"/>
    <w:rsid w:val="00267C60"/>
    <w:rsid w:val="00270140"/>
    <w:rsid w:val="0027016B"/>
    <w:rsid w:val="00270D4F"/>
    <w:rsid w:val="00270DAD"/>
    <w:rsid w:val="00270EAB"/>
    <w:rsid w:val="00270FCD"/>
    <w:rsid w:val="0027100F"/>
    <w:rsid w:val="00271454"/>
    <w:rsid w:val="0027150D"/>
    <w:rsid w:val="00271DD5"/>
    <w:rsid w:val="00272BCF"/>
    <w:rsid w:val="00272C35"/>
    <w:rsid w:val="00272E28"/>
    <w:rsid w:val="002733F7"/>
    <w:rsid w:val="00273449"/>
    <w:rsid w:val="002735E6"/>
    <w:rsid w:val="00273705"/>
    <w:rsid w:val="00273768"/>
    <w:rsid w:val="0027383E"/>
    <w:rsid w:val="00273C3E"/>
    <w:rsid w:val="00273FCC"/>
    <w:rsid w:val="0027407D"/>
    <w:rsid w:val="00274340"/>
    <w:rsid w:val="002745DF"/>
    <w:rsid w:val="00274925"/>
    <w:rsid w:val="00274C11"/>
    <w:rsid w:val="00275111"/>
    <w:rsid w:val="00275F25"/>
    <w:rsid w:val="00276454"/>
    <w:rsid w:val="002768AC"/>
    <w:rsid w:val="00276E61"/>
    <w:rsid w:val="00276E64"/>
    <w:rsid w:val="00277266"/>
    <w:rsid w:val="00277348"/>
    <w:rsid w:val="00277690"/>
    <w:rsid w:val="00277766"/>
    <w:rsid w:val="0027787F"/>
    <w:rsid w:val="00277E92"/>
    <w:rsid w:val="00280609"/>
    <w:rsid w:val="00281011"/>
    <w:rsid w:val="002810B1"/>
    <w:rsid w:val="002814EB"/>
    <w:rsid w:val="00281675"/>
    <w:rsid w:val="00281931"/>
    <w:rsid w:val="00281C04"/>
    <w:rsid w:val="0028218E"/>
    <w:rsid w:val="0028221E"/>
    <w:rsid w:val="00282783"/>
    <w:rsid w:val="00282829"/>
    <w:rsid w:val="002829BD"/>
    <w:rsid w:val="002829FB"/>
    <w:rsid w:val="00282AD0"/>
    <w:rsid w:val="00282D31"/>
    <w:rsid w:val="0028307E"/>
    <w:rsid w:val="002832F4"/>
    <w:rsid w:val="00283480"/>
    <w:rsid w:val="00283618"/>
    <w:rsid w:val="0028378A"/>
    <w:rsid w:val="00283CD6"/>
    <w:rsid w:val="00283D69"/>
    <w:rsid w:val="00283E40"/>
    <w:rsid w:val="00283E8A"/>
    <w:rsid w:val="00283EF0"/>
    <w:rsid w:val="00284375"/>
    <w:rsid w:val="00284557"/>
    <w:rsid w:val="0028467A"/>
    <w:rsid w:val="002849D0"/>
    <w:rsid w:val="00284A1A"/>
    <w:rsid w:val="00284D6C"/>
    <w:rsid w:val="00284F98"/>
    <w:rsid w:val="00285340"/>
    <w:rsid w:val="0028537B"/>
    <w:rsid w:val="002854D7"/>
    <w:rsid w:val="00285A61"/>
    <w:rsid w:val="00285E1F"/>
    <w:rsid w:val="00285FDC"/>
    <w:rsid w:val="0028607D"/>
    <w:rsid w:val="00286123"/>
    <w:rsid w:val="0028614F"/>
    <w:rsid w:val="0028632C"/>
    <w:rsid w:val="002865C5"/>
    <w:rsid w:val="002865C8"/>
    <w:rsid w:val="002868DB"/>
    <w:rsid w:val="0028696E"/>
    <w:rsid w:val="00286A19"/>
    <w:rsid w:val="00286A99"/>
    <w:rsid w:val="00286AFE"/>
    <w:rsid w:val="00286DD1"/>
    <w:rsid w:val="002872B5"/>
    <w:rsid w:val="0028753D"/>
    <w:rsid w:val="002876FB"/>
    <w:rsid w:val="002879BF"/>
    <w:rsid w:val="00287B9D"/>
    <w:rsid w:val="00287CEE"/>
    <w:rsid w:val="00287D1F"/>
    <w:rsid w:val="00287DB0"/>
    <w:rsid w:val="00287FB3"/>
    <w:rsid w:val="002900A2"/>
    <w:rsid w:val="0029028A"/>
    <w:rsid w:val="002902F3"/>
    <w:rsid w:val="002903EE"/>
    <w:rsid w:val="0029066C"/>
    <w:rsid w:val="002908B4"/>
    <w:rsid w:val="002908DE"/>
    <w:rsid w:val="002908ED"/>
    <w:rsid w:val="00290962"/>
    <w:rsid w:val="00290CCF"/>
    <w:rsid w:val="00290E4C"/>
    <w:rsid w:val="00290EE0"/>
    <w:rsid w:val="00290EF2"/>
    <w:rsid w:val="00291090"/>
    <w:rsid w:val="00291388"/>
    <w:rsid w:val="002914D2"/>
    <w:rsid w:val="00291CEB"/>
    <w:rsid w:val="00291D9C"/>
    <w:rsid w:val="002925C8"/>
    <w:rsid w:val="002926B6"/>
    <w:rsid w:val="00292708"/>
    <w:rsid w:val="00292816"/>
    <w:rsid w:val="002928C9"/>
    <w:rsid w:val="00292D0A"/>
    <w:rsid w:val="00292EB9"/>
    <w:rsid w:val="00293293"/>
    <w:rsid w:val="002932D9"/>
    <w:rsid w:val="0029337E"/>
    <w:rsid w:val="002935F9"/>
    <w:rsid w:val="00293672"/>
    <w:rsid w:val="00293735"/>
    <w:rsid w:val="00293D39"/>
    <w:rsid w:val="00293E26"/>
    <w:rsid w:val="0029437D"/>
    <w:rsid w:val="00294492"/>
    <w:rsid w:val="00294721"/>
    <w:rsid w:val="0029480B"/>
    <w:rsid w:val="00294903"/>
    <w:rsid w:val="00294F10"/>
    <w:rsid w:val="002953CC"/>
    <w:rsid w:val="0029561E"/>
    <w:rsid w:val="0029566D"/>
    <w:rsid w:val="002956C4"/>
    <w:rsid w:val="00295A38"/>
    <w:rsid w:val="00295D40"/>
    <w:rsid w:val="002962E5"/>
    <w:rsid w:val="0029635D"/>
    <w:rsid w:val="00296BA1"/>
    <w:rsid w:val="00296D0F"/>
    <w:rsid w:val="0029743B"/>
    <w:rsid w:val="00297E93"/>
    <w:rsid w:val="002A00AF"/>
    <w:rsid w:val="002A00EB"/>
    <w:rsid w:val="002A01EF"/>
    <w:rsid w:val="002A05DE"/>
    <w:rsid w:val="002A0810"/>
    <w:rsid w:val="002A087D"/>
    <w:rsid w:val="002A08C1"/>
    <w:rsid w:val="002A0CD2"/>
    <w:rsid w:val="002A110F"/>
    <w:rsid w:val="002A12AE"/>
    <w:rsid w:val="002A1997"/>
    <w:rsid w:val="002A1A34"/>
    <w:rsid w:val="002A1B48"/>
    <w:rsid w:val="002A2058"/>
    <w:rsid w:val="002A220C"/>
    <w:rsid w:val="002A22F3"/>
    <w:rsid w:val="002A29D7"/>
    <w:rsid w:val="002A3517"/>
    <w:rsid w:val="002A35EE"/>
    <w:rsid w:val="002A3BD8"/>
    <w:rsid w:val="002A3FD3"/>
    <w:rsid w:val="002A4236"/>
    <w:rsid w:val="002A4374"/>
    <w:rsid w:val="002A43AF"/>
    <w:rsid w:val="002A4423"/>
    <w:rsid w:val="002A4468"/>
    <w:rsid w:val="002A48B9"/>
    <w:rsid w:val="002A48C5"/>
    <w:rsid w:val="002A4D2A"/>
    <w:rsid w:val="002A4D37"/>
    <w:rsid w:val="002A503E"/>
    <w:rsid w:val="002A5064"/>
    <w:rsid w:val="002A50A1"/>
    <w:rsid w:val="002A521E"/>
    <w:rsid w:val="002A552F"/>
    <w:rsid w:val="002A561B"/>
    <w:rsid w:val="002A5CF8"/>
    <w:rsid w:val="002A5E01"/>
    <w:rsid w:val="002A5F4A"/>
    <w:rsid w:val="002A6431"/>
    <w:rsid w:val="002A649F"/>
    <w:rsid w:val="002A64E0"/>
    <w:rsid w:val="002A6CBB"/>
    <w:rsid w:val="002A6E0B"/>
    <w:rsid w:val="002A6FF2"/>
    <w:rsid w:val="002A70C7"/>
    <w:rsid w:val="002A732F"/>
    <w:rsid w:val="002A7373"/>
    <w:rsid w:val="002A7394"/>
    <w:rsid w:val="002A754E"/>
    <w:rsid w:val="002A778C"/>
    <w:rsid w:val="002A79BF"/>
    <w:rsid w:val="002A7EEC"/>
    <w:rsid w:val="002B0099"/>
    <w:rsid w:val="002B02FE"/>
    <w:rsid w:val="002B0310"/>
    <w:rsid w:val="002B0380"/>
    <w:rsid w:val="002B060C"/>
    <w:rsid w:val="002B08AF"/>
    <w:rsid w:val="002B0F29"/>
    <w:rsid w:val="002B0FDE"/>
    <w:rsid w:val="002B15FD"/>
    <w:rsid w:val="002B1702"/>
    <w:rsid w:val="002B19E7"/>
    <w:rsid w:val="002B1FCA"/>
    <w:rsid w:val="002B2030"/>
    <w:rsid w:val="002B2100"/>
    <w:rsid w:val="002B2263"/>
    <w:rsid w:val="002B27FF"/>
    <w:rsid w:val="002B2815"/>
    <w:rsid w:val="002B28AC"/>
    <w:rsid w:val="002B29CC"/>
    <w:rsid w:val="002B29F5"/>
    <w:rsid w:val="002B2A03"/>
    <w:rsid w:val="002B2BD5"/>
    <w:rsid w:val="002B2E73"/>
    <w:rsid w:val="002B2F45"/>
    <w:rsid w:val="002B2F6E"/>
    <w:rsid w:val="002B3581"/>
    <w:rsid w:val="002B3956"/>
    <w:rsid w:val="002B3CCD"/>
    <w:rsid w:val="002B4020"/>
    <w:rsid w:val="002B409A"/>
    <w:rsid w:val="002B41A7"/>
    <w:rsid w:val="002B4217"/>
    <w:rsid w:val="002B4868"/>
    <w:rsid w:val="002B4BFF"/>
    <w:rsid w:val="002B4D23"/>
    <w:rsid w:val="002B4D8D"/>
    <w:rsid w:val="002B4F38"/>
    <w:rsid w:val="002B53D3"/>
    <w:rsid w:val="002B541B"/>
    <w:rsid w:val="002B5662"/>
    <w:rsid w:val="002B5673"/>
    <w:rsid w:val="002B592F"/>
    <w:rsid w:val="002B5B66"/>
    <w:rsid w:val="002B5FD3"/>
    <w:rsid w:val="002B607B"/>
    <w:rsid w:val="002B6127"/>
    <w:rsid w:val="002B6376"/>
    <w:rsid w:val="002B67DC"/>
    <w:rsid w:val="002B6B69"/>
    <w:rsid w:val="002B6CFC"/>
    <w:rsid w:val="002B7002"/>
    <w:rsid w:val="002B7051"/>
    <w:rsid w:val="002B7213"/>
    <w:rsid w:val="002B7A2B"/>
    <w:rsid w:val="002B7B72"/>
    <w:rsid w:val="002B7E81"/>
    <w:rsid w:val="002C001F"/>
    <w:rsid w:val="002C0136"/>
    <w:rsid w:val="002C02FF"/>
    <w:rsid w:val="002C0362"/>
    <w:rsid w:val="002C03E5"/>
    <w:rsid w:val="002C041C"/>
    <w:rsid w:val="002C04FD"/>
    <w:rsid w:val="002C0BC5"/>
    <w:rsid w:val="002C0C0E"/>
    <w:rsid w:val="002C11E2"/>
    <w:rsid w:val="002C196C"/>
    <w:rsid w:val="002C1AE9"/>
    <w:rsid w:val="002C1DFC"/>
    <w:rsid w:val="002C245C"/>
    <w:rsid w:val="002C29C8"/>
    <w:rsid w:val="002C31E2"/>
    <w:rsid w:val="002C3595"/>
    <w:rsid w:val="002C382C"/>
    <w:rsid w:val="002C3993"/>
    <w:rsid w:val="002C3B43"/>
    <w:rsid w:val="002C3ECE"/>
    <w:rsid w:val="002C3F93"/>
    <w:rsid w:val="002C43D5"/>
    <w:rsid w:val="002C48AD"/>
    <w:rsid w:val="002C4C40"/>
    <w:rsid w:val="002C4C78"/>
    <w:rsid w:val="002C5072"/>
    <w:rsid w:val="002C5109"/>
    <w:rsid w:val="002C53BF"/>
    <w:rsid w:val="002C546B"/>
    <w:rsid w:val="002C54D1"/>
    <w:rsid w:val="002C57A5"/>
    <w:rsid w:val="002C585E"/>
    <w:rsid w:val="002C5AA2"/>
    <w:rsid w:val="002C5C01"/>
    <w:rsid w:val="002C5C3F"/>
    <w:rsid w:val="002C5CD4"/>
    <w:rsid w:val="002C60CD"/>
    <w:rsid w:val="002C679C"/>
    <w:rsid w:val="002C696C"/>
    <w:rsid w:val="002C6A42"/>
    <w:rsid w:val="002C6CFC"/>
    <w:rsid w:val="002C6F22"/>
    <w:rsid w:val="002C704F"/>
    <w:rsid w:val="002C70EB"/>
    <w:rsid w:val="002C7378"/>
    <w:rsid w:val="002C7A20"/>
    <w:rsid w:val="002D00A6"/>
    <w:rsid w:val="002D0285"/>
    <w:rsid w:val="002D03CA"/>
    <w:rsid w:val="002D0951"/>
    <w:rsid w:val="002D0AAB"/>
    <w:rsid w:val="002D0FD2"/>
    <w:rsid w:val="002D11A7"/>
    <w:rsid w:val="002D1257"/>
    <w:rsid w:val="002D1477"/>
    <w:rsid w:val="002D1A54"/>
    <w:rsid w:val="002D202A"/>
    <w:rsid w:val="002D2466"/>
    <w:rsid w:val="002D24AF"/>
    <w:rsid w:val="002D2641"/>
    <w:rsid w:val="002D2B0F"/>
    <w:rsid w:val="002D2BB4"/>
    <w:rsid w:val="002D2C7F"/>
    <w:rsid w:val="002D2E33"/>
    <w:rsid w:val="002D2EC3"/>
    <w:rsid w:val="002D3113"/>
    <w:rsid w:val="002D326E"/>
    <w:rsid w:val="002D3420"/>
    <w:rsid w:val="002D35BC"/>
    <w:rsid w:val="002D36BA"/>
    <w:rsid w:val="002D375E"/>
    <w:rsid w:val="002D37CD"/>
    <w:rsid w:val="002D37EA"/>
    <w:rsid w:val="002D3874"/>
    <w:rsid w:val="002D394D"/>
    <w:rsid w:val="002D39DE"/>
    <w:rsid w:val="002D3CAB"/>
    <w:rsid w:val="002D4036"/>
    <w:rsid w:val="002D46C5"/>
    <w:rsid w:val="002D49BC"/>
    <w:rsid w:val="002D4A9C"/>
    <w:rsid w:val="002D4F11"/>
    <w:rsid w:val="002D5339"/>
    <w:rsid w:val="002D53AB"/>
    <w:rsid w:val="002D5404"/>
    <w:rsid w:val="002D5546"/>
    <w:rsid w:val="002D5BEB"/>
    <w:rsid w:val="002D609E"/>
    <w:rsid w:val="002D63E7"/>
    <w:rsid w:val="002D672A"/>
    <w:rsid w:val="002D6B3B"/>
    <w:rsid w:val="002D6CD9"/>
    <w:rsid w:val="002D6FFF"/>
    <w:rsid w:val="002D71C9"/>
    <w:rsid w:val="002D72D8"/>
    <w:rsid w:val="002D731C"/>
    <w:rsid w:val="002D739F"/>
    <w:rsid w:val="002D7489"/>
    <w:rsid w:val="002D7892"/>
    <w:rsid w:val="002D7909"/>
    <w:rsid w:val="002D7CC8"/>
    <w:rsid w:val="002D7DE3"/>
    <w:rsid w:val="002D7F4D"/>
    <w:rsid w:val="002E033D"/>
    <w:rsid w:val="002E08F8"/>
    <w:rsid w:val="002E0A55"/>
    <w:rsid w:val="002E0C71"/>
    <w:rsid w:val="002E0D8E"/>
    <w:rsid w:val="002E177F"/>
    <w:rsid w:val="002E1B4A"/>
    <w:rsid w:val="002E1C7D"/>
    <w:rsid w:val="002E2266"/>
    <w:rsid w:val="002E22F5"/>
    <w:rsid w:val="002E2512"/>
    <w:rsid w:val="002E26D5"/>
    <w:rsid w:val="002E2CCB"/>
    <w:rsid w:val="002E2D0C"/>
    <w:rsid w:val="002E2F45"/>
    <w:rsid w:val="002E3234"/>
    <w:rsid w:val="002E349B"/>
    <w:rsid w:val="002E36AD"/>
    <w:rsid w:val="002E37C3"/>
    <w:rsid w:val="002E400C"/>
    <w:rsid w:val="002E409A"/>
    <w:rsid w:val="002E44CB"/>
    <w:rsid w:val="002E4506"/>
    <w:rsid w:val="002E46E8"/>
    <w:rsid w:val="002E583C"/>
    <w:rsid w:val="002E590F"/>
    <w:rsid w:val="002E5A78"/>
    <w:rsid w:val="002E5BB4"/>
    <w:rsid w:val="002E5D1B"/>
    <w:rsid w:val="002E5F36"/>
    <w:rsid w:val="002E60ED"/>
    <w:rsid w:val="002E62D4"/>
    <w:rsid w:val="002E64A3"/>
    <w:rsid w:val="002E6941"/>
    <w:rsid w:val="002E6985"/>
    <w:rsid w:val="002E6D76"/>
    <w:rsid w:val="002E70BC"/>
    <w:rsid w:val="002E75A0"/>
    <w:rsid w:val="002E75A4"/>
    <w:rsid w:val="002E75E0"/>
    <w:rsid w:val="002E75F7"/>
    <w:rsid w:val="002E78C4"/>
    <w:rsid w:val="002E797F"/>
    <w:rsid w:val="002E7996"/>
    <w:rsid w:val="002E7A10"/>
    <w:rsid w:val="002E7C6F"/>
    <w:rsid w:val="002E7D28"/>
    <w:rsid w:val="002E7E9B"/>
    <w:rsid w:val="002F0263"/>
    <w:rsid w:val="002F03B9"/>
    <w:rsid w:val="002F04DD"/>
    <w:rsid w:val="002F05AB"/>
    <w:rsid w:val="002F05E1"/>
    <w:rsid w:val="002F07B6"/>
    <w:rsid w:val="002F07CE"/>
    <w:rsid w:val="002F09FA"/>
    <w:rsid w:val="002F0E9B"/>
    <w:rsid w:val="002F0F72"/>
    <w:rsid w:val="002F0FF8"/>
    <w:rsid w:val="002F1493"/>
    <w:rsid w:val="002F16FE"/>
    <w:rsid w:val="002F1C20"/>
    <w:rsid w:val="002F1E02"/>
    <w:rsid w:val="002F1EF5"/>
    <w:rsid w:val="002F1F4D"/>
    <w:rsid w:val="002F2328"/>
    <w:rsid w:val="002F2490"/>
    <w:rsid w:val="002F2633"/>
    <w:rsid w:val="002F27E7"/>
    <w:rsid w:val="002F2C9F"/>
    <w:rsid w:val="002F3072"/>
    <w:rsid w:val="002F30D0"/>
    <w:rsid w:val="002F36AE"/>
    <w:rsid w:val="002F406F"/>
    <w:rsid w:val="002F4182"/>
    <w:rsid w:val="002F44DA"/>
    <w:rsid w:val="002F45F4"/>
    <w:rsid w:val="002F4608"/>
    <w:rsid w:val="002F462A"/>
    <w:rsid w:val="002F481C"/>
    <w:rsid w:val="002F4869"/>
    <w:rsid w:val="002F4B09"/>
    <w:rsid w:val="002F4C1B"/>
    <w:rsid w:val="002F4E0F"/>
    <w:rsid w:val="002F4FB3"/>
    <w:rsid w:val="002F500C"/>
    <w:rsid w:val="002F509E"/>
    <w:rsid w:val="002F50EE"/>
    <w:rsid w:val="002F513E"/>
    <w:rsid w:val="002F51EE"/>
    <w:rsid w:val="002F584C"/>
    <w:rsid w:val="002F58E9"/>
    <w:rsid w:val="002F5FC9"/>
    <w:rsid w:val="002F6553"/>
    <w:rsid w:val="002F660D"/>
    <w:rsid w:val="002F6818"/>
    <w:rsid w:val="002F6853"/>
    <w:rsid w:val="002F6884"/>
    <w:rsid w:val="002F6A6F"/>
    <w:rsid w:val="002F6B96"/>
    <w:rsid w:val="002F6CE0"/>
    <w:rsid w:val="002F70D0"/>
    <w:rsid w:val="002F7174"/>
    <w:rsid w:val="002F71A5"/>
    <w:rsid w:val="002F725E"/>
    <w:rsid w:val="002F76A7"/>
    <w:rsid w:val="002F7761"/>
    <w:rsid w:val="002F78C4"/>
    <w:rsid w:val="002F7A34"/>
    <w:rsid w:val="002F7AAC"/>
    <w:rsid w:val="002F7AE6"/>
    <w:rsid w:val="002F7D26"/>
    <w:rsid w:val="002F7FD9"/>
    <w:rsid w:val="00300059"/>
    <w:rsid w:val="00300440"/>
    <w:rsid w:val="003004E8"/>
    <w:rsid w:val="003004EC"/>
    <w:rsid w:val="0030072A"/>
    <w:rsid w:val="00300ADC"/>
    <w:rsid w:val="00300CD7"/>
    <w:rsid w:val="003010C6"/>
    <w:rsid w:val="003016ED"/>
    <w:rsid w:val="003019D0"/>
    <w:rsid w:val="003019D8"/>
    <w:rsid w:val="00301A15"/>
    <w:rsid w:val="00301A6B"/>
    <w:rsid w:val="00301AF9"/>
    <w:rsid w:val="00301C2F"/>
    <w:rsid w:val="00301CE9"/>
    <w:rsid w:val="003023B9"/>
    <w:rsid w:val="003025DC"/>
    <w:rsid w:val="003025FC"/>
    <w:rsid w:val="0030299A"/>
    <w:rsid w:val="00302B43"/>
    <w:rsid w:val="00302C24"/>
    <w:rsid w:val="00302DA0"/>
    <w:rsid w:val="0030322A"/>
    <w:rsid w:val="0030338F"/>
    <w:rsid w:val="003034EA"/>
    <w:rsid w:val="00303792"/>
    <w:rsid w:val="003039D5"/>
    <w:rsid w:val="00303B7C"/>
    <w:rsid w:val="00303D6D"/>
    <w:rsid w:val="00303F1A"/>
    <w:rsid w:val="00303F73"/>
    <w:rsid w:val="0030410D"/>
    <w:rsid w:val="0030418A"/>
    <w:rsid w:val="0030454A"/>
    <w:rsid w:val="003048BB"/>
    <w:rsid w:val="003050E4"/>
    <w:rsid w:val="003056C7"/>
    <w:rsid w:val="003058A0"/>
    <w:rsid w:val="00305EB3"/>
    <w:rsid w:val="00306547"/>
    <w:rsid w:val="00306A85"/>
    <w:rsid w:val="00307016"/>
    <w:rsid w:val="003071CE"/>
    <w:rsid w:val="00310007"/>
    <w:rsid w:val="003100A3"/>
    <w:rsid w:val="003105A7"/>
    <w:rsid w:val="00310720"/>
    <w:rsid w:val="00310BB6"/>
    <w:rsid w:val="00310D01"/>
    <w:rsid w:val="00310DC1"/>
    <w:rsid w:val="00310EB8"/>
    <w:rsid w:val="0031138B"/>
    <w:rsid w:val="0031160B"/>
    <w:rsid w:val="00311854"/>
    <w:rsid w:val="00311A13"/>
    <w:rsid w:val="003123EE"/>
    <w:rsid w:val="00312520"/>
    <w:rsid w:val="003129C0"/>
    <w:rsid w:val="00312D3E"/>
    <w:rsid w:val="00312E5C"/>
    <w:rsid w:val="00312EAD"/>
    <w:rsid w:val="00313412"/>
    <w:rsid w:val="00313484"/>
    <w:rsid w:val="003139E3"/>
    <w:rsid w:val="00313F5F"/>
    <w:rsid w:val="00314E60"/>
    <w:rsid w:val="00315023"/>
    <w:rsid w:val="00315148"/>
    <w:rsid w:val="00315209"/>
    <w:rsid w:val="0031542F"/>
    <w:rsid w:val="00315525"/>
    <w:rsid w:val="00315769"/>
    <w:rsid w:val="00315C74"/>
    <w:rsid w:val="00315E25"/>
    <w:rsid w:val="00315E5E"/>
    <w:rsid w:val="00315FCA"/>
    <w:rsid w:val="00316052"/>
    <w:rsid w:val="00316075"/>
    <w:rsid w:val="003162E5"/>
    <w:rsid w:val="00316399"/>
    <w:rsid w:val="00316741"/>
    <w:rsid w:val="00316847"/>
    <w:rsid w:val="00316A12"/>
    <w:rsid w:val="00316A41"/>
    <w:rsid w:val="00316ABB"/>
    <w:rsid w:val="00316F00"/>
    <w:rsid w:val="0031758E"/>
    <w:rsid w:val="0031778C"/>
    <w:rsid w:val="003179FC"/>
    <w:rsid w:val="00317D38"/>
    <w:rsid w:val="00317DFF"/>
    <w:rsid w:val="00317F64"/>
    <w:rsid w:val="0032001A"/>
    <w:rsid w:val="003200C3"/>
    <w:rsid w:val="00320B17"/>
    <w:rsid w:val="00320C25"/>
    <w:rsid w:val="00320D63"/>
    <w:rsid w:val="00320F5A"/>
    <w:rsid w:val="0032124B"/>
    <w:rsid w:val="003212EC"/>
    <w:rsid w:val="00321C55"/>
    <w:rsid w:val="00321F2B"/>
    <w:rsid w:val="00322141"/>
    <w:rsid w:val="00322721"/>
    <w:rsid w:val="003230FD"/>
    <w:rsid w:val="003233D4"/>
    <w:rsid w:val="003233EC"/>
    <w:rsid w:val="00323641"/>
    <w:rsid w:val="00323884"/>
    <w:rsid w:val="00323901"/>
    <w:rsid w:val="00323A75"/>
    <w:rsid w:val="00323EEA"/>
    <w:rsid w:val="00323FA8"/>
    <w:rsid w:val="003242C8"/>
    <w:rsid w:val="003246BB"/>
    <w:rsid w:val="00324A41"/>
    <w:rsid w:val="00324B48"/>
    <w:rsid w:val="00324C1B"/>
    <w:rsid w:val="00325367"/>
    <w:rsid w:val="00325803"/>
    <w:rsid w:val="00325E41"/>
    <w:rsid w:val="00325F65"/>
    <w:rsid w:val="0032631F"/>
    <w:rsid w:val="003267AC"/>
    <w:rsid w:val="003269D0"/>
    <w:rsid w:val="00326A45"/>
    <w:rsid w:val="00326A70"/>
    <w:rsid w:val="00326CD8"/>
    <w:rsid w:val="00327167"/>
    <w:rsid w:val="00327242"/>
    <w:rsid w:val="00327A24"/>
    <w:rsid w:val="00327B6F"/>
    <w:rsid w:val="00327CD3"/>
    <w:rsid w:val="0033018D"/>
    <w:rsid w:val="00330213"/>
    <w:rsid w:val="003302F3"/>
    <w:rsid w:val="003307A0"/>
    <w:rsid w:val="003308CA"/>
    <w:rsid w:val="00330EC1"/>
    <w:rsid w:val="00330FDB"/>
    <w:rsid w:val="00331585"/>
    <w:rsid w:val="00331630"/>
    <w:rsid w:val="00331B5A"/>
    <w:rsid w:val="00331B72"/>
    <w:rsid w:val="00331E37"/>
    <w:rsid w:val="00332035"/>
    <w:rsid w:val="00332104"/>
    <w:rsid w:val="0033217F"/>
    <w:rsid w:val="0033229E"/>
    <w:rsid w:val="003322A8"/>
    <w:rsid w:val="00333323"/>
    <w:rsid w:val="003338C3"/>
    <w:rsid w:val="00333CA9"/>
    <w:rsid w:val="0033423D"/>
    <w:rsid w:val="00334284"/>
    <w:rsid w:val="00334486"/>
    <w:rsid w:val="00334683"/>
    <w:rsid w:val="003347E4"/>
    <w:rsid w:val="003349EB"/>
    <w:rsid w:val="00334E76"/>
    <w:rsid w:val="00334F4B"/>
    <w:rsid w:val="00334F97"/>
    <w:rsid w:val="003351AC"/>
    <w:rsid w:val="0033526C"/>
    <w:rsid w:val="0033548D"/>
    <w:rsid w:val="003354BD"/>
    <w:rsid w:val="0033564B"/>
    <w:rsid w:val="00335764"/>
    <w:rsid w:val="003359E5"/>
    <w:rsid w:val="00335C19"/>
    <w:rsid w:val="00335EC6"/>
    <w:rsid w:val="00336197"/>
    <w:rsid w:val="00336760"/>
    <w:rsid w:val="003368F7"/>
    <w:rsid w:val="0033696C"/>
    <w:rsid w:val="00336A2D"/>
    <w:rsid w:val="00336B34"/>
    <w:rsid w:val="00336DAA"/>
    <w:rsid w:val="00336E70"/>
    <w:rsid w:val="00336EB8"/>
    <w:rsid w:val="00336F17"/>
    <w:rsid w:val="0033728F"/>
    <w:rsid w:val="003373BA"/>
    <w:rsid w:val="00337441"/>
    <w:rsid w:val="003375CC"/>
    <w:rsid w:val="003377D3"/>
    <w:rsid w:val="00337A21"/>
    <w:rsid w:val="00337F35"/>
    <w:rsid w:val="00337F55"/>
    <w:rsid w:val="003400BA"/>
    <w:rsid w:val="003401C6"/>
    <w:rsid w:val="00341449"/>
    <w:rsid w:val="003415FB"/>
    <w:rsid w:val="00341832"/>
    <w:rsid w:val="00341A09"/>
    <w:rsid w:val="003420AE"/>
    <w:rsid w:val="003421BB"/>
    <w:rsid w:val="003422AD"/>
    <w:rsid w:val="003428D1"/>
    <w:rsid w:val="00342A8C"/>
    <w:rsid w:val="0034301C"/>
    <w:rsid w:val="0034336D"/>
    <w:rsid w:val="00343A28"/>
    <w:rsid w:val="00343A7B"/>
    <w:rsid w:val="00343B8C"/>
    <w:rsid w:val="00344565"/>
    <w:rsid w:val="003445B0"/>
    <w:rsid w:val="003446F5"/>
    <w:rsid w:val="00344B39"/>
    <w:rsid w:val="00344CE9"/>
    <w:rsid w:val="00344D83"/>
    <w:rsid w:val="0034505C"/>
    <w:rsid w:val="003452B7"/>
    <w:rsid w:val="00345575"/>
    <w:rsid w:val="0034587D"/>
    <w:rsid w:val="00345AF8"/>
    <w:rsid w:val="00345F77"/>
    <w:rsid w:val="00345FCB"/>
    <w:rsid w:val="0034613C"/>
    <w:rsid w:val="00346523"/>
    <w:rsid w:val="00346678"/>
    <w:rsid w:val="00346A12"/>
    <w:rsid w:val="00346C2B"/>
    <w:rsid w:val="00346D75"/>
    <w:rsid w:val="00346F5D"/>
    <w:rsid w:val="003471F1"/>
    <w:rsid w:val="003478DC"/>
    <w:rsid w:val="003479FE"/>
    <w:rsid w:val="00347A64"/>
    <w:rsid w:val="00347C55"/>
    <w:rsid w:val="00347DC9"/>
    <w:rsid w:val="00350107"/>
    <w:rsid w:val="00350A88"/>
    <w:rsid w:val="00350A8D"/>
    <w:rsid w:val="00350E1D"/>
    <w:rsid w:val="00350FFE"/>
    <w:rsid w:val="0035130A"/>
    <w:rsid w:val="00351316"/>
    <w:rsid w:val="00351565"/>
    <w:rsid w:val="003515FB"/>
    <w:rsid w:val="0035179F"/>
    <w:rsid w:val="003518FE"/>
    <w:rsid w:val="00351C0B"/>
    <w:rsid w:val="00351D79"/>
    <w:rsid w:val="00353063"/>
    <w:rsid w:val="003530A4"/>
    <w:rsid w:val="00353362"/>
    <w:rsid w:val="0035386B"/>
    <w:rsid w:val="00353C06"/>
    <w:rsid w:val="00353E92"/>
    <w:rsid w:val="00353ED5"/>
    <w:rsid w:val="00354600"/>
    <w:rsid w:val="00354676"/>
    <w:rsid w:val="00354789"/>
    <w:rsid w:val="00355229"/>
    <w:rsid w:val="0035539F"/>
    <w:rsid w:val="00355A5B"/>
    <w:rsid w:val="00355A8A"/>
    <w:rsid w:val="00355AA9"/>
    <w:rsid w:val="00355D14"/>
    <w:rsid w:val="00355EB2"/>
    <w:rsid w:val="0035629D"/>
    <w:rsid w:val="00356516"/>
    <w:rsid w:val="0035681D"/>
    <w:rsid w:val="00356A8B"/>
    <w:rsid w:val="00356CD5"/>
    <w:rsid w:val="00356DC5"/>
    <w:rsid w:val="00356E02"/>
    <w:rsid w:val="003574AC"/>
    <w:rsid w:val="003575DF"/>
    <w:rsid w:val="0035769D"/>
    <w:rsid w:val="003577EB"/>
    <w:rsid w:val="003578F3"/>
    <w:rsid w:val="00357A95"/>
    <w:rsid w:val="00357C19"/>
    <w:rsid w:val="003601E6"/>
    <w:rsid w:val="00360461"/>
    <w:rsid w:val="003605AD"/>
    <w:rsid w:val="003605E4"/>
    <w:rsid w:val="0036097A"/>
    <w:rsid w:val="00360AA9"/>
    <w:rsid w:val="00360ADB"/>
    <w:rsid w:val="00360C9D"/>
    <w:rsid w:val="00360D32"/>
    <w:rsid w:val="00360D52"/>
    <w:rsid w:val="00360EFA"/>
    <w:rsid w:val="003614F0"/>
    <w:rsid w:val="0036162B"/>
    <w:rsid w:val="00361898"/>
    <w:rsid w:val="0036189F"/>
    <w:rsid w:val="003619EF"/>
    <w:rsid w:val="003619F4"/>
    <w:rsid w:val="00361AE9"/>
    <w:rsid w:val="00361D5C"/>
    <w:rsid w:val="00361EF5"/>
    <w:rsid w:val="00362688"/>
    <w:rsid w:val="003626CE"/>
    <w:rsid w:val="0036286F"/>
    <w:rsid w:val="0036290C"/>
    <w:rsid w:val="003631FB"/>
    <w:rsid w:val="00363312"/>
    <w:rsid w:val="00363394"/>
    <w:rsid w:val="00363395"/>
    <w:rsid w:val="00363506"/>
    <w:rsid w:val="003635C4"/>
    <w:rsid w:val="00363619"/>
    <w:rsid w:val="003636B3"/>
    <w:rsid w:val="003636E0"/>
    <w:rsid w:val="0036373C"/>
    <w:rsid w:val="00363C44"/>
    <w:rsid w:val="00363EB8"/>
    <w:rsid w:val="0036404A"/>
    <w:rsid w:val="003640B7"/>
    <w:rsid w:val="00364A1A"/>
    <w:rsid w:val="00364F1F"/>
    <w:rsid w:val="0036503B"/>
    <w:rsid w:val="0036532A"/>
    <w:rsid w:val="00365716"/>
    <w:rsid w:val="003657F7"/>
    <w:rsid w:val="003658A2"/>
    <w:rsid w:val="0036642B"/>
    <w:rsid w:val="00366572"/>
    <w:rsid w:val="003666E4"/>
    <w:rsid w:val="00366804"/>
    <w:rsid w:val="00366EC6"/>
    <w:rsid w:val="003670C8"/>
    <w:rsid w:val="00367201"/>
    <w:rsid w:val="003672D7"/>
    <w:rsid w:val="003675F4"/>
    <w:rsid w:val="00367B16"/>
    <w:rsid w:val="0037034D"/>
    <w:rsid w:val="003703DD"/>
    <w:rsid w:val="00370937"/>
    <w:rsid w:val="00370C2C"/>
    <w:rsid w:val="00370C4C"/>
    <w:rsid w:val="00370F24"/>
    <w:rsid w:val="00371198"/>
    <w:rsid w:val="0037166D"/>
    <w:rsid w:val="00371902"/>
    <w:rsid w:val="00371BED"/>
    <w:rsid w:val="00371C23"/>
    <w:rsid w:val="00371D7A"/>
    <w:rsid w:val="00371EC0"/>
    <w:rsid w:val="00372008"/>
    <w:rsid w:val="003720AE"/>
    <w:rsid w:val="00372618"/>
    <w:rsid w:val="0037298F"/>
    <w:rsid w:val="00372A01"/>
    <w:rsid w:val="00372AD2"/>
    <w:rsid w:val="003730B1"/>
    <w:rsid w:val="003736F0"/>
    <w:rsid w:val="00373901"/>
    <w:rsid w:val="00373E62"/>
    <w:rsid w:val="00373E84"/>
    <w:rsid w:val="00373EC8"/>
    <w:rsid w:val="00374736"/>
    <w:rsid w:val="00374C35"/>
    <w:rsid w:val="00374D09"/>
    <w:rsid w:val="00374EC1"/>
    <w:rsid w:val="003752DA"/>
    <w:rsid w:val="0037530E"/>
    <w:rsid w:val="003755D1"/>
    <w:rsid w:val="003756D4"/>
    <w:rsid w:val="0037584D"/>
    <w:rsid w:val="00375931"/>
    <w:rsid w:val="00375A12"/>
    <w:rsid w:val="00375A9A"/>
    <w:rsid w:val="00375ACC"/>
    <w:rsid w:val="00375C7F"/>
    <w:rsid w:val="00375CB4"/>
    <w:rsid w:val="00375E9C"/>
    <w:rsid w:val="0037601D"/>
    <w:rsid w:val="00376454"/>
    <w:rsid w:val="00376459"/>
    <w:rsid w:val="0037655E"/>
    <w:rsid w:val="003769C5"/>
    <w:rsid w:val="00376C03"/>
    <w:rsid w:val="00376C67"/>
    <w:rsid w:val="0037719B"/>
    <w:rsid w:val="0037799F"/>
    <w:rsid w:val="00380112"/>
    <w:rsid w:val="003802E1"/>
    <w:rsid w:val="00380481"/>
    <w:rsid w:val="003804C2"/>
    <w:rsid w:val="00380631"/>
    <w:rsid w:val="00380734"/>
    <w:rsid w:val="00380C37"/>
    <w:rsid w:val="00380C91"/>
    <w:rsid w:val="00380D23"/>
    <w:rsid w:val="00380F6F"/>
    <w:rsid w:val="0038113D"/>
    <w:rsid w:val="00381230"/>
    <w:rsid w:val="00381ACC"/>
    <w:rsid w:val="00381E73"/>
    <w:rsid w:val="00382076"/>
    <w:rsid w:val="00382133"/>
    <w:rsid w:val="00382283"/>
    <w:rsid w:val="00382FC8"/>
    <w:rsid w:val="00383242"/>
    <w:rsid w:val="00383313"/>
    <w:rsid w:val="00383953"/>
    <w:rsid w:val="00383B8F"/>
    <w:rsid w:val="00383E0C"/>
    <w:rsid w:val="00383ED5"/>
    <w:rsid w:val="00383FEF"/>
    <w:rsid w:val="003840BC"/>
    <w:rsid w:val="003842C7"/>
    <w:rsid w:val="0038471C"/>
    <w:rsid w:val="00384761"/>
    <w:rsid w:val="003849E7"/>
    <w:rsid w:val="00384C7E"/>
    <w:rsid w:val="00384D19"/>
    <w:rsid w:val="0038541E"/>
    <w:rsid w:val="00385787"/>
    <w:rsid w:val="00385B14"/>
    <w:rsid w:val="00385B71"/>
    <w:rsid w:val="00385B8F"/>
    <w:rsid w:val="00385BD3"/>
    <w:rsid w:val="00385FDD"/>
    <w:rsid w:val="00386076"/>
    <w:rsid w:val="00386156"/>
    <w:rsid w:val="003863E8"/>
    <w:rsid w:val="00386607"/>
    <w:rsid w:val="003866DD"/>
    <w:rsid w:val="00386BCA"/>
    <w:rsid w:val="00386E9D"/>
    <w:rsid w:val="003871BA"/>
    <w:rsid w:val="00387CCD"/>
    <w:rsid w:val="00387FC3"/>
    <w:rsid w:val="00390098"/>
    <w:rsid w:val="00390193"/>
    <w:rsid w:val="00390298"/>
    <w:rsid w:val="003902B7"/>
    <w:rsid w:val="00390536"/>
    <w:rsid w:val="003905E0"/>
    <w:rsid w:val="003907B2"/>
    <w:rsid w:val="00390A67"/>
    <w:rsid w:val="00390B2B"/>
    <w:rsid w:val="00390B96"/>
    <w:rsid w:val="00390C7A"/>
    <w:rsid w:val="0039115F"/>
    <w:rsid w:val="003915BE"/>
    <w:rsid w:val="00391E79"/>
    <w:rsid w:val="0039211D"/>
    <w:rsid w:val="003923B1"/>
    <w:rsid w:val="0039249C"/>
    <w:rsid w:val="003925B1"/>
    <w:rsid w:val="00392973"/>
    <w:rsid w:val="00392BFE"/>
    <w:rsid w:val="003930AF"/>
    <w:rsid w:val="00393865"/>
    <w:rsid w:val="00394179"/>
    <w:rsid w:val="00394446"/>
    <w:rsid w:val="00394590"/>
    <w:rsid w:val="003947A3"/>
    <w:rsid w:val="00394823"/>
    <w:rsid w:val="00394C26"/>
    <w:rsid w:val="0039508B"/>
    <w:rsid w:val="003950C4"/>
    <w:rsid w:val="00395239"/>
    <w:rsid w:val="003959D1"/>
    <w:rsid w:val="00395A91"/>
    <w:rsid w:val="00395D6C"/>
    <w:rsid w:val="003963DC"/>
    <w:rsid w:val="00396C9A"/>
    <w:rsid w:val="00396F34"/>
    <w:rsid w:val="00396F70"/>
    <w:rsid w:val="00397150"/>
    <w:rsid w:val="003975FC"/>
    <w:rsid w:val="00397B27"/>
    <w:rsid w:val="00397BD2"/>
    <w:rsid w:val="003A0234"/>
    <w:rsid w:val="003A026B"/>
    <w:rsid w:val="003A0385"/>
    <w:rsid w:val="003A0489"/>
    <w:rsid w:val="003A052B"/>
    <w:rsid w:val="003A0866"/>
    <w:rsid w:val="003A08CF"/>
    <w:rsid w:val="003A0CD8"/>
    <w:rsid w:val="003A10D6"/>
    <w:rsid w:val="003A17B5"/>
    <w:rsid w:val="003A1937"/>
    <w:rsid w:val="003A205F"/>
    <w:rsid w:val="003A2422"/>
    <w:rsid w:val="003A25CD"/>
    <w:rsid w:val="003A2923"/>
    <w:rsid w:val="003A29B9"/>
    <w:rsid w:val="003A2D77"/>
    <w:rsid w:val="003A2E64"/>
    <w:rsid w:val="003A2EBF"/>
    <w:rsid w:val="003A31DA"/>
    <w:rsid w:val="003A33CB"/>
    <w:rsid w:val="003A3472"/>
    <w:rsid w:val="003A3596"/>
    <w:rsid w:val="003A36D7"/>
    <w:rsid w:val="003A379B"/>
    <w:rsid w:val="003A3839"/>
    <w:rsid w:val="003A3980"/>
    <w:rsid w:val="003A3B6B"/>
    <w:rsid w:val="003A3E67"/>
    <w:rsid w:val="003A3FA4"/>
    <w:rsid w:val="003A41F3"/>
    <w:rsid w:val="003A450A"/>
    <w:rsid w:val="003A4763"/>
    <w:rsid w:val="003A4AEF"/>
    <w:rsid w:val="003A4B3E"/>
    <w:rsid w:val="003A4B92"/>
    <w:rsid w:val="003A4F0F"/>
    <w:rsid w:val="003A51E2"/>
    <w:rsid w:val="003A57A9"/>
    <w:rsid w:val="003A5A18"/>
    <w:rsid w:val="003A5A22"/>
    <w:rsid w:val="003A5AE9"/>
    <w:rsid w:val="003A6269"/>
    <w:rsid w:val="003A68B5"/>
    <w:rsid w:val="003A6939"/>
    <w:rsid w:val="003A6A83"/>
    <w:rsid w:val="003A70CD"/>
    <w:rsid w:val="003A7127"/>
    <w:rsid w:val="003A72D5"/>
    <w:rsid w:val="003A7817"/>
    <w:rsid w:val="003A790C"/>
    <w:rsid w:val="003A7931"/>
    <w:rsid w:val="003A7CDC"/>
    <w:rsid w:val="003B00FB"/>
    <w:rsid w:val="003B0245"/>
    <w:rsid w:val="003B02C1"/>
    <w:rsid w:val="003B03F7"/>
    <w:rsid w:val="003B069B"/>
    <w:rsid w:val="003B0735"/>
    <w:rsid w:val="003B0782"/>
    <w:rsid w:val="003B0831"/>
    <w:rsid w:val="003B09CB"/>
    <w:rsid w:val="003B1520"/>
    <w:rsid w:val="003B1B4B"/>
    <w:rsid w:val="003B1B96"/>
    <w:rsid w:val="003B1D18"/>
    <w:rsid w:val="003B1F34"/>
    <w:rsid w:val="003B209A"/>
    <w:rsid w:val="003B248E"/>
    <w:rsid w:val="003B2E8C"/>
    <w:rsid w:val="003B2F8B"/>
    <w:rsid w:val="003B33B6"/>
    <w:rsid w:val="003B38DA"/>
    <w:rsid w:val="003B3F6B"/>
    <w:rsid w:val="003B4697"/>
    <w:rsid w:val="003B46B2"/>
    <w:rsid w:val="003B4771"/>
    <w:rsid w:val="003B4A53"/>
    <w:rsid w:val="003B4B8B"/>
    <w:rsid w:val="003B4C7C"/>
    <w:rsid w:val="003B4E8C"/>
    <w:rsid w:val="003B51A6"/>
    <w:rsid w:val="003B531B"/>
    <w:rsid w:val="003B538A"/>
    <w:rsid w:val="003B543E"/>
    <w:rsid w:val="003B5BAE"/>
    <w:rsid w:val="003B5BDD"/>
    <w:rsid w:val="003B5D48"/>
    <w:rsid w:val="003B687A"/>
    <w:rsid w:val="003B68FD"/>
    <w:rsid w:val="003B6C4F"/>
    <w:rsid w:val="003B6D1C"/>
    <w:rsid w:val="003B6FC6"/>
    <w:rsid w:val="003B77B6"/>
    <w:rsid w:val="003B77D4"/>
    <w:rsid w:val="003B7D85"/>
    <w:rsid w:val="003B7DB3"/>
    <w:rsid w:val="003C017C"/>
    <w:rsid w:val="003C035C"/>
    <w:rsid w:val="003C077C"/>
    <w:rsid w:val="003C0809"/>
    <w:rsid w:val="003C0902"/>
    <w:rsid w:val="003C0924"/>
    <w:rsid w:val="003C09A8"/>
    <w:rsid w:val="003C0A5C"/>
    <w:rsid w:val="003C0A72"/>
    <w:rsid w:val="003C0B7F"/>
    <w:rsid w:val="003C0EF9"/>
    <w:rsid w:val="003C11B4"/>
    <w:rsid w:val="003C12BF"/>
    <w:rsid w:val="003C1485"/>
    <w:rsid w:val="003C1717"/>
    <w:rsid w:val="003C1933"/>
    <w:rsid w:val="003C1A4B"/>
    <w:rsid w:val="003C1A52"/>
    <w:rsid w:val="003C1F0A"/>
    <w:rsid w:val="003C20BB"/>
    <w:rsid w:val="003C264C"/>
    <w:rsid w:val="003C2ACB"/>
    <w:rsid w:val="003C2D63"/>
    <w:rsid w:val="003C2E1B"/>
    <w:rsid w:val="003C30B3"/>
    <w:rsid w:val="003C3232"/>
    <w:rsid w:val="003C33F4"/>
    <w:rsid w:val="003C3574"/>
    <w:rsid w:val="003C36FD"/>
    <w:rsid w:val="003C3D4F"/>
    <w:rsid w:val="003C3E76"/>
    <w:rsid w:val="003C4207"/>
    <w:rsid w:val="003C4225"/>
    <w:rsid w:val="003C49B3"/>
    <w:rsid w:val="003C4B34"/>
    <w:rsid w:val="003C4D68"/>
    <w:rsid w:val="003C4F83"/>
    <w:rsid w:val="003C50C9"/>
    <w:rsid w:val="003C51A7"/>
    <w:rsid w:val="003C53CA"/>
    <w:rsid w:val="003C5527"/>
    <w:rsid w:val="003C5695"/>
    <w:rsid w:val="003C57B6"/>
    <w:rsid w:val="003C5975"/>
    <w:rsid w:val="003C5A14"/>
    <w:rsid w:val="003C5EB0"/>
    <w:rsid w:val="003C613F"/>
    <w:rsid w:val="003C6336"/>
    <w:rsid w:val="003C64F8"/>
    <w:rsid w:val="003C671C"/>
    <w:rsid w:val="003C6A59"/>
    <w:rsid w:val="003C7230"/>
    <w:rsid w:val="003C77EA"/>
    <w:rsid w:val="003C785D"/>
    <w:rsid w:val="003C7C86"/>
    <w:rsid w:val="003D0352"/>
    <w:rsid w:val="003D04E8"/>
    <w:rsid w:val="003D08E5"/>
    <w:rsid w:val="003D09C7"/>
    <w:rsid w:val="003D0A7C"/>
    <w:rsid w:val="003D0BAD"/>
    <w:rsid w:val="003D0D82"/>
    <w:rsid w:val="003D10B9"/>
    <w:rsid w:val="003D130A"/>
    <w:rsid w:val="003D155F"/>
    <w:rsid w:val="003D1592"/>
    <w:rsid w:val="003D17F6"/>
    <w:rsid w:val="003D1B07"/>
    <w:rsid w:val="003D1BA1"/>
    <w:rsid w:val="003D1D64"/>
    <w:rsid w:val="003D1E41"/>
    <w:rsid w:val="003D1FA6"/>
    <w:rsid w:val="003D26F5"/>
    <w:rsid w:val="003D26FE"/>
    <w:rsid w:val="003D2869"/>
    <w:rsid w:val="003D2AA4"/>
    <w:rsid w:val="003D2C97"/>
    <w:rsid w:val="003D3061"/>
    <w:rsid w:val="003D30A1"/>
    <w:rsid w:val="003D3177"/>
    <w:rsid w:val="003D336B"/>
    <w:rsid w:val="003D3452"/>
    <w:rsid w:val="003D34B6"/>
    <w:rsid w:val="003D353D"/>
    <w:rsid w:val="003D37D2"/>
    <w:rsid w:val="003D38AE"/>
    <w:rsid w:val="003D38BB"/>
    <w:rsid w:val="003D3EF3"/>
    <w:rsid w:val="003D3FBC"/>
    <w:rsid w:val="003D3FFB"/>
    <w:rsid w:val="003D4031"/>
    <w:rsid w:val="003D41B9"/>
    <w:rsid w:val="003D423F"/>
    <w:rsid w:val="003D4452"/>
    <w:rsid w:val="003D451C"/>
    <w:rsid w:val="003D4562"/>
    <w:rsid w:val="003D4A07"/>
    <w:rsid w:val="003D4AA3"/>
    <w:rsid w:val="003D4D99"/>
    <w:rsid w:val="003D501B"/>
    <w:rsid w:val="003D5270"/>
    <w:rsid w:val="003D5508"/>
    <w:rsid w:val="003D5B48"/>
    <w:rsid w:val="003D60A9"/>
    <w:rsid w:val="003D60E9"/>
    <w:rsid w:val="003D647D"/>
    <w:rsid w:val="003D6502"/>
    <w:rsid w:val="003D6652"/>
    <w:rsid w:val="003D6864"/>
    <w:rsid w:val="003D6A80"/>
    <w:rsid w:val="003D6BF1"/>
    <w:rsid w:val="003D6CED"/>
    <w:rsid w:val="003D6D65"/>
    <w:rsid w:val="003D7024"/>
    <w:rsid w:val="003D7B75"/>
    <w:rsid w:val="003E00B7"/>
    <w:rsid w:val="003E00F3"/>
    <w:rsid w:val="003E03C3"/>
    <w:rsid w:val="003E04C2"/>
    <w:rsid w:val="003E06D6"/>
    <w:rsid w:val="003E0775"/>
    <w:rsid w:val="003E0832"/>
    <w:rsid w:val="003E0BBA"/>
    <w:rsid w:val="003E0DB7"/>
    <w:rsid w:val="003E0DE8"/>
    <w:rsid w:val="003E0F1E"/>
    <w:rsid w:val="003E0FCE"/>
    <w:rsid w:val="003E125A"/>
    <w:rsid w:val="003E12B8"/>
    <w:rsid w:val="003E1476"/>
    <w:rsid w:val="003E1497"/>
    <w:rsid w:val="003E1733"/>
    <w:rsid w:val="003E1903"/>
    <w:rsid w:val="003E1A49"/>
    <w:rsid w:val="003E1C00"/>
    <w:rsid w:val="003E1FE4"/>
    <w:rsid w:val="003E21AA"/>
    <w:rsid w:val="003E23D0"/>
    <w:rsid w:val="003E246A"/>
    <w:rsid w:val="003E2478"/>
    <w:rsid w:val="003E2583"/>
    <w:rsid w:val="003E27E0"/>
    <w:rsid w:val="003E280F"/>
    <w:rsid w:val="003E2C70"/>
    <w:rsid w:val="003E3245"/>
    <w:rsid w:val="003E397F"/>
    <w:rsid w:val="003E3A1E"/>
    <w:rsid w:val="003E3C46"/>
    <w:rsid w:val="003E3C64"/>
    <w:rsid w:val="003E3EA1"/>
    <w:rsid w:val="003E3F57"/>
    <w:rsid w:val="003E4270"/>
    <w:rsid w:val="003E4887"/>
    <w:rsid w:val="003E498B"/>
    <w:rsid w:val="003E4EB4"/>
    <w:rsid w:val="003E4FCB"/>
    <w:rsid w:val="003E5794"/>
    <w:rsid w:val="003E591A"/>
    <w:rsid w:val="003E5A7B"/>
    <w:rsid w:val="003E5DAB"/>
    <w:rsid w:val="003E61CD"/>
    <w:rsid w:val="003E68FE"/>
    <w:rsid w:val="003E6B6D"/>
    <w:rsid w:val="003E6E31"/>
    <w:rsid w:val="003E6EB0"/>
    <w:rsid w:val="003E747A"/>
    <w:rsid w:val="003E7647"/>
    <w:rsid w:val="003E77E8"/>
    <w:rsid w:val="003F01F7"/>
    <w:rsid w:val="003F0491"/>
    <w:rsid w:val="003F06AB"/>
    <w:rsid w:val="003F08C9"/>
    <w:rsid w:val="003F0908"/>
    <w:rsid w:val="003F0C22"/>
    <w:rsid w:val="003F0D13"/>
    <w:rsid w:val="003F0E19"/>
    <w:rsid w:val="003F0E4A"/>
    <w:rsid w:val="003F0EC0"/>
    <w:rsid w:val="003F102F"/>
    <w:rsid w:val="003F1061"/>
    <w:rsid w:val="003F146D"/>
    <w:rsid w:val="003F1B53"/>
    <w:rsid w:val="003F1FA2"/>
    <w:rsid w:val="003F2187"/>
    <w:rsid w:val="003F221D"/>
    <w:rsid w:val="003F2258"/>
    <w:rsid w:val="003F248B"/>
    <w:rsid w:val="003F2824"/>
    <w:rsid w:val="003F2849"/>
    <w:rsid w:val="003F29DB"/>
    <w:rsid w:val="003F2CD0"/>
    <w:rsid w:val="003F3097"/>
    <w:rsid w:val="003F313B"/>
    <w:rsid w:val="003F3208"/>
    <w:rsid w:val="003F33B1"/>
    <w:rsid w:val="003F383E"/>
    <w:rsid w:val="003F3D26"/>
    <w:rsid w:val="003F4240"/>
    <w:rsid w:val="003F4CC9"/>
    <w:rsid w:val="003F4D37"/>
    <w:rsid w:val="003F4F16"/>
    <w:rsid w:val="003F52E1"/>
    <w:rsid w:val="003F5626"/>
    <w:rsid w:val="003F5803"/>
    <w:rsid w:val="003F5BA6"/>
    <w:rsid w:val="003F5DE5"/>
    <w:rsid w:val="003F5EA6"/>
    <w:rsid w:val="003F6265"/>
    <w:rsid w:val="003F66B3"/>
    <w:rsid w:val="003F69C3"/>
    <w:rsid w:val="003F6F28"/>
    <w:rsid w:val="003F73A9"/>
    <w:rsid w:val="003F7571"/>
    <w:rsid w:val="003F7594"/>
    <w:rsid w:val="003F759B"/>
    <w:rsid w:val="003F769A"/>
    <w:rsid w:val="003F797C"/>
    <w:rsid w:val="003F79A4"/>
    <w:rsid w:val="003F7D55"/>
    <w:rsid w:val="004001B0"/>
    <w:rsid w:val="0040048C"/>
    <w:rsid w:val="004009BE"/>
    <w:rsid w:val="00400BCC"/>
    <w:rsid w:val="00400F25"/>
    <w:rsid w:val="00401334"/>
    <w:rsid w:val="004016FB"/>
    <w:rsid w:val="00401950"/>
    <w:rsid w:val="00401C0E"/>
    <w:rsid w:val="004020DF"/>
    <w:rsid w:val="00402234"/>
    <w:rsid w:val="00402267"/>
    <w:rsid w:val="004024BD"/>
    <w:rsid w:val="00402537"/>
    <w:rsid w:val="00402605"/>
    <w:rsid w:val="00402774"/>
    <w:rsid w:val="00402A11"/>
    <w:rsid w:val="00402ADC"/>
    <w:rsid w:val="004030EA"/>
    <w:rsid w:val="0040334F"/>
    <w:rsid w:val="004035E0"/>
    <w:rsid w:val="0040360E"/>
    <w:rsid w:val="0040383D"/>
    <w:rsid w:val="00403A7A"/>
    <w:rsid w:val="00403B53"/>
    <w:rsid w:val="00403D1F"/>
    <w:rsid w:val="00403D40"/>
    <w:rsid w:val="00403D52"/>
    <w:rsid w:val="00404254"/>
    <w:rsid w:val="004042C2"/>
    <w:rsid w:val="004043EB"/>
    <w:rsid w:val="004049BD"/>
    <w:rsid w:val="00404A16"/>
    <w:rsid w:val="00404AB2"/>
    <w:rsid w:val="00404EE9"/>
    <w:rsid w:val="00404F40"/>
    <w:rsid w:val="004052D5"/>
    <w:rsid w:val="004053B8"/>
    <w:rsid w:val="00405510"/>
    <w:rsid w:val="0040577D"/>
    <w:rsid w:val="00405F44"/>
    <w:rsid w:val="004060D7"/>
    <w:rsid w:val="00406606"/>
    <w:rsid w:val="0040671E"/>
    <w:rsid w:val="004067F6"/>
    <w:rsid w:val="00406B90"/>
    <w:rsid w:val="00406C8D"/>
    <w:rsid w:val="00406ECA"/>
    <w:rsid w:val="004073B4"/>
    <w:rsid w:val="00407D78"/>
    <w:rsid w:val="00407E82"/>
    <w:rsid w:val="0041029D"/>
    <w:rsid w:val="004103D1"/>
    <w:rsid w:val="004104B2"/>
    <w:rsid w:val="00410889"/>
    <w:rsid w:val="00411077"/>
    <w:rsid w:val="00411200"/>
    <w:rsid w:val="00411336"/>
    <w:rsid w:val="004113BF"/>
    <w:rsid w:val="004113C8"/>
    <w:rsid w:val="004117D4"/>
    <w:rsid w:val="00411B87"/>
    <w:rsid w:val="00411F5D"/>
    <w:rsid w:val="0041216D"/>
    <w:rsid w:val="00412475"/>
    <w:rsid w:val="004126AB"/>
    <w:rsid w:val="00412F24"/>
    <w:rsid w:val="00412F52"/>
    <w:rsid w:val="004139AB"/>
    <w:rsid w:val="00413AC2"/>
    <w:rsid w:val="00413C1A"/>
    <w:rsid w:val="00414076"/>
    <w:rsid w:val="004141BB"/>
    <w:rsid w:val="004144AE"/>
    <w:rsid w:val="0041451A"/>
    <w:rsid w:val="0041462E"/>
    <w:rsid w:val="00414F2B"/>
    <w:rsid w:val="004150AB"/>
    <w:rsid w:val="00415269"/>
    <w:rsid w:val="00415AB6"/>
    <w:rsid w:val="00415F90"/>
    <w:rsid w:val="00416005"/>
    <w:rsid w:val="0041610A"/>
    <w:rsid w:val="00416395"/>
    <w:rsid w:val="00416441"/>
    <w:rsid w:val="0041651E"/>
    <w:rsid w:val="00416702"/>
    <w:rsid w:val="00416764"/>
    <w:rsid w:val="004169CF"/>
    <w:rsid w:val="004170B3"/>
    <w:rsid w:val="00417143"/>
    <w:rsid w:val="004172F7"/>
    <w:rsid w:val="004177C0"/>
    <w:rsid w:val="004178F3"/>
    <w:rsid w:val="0041794B"/>
    <w:rsid w:val="00417976"/>
    <w:rsid w:val="00417D26"/>
    <w:rsid w:val="00417E4F"/>
    <w:rsid w:val="004200D0"/>
    <w:rsid w:val="0042025B"/>
    <w:rsid w:val="0042027E"/>
    <w:rsid w:val="0042065F"/>
    <w:rsid w:val="004216BB"/>
    <w:rsid w:val="00421C7B"/>
    <w:rsid w:val="00422033"/>
    <w:rsid w:val="0042239C"/>
    <w:rsid w:val="00422B5F"/>
    <w:rsid w:val="00422CC1"/>
    <w:rsid w:val="00422CFF"/>
    <w:rsid w:val="00422F2D"/>
    <w:rsid w:val="00423267"/>
    <w:rsid w:val="004233F2"/>
    <w:rsid w:val="004234C9"/>
    <w:rsid w:val="0042370D"/>
    <w:rsid w:val="00423BA2"/>
    <w:rsid w:val="00423C11"/>
    <w:rsid w:val="00423DB8"/>
    <w:rsid w:val="004244B4"/>
    <w:rsid w:val="00424814"/>
    <w:rsid w:val="00424D16"/>
    <w:rsid w:val="00425145"/>
    <w:rsid w:val="00425443"/>
    <w:rsid w:val="00425E39"/>
    <w:rsid w:val="004261C8"/>
    <w:rsid w:val="00426316"/>
    <w:rsid w:val="00426361"/>
    <w:rsid w:val="0042645B"/>
    <w:rsid w:val="00426578"/>
    <w:rsid w:val="0042698A"/>
    <w:rsid w:val="00426A2E"/>
    <w:rsid w:val="00426E69"/>
    <w:rsid w:val="004272FD"/>
    <w:rsid w:val="00427349"/>
    <w:rsid w:val="004278FC"/>
    <w:rsid w:val="0042798D"/>
    <w:rsid w:val="00427F40"/>
    <w:rsid w:val="00427FA6"/>
    <w:rsid w:val="00427FF1"/>
    <w:rsid w:val="00430A2A"/>
    <w:rsid w:val="00430C1D"/>
    <w:rsid w:val="00430E5A"/>
    <w:rsid w:val="00431053"/>
    <w:rsid w:val="00431B14"/>
    <w:rsid w:val="00431B77"/>
    <w:rsid w:val="00431C60"/>
    <w:rsid w:val="00431D24"/>
    <w:rsid w:val="00431D51"/>
    <w:rsid w:val="00431DEC"/>
    <w:rsid w:val="00431F43"/>
    <w:rsid w:val="004320E7"/>
    <w:rsid w:val="0043255D"/>
    <w:rsid w:val="004327CC"/>
    <w:rsid w:val="00432865"/>
    <w:rsid w:val="00432873"/>
    <w:rsid w:val="00432897"/>
    <w:rsid w:val="004329B6"/>
    <w:rsid w:val="00432FFF"/>
    <w:rsid w:val="00433174"/>
    <w:rsid w:val="00433515"/>
    <w:rsid w:val="0043365B"/>
    <w:rsid w:val="00433ACC"/>
    <w:rsid w:val="00434253"/>
    <w:rsid w:val="00434355"/>
    <w:rsid w:val="00434828"/>
    <w:rsid w:val="00434ACA"/>
    <w:rsid w:val="00434C7A"/>
    <w:rsid w:val="00434D6D"/>
    <w:rsid w:val="0043509F"/>
    <w:rsid w:val="0043511F"/>
    <w:rsid w:val="00435148"/>
    <w:rsid w:val="00435624"/>
    <w:rsid w:val="004356CA"/>
    <w:rsid w:val="00435981"/>
    <w:rsid w:val="00435DD4"/>
    <w:rsid w:val="00435E25"/>
    <w:rsid w:val="00436093"/>
    <w:rsid w:val="0043643A"/>
    <w:rsid w:val="004364FE"/>
    <w:rsid w:val="00436E5F"/>
    <w:rsid w:val="00437492"/>
    <w:rsid w:val="00437523"/>
    <w:rsid w:val="0043753E"/>
    <w:rsid w:val="004375B6"/>
    <w:rsid w:val="0043784E"/>
    <w:rsid w:val="00437D0C"/>
    <w:rsid w:val="004404FE"/>
    <w:rsid w:val="00440D7A"/>
    <w:rsid w:val="004415BC"/>
    <w:rsid w:val="00441600"/>
    <w:rsid w:val="00441730"/>
    <w:rsid w:val="00441AC0"/>
    <w:rsid w:val="00441C70"/>
    <w:rsid w:val="00442261"/>
    <w:rsid w:val="004426B0"/>
    <w:rsid w:val="00442AE1"/>
    <w:rsid w:val="00442B86"/>
    <w:rsid w:val="00442F45"/>
    <w:rsid w:val="00442FB6"/>
    <w:rsid w:val="00442FD4"/>
    <w:rsid w:val="00442FD7"/>
    <w:rsid w:val="00443137"/>
    <w:rsid w:val="00443538"/>
    <w:rsid w:val="00443723"/>
    <w:rsid w:val="00443D69"/>
    <w:rsid w:val="00444514"/>
    <w:rsid w:val="004445AE"/>
    <w:rsid w:val="004445B0"/>
    <w:rsid w:val="004446EF"/>
    <w:rsid w:val="00444781"/>
    <w:rsid w:val="00444B1F"/>
    <w:rsid w:val="00444F74"/>
    <w:rsid w:val="00444F7A"/>
    <w:rsid w:val="00445117"/>
    <w:rsid w:val="004453C9"/>
    <w:rsid w:val="004454FD"/>
    <w:rsid w:val="0044553D"/>
    <w:rsid w:val="00445971"/>
    <w:rsid w:val="00446467"/>
    <w:rsid w:val="0044672D"/>
    <w:rsid w:val="00446930"/>
    <w:rsid w:val="00446B21"/>
    <w:rsid w:val="00446B45"/>
    <w:rsid w:val="00446C24"/>
    <w:rsid w:val="00446CBE"/>
    <w:rsid w:val="00446CD4"/>
    <w:rsid w:val="004472C2"/>
    <w:rsid w:val="004472D1"/>
    <w:rsid w:val="00447855"/>
    <w:rsid w:val="00447A60"/>
    <w:rsid w:val="00447BD2"/>
    <w:rsid w:val="00447CA8"/>
    <w:rsid w:val="00447CD4"/>
    <w:rsid w:val="00447D6A"/>
    <w:rsid w:val="00450225"/>
    <w:rsid w:val="0045024D"/>
    <w:rsid w:val="004502FA"/>
    <w:rsid w:val="004504D5"/>
    <w:rsid w:val="00450513"/>
    <w:rsid w:val="004509B9"/>
    <w:rsid w:val="00450AC8"/>
    <w:rsid w:val="00450C1F"/>
    <w:rsid w:val="00450D44"/>
    <w:rsid w:val="00450E3F"/>
    <w:rsid w:val="00450E5D"/>
    <w:rsid w:val="00450FA0"/>
    <w:rsid w:val="00451354"/>
    <w:rsid w:val="004515BA"/>
    <w:rsid w:val="00451672"/>
    <w:rsid w:val="00451699"/>
    <w:rsid w:val="0045170F"/>
    <w:rsid w:val="00451976"/>
    <w:rsid w:val="00451C00"/>
    <w:rsid w:val="00451E52"/>
    <w:rsid w:val="00452877"/>
    <w:rsid w:val="004529EF"/>
    <w:rsid w:val="00452A81"/>
    <w:rsid w:val="00452AA6"/>
    <w:rsid w:val="00452AD3"/>
    <w:rsid w:val="00452D2F"/>
    <w:rsid w:val="00452EE7"/>
    <w:rsid w:val="00452F10"/>
    <w:rsid w:val="0045306B"/>
    <w:rsid w:val="004531EE"/>
    <w:rsid w:val="0045358E"/>
    <w:rsid w:val="004536E3"/>
    <w:rsid w:val="004537E0"/>
    <w:rsid w:val="00453862"/>
    <w:rsid w:val="004538C9"/>
    <w:rsid w:val="00454255"/>
    <w:rsid w:val="00454B42"/>
    <w:rsid w:val="00454FA0"/>
    <w:rsid w:val="00455419"/>
    <w:rsid w:val="0045553F"/>
    <w:rsid w:val="00455582"/>
    <w:rsid w:val="00455792"/>
    <w:rsid w:val="00455A4F"/>
    <w:rsid w:val="004565CD"/>
    <w:rsid w:val="00456625"/>
    <w:rsid w:val="00456B02"/>
    <w:rsid w:val="00456BD2"/>
    <w:rsid w:val="00456F56"/>
    <w:rsid w:val="004572D0"/>
    <w:rsid w:val="004573A3"/>
    <w:rsid w:val="00457521"/>
    <w:rsid w:val="004577B6"/>
    <w:rsid w:val="004577DD"/>
    <w:rsid w:val="00460678"/>
    <w:rsid w:val="00460F1B"/>
    <w:rsid w:val="004611D9"/>
    <w:rsid w:val="00461491"/>
    <w:rsid w:val="004614BB"/>
    <w:rsid w:val="00461E36"/>
    <w:rsid w:val="004621ED"/>
    <w:rsid w:val="0046223F"/>
    <w:rsid w:val="004623E2"/>
    <w:rsid w:val="00462875"/>
    <w:rsid w:val="00462A8D"/>
    <w:rsid w:val="00462B44"/>
    <w:rsid w:val="00462BBB"/>
    <w:rsid w:val="00462C86"/>
    <w:rsid w:val="00462D59"/>
    <w:rsid w:val="00462DEF"/>
    <w:rsid w:val="0046313B"/>
    <w:rsid w:val="004631A8"/>
    <w:rsid w:val="00463270"/>
    <w:rsid w:val="00463699"/>
    <w:rsid w:val="004636B6"/>
    <w:rsid w:val="00463A6C"/>
    <w:rsid w:val="00463C18"/>
    <w:rsid w:val="00463CDF"/>
    <w:rsid w:val="00463D59"/>
    <w:rsid w:val="0046419C"/>
    <w:rsid w:val="0046429A"/>
    <w:rsid w:val="00464403"/>
    <w:rsid w:val="00464598"/>
    <w:rsid w:val="004645F8"/>
    <w:rsid w:val="00464677"/>
    <w:rsid w:val="004646A7"/>
    <w:rsid w:val="0046475F"/>
    <w:rsid w:val="00464A23"/>
    <w:rsid w:val="00464B19"/>
    <w:rsid w:val="00464EBC"/>
    <w:rsid w:val="00464F14"/>
    <w:rsid w:val="00465075"/>
    <w:rsid w:val="004654C2"/>
    <w:rsid w:val="00465A2F"/>
    <w:rsid w:val="00465ADC"/>
    <w:rsid w:val="00465B5A"/>
    <w:rsid w:val="00465C91"/>
    <w:rsid w:val="00465CEC"/>
    <w:rsid w:val="00465D55"/>
    <w:rsid w:val="004664AF"/>
    <w:rsid w:val="004667B9"/>
    <w:rsid w:val="0046690F"/>
    <w:rsid w:val="00466A23"/>
    <w:rsid w:val="00466AF6"/>
    <w:rsid w:val="00466C10"/>
    <w:rsid w:val="00466C68"/>
    <w:rsid w:val="00466DD6"/>
    <w:rsid w:val="004671A1"/>
    <w:rsid w:val="004672DF"/>
    <w:rsid w:val="0046739D"/>
    <w:rsid w:val="004673B7"/>
    <w:rsid w:val="0046764C"/>
    <w:rsid w:val="0046773F"/>
    <w:rsid w:val="00467986"/>
    <w:rsid w:val="00467D8F"/>
    <w:rsid w:val="00467F3B"/>
    <w:rsid w:val="004700B6"/>
    <w:rsid w:val="00470339"/>
    <w:rsid w:val="004705D3"/>
    <w:rsid w:val="004705FE"/>
    <w:rsid w:val="00470820"/>
    <w:rsid w:val="004709AC"/>
    <w:rsid w:val="004711BA"/>
    <w:rsid w:val="004714C7"/>
    <w:rsid w:val="00471692"/>
    <w:rsid w:val="004719AD"/>
    <w:rsid w:val="00471B72"/>
    <w:rsid w:val="00471C11"/>
    <w:rsid w:val="00471C15"/>
    <w:rsid w:val="00471CBE"/>
    <w:rsid w:val="00471DDB"/>
    <w:rsid w:val="00472699"/>
    <w:rsid w:val="004727D8"/>
    <w:rsid w:val="00472924"/>
    <w:rsid w:val="004729AD"/>
    <w:rsid w:val="00472DDF"/>
    <w:rsid w:val="00472F77"/>
    <w:rsid w:val="00472FF5"/>
    <w:rsid w:val="00473633"/>
    <w:rsid w:val="004738EA"/>
    <w:rsid w:val="004740CB"/>
    <w:rsid w:val="004743D7"/>
    <w:rsid w:val="0047451D"/>
    <w:rsid w:val="00475456"/>
    <w:rsid w:val="00475A76"/>
    <w:rsid w:val="00475FA7"/>
    <w:rsid w:val="0047630D"/>
    <w:rsid w:val="00476609"/>
    <w:rsid w:val="004766D0"/>
    <w:rsid w:val="0047674B"/>
    <w:rsid w:val="00476AF3"/>
    <w:rsid w:val="00476B37"/>
    <w:rsid w:val="00476D25"/>
    <w:rsid w:val="00476FD6"/>
    <w:rsid w:val="0047704D"/>
    <w:rsid w:val="0047749E"/>
    <w:rsid w:val="00480117"/>
    <w:rsid w:val="00480238"/>
    <w:rsid w:val="004802D4"/>
    <w:rsid w:val="004803C3"/>
    <w:rsid w:val="00480528"/>
    <w:rsid w:val="00480686"/>
    <w:rsid w:val="004806D4"/>
    <w:rsid w:val="0048078B"/>
    <w:rsid w:val="0048089A"/>
    <w:rsid w:val="00480B3D"/>
    <w:rsid w:val="00480C47"/>
    <w:rsid w:val="0048108E"/>
    <w:rsid w:val="0048116C"/>
    <w:rsid w:val="00481223"/>
    <w:rsid w:val="004814CC"/>
    <w:rsid w:val="004819AA"/>
    <w:rsid w:val="00481C42"/>
    <w:rsid w:val="00481C84"/>
    <w:rsid w:val="00481CAA"/>
    <w:rsid w:val="00481DC7"/>
    <w:rsid w:val="00482633"/>
    <w:rsid w:val="004827D3"/>
    <w:rsid w:val="004829F4"/>
    <w:rsid w:val="004832D3"/>
    <w:rsid w:val="0048331B"/>
    <w:rsid w:val="00483604"/>
    <w:rsid w:val="004836B4"/>
    <w:rsid w:val="004836EE"/>
    <w:rsid w:val="00483CA1"/>
    <w:rsid w:val="00483CCD"/>
    <w:rsid w:val="00483F21"/>
    <w:rsid w:val="00483F67"/>
    <w:rsid w:val="004840B4"/>
    <w:rsid w:val="004843B7"/>
    <w:rsid w:val="004849EE"/>
    <w:rsid w:val="00484AAD"/>
    <w:rsid w:val="00484F65"/>
    <w:rsid w:val="00485038"/>
    <w:rsid w:val="00485105"/>
    <w:rsid w:val="004852FA"/>
    <w:rsid w:val="00485328"/>
    <w:rsid w:val="00485628"/>
    <w:rsid w:val="00485A55"/>
    <w:rsid w:val="00485A7E"/>
    <w:rsid w:val="00485FFE"/>
    <w:rsid w:val="00486032"/>
    <w:rsid w:val="00486053"/>
    <w:rsid w:val="004860B5"/>
    <w:rsid w:val="004864B8"/>
    <w:rsid w:val="0048657A"/>
    <w:rsid w:val="004865FE"/>
    <w:rsid w:val="0048675F"/>
    <w:rsid w:val="004869C5"/>
    <w:rsid w:val="00486D59"/>
    <w:rsid w:val="00486E0C"/>
    <w:rsid w:val="0048712E"/>
    <w:rsid w:val="00487262"/>
    <w:rsid w:val="00487434"/>
    <w:rsid w:val="00487459"/>
    <w:rsid w:val="00487930"/>
    <w:rsid w:val="00487A0F"/>
    <w:rsid w:val="00487D82"/>
    <w:rsid w:val="0049003A"/>
    <w:rsid w:val="00490260"/>
    <w:rsid w:val="004903C2"/>
    <w:rsid w:val="00490572"/>
    <w:rsid w:val="00490944"/>
    <w:rsid w:val="00490AE9"/>
    <w:rsid w:val="00491075"/>
    <w:rsid w:val="00491342"/>
    <w:rsid w:val="0049134F"/>
    <w:rsid w:val="00491EB4"/>
    <w:rsid w:val="00492245"/>
    <w:rsid w:val="004922CC"/>
    <w:rsid w:val="00492389"/>
    <w:rsid w:val="00492552"/>
    <w:rsid w:val="004925EC"/>
    <w:rsid w:val="004925F7"/>
    <w:rsid w:val="0049273E"/>
    <w:rsid w:val="0049275B"/>
    <w:rsid w:val="00492E02"/>
    <w:rsid w:val="004932BB"/>
    <w:rsid w:val="0049330D"/>
    <w:rsid w:val="0049331E"/>
    <w:rsid w:val="00493524"/>
    <w:rsid w:val="00493655"/>
    <w:rsid w:val="00493ADF"/>
    <w:rsid w:val="004946B7"/>
    <w:rsid w:val="00494A43"/>
    <w:rsid w:val="00494B79"/>
    <w:rsid w:val="00494DDF"/>
    <w:rsid w:val="00495214"/>
    <w:rsid w:val="00495735"/>
    <w:rsid w:val="00495999"/>
    <w:rsid w:val="00495A65"/>
    <w:rsid w:val="00495A86"/>
    <w:rsid w:val="0049606D"/>
    <w:rsid w:val="004960CC"/>
    <w:rsid w:val="00496270"/>
    <w:rsid w:val="00496420"/>
    <w:rsid w:val="00496569"/>
    <w:rsid w:val="00496725"/>
    <w:rsid w:val="00496DBF"/>
    <w:rsid w:val="00497111"/>
    <w:rsid w:val="004976CD"/>
    <w:rsid w:val="004A0132"/>
    <w:rsid w:val="004A016D"/>
    <w:rsid w:val="004A049F"/>
    <w:rsid w:val="004A053A"/>
    <w:rsid w:val="004A089E"/>
    <w:rsid w:val="004A08BC"/>
    <w:rsid w:val="004A0A69"/>
    <w:rsid w:val="004A0ADA"/>
    <w:rsid w:val="004A0B7A"/>
    <w:rsid w:val="004A0B82"/>
    <w:rsid w:val="004A0ECA"/>
    <w:rsid w:val="004A122F"/>
    <w:rsid w:val="004A12EA"/>
    <w:rsid w:val="004A14AE"/>
    <w:rsid w:val="004A1509"/>
    <w:rsid w:val="004A173C"/>
    <w:rsid w:val="004A19D0"/>
    <w:rsid w:val="004A1C98"/>
    <w:rsid w:val="004A1CA6"/>
    <w:rsid w:val="004A1DEB"/>
    <w:rsid w:val="004A1E00"/>
    <w:rsid w:val="004A2083"/>
    <w:rsid w:val="004A20EB"/>
    <w:rsid w:val="004A23C8"/>
    <w:rsid w:val="004A24D1"/>
    <w:rsid w:val="004A2763"/>
    <w:rsid w:val="004A27A5"/>
    <w:rsid w:val="004A2838"/>
    <w:rsid w:val="004A32F0"/>
    <w:rsid w:val="004A35BA"/>
    <w:rsid w:val="004A3660"/>
    <w:rsid w:val="004A374A"/>
    <w:rsid w:val="004A3DB4"/>
    <w:rsid w:val="004A3F99"/>
    <w:rsid w:val="004A4225"/>
    <w:rsid w:val="004A433A"/>
    <w:rsid w:val="004A46DE"/>
    <w:rsid w:val="004A4781"/>
    <w:rsid w:val="004A49F3"/>
    <w:rsid w:val="004A4CBA"/>
    <w:rsid w:val="004A521D"/>
    <w:rsid w:val="004A52DC"/>
    <w:rsid w:val="004A541E"/>
    <w:rsid w:val="004A5590"/>
    <w:rsid w:val="004A56BB"/>
    <w:rsid w:val="004A5739"/>
    <w:rsid w:val="004A57C3"/>
    <w:rsid w:val="004A626B"/>
    <w:rsid w:val="004A654D"/>
    <w:rsid w:val="004A6607"/>
    <w:rsid w:val="004A6E4A"/>
    <w:rsid w:val="004A6E58"/>
    <w:rsid w:val="004A7CBC"/>
    <w:rsid w:val="004B015A"/>
    <w:rsid w:val="004B026B"/>
    <w:rsid w:val="004B04DC"/>
    <w:rsid w:val="004B0547"/>
    <w:rsid w:val="004B05BC"/>
    <w:rsid w:val="004B05C0"/>
    <w:rsid w:val="004B0DB3"/>
    <w:rsid w:val="004B0E2F"/>
    <w:rsid w:val="004B0F88"/>
    <w:rsid w:val="004B101C"/>
    <w:rsid w:val="004B10EF"/>
    <w:rsid w:val="004B136A"/>
    <w:rsid w:val="004B1913"/>
    <w:rsid w:val="004B1AD8"/>
    <w:rsid w:val="004B1C90"/>
    <w:rsid w:val="004B2025"/>
    <w:rsid w:val="004B251D"/>
    <w:rsid w:val="004B2757"/>
    <w:rsid w:val="004B2968"/>
    <w:rsid w:val="004B2A30"/>
    <w:rsid w:val="004B2B49"/>
    <w:rsid w:val="004B2B93"/>
    <w:rsid w:val="004B336A"/>
    <w:rsid w:val="004B3819"/>
    <w:rsid w:val="004B3A5A"/>
    <w:rsid w:val="004B3B29"/>
    <w:rsid w:val="004B3BEA"/>
    <w:rsid w:val="004B3F29"/>
    <w:rsid w:val="004B43E6"/>
    <w:rsid w:val="004B45B7"/>
    <w:rsid w:val="004B47C7"/>
    <w:rsid w:val="004B48F1"/>
    <w:rsid w:val="004B4C14"/>
    <w:rsid w:val="004B519C"/>
    <w:rsid w:val="004B5DD6"/>
    <w:rsid w:val="004B5E78"/>
    <w:rsid w:val="004B64BE"/>
    <w:rsid w:val="004B65DF"/>
    <w:rsid w:val="004B6614"/>
    <w:rsid w:val="004B668A"/>
    <w:rsid w:val="004B6E6C"/>
    <w:rsid w:val="004B6FA5"/>
    <w:rsid w:val="004B6FEE"/>
    <w:rsid w:val="004B73DD"/>
    <w:rsid w:val="004B7445"/>
    <w:rsid w:val="004B74A6"/>
    <w:rsid w:val="004B7556"/>
    <w:rsid w:val="004B760F"/>
    <w:rsid w:val="004B785C"/>
    <w:rsid w:val="004B79A5"/>
    <w:rsid w:val="004B7CF9"/>
    <w:rsid w:val="004C0015"/>
    <w:rsid w:val="004C0041"/>
    <w:rsid w:val="004C06DE"/>
    <w:rsid w:val="004C0C90"/>
    <w:rsid w:val="004C0E8B"/>
    <w:rsid w:val="004C0EE0"/>
    <w:rsid w:val="004C1075"/>
    <w:rsid w:val="004C12F6"/>
    <w:rsid w:val="004C158F"/>
    <w:rsid w:val="004C18A4"/>
    <w:rsid w:val="004C1CF4"/>
    <w:rsid w:val="004C1E6B"/>
    <w:rsid w:val="004C203F"/>
    <w:rsid w:val="004C21B2"/>
    <w:rsid w:val="004C220F"/>
    <w:rsid w:val="004C2244"/>
    <w:rsid w:val="004C2292"/>
    <w:rsid w:val="004C2400"/>
    <w:rsid w:val="004C242F"/>
    <w:rsid w:val="004C26A5"/>
    <w:rsid w:val="004C2988"/>
    <w:rsid w:val="004C2AFC"/>
    <w:rsid w:val="004C2E30"/>
    <w:rsid w:val="004C3A25"/>
    <w:rsid w:val="004C3B4D"/>
    <w:rsid w:val="004C3D98"/>
    <w:rsid w:val="004C3E1A"/>
    <w:rsid w:val="004C3FE2"/>
    <w:rsid w:val="004C406B"/>
    <w:rsid w:val="004C48FD"/>
    <w:rsid w:val="004C4ACC"/>
    <w:rsid w:val="004C4B13"/>
    <w:rsid w:val="004C4CCA"/>
    <w:rsid w:val="004C4E2B"/>
    <w:rsid w:val="004C4F4A"/>
    <w:rsid w:val="004C5159"/>
    <w:rsid w:val="004C54C1"/>
    <w:rsid w:val="004C5617"/>
    <w:rsid w:val="004C5813"/>
    <w:rsid w:val="004C5CD9"/>
    <w:rsid w:val="004C5D1D"/>
    <w:rsid w:val="004C5F07"/>
    <w:rsid w:val="004C602E"/>
    <w:rsid w:val="004C6407"/>
    <w:rsid w:val="004C6722"/>
    <w:rsid w:val="004C6B5D"/>
    <w:rsid w:val="004C6C21"/>
    <w:rsid w:val="004C6C57"/>
    <w:rsid w:val="004C6F3F"/>
    <w:rsid w:val="004C765D"/>
    <w:rsid w:val="004C775C"/>
    <w:rsid w:val="004C7794"/>
    <w:rsid w:val="004C77EC"/>
    <w:rsid w:val="004C7C22"/>
    <w:rsid w:val="004D027F"/>
    <w:rsid w:val="004D039F"/>
    <w:rsid w:val="004D06C6"/>
    <w:rsid w:val="004D0765"/>
    <w:rsid w:val="004D0778"/>
    <w:rsid w:val="004D0860"/>
    <w:rsid w:val="004D0885"/>
    <w:rsid w:val="004D0BBA"/>
    <w:rsid w:val="004D12B7"/>
    <w:rsid w:val="004D19BC"/>
    <w:rsid w:val="004D1B62"/>
    <w:rsid w:val="004D1D19"/>
    <w:rsid w:val="004D1DDA"/>
    <w:rsid w:val="004D1EE5"/>
    <w:rsid w:val="004D24A1"/>
    <w:rsid w:val="004D28F9"/>
    <w:rsid w:val="004D2E63"/>
    <w:rsid w:val="004D3249"/>
    <w:rsid w:val="004D324F"/>
    <w:rsid w:val="004D33AD"/>
    <w:rsid w:val="004D3582"/>
    <w:rsid w:val="004D382C"/>
    <w:rsid w:val="004D3A89"/>
    <w:rsid w:val="004D3E12"/>
    <w:rsid w:val="004D40B5"/>
    <w:rsid w:val="004D4123"/>
    <w:rsid w:val="004D438F"/>
    <w:rsid w:val="004D48C7"/>
    <w:rsid w:val="004D4B64"/>
    <w:rsid w:val="004D4E33"/>
    <w:rsid w:val="004D5049"/>
    <w:rsid w:val="004D50F3"/>
    <w:rsid w:val="004D549A"/>
    <w:rsid w:val="004D56D1"/>
    <w:rsid w:val="004D586D"/>
    <w:rsid w:val="004D58A1"/>
    <w:rsid w:val="004D5987"/>
    <w:rsid w:val="004D5EA4"/>
    <w:rsid w:val="004D6309"/>
    <w:rsid w:val="004D6368"/>
    <w:rsid w:val="004D6FCC"/>
    <w:rsid w:val="004D7069"/>
    <w:rsid w:val="004D77DC"/>
    <w:rsid w:val="004E00E6"/>
    <w:rsid w:val="004E00F3"/>
    <w:rsid w:val="004E0107"/>
    <w:rsid w:val="004E093A"/>
    <w:rsid w:val="004E09DA"/>
    <w:rsid w:val="004E0A2C"/>
    <w:rsid w:val="004E0DAB"/>
    <w:rsid w:val="004E100C"/>
    <w:rsid w:val="004E1199"/>
    <w:rsid w:val="004E14D5"/>
    <w:rsid w:val="004E1C27"/>
    <w:rsid w:val="004E261C"/>
    <w:rsid w:val="004E2B9B"/>
    <w:rsid w:val="004E3260"/>
    <w:rsid w:val="004E347E"/>
    <w:rsid w:val="004E3530"/>
    <w:rsid w:val="004E3762"/>
    <w:rsid w:val="004E3826"/>
    <w:rsid w:val="004E3BD5"/>
    <w:rsid w:val="004E3E3C"/>
    <w:rsid w:val="004E42AF"/>
    <w:rsid w:val="004E43C9"/>
    <w:rsid w:val="004E4E52"/>
    <w:rsid w:val="004E534D"/>
    <w:rsid w:val="004E5640"/>
    <w:rsid w:val="004E594B"/>
    <w:rsid w:val="004E5997"/>
    <w:rsid w:val="004E5B14"/>
    <w:rsid w:val="004E5B53"/>
    <w:rsid w:val="004E5C07"/>
    <w:rsid w:val="004E5C13"/>
    <w:rsid w:val="004E5D3A"/>
    <w:rsid w:val="004E5E43"/>
    <w:rsid w:val="004E5FB0"/>
    <w:rsid w:val="004E6201"/>
    <w:rsid w:val="004E6690"/>
    <w:rsid w:val="004E6CCE"/>
    <w:rsid w:val="004E6E7F"/>
    <w:rsid w:val="004E6F47"/>
    <w:rsid w:val="004E7000"/>
    <w:rsid w:val="004E70CD"/>
    <w:rsid w:val="004E71B8"/>
    <w:rsid w:val="004E736B"/>
    <w:rsid w:val="004E788B"/>
    <w:rsid w:val="004E78A8"/>
    <w:rsid w:val="004E7DAF"/>
    <w:rsid w:val="004E7E08"/>
    <w:rsid w:val="004F058A"/>
    <w:rsid w:val="004F083F"/>
    <w:rsid w:val="004F0A47"/>
    <w:rsid w:val="004F0A7D"/>
    <w:rsid w:val="004F0B1C"/>
    <w:rsid w:val="004F0B32"/>
    <w:rsid w:val="004F0EAE"/>
    <w:rsid w:val="004F0F88"/>
    <w:rsid w:val="004F1757"/>
    <w:rsid w:val="004F17BB"/>
    <w:rsid w:val="004F19BB"/>
    <w:rsid w:val="004F1ABF"/>
    <w:rsid w:val="004F1DBB"/>
    <w:rsid w:val="004F1E95"/>
    <w:rsid w:val="004F1EF3"/>
    <w:rsid w:val="004F22F1"/>
    <w:rsid w:val="004F27E3"/>
    <w:rsid w:val="004F294D"/>
    <w:rsid w:val="004F2A23"/>
    <w:rsid w:val="004F2BDE"/>
    <w:rsid w:val="004F2D58"/>
    <w:rsid w:val="004F315E"/>
    <w:rsid w:val="004F32DE"/>
    <w:rsid w:val="004F3329"/>
    <w:rsid w:val="004F348F"/>
    <w:rsid w:val="004F442E"/>
    <w:rsid w:val="004F446E"/>
    <w:rsid w:val="004F475B"/>
    <w:rsid w:val="004F4954"/>
    <w:rsid w:val="004F5681"/>
    <w:rsid w:val="004F5E31"/>
    <w:rsid w:val="004F6267"/>
    <w:rsid w:val="004F633A"/>
    <w:rsid w:val="004F64D5"/>
    <w:rsid w:val="004F65E7"/>
    <w:rsid w:val="004F67B5"/>
    <w:rsid w:val="004F6842"/>
    <w:rsid w:val="004F68CD"/>
    <w:rsid w:val="004F72B5"/>
    <w:rsid w:val="004F75CC"/>
    <w:rsid w:val="004F7630"/>
    <w:rsid w:val="004F7DEB"/>
    <w:rsid w:val="004F7F58"/>
    <w:rsid w:val="005001C6"/>
    <w:rsid w:val="005001E5"/>
    <w:rsid w:val="00500E59"/>
    <w:rsid w:val="0050135D"/>
    <w:rsid w:val="00501653"/>
    <w:rsid w:val="00501763"/>
    <w:rsid w:val="0050183D"/>
    <w:rsid w:val="00501889"/>
    <w:rsid w:val="00501A64"/>
    <w:rsid w:val="00501AEE"/>
    <w:rsid w:val="00501C61"/>
    <w:rsid w:val="00501CEB"/>
    <w:rsid w:val="0050288A"/>
    <w:rsid w:val="00502B5E"/>
    <w:rsid w:val="00502E61"/>
    <w:rsid w:val="00502F9B"/>
    <w:rsid w:val="00503157"/>
    <w:rsid w:val="0050346C"/>
    <w:rsid w:val="0050365A"/>
    <w:rsid w:val="00503B41"/>
    <w:rsid w:val="00503CE8"/>
    <w:rsid w:val="00503D5E"/>
    <w:rsid w:val="00503E0B"/>
    <w:rsid w:val="00504308"/>
    <w:rsid w:val="00504680"/>
    <w:rsid w:val="005048FA"/>
    <w:rsid w:val="005054A2"/>
    <w:rsid w:val="00505BED"/>
    <w:rsid w:val="00505E2E"/>
    <w:rsid w:val="00506397"/>
    <w:rsid w:val="00506555"/>
    <w:rsid w:val="00506A7C"/>
    <w:rsid w:val="00506AF3"/>
    <w:rsid w:val="00506B09"/>
    <w:rsid w:val="00506D88"/>
    <w:rsid w:val="00506E6C"/>
    <w:rsid w:val="005078FC"/>
    <w:rsid w:val="00507C39"/>
    <w:rsid w:val="00507CA0"/>
    <w:rsid w:val="00507E04"/>
    <w:rsid w:val="005100C8"/>
    <w:rsid w:val="00510372"/>
    <w:rsid w:val="00510960"/>
    <w:rsid w:val="00510B55"/>
    <w:rsid w:val="00510CAA"/>
    <w:rsid w:val="00510D8A"/>
    <w:rsid w:val="00510F1C"/>
    <w:rsid w:val="005111E3"/>
    <w:rsid w:val="005114DF"/>
    <w:rsid w:val="0051158F"/>
    <w:rsid w:val="005115A3"/>
    <w:rsid w:val="0051198A"/>
    <w:rsid w:val="00511A17"/>
    <w:rsid w:val="00511C5A"/>
    <w:rsid w:val="00511FA2"/>
    <w:rsid w:val="00511FA9"/>
    <w:rsid w:val="00511FB6"/>
    <w:rsid w:val="00512826"/>
    <w:rsid w:val="0051290E"/>
    <w:rsid w:val="00512A7E"/>
    <w:rsid w:val="00512D0C"/>
    <w:rsid w:val="005131B6"/>
    <w:rsid w:val="005131EA"/>
    <w:rsid w:val="005132C3"/>
    <w:rsid w:val="005133F0"/>
    <w:rsid w:val="0051347E"/>
    <w:rsid w:val="00513C55"/>
    <w:rsid w:val="00513FD5"/>
    <w:rsid w:val="00514190"/>
    <w:rsid w:val="005141F4"/>
    <w:rsid w:val="0051422E"/>
    <w:rsid w:val="00514297"/>
    <w:rsid w:val="0051460E"/>
    <w:rsid w:val="005148DB"/>
    <w:rsid w:val="0051499E"/>
    <w:rsid w:val="00514AFC"/>
    <w:rsid w:val="00514DF1"/>
    <w:rsid w:val="00514ED8"/>
    <w:rsid w:val="00514F1D"/>
    <w:rsid w:val="00514F51"/>
    <w:rsid w:val="00514F88"/>
    <w:rsid w:val="0051597F"/>
    <w:rsid w:val="00515EB6"/>
    <w:rsid w:val="00516270"/>
    <w:rsid w:val="005162E0"/>
    <w:rsid w:val="00516B28"/>
    <w:rsid w:val="00516D75"/>
    <w:rsid w:val="00516E12"/>
    <w:rsid w:val="00516EE7"/>
    <w:rsid w:val="0051758B"/>
    <w:rsid w:val="005175F5"/>
    <w:rsid w:val="00517EA8"/>
    <w:rsid w:val="00520446"/>
    <w:rsid w:val="00520B86"/>
    <w:rsid w:val="00520EF4"/>
    <w:rsid w:val="00520F77"/>
    <w:rsid w:val="00521074"/>
    <w:rsid w:val="0052113C"/>
    <w:rsid w:val="005212D2"/>
    <w:rsid w:val="00521745"/>
    <w:rsid w:val="005217E6"/>
    <w:rsid w:val="005220A0"/>
    <w:rsid w:val="005225BC"/>
    <w:rsid w:val="0052269B"/>
    <w:rsid w:val="00522878"/>
    <w:rsid w:val="00522929"/>
    <w:rsid w:val="005229C9"/>
    <w:rsid w:val="00522ACF"/>
    <w:rsid w:val="00522D20"/>
    <w:rsid w:val="00522D37"/>
    <w:rsid w:val="00522D70"/>
    <w:rsid w:val="0052364E"/>
    <w:rsid w:val="005237C1"/>
    <w:rsid w:val="00523EBC"/>
    <w:rsid w:val="005241F5"/>
    <w:rsid w:val="00524405"/>
    <w:rsid w:val="005244C6"/>
    <w:rsid w:val="00524656"/>
    <w:rsid w:val="005246E1"/>
    <w:rsid w:val="00524A7D"/>
    <w:rsid w:val="00524E0B"/>
    <w:rsid w:val="00524FC3"/>
    <w:rsid w:val="005250D7"/>
    <w:rsid w:val="005253D9"/>
    <w:rsid w:val="005256AC"/>
    <w:rsid w:val="005256E2"/>
    <w:rsid w:val="0052616F"/>
    <w:rsid w:val="0052623C"/>
    <w:rsid w:val="00526277"/>
    <w:rsid w:val="00526453"/>
    <w:rsid w:val="00526735"/>
    <w:rsid w:val="00526D66"/>
    <w:rsid w:val="00526D7C"/>
    <w:rsid w:val="00526FD7"/>
    <w:rsid w:val="00527161"/>
    <w:rsid w:val="005272D3"/>
    <w:rsid w:val="005279B1"/>
    <w:rsid w:val="00527CD9"/>
    <w:rsid w:val="00527D79"/>
    <w:rsid w:val="00527EF8"/>
    <w:rsid w:val="005301A5"/>
    <w:rsid w:val="00530368"/>
    <w:rsid w:val="00530442"/>
    <w:rsid w:val="00530651"/>
    <w:rsid w:val="00530B6F"/>
    <w:rsid w:val="00530EAC"/>
    <w:rsid w:val="00530F73"/>
    <w:rsid w:val="005313BE"/>
    <w:rsid w:val="005314C0"/>
    <w:rsid w:val="00531534"/>
    <w:rsid w:val="00531613"/>
    <w:rsid w:val="00531754"/>
    <w:rsid w:val="00531DA3"/>
    <w:rsid w:val="00532452"/>
    <w:rsid w:val="005324E7"/>
    <w:rsid w:val="00532633"/>
    <w:rsid w:val="00532893"/>
    <w:rsid w:val="005328FD"/>
    <w:rsid w:val="00532977"/>
    <w:rsid w:val="005329AF"/>
    <w:rsid w:val="005329D9"/>
    <w:rsid w:val="00532AA7"/>
    <w:rsid w:val="00532EDF"/>
    <w:rsid w:val="0053313E"/>
    <w:rsid w:val="005331FA"/>
    <w:rsid w:val="00533497"/>
    <w:rsid w:val="00533823"/>
    <w:rsid w:val="00533C09"/>
    <w:rsid w:val="00533DE6"/>
    <w:rsid w:val="00533EA1"/>
    <w:rsid w:val="0053407D"/>
    <w:rsid w:val="00534907"/>
    <w:rsid w:val="00534C8F"/>
    <w:rsid w:val="00534CDD"/>
    <w:rsid w:val="00534D64"/>
    <w:rsid w:val="00534DE5"/>
    <w:rsid w:val="00534F2D"/>
    <w:rsid w:val="0053519F"/>
    <w:rsid w:val="0053572E"/>
    <w:rsid w:val="005359A2"/>
    <w:rsid w:val="00535DF4"/>
    <w:rsid w:val="00536646"/>
    <w:rsid w:val="005366B7"/>
    <w:rsid w:val="00536AAD"/>
    <w:rsid w:val="00536C05"/>
    <w:rsid w:val="005371B5"/>
    <w:rsid w:val="00537681"/>
    <w:rsid w:val="005377FC"/>
    <w:rsid w:val="0053784B"/>
    <w:rsid w:val="00540085"/>
    <w:rsid w:val="00540707"/>
    <w:rsid w:val="00540B80"/>
    <w:rsid w:val="00540C17"/>
    <w:rsid w:val="00540D06"/>
    <w:rsid w:val="005410FD"/>
    <w:rsid w:val="00541A8C"/>
    <w:rsid w:val="00541C05"/>
    <w:rsid w:val="00542074"/>
    <w:rsid w:val="00542367"/>
    <w:rsid w:val="005427DF"/>
    <w:rsid w:val="00542831"/>
    <w:rsid w:val="00542887"/>
    <w:rsid w:val="0054292B"/>
    <w:rsid w:val="00542C23"/>
    <w:rsid w:val="00542C53"/>
    <w:rsid w:val="00542EEA"/>
    <w:rsid w:val="00543377"/>
    <w:rsid w:val="00543576"/>
    <w:rsid w:val="0054365A"/>
    <w:rsid w:val="00543DAE"/>
    <w:rsid w:val="00543FB5"/>
    <w:rsid w:val="00543FC3"/>
    <w:rsid w:val="0054409E"/>
    <w:rsid w:val="00544315"/>
    <w:rsid w:val="005447BF"/>
    <w:rsid w:val="005448AC"/>
    <w:rsid w:val="00544DD9"/>
    <w:rsid w:val="0054520E"/>
    <w:rsid w:val="0054525B"/>
    <w:rsid w:val="00545700"/>
    <w:rsid w:val="00545912"/>
    <w:rsid w:val="0054603D"/>
    <w:rsid w:val="005461F2"/>
    <w:rsid w:val="005462C3"/>
    <w:rsid w:val="005464E1"/>
    <w:rsid w:val="005465FC"/>
    <w:rsid w:val="005469C5"/>
    <w:rsid w:val="00546C08"/>
    <w:rsid w:val="00546DB4"/>
    <w:rsid w:val="00546E46"/>
    <w:rsid w:val="00546E6D"/>
    <w:rsid w:val="00546EE0"/>
    <w:rsid w:val="005472F2"/>
    <w:rsid w:val="00547368"/>
    <w:rsid w:val="00547490"/>
    <w:rsid w:val="00547674"/>
    <w:rsid w:val="00547819"/>
    <w:rsid w:val="00547B3B"/>
    <w:rsid w:val="00547C05"/>
    <w:rsid w:val="0055001D"/>
    <w:rsid w:val="005504E5"/>
    <w:rsid w:val="00550534"/>
    <w:rsid w:val="00550844"/>
    <w:rsid w:val="00550857"/>
    <w:rsid w:val="00550DE6"/>
    <w:rsid w:val="00550FE3"/>
    <w:rsid w:val="005513B3"/>
    <w:rsid w:val="00551414"/>
    <w:rsid w:val="00551766"/>
    <w:rsid w:val="00551BBA"/>
    <w:rsid w:val="00552016"/>
    <w:rsid w:val="005524B7"/>
    <w:rsid w:val="005527DF"/>
    <w:rsid w:val="00552870"/>
    <w:rsid w:val="00552933"/>
    <w:rsid w:val="00552C55"/>
    <w:rsid w:val="00552C9C"/>
    <w:rsid w:val="00552F29"/>
    <w:rsid w:val="0055315E"/>
    <w:rsid w:val="0055334C"/>
    <w:rsid w:val="005533F9"/>
    <w:rsid w:val="00553514"/>
    <w:rsid w:val="005537DE"/>
    <w:rsid w:val="005539A3"/>
    <w:rsid w:val="00553A70"/>
    <w:rsid w:val="00553C0C"/>
    <w:rsid w:val="00553D0B"/>
    <w:rsid w:val="0055424C"/>
    <w:rsid w:val="0055426C"/>
    <w:rsid w:val="005542C6"/>
    <w:rsid w:val="00554518"/>
    <w:rsid w:val="00554839"/>
    <w:rsid w:val="00554C90"/>
    <w:rsid w:val="00554E6C"/>
    <w:rsid w:val="0055530C"/>
    <w:rsid w:val="00555747"/>
    <w:rsid w:val="0055589A"/>
    <w:rsid w:val="00555CB4"/>
    <w:rsid w:val="005562A3"/>
    <w:rsid w:val="00556369"/>
    <w:rsid w:val="00556431"/>
    <w:rsid w:val="005565DA"/>
    <w:rsid w:val="00556D33"/>
    <w:rsid w:val="00556DAE"/>
    <w:rsid w:val="00556F6F"/>
    <w:rsid w:val="00557238"/>
    <w:rsid w:val="0055736F"/>
    <w:rsid w:val="0055783F"/>
    <w:rsid w:val="0055784C"/>
    <w:rsid w:val="0056052F"/>
    <w:rsid w:val="005606DB"/>
    <w:rsid w:val="00560897"/>
    <w:rsid w:val="0056099A"/>
    <w:rsid w:val="00560A54"/>
    <w:rsid w:val="00560C0E"/>
    <w:rsid w:val="00561039"/>
    <w:rsid w:val="00561117"/>
    <w:rsid w:val="00561339"/>
    <w:rsid w:val="00561403"/>
    <w:rsid w:val="00561AAB"/>
    <w:rsid w:val="00561CCB"/>
    <w:rsid w:val="00562374"/>
    <w:rsid w:val="0056241B"/>
    <w:rsid w:val="00562527"/>
    <w:rsid w:val="00562721"/>
    <w:rsid w:val="0056289A"/>
    <w:rsid w:val="00562A84"/>
    <w:rsid w:val="00562D37"/>
    <w:rsid w:val="00562F4F"/>
    <w:rsid w:val="00563151"/>
    <w:rsid w:val="00563503"/>
    <w:rsid w:val="00563AC4"/>
    <w:rsid w:val="00563C88"/>
    <w:rsid w:val="00564108"/>
    <w:rsid w:val="0056440F"/>
    <w:rsid w:val="005646EA"/>
    <w:rsid w:val="00564A53"/>
    <w:rsid w:val="00564E79"/>
    <w:rsid w:val="0056577F"/>
    <w:rsid w:val="00565B13"/>
    <w:rsid w:val="00565C80"/>
    <w:rsid w:val="00565DB6"/>
    <w:rsid w:val="0056600D"/>
    <w:rsid w:val="0056609B"/>
    <w:rsid w:val="005663E2"/>
    <w:rsid w:val="00566466"/>
    <w:rsid w:val="0056649B"/>
    <w:rsid w:val="0056663A"/>
    <w:rsid w:val="00566BB9"/>
    <w:rsid w:val="00566E0E"/>
    <w:rsid w:val="0056744F"/>
    <w:rsid w:val="0056768D"/>
    <w:rsid w:val="00567BF8"/>
    <w:rsid w:val="00567D95"/>
    <w:rsid w:val="005701D9"/>
    <w:rsid w:val="00570440"/>
    <w:rsid w:val="00570981"/>
    <w:rsid w:val="005709E4"/>
    <w:rsid w:val="00570C99"/>
    <w:rsid w:val="00570FA6"/>
    <w:rsid w:val="0057198B"/>
    <w:rsid w:val="00571ACA"/>
    <w:rsid w:val="00571BA2"/>
    <w:rsid w:val="00571C9F"/>
    <w:rsid w:val="00571ECF"/>
    <w:rsid w:val="00571F0F"/>
    <w:rsid w:val="0057274D"/>
    <w:rsid w:val="005728FB"/>
    <w:rsid w:val="00572950"/>
    <w:rsid w:val="00572DCE"/>
    <w:rsid w:val="00572FC9"/>
    <w:rsid w:val="00573054"/>
    <w:rsid w:val="005730E7"/>
    <w:rsid w:val="005733D0"/>
    <w:rsid w:val="0057358B"/>
    <w:rsid w:val="005735BB"/>
    <w:rsid w:val="005736C0"/>
    <w:rsid w:val="00573D16"/>
    <w:rsid w:val="00573E36"/>
    <w:rsid w:val="00573E5D"/>
    <w:rsid w:val="00573F26"/>
    <w:rsid w:val="00573FC5"/>
    <w:rsid w:val="00574285"/>
    <w:rsid w:val="005742C7"/>
    <w:rsid w:val="00574668"/>
    <w:rsid w:val="005746DB"/>
    <w:rsid w:val="005749D9"/>
    <w:rsid w:val="00574EF7"/>
    <w:rsid w:val="005751CA"/>
    <w:rsid w:val="005755B3"/>
    <w:rsid w:val="00575749"/>
    <w:rsid w:val="00575961"/>
    <w:rsid w:val="00575A1E"/>
    <w:rsid w:val="00575BE1"/>
    <w:rsid w:val="00575ED5"/>
    <w:rsid w:val="005762D6"/>
    <w:rsid w:val="005766BD"/>
    <w:rsid w:val="00576830"/>
    <w:rsid w:val="00576B9B"/>
    <w:rsid w:val="00576DF6"/>
    <w:rsid w:val="00576F4B"/>
    <w:rsid w:val="00576F7D"/>
    <w:rsid w:val="005770F2"/>
    <w:rsid w:val="00577117"/>
    <w:rsid w:val="0057721C"/>
    <w:rsid w:val="005773D7"/>
    <w:rsid w:val="00577620"/>
    <w:rsid w:val="005776FA"/>
    <w:rsid w:val="00577A40"/>
    <w:rsid w:val="00577B16"/>
    <w:rsid w:val="00577E30"/>
    <w:rsid w:val="00577F8B"/>
    <w:rsid w:val="00577FB9"/>
    <w:rsid w:val="00577FC3"/>
    <w:rsid w:val="00577FC7"/>
    <w:rsid w:val="0058023E"/>
    <w:rsid w:val="00580422"/>
    <w:rsid w:val="005805C3"/>
    <w:rsid w:val="00580A5D"/>
    <w:rsid w:val="00580B6B"/>
    <w:rsid w:val="00580CB2"/>
    <w:rsid w:val="0058116F"/>
    <w:rsid w:val="0058133D"/>
    <w:rsid w:val="00581468"/>
    <w:rsid w:val="00581719"/>
    <w:rsid w:val="0058175A"/>
    <w:rsid w:val="005817DE"/>
    <w:rsid w:val="005817EF"/>
    <w:rsid w:val="00581841"/>
    <w:rsid w:val="00581930"/>
    <w:rsid w:val="00581B8B"/>
    <w:rsid w:val="00581BDD"/>
    <w:rsid w:val="00581BE0"/>
    <w:rsid w:val="00581C07"/>
    <w:rsid w:val="00581C39"/>
    <w:rsid w:val="00581DD4"/>
    <w:rsid w:val="00581F38"/>
    <w:rsid w:val="00582376"/>
    <w:rsid w:val="005828C6"/>
    <w:rsid w:val="005828F1"/>
    <w:rsid w:val="00582977"/>
    <w:rsid w:val="00582ABF"/>
    <w:rsid w:val="00582DE6"/>
    <w:rsid w:val="00582E39"/>
    <w:rsid w:val="0058309C"/>
    <w:rsid w:val="00583294"/>
    <w:rsid w:val="005832FA"/>
    <w:rsid w:val="00583329"/>
    <w:rsid w:val="00583BC5"/>
    <w:rsid w:val="00583D37"/>
    <w:rsid w:val="00583F9C"/>
    <w:rsid w:val="005841F1"/>
    <w:rsid w:val="005843AE"/>
    <w:rsid w:val="00584578"/>
    <w:rsid w:val="00584CC5"/>
    <w:rsid w:val="0058507E"/>
    <w:rsid w:val="0058523A"/>
    <w:rsid w:val="0058539C"/>
    <w:rsid w:val="005853E6"/>
    <w:rsid w:val="0058570C"/>
    <w:rsid w:val="0058571E"/>
    <w:rsid w:val="00585B04"/>
    <w:rsid w:val="00585B3C"/>
    <w:rsid w:val="00585CE4"/>
    <w:rsid w:val="00585DF3"/>
    <w:rsid w:val="00585E18"/>
    <w:rsid w:val="005861AE"/>
    <w:rsid w:val="005869C6"/>
    <w:rsid w:val="00586D91"/>
    <w:rsid w:val="00586F74"/>
    <w:rsid w:val="00586FBE"/>
    <w:rsid w:val="00587431"/>
    <w:rsid w:val="00587558"/>
    <w:rsid w:val="00587929"/>
    <w:rsid w:val="005879F3"/>
    <w:rsid w:val="00587A5D"/>
    <w:rsid w:val="00587E2F"/>
    <w:rsid w:val="005902E5"/>
    <w:rsid w:val="00590668"/>
    <w:rsid w:val="00590BB6"/>
    <w:rsid w:val="00590D75"/>
    <w:rsid w:val="005910F4"/>
    <w:rsid w:val="005911C7"/>
    <w:rsid w:val="005912C7"/>
    <w:rsid w:val="0059149A"/>
    <w:rsid w:val="005914A6"/>
    <w:rsid w:val="0059151E"/>
    <w:rsid w:val="005916A3"/>
    <w:rsid w:val="00591737"/>
    <w:rsid w:val="00592572"/>
    <w:rsid w:val="00592927"/>
    <w:rsid w:val="00592B9F"/>
    <w:rsid w:val="00592E07"/>
    <w:rsid w:val="00592E17"/>
    <w:rsid w:val="00592F44"/>
    <w:rsid w:val="00593391"/>
    <w:rsid w:val="00593561"/>
    <w:rsid w:val="00593648"/>
    <w:rsid w:val="0059372D"/>
    <w:rsid w:val="005937D5"/>
    <w:rsid w:val="005937EA"/>
    <w:rsid w:val="005938F9"/>
    <w:rsid w:val="00593CC0"/>
    <w:rsid w:val="00594642"/>
    <w:rsid w:val="00594C0D"/>
    <w:rsid w:val="00595055"/>
    <w:rsid w:val="0059541E"/>
    <w:rsid w:val="0059549F"/>
    <w:rsid w:val="0059564E"/>
    <w:rsid w:val="005956BD"/>
    <w:rsid w:val="00595780"/>
    <w:rsid w:val="005957B4"/>
    <w:rsid w:val="00595E23"/>
    <w:rsid w:val="0059615D"/>
    <w:rsid w:val="00596384"/>
    <w:rsid w:val="005968A3"/>
    <w:rsid w:val="00596916"/>
    <w:rsid w:val="00596B3C"/>
    <w:rsid w:val="00596B6B"/>
    <w:rsid w:val="00596C9F"/>
    <w:rsid w:val="005973DF"/>
    <w:rsid w:val="0059764A"/>
    <w:rsid w:val="00597B0E"/>
    <w:rsid w:val="00597B7D"/>
    <w:rsid w:val="00597ED4"/>
    <w:rsid w:val="00597FB8"/>
    <w:rsid w:val="005A00DE"/>
    <w:rsid w:val="005A0376"/>
    <w:rsid w:val="005A07B8"/>
    <w:rsid w:val="005A12F7"/>
    <w:rsid w:val="005A15CE"/>
    <w:rsid w:val="005A1C8F"/>
    <w:rsid w:val="005A1ECB"/>
    <w:rsid w:val="005A2324"/>
    <w:rsid w:val="005A2539"/>
    <w:rsid w:val="005A2641"/>
    <w:rsid w:val="005A2679"/>
    <w:rsid w:val="005A2A3B"/>
    <w:rsid w:val="005A3112"/>
    <w:rsid w:val="005A3879"/>
    <w:rsid w:val="005A3BE9"/>
    <w:rsid w:val="005A3D3B"/>
    <w:rsid w:val="005A443B"/>
    <w:rsid w:val="005A4497"/>
    <w:rsid w:val="005A4715"/>
    <w:rsid w:val="005A49A3"/>
    <w:rsid w:val="005A4A2E"/>
    <w:rsid w:val="005A4A9F"/>
    <w:rsid w:val="005A4AB4"/>
    <w:rsid w:val="005A4B73"/>
    <w:rsid w:val="005A4B7C"/>
    <w:rsid w:val="005A4C0C"/>
    <w:rsid w:val="005A4C15"/>
    <w:rsid w:val="005A4CC3"/>
    <w:rsid w:val="005A50ED"/>
    <w:rsid w:val="005A53EB"/>
    <w:rsid w:val="005A564C"/>
    <w:rsid w:val="005A5842"/>
    <w:rsid w:val="005A58D0"/>
    <w:rsid w:val="005A5A10"/>
    <w:rsid w:val="005A5C28"/>
    <w:rsid w:val="005A5E16"/>
    <w:rsid w:val="005A5ED4"/>
    <w:rsid w:val="005A6043"/>
    <w:rsid w:val="005A610B"/>
    <w:rsid w:val="005A6875"/>
    <w:rsid w:val="005A70E9"/>
    <w:rsid w:val="005A7DBF"/>
    <w:rsid w:val="005A7F90"/>
    <w:rsid w:val="005B02FD"/>
    <w:rsid w:val="005B03CB"/>
    <w:rsid w:val="005B04B4"/>
    <w:rsid w:val="005B0B4D"/>
    <w:rsid w:val="005B0B6D"/>
    <w:rsid w:val="005B0C03"/>
    <w:rsid w:val="005B0DF6"/>
    <w:rsid w:val="005B0E76"/>
    <w:rsid w:val="005B0EED"/>
    <w:rsid w:val="005B1143"/>
    <w:rsid w:val="005B1863"/>
    <w:rsid w:val="005B1A1C"/>
    <w:rsid w:val="005B1A62"/>
    <w:rsid w:val="005B1D34"/>
    <w:rsid w:val="005B1F2C"/>
    <w:rsid w:val="005B259A"/>
    <w:rsid w:val="005B25D7"/>
    <w:rsid w:val="005B275C"/>
    <w:rsid w:val="005B29BA"/>
    <w:rsid w:val="005B2E8C"/>
    <w:rsid w:val="005B33FA"/>
    <w:rsid w:val="005B38A9"/>
    <w:rsid w:val="005B3C60"/>
    <w:rsid w:val="005B3F1A"/>
    <w:rsid w:val="005B438D"/>
    <w:rsid w:val="005B4581"/>
    <w:rsid w:val="005B4632"/>
    <w:rsid w:val="005B46CB"/>
    <w:rsid w:val="005B4774"/>
    <w:rsid w:val="005B4A8E"/>
    <w:rsid w:val="005B4DD5"/>
    <w:rsid w:val="005B4E06"/>
    <w:rsid w:val="005B4FFE"/>
    <w:rsid w:val="005B5036"/>
    <w:rsid w:val="005B570F"/>
    <w:rsid w:val="005B5893"/>
    <w:rsid w:val="005B5FBF"/>
    <w:rsid w:val="005B612E"/>
    <w:rsid w:val="005B6156"/>
    <w:rsid w:val="005B6967"/>
    <w:rsid w:val="005B6DEC"/>
    <w:rsid w:val="005B777B"/>
    <w:rsid w:val="005B7C34"/>
    <w:rsid w:val="005B7C44"/>
    <w:rsid w:val="005B7D8E"/>
    <w:rsid w:val="005B7DE0"/>
    <w:rsid w:val="005C018E"/>
    <w:rsid w:val="005C01E5"/>
    <w:rsid w:val="005C0322"/>
    <w:rsid w:val="005C05E2"/>
    <w:rsid w:val="005C0B03"/>
    <w:rsid w:val="005C0BD7"/>
    <w:rsid w:val="005C0BF2"/>
    <w:rsid w:val="005C0F16"/>
    <w:rsid w:val="005C123F"/>
    <w:rsid w:val="005C1A9C"/>
    <w:rsid w:val="005C1D61"/>
    <w:rsid w:val="005C1D6E"/>
    <w:rsid w:val="005C1E0F"/>
    <w:rsid w:val="005C1FDE"/>
    <w:rsid w:val="005C227F"/>
    <w:rsid w:val="005C290F"/>
    <w:rsid w:val="005C2A02"/>
    <w:rsid w:val="005C2ADD"/>
    <w:rsid w:val="005C2B95"/>
    <w:rsid w:val="005C2C86"/>
    <w:rsid w:val="005C2D46"/>
    <w:rsid w:val="005C3046"/>
    <w:rsid w:val="005C30A0"/>
    <w:rsid w:val="005C30E9"/>
    <w:rsid w:val="005C330D"/>
    <w:rsid w:val="005C33AE"/>
    <w:rsid w:val="005C344F"/>
    <w:rsid w:val="005C3727"/>
    <w:rsid w:val="005C3C94"/>
    <w:rsid w:val="005C3E21"/>
    <w:rsid w:val="005C46DD"/>
    <w:rsid w:val="005C47C7"/>
    <w:rsid w:val="005C4E91"/>
    <w:rsid w:val="005C4ECF"/>
    <w:rsid w:val="005C52E6"/>
    <w:rsid w:val="005C5A97"/>
    <w:rsid w:val="005C5B07"/>
    <w:rsid w:val="005C5BE4"/>
    <w:rsid w:val="005C642B"/>
    <w:rsid w:val="005C6489"/>
    <w:rsid w:val="005C672A"/>
    <w:rsid w:val="005C6B79"/>
    <w:rsid w:val="005C6E22"/>
    <w:rsid w:val="005C6F23"/>
    <w:rsid w:val="005C6F4B"/>
    <w:rsid w:val="005C756A"/>
    <w:rsid w:val="005C757B"/>
    <w:rsid w:val="005C75D8"/>
    <w:rsid w:val="005C793E"/>
    <w:rsid w:val="005C7997"/>
    <w:rsid w:val="005D0436"/>
    <w:rsid w:val="005D0771"/>
    <w:rsid w:val="005D07F9"/>
    <w:rsid w:val="005D0AB6"/>
    <w:rsid w:val="005D0B73"/>
    <w:rsid w:val="005D11F4"/>
    <w:rsid w:val="005D1228"/>
    <w:rsid w:val="005D1C0E"/>
    <w:rsid w:val="005D1D34"/>
    <w:rsid w:val="005D1DC6"/>
    <w:rsid w:val="005D1FEB"/>
    <w:rsid w:val="005D2087"/>
    <w:rsid w:val="005D214D"/>
    <w:rsid w:val="005D234B"/>
    <w:rsid w:val="005D268D"/>
    <w:rsid w:val="005D27F5"/>
    <w:rsid w:val="005D2F71"/>
    <w:rsid w:val="005D3419"/>
    <w:rsid w:val="005D3819"/>
    <w:rsid w:val="005D3A80"/>
    <w:rsid w:val="005D3AA2"/>
    <w:rsid w:val="005D3FF3"/>
    <w:rsid w:val="005D3FF9"/>
    <w:rsid w:val="005D4204"/>
    <w:rsid w:val="005D4562"/>
    <w:rsid w:val="005D4A5B"/>
    <w:rsid w:val="005D4D49"/>
    <w:rsid w:val="005D51E1"/>
    <w:rsid w:val="005D55CD"/>
    <w:rsid w:val="005D55F7"/>
    <w:rsid w:val="005D5756"/>
    <w:rsid w:val="005D5AEC"/>
    <w:rsid w:val="005D5B04"/>
    <w:rsid w:val="005D5D23"/>
    <w:rsid w:val="005D60FA"/>
    <w:rsid w:val="005D62B8"/>
    <w:rsid w:val="005D6427"/>
    <w:rsid w:val="005D6465"/>
    <w:rsid w:val="005D698F"/>
    <w:rsid w:val="005D6A2E"/>
    <w:rsid w:val="005D6D21"/>
    <w:rsid w:val="005D6E63"/>
    <w:rsid w:val="005D7050"/>
    <w:rsid w:val="005D71E5"/>
    <w:rsid w:val="005D732A"/>
    <w:rsid w:val="005D7461"/>
    <w:rsid w:val="005D76EC"/>
    <w:rsid w:val="005D7740"/>
    <w:rsid w:val="005D7872"/>
    <w:rsid w:val="005D7970"/>
    <w:rsid w:val="005D7B9F"/>
    <w:rsid w:val="005D7D83"/>
    <w:rsid w:val="005D7F8D"/>
    <w:rsid w:val="005E023F"/>
    <w:rsid w:val="005E02FF"/>
    <w:rsid w:val="005E0306"/>
    <w:rsid w:val="005E0A79"/>
    <w:rsid w:val="005E0E78"/>
    <w:rsid w:val="005E0EC8"/>
    <w:rsid w:val="005E105C"/>
    <w:rsid w:val="005E10BA"/>
    <w:rsid w:val="005E141C"/>
    <w:rsid w:val="005E14B8"/>
    <w:rsid w:val="005E1804"/>
    <w:rsid w:val="005E19A0"/>
    <w:rsid w:val="005E1A23"/>
    <w:rsid w:val="005E1BC2"/>
    <w:rsid w:val="005E27B2"/>
    <w:rsid w:val="005E27F7"/>
    <w:rsid w:val="005E2AB6"/>
    <w:rsid w:val="005E30B3"/>
    <w:rsid w:val="005E3232"/>
    <w:rsid w:val="005E3335"/>
    <w:rsid w:val="005E334C"/>
    <w:rsid w:val="005E34B1"/>
    <w:rsid w:val="005E37DC"/>
    <w:rsid w:val="005E37F6"/>
    <w:rsid w:val="005E39F3"/>
    <w:rsid w:val="005E3C6F"/>
    <w:rsid w:val="005E3CB8"/>
    <w:rsid w:val="005E3F1F"/>
    <w:rsid w:val="005E490B"/>
    <w:rsid w:val="005E4970"/>
    <w:rsid w:val="005E4A9C"/>
    <w:rsid w:val="005E5230"/>
    <w:rsid w:val="005E557D"/>
    <w:rsid w:val="005E566F"/>
    <w:rsid w:val="005E5746"/>
    <w:rsid w:val="005E62BE"/>
    <w:rsid w:val="005E6486"/>
    <w:rsid w:val="005E655D"/>
    <w:rsid w:val="005E6AA2"/>
    <w:rsid w:val="005E6E2C"/>
    <w:rsid w:val="005E7627"/>
    <w:rsid w:val="005E7C51"/>
    <w:rsid w:val="005E7E15"/>
    <w:rsid w:val="005E7EF1"/>
    <w:rsid w:val="005E7FBC"/>
    <w:rsid w:val="005F0048"/>
    <w:rsid w:val="005F02D6"/>
    <w:rsid w:val="005F04BA"/>
    <w:rsid w:val="005F0C6E"/>
    <w:rsid w:val="005F0D5A"/>
    <w:rsid w:val="005F0F4C"/>
    <w:rsid w:val="005F1304"/>
    <w:rsid w:val="005F1826"/>
    <w:rsid w:val="005F19D1"/>
    <w:rsid w:val="005F1A49"/>
    <w:rsid w:val="005F1B21"/>
    <w:rsid w:val="005F1B4D"/>
    <w:rsid w:val="005F1C5D"/>
    <w:rsid w:val="005F28D7"/>
    <w:rsid w:val="005F2919"/>
    <w:rsid w:val="005F2A7E"/>
    <w:rsid w:val="005F2AFF"/>
    <w:rsid w:val="005F2B7D"/>
    <w:rsid w:val="005F2CDA"/>
    <w:rsid w:val="005F3113"/>
    <w:rsid w:val="005F31B7"/>
    <w:rsid w:val="005F38C7"/>
    <w:rsid w:val="005F3E2A"/>
    <w:rsid w:val="005F3F95"/>
    <w:rsid w:val="005F4430"/>
    <w:rsid w:val="005F4C43"/>
    <w:rsid w:val="005F4CEA"/>
    <w:rsid w:val="005F4E3B"/>
    <w:rsid w:val="005F4EDB"/>
    <w:rsid w:val="005F500E"/>
    <w:rsid w:val="005F505D"/>
    <w:rsid w:val="005F5075"/>
    <w:rsid w:val="005F534C"/>
    <w:rsid w:val="005F580A"/>
    <w:rsid w:val="005F589A"/>
    <w:rsid w:val="005F5933"/>
    <w:rsid w:val="005F5B22"/>
    <w:rsid w:val="005F62FE"/>
    <w:rsid w:val="005F63BF"/>
    <w:rsid w:val="005F67AC"/>
    <w:rsid w:val="005F6997"/>
    <w:rsid w:val="005F6CF5"/>
    <w:rsid w:val="005F6D69"/>
    <w:rsid w:val="005F6E27"/>
    <w:rsid w:val="005F6E99"/>
    <w:rsid w:val="005F6F7A"/>
    <w:rsid w:val="005F726C"/>
    <w:rsid w:val="005F7305"/>
    <w:rsid w:val="005F7A1A"/>
    <w:rsid w:val="005F7B4B"/>
    <w:rsid w:val="005F7C1A"/>
    <w:rsid w:val="005F7C77"/>
    <w:rsid w:val="0060047D"/>
    <w:rsid w:val="006007A3"/>
    <w:rsid w:val="006007D5"/>
    <w:rsid w:val="00600919"/>
    <w:rsid w:val="00600D0D"/>
    <w:rsid w:val="0060116B"/>
    <w:rsid w:val="00601715"/>
    <w:rsid w:val="00601834"/>
    <w:rsid w:val="00601855"/>
    <w:rsid w:val="00601893"/>
    <w:rsid w:val="00601B1D"/>
    <w:rsid w:val="00601E93"/>
    <w:rsid w:val="0060241C"/>
    <w:rsid w:val="006030C4"/>
    <w:rsid w:val="00603749"/>
    <w:rsid w:val="00603893"/>
    <w:rsid w:val="00604B28"/>
    <w:rsid w:val="00605043"/>
    <w:rsid w:val="00605083"/>
    <w:rsid w:val="00605561"/>
    <w:rsid w:val="006056B2"/>
    <w:rsid w:val="006058F5"/>
    <w:rsid w:val="00605A09"/>
    <w:rsid w:val="00605B6D"/>
    <w:rsid w:val="00606643"/>
    <w:rsid w:val="0060686C"/>
    <w:rsid w:val="00606BB0"/>
    <w:rsid w:val="00606BB6"/>
    <w:rsid w:val="00606BC4"/>
    <w:rsid w:val="00606D3E"/>
    <w:rsid w:val="00606D93"/>
    <w:rsid w:val="00606E01"/>
    <w:rsid w:val="006077DE"/>
    <w:rsid w:val="00607A89"/>
    <w:rsid w:val="00607ABD"/>
    <w:rsid w:val="0061023D"/>
    <w:rsid w:val="0061098E"/>
    <w:rsid w:val="00610C65"/>
    <w:rsid w:val="00610CCC"/>
    <w:rsid w:val="006111B4"/>
    <w:rsid w:val="00611283"/>
    <w:rsid w:val="006113A1"/>
    <w:rsid w:val="00611B78"/>
    <w:rsid w:val="00611C6C"/>
    <w:rsid w:val="00611E88"/>
    <w:rsid w:val="00611EB9"/>
    <w:rsid w:val="00612741"/>
    <w:rsid w:val="00612989"/>
    <w:rsid w:val="00612AA5"/>
    <w:rsid w:val="00613888"/>
    <w:rsid w:val="00613A26"/>
    <w:rsid w:val="00613A8E"/>
    <w:rsid w:val="00613B25"/>
    <w:rsid w:val="00613EC4"/>
    <w:rsid w:val="00613EFE"/>
    <w:rsid w:val="00613FB7"/>
    <w:rsid w:val="00613FCA"/>
    <w:rsid w:val="00614266"/>
    <w:rsid w:val="006142F0"/>
    <w:rsid w:val="00614844"/>
    <w:rsid w:val="00614A5A"/>
    <w:rsid w:val="00614B9B"/>
    <w:rsid w:val="00614D59"/>
    <w:rsid w:val="00615094"/>
    <w:rsid w:val="006152C6"/>
    <w:rsid w:val="0061535F"/>
    <w:rsid w:val="00616160"/>
    <w:rsid w:val="00616529"/>
    <w:rsid w:val="006165B6"/>
    <w:rsid w:val="006165F3"/>
    <w:rsid w:val="006168FC"/>
    <w:rsid w:val="0061699A"/>
    <w:rsid w:val="00620518"/>
    <w:rsid w:val="006205F4"/>
    <w:rsid w:val="0062067E"/>
    <w:rsid w:val="00620AA5"/>
    <w:rsid w:val="00620B11"/>
    <w:rsid w:val="00620B66"/>
    <w:rsid w:val="00620D78"/>
    <w:rsid w:val="00621460"/>
    <w:rsid w:val="006215A1"/>
    <w:rsid w:val="00621AC8"/>
    <w:rsid w:val="006226C5"/>
    <w:rsid w:val="00622749"/>
    <w:rsid w:val="006227CB"/>
    <w:rsid w:val="00622AE3"/>
    <w:rsid w:val="00622BFD"/>
    <w:rsid w:val="00622F8D"/>
    <w:rsid w:val="0062320C"/>
    <w:rsid w:val="00623363"/>
    <w:rsid w:val="006236D8"/>
    <w:rsid w:val="006236EB"/>
    <w:rsid w:val="00623730"/>
    <w:rsid w:val="00623BDF"/>
    <w:rsid w:val="00623CFF"/>
    <w:rsid w:val="0062401D"/>
    <w:rsid w:val="006240B9"/>
    <w:rsid w:val="00624449"/>
    <w:rsid w:val="00624481"/>
    <w:rsid w:val="00624687"/>
    <w:rsid w:val="00624718"/>
    <w:rsid w:val="0062510A"/>
    <w:rsid w:val="006252F8"/>
    <w:rsid w:val="0062545F"/>
    <w:rsid w:val="00625ACA"/>
    <w:rsid w:val="00625B09"/>
    <w:rsid w:val="00625B5C"/>
    <w:rsid w:val="00625B8C"/>
    <w:rsid w:val="00625BD4"/>
    <w:rsid w:val="00625D32"/>
    <w:rsid w:val="006260CA"/>
    <w:rsid w:val="00626512"/>
    <w:rsid w:val="0062652B"/>
    <w:rsid w:val="006265B3"/>
    <w:rsid w:val="00626A1C"/>
    <w:rsid w:val="00626D04"/>
    <w:rsid w:val="00626DB1"/>
    <w:rsid w:val="00626E55"/>
    <w:rsid w:val="00626EAB"/>
    <w:rsid w:val="00626F6A"/>
    <w:rsid w:val="00627409"/>
    <w:rsid w:val="006274B9"/>
    <w:rsid w:val="006275FA"/>
    <w:rsid w:val="0062764E"/>
    <w:rsid w:val="00627793"/>
    <w:rsid w:val="00627962"/>
    <w:rsid w:val="00627A8F"/>
    <w:rsid w:val="00627C14"/>
    <w:rsid w:val="00627F2C"/>
    <w:rsid w:val="006307BF"/>
    <w:rsid w:val="00630C69"/>
    <w:rsid w:val="00631081"/>
    <w:rsid w:val="006311FE"/>
    <w:rsid w:val="00631471"/>
    <w:rsid w:val="00631761"/>
    <w:rsid w:val="00631C04"/>
    <w:rsid w:val="00631C18"/>
    <w:rsid w:val="00631FDA"/>
    <w:rsid w:val="00632B64"/>
    <w:rsid w:val="00632BE1"/>
    <w:rsid w:val="00632EBA"/>
    <w:rsid w:val="00632FE7"/>
    <w:rsid w:val="006332B8"/>
    <w:rsid w:val="006332BE"/>
    <w:rsid w:val="00633606"/>
    <w:rsid w:val="00633670"/>
    <w:rsid w:val="00633A03"/>
    <w:rsid w:val="006340CA"/>
    <w:rsid w:val="006340DD"/>
    <w:rsid w:val="006341DC"/>
    <w:rsid w:val="006346C8"/>
    <w:rsid w:val="006346FC"/>
    <w:rsid w:val="00634746"/>
    <w:rsid w:val="00634BDC"/>
    <w:rsid w:val="00634FDE"/>
    <w:rsid w:val="0063574A"/>
    <w:rsid w:val="00635C25"/>
    <w:rsid w:val="00636657"/>
    <w:rsid w:val="006368F5"/>
    <w:rsid w:val="00636958"/>
    <w:rsid w:val="00636EFC"/>
    <w:rsid w:val="006373D5"/>
    <w:rsid w:val="00637508"/>
    <w:rsid w:val="006377C6"/>
    <w:rsid w:val="00637A13"/>
    <w:rsid w:val="00637A4D"/>
    <w:rsid w:val="00637B2A"/>
    <w:rsid w:val="00640011"/>
    <w:rsid w:val="0064002D"/>
    <w:rsid w:val="0064029B"/>
    <w:rsid w:val="00640492"/>
    <w:rsid w:val="006404D9"/>
    <w:rsid w:val="00640668"/>
    <w:rsid w:val="00640B6B"/>
    <w:rsid w:val="00641039"/>
    <w:rsid w:val="006410B1"/>
    <w:rsid w:val="006411FB"/>
    <w:rsid w:val="0064156C"/>
    <w:rsid w:val="006416AA"/>
    <w:rsid w:val="006417C0"/>
    <w:rsid w:val="006425CE"/>
    <w:rsid w:val="006426E0"/>
    <w:rsid w:val="00642ADB"/>
    <w:rsid w:val="00642B18"/>
    <w:rsid w:val="00642B50"/>
    <w:rsid w:val="00642CAC"/>
    <w:rsid w:val="006430AB"/>
    <w:rsid w:val="0064318A"/>
    <w:rsid w:val="00643519"/>
    <w:rsid w:val="006435AE"/>
    <w:rsid w:val="00643C0F"/>
    <w:rsid w:val="00643CC0"/>
    <w:rsid w:val="00643F94"/>
    <w:rsid w:val="00644069"/>
    <w:rsid w:val="0064433C"/>
    <w:rsid w:val="00644AD8"/>
    <w:rsid w:val="006450F6"/>
    <w:rsid w:val="00645183"/>
    <w:rsid w:val="006454D6"/>
    <w:rsid w:val="00645C64"/>
    <w:rsid w:val="00645CD2"/>
    <w:rsid w:val="00645D0F"/>
    <w:rsid w:val="00645F41"/>
    <w:rsid w:val="0064610D"/>
    <w:rsid w:val="00646281"/>
    <w:rsid w:val="00646668"/>
    <w:rsid w:val="00646C97"/>
    <w:rsid w:val="00646E48"/>
    <w:rsid w:val="00646EEE"/>
    <w:rsid w:val="0064738F"/>
    <w:rsid w:val="006473DF"/>
    <w:rsid w:val="006473EE"/>
    <w:rsid w:val="006473FD"/>
    <w:rsid w:val="006479E3"/>
    <w:rsid w:val="00647DC8"/>
    <w:rsid w:val="00650048"/>
    <w:rsid w:val="0065069A"/>
    <w:rsid w:val="00650EF7"/>
    <w:rsid w:val="00651149"/>
    <w:rsid w:val="006512C7"/>
    <w:rsid w:val="006513C0"/>
    <w:rsid w:val="00651427"/>
    <w:rsid w:val="00651AAF"/>
    <w:rsid w:val="00651C9F"/>
    <w:rsid w:val="00651E7D"/>
    <w:rsid w:val="006520C3"/>
    <w:rsid w:val="00652335"/>
    <w:rsid w:val="006526C9"/>
    <w:rsid w:val="00652A10"/>
    <w:rsid w:val="00653102"/>
    <w:rsid w:val="00653110"/>
    <w:rsid w:val="0065341A"/>
    <w:rsid w:val="00653431"/>
    <w:rsid w:val="0065398A"/>
    <w:rsid w:val="00653B35"/>
    <w:rsid w:val="00653DDE"/>
    <w:rsid w:val="006540BF"/>
    <w:rsid w:val="006540E4"/>
    <w:rsid w:val="006544C0"/>
    <w:rsid w:val="00654796"/>
    <w:rsid w:val="006548C9"/>
    <w:rsid w:val="00654B75"/>
    <w:rsid w:val="00654F31"/>
    <w:rsid w:val="006550D7"/>
    <w:rsid w:val="006553A3"/>
    <w:rsid w:val="00655D55"/>
    <w:rsid w:val="00655D5F"/>
    <w:rsid w:val="00655EE4"/>
    <w:rsid w:val="006561F5"/>
    <w:rsid w:val="0065651F"/>
    <w:rsid w:val="00656699"/>
    <w:rsid w:val="00656A6D"/>
    <w:rsid w:val="00656A79"/>
    <w:rsid w:val="006570FB"/>
    <w:rsid w:val="006572AA"/>
    <w:rsid w:val="00657337"/>
    <w:rsid w:val="0065785E"/>
    <w:rsid w:val="00657A21"/>
    <w:rsid w:val="00657D3E"/>
    <w:rsid w:val="0066002A"/>
    <w:rsid w:val="0066021B"/>
    <w:rsid w:val="006605E3"/>
    <w:rsid w:val="00660617"/>
    <w:rsid w:val="00660A84"/>
    <w:rsid w:val="00660DB2"/>
    <w:rsid w:val="00660FA5"/>
    <w:rsid w:val="0066106E"/>
    <w:rsid w:val="0066195F"/>
    <w:rsid w:val="00661B4D"/>
    <w:rsid w:val="00661D6A"/>
    <w:rsid w:val="00662039"/>
    <w:rsid w:val="00662275"/>
    <w:rsid w:val="00662313"/>
    <w:rsid w:val="006623C5"/>
    <w:rsid w:val="00662686"/>
    <w:rsid w:val="0066279B"/>
    <w:rsid w:val="006629AB"/>
    <w:rsid w:val="006629EC"/>
    <w:rsid w:val="00662A57"/>
    <w:rsid w:val="00662E08"/>
    <w:rsid w:val="0066303E"/>
    <w:rsid w:val="00663555"/>
    <w:rsid w:val="0066385E"/>
    <w:rsid w:val="00663874"/>
    <w:rsid w:val="006638F8"/>
    <w:rsid w:val="00663AF9"/>
    <w:rsid w:val="00663CFC"/>
    <w:rsid w:val="0066403E"/>
    <w:rsid w:val="00664104"/>
    <w:rsid w:val="006641E5"/>
    <w:rsid w:val="00664350"/>
    <w:rsid w:val="00664541"/>
    <w:rsid w:val="00664A66"/>
    <w:rsid w:val="006652EF"/>
    <w:rsid w:val="006653EE"/>
    <w:rsid w:val="00665A7A"/>
    <w:rsid w:val="0066676F"/>
    <w:rsid w:val="00666BA6"/>
    <w:rsid w:val="00666EB3"/>
    <w:rsid w:val="00667129"/>
    <w:rsid w:val="0066742D"/>
    <w:rsid w:val="00667466"/>
    <w:rsid w:val="00667955"/>
    <w:rsid w:val="006679A2"/>
    <w:rsid w:val="00667E6A"/>
    <w:rsid w:val="00667EAA"/>
    <w:rsid w:val="00667EB5"/>
    <w:rsid w:val="00670241"/>
    <w:rsid w:val="006703E5"/>
    <w:rsid w:val="006706B0"/>
    <w:rsid w:val="00670954"/>
    <w:rsid w:val="00670BE6"/>
    <w:rsid w:val="00671463"/>
    <w:rsid w:val="006715CA"/>
    <w:rsid w:val="00671B41"/>
    <w:rsid w:val="00671CB3"/>
    <w:rsid w:val="00671E91"/>
    <w:rsid w:val="00672058"/>
    <w:rsid w:val="006721BD"/>
    <w:rsid w:val="006721DD"/>
    <w:rsid w:val="006723A1"/>
    <w:rsid w:val="006724C4"/>
    <w:rsid w:val="006724D8"/>
    <w:rsid w:val="00672654"/>
    <w:rsid w:val="00672717"/>
    <w:rsid w:val="00672954"/>
    <w:rsid w:val="00672979"/>
    <w:rsid w:val="006730AE"/>
    <w:rsid w:val="00673109"/>
    <w:rsid w:val="006732A9"/>
    <w:rsid w:val="0067380D"/>
    <w:rsid w:val="00673CF7"/>
    <w:rsid w:val="00674038"/>
    <w:rsid w:val="00674134"/>
    <w:rsid w:val="006742A7"/>
    <w:rsid w:val="0067460E"/>
    <w:rsid w:val="00675639"/>
    <w:rsid w:val="006757FA"/>
    <w:rsid w:val="00675F77"/>
    <w:rsid w:val="0067604C"/>
    <w:rsid w:val="006760E3"/>
    <w:rsid w:val="0067612E"/>
    <w:rsid w:val="006762D5"/>
    <w:rsid w:val="006763AF"/>
    <w:rsid w:val="00676820"/>
    <w:rsid w:val="0067697D"/>
    <w:rsid w:val="00676A26"/>
    <w:rsid w:val="00676C2D"/>
    <w:rsid w:val="00676D71"/>
    <w:rsid w:val="00676E8F"/>
    <w:rsid w:val="006771BE"/>
    <w:rsid w:val="0067773A"/>
    <w:rsid w:val="0067778E"/>
    <w:rsid w:val="006778D2"/>
    <w:rsid w:val="006800D7"/>
    <w:rsid w:val="00680148"/>
    <w:rsid w:val="006803B7"/>
    <w:rsid w:val="00680910"/>
    <w:rsid w:val="00680C62"/>
    <w:rsid w:val="00680D13"/>
    <w:rsid w:val="006810BE"/>
    <w:rsid w:val="00681348"/>
    <w:rsid w:val="00681489"/>
    <w:rsid w:val="00681A72"/>
    <w:rsid w:val="00681C8D"/>
    <w:rsid w:val="00682099"/>
    <w:rsid w:val="006823F8"/>
    <w:rsid w:val="006826B9"/>
    <w:rsid w:val="00682919"/>
    <w:rsid w:val="00682A89"/>
    <w:rsid w:val="00682AFA"/>
    <w:rsid w:val="00682CF1"/>
    <w:rsid w:val="00682DDA"/>
    <w:rsid w:val="00682E07"/>
    <w:rsid w:val="00682E52"/>
    <w:rsid w:val="00683211"/>
    <w:rsid w:val="006832D4"/>
    <w:rsid w:val="0068333A"/>
    <w:rsid w:val="006834F9"/>
    <w:rsid w:val="0068350B"/>
    <w:rsid w:val="0068350E"/>
    <w:rsid w:val="0068396E"/>
    <w:rsid w:val="00683AE2"/>
    <w:rsid w:val="00683E26"/>
    <w:rsid w:val="00684486"/>
    <w:rsid w:val="006844E8"/>
    <w:rsid w:val="006849E5"/>
    <w:rsid w:val="00684C0A"/>
    <w:rsid w:val="00684E81"/>
    <w:rsid w:val="00684E92"/>
    <w:rsid w:val="00684F93"/>
    <w:rsid w:val="006852EC"/>
    <w:rsid w:val="00685660"/>
    <w:rsid w:val="006859D7"/>
    <w:rsid w:val="00685B31"/>
    <w:rsid w:val="00685B87"/>
    <w:rsid w:val="00685EC0"/>
    <w:rsid w:val="006860AF"/>
    <w:rsid w:val="006865B9"/>
    <w:rsid w:val="00686687"/>
    <w:rsid w:val="006867A2"/>
    <w:rsid w:val="00686A03"/>
    <w:rsid w:val="00686AFF"/>
    <w:rsid w:val="00686D7A"/>
    <w:rsid w:val="00686E53"/>
    <w:rsid w:val="00686F25"/>
    <w:rsid w:val="00687709"/>
    <w:rsid w:val="0068773A"/>
    <w:rsid w:val="00687B48"/>
    <w:rsid w:val="00687C67"/>
    <w:rsid w:val="00687CD0"/>
    <w:rsid w:val="00690278"/>
    <w:rsid w:val="00690515"/>
    <w:rsid w:val="0069060E"/>
    <w:rsid w:val="00690971"/>
    <w:rsid w:val="00691235"/>
    <w:rsid w:val="006912F7"/>
    <w:rsid w:val="00691554"/>
    <w:rsid w:val="00691727"/>
    <w:rsid w:val="00691928"/>
    <w:rsid w:val="00691AFE"/>
    <w:rsid w:val="00691B09"/>
    <w:rsid w:val="00691F4E"/>
    <w:rsid w:val="0069226D"/>
    <w:rsid w:val="006929AB"/>
    <w:rsid w:val="006929F2"/>
    <w:rsid w:val="00692A12"/>
    <w:rsid w:val="00692E81"/>
    <w:rsid w:val="00692FAB"/>
    <w:rsid w:val="0069302B"/>
    <w:rsid w:val="006931B2"/>
    <w:rsid w:val="00693384"/>
    <w:rsid w:val="00693578"/>
    <w:rsid w:val="00693590"/>
    <w:rsid w:val="00693784"/>
    <w:rsid w:val="006938A7"/>
    <w:rsid w:val="00693F5E"/>
    <w:rsid w:val="00694487"/>
    <w:rsid w:val="006945C1"/>
    <w:rsid w:val="0069463F"/>
    <w:rsid w:val="00694767"/>
    <w:rsid w:val="00694A0D"/>
    <w:rsid w:val="00694A5E"/>
    <w:rsid w:val="00694C88"/>
    <w:rsid w:val="00695258"/>
    <w:rsid w:val="0069547C"/>
    <w:rsid w:val="006954F4"/>
    <w:rsid w:val="006955FD"/>
    <w:rsid w:val="006956D5"/>
    <w:rsid w:val="00695986"/>
    <w:rsid w:val="00695C98"/>
    <w:rsid w:val="0069603A"/>
    <w:rsid w:val="0069609C"/>
    <w:rsid w:val="00696369"/>
    <w:rsid w:val="006965E9"/>
    <w:rsid w:val="006966F3"/>
    <w:rsid w:val="00696987"/>
    <w:rsid w:val="0069699C"/>
    <w:rsid w:val="00696C4B"/>
    <w:rsid w:val="00696D89"/>
    <w:rsid w:val="00697130"/>
    <w:rsid w:val="00697157"/>
    <w:rsid w:val="0069717D"/>
    <w:rsid w:val="006975EA"/>
    <w:rsid w:val="006979E7"/>
    <w:rsid w:val="00697DE4"/>
    <w:rsid w:val="00697F7E"/>
    <w:rsid w:val="006A0598"/>
    <w:rsid w:val="006A0DFC"/>
    <w:rsid w:val="006A0E08"/>
    <w:rsid w:val="006A10D6"/>
    <w:rsid w:val="006A12D9"/>
    <w:rsid w:val="006A171E"/>
    <w:rsid w:val="006A1D35"/>
    <w:rsid w:val="006A1E67"/>
    <w:rsid w:val="006A1FE8"/>
    <w:rsid w:val="006A2289"/>
    <w:rsid w:val="006A22A8"/>
    <w:rsid w:val="006A23DA"/>
    <w:rsid w:val="006A255D"/>
    <w:rsid w:val="006A26E4"/>
    <w:rsid w:val="006A2CD6"/>
    <w:rsid w:val="006A2CE2"/>
    <w:rsid w:val="006A2FBC"/>
    <w:rsid w:val="006A3197"/>
    <w:rsid w:val="006A359A"/>
    <w:rsid w:val="006A3838"/>
    <w:rsid w:val="006A3AFD"/>
    <w:rsid w:val="006A4023"/>
    <w:rsid w:val="006A40CC"/>
    <w:rsid w:val="006A4187"/>
    <w:rsid w:val="006A41D5"/>
    <w:rsid w:val="006A454D"/>
    <w:rsid w:val="006A4CD8"/>
    <w:rsid w:val="006A4ED1"/>
    <w:rsid w:val="006A5133"/>
    <w:rsid w:val="006A567C"/>
    <w:rsid w:val="006A59B6"/>
    <w:rsid w:val="006A5A87"/>
    <w:rsid w:val="006A5AFA"/>
    <w:rsid w:val="006A5C70"/>
    <w:rsid w:val="006A5D84"/>
    <w:rsid w:val="006A5E0E"/>
    <w:rsid w:val="006A62DD"/>
    <w:rsid w:val="006A635A"/>
    <w:rsid w:val="006A6E43"/>
    <w:rsid w:val="006A74A6"/>
    <w:rsid w:val="006A7A45"/>
    <w:rsid w:val="006A7B94"/>
    <w:rsid w:val="006B026E"/>
    <w:rsid w:val="006B0549"/>
    <w:rsid w:val="006B063E"/>
    <w:rsid w:val="006B0A3B"/>
    <w:rsid w:val="006B0CE5"/>
    <w:rsid w:val="006B0DB4"/>
    <w:rsid w:val="006B0E12"/>
    <w:rsid w:val="006B12EB"/>
    <w:rsid w:val="006B1C7C"/>
    <w:rsid w:val="006B1CB5"/>
    <w:rsid w:val="006B1CB6"/>
    <w:rsid w:val="006B1D69"/>
    <w:rsid w:val="006B1EDF"/>
    <w:rsid w:val="006B1F51"/>
    <w:rsid w:val="006B1FC2"/>
    <w:rsid w:val="006B2137"/>
    <w:rsid w:val="006B2241"/>
    <w:rsid w:val="006B22AE"/>
    <w:rsid w:val="006B2A17"/>
    <w:rsid w:val="006B2B96"/>
    <w:rsid w:val="006B2EA9"/>
    <w:rsid w:val="006B2FE6"/>
    <w:rsid w:val="006B31BD"/>
    <w:rsid w:val="006B39A5"/>
    <w:rsid w:val="006B3A8E"/>
    <w:rsid w:val="006B3BA1"/>
    <w:rsid w:val="006B4160"/>
    <w:rsid w:val="006B43AD"/>
    <w:rsid w:val="006B489A"/>
    <w:rsid w:val="006B4BCD"/>
    <w:rsid w:val="006B4D04"/>
    <w:rsid w:val="006B532F"/>
    <w:rsid w:val="006B53B1"/>
    <w:rsid w:val="006B54A6"/>
    <w:rsid w:val="006B560C"/>
    <w:rsid w:val="006B59B0"/>
    <w:rsid w:val="006B5B6D"/>
    <w:rsid w:val="006B60B3"/>
    <w:rsid w:val="006B62BF"/>
    <w:rsid w:val="006B659A"/>
    <w:rsid w:val="006B6DF4"/>
    <w:rsid w:val="006B72B2"/>
    <w:rsid w:val="006B77A1"/>
    <w:rsid w:val="006B7C07"/>
    <w:rsid w:val="006B7C83"/>
    <w:rsid w:val="006B7E59"/>
    <w:rsid w:val="006B7E93"/>
    <w:rsid w:val="006B7FEF"/>
    <w:rsid w:val="006C020A"/>
    <w:rsid w:val="006C0432"/>
    <w:rsid w:val="006C08BE"/>
    <w:rsid w:val="006C0B09"/>
    <w:rsid w:val="006C1227"/>
    <w:rsid w:val="006C1E37"/>
    <w:rsid w:val="006C2396"/>
    <w:rsid w:val="006C2728"/>
    <w:rsid w:val="006C2BED"/>
    <w:rsid w:val="006C2C99"/>
    <w:rsid w:val="006C2E78"/>
    <w:rsid w:val="006C2EC0"/>
    <w:rsid w:val="006C2EF1"/>
    <w:rsid w:val="006C312F"/>
    <w:rsid w:val="006C329E"/>
    <w:rsid w:val="006C3616"/>
    <w:rsid w:val="006C370D"/>
    <w:rsid w:val="006C37EA"/>
    <w:rsid w:val="006C39A8"/>
    <w:rsid w:val="006C39D6"/>
    <w:rsid w:val="006C4363"/>
    <w:rsid w:val="006C43AD"/>
    <w:rsid w:val="006C44AB"/>
    <w:rsid w:val="006C4630"/>
    <w:rsid w:val="006C4716"/>
    <w:rsid w:val="006C4D1B"/>
    <w:rsid w:val="006C4DFA"/>
    <w:rsid w:val="006C4EE8"/>
    <w:rsid w:val="006C55E9"/>
    <w:rsid w:val="006C5647"/>
    <w:rsid w:val="006C5732"/>
    <w:rsid w:val="006C57D5"/>
    <w:rsid w:val="006C584B"/>
    <w:rsid w:val="006C5EF8"/>
    <w:rsid w:val="006C64D0"/>
    <w:rsid w:val="006C6536"/>
    <w:rsid w:val="006C65C6"/>
    <w:rsid w:val="006C66DA"/>
    <w:rsid w:val="006C6770"/>
    <w:rsid w:val="006C6B1E"/>
    <w:rsid w:val="006C6FC1"/>
    <w:rsid w:val="006C717B"/>
    <w:rsid w:val="006C7593"/>
    <w:rsid w:val="006C76EA"/>
    <w:rsid w:val="006C77CC"/>
    <w:rsid w:val="006C78CE"/>
    <w:rsid w:val="006C79F1"/>
    <w:rsid w:val="006C7DB1"/>
    <w:rsid w:val="006C7E32"/>
    <w:rsid w:val="006C7E4E"/>
    <w:rsid w:val="006C7F38"/>
    <w:rsid w:val="006D0389"/>
    <w:rsid w:val="006D062A"/>
    <w:rsid w:val="006D0CA3"/>
    <w:rsid w:val="006D0E88"/>
    <w:rsid w:val="006D1021"/>
    <w:rsid w:val="006D14C0"/>
    <w:rsid w:val="006D1A1E"/>
    <w:rsid w:val="006D1A62"/>
    <w:rsid w:val="006D1D1A"/>
    <w:rsid w:val="006D21AB"/>
    <w:rsid w:val="006D28E9"/>
    <w:rsid w:val="006D3433"/>
    <w:rsid w:val="006D371D"/>
    <w:rsid w:val="006D3B43"/>
    <w:rsid w:val="006D40CE"/>
    <w:rsid w:val="006D41A3"/>
    <w:rsid w:val="006D4573"/>
    <w:rsid w:val="006D4624"/>
    <w:rsid w:val="006D4687"/>
    <w:rsid w:val="006D4768"/>
    <w:rsid w:val="006D4882"/>
    <w:rsid w:val="006D494B"/>
    <w:rsid w:val="006D4ADB"/>
    <w:rsid w:val="006D4DCB"/>
    <w:rsid w:val="006D4E5A"/>
    <w:rsid w:val="006D5226"/>
    <w:rsid w:val="006D554D"/>
    <w:rsid w:val="006D55C2"/>
    <w:rsid w:val="006D5863"/>
    <w:rsid w:val="006D5AE0"/>
    <w:rsid w:val="006D5B1A"/>
    <w:rsid w:val="006D5B38"/>
    <w:rsid w:val="006D5F2F"/>
    <w:rsid w:val="006D646D"/>
    <w:rsid w:val="006D64E9"/>
    <w:rsid w:val="006D6967"/>
    <w:rsid w:val="006D6C8A"/>
    <w:rsid w:val="006D6E46"/>
    <w:rsid w:val="006D6EAC"/>
    <w:rsid w:val="006D73C4"/>
    <w:rsid w:val="006D7960"/>
    <w:rsid w:val="006E0200"/>
    <w:rsid w:val="006E02F6"/>
    <w:rsid w:val="006E0435"/>
    <w:rsid w:val="006E0491"/>
    <w:rsid w:val="006E06AC"/>
    <w:rsid w:val="006E0D43"/>
    <w:rsid w:val="006E0E36"/>
    <w:rsid w:val="006E0E40"/>
    <w:rsid w:val="006E0FD5"/>
    <w:rsid w:val="006E1160"/>
    <w:rsid w:val="006E1185"/>
    <w:rsid w:val="006E1286"/>
    <w:rsid w:val="006E13AA"/>
    <w:rsid w:val="006E1535"/>
    <w:rsid w:val="006E1555"/>
    <w:rsid w:val="006E19EE"/>
    <w:rsid w:val="006E1E2E"/>
    <w:rsid w:val="006E2204"/>
    <w:rsid w:val="006E22F4"/>
    <w:rsid w:val="006E2AF3"/>
    <w:rsid w:val="006E2B10"/>
    <w:rsid w:val="006E2BAE"/>
    <w:rsid w:val="006E2C9D"/>
    <w:rsid w:val="006E2F42"/>
    <w:rsid w:val="006E2F84"/>
    <w:rsid w:val="006E343C"/>
    <w:rsid w:val="006E3514"/>
    <w:rsid w:val="006E41F6"/>
    <w:rsid w:val="006E4605"/>
    <w:rsid w:val="006E478A"/>
    <w:rsid w:val="006E4DD2"/>
    <w:rsid w:val="006E4E3A"/>
    <w:rsid w:val="006E54D5"/>
    <w:rsid w:val="006E55F1"/>
    <w:rsid w:val="006E5699"/>
    <w:rsid w:val="006E573A"/>
    <w:rsid w:val="006E584E"/>
    <w:rsid w:val="006E58BB"/>
    <w:rsid w:val="006E59C5"/>
    <w:rsid w:val="006E5B66"/>
    <w:rsid w:val="006E5BA0"/>
    <w:rsid w:val="006E5DA1"/>
    <w:rsid w:val="006E6061"/>
    <w:rsid w:val="006E6071"/>
    <w:rsid w:val="006E6081"/>
    <w:rsid w:val="006E62C3"/>
    <w:rsid w:val="006E672F"/>
    <w:rsid w:val="006E673D"/>
    <w:rsid w:val="006E6B2A"/>
    <w:rsid w:val="006E6BA2"/>
    <w:rsid w:val="006E6CD8"/>
    <w:rsid w:val="006E7683"/>
    <w:rsid w:val="006E784A"/>
    <w:rsid w:val="006E78FC"/>
    <w:rsid w:val="006F0146"/>
    <w:rsid w:val="006F05CB"/>
    <w:rsid w:val="006F0A64"/>
    <w:rsid w:val="006F0D15"/>
    <w:rsid w:val="006F102C"/>
    <w:rsid w:val="006F115C"/>
    <w:rsid w:val="006F17D8"/>
    <w:rsid w:val="006F1CEE"/>
    <w:rsid w:val="006F1EC7"/>
    <w:rsid w:val="006F20FC"/>
    <w:rsid w:val="006F22F5"/>
    <w:rsid w:val="006F2363"/>
    <w:rsid w:val="006F2897"/>
    <w:rsid w:val="006F28B2"/>
    <w:rsid w:val="006F28EF"/>
    <w:rsid w:val="006F2A2B"/>
    <w:rsid w:val="006F2A4B"/>
    <w:rsid w:val="006F2E8D"/>
    <w:rsid w:val="006F3171"/>
    <w:rsid w:val="006F337A"/>
    <w:rsid w:val="006F33D9"/>
    <w:rsid w:val="006F3498"/>
    <w:rsid w:val="006F350F"/>
    <w:rsid w:val="006F3784"/>
    <w:rsid w:val="006F3943"/>
    <w:rsid w:val="006F398C"/>
    <w:rsid w:val="006F3A9A"/>
    <w:rsid w:val="006F3E6D"/>
    <w:rsid w:val="006F4218"/>
    <w:rsid w:val="006F44B1"/>
    <w:rsid w:val="006F44E0"/>
    <w:rsid w:val="006F469D"/>
    <w:rsid w:val="006F47AB"/>
    <w:rsid w:val="006F4AFB"/>
    <w:rsid w:val="006F4C33"/>
    <w:rsid w:val="006F4CB2"/>
    <w:rsid w:val="006F4CB9"/>
    <w:rsid w:val="006F4D65"/>
    <w:rsid w:val="006F4FAC"/>
    <w:rsid w:val="006F51C2"/>
    <w:rsid w:val="006F53E9"/>
    <w:rsid w:val="006F543F"/>
    <w:rsid w:val="006F5566"/>
    <w:rsid w:val="006F5AFB"/>
    <w:rsid w:val="006F5DE1"/>
    <w:rsid w:val="006F62B8"/>
    <w:rsid w:val="006F631E"/>
    <w:rsid w:val="006F6518"/>
    <w:rsid w:val="006F68D3"/>
    <w:rsid w:val="006F6EF9"/>
    <w:rsid w:val="006F7220"/>
    <w:rsid w:val="006F72F9"/>
    <w:rsid w:val="006F7347"/>
    <w:rsid w:val="006F7692"/>
    <w:rsid w:val="006F77B2"/>
    <w:rsid w:val="006F7F1C"/>
    <w:rsid w:val="00700419"/>
    <w:rsid w:val="007008B6"/>
    <w:rsid w:val="00700A7E"/>
    <w:rsid w:val="00700F1D"/>
    <w:rsid w:val="00700FAD"/>
    <w:rsid w:val="00701159"/>
    <w:rsid w:val="007012ED"/>
    <w:rsid w:val="0070147F"/>
    <w:rsid w:val="00701BD7"/>
    <w:rsid w:val="0070226E"/>
    <w:rsid w:val="007026FA"/>
    <w:rsid w:val="00702792"/>
    <w:rsid w:val="0070286D"/>
    <w:rsid w:val="00702A77"/>
    <w:rsid w:val="00702B3E"/>
    <w:rsid w:val="00702C2F"/>
    <w:rsid w:val="00702C61"/>
    <w:rsid w:val="00702D8C"/>
    <w:rsid w:val="00703312"/>
    <w:rsid w:val="007037D7"/>
    <w:rsid w:val="00703919"/>
    <w:rsid w:val="00703B36"/>
    <w:rsid w:val="00703E85"/>
    <w:rsid w:val="00704199"/>
    <w:rsid w:val="007043D6"/>
    <w:rsid w:val="007045AE"/>
    <w:rsid w:val="0070486B"/>
    <w:rsid w:val="0070489E"/>
    <w:rsid w:val="0070490F"/>
    <w:rsid w:val="00704A92"/>
    <w:rsid w:val="00704E39"/>
    <w:rsid w:val="0070514A"/>
    <w:rsid w:val="0070536C"/>
    <w:rsid w:val="0070545E"/>
    <w:rsid w:val="00705596"/>
    <w:rsid w:val="00705B15"/>
    <w:rsid w:val="00705C6B"/>
    <w:rsid w:val="00705CF4"/>
    <w:rsid w:val="00705D8C"/>
    <w:rsid w:val="00705DE8"/>
    <w:rsid w:val="00705F7C"/>
    <w:rsid w:val="00706006"/>
    <w:rsid w:val="00706645"/>
    <w:rsid w:val="0070670B"/>
    <w:rsid w:val="00706786"/>
    <w:rsid w:val="00706C9E"/>
    <w:rsid w:val="00706FA0"/>
    <w:rsid w:val="007071F8"/>
    <w:rsid w:val="00707447"/>
    <w:rsid w:val="00707510"/>
    <w:rsid w:val="00707DEB"/>
    <w:rsid w:val="00707E3B"/>
    <w:rsid w:val="00707E91"/>
    <w:rsid w:val="00707EBF"/>
    <w:rsid w:val="00707F7B"/>
    <w:rsid w:val="007100B1"/>
    <w:rsid w:val="00710BC1"/>
    <w:rsid w:val="00710E88"/>
    <w:rsid w:val="00710EB9"/>
    <w:rsid w:val="0071145C"/>
    <w:rsid w:val="007115AE"/>
    <w:rsid w:val="00711BD4"/>
    <w:rsid w:val="00711E11"/>
    <w:rsid w:val="00712079"/>
    <w:rsid w:val="007123B9"/>
    <w:rsid w:val="007125C9"/>
    <w:rsid w:val="00712929"/>
    <w:rsid w:val="007129EC"/>
    <w:rsid w:val="00712A41"/>
    <w:rsid w:val="00713284"/>
    <w:rsid w:val="0071360B"/>
    <w:rsid w:val="0071447B"/>
    <w:rsid w:val="0071490C"/>
    <w:rsid w:val="00714A4E"/>
    <w:rsid w:val="00714A8E"/>
    <w:rsid w:val="00714C7A"/>
    <w:rsid w:val="007150A7"/>
    <w:rsid w:val="007151E7"/>
    <w:rsid w:val="007152C9"/>
    <w:rsid w:val="0071571E"/>
    <w:rsid w:val="0071582A"/>
    <w:rsid w:val="00715B50"/>
    <w:rsid w:val="00716440"/>
    <w:rsid w:val="0071650D"/>
    <w:rsid w:val="00716610"/>
    <w:rsid w:val="007166C1"/>
    <w:rsid w:val="0071691F"/>
    <w:rsid w:val="0071696A"/>
    <w:rsid w:val="00716D4A"/>
    <w:rsid w:val="007171F0"/>
    <w:rsid w:val="007174EA"/>
    <w:rsid w:val="00717617"/>
    <w:rsid w:val="007176C4"/>
    <w:rsid w:val="007178E8"/>
    <w:rsid w:val="00717A8E"/>
    <w:rsid w:val="00720234"/>
    <w:rsid w:val="007203DF"/>
    <w:rsid w:val="007205F4"/>
    <w:rsid w:val="0072061C"/>
    <w:rsid w:val="0072085A"/>
    <w:rsid w:val="007208FB"/>
    <w:rsid w:val="00720BEA"/>
    <w:rsid w:val="00720CC1"/>
    <w:rsid w:val="00720E48"/>
    <w:rsid w:val="00721129"/>
    <w:rsid w:val="0072124D"/>
    <w:rsid w:val="007213B9"/>
    <w:rsid w:val="0072146F"/>
    <w:rsid w:val="007216A3"/>
    <w:rsid w:val="00721D16"/>
    <w:rsid w:val="00722916"/>
    <w:rsid w:val="007229A1"/>
    <w:rsid w:val="00722A7E"/>
    <w:rsid w:val="00722D17"/>
    <w:rsid w:val="00722D65"/>
    <w:rsid w:val="00722EA3"/>
    <w:rsid w:val="00722F8B"/>
    <w:rsid w:val="00723099"/>
    <w:rsid w:val="00723326"/>
    <w:rsid w:val="0072352D"/>
    <w:rsid w:val="00723C26"/>
    <w:rsid w:val="00723C85"/>
    <w:rsid w:val="007246E0"/>
    <w:rsid w:val="007248B0"/>
    <w:rsid w:val="00724F69"/>
    <w:rsid w:val="00725451"/>
    <w:rsid w:val="007256C3"/>
    <w:rsid w:val="007257EC"/>
    <w:rsid w:val="00725998"/>
    <w:rsid w:val="00725B09"/>
    <w:rsid w:val="00725CF1"/>
    <w:rsid w:val="00726109"/>
    <w:rsid w:val="00726570"/>
    <w:rsid w:val="00726CC5"/>
    <w:rsid w:val="00726D2F"/>
    <w:rsid w:val="0072704E"/>
    <w:rsid w:val="00727971"/>
    <w:rsid w:val="00727BD5"/>
    <w:rsid w:val="00727F5C"/>
    <w:rsid w:val="00730067"/>
    <w:rsid w:val="0073018F"/>
    <w:rsid w:val="007302EC"/>
    <w:rsid w:val="00730ECA"/>
    <w:rsid w:val="007313F4"/>
    <w:rsid w:val="007319E6"/>
    <w:rsid w:val="00731BD9"/>
    <w:rsid w:val="00731CEE"/>
    <w:rsid w:val="00731EAB"/>
    <w:rsid w:val="00732479"/>
    <w:rsid w:val="0073248B"/>
    <w:rsid w:val="007324C2"/>
    <w:rsid w:val="0073275A"/>
    <w:rsid w:val="00732814"/>
    <w:rsid w:val="00732A74"/>
    <w:rsid w:val="00732C26"/>
    <w:rsid w:val="00732CD1"/>
    <w:rsid w:val="007337B7"/>
    <w:rsid w:val="00733C5D"/>
    <w:rsid w:val="00733E63"/>
    <w:rsid w:val="00733E8D"/>
    <w:rsid w:val="0073417C"/>
    <w:rsid w:val="0073438E"/>
    <w:rsid w:val="007345AE"/>
    <w:rsid w:val="007348AF"/>
    <w:rsid w:val="00734DB1"/>
    <w:rsid w:val="00735851"/>
    <w:rsid w:val="00735A8C"/>
    <w:rsid w:val="007362A6"/>
    <w:rsid w:val="007362C4"/>
    <w:rsid w:val="00736BB2"/>
    <w:rsid w:val="00736E23"/>
    <w:rsid w:val="00737199"/>
    <w:rsid w:val="00737696"/>
    <w:rsid w:val="00737939"/>
    <w:rsid w:val="00737AB3"/>
    <w:rsid w:val="00737B60"/>
    <w:rsid w:val="00737CBA"/>
    <w:rsid w:val="00740524"/>
    <w:rsid w:val="00740845"/>
    <w:rsid w:val="0074093C"/>
    <w:rsid w:val="00740C43"/>
    <w:rsid w:val="00741031"/>
    <w:rsid w:val="0074104E"/>
    <w:rsid w:val="0074105E"/>
    <w:rsid w:val="007417C3"/>
    <w:rsid w:val="00741C24"/>
    <w:rsid w:val="00741CC9"/>
    <w:rsid w:val="00742329"/>
    <w:rsid w:val="00742954"/>
    <w:rsid w:val="00742FAD"/>
    <w:rsid w:val="00743030"/>
    <w:rsid w:val="0074362A"/>
    <w:rsid w:val="00743869"/>
    <w:rsid w:val="00743B8D"/>
    <w:rsid w:val="00743BEF"/>
    <w:rsid w:val="00743C1D"/>
    <w:rsid w:val="0074491E"/>
    <w:rsid w:val="00744AA5"/>
    <w:rsid w:val="007451DC"/>
    <w:rsid w:val="0074544C"/>
    <w:rsid w:val="0074552B"/>
    <w:rsid w:val="00745D91"/>
    <w:rsid w:val="00745F87"/>
    <w:rsid w:val="00746544"/>
    <w:rsid w:val="007467E2"/>
    <w:rsid w:val="00746A0A"/>
    <w:rsid w:val="00746B37"/>
    <w:rsid w:val="00746D38"/>
    <w:rsid w:val="00747149"/>
    <w:rsid w:val="007473B7"/>
    <w:rsid w:val="0074763D"/>
    <w:rsid w:val="007477C1"/>
    <w:rsid w:val="00747C69"/>
    <w:rsid w:val="007500C9"/>
    <w:rsid w:val="00750820"/>
    <w:rsid w:val="00750991"/>
    <w:rsid w:val="00750A34"/>
    <w:rsid w:val="00750B86"/>
    <w:rsid w:val="00750B89"/>
    <w:rsid w:val="00750E16"/>
    <w:rsid w:val="00750F5C"/>
    <w:rsid w:val="00751354"/>
    <w:rsid w:val="00751475"/>
    <w:rsid w:val="007516AB"/>
    <w:rsid w:val="00751BD1"/>
    <w:rsid w:val="007529ED"/>
    <w:rsid w:val="00752B6C"/>
    <w:rsid w:val="00752D29"/>
    <w:rsid w:val="00752D40"/>
    <w:rsid w:val="00752F9B"/>
    <w:rsid w:val="00753400"/>
    <w:rsid w:val="00753513"/>
    <w:rsid w:val="00754088"/>
    <w:rsid w:val="007540CF"/>
    <w:rsid w:val="0075410A"/>
    <w:rsid w:val="00754DDE"/>
    <w:rsid w:val="00754DEE"/>
    <w:rsid w:val="00754FC9"/>
    <w:rsid w:val="007551E0"/>
    <w:rsid w:val="007552C0"/>
    <w:rsid w:val="007554E7"/>
    <w:rsid w:val="00755973"/>
    <w:rsid w:val="00755D61"/>
    <w:rsid w:val="00755D96"/>
    <w:rsid w:val="00755ECA"/>
    <w:rsid w:val="00756454"/>
    <w:rsid w:val="007568E8"/>
    <w:rsid w:val="00756A84"/>
    <w:rsid w:val="00756F6E"/>
    <w:rsid w:val="00756FD3"/>
    <w:rsid w:val="00757338"/>
    <w:rsid w:val="0075745F"/>
    <w:rsid w:val="0075765E"/>
    <w:rsid w:val="00757FB0"/>
    <w:rsid w:val="00760096"/>
    <w:rsid w:val="007600CC"/>
    <w:rsid w:val="007601C8"/>
    <w:rsid w:val="007602E6"/>
    <w:rsid w:val="00760496"/>
    <w:rsid w:val="00760A1C"/>
    <w:rsid w:val="00760A4B"/>
    <w:rsid w:val="00760E17"/>
    <w:rsid w:val="00761901"/>
    <w:rsid w:val="00761A0F"/>
    <w:rsid w:val="00761B40"/>
    <w:rsid w:val="00762405"/>
    <w:rsid w:val="007624E3"/>
    <w:rsid w:val="007624E6"/>
    <w:rsid w:val="00762667"/>
    <w:rsid w:val="007626E9"/>
    <w:rsid w:val="0076275B"/>
    <w:rsid w:val="007627BC"/>
    <w:rsid w:val="007628B0"/>
    <w:rsid w:val="007630C2"/>
    <w:rsid w:val="007633D7"/>
    <w:rsid w:val="00763404"/>
    <w:rsid w:val="007635C5"/>
    <w:rsid w:val="00763729"/>
    <w:rsid w:val="007638F9"/>
    <w:rsid w:val="00763A53"/>
    <w:rsid w:val="00764299"/>
    <w:rsid w:val="00764E0C"/>
    <w:rsid w:val="00765472"/>
    <w:rsid w:val="0076552F"/>
    <w:rsid w:val="00765567"/>
    <w:rsid w:val="00765588"/>
    <w:rsid w:val="00765787"/>
    <w:rsid w:val="00765799"/>
    <w:rsid w:val="00765B71"/>
    <w:rsid w:val="00765BD0"/>
    <w:rsid w:val="00765CC8"/>
    <w:rsid w:val="00765DF1"/>
    <w:rsid w:val="00765FCE"/>
    <w:rsid w:val="00766088"/>
    <w:rsid w:val="0076666D"/>
    <w:rsid w:val="00766ACD"/>
    <w:rsid w:val="00766B06"/>
    <w:rsid w:val="00766BCE"/>
    <w:rsid w:val="00766BFC"/>
    <w:rsid w:val="00766CE8"/>
    <w:rsid w:val="00766D66"/>
    <w:rsid w:val="00766DBF"/>
    <w:rsid w:val="00766E94"/>
    <w:rsid w:val="00767158"/>
    <w:rsid w:val="0076723E"/>
    <w:rsid w:val="00767256"/>
    <w:rsid w:val="007679B2"/>
    <w:rsid w:val="00767B9C"/>
    <w:rsid w:val="00767D10"/>
    <w:rsid w:val="0077016B"/>
    <w:rsid w:val="0077057F"/>
    <w:rsid w:val="007705FF"/>
    <w:rsid w:val="007706A4"/>
    <w:rsid w:val="007708C7"/>
    <w:rsid w:val="00770D62"/>
    <w:rsid w:val="00770E1D"/>
    <w:rsid w:val="00771035"/>
    <w:rsid w:val="00771073"/>
    <w:rsid w:val="00771323"/>
    <w:rsid w:val="0077167F"/>
    <w:rsid w:val="00771836"/>
    <w:rsid w:val="00771881"/>
    <w:rsid w:val="007719BE"/>
    <w:rsid w:val="00771A5A"/>
    <w:rsid w:val="00771B43"/>
    <w:rsid w:val="00771B57"/>
    <w:rsid w:val="0077200C"/>
    <w:rsid w:val="00772151"/>
    <w:rsid w:val="00772650"/>
    <w:rsid w:val="007728D1"/>
    <w:rsid w:val="00772FF2"/>
    <w:rsid w:val="00773596"/>
    <w:rsid w:val="007736D7"/>
    <w:rsid w:val="00773A04"/>
    <w:rsid w:val="00773C89"/>
    <w:rsid w:val="00773EFB"/>
    <w:rsid w:val="00774584"/>
    <w:rsid w:val="007745EC"/>
    <w:rsid w:val="007748D8"/>
    <w:rsid w:val="00774EC1"/>
    <w:rsid w:val="00775260"/>
    <w:rsid w:val="007753D7"/>
    <w:rsid w:val="007755BE"/>
    <w:rsid w:val="0077582B"/>
    <w:rsid w:val="00775E25"/>
    <w:rsid w:val="00776136"/>
    <w:rsid w:val="007762AB"/>
    <w:rsid w:val="00776602"/>
    <w:rsid w:val="00776799"/>
    <w:rsid w:val="00776934"/>
    <w:rsid w:val="00776C69"/>
    <w:rsid w:val="00776DE7"/>
    <w:rsid w:val="00776EC6"/>
    <w:rsid w:val="00776FD0"/>
    <w:rsid w:val="00777246"/>
    <w:rsid w:val="007772CF"/>
    <w:rsid w:val="007773D5"/>
    <w:rsid w:val="00777975"/>
    <w:rsid w:val="00777C20"/>
    <w:rsid w:val="007801A8"/>
    <w:rsid w:val="007804AE"/>
    <w:rsid w:val="00780ED3"/>
    <w:rsid w:val="00781093"/>
    <w:rsid w:val="00781525"/>
    <w:rsid w:val="0078163D"/>
    <w:rsid w:val="007816B4"/>
    <w:rsid w:val="0078177E"/>
    <w:rsid w:val="00781A35"/>
    <w:rsid w:val="00781F31"/>
    <w:rsid w:val="007820BD"/>
    <w:rsid w:val="007820E1"/>
    <w:rsid w:val="0078225D"/>
    <w:rsid w:val="0078269B"/>
    <w:rsid w:val="00782C1C"/>
    <w:rsid w:val="00782F22"/>
    <w:rsid w:val="00783028"/>
    <w:rsid w:val="0078329D"/>
    <w:rsid w:val="00783590"/>
    <w:rsid w:val="00783805"/>
    <w:rsid w:val="00783D55"/>
    <w:rsid w:val="00783D78"/>
    <w:rsid w:val="00783F66"/>
    <w:rsid w:val="00783FA8"/>
    <w:rsid w:val="00783FCD"/>
    <w:rsid w:val="0078421F"/>
    <w:rsid w:val="00784480"/>
    <w:rsid w:val="00784660"/>
    <w:rsid w:val="00784864"/>
    <w:rsid w:val="00785193"/>
    <w:rsid w:val="0078541C"/>
    <w:rsid w:val="0078573E"/>
    <w:rsid w:val="00785821"/>
    <w:rsid w:val="00785BD9"/>
    <w:rsid w:val="00785E4C"/>
    <w:rsid w:val="00786019"/>
    <w:rsid w:val="00786084"/>
    <w:rsid w:val="0078615D"/>
    <w:rsid w:val="00786538"/>
    <w:rsid w:val="007865DE"/>
    <w:rsid w:val="00786616"/>
    <w:rsid w:val="00786635"/>
    <w:rsid w:val="0078666F"/>
    <w:rsid w:val="0078673D"/>
    <w:rsid w:val="00786877"/>
    <w:rsid w:val="007868BE"/>
    <w:rsid w:val="00786B67"/>
    <w:rsid w:val="00786BE0"/>
    <w:rsid w:val="00786DFD"/>
    <w:rsid w:val="0078701E"/>
    <w:rsid w:val="007872DC"/>
    <w:rsid w:val="00787588"/>
    <w:rsid w:val="007878CF"/>
    <w:rsid w:val="00787927"/>
    <w:rsid w:val="007901B0"/>
    <w:rsid w:val="00790441"/>
    <w:rsid w:val="00790487"/>
    <w:rsid w:val="0079074F"/>
    <w:rsid w:val="0079099B"/>
    <w:rsid w:val="00790A08"/>
    <w:rsid w:val="00790E0B"/>
    <w:rsid w:val="00791462"/>
    <w:rsid w:val="00791803"/>
    <w:rsid w:val="00791BF7"/>
    <w:rsid w:val="00791E5D"/>
    <w:rsid w:val="00791E71"/>
    <w:rsid w:val="00791EA7"/>
    <w:rsid w:val="007920C0"/>
    <w:rsid w:val="0079294E"/>
    <w:rsid w:val="00792DA1"/>
    <w:rsid w:val="007931DF"/>
    <w:rsid w:val="0079344C"/>
    <w:rsid w:val="007934A4"/>
    <w:rsid w:val="007938D0"/>
    <w:rsid w:val="0079399C"/>
    <w:rsid w:val="00793F64"/>
    <w:rsid w:val="00794127"/>
    <w:rsid w:val="007944DF"/>
    <w:rsid w:val="007947B7"/>
    <w:rsid w:val="00794944"/>
    <w:rsid w:val="00794A05"/>
    <w:rsid w:val="00794A3D"/>
    <w:rsid w:val="00794AF3"/>
    <w:rsid w:val="00794C18"/>
    <w:rsid w:val="00794D1A"/>
    <w:rsid w:val="00795109"/>
    <w:rsid w:val="00795282"/>
    <w:rsid w:val="007954DA"/>
    <w:rsid w:val="00795672"/>
    <w:rsid w:val="00795734"/>
    <w:rsid w:val="0079573F"/>
    <w:rsid w:val="00795CD4"/>
    <w:rsid w:val="00795D88"/>
    <w:rsid w:val="00796319"/>
    <w:rsid w:val="007964B7"/>
    <w:rsid w:val="00796636"/>
    <w:rsid w:val="0079674C"/>
    <w:rsid w:val="00796792"/>
    <w:rsid w:val="00796C67"/>
    <w:rsid w:val="00796D67"/>
    <w:rsid w:val="00797930"/>
    <w:rsid w:val="00797AD1"/>
    <w:rsid w:val="00797B94"/>
    <w:rsid w:val="00797BFF"/>
    <w:rsid w:val="00797E47"/>
    <w:rsid w:val="00797EC1"/>
    <w:rsid w:val="007A001D"/>
    <w:rsid w:val="007A03BF"/>
    <w:rsid w:val="007A05F1"/>
    <w:rsid w:val="007A080C"/>
    <w:rsid w:val="007A083D"/>
    <w:rsid w:val="007A0C3C"/>
    <w:rsid w:val="007A0CA0"/>
    <w:rsid w:val="007A13D7"/>
    <w:rsid w:val="007A199D"/>
    <w:rsid w:val="007A1A99"/>
    <w:rsid w:val="007A1C06"/>
    <w:rsid w:val="007A1DAF"/>
    <w:rsid w:val="007A21EA"/>
    <w:rsid w:val="007A2515"/>
    <w:rsid w:val="007A2645"/>
    <w:rsid w:val="007A26AD"/>
    <w:rsid w:val="007A297F"/>
    <w:rsid w:val="007A32F5"/>
    <w:rsid w:val="007A3463"/>
    <w:rsid w:val="007A360F"/>
    <w:rsid w:val="007A3A4D"/>
    <w:rsid w:val="007A3F52"/>
    <w:rsid w:val="007A42BE"/>
    <w:rsid w:val="007A45D8"/>
    <w:rsid w:val="007A46B8"/>
    <w:rsid w:val="007A4F5E"/>
    <w:rsid w:val="007A5227"/>
    <w:rsid w:val="007A52E4"/>
    <w:rsid w:val="007A5595"/>
    <w:rsid w:val="007A5746"/>
    <w:rsid w:val="007A594F"/>
    <w:rsid w:val="007A5C70"/>
    <w:rsid w:val="007A5D0C"/>
    <w:rsid w:val="007A5EAE"/>
    <w:rsid w:val="007A6517"/>
    <w:rsid w:val="007A6545"/>
    <w:rsid w:val="007A697A"/>
    <w:rsid w:val="007A6D97"/>
    <w:rsid w:val="007A6F15"/>
    <w:rsid w:val="007A7248"/>
    <w:rsid w:val="007A72C5"/>
    <w:rsid w:val="007A73F6"/>
    <w:rsid w:val="007A7467"/>
    <w:rsid w:val="007A7C25"/>
    <w:rsid w:val="007A7C50"/>
    <w:rsid w:val="007A7D7E"/>
    <w:rsid w:val="007B0267"/>
    <w:rsid w:val="007B0269"/>
    <w:rsid w:val="007B06C8"/>
    <w:rsid w:val="007B07E8"/>
    <w:rsid w:val="007B0C49"/>
    <w:rsid w:val="007B0D6D"/>
    <w:rsid w:val="007B0E8F"/>
    <w:rsid w:val="007B103A"/>
    <w:rsid w:val="007B16CF"/>
    <w:rsid w:val="007B17FE"/>
    <w:rsid w:val="007B199D"/>
    <w:rsid w:val="007B1BA4"/>
    <w:rsid w:val="007B1D5E"/>
    <w:rsid w:val="007B1E09"/>
    <w:rsid w:val="007B1FFB"/>
    <w:rsid w:val="007B2035"/>
    <w:rsid w:val="007B2144"/>
    <w:rsid w:val="007B21F4"/>
    <w:rsid w:val="007B28B2"/>
    <w:rsid w:val="007B2985"/>
    <w:rsid w:val="007B2A2C"/>
    <w:rsid w:val="007B2A79"/>
    <w:rsid w:val="007B2BB0"/>
    <w:rsid w:val="007B33CD"/>
    <w:rsid w:val="007B3899"/>
    <w:rsid w:val="007B3A75"/>
    <w:rsid w:val="007B3E16"/>
    <w:rsid w:val="007B3E8E"/>
    <w:rsid w:val="007B3FFD"/>
    <w:rsid w:val="007B42F2"/>
    <w:rsid w:val="007B49C4"/>
    <w:rsid w:val="007B4A93"/>
    <w:rsid w:val="007B4DB6"/>
    <w:rsid w:val="007B5585"/>
    <w:rsid w:val="007B5772"/>
    <w:rsid w:val="007B5777"/>
    <w:rsid w:val="007B57FC"/>
    <w:rsid w:val="007B58D8"/>
    <w:rsid w:val="007B5995"/>
    <w:rsid w:val="007B5F5B"/>
    <w:rsid w:val="007B614B"/>
    <w:rsid w:val="007B65F9"/>
    <w:rsid w:val="007B6687"/>
    <w:rsid w:val="007B698B"/>
    <w:rsid w:val="007B6DB4"/>
    <w:rsid w:val="007B70B9"/>
    <w:rsid w:val="007B7158"/>
    <w:rsid w:val="007B71C3"/>
    <w:rsid w:val="007B7392"/>
    <w:rsid w:val="007B75A7"/>
    <w:rsid w:val="007B79FB"/>
    <w:rsid w:val="007B7EBB"/>
    <w:rsid w:val="007C003F"/>
    <w:rsid w:val="007C021F"/>
    <w:rsid w:val="007C0428"/>
    <w:rsid w:val="007C0ABD"/>
    <w:rsid w:val="007C0C20"/>
    <w:rsid w:val="007C0CE6"/>
    <w:rsid w:val="007C0FDC"/>
    <w:rsid w:val="007C142C"/>
    <w:rsid w:val="007C153A"/>
    <w:rsid w:val="007C1577"/>
    <w:rsid w:val="007C198B"/>
    <w:rsid w:val="007C1A0F"/>
    <w:rsid w:val="007C1BF5"/>
    <w:rsid w:val="007C1D2A"/>
    <w:rsid w:val="007C1FC2"/>
    <w:rsid w:val="007C2458"/>
    <w:rsid w:val="007C2D63"/>
    <w:rsid w:val="007C2D64"/>
    <w:rsid w:val="007C2DDA"/>
    <w:rsid w:val="007C2F26"/>
    <w:rsid w:val="007C30D2"/>
    <w:rsid w:val="007C3113"/>
    <w:rsid w:val="007C3156"/>
    <w:rsid w:val="007C3694"/>
    <w:rsid w:val="007C3C0E"/>
    <w:rsid w:val="007C3F0C"/>
    <w:rsid w:val="007C4274"/>
    <w:rsid w:val="007C4522"/>
    <w:rsid w:val="007C4DBA"/>
    <w:rsid w:val="007C4E5D"/>
    <w:rsid w:val="007C512B"/>
    <w:rsid w:val="007C514C"/>
    <w:rsid w:val="007C52CC"/>
    <w:rsid w:val="007C53FF"/>
    <w:rsid w:val="007C55BD"/>
    <w:rsid w:val="007C563A"/>
    <w:rsid w:val="007C5655"/>
    <w:rsid w:val="007C5EC4"/>
    <w:rsid w:val="007C6267"/>
    <w:rsid w:val="007C62FC"/>
    <w:rsid w:val="007C63FF"/>
    <w:rsid w:val="007C65CC"/>
    <w:rsid w:val="007C6B66"/>
    <w:rsid w:val="007C6CE9"/>
    <w:rsid w:val="007C71B4"/>
    <w:rsid w:val="007C7314"/>
    <w:rsid w:val="007C75E5"/>
    <w:rsid w:val="007C76B6"/>
    <w:rsid w:val="007C7CB4"/>
    <w:rsid w:val="007C7F57"/>
    <w:rsid w:val="007D0164"/>
    <w:rsid w:val="007D0940"/>
    <w:rsid w:val="007D0961"/>
    <w:rsid w:val="007D0F24"/>
    <w:rsid w:val="007D1499"/>
    <w:rsid w:val="007D177F"/>
    <w:rsid w:val="007D189C"/>
    <w:rsid w:val="007D1D33"/>
    <w:rsid w:val="007D1E7F"/>
    <w:rsid w:val="007D2C99"/>
    <w:rsid w:val="007D37BD"/>
    <w:rsid w:val="007D37ED"/>
    <w:rsid w:val="007D3AC5"/>
    <w:rsid w:val="007D3CCD"/>
    <w:rsid w:val="007D3EDE"/>
    <w:rsid w:val="007D400D"/>
    <w:rsid w:val="007D4233"/>
    <w:rsid w:val="007D47EA"/>
    <w:rsid w:val="007D492F"/>
    <w:rsid w:val="007D4C05"/>
    <w:rsid w:val="007D5600"/>
    <w:rsid w:val="007D5673"/>
    <w:rsid w:val="007D5683"/>
    <w:rsid w:val="007D5831"/>
    <w:rsid w:val="007D585B"/>
    <w:rsid w:val="007D5BDE"/>
    <w:rsid w:val="007D62E7"/>
    <w:rsid w:val="007D6809"/>
    <w:rsid w:val="007D6872"/>
    <w:rsid w:val="007D688C"/>
    <w:rsid w:val="007D6D92"/>
    <w:rsid w:val="007D6EB6"/>
    <w:rsid w:val="007D7174"/>
    <w:rsid w:val="007D71D1"/>
    <w:rsid w:val="007D7611"/>
    <w:rsid w:val="007E00CA"/>
    <w:rsid w:val="007E019F"/>
    <w:rsid w:val="007E075D"/>
    <w:rsid w:val="007E094A"/>
    <w:rsid w:val="007E0AD2"/>
    <w:rsid w:val="007E0DEA"/>
    <w:rsid w:val="007E11B1"/>
    <w:rsid w:val="007E1590"/>
    <w:rsid w:val="007E161E"/>
    <w:rsid w:val="007E1657"/>
    <w:rsid w:val="007E18DA"/>
    <w:rsid w:val="007E1D22"/>
    <w:rsid w:val="007E1E4D"/>
    <w:rsid w:val="007E257A"/>
    <w:rsid w:val="007E2B3C"/>
    <w:rsid w:val="007E2EEB"/>
    <w:rsid w:val="007E2F05"/>
    <w:rsid w:val="007E3256"/>
    <w:rsid w:val="007E37EC"/>
    <w:rsid w:val="007E381B"/>
    <w:rsid w:val="007E3970"/>
    <w:rsid w:val="007E3AAA"/>
    <w:rsid w:val="007E3F16"/>
    <w:rsid w:val="007E4052"/>
    <w:rsid w:val="007E4851"/>
    <w:rsid w:val="007E49B9"/>
    <w:rsid w:val="007E4E92"/>
    <w:rsid w:val="007E5002"/>
    <w:rsid w:val="007E522C"/>
    <w:rsid w:val="007E5773"/>
    <w:rsid w:val="007E597B"/>
    <w:rsid w:val="007E5FDC"/>
    <w:rsid w:val="007E60CD"/>
    <w:rsid w:val="007E6451"/>
    <w:rsid w:val="007E66D5"/>
    <w:rsid w:val="007E6894"/>
    <w:rsid w:val="007E6AC9"/>
    <w:rsid w:val="007E6BFF"/>
    <w:rsid w:val="007E6C8B"/>
    <w:rsid w:val="007E6CE2"/>
    <w:rsid w:val="007E77DE"/>
    <w:rsid w:val="007E79D4"/>
    <w:rsid w:val="007E7BB1"/>
    <w:rsid w:val="007F0254"/>
    <w:rsid w:val="007F0386"/>
    <w:rsid w:val="007F0434"/>
    <w:rsid w:val="007F0759"/>
    <w:rsid w:val="007F07F5"/>
    <w:rsid w:val="007F0DF6"/>
    <w:rsid w:val="007F101D"/>
    <w:rsid w:val="007F14D7"/>
    <w:rsid w:val="007F14F4"/>
    <w:rsid w:val="007F14FB"/>
    <w:rsid w:val="007F1532"/>
    <w:rsid w:val="007F1602"/>
    <w:rsid w:val="007F19C8"/>
    <w:rsid w:val="007F1A4D"/>
    <w:rsid w:val="007F1BF1"/>
    <w:rsid w:val="007F1F86"/>
    <w:rsid w:val="007F216E"/>
    <w:rsid w:val="007F2349"/>
    <w:rsid w:val="007F2373"/>
    <w:rsid w:val="007F24A7"/>
    <w:rsid w:val="007F2890"/>
    <w:rsid w:val="007F2C11"/>
    <w:rsid w:val="007F2C5F"/>
    <w:rsid w:val="007F34A8"/>
    <w:rsid w:val="007F36CB"/>
    <w:rsid w:val="007F39EA"/>
    <w:rsid w:val="007F3A81"/>
    <w:rsid w:val="007F4350"/>
    <w:rsid w:val="007F45AA"/>
    <w:rsid w:val="007F46CA"/>
    <w:rsid w:val="007F4A32"/>
    <w:rsid w:val="007F4D07"/>
    <w:rsid w:val="007F4E91"/>
    <w:rsid w:val="007F4F84"/>
    <w:rsid w:val="007F5062"/>
    <w:rsid w:val="007F54FC"/>
    <w:rsid w:val="007F5AC6"/>
    <w:rsid w:val="007F5C38"/>
    <w:rsid w:val="007F6080"/>
    <w:rsid w:val="007F65C8"/>
    <w:rsid w:val="007F66D2"/>
    <w:rsid w:val="007F692F"/>
    <w:rsid w:val="007F6B49"/>
    <w:rsid w:val="007F6DCF"/>
    <w:rsid w:val="007F6E11"/>
    <w:rsid w:val="007F70B4"/>
    <w:rsid w:val="007F70DC"/>
    <w:rsid w:val="007F7176"/>
    <w:rsid w:val="007F78EA"/>
    <w:rsid w:val="007F7A05"/>
    <w:rsid w:val="007F7AC1"/>
    <w:rsid w:val="007F7B3E"/>
    <w:rsid w:val="007F7E39"/>
    <w:rsid w:val="007F7FD0"/>
    <w:rsid w:val="008001C1"/>
    <w:rsid w:val="00800E16"/>
    <w:rsid w:val="00800ECE"/>
    <w:rsid w:val="00801091"/>
    <w:rsid w:val="008013C0"/>
    <w:rsid w:val="008015AE"/>
    <w:rsid w:val="008017AD"/>
    <w:rsid w:val="00801CA9"/>
    <w:rsid w:val="0080204D"/>
    <w:rsid w:val="008027C9"/>
    <w:rsid w:val="00802B17"/>
    <w:rsid w:val="00802BA0"/>
    <w:rsid w:val="00802BF7"/>
    <w:rsid w:val="00802CC6"/>
    <w:rsid w:val="00802D04"/>
    <w:rsid w:val="00802DB1"/>
    <w:rsid w:val="00802E51"/>
    <w:rsid w:val="00802E77"/>
    <w:rsid w:val="00802F19"/>
    <w:rsid w:val="00802F48"/>
    <w:rsid w:val="00802FE2"/>
    <w:rsid w:val="0080307C"/>
    <w:rsid w:val="008031F2"/>
    <w:rsid w:val="00803201"/>
    <w:rsid w:val="00803499"/>
    <w:rsid w:val="00803783"/>
    <w:rsid w:val="008039DA"/>
    <w:rsid w:val="00803C97"/>
    <w:rsid w:val="00803D85"/>
    <w:rsid w:val="00803F2E"/>
    <w:rsid w:val="008042F3"/>
    <w:rsid w:val="00804483"/>
    <w:rsid w:val="0080455B"/>
    <w:rsid w:val="0080474D"/>
    <w:rsid w:val="008048FF"/>
    <w:rsid w:val="00804944"/>
    <w:rsid w:val="00804988"/>
    <w:rsid w:val="00804A55"/>
    <w:rsid w:val="00805092"/>
    <w:rsid w:val="00805157"/>
    <w:rsid w:val="00805280"/>
    <w:rsid w:val="008054A3"/>
    <w:rsid w:val="008054A7"/>
    <w:rsid w:val="008055DD"/>
    <w:rsid w:val="0080597D"/>
    <w:rsid w:val="008059A7"/>
    <w:rsid w:val="008059F7"/>
    <w:rsid w:val="00806191"/>
    <w:rsid w:val="00806A65"/>
    <w:rsid w:val="00806AC3"/>
    <w:rsid w:val="00806C33"/>
    <w:rsid w:val="0080714E"/>
    <w:rsid w:val="008071A0"/>
    <w:rsid w:val="008071DD"/>
    <w:rsid w:val="008073A1"/>
    <w:rsid w:val="008073D7"/>
    <w:rsid w:val="00807566"/>
    <w:rsid w:val="008078C2"/>
    <w:rsid w:val="00807B88"/>
    <w:rsid w:val="0081011D"/>
    <w:rsid w:val="00810288"/>
    <w:rsid w:val="008104EC"/>
    <w:rsid w:val="00810B02"/>
    <w:rsid w:val="00810F36"/>
    <w:rsid w:val="008111FC"/>
    <w:rsid w:val="00811705"/>
    <w:rsid w:val="008117F3"/>
    <w:rsid w:val="00811883"/>
    <w:rsid w:val="00811A93"/>
    <w:rsid w:val="00811F0B"/>
    <w:rsid w:val="00812173"/>
    <w:rsid w:val="00812230"/>
    <w:rsid w:val="00812618"/>
    <w:rsid w:val="0081275A"/>
    <w:rsid w:val="00812912"/>
    <w:rsid w:val="00812D76"/>
    <w:rsid w:val="00812FA1"/>
    <w:rsid w:val="00813203"/>
    <w:rsid w:val="00813411"/>
    <w:rsid w:val="008135CE"/>
    <w:rsid w:val="008135D8"/>
    <w:rsid w:val="008137B0"/>
    <w:rsid w:val="008140F1"/>
    <w:rsid w:val="008153DB"/>
    <w:rsid w:val="008155B7"/>
    <w:rsid w:val="00815B39"/>
    <w:rsid w:val="00815C9A"/>
    <w:rsid w:val="00815D4C"/>
    <w:rsid w:val="00815E80"/>
    <w:rsid w:val="00816090"/>
    <w:rsid w:val="0081625E"/>
    <w:rsid w:val="0081665C"/>
    <w:rsid w:val="008168D2"/>
    <w:rsid w:val="00816D48"/>
    <w:rsid w:val="00816EAA"/>
    <w:rsid w:val="00817072"/>
    <w:rsid w:val="00817299"/>
    <w:rsid w:val="008172DD"/>
    <w:rsid w:val="00817754"/>
    <w:rsid w:val="00817AA6"/>
    <w:rsid w:val="00817E54"/>
    <w:rsid w:val="0082004F"/>
    <w:rsid w:val="008210FF"/>
    <w:rsid w:val="00821132"/>
    <w:rsid w:val="00821221"/>
    <w:rsid w:val="008218E3"/>
    <w:rsid w:val="0082191F"/>
    <w:rsid w:val="00821985"/>
    <w:rsid w:val="00821AB5"/>
    <w:rsid w:val="00821C07"/>
    <w:rsid w:val="00821DC9"/>
    <w:rsid w:val="00821EAE"/>
    <w:rsid w:val="00822307"/>
    <w:rsid w:val="00822412"/>
    <w:rsid w:val="00822551"/>
    <w:rsid w:val="0082271F"/>
    <w:rsid w:val="0082312B"/>
    <w:rsid w:val="0082353C"/>
    <w:rsid w:val="00823B52"/>
    <w:rsid w:val="00823B8F"/>
    <w:rsid w:val="00823CD3"/>
    <w:rsid w:val="00823FC2"/>
    <w:rsid w:val="00824A4D"/>
    <w:rsid w:val="00824D41"/>
    <w:rsid w:val="00824FAE"/>
    <w:rsid w:val="008252F0"/>
    <w:rsid w:val="008257F5"/>
    <w:rsid w:val="008259CB"/>
    <w:rsid w:val="008259DC"/>
    <w:rsid w:val="00825A17"/>
    <w:rsid w:val="00825C4F"/>
    <w:rsid w:val="00825E38"/>
    <w:rsid w:val="00826066"/>
    <w:rsid w:val="008261D1"/>
    <w:rsid w:val="008261E8"/>
    <w:rsid w:val="00826275"/>
    <w:rsid w:val="00826448"/>
    <w:rsid w:val="0082659D"/>
    <w:rsid w:val="00826765"/>
    <w:rsid w:val="00826954"/>
    <w:rsid w:val="00826E99"/>
    <w:rsid w:val="00826FFD"/>
    <w:rsid w:val="00827B74"/>
    <w:rsid w:val="008300C0"/>
    <w:rsid w:val="00830224"/>
    <w:rsid w:val="008303C8"/>
    <w:rsid w:val="0083041A"/>
    <w:rsid w:val="008304BE"/>
    <w:rsid w:val="00830668"/>
    <w:rsid w:val="008308F8"/>
    <w:rsid w:val="0083102E"/>
    <w:rsid w:val="00831211"/>
    <w:rsid w:val="008313D9"/>
    <w:rsid w:val="008313F2"/>
    <w:rsid w:val="0083157A"/>
    <w:rsid w:val="00831693"/>
    <w:rsid w:val="008316CE"/>
    <w:rsid w:val="00831723"/>
    <w:rsid w:val="0083179E"/>
    <w:rsid w:val="008319B6"/>
    <w:rsid w:val="008322FE"/>
    <w:rsid w:val="00832365"/>
    <w:rsid w:val="0083261D"/>
    <w:rsid w:val="00832B70"/>
    <w:rsid w:val="00832C90"/>
    <w:rsid w:val="00833066"/>
    <w:rsid w:val="008335B4"/>
    <w:rsid w:val="00833624"/>
    <w:rsid w:val="00833B0B"/>
    <w:rsid w:val="00833EDF"/>
    <w:rsid w:val="00834381"/>
    <w:rsid w:val="0083452B"/>
    <w:rsid w:val="0083466D"/>
    <w:rsid w:val="00834C84"/>
    <w:rsid w:val="00834C92"/>
    <w:rsid w:val="00834CB8"/>
    <w:rsid w:val="00834EDE"/>
    <w:rsid w:val="008358AB"/>
    <w:rsid w:val="0083612C"/>
    <w:rsid w:val="0083637E"/>
    <w:rsid w:val="00836605"/>
    <w:rsid w:val="0083688B"/>
    <w:rsid w:val="00836A5E"/>
    <w:rsid w:val="00836D27"/>
    <w:rsid w:val="00836D99"/>
    <w:rsid w:val="00836F67"/>
    <w:rsid w:val="00837607"/>
    <w:rsid w:val="008377D6"/>
    <w:rsid w:val="00837CFF"/>
    <w:rsid w:val="00837D52"/>
    <w:rsid w:val="00837DEE"/>
    <w:rsid w:val="0084008A"/>
    <w:rsid w:val="00840293"/>
    <w:rsid w:val="008405C2"/>
    <w:rsid w:val="00840643"/>
    <w:rsid w:val="00840889"/>
    <w:rsid w:val="00840C81"/>
    <w:rsid w:val="008410B6"/>
    <w:rsid w:val="008413D2"/>
    <w:rsid w:val="008413FA"/>
    <w:rsid w:val="0084154E"/>
    <w:rsid w:val="00841DCC"/>
    <w:rsid w:val="00841DE6"/>
    <w:rsid w:val="00841E6C"/>
    <w:rsid w:val="0084237C"/>
    <w:rsid w:val="00842994"/>
    <w:rsid w:val="00842A18"/>
    <w:rsid w:val="00842B04"/>
    <w:rsid w:val="00842C58"/>
    <w:rsid w:val="00843141"/>
    <w:rsid w:val="0084354D"/>
    <w:rsid w:val="00843564"/>
    <w:rsid w:val="0084382D"/>
    <w:rsid w:val="00843AE1"/>
    <w:rsid w:val="00843C1E"/>
    <w:rsid w:val="00843D3E"/>
    <w:rsid w:val="00843E64"/>
    <w:rsid w:val="00844826"/>
    <w:rsid w:val="00844960"/>
    <w:rsid w:val="008451C5"/>
    <w:rsid w:val="00845358"/>
    <w:rsid w:val="008454F3"/>
    <w:rsid w:val="0084579B"/>
    <w:rsid w:val="00845BD2"/>
    <w:rsid w:val="00845C04"/>
    <w:rsid w:val="00845D74"/>
    <w:rsid w:val="00845E45"/>
    <w:rsid w:val="00845E5F"/>
    <w:rsid w:val="008463D3"/>
    <w:rsid w:val="00846467"/>
    <w:rsid w:val="00846570"/>
    <w:rsid w:val="00846925"/>
    <w:rsid w:val="00846B22"/>
    <w:rsid w:val="0084708D"/>
    <w:rsid w:val="00847468"/>
    <w:rsid w:val="008477DF"/>
    <w:rsid w:val="00847C7B"/>
    <w:rsid w:val="00847EFC"/>
    <w:rsid w:val="00847F6A"/>
    <w:rsid w:val="00847F71"/>
    <w:rsid w:val="00850087"/>
    <w:rsid w:val="0085030C"/>
    <w:rsid w:val="00850503"/>
    <w:rsid w:val="00850A9E"/>
    <w:rsid w:val="00850C5E"/>
    <w:rsid w:val="00850FFA"/>
    <w:rsid w:val="008516A3"/>
    <w:rsid w:val="00851B9E"/>
    <w:rsid w:val="00851D71"/>
    <w:rsid w:val="00851F41"/>
    <w:rsid w:val="00852289"/>
    <w:rsid w:val="008523FC"/>
    <w:rsid w:val="008524E1"/>
    <w:rsid w:val="008528A8"/>
    <w:rsid w:val="008530ED"/>
    <w:rsid w:val="00853231"/>
    <w:rsid w:val="00853400"/>
    <w:rsid w:val="008535D5"/>
    <w:rsid w:val="008535E5"/>
    <w:rsid w:val="008538F5"/>
    <w:rsid w:val="00853B44"/>
    <w:rsid w:val="008543FD"/>
    <w:rsid w:val="00854562"/>
    <w:rsid w:val="008545C7"/>
    <w:rsid w:val="008546BE"/>
    <w:rsid w:val="00854C6A"/>
    <w:rsid w:val="00854CFE"/>
    <w:rsid w:val="00854D31"/>
    <w:rsid w:val="00854D56"/>
    <w:rsid w:val="00855011"/>
    <w:rsid w:val="00855190"/>
    <w:rsid w:val="0085570F"/>
    <w:rsid w:val="00855734"/>
    <w:rsid w:val="00855848"/>
    <w:rsid w:val="00855B85"/>
    <w:rsid w:val="00855BD2"/>
    <w:rsid w:val="00855C0B"/>
    <w:rsid w:val="00855C87"/>
    <w:rsid w:val="00855D4B"/>
    <w:rsid w:val="00855F77"/>
    <w:rsid w:val="008563FC"/>
    <w:rsid w:val="00856557"/>
    <w:rsid w:val="00856A7B"/>
    <w:rsid w:val="00856B45"/>
    <w:rsid w:val="00856DE4"/>
    <w:rsid w:val="0085705B"/>
    <w:rsid w:val="008575C5"/>
    <w:rsid w:val="008575EB"/>
    <w:rsid w:val="008576AC"/>
    <w:rsid w:val="0085796E"/>
    <w:rsid w:val="00857994"/>
    <w:rsid w:val="00857EDA"/>
    <w:rsid w:val="008600B1"/>
    <w:rsid w:val="0086068B"/>
    <w:rsid w:val="00860998"/>
    <w:rsid w:val="00861123"/>
    <w:rsid w:val="008613FA"/>
    <w:rsid w:val="008615C1"/>
    <w:rsid w:val="008615EA"/>
    <w:rsid w:val="00861622"/>
    <w:rsid w:val="0086190E"/>
    <w:rsid w:val="00861FEA"/>
    <w:rsid w:val="00862733"/>
    <w:rsid w:val="008628A0"/>
    <w:rsid w:val="00862B7F"/>
    <w:rsid w:val="0086301B"/>
    <w:rsid w:val="008631AE"/>
    <w:rsid w:val="00863249"/>
    <w:rsid w:val="008632E3"/>
    <w:rsid w:val="008634F5"/>
    <w:rsid w:val="0086362A"/>
    <w:rsid w:val="00863682"/>
    <w:rsid w:val="00863A2B"/>
    <w:rsid w:val="00863B97"/>
    <w:rsid w:val="00863D61"/>
    <w:rsid w:val="00863EF0"/>
    <w:rsid w:val="008640D4"/>
    <w:rsid w:val="00864118"/>
    <w:rsid w:val="00864289"/>
    <w:rsid w:val="0086438C"/>
    <w:rsid w:val="00864526"/>
    <w:rsid w:val="0086479C"/>
    <w:rsid w:val="00864812"/>
    <w:rsid w:val="00864ACF"/>
    <w:rsid w:val="00864EAC"/>
    <w:rsid w:val="008656DE"/>
    <w:rsid w:val="00865A45"/>
    <w:rsid w:val="00865BA2"/>
    <w:rsid w:val="00865FF4"/>
    <w:rsid w:val="008660A4"/>
    <w:rsid w:val="0086617D"/>
    <w:rsid w:val="0086636F"/>
    <w:rsid w:val="0086644F"/>
    <w:rsid w:val="00866493"/>
    <w:rsid w:val="008672E3"/>
    <w:rsid w:val="008676D6"/>
    <w:rsid w:val="008676F6"/>
    <w:rsid w:val="0086771B"/>
    <w:rsid w:val="00867996"/>
    <w:rsid w:val="00867DDC"/>
    <w:rsid w:val="00870259"/>
    <w:rsid w:val="008703EB"/>
    <w:rsid w:val="00870A79"/>
    <w:rsid w:val="00870FA5"/>
    <w:rsid w:val="0087111A"/>
    <w:rsid w:val="00871371"/>
    <w:rsid w:val="00871C8B"/>
    <w:rsid w:val="0087301F"/>
    <w:rsid w:val="00873054"/>
    <w:rsid w:val="008730CA"/>
    <w:rsid w:val="00873628"/>
    <w:rsid w:val="00873665"/>
    <w:rsid w:val="008736DA"/>
    <w:rsid w:val="00873843"/>
    <w:rsid w:val="00873C55"/>
    <w:rsid w:val="00873D48"/>
    <w:rsid w:val="00873F03"/>
    <w:rsid w:val="00874140"/>
    <w:rsid w:val="00874281"/>
    <w:rsid w:val="008748B5"/>
    <w:rsid w:val="008748F9"/>
    <w:rsid w:val="00874947"/>
    <w:rsid w:val="00874DAF"/>
    <w:rsid w:val="008750BA"/>
    <w:rsid w:val="008753CC"/>
    <w:rsid w:val="0087552D"/>
    <w:rsid w:val="00875570"/>
    <w:rsid w:val="00875580"/>
    <w:rsid w:val="008756FA"/>
    <w:rsid w:val="00875777"/>
    <w:rsid w:val="008758DB"/>
    <w:rsid w:val="00875EE3"/>
    <w:rsid w:val="008764F1"/>
    <w:rsid w:val="00876602"/>
    <w:rsid w:val="008767B7"/>
    <w:rsid w:val="00876932"/>
    <w:rsid w:val="00876C29"/>
    <w:rsid w:val="00876DE6"/>
    <w:rsid w:val="00877040"/>
    <w:rsid w:val="008777B5"/>
    <w:rsid w:val="008778A0"/>
    <w:rsid w:val="00877C24"/>
    <w:rsid w:val="00877E8E"/>
    <w:rsid w:val="00877FD4"/>
    <w:rsid w:val="008801AA"/>
    <w:rsid w:val="00880265"/>
    <w:rsid w:val="008807BB"/>
    <w:rsid w:val="008807C1"/>
    <w:rsid w:val="0088080F"/>
    <w:rsid w:val="008808EB"/>
    <w:rsid w:val="008809CF"/>
    <w:rsid w:val="008809F1"/>
    <w:rsid w:val="00880A42"/>
    <w:rsid w:val="00880C3A"/>
    <w:rsid w:val="00880D13"/>
    <w:rsid w:val="00880E2D"/>
    <w:rsid w:val="008810A7"/>
    <w:rsid w:val="008813C1"/>
    <w:rsid w:val="0088149A"/>
    <w:rsid w:val="00881913"/>
    <w:rsid w:val="00881BD0"/>
    <w:rsid w:val="00881BF4"/>
    <w:rsid w:val="00881D62"/>
    <w:rsid w:val="00881EF1"/>
    <w:rsid w:val="008823BD"/>
    <w:rsid w:val="00882ABF"/>
    <w:rsid w:val="00882EB9"/>
    <w:rsid w:val="00883128"/>
    <w:rsid w:val="008839D9"/>
    <w:rsid w:val="00883D71"/>
    <w:rsid w:val="00884102"/>
    <w:rsid w:val="008842FF"/>
    <w:rsid w:val="008843DE"/>
    <w:rsid w:val="008844E7"/>
    <w:rsid w:val="00884722"/>
    <w:rsid w:val="00884801"/>
    <w:rsid w:val="00885A7D"/>
    <w:rsid w:val="00885F25"/>
    <w:rsid w:val="00886075"/>
    <w:rsid w:val="00886264"/>
    <w:rsid w:val="00886380"/>
    <w:rsid w:val="00886951"/>
    <w:rsid w:val="00886B00"/>
    <w:rsid w:val="00887025"/>
    <w:rsid w:val="008871F3"/>
    <w:rsid w:val="00887382"/>
    <w:rsid w:val="008873CE"/>
    <w:rsid w:val="00887A21"/>
    <w:rsid w:val="00887AF8"/>
    <w:rsid w:val="00890753"/>
    <w:rsid w:val="008909A3"/>
    <w:rsid w:val="00890BF5"/>
    <w:rsid w:val="00890EE6"/>
    <w:rsid w:val="00890EFE"/>
    <w:rsid w:val="0089166E"/>
    <w:rsid w:val="00891810"/>
    <w:rsid w:val="00891903"/>
    <w:rsid w:val="00891D27"/>
    <w:rsid w:val="00891DC5"/>
    <w:rsid w:val="00891DDF"/>
    <w:rsid w:val="00891E2B"/>
    <w:rsid w:val="00892360"/>
    <w:rsid w:val="00892571"/>
    <w:rsid w:val="008926EF"/>
    <w:rsid w:val="0089296D"/>
    <w:rsid w:val="00893488"/>
    <w:rsid w:val="00893E82"/>
    <w:rsid w:val="00893ED9"/>
    <w:rsid w:val="00893FB6"/>
    <w:rsid w:val="00894073"/>
    <w:rsid w:val="008946C5"/>
    <w:rsid w:val="00894988"/>
    <w:rsid w:val="008951B3"/>
    <w:rsid w:val="00895466"/>
    <w:rsid w:val="00895617"/>
    <w:rsid w:val="00895C37"/>
    <w:rsid w:val="00895E7F"/>
    <w:rsid w:val="00895EE6"/>
    <w:rsid w:val="00896047"/>
    <w:rsid w:val="0089640F"/>
    <w:rsid w:val="008965A7"/>
    <w:rsid w:val="00896603"/>
    <w:rsid w:val="008967A6"/>
    <w:rsid w:val="00896BCA"/>
    <w:rsid w:val="00896D3D"/>
    <w:rsid w:val="00896EBE"/>
    <w:rsid w:val="0089713D"/>
    <w:rsid w:val="008973C0"/>
    <w:rsid w:val="00897505"/>
    <w:rsid w:val="00897709"/>
    <w:rsid w:val="00897BB1"/>
    <w:rsid w:val="00897CEA"/>
    <w:rsid w:val="008A008E"/>
    <w:rsid w:val="008A0851"/>
    <w:rsid w:val="008A0CD2"/>
    <w:rsid w:val="008A0FA8"/>
    <w:rsid w:val="008A10FA"/>
    <w:rsid w:val="008A20B6"/>
    <w:rsid w:val="008A22D9"/>
    <w:rsid w:val="008A24D7"/>
    <w:rsid w:val="008A29F6"/>
    <w:rsid w:val="008A2BEC"/>
    <w:rsid w:val="008A2D3A"/>
    <w:rsid w:val="008A30CE"/>
    <w:rsid w:val="008A30D4"/>
    <w:rsid w:val="008A3177"/>
    <w:rsid w:val="008A339A"/>
    <w:rsid w:val="008A33B9"/>
    <w:rsid w:val="008A3B69"/>
    <w:rsid w:val="008A3FAB"/>
    <w:rsid w:val="008A4164"/>
    <w:rsid w:val="008A4361"/>
    <w:rsid w:val="008A487C"/>
    <w:rsid w:val="008A4B65"/>
    <w:rsid w:val="008A4F45"/>
    <w:rsid w:val="008A5166"/>
    <w:rsid w:val="008A52BD"/>
    <w:rsid w:val="008A536A"/>
    <w:rsid w:val="008A55E6"/>
    <w:rsid w:val="008A5837"/>
    <w:rsid w:val="008A59A2"/>
    <w:rsid w:val="008A5A3D"/>
    <w:rsid w:val="008A5C0E"/>
    <w:rsid w:val="008A60F3"/>
    <w:rsid w:val="008A6265"/>
    <w:rsid w:val="008A63FC"/>
    <w:rsid w:val="008A6574"/>
    <w:rsid w:val="008A6629"/>
    <w:rsid w:val="008A665A"/>
    <w:rsid w:val="008A6897"/>
    <w:rsid w:val="008A69FC"/>
    <w:rsid w:val="008A6A0A"/>
    <w:rsid w:val="008A6B45"/>
    <w:rsid w:val="008A6B7B"/>
    <w:rsid w:val="008A6B7D"/>
    <w:rsid w:val="008A6D4A"/>
    <w:rsid w:val="008A70C8"/>
    <w:rsid w:val="008A7574"/>
    <w:rsid w:val="008A761E"/>
    <w:rsid w:val="008A7715"/>
    <w:rsid w:val="008A7919"/>
    <w:rsid w:val="008B021E"/>
    <w:rsid w:val="008B0540"/>
    <w:rsid w:val="008B0580"/>
    <w:rsid w:val="008B0697"/>
    <w:rsid w:val="008B070A"/>
    <w:rsid w:val="008B0CED"/>
    <w:rsid w:val="008B0D10"/>
    <w:rsid w:val="008B0D94"/>
    <w:rsid w:val="008B0F94"/>
    <w:rsid w:val="008B0FD5"/>
    <w:rsid w:val="008B110E"/>
    <w:rsid w:val="008B12A7"/>
    <w:rsid w:val="008B1397"/>
    <w:rsid w:val="008B1823"/>
    <w:rsid w:val="008B184C"/>
    <w:rsid w:val="008B1EB8"/>
    <w:rsid w:val="008B1F6E"/>
    <w:rsid w:val="008B1FB7"/>
    <w:rsid w:val="008B200E"/>
    <w:rsid w:val="008B20B4"/>
    <w:rsid w:val="008B21F0"/>
    <w:rsid w:val="008B2551"/>
    <w:rsid w:val="008B2949"/>
    <w:rsid w:val="008B2B77"/>
    <w:rsid w:val="008B2B91"/>
    <w:rsid w:val="008B31D1"/>
    <w:rsid w:val="008B365C"/>
    <w:rsid w:val="008B3834"/>
    <w:rsid w:val="008B3C22"/>
    <w:rsid w:val="008B42E5"/>
    <w:rsid w:val="008B4482"/>
    <w:rsid w:val="008B4496"/>
    <w:rsid w:val="008B4572"/>
    <w:rsid w:val="008B457B"/>
    <w:rsid w:val="008B46DC"/>
    <w:rsid w:val="008B4CCB"/>
    <w:rsid w:val="008B4EF4"/>
    <w:rsid w:val="008B5549"/>
    <w:rsid w:val="008B5E55"/>
    <w:rsid w:val="008B5F40"/>
    <w:rsid w:val="008B6609"/>
    <w:rsid w:val="008B6669"/>
    <w:rsid w:val="008B683A"/>
    <w:rsid w:val="008B6ABD"/>
    <w:rsid w:val="008B6C90"/>
    <w:rsid w:val="008B6DDD"/>
    <w:rsid w:val="008B701D"/>
    <w:rsid w:val="008B73A8"/>
    <w:rsid w:val="008B73E8"/>
    <w:rsid w:val="008B7C05"/>
    <w:rsid w:val="008B7F69"/>
    <w:rsid w:val="008C0231"/>
    <w:rsid w:val="008C0791"/>
    <w:rsid w:val="008C07CC"/>
    <w:rsid w:val="008C0BB1"/>
    <w:rsid w:val="008C0EB5"/>
    <w:rsid w:val="008C1310"/>
    <w:rsid w:val="008C1422"/>
    <w:rsid w:val="008C175F"/>
    <w:rsid w:val="008C1764"/>
    <w:rsid w:val="008C2157"/>
    <w:rsid w:val="008C2B8E"/>
    <w:rsid w:val="008C2BA2"/>
    <w:rsid w:val="008C2CA8"/>
    <w:rsid w:val="008C2DCD"/>
    <w:rsid w:val="008C2E8A"/>
    <w:rsid w:val="008C3445"/>
    <w:rsid w:val="008C42E2"/>
    <w:rsid w:val="008C4808"/>
    <w:rsid w:val="008C4A15"/>
    <w:rsid w:val="008C4E33"/>
    <w:rsid w:val="008C520E"/>
    <w:rsid w:val="008C5400"/>
    <w:rsid w:val="008C5746"/>
    <w:rsid w:val="008C5AAD"/>
    <w:rsid w:val="008C5CCF"/>
    <w:rsid w:val="008C5EBF"/>
    <w:rsid w:val="008C612B"/>
    <w:rsid w:val="008C6150"/>
    <w:rsid w:val="008C66AD"/>
    <w:rsid w:val="008C67F6"/>
    <w:rsid w:val="008C6914"/>
    <w:rsid w:val="008C6EEA"/>
    <w:rsid w:val="008C6EF1"/>
    <w:rsid w:val="008C70B9"/>
    <w:rsid w:val="008C74A9"/>
    <w:rsid w:val="008C75EF"/>
    <w:rsid w:val="008C76C1"/>
    <w:rsid w:val="008C7898"/>
    <w:rsid w:val="008C799B"/>
    <w:rsid w:val="008C7ACC"/>
    <w:rsid w:val="008D01F9"/>
    <w:rsid w:val="008D098E"/>
    <w:rsid w:val="008D0D18"/>
    <w:rsid w:val="008D19A5"/>
    <w:rsid w:val="008D1D16"/>
    <w:rsid w:val="008D2144"/>
    <w:rsid w:val="008D214D"/>
    <w:rsid w:val="008D22E7"/>
    <w:rsid w:val="008D254D"/>
    <w:rsid w:val="008D2566"/>
    <w:rsid w:val="008D2985"/>
    <w:rsid w:val="008D2AAD"/>
    <w:rsid w:val="008D2D9A"/>
    <w:rsid w:val="008D31A4"/>
    <w:rsid w:val="008D31E1"/>
    <w:rsid w:val="008D3289"/>
    <w:rsid w:val="008D3653"/>
    <w:rsid w:val="008D374E"/>
    <w:rsid w:val="008D3891"/>
    <w:rsid w:val="008D39E2"/>
    <w:rsid w:val="008D3EFB"/>
    <w:rsid w:val="008D4082"/>
    <w:rsid w:val="008D41DD"/>
    <w:rsid w:val="008D4371"/>
    <w:rsid w:val="008D4874"/>
    <w:rsid w:val="008D4B18"/>
    <w:rsid w:val="008D4E25"/>
    <w:rsid w:val="008D4E9F"/>
    <w:rsid w:val="008D4F0B"/>
    <w:rsid w:val="008D5533"/>
    <w:rsid w:val="008D5634"/>
    <w:rsid w:val="008D58D4"/>
    <w:rsid w:val="008D5B77"/>
    <w:rsid w:val="008D5C13"/>
    <w:rsid w:val="008D5C77"/>
    <w:rsid w:val="008D5E97"/>
    <w:rsid w:val="008D63DA"/>
    <w:rsid w:val="008D652E"/>
    <w:rsid w:val="008D6655"/>
    <w:rsid w:val="008D685F"/>
    <w:rsid w:val="008D6B12"/>
    <w:rsid w:val="008D6B63"/>
    <w:rsid w:val="008D6CAC"/>
    <w:rsid w:val="008D6D8A"/>
    <w:rsid w:val="008D723E"/>
    <w:rsid w:val="008D735B"/>
    <w:rsid w:val="008D7964"/>
    <w:rsid w:val="008D7EB9"/>
    <w:rsid w:val="008D7EC0"/>
    <w:rsid w:val="008E0087"/>
    <w:rsid w:val="008E0098"/>
    <w:rsid w:val="008E0241"/>
    <w:rsid w:val="008E04BD"/>
    <w:rsid w:val="008E0544"/>
    <w:rsid w:val="008E0592"/>
    <w:rsid w:val="008E0C01"/>
    <w:rsid w:val="008E14ED"/>
    <w:rsid w:val="008E15CC"/>
    <w:rsid w:val="008E17ED"/>
    <w:rsid w:val="008E1847"/>
    <w:rsid w:val="008E1AD4"/>
    <w:rsid w:val="008E1AE5"/>
    <w:rsid w:val="008E1E39"/>
    <w:rsid w:val="008E23D9"/>
    <w:rsid w:val="008E2D95"/>
    <w:rsid w:val="008E2E6E"/>
    <w:rsid w:val="008E382D"/>
    <w:rsid w:val="008E4501"/>
    <w:rsid w:val="008E46B4"/>
    <w:rsid w:val="008E479A"/>
    <w:rsid w:val="008E4C3E"/>
    <w:rsid w:val="008E4C85"/>
    <w:rsid w:val="008E4F6B"/>
    <w:rsid w:val="008E4FB5"/>
    <w:rsid w:val="008E5253"/>
    <w:rsid w:val="008E5489"/>
    <w:rsid w:val="008E58F9"/>
    <w:rsid w:val="008E594D"/>
    <w:rsid w:val="008E62FE"/>
    <w:rsid w:val="008E637E"/>
    <w:rsid w:val="008E64DB"/>
    <w:rsid w:val="008E6F39"/>
    <w:rsid w:val="008E7231"/>
    <w:rsid w:val="008E7453"/>
    <w:rsid w:val="008E7B57"/>
    <w:rsid w:val="008E7DB5"/>
    <w:rsid w:val="008F013E"/>
    <w:rsid w:val="008F0317"/>
    <w:rsid w:val="008F0438"/>
    <w:rsid w:val="008F0460"/>
    <w:rsid w:val="008F0531"/>
    <w:rsid w:val="008F0BC9"/>
    <w:rsid w:val="008F0C49"/>
    <w:rsid w:val="008F0D34"/>
    <w:rsid w:val="008F0DBC"/>
    <w:rsid w:val="008F0E44"/>
    <w:rsid w:val="008F0E5B"/>
    <w:rsid w:val="008F0F6E"/>
    <w:rsid w:val="008F13AD"/>
    <w:rsid w:val="008F1518"/>
    <w:rsid w:val="008F15F5"/>
    <w:rsid w:val="008F1843"/>
    <w:rsid w:val="008F189E"/>
    <w:rsid w:val="008F1B69"/>
    <w:rsid w:val="008F1EE1"/>
    <w:rsid w:val="008F1F85"/>
    <w:rsid w:val="008F2111"/>
    <w:rsid w:val="008F274D"/>
    <w:rsid w:val="008F2D97"/>
    <w:rsid w:val="008F35E0"/>
    <w:rsid w:val="008F366B"/>
    <w:rsid w:val="008F378B"/>
    <w:rsid w:val="008F3809"/>
    <w:rsid w:val="008F3855"/>
    <w:rsid w:val="008F38E6"/>
    <w:rsid w:val="008F3ACB"/>
    <w:rsid w:val="008F3DD2"/>
    <w:rsid w:val="008F3DE9"/>
    <w:rsid w:val="008F4415"/>
    <w:rsid w:val="008F466F"/>
    <w:rsid w:val="008F4828"/>
    <w:rsid w:val="008F4B81"/>
    <w:rsid w:val="008F4D06"/>
    <w:rsid w:val="008F51F3"/>
    <w:rsid w:val="008F539B"/>
    <w:rsid w:val="008F541D"/>
    <w:rsid w:val="008F548D"/>
    <w:rsid w:val="008F57F8"/>
    <w:rsid w:val="008F5BC9"/>
    <w:rsid w:val="008F5C4C"/>
    <w:rsid w:val="008F5FCA"/>
    <w:rsid w:val="008F6128"/>
    <w:rsid w:val="008F624D"/>
    <w:rsid w:val="008F691C"/>
    <w:rsid w:val="008F69B5"/>
    <w:rsid w:val="008F6D02"/>
    <w:rsid w:val="008F6EC0"/>
    <w:rsid w:val="008F70E5"/>
    <w:rsid w:val="008F7189"/>
    <w:rsid w:val="008F7CC7"/>
    <w:rsid w:val="008F7F23"/>
    <w:rsid w:val="009000C3"/>
    <w:rsid w:val="009001F4"/>
    <w:rsid w:val="00900266"/>
    <w:rsid w:val="0090030C"/>
    <w:rsid w:val="009003D7"/>
    <w:rsid w:val="00900415"/>
    <w:rsid w:val="00900638"/>
    <w:rsid w:val="00900AE5"/>
    <w:rsid w:val="00900EA0"/>
    <w:rsid w:val="00900F3B"/>
    <w:rsid w:val="00900FF0"/>
    <w:rsid w:val="00901537"/>
    <w:rsid w:val="0090180D"/>
    <w:rsid w:val="00901898"/>
    <w:rsid w:val="009018E5"/>
    <w:rsid w:val="00901CEB"/>
    <w:rsid w:val="0090229D"/>
    <w:rsid w:val="009022C3"/>
    <w:rsid w:val="00902365"/>
    <w:rsid w:val="0090284E"/>
    <w:rsid w:val="009028A5"/>
    <w:rsid w:val="00902AF8"/>
    <w:rsid w:val="00902F67"/>
    <w:rsid w:val="00903509"/>
    <w:rsid w:val="009038A7"/>
    <w:rsid w:val="00903AA4"/>
    <w:rsid w:val="00903BD9"/>
    <w:rsid w:val="00903C51"/>
    <w:rsid w:val="00903D9C"/>
    <w:rsid w:val="00903FF8"/>
    <w:rsid w:val="00904A83"/>
    <w:rsid w:val="00904C1D"/>
    <w:rsid w:val="0090521E"/>
    <w:rsid w:val="0090542E"/>
    <w:rsid w:val="0090558F"/>
    <w:rsid w:val="009056D7"/>
    <w:rsid w:val="009058CF"/>
    <w:rsid w:val="00905E6A"/>
    <w:rsid w:val="00905F2D"/>
    <w:rsid w:val="009060FD"/>
    <w:rsid w:val="0090615C"/>
    <w:rsid w:val="009064E0"/>
    <w:rsid w:val="0090676D"/>
    <w:rsid w:val="00906774"/>
    <w:rsid w:val="00906B37"/>
    <w:rsid w:val="00906CC4"/>
    <w:rsid w:val="00906D18"/>
    <w:rsid w:val="00906D7E"/>
    <w:rsid w:val="00907257"/>
    <w:rsid w:val="00907370"/>
    <w:rsid w:val="0090755E"/>
    <w:rsid w:val="009079AB"/>
    <w:rsid w:val="009079BB"/>
    <w:rsid w:val="00907D08"/>
    <w:rsid w:val="00907E27"/>
    <w:rsid w:val="00910920"/>
    <w:rsid w:val="009109C7"/>
    <w:rsid w:val="009111A6"/>
    <w:rsid w:val="009113EE"/>
    <w:rsid w:val="009117D9"/>
    <w:rsid w:val="009119E7"/>
    <w:rsid w:val="00911C9C"/>
    <w:rsid w:val="00912065"/>
    <w:rsid w:val="009120B2"/>
    <w:rsid w:val="0091253C"/>
    <w:rsid w:val="009125B4"/>
    <w:rsid w:val="00912685"/>
    <w:rsid w:val="0091288B"/>
    <w:rsid w:val="00912A10"/>
    <w:rsid w:val="00912B7A"/>
    <w:rsid w:val="00912BAC"/>
    <w:rsid w:val="00912F28"/>
    <w:rsid w:val="00912F4D"/>
    <w:rsid w:val="00912FA3"/>
    <w:rsid w:val="009131E5"/>
    <w:rsid w:val="009131EB"/>
    <w:rsid w:val="00913571"/>
    <w:rsid w:val="00913618"/>
    <w:rsid w:val="00913725"/>
    <w:rsid w:val="00913DE6"/>
    <w:rsid w:val="00913FF6"/>
    <w:rsid w:val="00914462"/>
    <w:rsid w:val="009145D8"/>
    <w:rsid w:val="0091485F"/>
    <w:rsid w:val="00914ED9"/>
    <w:rsid w:val="00915130"/>
    <w:rsid w:val="00915257"/>
    <w:rsid w:val="0091531F"/>
    <w:rsid w:val="009157DE"/>
    <w:rsid w:val="00915EC4"/>
    <w:rsid w:val="00915FEF"/>
    <w:rsid w:val="009161F0"/>
    <w:rsid w:val="0091655C"/>
    <w:rsid w:val="00916576"/>
    <w:rsid w:val="009166D0"/>
    <w:rsid w:val="00916960"/>
    <w:rsid w:val="00916A33"/>
    <w:rsid w:val="0091758B"/>
    <w:rsid w:val="00917825"/>
    <w:rsid w:val="00920139"/>
    <w:rsid w:val="0092023B"/>
    <w:rsid w:val="0092040A"/>
    <w:rsid w:val="009206F1"/>
    <w:rsid w:val="0092077A"/>
    <w:rsid w:val="009209A9"/>
    <w:rsid w:val="00920ADB"/>
    <w:rsid w:val="00921550"/>
    <w:rsid w:val="00921757"/>
    <w:rsid w:val="00921AAC"/>
    <w:rsid w:val="00922579"/>
    <w:rsid w:val="009225E9"/>
    <w:rsid w:val="009227E4"/>
    <w:rsid w:val="00922911"/>
    <w:rsid w:val="009229ED"/>
    <w:rsid w:val="00922EA4"/>
    <w:rsid w:val="009239E5"/>
    <w:rsid w:val="00923AFD"/>
    <w:rsid w:val="00924671"/>
    <w:rsid w:val="00924859"/>
    <w:rsid w:val="009248DB"/>
    <w:rsid w:val="00924980"/>
    <w:rsid w:val="00924990"/>
    <w:rsid w:val="00924C5A"/>
    <w:rsid w:val="00924FDD"/>
    <w:rsid w:val="009252B4"/>
    <w:rsid w:val="009254A3"/>
    <w:rsid w:val="00925577"/>
    <w:rsid w:val="00925786"/>
    <w:rsid w:val="009258EC"/>
    <w:rsid w:val="00925CDC"/>
    <w:rsid w:val="00926060"/>
    <w:rsid w:val="00926467"/>
    <w:rsid w:val="009266BB"/>
    <w:rsid w:val="00926778"/>
    <w:rsid w:val="009267EE"/>
    <w:rsid w:val="009268A8"/>
    <w:rsid w:val="009268F9"/>
    <w:rsid w:val="0092695C"/>
    <w:rsid w:val="00926A0E"/>
    <w:rsid w:val="00926A14"/>
    <w:rsid w:val="00926A26"/>
    <w:rsid w:val="00926B36"/>
    <w:rsid w:val="00926CF5"/>
    <w:rsid w:val="00926D5E"/>
    <w:rsid w:val="00926F76"/>
    <w:rsid w:val="0092750A"/>
    <w:rsid w:val="0092770E"/>
    <w:rsid w:val="00927932"/>
    <w:rsid w:val="00927C73"/>
    <w:rsid w:val="0093042D"/>
    <w:rsid w:val="0093057F"/>
    <w:rsid w:val="00930669"/>
    <w:rsid w:val="009307FA"/>
    <w:rsid w:val="009308A2"/>
    <w:rsid w:val="00930BC5"/>
    <w:rsid w:val="00931540"/>
    <w:rsid w:val="00931A3F"/>
    <w:rsid w:val="00931DE2"/>
    <w:rsid w:val="00931F9A"/>
    <w:rsid w:val="00932337"/>
    <w:rsid w:val="00932A9D"/>
    <w:rsid w:val="00932DDE"/>
    <w:rsid w:val="00932FBB"/>
    <w:rsid w:val="00933540"/>
    <w:rsid w:val="00933605"/>
    <w:rsid w:val="00934128"/>
    <w:rsid w:val="00934306"/>
    <w:rsid w:val="00934752"/>
    <w:rsid w:val="00934BA4"/>
    <w:rsid w:val="0093531C"/>
    <w:rsid w:val="0093571B"/>
    <w:rsid w:val="0093575E"/>
    <w:rsid w:val="009358A7"/>
    <w:rsid w:val="00935B5D"/>
    <w:rsid w:val="00935C4E"/>
    <w:rsid w:val="00935E44"/>
    <w:rsid w:val="0093626C"/>
    <w:rsid w:val="009364A3"/>
    <w:rsid w:val="00936C5C"/>
    <w:rsid w:val="00936D0F"/>
    <w:rsid w:val="00936EDC"/>
    <w:rsid w:val="0093712F"/>
    <w:rsid w:val="0093718B"/>
    <w:rsid w:val="00937371"/>
    <w:rsid w:val="00937630"/>
    <w:rsid w:val="00937881"/>
    <w:rsid w:val="00937FCC"/>
    <w:rsid w:val="0094005C"/>
    <w:rsid w:val="00940571"/>
    <w:rsid w:val="009406A4"/>
    <w:rsid w:val="00940891"/>
    <w:rsid w:val="009408B3"/>
    <w:rsid w:val="00940967"/>
    <w:rsid w:val="00940992"/>
    <w:rsid w:val="00940A4C"/>
    <w:rsid w:val="00940DCE"/>
    <w:rsid w:val="00940DE3"/>
    <w:rsid w:val="009410A9"/>
    <w:rsid w:val="00941143"/>
    <w:rsid w:val="00941380"/>
    <w:rsid w:val="0094160A"/>
    <w:rsid w:val="00941645"/>
    <w:rsid w:val="00941683"/>
    <w:rsid w:val="009418B2"/>
    <w:rsid w:val="00941B2E"/>
    <w:rsid w:val="00941DB2"/>
    <w:rsid w:val="0094214D"/>
    <w:rsid w:val="00942CE0"/>
    <w:rsid w:val="009430D7"/>
    <w:rsid w:val="00943875"/>
    <w:rsid w:val="00943B6B"/>
    <w:rsid w:val="00943CA7"/>
    <w:rsid w:val="00943CAA"/>
    <w:rsid w:val="00943E14"/>
    <w:rsid w:val="00944016"/>
    <w:rsid w:val="0094461B"/>
    <w:rsid w:val="00944DD0"/>
    <w:rsid w:val="00945006"/>
    <w:rsid w:val="00945030"/>
    <w:rsid w:val="009450D3"/>
    <w:rsid w:val="00945101"/>
    <w:rsid w:val="0094560B"/>
    <w:rsid w:val="0094567C"/>
    <w:rsid w:val="00945909"/>
    <w:rsid w:val="009459EB"/>
    <w:rsid w:val="00945BBA"/>
    <w:rsid w:val="00946022"/>
    <w:rsid w:val="00946465"/>
    <w:rsid w:val="009467ED"/>
    <w:rsid w:val="00946FBB"/>
    <w:rsid w:val="00947741"/>
    <w:rsid w:val="00950405"/>
    <w:rsid w:val="009505F9"/>
    <w:rsid w:val="0095065D"/>
    <w:rsid w:val="009506BF"/>
    <w:rsid w:val="00950DBE"/>
    <w:rsid w:val="00950EC0"/>
    <w:rsid w:val="00950FA9"/>
    <w:rsid w:val="0095101A"/>
    <w:rsid w:val="009510E4"/>
    <w:rsid w:val="009511DD"/>
    <w:rsid w:val="0095132A"/>
    <w:rsid w:val="0095150E"/>
    <w:rsid w:val="00951517"/>
    <w:rsid w:val="0095194A"/>
    <w:rsid w:val="00951998"/>
    <w:rsid w:val="00951CBA"/>
    <w:rsid w:val="00951F80"/>
    <w:rsid w:val="009520CE"/>
    <w:rsid w:val="00952211"/>
    <w:rsid w:val="00952429"/>
    <w:rsid w:val="00952448"/>
    <w:rsid w:val="009525DF"/>
    <w:rsid w:val="00952A8E"/>
    <w:rsid w:val="00952AD3"/>
    <w:rsid w:val="00952CBA"/>
    <w:rsid w:val="009535D1"/>
    <w:rsid w:val="0095394D"/>
    <w:rsid w:val="00953A21"/>
    <w:rsid w:val="00953AEF"/>
    <w:rsid w:val="00953FC5"/>
    <w:rsid w:val="009541BF"/>
    <w:rsid w:val="0095494A"/>
    <w:rsid w:val="0095497F"/>
    <w:rsid w:val="00954C29"/>
    <w:rsid w:val="00955029"/>
    <w:rsid w:val="00955091"/>
    <w:rsid w:val="0095557E"/>
    <w:rsid w:val="00955985"/>
    <w:rsid w:val="009559B7"/>
    <w:rsid w:val="00955E2F"/>
    <w:rsid w:val="00955EB1"/>
    <w:rsid w:val="009564D4"/>
    <w:rsid w:val="009566B8"/>
    <w:rsid w:val="00956705"/>
    <w:rsid w:val="00956AA9"/>
    <w:rsid w:val="00956B8F"/>
    <w:rsid w:val="00956C72"/>
    <w:rsid w:val="00957188"/>
    <w:rsid w:val="00957712"/>
    <w:rsid w:val="0095786B"/>
    <w:rsid w:val="00957A13"/>
    <w:rsid w:val="00957C76"/>
    <w:rsid w:val="00957D3D"/>
    <w:rsid w:val="00957DE0"/>
    <w:rsid w:val="009603D6"/>
    <w:rsid w:val="009605D7"/>
    <w:rsid w:val="0096083C"/>
    <w:rsid w:val="009608FE"/>
    <w:rsid w:val="00960985"/>
    <w:rsid w:val="00960A58"/>
    <w:rsid w:val="00960C11"/>
    <w:rsid w:val="00960C91"/>
    <w:rsid w:val="00961048"/>
    <w:rsid w:val="0096107B"/>
    <w:rsid w:val="009619E6"/>
    <w:rsid w:val="00961C85"/>
    <w:rsid w:val="009626CC"/>
    <w:rsid w:val="00962A0B"/>
    <w:rsid w:val="009634C2"/>
    <w:rsid w:val="00963550"/>
    <w:rsid w:val="0096383C"/>
    <w:rsid w:val="00963B55"/>
    <w:rsid w:val="00963BF8"/>
    <w:rsid w:val="0096405A"/>
    <w:rsid w:val="009641D1"/>
    <w:rsid w:val="009643CD"/>
    <w:rsid w:val="0096453E"/>
    <w:rsid w:val="00964660"/>
    <w:rsid w:val="0096481D"/>
    <w:rsid w:val="0096497B"/>
    <w:rsid w:val="00964D59"/>
    <w:rsid w:val="00964F77"/>
    <w:rsid w:val="00965259"/>
    <w:rsid w:val="0096552A"/>
    <w:rsid w:val="0096591E"/>
    <w:rsid w:val="00965A3E"/>
    <w:rsid w:val="00965AC5"/>
    <w:rsid w:val="00965ACA"/>
    <w:rsid w:val="00965EFF"/>
    <w:rsid w:val="00965F1C"/>
    <w:rsid w:val="00965FD9"/>
    <w:rsid w:val="00966067"/>
    <w:rsid w:val="00966465"/>
    <w:rsid w:val="00966506"/>
    <w:rsid w:val="00966C67"/>
    <w:rsid w:val="00966D3F"/>
    <w:rsid w:val="009673DD"/>
    <w:rsid w:val="00967523"/>
    <w:rsid w:val="00967B51"/>
    <w:rsid w:val="00967ED2"/>
    <w:rsid w:val="00970A81"/>
    <w:rsid w:val="0097133A"/>
    <w:rsid w:val="00971BAE"/>
    <w:rsid w:val="00971FDE"/>
    <w:rsid w:val="009721DA"/>
    <w:rsid w:val="00972926"/>
    <w:rsid w:val="00972F7B"/>
    <w:rsid w:val="00973300"/>
    <w:rsid w:val="0097341A"/>
    <w:rsid w:val="009734D1"/>
    <w:rsid w:val="009738EF"/>
    <w:rsid w:val="009739DB"/>
    <w:rsid w:val="00973C69"/>
    <w:rsid w:val="00974074"/>
    <w:rsid w:val="009741FA"/>
    <w:rsid w:val="009742C5"/>
    <w:rsid w:val="00974380"/>
    <w:rsid w:val="009746EA"/>
    <w:rsid w:val="009747A9"/>
    <w:rsid w:val="00974C1C"/>
    <w:rsid w:val="00974EA6"/>
    <w:rsid w:val="009753D0"/>
    <w:rsid w:val="0097625F"/>
    <w:rsid w:val="00976B7C"/>
    <w:rsid w:val="00976C64"/>
    <w:rsid w:val="00976F69"/>
    <w:rsid w:val="0097716A"/>
    <w:rsid w:val="009772CF"/>
    <w:rsid w:val="00977824"/>
    <w:rsid w:val="00977DCC"/>
    <w:rsid w:val="009806D7"/>
    <w:rsid w:val="00980959"/>
    <w:rsid w:val="00980C8A"/>
    <w:rsid w:val="00981143"/>
    <w:rsid w:val="009817EA"/>
    <w:rsid w:val="00981CAA"/>
    <w:rsid w:val="00982273"/>
    <w:rsid w:val="00982396"/>
    <w:rsid w:val="009825A7"/>
    <w:rsid w:val="0098284A"/>
    <w:rsid w:val="00982A56"/>
    <w:rsid w:val="00982BCC"/>
    <w:rsid w:val="00982E6E"/>
    <w:rsid w:val="009832E4"/>
    <w:rsid w:val="00983335"/>
    <w:rsid w:val="009833A6"/>
    <w:rsid w:val="009836B2"/>
    <w:rsid w:val="009836E7"/>
    <w:rsid w:val="00983A82"/>
    <w:rsid w:val="00983EEF"/>
    <w:rsid w:val="00984007"/>
    <w:rsid w:val="0098413A"/>
    <w:rsid w:val="009843D1"/>
    <w:rsid w:val="009845B5"/>
    <w:rsid w:val="009846A3"/>
    <w:rsid w:val="009846C1"/>
    <w:rsid w:val="00984DCB"/>
    <w:rsid w:val="00985038"/>
    <w:rsid w:val="00985470"/>
    <w:rsid w:val="00985485"/>
    <w:rsid w:val="0098579D"/>
    <w:rsid w:val="00985A07"/>
    <w:rsid w:val="00985BE6"/>
    <w:rsid w:val="00985DD6"/>
    <w:rsid w:val="00985F27"/>
    <w:rsid w:val="00986096"/>
    <w:rsid w:val="0098624E"/>
    <w:rsid w:val="009862FD"/>
    <w:rsid w:val="0098639C"/>
    <w:rsid w:val="00986434"/>
    <w:rsid w:val="0098677D"/>
    <w:rsid w:val="009870B8"/>
    <w:rsid w:val="009871E2"/>
    <w:rsid w:val="009872D5"/>
    <w:rsid w:val="00987315"/>
    <w:rsid w:val="00987811"/>
    <w:rsid w:val="00987E76"/>
    <w:rsid w:val="0099017C"/>
    <w:rsid w:val="00990D26"/>
    <w:rsid w:val="00990D5D"/>
    <w:rsid w:val="00990EDC"/>
    <w:rsid w:val="009912EA"/>
    <w:rsid w:val="0099138E"/>
    <w:rsid w:val="00991A26"/>
    <w:rsid w:val="00991A39"/>
    <w:rsid w:val="00991B91"/>
    <w:rsid w:val="00991CB4"/>
    <w:rsid w:val="00991D7F"/>
    <w:rsid w:val="00991E08"/>
    <w:rsid w:val="009921CF"/>
    <w:rsid w:val="0099283B"/>
    <w:rsid w:val="0099294C"/>
    <w:rsid w:val="00992E4B"/>
    <w:rsid w:val="009932B8"/>
    <w:rsid w:val="009935F8"/>
    <w:rsid w:val="009936CE"/>
    <w:rsid w:val="00993AF2"/>
    <w:rsid w:val="00993CC9"/>
    <w:rsid w:val="00994172"/>
    <w:rsid w:val="0099454C"/>
    <w:rsid w:val="0099484A"/>
    <w:rsid w:val="00994B24"/>
    <w:rsid w:val="00994CB5"/>
    <w:rsid w:val="00994DB0"/>
    <w:rsid w:val="0099532C"/>
    <w:rsid w:val="0099555F"/>
    <w:rsid w:val="009955E2"/>
    <w:rsid w:val="0099603E"/>
    <w:rsid w:val="00996665"/>
    <w:rsid w:val="00996699"/>
    <w:rsid w:val="0099683C"/>
    <w:rsid w:val="00996A4D"/>
    <w:rsid w:val="00996BDC"/>
    <w:rsid w:val="00996C25"/>
    <w:rsid w:val="00997128"/>
    <w:rsid w:val="00997179"/>
    <w:rsid w:val="0099745E"/>
    <w:rsid w:val="009974E6"/>
    <w:rsid w:val="00997AF3"/>
    <w:rsid w:val="00997E76"/>
    <w:rsid w:val="00997ECE"/>
    <w:rsid w:val="009A00EB"/>
    <w:rsid w:val="009A0119"/>
    <w:rsid w:val="009A0227"/>
    <w:rsid w:val="009A02C6"/>
    <w:rsid w:val="009A0322"/>
    <w:rsid w:val="009A074C"/>
    <w:rsid w:val="009A090F"/>
    <w:rsid w:val="009A0A7A"/>
    <w:rsid w:val="009A0A93"/>
    <w:rsid w:val="009A0EE3"/>
    <w:rsid w:val="009A0FFE"/>
    <w:rsid w:val="009A1028"/>
    <w:rsid w:val="009A1235"/>
    <w:rsid w:val="009A12E6"/>
    <w:rsid w:val="009A1691"/>
    <w:rsid w:val="009A17D0"/>
    <w:rsid w:val="009A1A0B"/>
    <w:rsid w:val="009A1C81"/>
    <w:rsid w:val="009A1E79"/>
    <w:rsid w:val="009A20BA"/>
    <w:rsid w:val="009A214A"/>
    <w:rsid w:val="009A23C3"/>
    <w:rsid w:val="009A242F"/>
    <w:rsid w:val="009A2470"/>
    <w:rsid w:val="009A2808"/>
    <w:rsid w:val="009A2821"/>
    <w:rsid w:val="009A2C32"/>
    <w:rsid w:val="009A2E1A"/>
    <w:rsid w:val="009A3549"/>
    <w:rsid w:val="009A3BCA"/>
    <w:rsid w:val="009A3C75"/>
    <w:rsid w:val="009A3D27"/>
    <w:rsid w:val="009A3E1E"/>
    <w:rsid w:val="009A3EA7"/>
    <w:rsid w:val="009A3F31"/>
    <w:rsid w:val="009A3FB6"/>
    <w:rsid w:val="009A426A"/>
    <w:rsid w:val="009A4643"/>
    <w:rsid w:val="009A48F4"/>
    <w:rsid w:val="009A4921"/>
    <w:rsid w:val="009A4DE4"/>
    <w:rsid w:val="009A5091"/>
    <w:rsid w:val="009A509D"/>
    <w:rsid w:val="009A5284"/>
    <w:rsid w:val="009A55E8"/>
    <w:rsid w:val="009A57A3"/>
    <w:rsid w:val="009A595A"/>
    <w:rsid w:val="009A5AB1"/>
    <w:rsid w:val="009A5DE7"/>
    <w:rsid w:val="009A5E7A"/>
    <w:rsid w:val="009A61D1"/>
    <w:rsid w:val="009A62A4"/>
    <w:rsid w:val="009A6407"/>
    <w:rsid w:val="009A64D7"/>
    <w:rsid w:val="009A65E3"/>
    <w:rsid w:val="009A66C9"/>
    <w:rsid w:val="009A679A"/>
    <w:rsid w:val="009A6847"/>
    <w:rsid w:val="009A6916"/>
    <w:rsid w:val="009A69D8"/>
    <w:rsid w:val="009A723E"/>
    <w:rsid w:val="009A7577"/>
    <w:rsid w:val="009B010F"/>
    <w:rsid w:val="009B02E3"/>
    <w:rsid w:val="009B07BD"/>
    <w:rsid w:val="009B09A3"/>
    <w:rsid w:val="009B0CB7"/>
    <w:rsid w:val="009B0E8B"/>
    <w:rsid w:val="009B14E4"/>
    <w:rsid w:val="009B163F"/>
    <w:rsid w:val="009B17A3"/>
    <w:rsid w:val="009B186F"/>
    <w:rsid w:val="009B1DFA"/>
    <w:rsid w:val="009B209E"/>
    <w:rsid w:val="009B244A"/>
    <w:rsid w:val="009B2458"/>
    <w:rsid w:val="009B2478"/>
    <w:rsid w:val="009B2567"/>
    <w:rsid w:val="009B2A8A"/>
    <w:rsid w:val="009B2CA9"/>
    <w:rsid w:val="009B307C"/>
    <w:rsid w:val="009B312A"/>
    <w:rsid w:val="009B322D"/>
    <w:rsid w:val="009B35D7"/>
    <w:rsid w:val="009B37D7"/>
    <w:rsid w:val="009B3EE1"/>
    <w:rsid w:val="009B43AE"/>
    <w:rsid w:val="009B4978"/>
    <w:rsid w:val="009B4A07"/>
    <w:rsid w:val="009B4DEC"/>
    <w:rsid w:val="009B4F50"/>
    <w:rsid w:val="009B53AB"/>
    <w:rsid w:val="009B53D7"/>
    <w:rsid w:val="009B555A"/>
    <w:rsid w:val="009B57D9"/>
    <w:rsid w:val="009B58CC"/>
    <w:rsid w:val="009B5993"/>
    <w:rsid w:val="009B5BC8"/>
    <w:rsid w:val="009B6818"/>
    <w:rsid w:val="009B694C"/>
    <w:rsid w:val="009B6A9D"/>
    <w:rsid w:val="009B6E58"/>
    <w:rsid w:val="009B6F39"/>
    <w:rsid w:val="009B6FAF"/>
    <w:rsid w:val="009B6FB8"/>
    <w:rsid w:val="009B71AD"/>
    <w:rsid w:val="009B7C1F"/>
    <w:rsid w:val="009B7D9C"/>
    <w:rsid w:val="009B7F1A"/>
    <w:rsid w:val="009C09E2"/>
    <w:rsid w:val="009C0F33"/>
    <w:rsid w:val="009C113F"/>
    <w:rsid w:val="009C118E"/>
    <w:rsid w:val="009C1332"/>
    <w:rsid w:val="009C15D1"/>
    <w:rsid w:val="009C1909"/>
    <w:rsid w:val="009C1F56"/>
    <w:rsid w:val="009C21D5"/>
    <w:rsid w:val="009C25E2"/>
    <w:rsid w:val="009C2BDF"/>
    <w:rsid w:val="009C2DCF"/>
    <w:rsid w:val="009C311E"/>
    <w:rsid w:val="009C33D6"/>
    <w:rsid w:val="009C3715"/>
    <w:rsid w:val="009C3AE7"/>
    <w:rsid w:val="009C3F76"/>
    <w:rsid w:val="009C4339"/>
    <w:rsid w:val="009C4DEB"/>
    <w:rsid w:val="009C4F20"/>
    <w:rsid w:val="009C5145"/>
    <w:rsid w:val="009C5151"/>
    <w:rsid w:val="009C5256"/>
    <w:rsid w:val="009C5303"/>
    <w:rsid w:val="009C55A1"/>
    <w:rsid w:val="009C569C"/>
    <w:rsid w:val="009C570B"/>
    <w:rsid w:val="009C65B6"/>
    <w:rsid w:val="009C674D"/>
    <w:rsid w:val="009C6861"/>
    <w:rsid w:val="009C69ED"/>
    <w:rsid w:val="009C6FA4"/>
    <w:rsid w:val="009C71E1"/>
    <w:rsid w:val="009C7239"/>
    <w:rsid w:val="009C72E5"/>
    <w:rsid w:val="009C773D"/>
    <w:rsid w:val="009C7A02"/>
    <w:rsid w:val="009C7A20"/>
    <w:rsid w:val="009C7A39"/>
    <w:rsid w:val="009C7BAE"/>
    <w:rsid w:val="009C7BED"/>
    <w:rsid w:val="009C7ED6"/>
    <w:rsid w:val="009D0085"/>
    <w:rsid w:val="009D012C"/>
    <w:rsid w:val="009D0693"/>
    <w:rsid w:val="009D090D"/>
    <w:rsid w:val="009D0C98"/>
    <w:rsid w:val="009D0D51"/>
    <w:rsid w:val="009D1160"/>
    <w:rsid w:val="009D1630"/>
    <w:rsid w:val="009D1AAC"/>
    <w:rsid w:val="009D2175"/>
    <w:rsid w:val="009D219A"/>
    <w:rsid w:val="009D2530"/>
    <w:rsid w:val="009D2866"/>
    <w:rsid w:val="009D2E0D"/>
    <w:rsid w:val="009D311E"/>
    <w:rsid w:val="009D313C"/>
    <w:rsid w:val="009D3BAA"/>
    <w:rsid w:val="009D3D61"/>
    <w:rsid w:val="009D4C3D"/>
    <w:rsid w:val="009D6653"/>
    <w:rsid w:val="009D6689"/>
    <w:rsid w:val="009D68B7"/>
    <w:rsid w:val="009D69C0"/>
    <w:rsid w:val="009D6CFE"/>
    <w:rsid w:val="009D727C"/>
    <w:rsid w:val="009D73DE"/>
    <w:rsid w:val="009D7457"/>
    <w:rsid w:val="009D7B1F"/>
    <w:rsid w:val="009D7FAC"/>
    <w:rsid w:val="009E0567"/>
    <w:rsid w:val="009E088C"/>
    <w:rsid w:val="009E08EC"/>
    <w:rsid w:val="009E148C"/>
    <w:rsid w:val="009E15E2"/>
    <w:rsid w:val="009E1664"/>
    <w:rsid w:val="009E1696"/>
    <w:rsid w:val="009E1AA3"/>
    <w:rsid w:val="009E1AE9"/>
    <w:rsid w:val="009E1B65"/>
    <w:rsid w:val="009E1E8C"/>
    <w:rsid w:val="009E2799"/>
    <w:rsid w:val="009E29C8"/>
    <w:rsid w:val="009E2C24"/>
    <w:rsid w:val="009E2C93"/>
    <w:rsid w:val="009E2F47"/>
    <w:rsid w:val="009E31F7"/>
    <w:rsid w:val="009E338A"/>
    <w:rsid w:val="009E3416"/>
    <w:rsid w:val="009E34AD"/>
    <w:rsid w:val="009E37A1"/>
    <w:rsid w:val="009E396F"/>
    <w:rsid w:val="009E3C2A"/>
    <w:rsid w:val="009E3CC3"/>
    <w:rsid w:val="009E41F4"/>
    <w:rsid w:val="009E47B5"/>
    <w:rsid w:val="009E4CC6"/>
    <w:rsid w:val="009E4E33"/>
    <w:rsid w:val="009E50EA"/>
    <w:rsid w:val="009E51F7"/>
    <w:rsid w:val="009E55B0"/>
    <w:rsid w:val="009E5696"/>
    <w:rsid w:val="009E57A1"/>
    <w:rsid w:val="009E5C6F"/>
    <w:rsid w:val="009E5CB8"/>
    <w:rsid w:val="009E5DEE"/>
    <w:rsid w:val="009E5E07"/>
    <w:rsid w:val="009E62CB"/>
    <w:rsid w:val="009E673D"/>
    <w:rsid w:val="009E6903"/>
    <w:rsid w:val="009E6A3E"/>
    <w:rsid w:val="009E6D68"/>
    <w:rsid w:val="009E7552"/>
    <w:rsid w:val="009E762C"/>
    <w:rsid w:val="009E770C"/>
    <w:rsid w:val="009E77D7"/>
    <w:rsid w:val="009E7ABC"/>
    <w:rsid w:val="009E7C8A"/>
    <w:rsid w:val="009E7DE4"/>
    <w:rsid w:val="009F0724"/>
    <w:rsid w:val="009F0842"/>
    <w:rsid w:val="009F0C9D"/>
    <w:rsid w:val="009F0D8E"/>
    <w:rsid w:val="009F1279"/>
    <w:rsid w:val="009F1364"/>
    <w:rsid w:val="009F1428"/>
    <w:rsid w:val="009F14C4"/>
    <w:rsid w:val="009F1730"/>
    <w:rsid w:val="009F17F4"/>
    <w:rsid w:val="009F1805"/>
    <w:rsid w:val="009F18C7"/>
    <w:rsid w:val="009F18D5"/>
    <w:rsid w:val="009F1BB7"/>
    <w:rsid w:val="009F1DD6"/>
    <w:rsid w:val="009F1F25"/>
    <w:rsid w:val="009F202A"/>
    <w:rsid w:val="009F20E2"/>
    <w:rsid w:val="009F2409"/>
    <w:rsid w:val="009F2928"/>
    <w:rsid w:val="009F2CEB"/>
    <w:rsid w:val="009F2E62"/>
    <w:rsid w:val="009F30C4"/>
    <w:rsid w:val="009F368A"/>
    <w:rsid w:val="009F3775"/>
    <w:rsid w:val="009F37EA"/>
    <w:rsid w:val="009F389C"/>
    <w:rsid w:val="009F38F2"/>
    <w:rsid w:val="009F3E52"/>
    <w:rsid w:val="009F3E61"/>
    <w:rsid w:val="009F4050"/>
    <w:rsid w:val="009F4208"/>
    <w:rsid w:val="009F4273"/>
    <w:rsid w:val="009F429C"/>
    <w:rsid w:val="009F4526"/>
    <w:rsid w:val="009F45C9"/>
    <w:rsid w:val="009F4760"/>
    <w:rsid w:val="009F4C27"/>
    <w:rsid w:val="009F4EB0"/>
    <w:rsid w:val="009F5206"/>
    <w:rsid w:val="009F575D"/>
    <w:rsid w:val="009F5801"/>
    <w:rsid w:val="009F5B57"/>
    <w:rsid w:val="009F5B9D"/>
    <w:rsid w:val="009F5DD3"/>
    <w:rsid w:val="009F5FA4"/>
    <w:rsid w:val="009F5FFE"/>
    <w:rsid w:val="009F61A6"/>
    <w:rsid w:val="009F64DE"/>
    <w:rsid w:val="009F6719"/>
    <w:rsid w:val="009F6D34"/>
    <w:rsid w:val="009F6D9F"/>
    <w:rsid w:val="009F6E13"/>
    <w:rsid w:val="009F7126"/>
    <w:rsid w:val="009F71F3"/>
    <w:rsid w:val="009F726A"/>
    <w:rsid w:val="009F7BDE"/>
    <w:rsid w:val="009F7BFB"/>
    <w:rsid w:val="009F7DE1"/>
    <w:rsid w:val="009F7E29"/>
    <w:rsid w:val="00A0009A"/>
    <w:rsid w:val="00A00622"/>
    <w:rsid w:val="00A006BC"/>
    <w:rsid w:val="00A00CB9"/>
    <w:rsid w:val="00A010D0"/>
    <w:rsid w:val="00A01726"/>
    <w:rsid w:val="00A0175B"/>
    <w:rsid w:val="00A0265C"/>
    <w:rsid w:val="00A02A03"/>
    <w:rsid w:val="00A02A8E"/>
    <w:rsid w:val="00A02D11"/>
    <w:rsid w:val="00A02EA4"/>
    <w:rsid w:val="00A02FC8"/>
    <w:rsid w:val="00A03368"/>
    <w:rsid w:val="00A03BB1"/>
    <w:rsid w:val="00A04116"/>
    <w:rsid w:val="00A0423E"/>
    <w:rsid w:val="00A044C7"/>
    <w:rsid w:val="00A04636"/>
    <w:rsid w:val="00A04838"/>
    <w:rsid w:val="00A04B8E"/>
    <w:rsid w:val="00A04F59"/>
    <w:rsid w:val="00A05173"/>
    <w:rsid w:val="00A05227"/>
    <w:rsid w:val="00A05812"/>
    <w:rsid w:val="00A05D58"/>
    <w:rsid w:val="00A06219"/>
    <w:rsid w:val="00A06B63"/>
    <w:rsid w:val="00A06B7F"/>
    <w:rsid w:val="00A06C7B"/>
    <w:rsid w:val="00A06E13"/>
    <w:rsid w:val="00A06F5C"/>
    <w:rsid w:val="00A071A6"/>
    <w:rsid w:val="00A07F7F"/>
    <w:rsid w:val="00A07FB5"/>
    <w:rsid w:val="00A101D0"/>
    <w:rsid w:val="00A103FF"/>
    <w:rsid w:val="00A108A8"/>
    <w:rsid w:val="00A1183C"/>
    <w:rsid w:val="00A11B6A"/>
    <w:rsid w:val="00A121D3"/>
    <w:rsid w:val="00A125D7"/>
    <w:rsid w:val="00A1275E"/>
    <w:rsid w:val="00A128F5"/>
    <w:rsid w:val="00A13049"/>
    <w:rsid w:val="00A13376"/>
    <w:rsid w:val="00A13673"/>
    <w:rsid w:val="00A138FD"/>
    <w:rsid w:val="00A1397D"/>
    <w:rsid w:val="00A147C9"/>
    <w:rsid w:val="00A1484D"/>
    <w:rsid w:val="00A1487E"/>
    <w:rsid w:val="00A14C06"/>
    <w:rsid w:val="00A15073"/>
    <w:rsid w:val="00A1511B"/>
    <w:rsid w:val="00A15431"/>
    <w:rsid w:val="00A156F7"/>
    <w:rsid w:val="00A158E2"/>
    <w:rsid w:val="00A159AF"/>
    <w:rsid w:val="00A15C3C"/>
    <w:rsid w:val="00A15DFF"/>
    <w:rsid w:val="00A15EE5"/>
    <w:rsid w:val="00A15F48"/>
    <w:rsid w:val="00A16386"/>
    <w:rsid w:val="00A169EF"/>
    <w:rsid w:val="00A16A61"/>
    <w:rsid w:val="00A16E86"/>
    <w:rsid w:val="00A16EC3"/>
    <w:rsid w:val="00A17169"/>
    <w:rsid w:val="00A177B2"/>
    <w:rsid w:val="00A178FD"/>
    <w:rsid w:val="00A17ACC"/>
    <w:rsid w:val="00A17D12"/>
    <w:rsid w:val="00A20211"/>
    <w:rsid w:val="00A2044D"/>
    <w:rsid w:val="00A20500"/>
    <w:rsid w:val="00A208DD"/>
    <w:rsid w:val="00A20FD2"/>
    <w:rsid w:val="00A21027"/>
    <w:rsid w:val="00A21044"/>
    <w:rsid w:val="00A2108C"/>
    <w:rsid w:val="00A210A7"/>
    <w:rsid w:val="00A21573"/>
    <w:rsid w:val="00A215F0"/>
    <w:rsid w:val="00A21701"/>
    <w:rsid w:val="00A220B4"/>
    <w:rsid w:val="00A22180"/>
    <w:rsid w:val="00A221AB"/>
    <w:rsid w:val="00A22585"/>
    <w:rsid w:val="00A227C9"/>
    <w:rsid w:val="00A229B9"/>
    <w:rsid w:val="00A22AE4"/>
    <w:rsid w:val="00A22F79"/>
    <w:rsid w:val="00A2313B"/>
    <w:rsid w:val="00A23391"/>
    <w:rsid w:val="00A233D7"/>
    <w:rsid w:val="00A23716"/>
    <w:rsid w:val="00A237BD"/>
    <w:rsid w:val="00A23847"/>
    <w:rsid w:val="00A23E07"/>
    <w:rsid w:val="00A23E5D"/>
    <w:rsid w:val="00A24438"/>
    <w:rsid w:val="00A2461A"/>
    <w:rsid w:val="00A24DB3"/>
    <w:rsid w:val="00A24FB5"/>
    <w:rsid w:val="00A251D1"/>
    <w:rsid w:val="00A25384"/>
    <w:rsid w:val="00A25801"/>
    <w:rsid w:val="00A25818"/>
    <w:rsid w:val="00A25980"/>
    <w:rsid w:val="00A25B08"/>
    <w:rsid w:val="00A25C7C"/>
    <w:rsid w:val="00A25EAD"/>
    <w:rsid w:val="00A26080"/>
    <w:rsid w:val="00A26134"/>
    <w:rsid w:val="00A262B7"/>
    <w:rsid w:val="00A264FA"/>
    <w:rsid w:val="00A2650B"/>
    <w:rsid w:val="00A26858"/>
    <w:rsid w:val="00A26DFC"/>
    <w:rsid w:val="00A27067"/>
    <w:rsid w:val="00A27529"/>
    <w:rsid w:val="00A275E4"/>
    <w:rsid w:val="00A2765B"/>
    <w:rsid w:val="00A2782E"/>
    <w:rsid w:val="00A27A23"/>
    <w:rsid w:val="00A27A4E"/>
    <w:rsid w:val="00A27C71"/>
    <w:rsid w:val="00A27FEA"/>
    <w:rsid w:val="00A305A0"/>
    <w:rsid w:val="00A30757"/>
    <w:rsid w:val="00A307FF"/>
    <w:rsid w:val="00A30828"/>
    <w:rsid w:val="00A308E1"/>
    <w:rsid w:val="00A30D03"/>
    <w:rsid w:val="00A314D9"/>
    <w:rsid w:val="00A318A9"/>
    <w:rsid w:val="00A3221A"/>
    <w:rsid w:val="00A32257"/>
    <w:rsid w:val="00A322D3"/>
    <w:rsid w:val="00A32342"/>
    <w:rsid w:val="00A323CD"/>
    <w:rsid w:val="00A324BD"/>
    <w:rsid w:val="00A327EF"/>
    <w:rsid w:val="00A32A92"/>
    <w:rsid w:val="00A32AAD"/>
    <w:rsid w:val="00A32C40"/>
    <w:rsid w:val="00A3324A"/>
    <w:rsid w:val="00A333F4"/>
    <w:rsid w:val="00A33438"/>
    <w:rsid w:val="00A3370D"/>
    <w:rsid w:val="00A33734"/>
    <w:rsid w:val="00A33BF2"/>
    <w:rsid w:val="00A340C4"/>
    <w:rsid w:val="00A343D7"/>
    <w:rsid w:val="00A345B7"/>
    <w:rsid w:val="00A347C1"/>
    <w:rsid w:val="00A3494D"/>
    <w:rsid w:val="00A34A83"/>
    <w:rsid w:val="00A34CFD"/>
    <w:rsid w:val="00A35081"/>
    <w:rsid w:val="00A3522E"/>
    <w:rsid w:val="00A3573E"/>
    <w:rsid w:val="00A3597B"/>
    <w:rsid w:val="00A36252"/>
    <w:rsid w:val="00A36362"/>
    <w:rsid w:val="00A363D5"/>
    <w:rsid w:val="00A36606"/>
    <w:rsid w:val="00A3667B"/>
    <w:rsid w:val="00A366D6"/>
    <w:rsid w:val="00A3693B"/>
    <w:rsid w:val="00A36BAE"/>
    <w:rsid w:val="00A37508"/>
    <w:rsid w:val="00A378A6"/>
    <w:rsid w:val="00A37B54"/>
    <w:rsid w:val="00A37DC2"/>
    <w:rsid w:val="00A40927"/>
    <w:rsid w:val="00A409E6"/>
    <w:rsid w:val="00A4102D"/>
    <w:rsid w:val="00A41101"/>
    <w:rsid w:val="00A41142"/>
    <w:rsid w:val="00A416DD"/>
    <w:rsid w:val="00A41B1C"/>
    <w:rsid w:val="00A41F5B"/>
    <w:rsid w:val="00A42467"/>
    <w:rsid w:val="00A4246D"/>
    <w:rsid w:val="00A42E2C"/>
    <w:rsid w:val="00A4342E"/>
    <w:rsid w:val="00A4353A"/>
    <w:rsid w:val="00A44142"/>
    <w:rsid w:val="00A4422A"/>
    <w:rsid w:val="00A44326"/>
    <w:rsid w:val="00A444F1"/>
    <w:rsid w:val="00A4450B"/>
    <w:rsid w:val="00A44530"/>
    <w:rsid w:val="00A447AE"/>
    <w:rsid w:val="00A44D9E"/>
    <w:rsid w:val="00A44DAA"/>
    <w:rsid w:val="00A45248"/>
    <w:rsid w:val="00A45434"/>
    <w:rsid w:val="00A45485"/>
    <w:rsid w:val="00A45EA5"/>
    <w:rsid w:val="00A45EA9"/>
    <w:rsid w:val="00A46262"/>
    <w:rsid w:val="00A46584"/>
    <w:rsid w:val="00A46836"/>
    <w:rsid w:val="00A46D65"/>
    <w:rsid w:val="00A46DE6"/>
    <w:rsid w:val="00A4760A"/>
    <w:rsid w:val="00A47706"/>
    <w:rsid w:val="00A4772A"/>
    <w:rsid w:val="00A47B96"/>
    <w:rsid w:val="00A47E3A"/>
    <w:rsid w:val="00A50E5D"/>
    <w:rsid w:val="00A50E63"/>
    <w:rsid w:val="00A50E72"/>
    <w:rsid w:val="00A51036"/>
    <w:rsid w:val="00A5105F"/>
    <w:rsid w:val="00A5119A"/>
    <w:rsid w:val="00A5174D"/>
    <w:rsid w:val="00A51F59"/>
    <w:rsid w:val="00A52411"/>
    <w:rsid w:val="00A5243B"/>
    <w:rsid w:val="00A52738"/>
    <w:rsid w:val="00A5274B"/>
    <w:rsid w:val="00A52782"/>
    <w:rsid w:val="00A52BC8"/>
    <w:rsid w:val="00A52DC9"/>
    <w:rsid w:val="00A53084"/>
    <w:rsid w:val="00A53446"/>
    <w:rsid w:val="00A53A81"/>
    <w:rsid w:val="00A53DFD"/>
    <w:rsid w:val="00A54111"/>
    <w:rsid w:val="00A54760"/>
    <w:rsid w:val="00A54903"/>
    <w:rsid w:val="00A5495F"/>
    <w:rsid w:val="00A549FE"/>
    <w:rsid w:val="00A55BA2"/>
    <w:rsid w:val="00A55C20"/>
    <w:rsid w:val="00A55C9D"/>
    <w:rsid w:val="00A55DDA"/>
    <w:rsid w:val="00A55F56"/>
    <w:rsid w:val="00A56457"/>
    <w:rsid w:val="00A56490"/>
    <w:rsid w:val="00A565EE"/>
    <w:rsid w:val="00A56608"/>
    <w:rsid w:val="00A569F3"/>
    <w:rsid w:val="00A56C03"/>
    <w:rsid w:val="00A56D37"/>
    <w:rsid w:val="00A56E17"/>
    <w:rsid w:val="00A5766C"/>
    <w:rsid w:val="00A57B00"/>
    <w:rsid w:val="00A57DA7"/>
    <w:rsid w:val="00A57F83"/>
    <w:rsid w:val="00A600E3"/>
    <w:rsid w:val="00A60296"/>
    <w:rsid w:val="00A6034A"/>
    <w:rsid w:val="00A6054A"/>
    <w:rsid w:val="00A607E0"/>
    <w:rsid w:val="00A608D9"/>
    <w:rsid w:val="00A609EA"/>
    <w:rsid w:val="00A60D2E"/>
    <w:rsid w:val="00A60F43"/>
    <w:rsid w:val="00A617C2"/>
    <w:rsid w:val="00A61896"/>
    <w:rsid w:val="00A61C27"/>
    <w:rsid w:val="00A6204E"/>
    <w:rsid w:val="00A62063"/>
    <w:rsid w:val="00A6261D"/>
    <w:rsid w:val="00A6270E"/>
    <w:rsid w:val="00A62804"/>
    <w:rsid w:val="00A62871"/>
    <w:rsid w:val="00A6291A"/>
    <w:rsid w:val="00A629C9"/>
    <w:rsid w:val="00A62BA9"/>
    <w:rsid w:val="00A62D2E"/>
    <w:rsid w:val="00A62E1D"/>
    <w:rsid w:val="00A63129"/>
    <w:rsid w:val="00A6316B"/>
    <w:rsid w:val="00A63183"/>
    <w:rsid w:val="00A63249"/>
    <w:rsid w:val="00A6324E"/>
    <w:rsid w:val="00A6351A"/>
    <w:rsid w:val="00A63A1F"/>
    <w:rsid w:val="00A63EEE"/>
    <w:rsid w:val="00A64416"/>
    <w:rsid w:val="00A644EC"/>
    <w:rsid w:val="00A6477B"/>
    <w:rsid w:val="00A648DE"/>
    <w:rsid w:val="00A65369"/>
    <w:rsid w:val="00A65470"/>
    <w:rsid w:val="00A658CB"/>
    <w:rsid w:val="00A65AE9"/>
    <w:rsid w:val="00A663B3"/>
    <w:rsid w:val="00A66ED1"/>
    <w:rsid w:val="00A66F3F"/>
    <w:rsid w:val="00A67470"/>
    <w:rsid w:val="00A67508"/>
    <w:rsid w:val="00A67692"/>
    <w:rsid w:val="00A676DF"/>
    <w:rsid w:val="00A67A32"/>
    <w:rsid w:val="00A67CDF"/>
    <w:rsid w:val="00A67DC3"/>
    <w:rsid w:val="00A67E61"/>
    <w:rsid w:val="00A67F9B"/>
    <w:rsid w:val="00A7012D"/>
    <w:rsid w:val="00A701FC"/>
    <w:rsid w:val="00A70674"/>
    <w:rsid w:val="00A7094B"/>
    <w:rsid w:val="00A70AC4"/>
    <w:rsid w:val="00A70C0E"/>
    <w:rsid w:val="00A70D15"/>
    <w:rsid w:val="00A70ECA"/>
    <w:rsid w:val="00A7118E"/>
    <w:rsid w:val="00A71280"/>
    <w:rsid w:val="00A71306"/>
    <w:rsid w:val="00A71489"/>
    <w:rsid w:val="00A7150D"/>
    <w:rsid w:val="00A715FC"/>
    <w:rsid w:val="00A71772"/>
    <w:rsid w:val="00A7195E"/>
    <w:rsid w:val="00A71B09"/>
    <w:rsid w:val="00A71D7F"/>
    <w:rsid w:val="00A7204A"/>
    <w:rsid w:val="00A72159"/>
    <w:rsid w:val="00A722EE"/>
    <w:rsid w:val="00A7256E"/>
    <w:rsid w:val="00A72989"/>
    <w:rsid w:val="00A72BB1"/>
    <w:rsid w:val="00A72E0A"/>
    <w:rsid w:val="00A73019"/>
    <w:rsid w:val="00A7313E"/>
    <w:rsid w:val="00A732A3"/>
    <w:rsid w:val="00A7337E"/>
    <w:rsid w:val="00A73627"/>
    <w:rsid w:val="00A73AB7"/>
    <w:rsid w:val="00A73F12"/>
    <w:rsid w:val="00A73F24"/>
    <w:rsid w:val="00A73FAD"/>
    <w:rsid w:val="00A740DF"/>
    <w:rsid w:val="00A740F6"/>
    <w:rsid w:val="00A741D4"/>
    <w:rsid w:val="00A7465B"/>
    <w:rsid w:val="00A74875"/>
    <w:rsid w:val="00A748BD"/>
    <w:rsid w:val="00A74C25"/>
    <w:rsid w:val="00A74D4A"/>
    <w:rsid w:val="00A75452"/>
    <w:rsid w:val="00A75AC3"/>
    <w:rsid w:val="00A75DA8"/>
    <w:rsid w:val="00A75DFA"/>
    <w:rsid w:val="00A760E8"/>
    <w:rsid w:val="00A7626C"/>
    <w:rsid w:val="00A764E7"/>
    <w:rsid w:val="00A76529"/>
    <w:rsid w:val="00A76D63"/>
    <w:rsid w:val="00A77055"/>
    <w:rsid w:val="00A77203"/>
    <w:rsid w:val="00A77427"/>
    <w:rsid w:val="00A7783D"/>
    <w:rsid w:val="00A77B2A"/>
    <w:rsid w:val="00A77B93"/>
    <w:rsid w:val="00A77FB5"/>
    <w:rsid w:val="00A80159"/>
    <w:rsid w:val="00A803D6"/>
    <w:rsid w:val="00A805BD"/>
    <w:rsid w:val="00A807D3"/>
    <w:rsid w:val="00A808AE"/>
    <w:rsid w:val="00A80A44"/>
    <w:rsid w:val="00A80B88"/>
    <w:rsid w:val="00A80CCE"/>
    <w:rsid w:val="00A81046"/>
    <w:rsid w:val="00A811AB"/>
    <w:rsid w:val="00A81234"/>
    <w:rsid w:val="00A812FE"/>
    <w:rsid w:val="00A8142D"/>
    <w:rsid w:val="00A81459"/>
    <w:rsid w:val="00A81C83"/>
    <w:rsid w:val="00A81CB4"/>
    <w:rsid w:val="00A81CC6"/>
    <w:rsid w:val="00A81DEA"/>
    <w:rsid w:val="00A81EC4"/>
    <w:rsid w:val="00A8225B"/>
    <w:rsid w:val="00A82694"/>
    <w:rsid w:val="00A82CFA"/>
    <w:rsid w:val="00A83004"/>
    <w:rsid w:val="00A83055"/>
    <w:rsid w:val="00A83133"/>
    <w:rsid w:val="00A834F5"/>
    <w:rsid w:val="00A836FA"/>
    <w:rsid w:val="00A8378B"/>
    <w:rsid w:val="00A83D84"/>
    <w:rsid w:val="00A8402E"/>
    <w:rsid w:val="00A8419D"/>
    <w:rsid w:val="00A84341"/>
    <w:rsid w:val="00A844A6"/>
    <w:rsid w:val="00A84733"/>
    <w:rsid w:val="00A84905"/>
    <w:rsid w:val="00A84C8B"/>
    <w:rsid w:val="00A84F52"/>
    <w:rsid w:val="00A85015"/>
    <w:rsid w:val="00A85105"/>
    <w:rsid w:val="00A85A37"/>
    <w:rsid w:val="00A85AFB"/>
    <w:rsid w:val="00A85B9C"/>
    <w:rsid w:val="00A85D41"/>
    <w:rsid w:val="00A86374"/>
    <w:rsid w:val="00A86382"/>
    <w:rsid w:val="00A86B12"/>
    <w:rsid w:val="00A872C8"/>
    <w:rsid w:val="00A875BE"/>
    <w:rsid w:val="00A8769D"/>
    <w:rsid w:val="00A8792E"/>
    <w:rsid w:val="00A87A49"/>
    <w:rsid w:val="00A90A33"/>
    <w:rsid w:val="00A90A77"/>
    <w:rsid w:val="00A90C20"/>
    <w:rsid w:val="00A90C5B"/>
    <w:rsid w:val="00A90F6D"/>
    <w:rsid w:val="00A91153"/>
    <w:rsid w:val="00A913A4"/>
    <w:rsid w:val="00A91768"/>
    <w:rsid w:val="00A92104"/>
    <w:rsid w:val="00A9233F"/>
    <w:rsid w:val="00A925B4"/>
    <w:rsid w:val="00A929AE"/>
    <w:rsid w:val="00A92EE5"/>
    <w:rsid w:val="00A92F31"/>
    <w:rsid w:val="00A931FF"/>
    <w:rsid w:val="00A932A9"/>
    <w:rsid w:val="00A93604"/>
    <w:rsid w:val="00A938BE"/>
    <w:rsid w:val="00A93EDB"/>
    <w:rsid w:val="00A93F97"/>
    <w:rsid w:val="00A946FD"/>
    <w:rsid w:val="00A94A65"/>
    <w:rsid w:val="00A94BCE"/>
    <w:rsid w:val="00A950A4"/>
    <w:rsid w:val="00A952A0"/>
    <w:rsid w:val="00A955F8"/>
    <w:rsid w:val="00A95A68"/>
    <w:rsid w:val="00A95CCE"/>
    <w:rsid w:val="00A95D68"/>
    <w:rsid w:val="00A95EFC"/>
    <w:rsid w:val="00A9630E"/>
    <w:rsid w:val="00A970C3"/>
    <w:rsid w:val="00A973F7"/>
    <w:rsid w:val="00A97498"/>
    <w:rsid w:val="00A974ED"/>
    <w:rsid w:val="00A97A26"/>
    <w:rsid w:val="00A97AE1"/>
    <w:rsid w:val="00A97BD1"/>
    <w:rsid w:val="00AA00C9"/>
    <w:rsid w:val="00AA0167"/>
    <w:rsid w:val="00AA05C2"/>
    <w:rsid w:val="00AA0E76"/>
    <w:rsid w:val="00AA1AC0"/>
    <w:rsid w:val="00AA1BD1"/>
    <w:rsid w:val="00AA1F93"/>
    <w:rsid w:val="00AA24DF"/>
    <w:rsid w:val="00AA2646"/>
    <w:rsid w:val="00AA279E"/>
    <w:rsid w:val="00AA2A3C"/>
    <w:rsid w:val="00AA2AEE"/>
    <w:rsid w:val="00AA2F33"/>
    <w:rsid w:val="00AA37B2"/>
    <w:rsid w:val="00AA3BD1"/>
    <w:rsid w:val="00AA3C2B"/>
    <w:rsid w:val="00AA3CB8"/>
    <w:rsid w:val="00AA3F7B"/>
    <w:rsid w:val="00AA4123"/>
    <w:rsid w:val="00AA4286"/>
    <w:rsid w:val="00AA468A"/>
    <w:rsid w:val="00AA470D"/>
    <w:rsid w:val="00AA47D2"/>
    <w:rsid w:val="00AA48DD"/>
    <w:rsid w:val="00AA4DAD"/>
    <w:rsid w:val="00AA4E66"/>
    <w:rsid w:val="00AA5495"/>
    <w:rsid w:val="00AA55A0"/>
    <w:rsid w:val="00AA5A5E"/>
    <w:rsid w:val="00AA6567"/>
    <w:rsid w:val="00AA65C6"/>
    <w:rsid w:val="00AA6B15"/>
    <w:rsid w:val="00AA6DFE"/>
    <w:rsid w:val="00AA6F7B"/>
    <w:rsid w:val="00AA710B"/>
    <w:rsid w:val="00AA725C"/>
    <w:rsid w:val="00AA72E6"/>
    <w:rsid w:val="00AA764B"/>
    <w:rsid w:val="00AA7687"/>
    <w:rsid w:val="00AA78BA"/>
    <w:rsid w:val="00AA78CD"/>
    <w:rsid w:val="00AA7B45"/>
    <w:rsid w:val="00AA7B8F"/>
    <w:rsid w:val="00AB04D6"/>
    <w:rsid w:val="00AB055F"/>
    <w:rsid w:val="00AB0593"/>
    <w:rsid w:val="00AB05A5"/>
    <w:rsid w:val="00AB0690"/>
    <w:rsid w:val="00AB0D31"/>
    <w:rsid w:val="00AB1043"/>
    <w:rsid w:val="00AB1075"/>
    <w:rsid w:val="00AB129D"/>
    <w:rsid w:val="00AB1376"/>
    <w:rsid w:val="00AB188C"/>
    <w:rsid w:val="00AB193D"/>
    <w:rsid w:val="00AB20B5"/>
    <w:rsid w:val="00AB22E0"/>
    <w:rsid w:val="00AB2518"/>
    <w:rsid w:val="00AB26C5"/>
    <w:rsid w:val="00AB286E"/>
    <w:rsid w:val="00AB2AFB"/>
    <w:rsid w:val="00AB2D01"/>
    <w:rsid w:val="00AB2DD7"/>
    <w:rsid w:val="00AB3277"/>
    <w:rsid w:val="00AB347F"/>
    <w:rsid w:val="00AB3967"/>
    <w:rsid w:val="00AB3CFA"/>
    <w:rsid w:val="00AB3D0E"/>
    <w:rsid w:val="00AB41CB"/>
    <w:rsid w:val="00AB433D"/>
    <w:rsid w:val="00AB45AF"/>
    <w:rsid w:val="00AB4964"/>
    <w:rsid w:val="00AB4BC0"/>
    <w:rsid w:val="00AB4DAD"/>
    <w:rsid w:val="00AB533C"/>
    <w:rsid w:val="00AB56CA"/>
    <w:rsid w:val="00AB580A"/>
    <w:rsid w:val="00AB588A"/>
    <w:rsid w:val="00AB58D4"/>
    <w:rsid w:val="00AB67FE"/>
    <w:rsid w:val="00AB69B2"/>
    <w:rsid w:val="00AB71B6"/>
    <w:rsid w:val="00AB731F"/>
    <w:rsid w:val="00AB7C46"/>
    <w:rsid w:val="00AC00F1"/>
    <w:rsid w:val="00AC01EB"/>
    <w:rsid w:val="00AC025F"/>
    <w:rsid w:val="00AC0410"/>
    <w:rsid w:val="00AC0E8B"/>
    <w:rsid w:val="00AC0FD5"/>
    <w:rsid w:val="00AC103A"/>
    <w:rsid w:val="00AC12A1"/>
    <w:rsid w:val="00AC1B57"/>
    <w:rsid w:val="00AC1BC8"/>
    <w:rsid w:val="00AC1CDA"/>
    <w:rsid w:val="00AC1D8F"/>
    <w:rsid w:val="00AC1E14"/>
    <w:rsid w:val="00AC256F"/>
    <w:rsid w:val="00AC2A1B"/>
    <w:rsid w:val="00AC2B46"/>
    <w:rsid w:val="00AC2B61"/>
    <w:rsid w:val="00AC35D6"/>
    <w:rsid w:val="00AC3950"/>
    <w:rsid w:val="00AC3C1F"/>
    <w:rsid w:val="00AC3EC2"/>
    <w:rsid w:val="00AC4154"/>
    <w:rsid w:val="00AC43FC"/>
    <w:rsid w:val="00AC4469"/>
    <w:rsid w:val="00AC4B3B"/>
    <w:rsid w:val="00AC4BC1"/>
    <w:rsid w:val="00AC4C90"/>
    <w:rsid w:val="00AC4CF0"/>
    <w:rsid w:val="00AC4FD2"/>
    <w:rsid w:val="00AC5521"/>
    <w:rsid w:val="00AC60C1"/>
    <w:rsid w:val="00AC61A5"/>
    <w:rsid w:val="00AC61D5"/>
    <w:rsid w:val="00AC620D"/>
    <w:rsid w:val="00AC63DE"/>
    <w:rsid w:val="00AC64EC"/>
    <w:rsid w:val="00AC677E"/>
    <w:rsid w:val="00AC6885"/>
    <w:rsid w:val="00AC6B9F"/>
    <w:rsid w:val="00AC6CEE"/>
    <w:rsid w:val="00AC6E34"/>
    <w:rsid w:val="00AC70F0"/>
    <w:rsid w:val="00AC7216"/>
    <w:rsid w:val="00AC7683"/>
    <w:rsid w:val="00AC775B"/>
    <w:rsid w:val="00AC779E"/>
    <w:rsid w:val="00AC7F60"/>
    <w:rsid w:val="00AD0140"/>
    <w:rsid w:val="00AD0671"/>
    <w:rsid w:val="00AD0DEA"/>
    <w:rsid w:val="00AD103F"/>
    <w:rsid w:val="00AD17D4"/>
    <w:rsid w:val="00AD1AED"/>
    <w:rsid w:val="00AD1C7E"/>
    <w:rsid w:val="00AD20B1"/>
    <w:rsid w:val="00AD253B"/>
    <w:rsid w:val="00AD2808"/>
    <w:rsid w:val="00AD28C5"/>
    <w:rsid w:val="00AD2B12"/>
    <w:rsid w:val="00AD2C98"/>
    <w:rsid w:val="00AD2D7C"/>
    <w:rsid w:val="00AD2DF6"/>
    <w:rsid w:val="00AD3432"/>
    <w:rsid w:val="00AD344D"/>
    <w:rsid w:val="00AD37AC"/>
    <w:rsid w:val="00AD37CA"/>
    <w:rsid w:val="00AD43C4"/>
    <w:rsid w:val="00AD46C0"/>
    <w:rsid w:val="00AD4BE8"/>
    <w:rsid w:val="00AD4DAB"/>
    <w:rsid w:val="00AD4F8C"/>
    <w:rsid w:val="00AD5175"/>
    <w:rsid w:val="00AD5244"/>
    <w:rsid w:val="00AD56C3"/>
    <w:rsid w:val="00AD5C3C"/>
    <w:rsid w:val="00AD6165"/>
    <w:rsid w:val="00AD6385"/>
    <w:rsid w:val="00AD6F7D"/>
    <w:rsid w:val="00AD74D7"/>
    <w:rsid w:val="00AD75B9"/>
    <w:rsid w:val="00AD7603"/>
    <w:rsid w:val="00AD7681"/>
    <w:rsid w:val="00AD7CAE"/>
    <w:rsid w:val="00AE0502"/>
    <w:rsid w:val="00AE0697"/>
    <w:rsid w:val="00AE0806"/>
    <w:rsid w:val="00AE099C"/>
    <w:rsid w:val="00AE09C7"/>
    <w:rsid w:val="00AE12E6"/>
    <w:rsid w:val="00AE14AB"/>
    <w:rsid w:val="00AE15C8"/>
    <w:rsid w:val="00AE18B6"/>
    <w:rsid w:val="00AE2369"/>
    <w:rsid w:val="00AE2485"/>
    <w:rsid w:val="00AE263F"/>
    <w:rsid w:val="00AE2930"/>
    <w:rsid w:val="00AE2B0A"/>
    <w:rsid w:val="00AE2B6D"/>
    <w:rsid w:val="00AE2BFD"/>
    <w:rsid w:val="00AE2C0C"/>
    <w:rsid w:val="00AE2EA7"/>
    <w:rsid w:val="00AE3264"/>
    <w:rsid w:val="00AE33A9"/>
    <w:rsid w:val="00AE389F"/>
    <w:rsid w:val="00AE3A1F"/>
    <w:rsid w:val="00AE3B9D"/>
    <w:rsid w:val="00AE3BC6"/>
    <w:rsid w:val="00AE4264"/>
    <w:rsid w:val="00AE4359"/>
    <w:rsid w:val="00AE4A3C"/>
    <w:rsid w:val="00AE51AC"/>
    <w:rsid w:val="00AE5223"/>
    <w:rsid w:val="00AE54C2"/>
    <w:rsid w:val="00AE5A2E"/>
    <w:rsid w:val="00AE5B14"/>
    <w:rsid w:val="00AE60CC"/>
    <w:rsid w:val="00AE60F3"/>
    <w:rsid w:val="00AE6125"/>
    <w:rsid w:val="00AE6345"/>
    <w:rsid w:val="00AE63AB"/>
    <w:rsid w:val="00AE6A5A"/>
    <w:rsid w:val="00AE6B1B"/>
    <w:rsid w:val="00AE6BD3"/>
    <w:rsid w:val="00AE7256"/>
    <w:rsid w:val="00AE74C7"/>
    <w:rsid w:val="00AE7822"/>
    <w:rsid w:val="00AE7849"/>
    <w:rsid w:val="00AE7EF4"/>
    <w:rsid w:val="00AF0048"/>
    <w:rsid w:val="00AF022A"/>
    <w:rsid w:val="00AF0862"/>
    <w:rsid w:val="00AF0C75"/>
    <w:rsid w:val="00AF0C97"/>
    <w:rsid w:val="00AF0D1E"/>
    <w:rsid w:val="00AF0DA5"/>
    <w:rsid w:val="00AF0EC7"/>
    <w:rsid w:val="00AF14F7"/>
    <w:rsid w:val="00AF1F71"/>
    <w:rsid w:val="00AF23C1"/>
    <w:rsid w:val="00AF27AA"/>
    <w:rsid w:val="00AF27EE"/>
    <w:rsid w:val="00AF287B"/>
    <w:rsid w:val="00AF2A0B"/>
    <w:rsid w:val="00AF2AD1"/>
    <w:rsid w:val="00AF2FF4"/>
    <w:rsid w:val="00AF3026"/>
    <w:rsid w:val="00AF35DB"/>
    <w:rsid w:val="00AF3EC4"/>
    <w:rsid w:val="00AF4031"/>
    <w:rsid w:val="00AF429A"/>
    <w:rsid w:val="00AF481F"/>
    <w:rsid w:val="00AF48E2"/>
    <w:rsid w:val="00AF4A1B"/>
    <w:rsid w:val="00AF4AB0"/>
    <w:rsid w:val="00AF4C66"/>
    <w:rsid w:val="00AF4E61"/>
    <w:rsid w:val="00AF51A2"/>
    <w:rsid w:val="00AF53DA"/>
    <w:rsid w:val="00AF5832"/>
    <w:rsid w:val="00AF585A"/>
    <w:rsid w:val="00AF5ABE"/>
    <w:rsid w:val="00AF5C81"/>
    <w:rsid w:val="00AF6420"/>
    <w:rsid w:val="00AF672A"/>
    <w:rsid w:val="00AF677E"/>
    <w:rsid w:val="00AF68E6"/>
    <w:rsid w:val="00AF6E34"/>
    <w:rsid w:val="00AF70DE"/>
    <w:rsid w:val="00AF7767"/>
    <w:rsid w:val="00AF78B9"/>
    <w:rsid w:val="00AF78CB"/>
    <w:rsid w:val="00AF7AAF"/>
    <w:rsid w:val="00AF7BFF"/>
    <w:rsid w:val="00B003B8"/>
    <w:rsid w:val="00B0075E"/>
    <w:rsid w:val="00B010DB"/>
    <w:rsid w:val="00B013AE"/>
    <w:rsid w:val="00B01408"/>
    <w:rsid w:val="00B0162D"/>
    <w:rsid w:val="00B01659"/>
    <w:rsid w:val="00B0175A"/>
    <w:rsid w:val="00B021CD"/>
    <w:rsid w:val="00B02582"/>
    <w:rsid w:val="00B028FB"/>
    <w:rsid w:val="00B029A1"/>
    <w:rsid w:val="00B02CE1"/>
    <w:rsid w:val="00B02D19"/>
    <w:rsid w:val="00B02E12"/>
    <w:rsid w:val="00B032E5"/>
    <w:rsid w:val="00B03333"/>
    <w:rsid w:val="00B036AE"/>
    <w:rsid w:val="00B03748"/>
    <w:rsid w:val="00B038E5"/>
    <w:rsid w:val="00B03E89"/>
    <w:rsid w:val="00B03F1E"/>
    <w:rsid w:val="00B03FD8"/>
    <w:rsid w:val="00B04093"/>
    <w:rsid w:val="00B04278"/>
    <w:rsid w:val="00B04B5E"/>
    <w:rsid w:val="00B04BF2"/>
    <w:rsid w:val="00B0503D"/>
    <w:rsid w:val="00B05073"/>
    <w:rsid w:val="00B051B1"/>
    <w:rsid w:val="00B05377"/>
    <w:rsid w:val="00B05813"/>
    <w:rsid w:val="00B059AA"/>
    <w:rsid w:val="00B05E0A"/>
    <w:rsid w:val="00B05E75"/>
    <w:rsid w:val="00B05F24"/>
    <w:rsid w:val="00B05FC2"/>
    <w:rsid w:val="00B06072"/>
    <w:rsid w:val="00B060EA"/>
    <w:rsid w:val="00B066C7"/>
    <w:rsid w:val="00B069AA"/>
    <w:rsid w:val="00B06E53"/>
    <w:rsid w:val="00B06F09"/>
    <w:rsid w:val="00B071AB"/>
    <w:rsid w:val="00B07327"/>
    <w:rsid w:val="00B07341"/>
    <w:rsid w:val="00B0775B"/>
    <w:rsid w:val="00B07A9C"/>
    <w:rsid w:val="00B07B39"/>
    <w:rsid w:val="00B07EAA"/>
    <w:rsid w:val="00B100D8"/>
    <w:rsid w:val="00B1011A"/>
    <w:rsid w:val="00B107DE"/>
    <w:rsid w:val="00B10A32"/>
    <w:rsid w:val="00B10C87"/>
    <w:rsid w:val="00B10E43"/>
    <w:rsid w:val="00B111CF"/>
    <w:rsid w:val="00B113BB"/>
    <w:rsid w:val="00B115D9"/>
    <w:rsid w:val="00B11617"/>
    <w:rsid w:val="00B11774"/>
    <w:rsid w:val="00B11FE9"/>
    <w:rsid w:val="00B12157"/>
    <w:rsid w:val="00B121B4"/>
    <w:rsid w:val="00B12288"/>
    <w:rsid w:val="00B122B6"/>
    <w:rsid w:val="00B12945"/>
    <w:rsid w:val="00B129B3"/>
    <w:rsid w:val="00B12A40"/>
    <w:rsid w:val="00B1345D"/>
    <w:rsid w:val="00B13A2D"/>
    <w:rsid w:val="00B13B2C"/>
    <w:rsid w:val="00B13B94"/>
    <w:rsid w:val="00B13F36"/>
    <w:rsid w:val="00B14391"/>
    <w:rsid w:val="00B143CA"/>
    <w:rsid w:val="00B14526"/>
    <w:rsid w:val="00B145D0"/>
    <w:rsid w:val="00B14924"/>
    <w:rsid w:val="00B14AF8"/>
    <w:rsid w:val="00B154DD"/>
    <w:rsid w:val="00B15757"/>
    <w:rsid w:val="00B1599B"/>
    <w:rsid w:val="00B15B13"/>
    <w:rsid w:val="00B15F5C"/>
    <w:rsid w:val="00B15FA7"/>
    <w:rsid w:val="00B1609B"/>
    <w:rsid w:val="00B1615B"/>
    <w:rsid w:val="00B164A7"/>
    <w:rsid w:val="00B16A74"/>
    <w:rsid w:val="00B178E2"/>
    <w:rsid w:val="00B17B24"/>
    <w:rsid w:val="00B17DB5"/>
    <w:rsid w:val="00B17E2E"/>
    <w:rsid w:val="00B202FC"/>
    <w:rsid w:val="00B206F4"/>
    <w:rsid w:val="00B20A99"/>
    <w:rsid w:val="00B20DED"/>
    <w:rsid w:val="00B212E8"/>
    <w:rsid w:val="00B21335"/>
    <w:rsid w:val="00B21357"/>
    <w:rsid w:val="00B213A2"/>
    <w:rsid w:val="00B21581"/>
    <w:rsid w:val="00B217D9"/>
    <w:rsid w:val="00B2185F"/>
    <w:rsid w:val="00B21EE6"/>
    <w:rsid w:val="00B2216D"/>
    <w:rsid w:val="00B22225"/>
    <w:rsid w:val="00B22416"/>
    <w:rsid w:val="00B22704"/>
    <w:rsid w:val="00B22BC9"/>
    <w:rsid w:val="00B22D5F"/>
    <w:rsid w:val="00B22E98"/>
    <w:rsid w:val="00B23139"/>
    <w:rsid w:val="00B2340F"/>
    <w:rsid w:val="00B23592"/>
    <w:rsid w:val="00B2360F"/>
    <w:rsid w:val="00B236D5"/>
    <w:rsid w:val="00B23EBF"/>
    <w:rsid w:val="00B240E1"/>
    <w:rsid w:val="00B243CF"/>
    <w:rsid w:val="00B2483D"/>
    <w:rsid w:val="00B24B72"/>
    <w:rsid w:val="00B24C92"/>
    <w:rsid w:val="00B25106"/>
    <w:rsid w:val="00B25360"/>
    <w:rsid w:val="00B253FF"/>
    <w:rsid w:val="00B256D7"/>
    <w:rsid w:val="00B25AF8"/>
    <w:rsid w:val="00B25B0E"/>
    <w:rsid w:val="00B25C58"/>
    <w:rsid w:val="00B25F3E"/>
    <w:rsid w:val="00B2606F"/>
    <w:rsid w:val="00B262E1"/>
    <w:rsid w:val="00B26410"/>
    <w:rsid w:val="00B2688D"/>
    <w:rsid w:val="00B2697C"/>
    <w:rsid w:val="00B26AA1"/>
    <w:rsid w:val="00B26BD9"/>
    <w:rsid w:val="00B26D06"/>
    <w:rsid w:val="00B26F26"/>
    <w:rsid w:val="00B27FC9"/>
    <w:rsid w:val="00B30002"/>
    <w:rsid w:val="00B30026"/>
    <w:rsid w:val="00B30239"/>
    <w:rsid w:val="00B30556"/>
    <w:rsid w:val="00B306CF"/>
    <w:rsid w:val="00B30802"/>
    <w:rsid w:val="00B3080D"/>
    <w:rsid w:val="00B30C9E"/>
    <w:rsid w:val="00B30CD3"/>
    <w:rsid w:val="00B3135F"/>
    <w:rsid w:val="00B313B5"/>
    <w:rsid w:val="00B31444"/>
    <w:rsid w:val="00B31683"/>
    <w:rsid w:val="00B31AA3"/>
    <w:rsid w:val="00B31F24"/>
    <w:rsid w:val="00B322AF"/>
    <w:rsid w:val="00B32717"/>
    <w:rsid w:val="00B328F1"/>
    <w:rsid w:val="00B32CCC"/>
    <w:rsid w:val="00B32FB3"/>
    <w:rsid w:val="00B33023"/>
    <w:rsid w:val="00B332F9"/>
    <w:rsid w:val="00B335A0"/>
    <w:rsid w:val="00B337DB"/>
    <w:rsid w:val="00B33C71"/>
    <w:rsid w:val="00B34193"/>
    <w:rsid w:val="00B341AE"/>
    <w:rsid w:val="00B34A7C"/>
    <w:rsid w:val="00B34C98"/>
    <w:rsid w:val="00B34D82"/>
    <w:rsid w:val="00B34DE5"/>
    <w:rsid w:val="00B34EB5"/>
    <w:rsid w:val="00B34F34"/>
    <w:rsid w:val="00B3522F"/>
    <w:rsid w:val="00B3537F"/>
    <w:rsid w:val="00B35570"/>
    <w:rsid w:val="00B355A0"/>
    <w:rsid w:val="00B35746"/>
    <w:rsid w:val="00B357DD"/>
    <w:rsid w:val="00B35A71"/>
    <w:rsid w:val="00B35D7A"/>
    <w:rsid w:val="00B35ED3"/>
    <w:rsid w:val="00B35FEA"/>
    <w:rsid w:val="00B361FA"/>
    <w:rsid w:val="00B3621D"/>
    <w:rsid w:val="00B36408"/>
    <w:rsid w:val="00B3688A"/>
    <w:rsid w:val="00B36A49"/>
    <w:rsid w:val="00B371D2"/>
    <w:rsid w:val="00B37A64"/>
    <w:rsid w:val="00B37ABB"/>
    <w:rsid w:val="00B37C31"/>
    <w:rsid w:val="00B37CA3"/>
    <w:rsid w:val="00B401E2"/>
    <w:rsid w:val="00B402BD"/>
    <w:rsid w:val="00B40E12"/>
    <w:rsid w:val="00B41064"/>
    <w:rsid w:val="00B41436"/>
    <w:rsid w:val="00B41478"/>
    <w:rsid w:val="00B41588"/>
    <w:rsid w:val="00B41CB1"/>
    <w:rsid w:val="00B41E0F"/>
    <w:rsid w:val="00B420B1"/>
    <w:rsid w:val="00B4235B"/>
    <w:rsid w:val="00B42930"/>
    <w:rsid w:val="00B43184"/>
    <w:rsid w:val="00B432A2"/>
    <w:rsid w:val="00B436A9"/>
    <w:rsid w:val="00B43708"/>
    <w:rsid w:val="00B43AEC"/>
    <w:rsid w:val="00B43B6B"/>
    <w:rsid w:val="00B43C82"/>
    <w:rsid w:val="00B43E46"/>
    <w:rsid w:val="00B4459E"/>
    <w:rsid w:val="00B4482A"/>
    <w:rsid w:val="00B448B5"/>
    <w:rsid w:val="00B44AF6"/>
    <w:rsid w:val="00B44C19"/>
    <w:rsid w:val="00B4519A"/>
    <w:rsid w:val="00B45427"/>
    <w:rsid w:val="00B45B54"/>
    <w:rsid w:val="00B45CCC"/>
    <w:rsid w:val="00B4617C"/>
    <w:rsid w:val="00B46195"/>
    <w:rsid w:val="00B465C2"/>
    <w:rsid w:val="00B46733"/>
    <w:rsid w:val="00B4687F"/>
    <w:rsid w:val="00B46CCC"/>
    <w:rsid w:val="00B4721B"/>
    <w:rsid w:val="00B47D79"/>
    <w:rsid w:val="00B47EB0"/>
    <w:rsid w:val="00B50161"/>
    <w:rsid w:val="00B5017A"/>
    <w:rsid w:val="00B508A0"/>
    <w:rsid w:val="00B510EE"/>
    <w:rsid w:val="00B5130E"/>
    <w:rsid w:val="00B5142D"/>
    <w:rsid w:val="00B51713"/>
    <w:rsid w:val="00B51CA8"/>
    <w:rsid w:val="00B51F8E"/>
    <w:rsid w:val="00B52455"/>
    <w:rsid w:val="00B5284B"/>
    <w:rsid w:val="00B52A00"/>
    <w:rsid w:val="00B530B2"/>
    <w:rsid w:val="00B5314C"/>
    <w:rsid w:val="00B5326C"/>
    <w:rsid w:val="00B53414"/>
    <w:rsid w:val="00B53504"/>
    <w:rsid w:val="00B538B2"/>
    <w:rsid w:val="00B53B1A"/>
    <w:rsid w:val="00B53BB1"/>
    <w:rsid w:val="00B53CCD"/>
    <w:rsid w:val="00B53D16"/>
    <w:rsid w:val="00B5416C"/>
    <w:rsid w:val="00B544DE"/>
    <w:rsid w:val="00B547FD"/>
    <w:rsid w:val="00B55154"/>
    <w:rsid w:val="00B55171"/>
    <w:rsid w:val="00B55189"/>
    <w:rsid w:val="00B551C4"/>
    <w:rsid w:val="00B55358"/>
    <w:rsid w:val="00B55664"/>
    <w:rsid w:val="00B5598C"/>
    <w:rsid w:val="00B55B82"/>
    <w:rsid w:val="00B55DD0"/>
    <w:rsid w:val="00B5600E"/>
    <w:rsid w:val="00B564C9"/>
    <w:rsid w:val="00B5653C"/>
    <w:rsid w:val="00B56769"/>
    <w:rsid w:val="00B56813"/>
    <w:rsid w:val="00B56962"/>
    <w:rsid w:val="00B5713D"/>
    <w:rsid w:val="00B577FE"/>
    <w:rsid w:val="00B577FF"/>
    <w:rsid w:val="00B57E31"/>
    <w:rsid w:val="00B57F86"/>
    <w:rsid w:val="00B57FBD"/>
    <w:rsid w:val="00B601DB"/>
    <w:rsid w:val="00B607A7"/>
    <w:rsid w:val="00B60BD2"/>
    <w:rsid w:val="00B60D04"/>
    <w:rsid w:val="00B60F7D"/>
    <w:rsid w:val="00B6152F"/>
    <w:rsid w:val="00B61787"/>
    <w:rsid w:val="00B617AE"/>
    <w:rsid w:val="00B619E5"/>
    <w:rsid w:val="00B61C7F"/>
    <w:rsid w:val="00B61D48"/>
    <w:rsid w:val="00B61F85"/>
    <w:rsid w:val="00B6219D"/>
    <w:rsid w:val="00B622C2"/>
    <w:rsid w:val="00B6240E"/>
    <w:rsid w:val="00B62463"/>
    <w:rsid w:val="00B62B6E"/>
    <w:rsid w:val="00B62DC5"/>
    <w:rsid w:val="00B63096"/>
    <w:rsid w:val="00B630BC"/>
    <w:rsid w:val="00B6327E"/>
    <w:rsid w:val="00B632EC"/>
    <w:rsid w:val="00B6338E"/>
    <w:rsid w:val="00B63526"/>
    <w:rsid w:val="00B6364B"/>
    <w:rsid w:val="00B63BA2"/>
    <w:rsid w:val="00B63DA9"/>
    <w:rsid w:val="00B63DF4"/>
    <w:rsid w:val="00B645E7"/>
    <w:rsid w:val="00B6496F"/>
    <w:rsid w:val="00B65573"/>
    <w:rsid w:val="00B6588D"/>
    <w:rsid w:val="00B6599E"/>
    <w:rsid w:val="00B65D14"/>
    <w:rsid w:val="00B65FF4"/>
    <w:rsid w:val="00B668CB"/>
    <w:rsid w:val="00B66BF0"/>
    <w:rsid w:val="00B66D03"/>
    <w:rsid w:val="00B66E4C"/>
    <w:rsid w:val="00B67376"/>
    <w:rsid w:val="00B67653"/>
    <w:rsid w:val="00B67922"/>
    <w:rsid w:val="00B67EFA"/>
    <w:rsid w:val="00B70153"/>
    <w:rsid w:val="00B70387"/>
    <w:rsid w:val="00B705E1"/>
    <w:rsid w:val="00B70FF0"/>
    <w:rsid w:val="00B71003"/>
    <w:rsid w:val="00B716BA"/>
    <w:rsid w:val="00B71789"/>
    <w:rsid w:val="00B71E33"/>
    <w:rsid w:val="00B71F47"/>
    <w:rsid w:val="00B71F9B"/>
    <w:rsid w:val="00B721C0"/>
    <w:rsid w:val="00B721ED"/>
    <w:rsid w:val="00B72510"/>
    <w:rsid w:val="00B725B0"/>
    <w:rsid w:val="00B72C3B"/>
    <w:rsid w:val="00B72CE4"/>
    <w:rsid w:val="00B72FAD"/>
    <w:rsid w:val="00B7310D"/>
    <w:rsid w:val="00B73432"/>
    <w:rsid w:val="00B73635"/>
    <w:rsid w:val="00B737C0"/>
    <w:rsid w:val="00B738AC"/>
    <w:rsid w:val="00B73F2B"/>
    <w:rsid w:val="00B73F9D"/>
    <w:rsid w:val="00B741FA"/>
    <w:rsid w:val="00B742DA"/>
    <w:rsid w:val="00B7435D"/>
    <w:rsid w:val="00B74473"/>
    <w:rsid w:val="00B744EF"/>
    <w:rsid w:val="00B74502"/>
    <w:rsid w:val="00B74503"/>
    <w:rsid w:val="00B7469B"/>
    <w:rsid w:val="00B746A3"/>
    <w:rsid w:val="00B74AEC"/>
    <w:rsid w:val="00B74B0E"/>
    <w:rsid w:val="00B75442"/>
    <w:rsid w:val="00B75E59"/>
    <w:rsid w:val="00B760DF"/>
    <w:rsid w:val="00B7613C"/>
    <w:rsid w:val="00B767CB"/>
    <w:rsid w:val="00B7683A"/>
    <w:rsid w:val="00B770F8"/>
    <w:rsid w:val="00B7755E"/>
    <w:rsid w:val="00B77594"/>
    <w:rsid w:val="00B777A1"/>
    <w:rsid w:val="00B77D3B"/>
    <w:rsid w:val="00B77D72"/>
    <w:rsid w:val="00B77DBB"/>
    <w:rsid w:val="00B77E03"/>
    <w:rsid w:val="00B77F3B"/>
    <w:rsid w:val="00B8005C"/>
    <w:rsid w:val="00B8021F"/>
    <w:rsid w:val="00B80B24"/>
    <w:rsid w:val="00B80C9F"/>
    <w:rsid w:val="00B80D7C"/>
    <w:rsid w:val="00B80F55"/>
    <w:rsid w:val="00B814FB"/>
    <w:rsid w:val="00B815FA"/>
    <w:rsid w:val="00B81C83"/>
    <w:rsid w:val="00B81CBC"/>
    <w:rsid w:val="00B81DAB"/>
    <w:rsid w:val="00B8213D"/>
    <w:rsid w:val="00B821E6"/>
    <w:rsid w:val="00B823A2"/>
    <w:rsid w:val="00B826A4"/>
    <w:rsid w:val="00B827D9"/>
    <w:rsid w:val="00B8286E"/>
    <w:rsid w:val="00B82901"/>
    <w:rsid w:val="00B82A3D"/>
    <w:rsid w:val="00B830B1"/>
    <w:rsid w:val="00B83402"/>
    <w:rsid w:val="00B83413"/>
    <w:rsid w:val="00B834B0"/>
    <w:rsid w:val="00B83735"/>
    <w:rsid w:val="00B838A1"/>
    <w:rsid w:val="00B83AA0"/>
    <w:rsid w:val="00B83B16"/>
    <w:rsid w:val="00B83B8D"/>
    <w:rsid w:val="00B83F05"/>
    <w:rsid w:val="00B83F32"/>
    <w:rsid w:val="00B8424F"/>
    <w:rsid w:val="00B843E9"/>
    <w:rsid w:val="00B84A82"/>
    <w:rsid w:val="00B84AD2"/>
    <w:rsid w:val="00B84C03"/>
    <w:rsid w:val="00B84CEF"/>
    <w:rsid w:val="00B84F94"/>
    <w:rsid w:val="00B84F9F"/>
    <w:rsid w:val="00B85281"/>
    <w:rsid w:val="00B85526"/>
    <w:rsid w:val="00B855BA"/>
    <w:rsid w:val="00B859F3"/>
    <w:rsid w:val="00B85CA1"/>
    <w:rsid w:val="00B85CC2"/>
    <w:rsid w:val="00B85F1A"/>
    <w:rsid w:val="00B85F3F"/>
    <w:rsid w:val="00B860AD"/>
    <w:rsid w:val="00B864ED"/>
    <w:rsid w:val="00B86602"/>
    <w:rsid w:val="00B86656"/>
    <w:rsid w:val="00B868B3"/>
    <w:rsid w:val="00B86A15"/>
    <w:rsid w:val="00B86B3B"/>
    <w:rsid w:val="00B86E7C"/>
    <w:rsid w:val="00B86E83"/>
    <w:rsid w:val="00B870EA"/>
    <w:rsid w:val="00B87184"/>
    <w:rsid w:val="00B871D6"/>
    <w:rsid w:val="00B87575"/>
    <w:rsid w:val="00B877DE"/>
    <w:rsid w:val="00B8782F"/>
    <w:rsid w:val="00B878FB"/>
    <w:rsid w:val="00B908D4"/>
    <w:rsid w:val="00B90BB5"/>
    <w:rsid w:val="00B90C54"/>
    <w:rsid w:val="00B90D19"/>
    <w:rsid w:val="00B9118A"/>
    <w:rsid w:val="00B913AB"/>
    <w:rsid w:val="00B91CF6"/>
    <w:rsid w:val="00B91F67"/>
    <w:rsid w:val="00B9204C"/>
    <w:rsid w:val="00B922EA"/>
    <w:rsid w:val="00B9248F"/>
    <w:rsid w:val="00B92CDE"/>
    <w:rsid w:val="00B92CF8"/>
    <w:rsid w:val="00B9318E"/>
    <w:rsid w:val="00B933A8"/>
    <w:rsid w:val="00B93523"/>
    <w:rsid w:val="00B9375B"/>
    <w:rsid w:val="00B93793"/>
    <w:rsid w:val="00B93876"/>
    <w:rsid w:val="00B93946"/>
    <w:rsid w:val="00B93A37"/>
    <w:rsid w:val="00B93A41"/>
    <w:rsid w:val="00B93CE8"/>
    <w:rsid w:val="00B93F0E"/>
    <w:rsid w:val="00B94144"/>
    <w:rsid w:val="00B94379"/>
    <w:rsid w:val="00B94760"/>
    <w:rsid w:val="00B94D69"/>
    <w:rsid w:val="00B9547F"/>
    <w:rsid w:val="00B95551"/>
    <w:rsid w:val="00B9556E"/>
    <w:rsid w:val="00B95784"/>
    <w:rsid w:val="00B95885"/>
    <w:rsid w:val="00B95890"/>
    <w:rsid w:val="00B95BEF"/>
    <w:rsid w:val="00B95D7E"/>
    <w:rsid w:val="00B9604C"/>
    <w:rsid w:val="00B96069"/>
    <w:rsid w:val="00B961E5"/>
    <w:rsid w:val="00B96209"/>
    <w:rsid w:val="00B96229"/>
    <w:rsid w:val="00B96305"/>
    <w:rsid w:val="00B9669D"/>
    <w:rsid w:val="00B96B14"/>
    <w:rsid w:val="00B96C2A"/>
    <w:rsid w:val="00B96F52"/>
    <w:rsid w:val="00B97098"/>
    <w:rsid w:val="00B97153"/>
    <w:rsid w:val="00B97917"/>
    <w:rsid w:val="00B97F92"/>
    <w:rsid w:val="00BA01E3"/>
    <w:rsid w:val="00BA02A9"/>
    <w:rsid w:val="00BA08DF"/>
    <w:rsid w:val="00BA0B9B"/>
    <w:rsid w:val="00BA0CEB"/>
    <w:rsid w:val="00BA0E09"/>
    <w:rsid w:val="00BA0E93"/>
    <w:rsid w:val="00BA18AC"/>
    <w:rsid w:val="00BA19B9"/>
    <w:rsid w:val="00BA1BC2"/>
    <w:rsid w:val="00BA1DDC"/>
    <w:rsid w:val="00BA2016"/>
    <w:rsid w:val="00BA2145"/>
    <w:rsid w:val="00BA263F"/>
    <w:rsid w:val="00BA2699"/>
    <w:rsid w:val="00BA2AD5"/>
    <w:rsid w:val="00BA2EE2"/>
    <w:rsid w:val="00BA329D"/>
    <w:rsid w:val="00BA3559"/>
    <w:rsid w:val="00BA3B9D"/>
    <w:rsid w:val="00BA3DBF"/>
    <w:rsid w:val="00BA3E46"/>
    <w:rsid w:val="00BA401D"/>
    <w:rsid w:val="00BA40A1"/>
    <w:rsid w:val="00BA4566"/>
    <w:rsid w:val="00BA45EC"/>
    <w:rsid w:val="00BA4CD7"/>
    <w:rsid w:val="00BA4D61"/>
    <w:rsid w:val="00BA55BA"/>
    <w:rsid w:val="00BA562B"/>
    <w:rsid w:val="00BA5782"/>
    <w:rsid w:val="00BA5856"/>
    <w:rsid w:val="00BA5BA9"/>
    <w:rsid w:val="00BA5C61"/>
    <w:rsid w:val="00BA5E0D"/>
    <w:rsid w:val="00BA5E78"/>
    <w:rsid w:val="00BA60BA"/>
    <w:rsid w:val="00BA6260"/>
    <w:rsid w:val="00BA64CE"/>
    <w:rsid w:val="00BA64F8"/>
    <w:rsid w:val="00BA66A4"/>
    <w:rsid w:val="00BA68B3"/>
    <w:rsid w:val="00BA6995"/>
    <w:rsid w:val="00BA6DD7"/>
    <w:rsid w:val="00BA6EFA"/>
    <w:rsid w:val="00BA72B1"/>
    <w:rsid w:val="00BA72E4"/>
    <w:rsid w:val="00BA74A0"/>
    <w:rsid w:val="00BA7E57"/>
    <w:rsid w:val="00BA7F69"/>
    <w:rsid w:val="00BB09CF"/>
    <w:rsid w:val="00BB0A6C"/>
    <w:rsid w:val="00BB0D2E"/>
    <w:rsid w:val="00BB0DA9"/>
    <w:rsid w:val="00BB169C"/>
    <w:rsid w:val="00BB17A3"/>
    <w:rsid w:val="00BB18FB"/>
    <w:rsid w:val="00BB1A24"/>
    <w:rsid w:val="00BB1D24"/>
    <w:rsid w:val="00BB1E47"/>
    <w:rsid w:val="00BB1FC5"/>
    <w:rsid w:val="00BB1FE9"/>
    <w:rsid w:val="00BB2791"/>
    <w:rsid w:val="00BB2D89"/>
    <w:rsid w:val="00BB30FD"/>
    <w:rsid w:val="00BB31C5"/>
    <w:rsid w:val="00BB31CE"/>
    <w:rsid w:val="00BB335A"/>
    <w:rsid w:val="00BB3B38"/>
    <w:rsid w:val="00BB3D25"/>
    <w:rsid w:val="00BB3F70"/>
    <w:rsid w:val="00BB5258"/>
    <w:rsid w:val="00BB5532"/>
    <w:rsid w:val="00BB572B"/>
    <w:rsid w:val="00BB5881"/>
    <w:rsid w:val="00BB5D52"/>
    <w:rsid w:val="00BB63BD"/>
    <w:rsid w:val="00BB67C9"/>
    <w:rsid w:val="00BB68AA"/>
    <w:rsid w:val="00BB6CE2"/>
    <w:rsid w:val="00BB6D4F"/>
    <w:rsid w:val="00BB6FCF"/>
    <w:rsid w:val="00BB7039"/>
    <w:rsid w:val="00BB7171"/>
    <w:rsid w:val="00BB75DD"/>
    <w:rsid w:val="00BB7865"/>
    <w:rsid w:val="00BB7983"/>
    <w:rsid w:val="00BB7A86"/>
    <w:rsid w:val="00BB7C09"/>
    <w:rsid w:val="00BB7C2C"/>
    <w:rsid w:val="00BC037F"/>
    <w:rsid w:val="00BC0665"/>
    <w:rsid w:val="00BC07D3"/>
    <w:rsid w:val="00BC0A7D"/>
    <w:rsid w:val="00BC0AE6"/>
    <w:rsid w:val="00BC1166"/>
    <w:rsid w:val="00BC1312"/>
    <w:rsid w:val="00BC13A5"/>
    <w:rsid w:val="00BC1448"/>
    <w:rsid w:val="00BC16A9"/>
    <w:rsid w:val="00BC1717"/>
    <w:rsid w:val="00BC1F8C"/>
    <w:rsid w:val="00BC2000"/>
    <w:rsid w:val="00BC213E"/>
    <w:rsid w:val="00BC267F"/>
    <w:rsid w:val="00BC288A"/>
    <w:rsid w:val="00BC2BCF"/>
    <w:rsid w:val="00BC2E49"/>
    <w:rsid w:val="00BC3074"/>
    <w:rsid w:val="00BC32B9"/>
    <w:rsid w:val="00BC3EAA"/>
    <w:rsid w:val="00BC3F04"/>
    <w:rsid w:val="00BC4104"/>
    <w:rsid w:val="00BC423D"/>
    <w:rsid w:val="00BC4432"/>
    <w:rsid w:val="00BC460A"/>
    <w:rsid w:val="00BC46B3"/>
    <w:rsid w:val="00BC4761"/>
    <w:rsid w:val="00BC4FC8"/>
    <w:rsid w:val="00BC50E7"/>
    <w:rsid w:val="00BC5450"/>
    <w:rsid w:val="00BC545C"/>
    <w:rsid w:val="00BC54A6"/>
    <w:rsid w:val="00BC5754"/>
    <w:rsid w:val="00BC583D"/>
    <w:rsid w:val="00BC584A"/>
    <w:rsid w:val="00BC5869"/>
    <w:rsid w:val="00BC5A21"/>
    <w:rsid w:val="00BC5C89"/>
    <w:rsid w:val="00BC6297"/>
    <w:rsid w:val="00BC68CE"/>
    <w:rsid w:val="00BC6B24"/>
    <w:rsid w:val="00BC6C44"/>
    <w:rsid w:val="00BC6CB0"/>
    <w:rsid w:val="00BC6DCE"/>
    <w:rsid w:val="00BC75EE"/>
    <w:rsid w:val="00BC77C2"/>
    <w:rsid w:val="00BC78B8"/>
    <w:rsid w:val="00BC7C49"/>
    <w:rsid w:val="00BC7D0B"/>
    <w:rsid w:val="00BC7D28"/>
    <w:rsid w:val="00BD014A"/>
    <w:rsid w:val="00BD02E3"/>
    <w:rsid w:val="00BD0636"/>
    <w:rsid w:val="00BD0B46"/>
    <w:rsid w:val="00BD0C2A"/>
    <w:rsid w:val="00BD126F"/>
    <w:rsid w:val="00BD1B18"/>
    <w:rsid w:val="00BD216F"/>
    <w:rsid w:val="00BD23C8"/>
    <w:rsid w:val="00BD26C5"/>
    <w:rsid w:val="00BD27BC"/>
    <w:rsid w:val="00BD2B89"/>
    <w:rsid w:val="00BD2E06"/>
    <w:rsid w:val="00BD37E2"/>
    <w:rsid w:val="00BD3B77"/>
    <w:rsid w:val="00BD3BA0"/>
    <w:rsid w:val="00BD3C1C"/>
    <w:rsid w:val="00BD3C71"/>
    <w:rsid w:val="00BD3C84"/>
    <w:rsid w:val="00BD3DF9"/>
    <w:rsid w:val="00BD3F92"/>
    <w:rsid w:val="00BD402C"/>
    <w:rsid w:val="00BD431E"/>
    <w:rsid w:val="00BD44B8"/>
    <w:rsid w:val="00BD4DEA"/>
    <w:rsid w:val="00BD4E97"/>
    <w:rsid w:val="00BD5081"/>
    <w:rsid w:val="00BD52DD"/>
    <w:rsid w:val="00BD552E"/>
    <w:rsid w:val="00BD56A5"/>
    <w:rsid w:val="00BD5870"/>
    <w:rsid w:val="00BD5B8C"/>
    <w:rsid w:val="00BD5CAA"/>
    <w:rsid w:val="00BD5E01"/>
    <w:rsid w:val="00BD5EA9"/>
    <w:rsid w:val="00BD60FC"/>
    <w:rsid w:val="00BD61BE"/>
    <w:rsid w:val="00BD6699"/>
    <w:rsid w:val="00BD6836"/>
    <w:rsid w:val="00BD689C"/>
    <w:rsid w:val="00BD72EE"/>
    <w:rsid w:val="00BD736F"/>
    <w:rsid w:val="00BD7441"/>
    <w:rsid w:val="00BD7584"/>
    <w:rsid w:val="00BE023C"/>
    <w:rsid w:val="00BE0412"/>
    <w:rsid w:val="00BE0A96"/>
    <w:rsid w:val="00BE13AA"/>
    <w:rsid w:val="00BE1553"/>
    <w:rsid w:val="00BE17E4"/>
    <w:rsid w:val="00BE18E0"/>
    <w:rsid w:val="00BE1E33"/>
    <w:rsid w:val="00BE228E"/>
    <w:rsid w:val="00BE2542"/>
    <w:rsid w:val="00BE2694"/>
    <w:rsid w:val="00BE3024"/>
    <w:rsid w:val="00BE3086"/>
    <w:rsid w:val="00BE3FFB"/>
    <w:rsid w:val="00BE430F"/>
    <w:rsid w:val="00BE4DB0"/>
    <w:rsid w:val="00BE4FC4"/>
    <w:rsid w:val="00BE54B4"/>
    <w:rsid w:val="00BE55F8"/>
    <w:rsid w:val="00BE581A"/>
    <w:rsid w:val="00BE6363"/>
    <w:rsid w:val="00BE6644"/>
    <w:rsid w:val="00BE672A"/>
    <w:rsid w:val="00BE6901"/>
    <w:rsid w:val="00BE6C74"/>
    <w:rsid w:val="00BE6CA8"/>
    <w:rsid w:val="00BE6E0D"/>
    <w:rsid w:val="00BE6F05"/>
    <w:rsid w:val="00BE7728"/>
    <w:rsid w:val="00BE775A"/>
    <w:rsid w:val="00BE79EB"/>
    <w:rsid w:val="00BE7A3A"/>
    <w:rsid w:val="00BE7D2D"/>
    <w:rsid w:val="00BE7E74"/>
    <w:rsid w:val="00BF01A8"/>
    <w:rsid w:val="00BF1086"/>
    <w:rsid w:val="00BF11CF"/>
    <w:rsid w:val="00BF126D"/>
    <w:rsid w:val="00BF12A0"/>
    <w:rsid w:val="00BF1692"/>
    <w:rsid w:val="00BF1806"/>
    <w:rsid w:val="00BF1CF1"/>
    <w:rsid w:val="00BF1D28"/>
    <w:rsid w:val="00BF1E50"/>
    <w:rsid w:val="00BF1E97"/>
    <w:rsid w:val="00BF1F37"/>
    <w:rsid w:val="00BF2265"/>
    <w:rsid w:val="00BF2705"/>
    <w:rsid w:val="00BF276E"/>
    <w:rsid w:val="00BF28F3"/>
    <w:rsid w:val="00BF2D90"/>
    <w:rsid w:val="00BF30F9"/>
    <w:rsid w:val="00BF326E"/>
    <w:rsid w:val="00BF3343"/>
    <w:rsid w:val="00BF3AD7"/>
    <w:rsid w:val="00BF4099"/>
    <w:rsid w:val="00BF40B6"/>
    <w:rsid w:val="00BF46CA"/>
    <w:rsid w:val="00BF4806"/>
    <w:rsid w:val="00BF4898"/>
    <w:rsid w:val="00BF4B10"/>
    <w:rsid w:val="00BF4D1A"/>
    <w:rsid w:val="00BF4D5B"/>
    <w:rsid w:val="00BF4D66"/>
    <w:rsid w:val="00BF5048"/>
    <w:rsid w:val="00BF5054"/>
    <w:rsid w:val="00BF5069"/>
    <w:rsid w:val="00BF50BC"/>
    <w:rsid w:val="00BF52D8"/>
    <w:rsid w:val="00BF578D"/>
    <w:rsid w:val="00BF57BC"/>
    <w:rsid w:val="00BF5832"/>
    <w:rsid w:val="00BF59EA"/>
    <w:rsid w:val="00BF60DA"/>
    <w:rsid w:val="00BF6A8E"/>
    <w:rsid w:val="00BF6E8A"/>
    <w:rsid w:val="00BF75FB"/>
    <w:rsid w:val="00BF7A3D"/>
    <w:rsid w:val="00C00020"/>
    <w:rsid w:val="00C004AA"/>
    <w:rsid w:val="00C008EF"/>
    <w:rsid w:val="00C00976"/>
    <w:rsid w:val="00C00AAD"/>
    <w:rsid w:val="00C00D81"/>
    <w:rsid w:val="00C00FFC"/>
    <w:rsid w:val="00C01168"/>
    <w:rsid w:val="00C014D2"/>
    <w:rsid w:val="00C01573"/>
    <w:rsid w:val="00C015EC"/>
    <w:rsid w:val="00C01710"/>
    <w:rsid w:val="00C01A9B"/>
    <w:rsid w:val="00C01DBC"/>
    <w:rsid w:val="00C01E3A"/>
    <w:rsid w:val="00C020E7"/>
    <w:rsid w:val="00C0247E"/>
    <w:rsid w:val="00C025AA"/>
    <w:rsid w:val="00C0261E"/>
    <w:rsid w:val="00C02624"/>
    <w:rsid w:val="00C026C4"/>
    <w:rsid w:val="00C028F0"/>
    <w:rsid w:val="00C02B33"/>
    <w:rsid w:val="00C02E2D"/>
    <w:rsid w:val="00C02FE2"/>
    <w:rsid w:val="00C03110"/>
    <w:rsid w:val="00C035A6"/>
    <w:rsid w:val="00C03950"/>
    <w:rsid w:val="00C03DCA"/>
    <w:rsid w:val="00C03FB0"/>
    <w:rsid w:val="00C03FD1"/>
    <w:rsid w:val="00C0417C"/>
    <w:rsid w:val="00C04591"/>
    <w:rsid w:val="00C045BC"/>
    <w:rsid w:val="00C0477D"/>
    <w:rsid w:val="00C04A95"/>
    <w:rsid w:val="00C04AC5"/>
    <w:rsid w:val="00C04B59"/>
    <w:rsid w:val="00C04F98"/>
    <w:rsid w:val="00C055C0"/>
    <w:rsid w:val="00C05A2E"/>
    <w:rsid w:val="00C05C0F"/>
    <w:rsid w:val="00C06174"/>
    <w:rsid w:val="00C06190"/>
    <w:rsid w:val="00C0634E"/>
    <w:rsid w:val="00C0642A"/>
    <w:rsid w:val="00C066B7"/>
    <w:rsid w:val="00C067B0"/>
    <w:rsid w:val="00C067BF"/>
    <w:rsid w:val="00C07193"/>
    <w:rsid w:val="00C07735"/>
    <w:rsid w:val="00C079DA"/>
    <w:rsid w:val="00C1076E"/>
    <w:rsid w:val="00C108DF"/>
    <w:rsid w:val="00C10D4D"/>
    <w:rsid w:val="00C10E5E"/>
    <w:rsid w:val="00C10F51"/>
    <w:rsid w:val="00C1156D"/>
    <w:rsid w:val="00C11578"/>
    <w:rsid w:val="00C11D9C"/>
    <w:rsid w:val="00C11EDD"/>
    <w:rsid w:val="00C122D3"/>
    <w:rsid w:val="00C12338"/>
    <w:rsid w:val="00C126B2"/>
    <w:rsid w:val="00C1296C"/>
    <w:rsid w:val="00C12D93"/>
    <w:rsid w:val="00C12DDA"/>
    <w:rsid w:val="00C13427"/>
    <w:rsid w:val="00C13870"/>
    <w:rsid w:val="00C13C04"/>
    <w:rsid w:val="00C13EA2"/>
    <w:rsid w:val="00C13F89"/>
    <w:rsid w:val="00C13FB3"/>
    <w:rsid w:val="00C13FDB"/>
    <w:rsid w:val="00C14240"/>
    <w:rsid w:val="00C1429A"/>
    <w:rsid w:val="00C142C1"/>
    <w:rsid w:val="00C145D1"/>
    <w:rsid w:val="00C14A54"/>
    <w:rsid w:val="00C14AE9"/>
    <w:rsid w:val="00C14D2A"/>
    <w:rsid w:val="00C14F75"/>
    <w:rsid w:val="00C15237"/>
    <w:rsid w:val="00C153BB"/>
    <w:rsid w:val="00C15651"/>
    <w:rsid w:val="00C157D7"/>
    <w:rsid w:val="00C1594C"/>
    <w:rsid w:val="00C15E4E"/>
    <w:rsid w:val="00C15E8B"/>
    <w:rsid w:val="00C165F2"/>
    <w:rsid w:val="00C16F76"/>
    <w:rsid w:val="00C1709C"/>
    <w:rsid w:val="00C170BA"/>
    <w:rsid w:val="00C174A9"/>
    <w:rsid w:val="00C17654"/>
    <w:rsid w:val="00C17A4A"/>
    <w:rsid w:val="00C17EF9"/>
    <w:rsid w:val="00C2047D"/>
    <w:rsid w:val="00C20507"/>
    <w:rsid w:val="00C207FD"/>
    <w:rsid w:val="00C208A8"/>
    <w:rsid w:val="00C20BD6"/>
    <w:rsid w:val="00C21CF3"/>
    <w:rsid w:val="00C220F0"/>
    <w:rsid w:val="00C22209"/>
    <w:rsid w:val="00C22268"/>
    <w:rsid w:val="00C222A1"/>
    <w:rsid w:val="00C2236D"/>
    <w:rsid w:val="00C2260C"/>
    <w:rsid w:val="00C22671"/>
    <w:rsid w:val="00C23166"/>
    <w:rsid w:val="00C231A1"/>
    <w:rsid w:val="00C23356"/>
    <w:rsid w:val="00C23407"/>
    <w:rsid w:val="00C23529"/>
    <w:rsid w:val="00C2385D"/>
    <w:rsid w:val="00C23921"/>
    <w:rsid w:val="00C23CA2"/>
    <w:rsid w:val="00C23CAC"/>
    <w:rsid w:val="00C24686"/>
    <w:rsid w:val="00C24BAF"/>
    <w:rsid w:val="00C24E26"/>
    <w:rsid w:val="00C251AF"/>
    <w:rsid w:val="00C25901"/>
    <w:rsid w:val="00C25B85"/>
    <w:rsid w:val="00C25BC0"/>
    <w:rsid w:val="00C25C5D"/>
    <w:rsid w:val="00C272B9"/>
    <w:rsid w:val="00C274F7"/>
    <w:rsid w:val="00C27555"/>
    <w:rsid w:val="00C27722"/>
    <w:rsid w:val="00C278F0"/>
    <w:rsid w:val="00C27F09"/>
    <w:rsid w:val="00C30072"/>
    <w:rsid w:val="00C300AA"/>
    <w:rsid w:val="00C30260"/>
    <w:rsid w:val="00C30548"/>
    <w:rsid w:val="00C30A5B"/>
    <w:rsid w:val="00C30CF9"/>
    <w:rsid w:val="00C30D62"/>
    <w:rsid w:val="00C30EB6"/>
    <w:rsid w:val="00C310DD"/>
    <w:rsid w:val="00C3129E"/>
    <w:rsid w:val="00C3156D"/>
    <w:rsid w:val="00C3161B"/>
    <w:rsid w:val="00C31B3A"/>
    <w:rsid w:val="00C31E08"/>
    <w:rsid w:val="00C31ECA"/>
    <w:rsid w:val="00C32244"/>
    <w:rsid w:val="00C3261E"/>
    <w:rsid w:val="00C32671"/>
    <w:rsid w:val="00C32E69"/>
    <w:rsid w:val="00C32E8A"/>
    <w:rsid w:val="00C33023"/>
    <w:rsid w:val="00C3335E"/>
    <w:rsid w:val="00C33CB4"/>
    <w:rsid w:val="00C33E05"/>
    <w:rsid w:val="00C34370"/>
    <w:rsid w:val="00C344CB"/>
    <w:rsid w:val="00C345A2"/>
    <w:rsid w:val="00C34898"/>
    <w:rsid w:val="00C34F76"/>
    <w:rsid w:val="00C350D6"/>
    <w:rsid w:val="00C351F1"/>
    <w:rsid w:val="00C3591B"/>
    <w:rsid w:val="00C35B6B"/>
    <w:rsid w:val="00C35CA9"/>
    <w:rsid w:val="00C362C2"/>
    <w:rsid w:val="00C36400"/>
    <w:rsid w:val="00C36B1C"/>
    <w:rsid w:val="00C36B7F"/>
    <w:rsid w:val="00C36BDB"/>
    <w:rsid w:val="00C3725C"/>
    <w:rsid w:val="00C376EE"/>
    <w:rsid w:val="00C378F5"/>
    <w:rsid w:val="00C37C82"/>
    <w:rsid w:val="00C400D0"/>
    <w:rsid w:val="00C404FC"/>
    <w:rsid w:val="00C405E8"/>
    <w:rsid w:val="00C40AFD"/>
    <w:rsid w:val="00C40B6B"/>
    <w:rsid w:val="00C40C27"/>
    <w:rsid w:val="00C40C6B"/>
    <w:rsid w:val="00C4101B"/>
    <w:rsid w:val="00C4107B"/>
    <w:rsid w:val="00C41869"/>
    <w:rsid w:val="00C418A1"/>
    <w:rsid w:val="00C41C0B"/>
    <w:rsid w:val="00C41FED"/>
    <w:rsid w:val="00C42593"/>
    <w:rsid w:val="00C4267D"/>
    <w:rsid w:val="00C42B0D"/>
    <w:rsid w:val="00C42C72"/>
    <w:rsid w:val="00C42DEC"/>
    <w:rsid w:val="00C42F45"/>
    <w:rsid w:val="00C42F97"/>
    <w:rsid w:val="00C43478"/>
    <w:rsid w:val="00C4381F"/>
    <w:rsid w:val="00C4385F"/>
    <w:rsid w:val="00C4393E"/>
    <w:rsid w:val="00C43EB6"/>
    <w:rsid w:val="00C43FCD"/>
    <w:rsid w:val="00C43FF1"/>
    <w:rsid w:val="00C44966"/>
    <w:rsid w:val="00C44C20"/>
    <w:rsid w:val="00C44DA4"/>
    <w:rsid w:val="00C44E96"/>
    <w:rsid w:val="00C44F97"/>
    <w:rsid w:val="00C45176"/>
    <w:rsid w:val="00C451BC"/>
    <w:rsid w:val="00C4527B"/>
    <w:rsid w:val="00C4566B"/>
    <w:rsid w:val="00C457C0"/>
    <w:rsid w:val="00C45A11"/>
    <w:rsid w:val="00C45DF5"/>
    <w:rsid w:val="00C45FA7"/>
    <w:rsid w:val="00C46063"/>
    <w:rsid w:val="00C4608A"/>
    <w:rsid w:val="00C461FB"/>
    <w:rsid w:val="00C4646A"/>
    <w:rsid w:val="00C46BF5"/>
    <w:rsid w:val="00C47054"/>
    <w:rsid w:val="00C47221"/>
    <w:rsid w:val="00C4736D"/>
    <w:rsid w:val="00C47649"/>
    <w:rsid w:val="00C47712"/>
    <w:rsid w:val="00C4771D"/>
    <w:rsid w:val="00C47949"/>
    <w:rsid w:val="00C5011A"/>
    <w:rsid w:val="00C5065B"/>
    <w:rsid w:val="00C50737"/>
    <w:rsid w:val="00C507FC"/>
    <w:rsid w:val="00C51018"/>
    <w:rsid w:val="00C511EF"/>
    <w:rsid w:val="00C51D6A"/>
    <w:rsid w:val="00C52063"/>
    <w:rsid w:val="00C520D9"/>
    <w:rsid w:val="00C5221B"/>
    <w:rsid w:val="00C523F5"/>
    <w:rsid w:val="00C52908"/>
    <w:rsid w:val="00C52E70"/>
    <w:rsid w:val="00C5344B"/>
    <w:rsid w:val="00C536C4"/>
    <w:rsid w:val="00C53B2E"/>
    <w:rsid w:val="00C53ECF"/>
    <w:rsid w:val="00C546B4"/>
    <w:rsid w:val="00C546BF"/>
    <w:rsid w:val="00C54C1A"/>
    <w:rsid w:val="00C54E3F"/>
    <w:rsid w:val="00C54E78"/>
    <w:rsid w:val="00C5509C"/>
    <w:rsid w:val="00C555D9"/>
    <w:rsid w:val="00C55A52"/>
    <w:rsid w:val="00C55B88"/>
    <w:rsid w:val="00C55EA2"/>
    <w:rsid w:val="00C563EE"/>
    <w:rsid w:val="00C569BE"/>
    <w:rsid w:val="00C56B18"/>
    <w:rsid w:val="00C56C8B"/>
    <w:rsid w:val="00C5705A"/>
    <w:rsid w:val="00C570D9"/>
    <w:rsid w:val="00C57136"/>
    <w:rsid w:val="00C57466"/>
    <w:rsid w:val="00C574E2"/>
    <w:rsid w:val="00C576DF"/>
    <w:rsid w:val="00C57A1A"/>
    <w:rsid w:val="00C57BC5"/>
    <w:rsid w:val="00C57C6F"/>
    <w:rsid w:val="00C60140"/>
    <w:rsid w:val="00C6018E"/>
    <w:rsid w:val="00C60576"/>
    <w:rsid w:val="00C607C6"/>
    <w:rsid w:val="00C6099E"/>
    <w:rsid w:val="00C609B6"/>
    <w:rsid w:val="00C60F3E"/>
    <w:rsid w:val="00C611AE"/>
    <w:rsid w:val="00C61A25"/>
    <w:rsid w:val="00C61B01"/>
    <w:rsid w:val="00C61B87"/>
    <w:rsid w:val="00C61BE0"/>
    <w:rsid w:val="00C61E8A"/>
    <w:rsid w:val="00C6234D"/>
    <w:rsid w:val="00C6238F"/>
    <w:rsid w:val="00C626FD"/>
    <w:rsid w:val="00C6274B"/>
    <w:rsid w:val="00C62F4D"/>
    <w:rsid w:val="00C62F8A"/>
    <w:rsid w:val="00C63125"/>
    <w:rsid w:val="00C63C0E"/>
    <w:rsid w:val="00C6469E"/>
    <w:rsid w:val="00C64799"/>
    <w:rsid w:val="00C64ACA"/>
    <w:rsid w:val="00C64CBF"/>
    <w:rsid w:val="00C64CD6"/>
    <w:rsid w:val="00C64DC6"/>
    <w:rsid w:val="00C650D3"/>
    <w:rsid w:val="00C6542D"/>
    <w:rsid w:val="00C65624"/>
    <w:rsid w:val="00C65C4F"/>
    <w:rsid w:val="00C65C8D"/>
    <w:rsid w:val="00C65DD0"/>
    <w:rsid w:val="00C65E78"/>
    <w:rsid w:val="00C65FB6"/>
    <w:rsid w:val="00C66077"/>
    <w:rsid w:val="00C66132"/>
    <w:rsid w:val="00C662CC"/>
    <w:rsid w:val="00C66360"/>
    <w:rsid w:val="00C66A30"/>
    <w:rsid w:val="00C66DBF"/>
    <w:rsid w:val="00C66E75"/>
    <w:rsid w:val="00C67409"/>
    <w:rsid w:val="00C6750E"/>
    <w:rsid w:val="00C67777"/>
    <w:rsid w:val="00C67A83"/>
    <w:rsid w:val="00C67B3A"/>
    <w:rsid w:val="00C67EFD"/>
    <w:rsid w:val="00C70028"/>
    <w:rsid w:val="00C7005B"/>
    <w:rsid w:val="00C70301"/>
    <w:rsid w:val="00C70577"/>
    <w:rsid w:val="00C7088F"/>
    <w:rsid w:val="00C70902"/>
    <w:rsid w:val="00C70CEF"/>
    <w:rsid w:val="00C7110D"/>
    <w:rsid w:val="00C71228"/>
    <w:rsid w:val="00C713B1"/>
    <w:rsid w:val="00C713D8"/>
    <w:rsid w:val="00C71494"/>
    <w:rsid w:val="00C714AE"/>
    <w:rsid w:val="00C715E6"/>
    <w:rsid w:val="00C716E1"/>
    <w:rsid w:val="00C716E7"/>
    <w:rsid w:val="00C719C4"/>
    <w:rsid w:val="00C71BFC"/>
    <w:rsid w:val="00C71C6C"/>
    <w:rsid w:val="00C72149"/>
    <w:rsid w:val="00C72283"/>
    <w:rsid w:val="00C72375"/>
    <w:rsid w:val="00C72B0B"/>
    <w:rsid w:val="00C72C75"/>
    <w:rsid w:val="00C72F0C"/>
    <w:rsid w:val="00C73A4D"/>
    <w:rsid w:val="00C73AA6"/>
    <w:rsid w:val="00C73DEC"/>
    <w:rsid w:val="00C73E1E"/>
    <w:rsid w:val="00C73F9C"/>
    <w:rsid w:val="00C74065"/>
    <w:rsid w:val="00C7421D"/>
    <w:rsid w:val="00C74279"/>
    <w:rsid w:val="00C74447"/>
    <w:rsid w:val="00C747C5"/>
    <w:rsid w:val="00C748DA"/>
    <w:rsid w:val="00C74B34"/>
    <w:rsid w:val="00C74B3F"/>
    <w:rsid w:val="00C74C65"/>
    <w:rsid w:val="00C753DE"/>
    <w:rsid w:val="00C75467"/>
    <w:rsid w:val="00C75849"/>
    <w:rsid w:val="00C75B59"/>
    <w:rsid w:val="00C75C99"/>
    <w:rsid w:val="00C75DCF"/>
    <w:rsid w:val="00C76191"/>
    <w:rsid w:val="00C761D8"/>
    <w:rsid w:val="00C764DC"/>
    <w:rsid w:val="00C7652D"/>
    <w:rsid w:val="00C76580"/>
    <w:rsid w:val="00C76771"/>
    <w:rsid w:val="00C76889"/>
    <w:rsid w:val="00C76A6D"/>
    <w:rsid w:val="00C76B01"/>
    <w:rsid w:val="00C76BDC"/>
    <w:rsid w:val="00C76CFA"/>
    <w:rsid w:val="00C76FB4"/>
    <w:rsid w:val="00C76FBB"/>
    <w:rsid w:val="00C770D8"/>
    <w:rsid w:val="00C77593"/>
    <w:rsid w:val="00C77BC4"/>
    <w:rsid w:val="00C809AB"/>
    <w:rsid w:val="00C80B10"/>
    <w:rsid w:val="00C80D2C"/>
    <w:rsid w:val="00C80DC4"/>
    <w:rsid w:val="00C80F44"/>
    <w:rsid w:val="00C8164B"/>
    <w:rsid w:val="00C8170A"/>
    <w:rsid w:val="00C81862"/>
    <w:rsid w:val="00C81B49"/>
    <w:rsid w:val="00C81C5A"/>
    <w:rsid w:val="00C82407"/>
    <w:rsid w:val="00C824C5"/>
    <w:rsid w:val="00C829BF"/>
    <w:rsid w:val="00C82CEC"/>
    <w:rsid w:val="00C82E31"/>
    <w:rsid w:val="00C82F41"/>
    <w:rsid w:val="00C83232"/>
    <w:rsid w:val="00C83498"/>
    <w:rsid w:val="00C835E2"/>
    <w:rsid w:val="00C836DE"/>
    <w:rsid w:val="00C83CC7"/>
    <w:rsid w:val="00C83DFC"/>
    <w:rsid w:val="00C83E11"/>
    <w:rsid w:val="00C840DD"/>
    <w:rsid w:val="00C84113"/>
    <w:rsid w:val="00C845BF"/>
    <w:rsid w:val="00C845CA"/>
    <w:rsid w:val="00C8482C"/>
    <w:rsid w:val="00C848EB"/>
    <w:rsid w:val="00C850DD"/>
    <w:rsid w:val="00C8534B"/>
    <w:rsid w:val="00C85598"/>
    <w:rsid w:val="00C858D6"/>
    <w:rsid w:val="00C85C52"/>
    <w:rsid w:val="00C85D98"/>
    <w:rsid w:val="00C85E9A"/>
    <w:rsid w:val="00C86458"/>
    <w:rsid w:val="00C86630"/>
    <w:rsid w:val="00C868AC"/>
    <w:rsid w:val="00C86958"/>
    <w:rsid w:val="00C86B37"/>
    <w:rsid w:val="00C86D24"/>
    <w:rsid w:val="00C87302"/>
    <w:rsid w:val="00C87436"/>
    <w:rsid w:val="00C87D63"/>
    <w:rsid w:val="00C87EB6"/>
    <w:rsid w:val="00C87FC3"/>
    <w:rsid w:val="00C904DD"/>
    <w:rsid w:val="00C90681"/>
    <w:rsid w:val="00C9081D"/>
    <w:rsid w:val="00C90F06"/>
    <w:rsid w:val="00C9106F"/>
    <w:rsid w:val="00C913D5"/>
    <w:rsid w:val="00C914BB"/>
    <w:rsid w:val="00C914E6"/>
    <w:rsid w:val="00C91A6F"/>
    <w:rsid w:val="00C91BAF"/>
    <w:rsid w:val="00C91ECF"/>
    <w:rsid w:val="00C9215C"/>
    <w:rsid w:val="00C92281"/>
    <w:rsid w:val="00C92519"/>
    <w:rsid w:val="00C9255A"/>
    <w:rsid w:val="00C9271E"/>
    <w:rsid w:val="00C92D22"/>
    <w:rsid w:val="00C92DB6"/>
    <w:rsid w:val="00C92E09"/>
    <w:rsid w:val="00C92EA7"/>
    <w:rsid w:val="00C92F69"/>
    <w:rsid w:val="00C930C6"/>
    <w:rsid w:val="00C930D3"/>
    <w:rsid w:val="00C93CE6"/>
    <w:rsid w:val="00C93E0B"/>
    <w:rsid w:val="00C93F81"/>
    <w:rsid w:val="00C94895"/>
    <w:rsid w:val="00C956B9"/>
    <w:rsid w:val="00C9576A"/>
    <w:rsid w:val="00C95A69"/>
    <w:rsid w:val="00C95A6A"/>
    <w:rsid w:val="00C96153"/>
    <w:rsid w:val="00C96A32"/>
    <w:rsid w:val="00C96AF2"/>
    <w:rsid w:val="00C96C6B"/>
    <w:rsid w:val="00C974C2"/>
    <w:rsid w:val="00C97D9C"/>
    <w:rsid w:val="00CA0707"/>
    <w:rsid w:val="00CA093E"/>
    <w:rsid w:val="00CA0BE5"/>
    <w:rsid w:val="00CA0F47"/>
    <w:rsid w:val="00CA1178"/>
    <w:rsid w:val="00CA167F"/>
    <w:rsid w:val="00CA1908"/>
    <w:rsid w:val="00CA1A2C"/>
    <w:rsid w:val="00CA206A"/>
    <w:rsid w:val="00CA2196"/>
    <w:rsid w:val="00CA2608"/>
    <w:rsid w:val="00CA26CD"/>
    <w:rsid w:val="00CA2745"/>
    <w:rsid w:val="00CA2AA9"/>
    <w:rsid w:val="00CA2ACF"/>
    <w:rsid w:val="00CA2DF5"/>
    <w:rsid w:val="00CA35BE"/>
    <w:rsid w:val="00CA35C8"/>
    <w:rsid w:val="00CA3928"/>
    <w:rsid w:val="00CA3C29"/>
    <w:rsid w:val="00CA3D8C"/>
    <w:rsid w:val="00CA3E61"/>
    <w:rsid w:val="00CA420E"/>
    <w:rsid w:val="00CA4331"/>
    <w:rsid w:val="00CA438B"/>
    <w:rsid w:val="00CA49A4"/>
    <w:rsid w:val="00CA4CFC"/>
    <w:rsid w:val="00CA4D88"/>
    <w:rsid w:val="00CA5269"/>
    <w:rsid w:val="00CA52FE"/>
    <w:rsid w:val="00CA59B0"/>
    <w:rsid w:val="00CA5C39"/>
    <w:rsid w:val="00CA5C90"/>
    <w:rsid w:val="00CA5E30"/>
    <w:rsid w:val="00CA6100"/>
    <w:rsid w:val="00CA61A3"/>
    <w:rsid w:val="00CA624E"/>
    <w:rsid w:val="00CA628A"/>
    <w:rsid w:val="00CA65FB"/>
    <w:rsid w:val="00CA6647"/>
    <w:rsid w:val="00CA66B6"/>
    <w:rsid w:val="00CA66D3"/>
    <w:rsid w:val="00CA6E2F"/>
    <w:rsid w:val="00CA70CB"/>
    <w:rsid w:val="00CA72AA"/>
    <w:rsid w:val="00CA7999"/>
    <w:rsid w:val="00CA7EE0"/>
    <w:rsid w:val="00CA7F14"/>
    <w:rsid w:val="00CA7FA5"/>
    <w:rsid w:val="00CB037D"/>
    <w:rsid w:val="00CB03BF"/>
    <w:rsid w:val="00CB053C"/>
    <w:rsid w:val="00CB05B5"/>
    <w:rsid w:val="00CB05F5"/>
    <w:rsid w:val="00CB07CF"/>
    <w:rsid w:val="00CB09BA"/>
    <w:rsid w:val="00CB0F7A"/>
    <w:rsid w:val="00CB1020"/>
    <w:rsid w:val="00CB1685"/>
    <w:rsid w:val="00CB1943"/>
    <w:rsid w:val="00CB1BB7"/>
    <w:rsid w:val="00CB1E39"/>
    <w:rsid w:val="00CB1E70"/>
    <w:rsid w:val="00CB21C9"/>
    <w:rsid w:val="00CB2277"/>
    <w:rsid w:val="00CB25E1"/>
    <w:rsid w:val="00CB2935"/>
    <w:rsid w:val="00CB29E0"/>
    <w:rsid w:val="00CB2A90"/>
    <w:rsid w:val="00CB2CA0"/>
    <w:rsid w:val="00CB30C2"/>
    <w:rsid w:val="00CB32BF"/>
    <w:rsid w:val="00CB3447"/>
    <w:rsid w:val="00CB34ED"/>
    <w:rsid w:val="00CB3559"/>
    <w:rsid w:val="00CB388A"/>
    <w:rsid w:val="00CB3A31"/>
    <w:rsid w:val="00CB3B05"/>
    <w:rsid w:val="00CB3B4A"/>
    <w:rsid w:val="00CB3C9A"/>
    <w:rsid w:val="00CB40D1"/>
    <w:rsid w:val="00CB4144"/>
    <w:rsid w:val="00CB43A2"/>
    <w:rsid w:val="00CB450F"/>
    <w:rsid w:val="00CB45E0"/>
    <w:rsid w:val="00CB5239"/>
    <w:rsid w:val="00CB53E4"/>
    <w:rsid w:val="00CB5566"/>
    <w:rsid w:val="00CB5677"/>
    <w:rsid w:val="00CB5B1B"/>
    <w:rsid w:val="00CB5D89"/>
    <w:rsid w:val="00CB5FD7"/>
    <w:rsid w:val="00CB659F"/>
    <w:rsid w:val="00CB67D4"/>
    <w:rsid w:val="00CB6B11"/>
    <w:rsid w:val="00CB7748"/>
    <w:rsid w:val="00CB7999"/>
    <w:rsid w:val="00CB7A08"/>
    <w:rsid w:val="00CB7A1F"/>
    <w:rsid w:val="00CB7ACB"/>
    <w:rsid w:val="00CB7E61"/>
    <w:rsid w:val="00CC03C4"/>
    <w:rsid w:val="00CC172D"/>
    <w:rsid w:val="00CC1A25"/>
    <w:rsid w:val="00CC1A37"/>
    <w:rsid w:val="00CC2001"/>
    <w:rsid w:val="00CC23DA"/>
    <w:rsid w:val="00CC260F"/>
    <w:rsid w:val="00CC268B"/>
    <w:rsid w:val="00CC26FC"/>
    <w:rsid w:val="00CC286C"/>
    <w:rsid w:val="00CC2A72"/>
    <w:rsid w:val="00CC2C43"/>
    <w:rsid w:val="00CC2C7F"/>
    <w:rsid w:val="00CC2D99"/>
    <w:rsid w:val="00CC2DBF"/>
    <w:rsid w:val="00CC2DF9"/>
    <w:rsid w:val="00CC322F"/>
    <w:rsid w:val="00CC39E0"/>
    <w:rsid w:val="00CC3AD3"/>
    <w:rsid w:val="00CC3B73"/>
    <w:rsid w:val="00CC3B94"/>
    <w:rsid w:val="00CC3F36"/>
    <w:rsid w:val="00CC4133"/>
    <w:rsid w:val="00CC41C9"/>
    <w:rsid w:val="00CC4D27"/>
    <w:rsid w:val="00CC4DCD"/>
    <w:rsid w:val="00CC52CB"/>
    <w:rsid w:val="00CC5486"/>
    <w:rsid w:val="00CC561B"/>
    <w:rsid w:val="00CC563C"/>
    <w:rsid w:val="00CC5856"/>
    <w:rsid w:val="00CC5DDC"/>
    <w:rsid w:val="00CC616D"/>
    <w:rsid w:val="00CC62B5"/>
    <w:rsid w:val="00CC62C4"/>
    <w:rsid w:val="00CC677B"/>
    <w:rsid w:val="00CC6958"/>
    <w:rsid w:val="00CC6BF6"/>
    <w:rsid w:val="00CC6BFD"/>
    <w:rsid w:val="00CC72B7"/>
    <w:rsid w:val="00CC73B5"/>
    <w:rsid w:val="00CC78BA"/>
    <w:rsid w:val="00CC7B3C"/>
    <w:rsid w:val="00CC7C88"/>
    <w:rsid w:val="00CC7DBE"/>
    <w:rsid w:val="00CD02F7"/>
    <w:rsid w:val="00CD0DF1"/>
    <w:rsid w:val="00CD1091"/>
    <w:rsid w:val="00CD10FF"/>
    <w:rsid w:val="00CD12ED"/>
    <w:rsid w:val="00CD148E"/>
    <w:rsid w:val="00CD1B7F"/>
    <w:rsid w:val="00CD1F3B"/>
    <w:rsid w:val="00CD227E"/>
    <w:rsid w:val="00CD2ABB"/>
    <w:rsid w:val="00CD2B4A"/>
    <w:rsid w:val="00CD2EF0"/>
    <w:rsid w:val="00CD30FE"/>
    <w:rsid w:val="00CD3272"/>
    <w:rsid w:val="00CD3453"/>
    <w:rsid w:val="00CD3507"/>
    <w:rsid w:val="00CD39F4"/>
    <w:rsid w:val="00CD3B85"/>
    <w:rsid w:val="00CD3C96"/>
    <w:rsid w:val="00CD3CB4"/>
    <w:rsid w:val="00CD4306"/>
    <w:rsid w:val="00CD4728"/>
    <w:rsid w:val="00CD47C4"/>
    <w:rsid w:val="00CD4B8E"/>
    <w:rsid w:val="00CD4B9F"/>
    <w:rsid w:val="00CD4C34"/>
    <w:rsid w:val="00CD52AF"/>
    <w:rsid w:val="00CD5497"/>
    <w:rsid w:val="00CD570F"/>
    <w:rsid w:val="00CD5760"/>
    <w:rsid w:val="00CD5DDC"/>
    <w:rsid w:val="00CD6094"/>
    <w:rsid w:val="00CD6934"/>
    <w:rsid w:val="00CD6D53"/>
    <w:rsid w:val="00CD6FFC"/>
    <w:rsid w:val="00CD70AC"/>
    <w:rsid w:val="00CD7124"/>
    <w:rsid w:val="00CD72CD"/>
    <w:rsid w:val="00CD750A"/>
    <w:rsid w:val="00CD789E"/>
    <w:rsid w:val="00CD7FA5"/>
    <w:rsid w:val="00CD7FD8"/>
    <w:rsid w:val="00CE00DB"/>
    <w:rsid w:val="00CE0643"/>
    <w:rsid w:val="00CE0973"/>
    <w:rsid w:val="00CE0B36"/>
    <w:rsid w:val="00CE1553"/>
    <w:rsid w:val="00CE16D9"/>
    <w:rsid w:val="00CE1B4B"/>
    <w:rsid w:val="00CE227A"/>
    <w:rsid w:val="00CE2865"/>
    <w:rsid w:val="00CE28C1"/>
    <w:rsid w:val="00CE2C1F"/>
    <w:rsid w:val="00CE2C31"/>
    <w:rsid w:val="00CE2D83"/>
    <w:rsid w:val="00CE2E77"/>
    <w:rsid w:val="00CE30AB"/>
    <w:rsid w:val="00CE34D1"/>
    <w:rsid w:val="00CE3B34"/>
    <w:rsid w:val="00CE3D16"/>
    <w:rsid w:val="00CE42D2"/>
    <w:rsid w:val="00CE4317"/>
    <w:rsid w:val="00CE4633"/>
    <w:rsid w:val="00CE47AF"/>
    <w:rsid w:val="00CE4E19"/>
    <w:rsid w:val="00CE51BD"/>
    <w:rsid w:val="00CE5481"/>
    <w:rsid w:val="00CE58DE"/>
    <w:rsid w:val="00CE5A79"/>
    <w:rsid w:val="00CE5B68"/>
    <w:rsid w:val="00CE5CBA"/>
    <w:rsid w:val="00CE6075"/>
    <w:rsid w:val="00CE6B26"/>
    <w:rsid w:val="00CE6DDB"/>
    <w:rsid w:val="00CE71D2"/>
    <w:rsid w:val="00CE78F1"/>
    <w:rsid w:val="00CE7ACE"/>
    <w:rsid w:val="00CE7B1B"/>
    <w:rsid w:val="00CE7D84"/>
    <w:rsid w:val="00CE7E0D"/>
    <w:rsid w:val="00CE7E23"/>
    <w:rsid w:val="00CF009B"/>
    <w:rsid w:val="00CF0128"/>
    <w:rsid w:val="00CF0193"/>
    <w:rsid w:val="00CF01F3"/>
    <w:rsid w:val="00CF02C9"/>
    <w:rsid w:val="00CF08F3"/>
    <w:rsid w:val="00CF094F"/>
    <w:rsid w:val="00CF0D75"/>
    <w:rsid w:val="00CF0E9A"/>
    <w:rsid w:val="00CF176B"/>
    <w:rsid w:val="00CF20A8"/>
    <w:rsid w:val="00CF21D3"/>
    <w:rsid w:val="00CF248C"/>
    <w:rsid w:val="00CF28D4"/>
    <w:rsid w:val="00CF2928"/>
    <w:rsid w:val="00CF2965"/>
    <w:rsid w:val="00CF2C46"/>
    <w:rsid w:val="00CF33E2"/>
    <w:rsid w:val="00CF347B"/>
    <w:rsid w:val="00CF34E3"/>
    <w:rsid w:val="00CF383C"/>
    <w:rsid w:val="00CF39FF"/>
    <w:rsid w:val="00CF3BBD"/>
    <w:rsid w:val="00CF421E"/>
    <w:rsid w:val="00CF42F4"/>
    <w:rsid w:val="00CF45BB"/>
    <w:rsid w:val="00CF4792"/>
    <w:rsid w:val="00CF49EE"/>
    <w:rsid w:val="00CF4C74"/>
    <w:rsid w:val="00CF57CA"/>
    <w:rsid w:val="00CF5C50"/>
    <w:rsid w:val="00CF5D40"/>
    <w:rsid w:val="00CF5DC4"/>
    <w:rsid w:val="00CF5FAB"/>
    <w:rsid w:val="00CF611D"/>
    <w:rsid w:val="00CF6122"/>
    <w:rsid w:val="00CF6383"/>
    <w:rsid w:val="00CF653D"/>
    <w:rsid w:val="00CF6606"/>
    <w:rsid w:val="00CF6651"/>
    <w:rsid w:val="00CF676E"/>
    <w:rsid w:val="00CF68A5"/>
    <w:rsid w:val="00CF6B27"/>
    <w:rsid w:val="00CF6CD7"/>
    <w:rsid w:val="00CF6DE2"/>
    <w:rsid w:val="00CF7036"/>
    <w:rsid w:val="00CF739A"/>
    <w:rsid w:val="00CF78B2"/>
    <w:rsid w:val="00CF7B25"/>
    <w:rsid w:val="00CF7C16"/>
    <w:rsid w:val="00CF7F82"/>
    <w:rsid w:val="00D00222"/>
    <w:rsid w:val="00D00346"/>
    <w:rsid w:val="00D0039F"/>
    <w:rsid w:val="00D009FF"/>
    <w:rsid w:val="00D00C6F"/>
    <w:rsid w:val="00D00D04"/>
    <w:rsid w:val="00D00E97"/>
    <w:rsid w:val="00D00EC0"/>
    <w:rsid w:val="00D013F8"/>
    <w:rsid w:val="00D0186D"/>
    <w:rsid w:val="00D01C42"/>
    <w:rsid w:val="00D01E3E"/>
    <w:rsid w:val="00D01F26"/>
    <w:rsid w:val="00D022AD"/>
    <w:rsid w:val="00D0243F"/>
    <w:rsid w:val="00D02BBF"/>
    <w:rsid w:val="00D02C43"/>
    <w:rsid w:val="00D02FB3"/>
    <w:rsid w:val="00D03004"/>
    <w:rsid w:val="00D03027"/>
    <w:rsid w:val="00D03030"/>
    <w:rsid w:val="00D036BC"/>
    <w:rsid w:val="00D037AC"/>
    <w:rsid w:val="00D037E7"/>
    <w:rsid w:val="00D0382B"/>
    <w:rsid w:val="00D046F0"/>
    <w:rsid w:val="00D047F7"/>
    <w:rsid w:val="00D049CA"/>
    <w:rsid w:val="00D04DE7"/>
    <w:rsid w:val="00D05001"/>
    <w:rsid w:val="00D05372"/>
    <w:rsid w:val="00D054A1"/>
    <w:rsid w:val="00D05703"/>
    <w:rsid w:val="00D05B5B"/>
    <w:rsid w:val="00D05CBC"/>
    <w:rsid w:val="00D05D2C"/>
    <w:rsid w:val="00D05D3B"/>
    <w:rsid w:val="00D05FF9"/>
    <w:rsid w:val="00D061D0"/>
    <w:rsid w:val="00D0630B"/>
    <w:rsid w:val="00D06318"/>
    <w:rsid w:val="00D06C6C"/>
    <w:rsid w:val="00D06D50"/>
    <w:rsid w:val="00D072BE"/>
    <w:rsid w:val="00D07AC4"/>
    <w:rsid w:val="00D07D4D"/>
    <w:rsid w:val="00D10050"/>
    <w:rsid w:val="00D10679"/>
    <w:rsid w:val="00D108DB"/>
    <w:rsid w:val="00D109E5"/>
    <w:rsid w:val="00D10D70"/>
    <w:rsid w:val="00D110E2"/>
    <w:rsid w:val="00D11286"/>
    <w:rsid w:val="00D1143F"/>
    <w:rsid w:val="00D114D9"/>
    <w:rsid w:val="00D11AE8"/>
    <w:rsid w:val="00D11C49"/>
    <w:rsid w:val="00D11DE8"/>
    <w:rsid w:val="00D12405"/>
    <w:rsid w:val="00D12E0D"/>
    <w:rsid w:val="00D131A0"/>
    <w:rsid w:val="00D13250"/>
    <w:rsid w:val="00D133C0"/>
    <w:rsid w:val="00D13600"/>
    <w:rsid w:val="00D13A8D"/>
    <w:rsid w:val="00D13B32"/>
    <w:rsid w:val="00D13FF6"/>
    <w:rsid w:val="00D1435E"/>
    <w:rsid w:val="00D15108"/>
    <w:rsid w:val="00D152BD"/>
    <w:rsid w:val="00D153C2"/>
    <w:rsid w:val="00D1564C"/>
    <w:rsid w:val="00D15742"/>
    <w:rsid w:val="00D1597B"/>
    <w:rsid w:val="00D15C07"/>
    <w:rsid w:val="00D15D85"/>
    <w:rsid w:val="00D1603F"/>
    <w:rsid w:val="00D16346"/>
    <w:rsid w:val="00D1673F"/>
    <w:rsid w:val="00D16C35"/>
    <w:rsid w:val="00D16EE9"/>
    <w:rsid w:val="00D171A4"/>
    <w:rsid w:val="00D1724E"/>
    <w:rsid w:val="00D1736A"/>
    <w:rsid w:val="00D17657"/>
    <w:rsid w:val="00D17831"/>
    <w:rsid w:val="00D17F8C"/>
    <w:rsid w:val="00D20055"/>
    <w:rsid w:val="00D201AD"/>
    <w:rsid w:val="00D20345"/>
    <w:rsid w:val="00D20F96"/>
    <w:rsid w:val="00D21512"/>
    <w:rsid w:val="00D21601"/>
    <w:rsid w:val="00D2192E"/>
    <w:rsid w:val="00D21C82"/>
    <w:rsid w:val="00D22009"/>
    <w:rsid w:val="00D22289"/>
    <w:rsid w:val="00D2240F"/>
    <w:rsid w:val="00D22424"/>
    <w:rsid w:val="00D2254A"/>
    <w:rsid w:val="00D2281D"/>
    <w:rsid w:val="00D228FB"/>
    <w:rsid w:val="00D22BC5"/>
    <w:rsid w:val="00D22CED"/>
    <w:rsid w:val="00D22D95"/>
    <w:rsid w:val="00D230D9"/>
    <w:rsid w:val="00D23179"/>
    <w:rsid w:val="00D23228"/>
    <w:rsid w:val="00D23538"/>
    <w:rsid w:val="00D235CD"/>
    <w:rsid w:val="00D2379F"/>
    <w:rsid w:val="00D238E1"/>
    <w:rsid w:val="00D23915"/>
    <w:rsid w:val="00D23A68"/>
    <w:rsid w:val="00D23CFD"/>
    <w:rsid w:val="00D23D3C"/>
    <w:rsid w:val="00D23DBF"/>
    <w:rsid w:val="00D23EAC"/>
    <w:rsid w:val="00D24522"/>
    <w:rsid w:val="00D2494E"/>
    <w:rsid w:val="00D24A5B"/>
    <w:rsid w:val="00D24D76"/>
    <w:rsid w:val="00D24D9B"/>
    <w:rsid w:val="00D25095"/>
    <w:rsid w:val="00D2532E"/>
    <w:rsid w:val="00D25703"/>
    <w:rsid w:val="00D25960"/>
    <w:rsid w:val="00D259CA"/>
    <w:rsid w:val="00D25DE0"/>
    <w:rsid w:val="00D26033"/>
    <w:rsid w:val="00D261ED"/>
    <w:rsid w:val="00D265B7"/>
    <w:rsid w:val="00D266F6"/>
    <w:rsid w:val="00D2677C"/>
    <w:rsid w:val="00D269F3"/>
    <w:rsid w:val="00D26AB5"/>
    <w:rsid w:val="00D26CDB"/>
    <w:rsid w:val="00D273D6"/>
    <w:rsid w:val="00D2753C"/>
    <w:rsid w:val="00D27992"/>
    <w:rsid w:val="00D27C32"/>
    <w:rsid w:val="00D30011"/>
    <w:rsid w:val="00D30361"/>
    <w:rsid w:val="00D30650"/>
    <w:rsid w:val="00D309A8"/>
    <w:rsid w:val="00D30ACB"/>
    <w:rsid w:val="00D30D84"/>
    <w:rsid w:val="00D3109F"/>
    <w:rsid w:val="00D314F6"/>
    <w:rsid w:val="00D315F8"/>
    <w:rsid w:val="00D31856"/>
    <w:rsid w:val="00D3186D"/>
    <w:rsid w:val="00D318D1"/>
    <w:rsid w:val="00D318EF"/>
    <w:rsid w:val="00D31EA8"/>
    <w:rsid w:val="00D320A6"/>
    <w:rsid w:val="00D32484"/>
    <w:rsid w:val="00D32520"/>
    <w:rsid w:val="00D325DE"/>
    <w:rsid w:val="00D326FD"/>
    <w:rsid w:val="00D32710"/>
    <w:rsid w:val="00D32967"/>
    <w:rsid w:val="00D32F47"/>
    <w:rsid w:val="00D33329"/>
    <w:rsid w:val="00D3338D"/>
    <w:rsid w:val="00D33548"/>
    <w:rsid w:val="00D33777"/>
    <w:rsid w:val="00D337B7"/>
    <w:rsid w:val="00D33AB1"/>
    <w:rsid w:val="00D33BE3"/>
    <w:rsid w:val="00D33DFC"/>
    <w:rsid w:val="00D34203"/>
    <w:rsid w:val="00D34365"/>
    <w:rsid w:val="00D344A5"/>
    <w:rsid w:val="00D345AD"/>
    <w:rsid w:val="00D345F1"/>
    <w:rsid w:val="00D3474B"/>
    <w:rsid w:val="00D34750"/>
    <w:rsid w:val="00D34941"/>
    <w:rsid w:val="00D34A10"/>
    <w:rsid w:val="00D34CE6"/>
    <w:rsid w:val="00D351CC"/>
    <w:rsid w:val="00D35585"/>
    <w:rsid w:val="00D3564F"/>
    <w:rsid w:val="00D3573A"/>
    <w:rsid w:val="00D35833"/>
    <w:rsid w:val="00D358A4"/>
    <w:rsid w:val="00D3598E"/>
    <w:rsid w:val="00D36190"/>
    <w:rsid w:val="00D361EC"/>
    <w:rsid w:val="00D36500"/>
    <w:rsid w:val="00D3673A"/>
    <w:rsid w:val="00D3677E"/>
    <w:rsid w:val="00D369D2"/>
    <w:rsid w:val="00D36A16"/>
    <w:rsid w:val="00D36A22"/>
    <w:rsid w:val="00D36AC0"/>
    <w:rsid w:val="00D36AE0"/>
    <w:rsid w:val="00D36D81"/>
    <w:rsid w:val="00D36DBD"/>
    <w:rsid w:val="00D378D2"/>
    <w:rsid w:val="00D37F70"/>
    <w:rsid w:val="00D40091"/>
    <w:rsid w:val="00D408FD"/>
    <w:rsid w:val="00D409AD"/>
    <w:rsid w:val="00D414F7"/>
    <w:rsid w:val="00D41C47"/>
    <w:rsid w:val="00D41EF5"/>
    <w:rsid w:val="00D4213D"/>
    <w:rsid w:val="00D42676"/>
    <w:rsid w:val="00D4267C"/>
    <w:rsid w:val="00D42B94"/>
    <w:rsid w:val="00D42C69"/>
    <w:rsid w:val="00D4323A"/>
    <w:rsid w:val="00D43550"/>
    <w:rsid w:val="00D43832"/>
    <w:rsid w:val="00D4392F"/>
    <w:rsid w:val="00D43A33"/>
    <w:rsid w:val="00D43E84"/>
    <w:rsid w:val="00D4422B"/>
    <w:rsid w:val="00D447D0"/>
    <w:rsid w:val="00D44D06"/>
    <w:rsid w:val="00D44D4F"/>
    <w:rsid w:val="00D45062"/>
    <w:rsid w:val="00D456C2"/>
    <w:rsid w:val="00D4615D"/>
    <w:rsid w:val="00D461D5"/>
    <w:rsid w:val="00D4634A"/>
    <w:rsid w:val="00D46431"/>
    <w:rsid w:val="00D4671D"/>
    <w:rsid w:val="00D46DD6"/>
    <w:rsid w:val="00D46FC2"/>
    <w:rsid w:val="00D47291"/>
    <w:rsid w:val="00D47441"/>
    <w:rsid w:val="00D476EA"/>
    <w:rsid w:val="00D47918"/>
    <w:rsid w:val="00D479A1"/>
    <w:rsid w:val="00D47C40"/>
    <w:rsid w:val="00D47DB0"/>
    <w:rsid w:val="00D5051E"/>
    <w:rsid w:val="00D5080C"/>
    <w:rsid w:val="00D50D6E"/>
    <w:rsid w:val="00D50EDE"/>
    <w:rsid w:val="00D5139F"/>
    <w:rsid w:val="00D51AFC"/>
    <w:rsid w:val="00D51BF1"/>
    <w:rsid w:val="00D51E26"/>
    <w:rsid w:val="00D5201D"/>
    <w:rsid w:val="00D52571"/>
    <w:rsid w:val="00D525B2"/>
    <w:rsid w:val="00D5295D"/>
    <w:rsid w:val="00D52B9F"/>
    <w:rsid w:val="00D52CC1"/>
    <w:rsid w:val="00D530E5"/>
    <w:rsid w:val="00D53367"/>
    <w:rsid w:val="00D5375D"/>
    <w:rsid w:val="00D540EC"/>
    <w:rsid w:val="00D54221"/>
    <w:rsid w:val="00D54F9E"/>
    <w:rsid w:val="00D54FE9"/>
    <w:rsid w:val="00D5532C"/>
    <w:rsid w:val="00D553FC"/>
    <w:rsid w:val="00D55637"/>
    <w:rsid w:val="00D5599A"/>
    <w:rsid w:val="00D5623A"/>
    <w:rsid w:val="00D56353"/>
    <w:rsid w:val="00D567FF"/>
    <w:rsid w:val="00D568DF"/>
    <w:rsid w:val="00D569D1"/>
    <w:rsid w:val="00D56BA2"/>
    <w:rsid w:val="00D56F8F"/>
    <w:rsid w:val="00D57021"/>
    <w:rsid w:val="00D573F3"/>
    <w:rsid w:val="00D5748B"/>
    <w:rsid w:val="00D57AAB"/>
    <w:rsid w:val="00D57B73"/>
    <w:rsid w:val="00D57C99"/>
    <w:rsid w:val="00D57CE2"/>
    <w:rsid w:val="00D600AD"/>
    <w:rsid w:val="00D601F5"/>
    <w:rsid w:val="00D6076A"/>
    <w:rsid w:val="00D60C38"/>
    <w:rsid w:val="00D60D58"/>
    <w:rsid w:val="00D61018"/>
    <w:rsid w:val="00D61042"/>
    <w:rsid w:val="00D614EB"/>
    <w:rsid w:val="00D61F05"/>
    <w:rsid w:val="00D62ECA"/>
    <w:rsid w:val="00D62F13"/>
    <w:rsid w:val="00D631F8"/>
    <w:rsid w:val="00D632AB"/>
    <w:rsid w:val="00D63A7E"/>
    <w:rsid w:val="00D644C1"/>
    <w:rsid w:val="00D6457E"/>
    <w:rsid w:val="00D64A07"/>
    <w:rsid w:val="00D650E6"/>
    <w:rsid w:val="00D65247"/>
    <w:rsid w:val="00D65941"/>
    <w:rsid w:val="00D65B0F"/>
    <w:rsid w:val="00D65B79"/>
    <w:rsid w:val="00D65CFB"/>
    <w:rsid w:val="00D66757"/>
    <w:rsid w:val="00D66798"/>
    <w:rsid w:val="00D6681F"/>
    <w:rsid w:val="00D66A41"/>
    <w:rsid w:val="00D66D4F"/>
    <w:rsid w:val="00D66F66"/>
    <w:rsid w:val="00D6750E"/>
    <w:rsid w:val="00D67547"/>
    <w:rsid w:val="00D67854"/>
    <w:rsid w:val="00D67DD4"/>
    <w:rsid w:val="00D70731"/>
    <w:rsid w:val="00D70AC2"/>
    <w:rsid w:val="00D70DDC"/>
    <w:rsid w:val="00D711CE"/>
    <w:rsid w:val="00D71275"/>
    <w:rsid w:val="00D713DB"/>
    <w:rsid w:val="00D71660"/>
    <w:rsid w:val="00D71898"/>
    <w:rsid w:val="00D719E9"/>
    <w:rsid w:val="00D71D50"/>
    <w:rsid w:val="00D71D8F"/>
    <w:rsid w:val="00D722A3"/>
    <w:rsid w:val="00D72C97"/>
    <w:rsid w:val="00D7308C"/>
    <w:rsid w:val="00D733EB"/>
    <w:rsid w:val="00D734A4"/>
    <w:rsid w:val="00D73733"/>
    <w:rsid w:val="00D737F5"/>
    <w:rsid w:val="00D73915"/>
    <w:rsid w:val="00D7395F"/>
    <w:rsid w:val="00D73A3E"/>
    <w:rsid w:val="00D73A76"/>
    <w:rsid w:val="00D73BF6"/>
    <w:rsid w:val="00D73D5D"/>
    <w:rsid w:val="00D742B0"/>
    <w:rsid w:val="00D742F2"/>
    <w:rsid w:val="00D74389"/>
    <w:rsid w:val="00D743B3"/>
    <w:rsid w:val="00D743E0"/>
    <w:rsid w:val="00D74B8A"/>
    <w:rsid w:val="00D753F7"/>
    <w:rsid w:val="00D755A1"/>
    <w:rsid w:val="00D756C1"/>
    <w:rsid w:val="00D75A14"/>
    <w:rsid w:val="00D75C6B"/>
    <w:rsid w:val="00D75D61"/>
    <w:rsid w:val="00D75DAA"/>
    <w:rsid w:val="00D75F9F"/>
    <w:rsid w:val="00D762EF"/>
    <w:rsid w:val="00D76307"/>
    <w:rsid w:val="00D763E8"/>
    <w:rsid w:val="00D76966"/>
    <w:rsid w:val="00D771DD"/>
    <w:rsid w:val="00D77387"/>
    <w:rsid w:val="00D777D8"/>
    <w:rsid w:val="00D77918"/>
    <w:rsid w:val="00D77997"/>
    <w:rsid w:val="00D77B45"/>
    <w:rsid w:val="00D77D59"/>
    <w:rsid w:val="00D8011E"/>
    <w:rsid w:val="00D80185"/>
    <w:rsid w:val="00D803EF"/>
    <w:rsid w:val="00D80584"/>
    <w:rsid w:val="00D8092F"/>
    <w:rsid w:val="00D80A12"/>
    <w:rsid w:val="00D80D17"/>
    <w:rsid w:val="00D81192"/>
    <w:rsid w:val="00D812C8"/>
    <w:rsid w:val="00D817A1"/>
    <w:rsid w:val="00D81DA5"/>
    <w:rsid w:val="00D825A9"/>
    <w:rsid w:val="00D82D99"/>
    <w:rsid w:val="00D83492"/>
    <w:rsid w:val="00D8383C"/>
    <w:rsid w:val="00D83874"/>
    <w:rsid w:val="00D83B22"/>
    <w:rsid w:val="00D83FE2"/>
    <w:rsid w:val="00D845A9"/>
    <w:rsid w:val="00D8466F"/>
    <w:rsid w:val="00D84969"/>
    <w:rsid w:val="00D84A97"/>
    <w:rsid w:val="00D84F08"/>
    <w:rsid w:val="00D84F2A"/>
    <w:rsid w:val="00D85281"/>
    <w:rsid w:val="00D8540E"/>
    <w:rsid w:val="00D85643"/>
    <w:rsid w:val="00D856A5"/>
    <w:rsid w:val="00D856CF"/>
    <w:rsid w:val="00D857F6"/>
    <w:rsid w:val="00D85AE5"/>
    <w:rsid w:val="00D85CD4"/>
    <w:rsid w:val="00D85E2A"/>
    <w:rsid w:val="00D86957"/>
    <w:rsid w:val="00D86CD3"/>
    <w:rsid w:val="00D86DC4"/>
    <w:rsid w:val="00D86DFD"/>
    <w:rsid w:val="00D86E63"/>
    <w:rsid w:val="00D86F5D"/>
    <w:rsid w:val="00D86F72"/>
    <w:rsid w:val="00D870C1"/>
    <w:rsid w:val="00D874F4"/>
    <w:rsid w:val="00D874F5"/>
    <w:rsid w:val="00D8787F"/>
    <w:rsid w:val="00D87B5D"/>
    <w:rsid w:val="00D87DD2"/>
    <w:rsid w:val="00D87DE0"/>
    <w:rsid w:val="00D902DE"/>
    <w:rsid w:val="00D90354"/>
    <w:rsid w:val="00D90379"/>
    <w:rsid w:val="00D904D4"/>
    <w:rsid w:val="00D9059A"/>
    <w:rsid w:val="00D90AB1"/>
    <w:rsid w:val="00D90DC3"/>
    <w:rsid w:val="00D90DCF"/>
    <w:rsid w:val="00D91225"/>
    <w:rsid w:val="00D913D5"/>
    <w:rsid w:val="00D914BC"/>
    <w:rsid w:val="00D91759"/>
    <w:rsid w:val="00D9177E"/>
    <w:rsid w:val="00D91C3B"/>
    <w:rsid w:val="00D91F71"/>
    <w:rsid w:val="00D924E6"/>
    <w:rsid w:val="00D92665"/>
    <w:rsid w:val="00D929AC"/>
    <w:rsid w:val="00D92FA4"/>
    <w:rsid w:val="00D9325E"/>
    <w:rsid w:val="00D93617"/>
    <w:rsid w:val="00D9370E"/>
    <w:rsid w:val="00D93984"/>
    <w:rsid w:val="00D93A49"/>
    <w:rsid w:val="00D93AF1"/>
    <w:rsid w:val="00D93B9C"/>
    <w:rsid w:val="00D94156"/>
    <w:rsid w:val="00D947D1"/>
    <w:rsid w:val="00D94A70"/>
    <w:rsid w:val="00D94BED"/>
    <w:rsid w:val="00D94CA0"/>
    <w:rsid w:val="00D94CE0"/>
    <w:rsid w:val="00D958AC"/>
    <w:rsid w:val="00D958F7"/>
    <w:rsid w:val="00D95A68"/>
    <w:rsid w:val="00D95B5B"/>
    <w:rsid w:val="00D9606A"/>
    <w:rsid w:val="00D96132"/>
    <w:rsid w:val="00D96315"/>
    <w:rsid w:val="00D964E0"/>
    <w:rsid w:val="00D96816"/>
    <w:rsid w:val="00D96CD3"/>
    <w:rsid w:val="00D97162"/>
    <w:rsid w:val="00D971CB"/>
    <w:rsid w:val="00D97549"/>
    <w:rsid w:val="00D9770F"/>
    <w:rsid w:val="00D9783D"/>
    <w:rsid w:val="00D97DDC"/>
    <w:rsid w:val="00DA0177"/>
    <w:rsid w:val="00DA04F2"/>
    <w:rsid w:val="00DA07B3"/>
    <w:rsid w:val="00DA095C"/>
    <w:rsid w:val="00DA0A67"/>
    <w:rsid w:val="00DA0C6E"/>
    <w:rsid w:val="00DA0E33"/>
    <w:rsid w:val="00DA1735"/>
    <w:rsid w:val="00DA19FD"/>
    <w:rsid w:val="00DA1B75"/>
    <w:rsid w:val="00DA1C01"/>
    <w:rsid w:val="00DA1CB1"/>
    <w:rsid w:val="00DA1D5D"/>
    <w:rsid w:val="00DA24B6"/>
    <w:rsid w:val="00DA24D6"/>
    <w:rsid w:val="00DA281A"/>
    <w:rsid w:val="00DA2AA9"/>
    <w:rsid w:val="00DA2BB7"/>
    <w:rsid w:val="00DA3182"/>
    <w:rsid w:val="00DA3AAC"/>
    <w:rsid w:val="00DA3BFD"/>
    <w:rsid w:val="00DA3E38"/>
    <w:rsid w:val="00DA40E6"/>
    <w:rsid w:val="00DA424C"/>
    <w:rsid w:val="00DA448D"/>
    <w:rsid w:val="00DA45CB"/>
    <w:rsid w:val="00DA4E2A"/>
    <w:rsid w:val="00DA50FE"/>
    <w:rsid w:val="00DA514D"/>
    <w:rsid w:val="00DA532F"/>
    <w:rsid w:val="00DA53AA"/>
    <w:rsid w:val="00DA53C1"/>
    <w:rsid w:val="00DA5699"/>
    <w:rsid w:val="00DA59DB"/>
    <w:rsid w:val="00DA5F18"/>
    <w:rsid w:val="00DA5F88"/>
    <w:rsid w:val="00DA5FAE"/>
    <w:rsid w:val="00DA6E05"/>
    <w:rsid w:val="00DA6F11"/>
    <w:rsid w:val="00DA7046"/>
    <w:rsid w:val="00DA7181"/>
    <w:rsid w:val="00DA787C"/>
    <w:rsid w:val="00DA7B24"/>
    <w:rsid w:val="00DB0013"/>
    <w:rsid w:val="00DB0219"/>
    <w:rsid w:val="00DB02E5"/>
    <w:rsid w:val="00DB0492"/>
    <w:rsid w:val="00DB0910"/>
    <w:rsid w:val="00DB1023"/>
    <w:rsid w:val="00DB11FD"/>
    <w:rsid w:val="00DB1500"/>
    <w:rsid w:val="00DB1B57"/>
    <w:rsid w:val="00DB1E2B"/>
    <w:rsid w:val="00DB22A8"/>
    <w:rsid w:val="00DB22D2"/>
    <w:rsid w:val="00DB2338"/>
    <w:rsid w:val="00DB2434"/>
    <w:rsid w:val="00DB2534"/>
    <w:rsid w:val="00DB25BC"/>
    <w:rsid w:val="00DB26ED"/>
    <w:rsid w:val="00DB2DB7"/>
    <w:rsid w:val="00DB2E03"/>
    <w:rsid w:val="00DB348F"/>
    <w:rsid w:val="00DB34E7"/>
    <w:rsid w:val="00DB3559"/>
    <w:rsid w:val="00DB365E"/>
    <w:rsid w:val="00DB3694"/>
    <w:rsid w:val="00DB3917"/>
    <w:rsid w:val="00DB3EDF"/>
    <w:rsid w:val="00DB4014"/>
    <w:rsid w:val="00DB40BF"/>
    <w:rsid w:val="00DB492C"/>
    <w:rsid w:val="00DB4B7A"/>
    <w:rsid w:val="00DB4BBC"/>
    <w:rsid w:val="00DB5117"/>
    <w:rsid w:val="00DB5142"/>
    <w:rsid w:val="00DB5D4B"/>
    <w:rsid w:val="00DB5E96"/>
    <w:rsid w:val="00DB5FE1"/>
    <w:rsid w:val="00DB61C6"/>
    <w:rsid w:val="00DB6564"/>
    <w:rsid w:val="00DB6A6D"/>
    <w:rsid w:val="00DB6AED"/>
    <w:rsid w:val="00DB6C84"/>
    <w:rsid w:val="00DB6CB3"/>
    <w:rsid w:val="00DB6F64"/>
    <w:rsid w:val="00DB70AD"/>
    <w:rsid w:val="00DB717D"/>
    <w:rsid w:val="00DB7AE8"/>
    <w:rsid w:val="00DB7B13"/>
    <w:rsid w:val="00DB7C35"/>
    <w:rsid w:val="00DB7FBD"/>
    <w:rsid w:val="00DC01A4"/>
    <w:rsid w:val="00DC097B"/>
    <w:rsid w:val="00DC0E30"/>
    <w:rsid w:val="00DC1074"/>
    <w:rsid w:val="00DC18E2"/>
    <w:rsid w:val="00DC1A5D"/>
    <w:rsid w:val="00DC1CB4"/>
    <w:rsid w:val="00DC289A"/>
    <w:rsid w:val="00DC296E"/>
    <w:rsid w:val="00DC2A28"/>
    <w:rsid w:val="00DC2F22"/>
    <w:rsid w:val="00DC2FC3"/>
    <w:rsid w:val="00DC3048"/>
    <w:rsid w:val="00DC33DD"/>
    <w:rsid w:val="00DC3C86"/>
    <w:rsid w:val="00DC3E7B"/>
    <w:rsid w:val="00DC4173"/>
    <w:rsid w:val="00DC47EC"/>
    <w:rsid w:val="00DC4BF4"/>
    <w:rsid w:val="00DC4E91"/>
    <w:rsid w:val="00DC525B"/>
    <w:rsid w:val="00DC566C"/>
    <w:rsid w:val="00DC5800"/>
    <w:rsid w:val="00DC5933"/>
    <w:rsid w:val="00DC5C7F"/>
    <w:rsid w:val="00DC5D0B"/>
    <w:rsid w:val="00DC5D9A"/>
    <w:rsid w:val="00DC5EFE"/>
    <w:rsid w:val="00DC6340"/>
    <w:rsid w:val="00DC65CB"/>
    <w:rsid w:val="00DC67F1"/>
    <w:rsid w:val="00DC6906"/>
    <w:rsid w:val="00DC6BFB"/>
    <w:rsid w:val="00DC706E"/>
    <w:rsid w:val="00DC7142"/>
    <w:rsid w:val="00DC71CF"/>
    <w:rsid w:val="00DC76E7"/>
    <w:rsid w:val="00DC7707"/>
    <w:rsid w:val="00DC786D"/>
    <w:rsid w:val="00DC7983"/>
    <w:rsid w:val="00DC7E87"/>
    <w:rsid w:val="00DC7F7C"/>
    <w:rsid w:val="00DD01B7"/>
    <w:rsid w:val="00DD087F"/>
    <w:rsid w:val="00DD0B4F"/>
    <w:rsid w:val="00DD0DE4"/>
    <w:rsid w:val="00DD0FBD"/>
    <w:rsid w:val="00DD1163"/>
    <w:rsid w:val="00DD184C"/>
    <w:rsid w:val="00DD184E"/>
    <w:rsid w:val="00DD1907"/>
    <w:rsid w:val="00DD1A02"/>
    <w:rsid w:val="00DD2013"/>
    <w:rsid w:val="00DD21F5"/>
    <w:rsid w:val="00DD24D6"/>
    <w:rsid w:val="00DD268C"/>
    <w:rsid w:val="00DD2A7F"/>
    <w:rsid w:val="00DD2AA5"/>
    <w:rsid w:val="00DD2B7F"/>
    <w:rsid w:val="00DD2E4E"/>
    <w:rsid w:val="00DD30BF"/>
    <w:rsid w:val="00DD3213"/>
    <w:rsid w:val="00DD359C"/>
    <w:rsid w:val="00DD37E0"/>
    <w:rsid w:val="00DD3DAF"/>
    <w:rsid w:val="00DD4085"/>
    <w:rsid w:val="00DD44C4"/>
    <w:rsid w:val="00DD44DC"/>
    <w:rsid w:val="00DD46F4"/>
    <w:rsid w:val="00DD48E4"/>
    <w:rsid w:val="00DD49EF"/>
    <w:rsid w:val="00DD5014"/>
    <w:rsid w:val="00DD552C"/>
    <w:rsid w:val="00DD5559"/>
    <w:rsid w:val="00DD58E1"/>
    <w:rsid w:val="00DD59F6"/>
    <w:rsid w:val="00DD5FA2"/>
    <w:rsid w:val="00DD6417"/>
    <w:rsid w:val="00DD64D1"/>
    <w:rsid w:val="00DD6583"/>
    <w:rsid w:val="00DD6B2F"/>
    <w:rsid w:val="00DD6E35"/>
    <w:rsid w:val="00DD6F2B"/>
    <w:rsid w:val="00DD7078"/>
    <w:rsid w:val="00DD7092"/>
    <w:rsid w:val="00DD72A5"/>
    <w:rsid w:val="00DD748F"/>
    <w:rsid w:val="00DD768E"/>
    <w:rsid w:val="00DE02DA"/>
    <w:rsid w:val="00DE0375"/>
    <w:rsid w:val="00DE0623"/>
    <w:rsid w:val="00DE0C2B"/>
    <w:rsid w:val="00DE0D0E"/>
    <w:rsid w:val="00DE0E11"/>
    <w:rsid w:val="00DE0F25"/>
    <w:rsid w:val="00DE0FD8"/>
    <w:rsid w:val="00DE12AF"/>
    <w:rsid w:val="00DE1D92"/>
    <w:rsid w:val="00DE1E2B"/>
    <w:rsid w:val="00DE212B"/>
    <w:rsid w:val="00DE2597"/>
    <w:rsid w:val="00DE2A2F"/>
    <w:rsid w:val="00DE2C43"/>
    <w:rsid w:val="00DE2F77"/>
    <w:rsid w:val="00DE310A"/>
    <w:rsid w:val="00DE32B3"/>
    <w:rsid w:val="00DE3359"/>
    <w:rsid w:val="00DE339A"/>
    <w:rsid w:val="00DE357D"/>
    <w:rsid w:val="00DE35FA"/>
    <w:rsid w:val="00DE3EA9"/>
    <w:rsid w:val="00DE3FB2"/>
    <w:rsid w:val="00DE3FEB"/>
    <w:rsid w:val="00DE4298"/>
    <w:rsid w:val="00DE43AC"/>
    <w:rsid w:val="00DE4691"/>
    <w:rsid w:val="00DE4836"/>
    <w:rsid w:val="00DE4919"/>
    <w:rsid w:val="00DE4F37"/>
    <w:rsid w:val="00DE590B"/>
    <w:rsid w:val="00DE5D80"/>
    <w:rsid w:val="00DE5F38"/>
    <w:rsid w:val="00DE5FE1"/>
    <w:rsid w:val="00DE68E9"/>
    <w:rsid w:val="00DE6A04"/>
    <w:rsid w:val="00DE6B3C"/>
    <w:rsid w:val="00DE6ECB"/>
    <w:rsid w:val="00DE6F0C"/>
    <w:rsid w:val="00DE70C4"/>
    <w:rsid w:val="00DE7122"/>
    <w:rsid w:val="00DE71DF"/>
    <w:rsid w:val="00DE7256"/>
    <w:rsid w:val="00DE7415"/>
    <w:rsid w:val="00DE75F5"/>
    <w:rsid w:val="00DE7A96"/>
    <w:rsid w:val="00DE7BC0"/>
    <w:rsid w:val="00DE7D88"/>
    <w:rsid w:val="00DE7EE9"/>
    <w:rsid w:val="00DE7FD1"/>
    <w:rsid w:val="00DF0586"/>
    <w:rsid w:val="00DF0915"/>
    <w:rsid w:val="00DF0ABD"/>
    <w:rsid w:val="00DF0E86"/>
    <w:rsid w:val="00DF1411"/>
    <w:rsid w:val="00DF197A"/>
    <w:rsid w:val="00DF1A8B"/>
    <w:rsid w:val="00DF202B"/>
    <w:rsid w:val="00DF23C3"/>
    <w:rsid w:val="00DF2650"/>
    <w:rsid w:val="00DF26D3"/>
    <w:rsid w:val="00DF2BE8"/>
    <w:rsid w:val="00DF2E33"/>
    <w:rsid w:val="00DF33D2"/>
    <w:rsid w:val="00DF3456"/>
    <w:rsid w:val="00DF36DF"/>
    <w:rsid w:val="00DF37B9"/>
    <w:rsid w:val="00DF3BCA"/>
    <w:rsid w:val="00DF3D6B"/>
    <w:rsid w:val="00DF4071"/>
    <w:rsid w:val="00DF4272"/>
    <w:rsid w:val="00DF427E"/>
    <w:rsid w:val="00DF4551"/>
    <w:rsid w:val="00DF49A0"/>
    <w:rsid w:val="00DF4B65"/>
    <w:rsid w:val="00DF4BF3"/>
    <w:rsid w:val="00DF4C7D"/>
    <w:rsid w:val="00DF4D1D"/>
    <w:rsid w:val="00DF4EC6"/>
    <w:rsid w:val="00DF502D"/>
    <w:rsid w:val="00DF5256"/>
    <w:rsid w:val="00DF55C8"/>
    <w:rsid w:val="00DF55F4"/>
    <w:rsid w:val="00DF55F6"/>
    <w:rsid w:val="00DF598A"/>
    <w:rsid w:val="00DF5B1C"/>
    <w:rsid w:val="00DF5C15"/>
    <w:rsid w:val="00DF5E50"/>
    <w:rsid w:val="00DF5FC4"/>
    <w:rsid w:val="00DF616E"/>
    <w:rsid w:val="00DF62AE"/>
    <w:rsid w:val="00DF63CA"/>
    <w:rsid w:val="00DF6DA3"/>
    <w:rsid w:val="00DF6EAB"/>
    <w:rsid w:val="00DF6EF5"/>
    <w:rsid w:val="00DF702C"/>
    <w:rsid w:val="00DF756E"/>
    <w:rsid w:val="00DF771A"/>
    <w:rsid w:val="00DF776D"/>
    <w:rsid w:val="00DF7E18"/>
    <w:rsid w:val="00DF7F5C"/>
    <w:rsid w:val="00E000BB"/>
    <w:rsid w:val="00E00214"/>
    <w:rsid w:val="00E00291"/>
    <w:rsid w:val="00E00645"/>
    <w:rsid w:val="00E0064E"/>
    <w:rsid w:val="00E0064F"/>
    <w:rsid w:val="00E0095C"/>
    <w:rsid w:val="00E00A12"/>
    <w:rsid w:val="00E00ABA"/>
    <w:rsid w:val="00E00F12"/>
    <w:rsid w:val="00E01126"/>
    <w:rsid w:val="00E0123B"/>
    <w:rsid w:val="00E012DA"/>
    <w:rsid w:val="00E01B55"/>
    <w:rsid w:val="00E01C9E"/>
    <w:rsid w:val="00E01CC0"/>
    <w:rsid w:val="00E0238C"/>
    <w:rsid w:val="00E024A3"/>
    <w:rsid w:val="00E0270B"/>
    <w:rsid w:val="00E0277D"/>
    <w:rsid w:val="00E02E56"/>
    <w:rsid w:val="00E02FE1"/>
    <w:rsid w:val="00E036F6"/>
    <w:rsid w:val="00E03709"/>
    <w:rsid w:val="00E03854"/>
    <w:rsid w:val="00E039DE"/>
    <w:rsid w:val="00E040EF"/>
    <w:rsid w:val="00E041AF"/>
    <w:rsid w:val="00E0435F"/>
    <w:rsid w:val="00E0474F"/>
    <w:rsid w:val="00E047C4"/>
    <w:rsid w:val="00E05000"/>
    <w:rsid w:val="00E057B2"/>
    <w:rsid w:val="00E066AF"/>
    <w:rsid w:val="00E066DC"/>
    <w:rsid w:val="00E0676B"/>
    <w:rsid w:val="00E06B02"/>
    <w:rsid w:val="00E06D00"/>
    <w:rsid w:val="00E06D80"/>
    <w:rsid w:val="00E07487"/>
    <w:rsid w:val="00E079F9"/>
    <w:rsid w:val="00E07B56"/>
    <w:rsid w:val="00E07C61"/>
    <w:rsid w:val="00E07C87"/>
    <w:rsid w:val="00E07DB9"/>
    <w:rsid w:val="00E07F16"/>
    <w:rsid w:val="00E10087"/>
    <w:rsid w:val="00E1015C"/>
    <w:rsid w:val="00E103DB"/>
    <w:rsid w:val="00E106B7"/>
    <w:rsid w:val="00E1099F"/>
    <w:rsid w:val="00E10A34"/>
    <w:rsid w:val="00E10AEC"/>
    <w:rsid w:val="00E111FE"/>
    <w:rsid w:val="00E112D9"/>
    <w:rsid w:val="00E113FC"/>
    <w:rsid w:val="00E1178B"/>
    <w:rsid w:val="00E11942"/>
    <w:rsid w:val="00E11CA5"/>
    <w:rsid w:val="00E11E1A"/>
    <w:rsid w:val="00E12061"/>
    <w:rsid w:val="00E12346"/>
    <w:rsid w:val="00E125D2"/>
    <w:rsid w:val="00E128BE"/>
    <w:rsid w:val="00E12926"/>
    <w:rsid w:val="00E1298A"/>
    <w:rsid w:val="00E129A7"/>
    <w:rsid w:val="00E129BF"/>
    <w:rsid w:val="00E12E06"/>
    <w:rsid w:val="00E13645"/>
    <w:rsid w:val="00E13E62"/>
    <w:rsid w:val="00E1414F"/>
    <w:rsid w:val="00E14247"/>
    <w:rsid w:val="00E14EF8"/>
    <w:rsid w:val="00E1513B"/>
    <w:rsid w:val="00E1536F"/>
    <w:rsid w:val="00E154A0"/>
    <w:rsid w:val="00E15F73"/>
    <w:rsid w:val="00E162B8"/>
    <w:rsid w:val="00E164A7"/>
    <w:rsid w:val="00E166E0"/>
    <w:rsid w:val="00E167B0"/>
    <w:rsid w:val="00E168E9"/>
    <w:rsid w:val="00E168F0"/>
    <w:rsid w:val="00E16A45"/>
    <w:rsid w:val="00E17A13"/>
    <w:rsid w:val="00E17AE5"/>
    <w:rsid w:val="00E17B6C"/>
    <w:rsid w:val="00E17C16"/>
    <w:rsid w:val="00E17E23"/>
    <w:rsid w:val="00E17F97"/>
    <w:rsid w:val="00E17FAE"/>
    <w:rsid w:val="00E2075A"/>
    <w:rsid w:val="00E20932"/>
    <w:rsid w:val="00E2099A"/>
    <w:rsid w:val="00E21179"/>
    <w:rsid w:val="00E21301"/>
    <w:rsid w:val="00E217D6"/>
    <w:rsid w:val="00E21EF7"/>
    <w:rsid w:val="00E21F4F"/>
    <w:rsid w:val="00E22128"/>
    <w:rsid w:val="00E221B1"/>
    <w:rsid w:val="00E22618"/>
    <w:rsid w:val="00E22A7E"/>
    <w:rsid w:val="00E22D15"/>
    <w:rsid w:val="00E23634"/>
    <w:rsid w:val="00E2376F"/>
    <w:rsid w:val="00E23873"/>
    <w:rsid w:val="00E239FE"/>
    <w:rsid w:val="00E23C68"/>
    <w:rsid w:val="00E23E95"/>
    <w:rsid w:val="00E23E9C"/>
    <w:rsid w:val="00E24124"/>
    <w:rsid w:val="00E242D1"/>
    <w:rsid w:val="00E24358"/>
    <w:rsid w:val="00E243C4"/>
    <w:rsid w:val="00E247C2"/>
    <w:rsid w:val="00E2484E"/>
    <w:rsid w:val="00E24A08"/>
    <w:rsid w:val="00E24E73"/>
    <w:rsid w:val="00E2500A"/>
    <w:rsid w:val="00E2571D"/>
    <w:rsid w:val="00E25765"/>
    <w:rsid w:val="00E25796"/>
    <w:rsid w:val="00E262B8"/>
    <w:rsid w:val="00E26712"/>
    <w:rsid w:val="00E2685F"/>
    <w:rsid w:val="00E269EC"/>
    <w:rsid w:val="00E26CE1"/>
    <w:rsid w:val="00E27049"/>
    <w:rsid w:val="00E27637"/>
    <w:rsid w:val="00E30497"/>
    <w:rsid w:val="00E30968"/>
    <w:rsid w:val="00E30A3F"/>
    <w:rsid w:val="00E30DE4"/>
    <w:rsid w:val="00E30E1D"/>
    <w:rsid w:val="00E30F57"/>
    <w:rsid w:val="00E311F4"/>
    <w:rsid w:val="00E3142B"/>
    <w:rsid w:val="00E314A5"/>
    <w:rsid w:val="00E317F8"/>
    <w:rsid w:val="00E31B24"/>
    <w:rsid w:val="00E31B4C"/>
    <w:rsid w:val="00E32A7A"/>
    <w:rsid w:val="00E32DB1"/>
    <w:rsid w:val="00E33047"/>
    <w:rsid w:val="00E3333B"/>
    <w:rsid w:val="00E336DE"/>
    <w:rsid w:val="00E33795"/>
    <w:rsid w:val="00E338BC"/>
    <w:rsid w:val="00E338C5"/>
    <w:rsid w:val="00E3425B"/>
    <w:rsid w:val="00E34664"/>
    <w:rsid w:val="00E34788"/>
    <w:rsid w:val="00E3478D"/>
    <w:rsid w:val="00E347ED"/>
    <w:rsid w:val="00E3489B"/>
    <w:rsid w:val="00E34CC5"/>
    <w:rsid w:val="00E34D57"/>
    <w:rsid w:val="00E34F68"/>
    <w:rsid w:val="00E351C5"/>
    <w:rsid w:val="00E356DF"/>
    <w:rsid w:val="00E35A3C"/>
    <w:rsid w:val="00E35A7A"/>
    <w:rsid w:val="00E35DE3"/>
    <w:rsid w:val="00E3623F"/>
    <w:rsid w:val="00E36429"/>
    <w:rsid w:val="00E364F4"/>
    <w:rsid w:val="00E36898"/>
    <w:rsid w:val="00E368D1"/>
    <w:rsid w:val="00E37088"/>
    <w:rsid w:val="00E372F5"/>
    <w:rsid w:val="00E373D8"/>
    <w:rsid w:val="00E37673"/>
    <w:rsid w:val="00E37DC6"/>
    <w:rsid w:val="00E37E14"/>
    <w:rsid w:val="00E403EA"/>
    <w:rsid w:val="00E4056D"/>
    <w:rsid w:val="00E40626"/>
    <w:rsid w:val="00E408B8"/>
    <w:rsid w:val="00E4096C"/>
    <w:rsid w:val="00E414E5"/>
    <w:rsid w:val="00E41DAB"/>
    <w:rsid w:val="00E41F59"/>
    <w:rsid w:val="00E423B7"/>
    <w:rsid w:val="00E425F9"/>
    <w:rsid w:val="00E42AF4"/>
    <w:rsid w:val="00E42C9D"/>
    <w:rsid w:val="00E42E98"/>
    <w:rsid w:val="00E42ED9"/>
    <w:rsid w:val="00E4323A"/>
    <w:rsid w:val="00E43259"/>
    <w:rsid w:val="00E4350D"/>
    <w:rsid w:val="00E43A2E"/>
    <w:rsid w:val="00E4459C"/>
    <w:rsid w:val="00E4483B"/>
    <w:rsid w:val="00E453F6"/>
    <w:rsid w:val="00E45526"/>
    <w:rsid w:val="00E455EA"/>
    <w:rsid w:val="00E45620"/>
    <w:rsid w:val="00E45653"/>
    <w:rsid w:val="00E4579F"/>
    <w:rsid w:val="00E458B0"/>
    <w:rsid w:val="00E458DF"/>
    <w:rsid w:val="00E4599E"/>
    <w:rsid w:val="00E45A8C"/>
    <w:rsid w:val="00E45AE4"/>
    <w:rsid w:val="00E45C26"/>
    <w:rsid w:val="00E46391"/>
    <w:rsid w:val="00E4665F"/>
    <w:rsid w:val="00E468C9"/>
    <w:rsid w:val="00E46EB5"/>
    <w:rsid w:val="00E4718D"/>
    <w:rsid w:val="00E471F3"/>
    <w:rsid w:val="00E4729F"/>
    <w:rsid w:val="00E47593"/>
    <w:rsid w:val="00E47B1E"/>
    <w:rsid w:val="00E47C13"/>
    <w:rsid w:val="00E47CAE"/>
    <w:rsid w:val="00E47D08"/>
    <w:rsid w:val="00E506E3"/>
    <w:rsid w:val="00E508FD"/>
    <w:rsid w:val="00E5100F"/>
    <w:rsid w:val="00E513D4"/>
    <w:rsid w:val="00E5142A"/>
    <w:rsid w:val="00E51D99"/>
    <w:rsid w:val="00E528E6"/>
    <w:rsid w:val="00E52A1A"/>
    <w:rsid w:val="00E52BB9"/>
    <w:rsid w:val="00E52F37"/>
    <w:rsid w:val="00E535C3"/>
    <w:rsid w:val="00E53D1B"/>
    <w:rsid w:val="00E53D7D"/>
    <w:rsid w:val="00E53DCE"/>
    <w:rsid w:val="00E53E91"/>
    <w:rsid w:val="00E53F1C"/>
    <w:rsid w:val="00E543C1"/>
    <w:rsid w:val="00E54677"/>
    <w:rsid w:val="00E549F9"/>
    <w:rsid w:val="00E54D1D"/>
    <w:rsid w:val="00E54D21"/>
    <w:rsid w:val="00E54F3B"/>
    <w:rsid w:val="00E54F3D"/>
    <w:rsid w:val="00E5501A"/>
    <w:rsid w:val="00E551FD"/>
    <w:rsid w:val="00E55B0F"/>
    <w:rsid w:val="00E55C03"/>
    <w:rsid w:val="00E56267"/>
    <w:rsid w:val="00E562B1"/>
    <w:rsid w:val="00E5655C"/>
    <w:rsid w:val="00E56596"/>
    <w:rsid w:val="00E565EE"/>
    <w:rsid w:val="00E567AB"/>
    <w:rsid w:val="00E5698C"/>
    <w:rsid w:val="00E56A0A"/>
    <w:rsid w:val="00E57089"/>
    <w:rsid w:val="00E57208"/>
    <w:rsid w:val="00E57248"/>
    <w:rsid w:val="00E572C3"/>
    <w:rsid w:val="00E5734A"/>
    <w:rsid w:val="00E573A7"/>
    <w:rsid w:val="00E5750A"/>
    <w:rsid w:val="00E5783D"/>
    <w:rsid w:val="00E57884"/>
    <w:rsid w:val="00E57C45"/>
    <w:rsid w:val="00E602AE"/>
    <w:rsid w:val="00E607C9"/>
    <w:rsid w:val="00E60A08"/>
    <w:rsid w:val="00E60C74"/>
    <w:rsid w:val="00E6126E"/>
    <w:rsid w:val="00E615FE"/>
    <w:rsid w:val="00E6185B"/>
    <w:rsid w:val="00E61860"/>
    <w:rsid w:val="00E61A59"/>
    <w:rsid w:val="00E61A63"/>
    <w:rsid w:val="00E61AFC"/>
    <w:rsid w:val="00E61DCC"/>
    <w:rsid w:val="00E61DCF"/>
    <w:rsid w:val="00E62230"/>
    <w:rsid w:val="00E62C74"/>
    <w:rsid w:val="00E62D2B"/>
    <w:rsid w:val="00E62DCB"/>
    <w:rsid w:val="00E62EB7"/>
    <w:rsid w:val="00E63135"/>
    <w:rsid w:val="00E63764"/>
    <w:rsid w:val="00E638F5"/>
    <w:rsid w:val="00E63A20"/>
    <w:rsid w:val="00E63AA1"/>
    <w:rsid w:val="00E63DA5"/>
    <w:rsid w:val="00E63DE2"/>
    <w:rsid w:val="00E63FA2"/>
    <w:rsid w:val="00E6467A"/>
    <w:rsid w:val="00E64A66"/>
    <w:rsid w:val="00E64C5E"/>
    <w:rsid w:val="00E64C75"/>
    <w:rsid w:val="00E64D1A"/>
    <w:rsid w:val="00E64D9E"/>
    <w:rsid w:val="00E64F59"/>
    <w:rsid w:val="00E65018"/>
    <w:rsid w:val="00E6515F"/>
    <w:rsid w:val="00E65325"/>
    <w:rsid w:val="00E65607"/>
    <w:rsid w:val="00E65875"/>
    <w:rsid w:val="00E658EE"/>
    <w:rsid w:val="00E65AC1"/>
    <w:rsid w:val="00E65C91"/>
    <w:rsid w:val="00E6675A"/>
    <w:rsid w:val="00E66BA1"/>
    <w:rsid w:val="00E66CC7"/>
    <w:rsid w:val="00E677E0"/>
    <w:rsid w:val="00E67894"/>
    <w:rsid w:val="00E678FB"/>
    <w:rsid w:val="00E67919"/>
    <w:rsid w:val="00E67FBF"/>
    <w:rsid w:val="00E70411"/>
    <w:rsid w:val="00E704E2"/>
    <w:rsid w:val="00E7058D"/>
    <w:rsid w:val="00E70A18"/>
    <w:rsid w:val="00E70C1D"/>
    <w:rsid w:val="00E70CA0"/>
    <w:rsid w:val="00E711D8"/>
    <w:rsid w:val="00E71246"/>
    <w:rsid w:val="00E71300"/>
    <w:rsid w:val="00E71544"/>
    <w:rsid w:val="00E7197E"/>
    <w:rsid w:val="00E71E35"/>
    <w:rsid w:val="00E71F0B"/>
    <w:rsid w:val="00E720FD"/>
    <w:rsid w:val="00E724D2"/>
    <w:rsid w:val="00E72506"/>
    <w:rsid w:val="00E726C8"/>
    <w:rsid w:val="00E72749"/>
    <w:rsid w:val="00E729AD"/>
    <w:rsid w:val="00E72CCB"/>
    <w:rsid w:val="00E7344B"/>
    <w:rsid w:val="00E736EE"/>
    <w:rsid w:val="00E73844"/>
    <w:rsid w:val="00E73CB0"/>
    <w:rsid w:val="00E73E48"/>
    <w:rsid w:val="00E73F2B"/>
    <w:rsid w:val="00E74586"/>
    <w:rsid w:val="00E74CA4"/>
    <w:rsid w:val="00E74EAB"/>
    <w:rsid w:val="00E752D0"/>
    <w:rsid w:val="00E75334"/>
    <w:rsid w:val="00E75533"/>
    <w:rsid w:val="00E75656"/>
    <w:rsid w:val="00E756DD"/>
    <w:rsid w:val="00E75BB4"/>
    <w:rsid w:val="00E75C2C"/>
    <w:rsid w:val="00E761D6"/>
    <w:rsid w:val="00E76AF1"/>
    <w:rsid w:val="00E76B22"/>
    <w:rsid w:val="00E76D78"/>
    <w:rsid w:val="00E76D96"/>
    <w:rsid w:val="00E76FA9"/>
    <w:rsid w:val="00E77C5A"/>
    <w:rsid w:val="00E8025B"/>
    <w:rsid w:val="00E80444"/>
    <w:rsid w:val="00E805F5"/>
    <w:rsid w:val="00E80C59"/>
    <w:rsid w:val="00E80C6C"/>
    <w:rsid w:val="00E80CA1"/>
    <w:rsid w:val="00E810C5"/>
    <w:rsid w:val="00E812E4"/>
    <w:rsid w:val="00E812F3"/>
    <w:rsid w:val="00E81396"/>
    <w:rsid w:val="00E81741"/>
    <w:rsid w:val="00E81A00"/>
    <w:rsid w:val="00E820C9"/>
    <w:rsid w:val="00E823A9"/>
    <w:rsid w:val="00E82513"/>
    <w:rsid w:val="00E82722"/>
    <w:rsid w:val="00E827EC"/>
    <w:rsid w:val="00E82AD5"/>
    <w:rsid w:val="00E8321F"/>
    <w:rsid w:val="00E83304"/>
    <w:rsid w:val="00E8337B"/>
    <w:rsid w:val="00E83569"/>
    <w:rsid w:val="00E837B1"/>
    <w:rsid w:val="00E83A36"/>
    <w:rsid w:val="00E83EE4"/>
    <w:rsid w:val="00E83F68"/>
    <w:rsid w:val="00E84030"/>
    <w:rsid w:val="00E841D8"/>
    <w:rsid w:val="00E8452B"/>
    <w:rsid w:val="00E848AF"/>
    <w:rsid w:val="00E84A06"/>
    <w:rsid w:val="00E84ADB"/>
    <w:rsid w:val="00E84E3E"/>
    <w:rsid w:val="00E850F8"/>
    <w:rsid w:val="00E8526C"/>
    <w:rsid w:val="00E85744"/>
    <w:rsid w:val="00E85B42"/>
    <w:rsid w:val="00E85FDB"/>
    <w:rsid w:val="00E86259"/>
    <w:rsid w:val="00E867DA"/>
    <w:rsid w:val="00E86BDF"/>
    <w:rsid w:val="00E86F68"/>
    <w:rsid w:val="00E870CB"/>
    <w:rsid w:val="00E871BD"/>
    <w:rsid w:val="00E871C9"/>
    <w:rsid w:val="00E873A3"/>
    <w:rsid w:val="00E878C3"/>
    <w:rsid w:val="00E87921"/>
    <w:rsid w:val="00E87962"/>
    <w:rsid w:val="00E879D7"/>
    <w:rsid w:val="00E87BB6"/>
    <w:rsid w:val="00E87EB3"/>
    <w:rsid w:val="00E87FB5"/>
    <w:rsid w:val="00E87FDB"/>
    <w:rsid w:val="00E90304"/>
    <w:rsid w:val="00E90440"/>
    <w:rsid w:val="00E905E9"/>
    <w:rsid w:val="00E9060E"/>
    <w:rsid w:val="00E90724"/>
    <w:rsid w:val="00E909F0"/>
    <w:rsid w:val="00E90AD4"/>
    <w:rsid w:val="00E90AF4"/>
    <w:rsid w:val="00E90F62"/>
    <w:rsid w:val="00E91563"/>
    <w:rsid w:val="00E91D6D"/>
    <w:rsid w:val="00E923D0"/>
    <w:rsid w:val="00E927E4"/>
    <w:rsid w:val="00E92E00"/>
    <w:rsid w:val="00E92EE6"/>
    <w:rsid w:val="00E930BB"/>
    <w:rsid w:val="00E942D2"/>
    <w:rsid w:val="00E94344"/>
    <w:rsid w:val="00E9441C"/>
    <w:rsid w:val="00E94B5D"/>
    <w:rsid w:val="00E94C44"/>
    <w:rsid w:val="00E94C63"/>
    <w:rsid w:val="00E94CF6"/>
    <w:rsid w:val="00E94F5F"/>
    <w:rsid w:val="00E9525B"/>
    <w:rsid w:val="00E9536A"/>
    <w:rsid w:val="00E95422"/>
    <w:rsid w:val="00E95753"/>
    <w:rsid w:val="00E958A1"/>
    <w:rsid w:val="00E9599D"/>
    <w:rsid w:val="00E96156"/>
    <w:rsid w:val="00E9640E"/>
    <w:rsid w:val="00E964B1"/>
    <w:rsid w:val="00E9671C"/>
    <w:rsid w:val="00E96898"/>
    <w:rsid w:val="00E96B24"/>
    <w:rsid w:val="00E96D78"/>
    <w:rsid w:val="00E96F88"/>
    <w:rsid w:val="00E97437"/>
    <w:rsid w:val="00E9764C"/>
    <w:rsid w:val="00E97CFD"/>
    <w:rsid w:val="00E97DFC"/>
    <w:rsid w:val="00EA015B"/>
    <w:rsid w:val="00EA019B"/>
    <w:rsid w:val="00EA07B8"/>
    <w:rsid w:val="00EA11A7"/>
    <w:rsid w:val="00EA16B4"/>
    <w:rsid w:val="00EA16DF"/>
    <w:rsid w:val="00EA17E8"/>
    <w:rsid w:val="00EA1CF3"/>
    <w:rsid w:val="00EA1D72"/>
    <w:rsid w:val="00EA1F6A"/>
    <w:rsid w:val="00EA1F80"/>
    <w:rsid w:val="00EA2129"/>
    <w:rsid w:val="00EA24F7"/>
    <w:rsid w:val="00EA28E9"/>
    <w:rsid w:val="00EA29EA"/>
    <w:rsid w:val="00EA2BBB"/>
    <w:rsid w:val="00EA2D96"/>
    <w:rsid w:val="00EA319E"/>
    <w:rsid w:val="00EA31D3"/>
    <w:rsid w:val="00EA328B"/>
    <w:rsid w:val="00EA34A7"/>
    <w:rsid w:val="00EA38C8"/>
    <w:rsid w:val="00EA3B5B"/>
    <w:rsid w:val="00EA3C4E"/>
    <w:rsid w:val="00EA3FF8"/>
    <w:rsid w:val="00EA4120"/>
    <w:rsid w:val="00EA4523"/>
    <w:rsid w:val="00EA46F5"/>
    <w:rsid w:val="00EA4F05"/>
    <w:rsid w:val="00EA5071"/>
    <w:rsid w:val="00EA521A"/>
    <w:rsid w:val="00EA55A9"/>
    <w:rsid w:val="00EA5747"/>
    <w:rsid w:val="00EA577C"/>
    <w:rsid w:val="00EA5A67"/>
    <w:rsid w:val="00EA5BDC"/>
    <w:rsid w:val="00EA5C92"/>
    <w:rsid w:val="00EA5CEA"/>
    <w:rsid w:val="00EA5FC3"/>
    <w:rsid w:val="00EA6D90"/>
    <w:rsid w:val="00EA7177"/>
    <w:rsid w:val="00EA7248"/>
    <w:rsid w:val="00EA73FC"/>
    <w:rsid w:val="00EA760B"/>
    <w:rsid w:val="00EA7B1A"/>
    <w:rsid w:val="00EA7C1D"/>
    <w:rsid w:val="00EB0155"/>
    <w:rsid w:val="00EB0317"/>
    <w:rsid w:val="00EB04D1"/>
    <w:rsid w:val="00EB0C8F"/>
    <w:rsid w:val="00EB0F09"/>
    <w:rsid w:val="00EB125A"/>
    <w:rsid w:val="00EB12A3"/>
    <w:rsid w:val="00EB163A"/>
    <w:rsid w:val="00EB1713"/>
    <w:rsid w:val="00EB1D0C"/>
    <w:rsid w:val="00EB1E28"/>
    <w:rsid w:val="00EB1FFB"/>
    <w:rsid w:val="00EB227D"/>
    <w:rsid w:val="00EB2813"/>
    <w:rsid w:val="00EB2B8C"/>
    <w:rsid w:val="00EB2BB2"/>
    <w:rsid w:val="00EB2C8D"/>
    <w:rsid w:val="00EB2F4B"/>
    <w:rsid w:val="00EB35ED"/>
    <w:rsid w:val="00EB3895"/>
    <w:rsid w:val="00EB3917"/>
    <w:rsid w:val="00EB3EAB"/>
    <w:rsid w:val="00EB489C"/>
    <w:rsid w:val="00EB498E"/>
    <w:rsid w:val="00EB50C9"/>
    <w:rsid w:val="00EB5472"/>
    <w:rsid w:val="00EB57A9"/>
    <w:rsid w:val="00EB5848"/>
    <w:rsid w:val="00EB5958"/>
    <w:rsid w:val="00EB5A58"/>
    <w:rsid w:val="00EB608D"/>
    <w:rsid w:val="00EB6B78"/>
    <w:rsid w:val="00EB7FC0"/>
    <w:rsid w:val="00EC0066"/>
    <w:rsid w:val="00EC11BB"/>
    <w:rsid w:val="00EC1327"/>
    <w:rsid w:val="00EC1E50"/>
    <w:rsid w:val="00EC1F8F"/>
    <w:rsid w:val="00EC1FF7"/>
    <w:rsid w:val="00EC206D"/>
    <w:rsid w:val="00EC2107"/>
    <w:rsid w:val="00EC2284"/>
    <w:rsid w:val="00EC22F5"/>
    <w:rsid w:val="00EC27D1"/>
    <w:rsid w:val="00EC2A8C"/>
    <w:rsid w:val="00EC2A98"/>
    <w:rsid w:val="00EC2B10"/>
    <w:rsid w:val="00EC3181"/>
    <w:rsid w:val="00EC37B1"/>
    <w:rsid w:val="00EC37BF"/>
    <w:rsid w:val="00EC3C4F"/>
    <w:rsid w:val="00EC3CFC"/>
    <w:rsid w:val="00EC3F0E"/>
    <w:rsid w:val="00EC4179"/>
    <w:rsid w:val="00EC4461"/>
    <w:rsid w:val="00EC45DC"/>
    <w:rsid w:val="00EC4C2E"/>
    <w:rsid w:val="00EC519E"/>
    <w:rsid w:val="00EC52C9"/>
    <w:rsid w:val="00EC54C9"/>
    <w:rsid w:val="00EC5847"/>
    <w:rsid w:val="00EC5E56"/>
    <w:rsid w:val="00EC5E9A"/>
    <w:rsid w:val="00EC6631"/>
    <w:rsid w:val="00EC6821"/>
    <w:rsid w:val="00EC689E"/>
    <w:rsid w:val="00EC693B"/>
    <w:rsid w:val="00EC6BE3"/>
    <w:rsid w:val="00EC7152"/>
    <w:rsid w:val="00EC75DA"/>
    <w:rsid w:val="00EC7922"/>
    <w:rsid w:val="00EC7C3C"/>
    <w:rsid w:val="00EC7C4D"/>
    <w:rsid w:val="00ED00E9"/>
    <w:rsid w:val="00ED054C"/>
    <w:rsid w:val="00ED0557"/>
    <w:rsid w:val="00ED06A1"/>
    <w:rsid w:val="00ED09A5"/>
    <w:rsid w:val="00ED0F5F"/>
    <w:rsid w:val="00ED0FA9"/>
    <w:rsid w:val="00ED0FAE"/>
    <w:rsid w:val="00ED11AA"/>
    <w:rsid w:val="00ED1226"/>
    <w:rsid w:val="00ED16EE"/>
    <w:rsid w:val="00ED1907"/>
    <w:rsid w:val="00ED1BD4"/>
    <w:rsid w:val="00ED209B"/>
    <w:rsid w:val="00ED2B1D"/>
    <w:rsid w:val="00ED2C99"/>
    <w:rsid w:val="00ED2CD4"/>
    <w:rsid w:val="00ED2DB2"/>
    <w:rsid w:val="00ED33F7"/>
    <w:rsid w:val="00ED3475"/>
    <w:rsid w:val="00ED35AF"/>
    <w:rsid w:val="00ED3A93"/>
    <w:rsid w:val="00ED3D11"/>
    <w:rsid w:val="00ED3FB0"/>
    <w:rsid w:val="00ED404F"/>
    <w:rsid w:val="00ED40A7"/>
    <w:rsid w:val="00ED42DF"/>
    <w:rsid w:val="00ED4519"/>
    <w:rsid w:val="00ED49F2"/>
    <w:rsid w:val="00ED4C07"/>
    <w:rsid w:val="00ED4D65"/>
    <w:rsid w:val="00ED4D6E"/>
    <w:rsid w:val="00ED555B"/>
    <w:rsid w:val="00ED585C"/>
    <w:rsid w:val="00ED58BD"/>
    <w:rsid w:val="00ED5B4D"/>
    <w:rsid w:val="00ED5DC6"/>
    <w:rsid w:val="00ED5F6C"/>
    <w:rsid w:val="00ED62B5"/>
    <w:rsid w:val="00ED6822"/>
    <w:rsid w:val="00ED6BF7"/>
    <w:rsid w:val="00ED716C"/>
    <w:rsid w:val="00ED7290"/>
    <w:rsid w:val="00ED7588"/>
    <w:rsid w:val="00ED775D"/>
    <w:rsid w:val="00ED77FA"/>
    <w:rsid w:val="00ED7EB4"/>
    <w:rsid w:val="00ED7ED1"/>
    <w:rsid w:val="00ED7EF5"/>
    <w:rsid w:val="00EE021D"/>
    <w:rsid w:val="00EE02A7"/>
    <w:rsid w:val="00EE03B1"/>
    <w:rsid w:val="00EE05D4"/>
    <w:rsid w:val="00EE1048"/>
    <w:rsid w:val="00EE11D9"/>
    <w:rsid w:val="00EE1416"/>
    <w:rsid w:val="00EE160D"/>
    <w:rsid w:val="00EE18EB"/>
    <w:rsid w:val="00EE1A3F"/>
    <w:rsid w:val="00EE1B95"/>
    <w:rsid w:val="00EE1F85"/>
    <w:rsid w:val="00EE2017"/>
    <w:rsid w:val="00EE2210"/>
    <w:rsid w:val="00EE272D"/>
    <w:rsid w:val="00EE2994"/>
    <w:rsid w:val="00EE2E65"/>
    <w:rsid w:val="00EE2FBD"/>
    <w:rsid w:val="00EE33B4"/>
    <w:rsid w:val="00EE3FFA"/>
    <w:rsid w:val="00EE45D4"/>
    <w:rsid w:val="00EE4692"/>
    <w:rsid w:val="00EE4B4A"/>
    <w:rsid w:val="00EE4B91"/>
    <w:rsid w:val="00EE4C61"/>
    <w:rsid w:val="00EE4C88"/>
    <w:rsid w:val="00EE4C8D"/>
    <w:rsid w:val="00EE4D72"/>
    <w:rsid w:val="00EE540F"/>
    <w:rsid w:val="00EE5BC7"/>
    <w:rsid w:val="00EE62C0"/>
    <w:rsid w:val="00EE66A9"/>
    <w:rsid w:val="00EE6857"/>
    <w:rsid w:val="00EE6976"/>
    <w:rsid w:val="00EE6981"/>
    <w:rsid w:val="00EE6ADE"/>
    <w:rsid w:val="00EE6F9B"/>
    <w:rsid w:val="00EE70B5"/>
    <w:rsid w:val="00EE7229"/>
    <w:rsid w:val="00EE7B3C"/>
    <w:rsid w:val="00EF03A1"/>
    <w:rsid w:val="00EF05EF"/>
    <w:rsid w:val="00EF0D79"/>
    <w:rsid w:val="00EF1224"/>
    <w:rsid w:val="00EF1359"/>
    <w:rsid w:val="00EF153C"/>
    <w:rsid w:val="00EF1AB3"/>
    <w:rsid w:val="00EF2261"/>
    <w:rsid w:val="00EF23DD"/>
    <w:rsid w:val="00EF2B95"/>
    <w:rsid w:val="00EF2C2D"/>
    <w:rsid w:val="00EF2DAF"/>
    <w:rsid w:val="00EF3212"/>
    <w:rsid w:val="00EF3692"/>
    <w:rsid w:val="00EF38AF"/>
    <w:rsid w:val="00EF38E1"/>
    <w:rsid w:val="00EF3996"/>
    <w:rsid w:val="00EF4083"/>
    <w:rsid w:val="00EF4151"/>
    <w:rsid w:val="00EF459D"/>
    <w:rsid w:val="00EF46EC"/>
    <w:rsid w:val="00EF4F0A"/>
    <w:rsid w:val="00EF4F22"/>
    <w:rsid w:val="00EF52B9"/>
    <w:rsid w:val="00EF5599"/>
    <w:rsid w:val="00EF5767"/>
    <w:rsid w:val="00EF58C4"/>
    <w:rsid w:val="00EF5A84"/>
    <w:rsid w:val="00EF5BA4"/>
    <w:rsid w:val="00EF5CEB"/>
    <w:rsid w:val="00EF5F2D"/>
    <w:rsid w:val="00EF606C"/>
    <w:rsid w:val="00EF658F"/>
    <w:rsid w:val="00EF662B"/>
    <w:rsid w:val="00EF68D2"/>
    <w:rsid w:val="00EF6A5E"/>
    <w:rsid w:val="00EF6A69"/>
    <w:rsid w:val="00EF6A76"/>
    <w:rsid w:val="00EF6B25"/>
    <w:rsid w:val="00EF6C53"/>
    <w:rsid w:val="00EF6D7B"/>
    <w:rsid w:val="00EF6F33"/>
    <w:rsid w:val="00EF71D8"/>
    <w:rsid w:val="00EF7392"/>
    <w:rsid w:val="00EF7599"/>
    <w:rsid w:val="00EF772E"/>
    <w:rsid w:val="00EF77CC"/>
    <w:rsid w:val="00EF7C65"/>
    <w:rsid w:val="00EF7F0C"/>
    <w:rsid w:val="00F0014E"/>
    <w:rsid w:val="00F00560"/>
    <w:rsid w:val="00F005D0"/>
    <w:rsid w:val="00F006CA"/>
    <w:rsid w:val="00F00892"/>
    <w:rsid w:val="00F00A01"/>
    <w:rsid w:val="00F00D34"/>
    <w:rsid w:val="00F0101F"/>
    <w:rsid w:val="00F0177D"/>
    <w:rsid w:val="00F01959"/>
    <w:rsid w:val="00F01C5A"/>
    <w:rsid w:val="00F01CB5"/>
    <w:rsid w:val="00F01CC1"/>
    <w:rsid w:val="00F0200B"/>
    <w:rsid w:val="00F0222A"/>
    <w:rsid w:val="00F025FA"/>
    <w:rsid w:val="00F02740"/>
    <w:rsid w:val="00F02AB9"/>
    <w:rsid w:val="00F02D3E"/>
    <w:rsid w:val="00F02D73"/>
    <w:rsid w:val="00F0344D"/>
    <w:rsid w:val="00F036D9"/>
    <w:rsid w:val="00F036DA"/>
    <w:rsid w:val="00F038B0"/>
    <w:rsid w:val="00F03E70"/>
    <w:rsid w:val="00F04381"/>
    <w:rsid w:val="00F044CF"/>
    <w:rsid w:val="00F048DD"/>
    <w:rsid w:val="00F04925"/>
    <w:rsid w:val="00F04B4E"/>
    <w:rsid w:val="00F04D70"/>
    <w:rsid w:val="00F04F63"/>
    <w:rsid w:val="00F050C9"/>
    <w:rsid w:val="00F0534D"/>
    <w:rsid w:val="00F054F3"/>
    <w:rsid w:val="00F056F6"/>
    <w:rsid w:val="00F05815"/>
    <w:rsid w:val="00F065B3"/>
    <w:rsid w:val="00F065DD"/>
    <w:rsid w:val="00F06F5A"/>
    <w:rsid w:val="00F0714F"/>
    <w:rsid w:val="00F071F7"/>
    <w:rsid w:val="00F0751D"/>
    <w:rsid w:val="00F07A66"/>
    <w:rsid w:val="00F07C40"/>
    <w:rsid w:val="00F07D44"/>
    <w:rsid w:val="00F07FCE"/>
    <w:rsid w:val="00F102AD"/>
    <w:rsid w:val="00F1039A"/>
    <w:rsid w:val="00F1062D"/>
    <w:rsid w:val="00F1068F"/>
    <w:rsid w:val="00F107A4"/>
    <w:rsid w:val="00F10D52"/>
    <w:rsid w:val="00F10E22"/>
    <w:rsid w:val="00F10E25"/>
    <w:rsid w:val="00F10F9A"/>
    <w:rsid w:val="00F11019"/>
    <w:rsid w:val="00F11D9E"/>
    <w:rsid w:val="00F121C7"/>
    <w:rsid w:val="00F126E6"/>
    <w:rsid w:val="00F12A97"/>
    <w:rsid w:val="00F12B89"/>
    <w:rsid w:val="00F13092"/>
    <w:rsid w:val="00F130A0"/>
    <w:rsid w:val="00F130FF"/>
    <w:rsid w:val="00F1348C"/>
    <w:rsid w:val="00F13610"/>
    <w:rsid w:val="00F139BF"/>
    <w:rsid w:val="00F139E2"/>
    <w:rsid w:val="00F14268"/>
    <w:rsid w:val="00F1442C"/>
    <w:rsid w:val="00F144BF"/>
    <w:rsid w:val="00F146B1"/>
    <w:rsid w:val="00F14854"/>
    <w:rsid w:val="00F14C23"/>
    <w:rsid w:val="00F14ED3"/>
    <w:rsid w:val="00F156C6"/>
    <w:rsid w:val="00F15789"/>
    <w:rsid w:val="00F157E4"/>
    <w:rsid w:val="00F1619D"/>
    <w:rsid w:val="00F16300"/>
    <w:rsid w:val="00F16AF8"/>
    <w:rsid w:val="00F16FB0"/>
    <w:rsid w:val="00F17347"/>
    <w:rsid w:val="00F1747A"/>
    <w:rsid w:val="00F175EC"/>
    <w:rsid w:val="00F17964"/>
    <w:rsid w:val="00F179F2"/>
    <w:rsid w:val="00F17E7D"/>
    <w:rsid w:val="00F202F9"/>
    <w:rsid w:val="00F20603"/>
    <w:rsid w:val="00F2086A"/>
    <w:rsid w:val="00F20EEB"/>
    <w:rsid w:val="00F21361"/>
    <w:rsid w:val="00F213C9"/>
    <w:rsid w:val="00F21425"/>
    <w:rsid w:val="00F214B4"/>
    <w:rsid w:val="00F21ABC"/>
    <w:rsid w:val="00F21C41"/>
    <w:rsid w:val="00F21C43"/>
    <w:rsid w:val="00F21D97"/>
    <w:rsid w:val="00F21DE2"/>
    <w:rsid w:val="00F221BE"/>
    <w:rsid w:val="00F22317"/>
    <w:rsid w:val="00F2244A"/>
    <w:rsid w:val="00F22516"/>
    <w:rsid w:val="00F22BC6"/>
    <w:rsid w:val="00F2326F"/>
    <w:rsid w:val="00F23DB3"/>
    <w:rsid w:val="00F2430B"/>
    <w:rsid w:val="00F245FD"/>
    <w:rsid w:val="00F24683"/>
    <w:rsid w:val="00F247CE"/>
    <w:rsid w:val="00F248A4"/>
    <w:rsid w:val="00F248EC"/>
    <w:rsid w:val="00F24EC0"/>
    <w:rsid w:val="00F2511F"/>
    <w:rsid w:val="00F25450"/>
    <w:rsid w:val="00F257B6"/>
    <w:rsid w:val="00F258D6"/>
    <w:rsid w:val="00F25995"/>
    <w:rsid w:val="00F25B5B"/>
    <w:rsid w:val="00F2632C"/>
    <w:rsid w:val="00F26423"/>
    <w:rsid w:val="00F268F8"/>
    <w:rsid w:val="00F26CFF"/>
    <w:rsid w:val="00F26E00"/>
    <w:rsid w:val="00F2728B"/>
    <w:rsid w:val="00F276B3"/>
    <w:rsid w:val="00F27DDD"/>
    <w:rsid w:val="00F301EE"/>
    <w:rsid w:val="00F30346"/>
    <w:rsid w:val="00F305EB"/>
    <w:rsid w:val="00F307E6"/>
    <w:rsid w:val="00F30827"/>
    <w:rsid w:val="00F309AB"/>
    <w:rsid w:val="00F31531"/>
    <w:rsid w:val="00F3155F"/>
    <w:rsid w:val="00F317EA"/>
    <w:rsid w:val="00F31825"/>
    <w:rsid w:val="00F31B98"/>
    <w:rsid w:val="00F31E8C"/>
    <w:rsid w:val="00F31F9A"/>
    <w:rsid w:val="00F32109"/>
    <w:rsid w:val="00F3228A"/>
    <w:rsid w:val="00F3228F"/>
    <w:rsid w:val="00F330CE"/>
    <w:rsid w:val="00F333F3"/>
    <w:rsid w:val="00F33908"/>
    <w:rsid w:val="00F33937"/>
    <w:rsid w:val="00F33969"/>
    <w:rsid w:val="00F33FF9"/>
    <w:rsid w:val="00F3401D"/>
    <w:rsid w:val="00F34639"/>
    <w:rsid w:val="00F35192"/>
    <w:rsid w:val="00F35D0B"/>
    <w:rsid w:val="00F35DAC"/>
    <w:rsid w:val="00F35DB5"/>
    <w:rsid w:val="00F35DDE"/>
    <w:rsid w:val="00F35E45"/>
    <w:rsid w:val="00F35F2C"/>
    <w:rsid w:val="00F35F4D"/>
    <w:rsid w:val="00F36424"/>
    <w:rsid w:val="00F368EA"/>
    <w:rsid w:val="00F36E50"/>
    <w:rsid w:val="00F36F95"/>
    <w:rsid w:val="00F3754B"/>
    <w:rsid w:val="00F3757E"/>
    <w:rsid w:val="00F37662"/>
    <w:rsid w:val="00F378CB"/>
    <w:rsid w:val="00F37B56"/>
    <w:rsid w:val="00F37D34"/>
    <w:rsid w:val="00F37F16"/>
    <w:rsid w:val="00F37F5A"/>
    <w:rsid w:val="00F401CA"/>
    <w:rsid w:val="00F402F4"/>
    <w:rsid w:val="00F40434"/>
    <w:rsid w:val="00F40859"/>
    <w:rsid w:val="00F408BA"/>
    <w:rsid w:val="00F4108E"/>
    <w:rsid w:val="00F411FE"/>
    <w:rsid w:val="00F41420"/>
    <w:rsid w:val="00F41861"/>
    <w:rsid w:val="00F41971"/>
    <w:rsid w:val="00F41CC1"/>
    <w:rsid w:val="00F420A7"/>
    <w:rsid w:val="00F420CF"/>
    <w:rsid w:val="00F42664"/>
    <w:rsid w:val="00F42A30"/>
    <w:rsid w:val="00F42A9E"/>
    <w:rsid w:val="00F42D06"/>
    <w:rsid w:val="00F42E0F"/>
    <w:rsid w:val="00F432A3"/>
    <w:rsid w:val="00F435E5"/>
    <w:rsid w:val="00F43631"/>
    <w:rsid w:val="00F43680"/>
    <w:rsid w:val="00F43C35"/>
    <w:rsid w:val="00F43DC4"/>
    <w:rsid w:val="00F4470E"/>
    <w:rsid w:val="00F45047"/>
    <w:rsid w:val="00F450D0"/>
    <w:rsid w:val="00F4584E"/>
    <w:rsid w:val="00F45C18"/>
    <w:rsid w:val="00F45DD0"/>
    <w:rsid w:val="00F45E18"/>
    <w:rsid w:val="00F45E9F"/>
    <w:rsid w:val="00F46C35"/>
    <w:rsid w:val="00F46E66"/>
    <w:rsid w:val="00F471BF"/>
    <w:rsid w:val="00F47206"/>
    <w:rsid w:val="00F47266"/>
    <w:rsid w:val="00F47701"/>
    <w:rsid w:val="00F47873"/>
    <w:rsid w:val="00F47989"/>
    <w:rsid w:val="00F47D70"/>
    <w:rsid w:val="00F5000E"/>
    <w:rsid w:val="00F5016D"/>
    <w:rsid w:val="00F50386"/>
    <w:rsid w:val="00F50511"/>
    <w:rsid w:val="00F5056E"/>
    <w:rsid w:val="00F50670"/>
    <w:rsid w:val="00F5090C"/>
    <w:rsid w:val="00F50BCE"/>
    <w:rsid w:val="00F50F7D"/>
    <w:rsid w:val="00F510BF"/>
    <w:rsid w:val="00F511B7"/>
    <w:rsid w:val="00F51552"/>
    <w:rsid w:val="00F516B8"/>
    <w:rsid w:val="00F516F4"/>
    <w:rsid w:val="00F51B84"/>
    <w:rsid w:val="00F51D15"/>
    <w:rsid w:val="00F51E03"/>
    <w:rsid w:val="00F51F1E"/>
    <w:rsid w:val="00F51FD8"/>
    <w:rsid w:val="00F520A0"/>
    <w:rsid w:val="00F5227A"/>
    <w:rsid w:val="00F52346"/>
    <w:rsid w:val="00F5260D"/>
    <w:rsid w:val="00F52A35"/>
    <w:rsid w:val="00F53015"/>
    <w:rsid w:val="00F5305D"/>
    <w:rsid w:val="00F5315D"/>
    <w:rsid w:val="00F53323"/>
    <w:rsid w:val="00F5358B"/>
    <w:rsid w:val="00F53967"/>
    <w:rsid w:val="00F53AFD"/>
    <w:rsid w:val="00F53E4E"/>
    <w:rsid w:val="00F53E70"/>
    <w:rsid w:val="00F53F44"/>
    <w:rsid w:val="00F53FFA"/>
    <w:rsid w:val="00F54129"/>
    <w:rsid w:val="00F54329"/>
    <w:rsid w:val="00F54687"/>
    <w:rsid w:val="00F54D1E"/>
    <w:rsid w:val="00F54E94"/>
    <w:rsid w:val="00F5518E"/>
    <w:rsid w:val="00F557A3"/>
    <w:rsid w:val="00F55884"/>
    <w:rsid w:val="00F55AA4"/>
    <w:rsid w:val="00F55AB1"/>
    <w:rsid w:val="00F55D79"/>
    <w:rsid w:val="00F56123"/>
    <w:rsid w:val="00F564AC"/>
    <w:rsid w:val="00F564D0"/>
    <w:rsid w:val="00F56866"/>
    <w:rsid w:val="00F56EF0"/>
    <w:rsid w:val="00F57008"/>
    <w:rsid w:val="00F57271"/>
    <w:rsid w:val="00F57C58"/>
    <w:rsid w:val="00F57CAA"/>
    <w:rsid w:val="00F57CF1"/>
    <w:rsid w:val="00F57D6F"/>
    <w:rsid w:val="00F57EDD"/>
    <w:rsid w:val="00F602ED"/>
    <w:rsid w:val="00F6035E"/>
    <w:rsid w:val="00F605B0"/>
    <w:rsid w:val="00F60BC6"/>
    <w:rsid w:val="00F60C0D"/>
    <w:rsid w:val="00F60D11"/>
    <w:rsid w:val="00F61038"/>
    <w:rsid w:val="00F617C1"/>
    <w:rsid w:val="00F61FC5"/>
    <w:rsid w:val="00F6216F"/>
    <w:rsid w:val="00F621FA"/>
    <w:rsid w:val="00F621FB"/>
    <w:rsid w:val="00F6273F"/>
    <w:rsid w:val="00F627FF"/>
    <w:rsid w:val="00F62A6D"/>
    <w:rsid w:val="00F62D33"/>
    <w:rsid w:val="00F6323A"/>
    <w:rsid w:val="00F63519"/>
    <w:rsid w:val="00F635C3"/>
    <w:rsid w:val="00F6363E"/>
    <w:rsid w:val="00F63ACC"/>
    <w:rsid w:val="00F63D0A"/>
    <w:rsid w:val="00F64529"/>
    <w:rsid w:val="00F645D6"/>
    <w:rsid w:val="00F6464A"/>
    <w:rsid w:val="00F64771"/>
    <w:rsid w:val="00F64C3B"/>
    <w:rsid w:val="00F65218"/>
    <w:rsid w:val="00F6524A"/>
    <w:rsid w:val="00F6529C"/>
    <w:rsid w:val="00F65305"/>
    <w:rsid w:val="00F6538F"/>
    <w:rsid w:val="00F65B5E"/>
    <w:rsid w:val="00F65CF7"/>
    <w:rsid w:val="00F66188"/>
    <w:rsid w:val="00F6634E"/>
    <w:rsid w:val="00F6642A"/>
    <w:rsid w:val="00F668DD"/>
    <w:rsid w:val="00F6695F"/>
    <w:rsid w:val="00F669B8"/>
    <w:rsid w:val="00F66A87"/>
    <w:rsid w:val="00F66AC0"/>
    <w:rsid w:val="00F66E56"/>
    <w:rsid w:val="00F676C0"/>
    <w:rsid w:val="00F67857"/>
    <w:rsid w:val="00F67929"/>
    <w:rsid w:val="00F67B1C"/>
    <w:rsid w:val="00F67C01"/>
    <w:rsid w:val="00F67EE1"/>
    <w:rsid w:val="00F7000C"/>
    <w:rsid w:val="00F70388"/>
    <w:rsid w:val="00F7048A"/>
    <w:rsid w:val="00F704CD"/>
    <w:rsid w:val="00F70933"/>
    <w:rsid w:val="00F70B4F"/>
    <w:rsid w:val="00F70C0A"/>
    <w:rsid w:val="00F71040"/>
    <w:rsid w:val="00F712AE"/>
    <w:rsid w:val="00F7143A"/>
    <w:rsid w:val="00F7158B"/>
    <w:rsid w:val="00F7171C"/>
    <w:rsid w:val="00F717CC"/>
    <w:rsid w:val="00F7196C"/>
    <w:rsid w:val="00F71A22"/>
    <w:rsid w:val="00F71A50"/>
    <w:rsid w:val="00F71DF5"/>
    <w:rsid w:val="00F7220E"/>
    <w:rsid w:val="00F72230"/>
    <w:rsid w:val="00F72638"/>
    <w:rsid w:val="00F7275A"/>
    <w:rsid w:val="00F72849"/>
    <w:rsid w:val="00F72A0A"/>
    <w:rsid w:val="00F72B73"/>
    <w:rsid w:val="00F72C68"/>
    <w:rsid w:val="00F733B9"/>
    <w:rsid w:val="00F73524"/>
    <w:rsid w:val="00F7369B"/>
    <w:rsid w:val="00F7388F"/>
    <w:rsid w:val="00F73A38"/>
    <w:rsid w:val="00F73C89"/>
    <w:rsid w:val="00F744E4"/>
    <w:rsid w:val="00F74513"/>
    <w:rsid w:val="00F74528"/>
    <w:rsid w:val="00F748E8"/>
    <w:rsid w:val="00F74908"/>
    <w:rsid w:val="00F74918"/>
    <w:rsid w:val="00F74BFD"/>
    <w:rsid w:val="00F74D5D"/>
    <w:rsid w:val="00F7534E"/>
    <w:rsid w:val="00F755E1"/>
    <w:rsid w:val="00F7568F"/>
    <w:rsid w:val="00F757AC"/>
    <w:rsid w:val="00F75870"/>
    <w:rsid w:val="00F75B14"/>
    <w:rsid w:val="00F761C5"/>
    <w:rsid w:val="00F7620B"/>
    <w:rsid w:val="00F76427"/>
    <w:rsid w:val="00F76598"/>
    <w:rsid w:val="00F768C5"/>
    <w:rsid w:val="00F769EB"/>
    <w:rsid w:val="00F76AE8"/>
    <w:rsid w:val="00F76CC2"/>
    <w:rsid w:val="00F770C6"/>
    <w:rsid w:val="00F7716F"/>
    <w:rsid w:val="00F772D5"/>
    <w:rsid w:val="00F77C0B"/>
    <w:rsid w:val="00F77EEF"/>
    <w:rsid w:val="00F805F0"/>
    <w:rsid w:val="00F807F6"/>
    <w:rsid w:val="00F80B72"/>
    <w:rsid w:val="00F80D7E"/>
    <w:rsid w:val="00F81986"/>
    <w:rsid w:val="00F81C29"/>
    <w:rsid w:val="00F81EE5"/>
    <w:rsid w:val="00F8255C"/>
    <w:rsid w:val="00F82838"/>
    <w:rsid w:val="00F82845"/>
    <w:rsid w:val="00F8298F"/>
    <w:rsid w:val="00F82A37"/>
    <w:rsid w:val="00F82AC3"/>
    <w:rsid w:val="00F82B24"/>
    <w:rsid w:val="00F82C91"/>
    <w:rsid w:val="00F83149"/>
    <w:rsid w:val="00F83472"/>
    <w:rsid w:val="00F837C3"/>
    <w:rsid w:val="00F83800"/>
    <w:rsid w:val="00F83864"/>
    <w:rsid w:val="00F83BA3"/>
    <w:rsid w:val="00F8449B"/>
    <w:rsid w:val="00F8491C"/>
    <w:rsid w:val="00F84B97"/>
    <w:rsid w:val="00F84D4E"/>
    <w:rsid w:val="00F85380"/>
    <w:rsid w:val="00F855F2"/>
    <w:rsid w:val="00F85915"/>
    <w:rsid w:val="00F85994"/>
    <w:rsid w:val="00F860A6"/>
    <w:rsid w:val="00F860AA"/>
    <w:rsid w:val="00F860FA"/>
    <w:rsid w:val="00F86300"/>
    <w:rsid w:val="00F86502"/>
    <w:rsid w:val="00F866A2"/>
    <w:rsid w:val="00F86D05"/>
    <w:rsid w:val="00F87241"/>
    <w:rsid w:val="00F874C2"/>
    <w:rsid w:val="00F875B7"/>
    <w:rsid w:val="00F87807"/>
    <w:rsid w:val="00F87AC0"/>
    <w:rsid w:val="00F87B60"/>
    <w:rsid w:val="00F87C0E"/>
    <w:rsid w:val="00F87EFA"/>
    <w:rsid w:val="00F9018D"/>
    <w:rsid w:val="00F902E5"/>
    <w:rsid w:val="00F90300"/>
    <w:rsid w:val="00F90575"/>
    <w:rsid w:val="00F908FC"/>
    <w:rsid w:val="00F90B09"/>
    <w:rsid w:val="00F90DCE"/>
    <w:rsid w:val="00F912E6"/>
    <w:rsid w:val="00F91324"/>
    <w:rsid w:val="00F9143C"/>
    <w:rsid w:val="00F91834"/>
    <w:rsid w:val="00F918BD"/>
    <w:rsid w:val="00F918C0"/>
    <w:rsid w:val="00F91FB8"/>
    <w:rsid w:val="00F925F5"/>
    <w:rsid w:val="00F926FB"/>
    <w:rsid w:val="00F927D4"/>
    <w:rsid w:val="00F927E0"/>
    <w:rsid w:val="00F928C2"/>
    <w:rsid w:val="00F92CB4"/>
    <w:rsid w:val="00F9326F"/>
    <w:rsid w:val="00F935EB"/>
    <w:rsid w:val="00F93617"/>
    <w:rsid w:val="00F939A0"/>
    <w:rsid w:val="00F93DFA"/>
    <w:rsid w:val="00F940ED"/>
    <w:rsid w:val="00F941C2"/>
    <w:rsid w:val="00F942BE"/>
    <w:rsid w:val="00F943F9"/>
    <w:rsid w:val="00F946BD"/>
    <w:rsid w:val="00F94772"/>
    <w:rsid w:val="00F947B2"/>
    <w:rsid w:val="00F94F86"/>
    <w:rsid w:val="00F95104"/>
    <w:rsid w:val="00F952CB"/>
    <w:rsid w:val="00F95C69"/>
    <w:rsid w:val="00F95CCA"/>
    <w:rsid w:val="00F95E03"/>
    <w:rsid w:val="00F95FA4"/>
    <w:rsid w:val="00F963D0"/>
    <w:rsid w:val="00F96480"/>
    <w:rsid w:val="00F964F4"/>
    <w:rsid w:val="00F96560"/>
    <w:rsid w:val="00F96937"/>
    <w:rsid w:val="00F96F8B"/>
    <w:rsid w:val="00F97133"/>
    <w:rsid w:val="00F975CF"/>
    <w:rsid w:val="00F97710"/>
    <w:rsid w:val="00F97767"/>
    <w:rsid w:val="00F9777D"/>
    <w:rsid w:val="00F97D6F"/>
    <w:rsid w:val="00F97FE9"/>
    <w:rsid w:val="00FA05C3"/>
    <w:rsid w:val="00FA0602"/>
    <w:rsid w:val="00FA079C"/>
    <w:rsid w:val="00FA0AA7"/>
    <w:rsid w:val="00FA0C45"/>
    <w:rsid w:val="00FA0C4C"/>
    <w:rsid w:val="00FA0C52"/>
    <w:rsid w:val="00FA11C5"/>
    <w:rsid w:val="00FA1296"/>
    <w:rsid w:val="00FA1330"/>
    <w:rsid w:val="00FA1718"/>
    <w:rsid w:val="00FA1FF7"/>
    <w:rsid w:val="00FA2321"/>
    <w:rsid w:val="00FA281E"/>
    <w:rsid w:val="00FA2C30"/>
    <w:rsid w:val="00FA2C6C"/>
    <w:rsid w:val="00FA335C"/>
    <w:rsid w:val="00FA3397"/>
    <w:rsid w:val="00FA3514"/>
    <w:rsid w:val="00FA3C59"/>
    <w:rsid w:val="00FA443A"/>
    <w:rsid w:val="00FA48EA"/>
    <w:rsid w:val="00FA4E13"/>
    <w:rsid w:val="00FA5398"/>
    <w:rsid w:val="00FA5468"/>
    <w:rsid w:val="00FA5969"/>
    <w:rsid w:val="00FA5A1D"/>
    <w:rsid w:val="00FA6078"/>
    <w:rsid w:val="00FA60F9"/>
    <w:rsid w:val="00FA63DD"/>
    <w:rsid w:val="00FA66F7"/>
    <w:rsid w:val="00FA678B"/>
    <w:rsid w:val="00FA6C33"/>
    <w:rsid w:val="00FA6D6A"/>
    <w:rsid w:val="00FA729E"/>
    <w:rsid w:val="00FA7DF8"/>
    <w:rsid w:val="00FA7E90"/>
    <w:rsid w:val="00FA7EA0"/>
    <w:rsid w:val="00FA7F0A"/>
    <w:rsid w:val="00FB007C"/>
    <w:rsid w:val="00FB038F"/>
    <w:rsid w:val="00FB03AC"/>
    <w:rsid w:val="00FB0B8B"/>
    <w:rsid w:val="00FB0C1F"/>
    <w:rsid w:val="00FB0CA7"/>
    <w:rsid w:val="00FB1A1E"/>
    <w:rsid w:val="00FB1FBC"/>
    <w:rsid w:val="00FB1FD4"/>
    <w:rsid w:val="00FB23A3"/>
    <w:rsid w:val="00FB24D3"/>
    <w:rsid w:val="00FB2554"/>
    <w:rsid w:val="00FB291E"/>
    <w:rsid w:val="00FB29F6"/>
    <w:rsid w:val="00FB2BB1"/>
    <w:rsid w:val="00FB2DA2"/>
    <w:rsid w:val="00FB2E58"/>
    <w:rsid w:val="00FB3316"/>
    <w:rsid w:val="00FB34C5"/>
    <w:rsid w:val="00FB37D7"/>
    <w:rsid w:val="00FB3AFA"/>
    <w:rsid w:val="00FB3B29"/>
    <w:rsid w:val="00FB436D"/>
    <w:rsid w:val="00FB4741"/>
    <w:rsid w:val="00FB48B6"/>
    <w:rsid w:val="00FB4A02"/>
    <w:rsid w:val="00FB4B3E"/>
    <w:rsid w:val="00FB4E56"/>
    <w:rsid w:val="00FB4EDE"/>
    <w:rsid w:val="00FB4F13"/>
    <w:rsid w:val="00FB5754"/>
    <w:rsid w:val="00FB57F7"/>
    <w:rsid w:val="00FB5B1C"/>
    <w:rsid w:val="00FB5B2C"/>
    <w:rsid w:val="00FB61D6"/>
    <w:rsid w:val="00FB650A"/>
    <w:rsid w:val="00FB67F2"/>
    <w:rsid w:val="00FB6A99"/>
    <w:rsid w:val="00FB6AA4"/>
    <w:rsid w:val="00FB6C59"/>
    <w:rsid w:val="00FB6CAA"/>
    <w:rsid w:val="00FB6D18"/>
    <w:rsid w:val="00FB6E0E"/>
    <w:rsid w:val="00FB72DE"/>
    <w:rsid w:val="00FB731D"/>
    <w:rsid w:val="00FB78D0"/>
    <w:rsid w:val="00FB7A54"/>
    <w:rsid w:val="00FB7CBD"/>
    <w:rsid w:val="00FB7ED6"/>
    <w:rsid w:val="00FC0154"/>
    <w:rsid w:val="00FC03D9"/>
    <w:rsid w:val="00FC046A"/>
    <w:rsid w:val="00FC06E1"/>
    <w:rsid w:val="00FC0895"/>
    <w:rsid w:val="00FC08A2"/>
    <w:rsid w:val="00FC08AF"/>
    <w:rsid w:val="00FC09E6"/>
    <w:rsid w:val="00FC0B8C"/>
    <w:rsid w:val="00FC0BCF"/>
    <w:rsid w:val="00FC0CD5"/>
    <w:rsid w:val="00FC1120"/>
    <w:rsid w:val="00FC1490"/>
    <w:rsid w:val="00FC198E"/>
    <w:rsid w:val="00FC1F6E"/>
    <w:rsid w:val="00FC219B"/>
    <w:rsid w:val="00FC22D2"/>
    <w:rsid w:val="00FC2370"/>
    <w:rsid w:val="00FC241A"/>
    <w:rsid w:val="00FC2527"/>
    <w:rsid w:val="00FC2532"/>
    <w:rsid w:val="00FC338A"/>
    <w:rsid w:val="00FC3720"/>
    <w:rsid w:val="00FC3779"/>
    <w:rsid w:val="00FC3ADE"/>
    <w:rsid w:val="00FC3C35"/>
    <w:rsid w:val="00FC431C"/>
    <w:rsid w:val="00FC4420"/>
    <w:rsid w:val="00FC443A"/>
    <w:rsid w:val="00FC44D5"/>
    <w:rsid w:val="00FC45F9"/>
    <w:rsid w:val="00FC487E"/>
    <w:rsid w:val="00FC4ED2"/>
    <w:rsid w:val="00FC53CB"/>
    <w:rsid w:val="00FC54DF"/>
    <w:rsid w:val="00FC5650"/>
    <w:rsid w:val="00FC5822"/>
    <w:rsid w:val="00FC590F"/>
    <w:rsid w:val="00FC5C9E"/>
    <w:rsid w:val="00FC5D30"/>
    <w:rsid w:val="00FC5DE4"/>
    <w:rsid w:val="00FC6418"/>
    <w:rsid w:val="00FC65A7"/>
    <w:rsid w:val="00FC67DE"/>
    <w:rsid w:val="00FC67F2"/>
    <w:rsid w:val="00FC6BBA"/>
    <w:rsid w:val="00FC73A6"/>
    <w:rsid w:val="00FC7715"/>
    <w:rsid w:val="00FC79E0"/>
    <w:rsid w:val="00FC7CAE"/>
    <w:rsid w:val="00FD018D"/>
    <w:rsid w:val="00FD0315"/>
    <w:rsid w:val="00FD04EA"/>
    <w:rsid w:val="00FD0981"/>
    <w:rsid w:val="00FD098D"/>
    <w:rsid w:val="00FD0E34"/>
    <w:rsid w:val="00FD0FD8"/>
    <w:rsid w:val="00FD134E"/>
    <w:rsid w:val="00FD13DB"/>
    <w:rsid w:val="00FD1B21"/>
    <w:rsid w:val="00FD1D93"/>
    <w:rsid w:val="00FD1E33"/>
    <w:rsid w:val="00FD229B"/>
    <w:rsid w:val="00FD22BD"/>
    <w:rsid w:val="00FD25CF"/>
    <w:rsid w:val="00FD2DC7"/>
    <w:rsid w:val="00FD2E5E"/>
    <w:rsid w:val="00FD314F"/>
    <w:rsid w:val="00FD3904"/>
    <w:rsid w:val="00FD3FFE"/>
    <w:rsid w:val="00FD404A"/>
    <w:rsid w:val="00FD409C"/>
    <w:rsid w:val="00FD411C"/>
    <w:rsid w:val="00FD4649"/>
    <w:rsid w:val="00FD4B9B"/>
    <w:rsid w:val="00FD5172"/>
    <w:rsid w:val="00FD53A4"/>
    <w:rsid w:val="00FD5892"/>
    <w:rsid w:val="00FD58C5"/>
    <w:rsid w:val="00FD5BE5"/>
    <w:rsid w:val="00FD5D02"/>
    <w:rsid w:val="00FD5E33"/>
    <w:rsid w:val="00FD5FA9"/>
    <w:rsid w:val="00FD635D"/>
    <w:rsid w:val="00FD6649"/>
    <w:rsid w:val="00FD6667"/>
    <w:rsid w:val="00FD6D15"/>
    <w:rsid w:val="00FD71D0"/>
    <w:rsid w:val="00FD725D"/>
    <w:rsid w:val="00FD797E"/>
    <w:rsid w:val="00FD7ECE"/>
    <w:rsid w:val="00FE0206"/>
    <w:rsid w:val="00FE023E"/>
    <w:rsid w:val="00FE036A"/>
    <w:rsid w:val="00FE04B4"/>
    <w:rsid w:val="00FE05D4"/>
    <w:rsid w:val="00FE092E"/>
    <w:rsid w:val="00FE09F7"/>
    <w:rsid w:val="00FE0A09"/>
    <w:rsid w:val="00FE1100"/>
    <w:rsid w:val="00FE178C"/>
    <w:rsid w:val="00FE18D8"/>
    <w:rsid w:val="00FE22BE"/>
    <w:rsid w:val="00FE22EF"/>
    <w:rsid w:val="00FE2457"/>
    <w:rsid w:val="00FE27B7"/>
    <w:rsid w:val="00FE286D"/>
    <w:rsid w:val="00FE2958"/>
    <w:rsid w:val="00FE2CBE"/>
    <w:rsid w:val="00FE2CC1"/>
    <w:rsid w:val="00FE2D65"/>
    <w:rsid w:val="00FE2E36"/>
    <w:rsid w:val="00FE32D3"/>
    <w:rsid w:val="00FE3322"/>
    <w:rsid w:val="00FE3440"/>
    <w:rsid w:val="00FE36B2"/>
    <w:rsid w:val="00FE3B16"/>
    <w:rsid w:val="00FE3B7D"/>
    <w:rsid w:val="00FE3C32"/>
    <w:rsid w:val="00FE3E16"/>
    <w:rsid w:val="00FE4171"/>
    <w:rsid w:val="00FE4861"/>
    <w:rsid w:val="00FE4ECB"/>
    <w:rsid w:val="00FE5033"/>
    <w:rsid w:val="00FE5046"/>
    <w:rsid w:val="00FE5201"/>
    <w:rsid w:val="00FE5308"/>
    <w:rsid w:val="00FE591B"/>
    <w:rsid w:val="00FE5A88"/>
    <w:rsid w:val="00FE5B4B"/>
    <w:rsid w:val="00FE5FCE"/>
    <w:rsid w:val="00FE612E"/>
    <w:rsid w:val="00FE665D"/>
    <w:rsid w:val="00FE6946"/>
    <w:rsid w:val="00FE6CD7"/>
    <w:rsid w:val="00FE6E3A"/>
    <w:rsid w:val="00FE6F06"/>
    <w:rsid w:val="00FE6FE0"/>
    <w:rsid w:val="00FE7732"/>
    <w:rsid w:val="00FE7DB2"/>
    <w:rsid w:val="00FF0263"/>
    <w:rsid w:val="00FF0289"/>
    <w:rsid w:val="00FF0559"/>
    <w:rsid w:val="00FF0730"/>
    <w:rsid w:val="00FF0880"/>
    <w:rsid w:val="00FF0AB1"/>
    <w:rsid w:val="00FF11D6"/>
    <w:rsid w:val="00FF12E5"/>
    <w:rsid w:val="00FF153C"/>
    <w:rsid w:val="00FF1909"/>
    <w:rsid w:val="00FF1F2D"/>
    <w:rsid w:val="00FF1FDE"/>
    <w:rsid w:val="00FF201B"/>
    <w:rsid w:val="00FF21EB"/>
    <w:rsid w:val="00FF276D"/>
    <w:rsid w:val="00FF2DF4"/>
    <w:rsid w:val="00FF30D3"/>
    <w:rsid w:val="00FF3A6B"/>
    <w:rsid w:val="00FF3C27"/>
    <w:rsid w:val="00FF4075"/>
    <w:rsid w:val="00FF4878"/>
    <w:rsid w:val="00FF4A4B"/>
    <w:rsid w:val="00FF4B78"/>
    <w:rsid w:val="00FF4BDC"/>
    <w:rsid w:val="00FF4EA5"/>
    <w:rsid w:val="00FF52BB"/>
    <w:rsid w:val="00FF61FC"/>
    <w:rsid w:val="00FF6283"/>
    <w:rsid w:val="00FF6389"/>
    <w:rsid w:val="00FF6701"/>
    <w:rsid w:val="00FF6735"/>
    <w:rsid w:val="00FF6959"/>
    <w:rsid w:val="00FF6C47"/>
    <w:rsid w:val="00FF6C9B"/>
    <w:rsid w:val="00FF6D8B"/>
    <w:rsid w:val="00FF6F94"/>
    <w:rsid w:val="00FF7364"/>
    <w:rsid w:val="00FF75DA"/>
    <w:rsid w:val="00FF780B"/>
    <w:rsid w:val="00FF7EFB"/>
    <w:rsid w:val="0DEEFD79"/>
    <w:rsid w:val="118E1421"/>
    <w:rsid w:val="1229D9BA"/>
    <w:rsid w:val="146219AA"/>
    <w:rsid w:val="14CD8712"/>
    <w:rsid w:val="16AB5AC9"/>
    <w:rsid w:val="18318737"/>
    <w:rsid w:val="1A501930"/>
    <w:rsid w:val="1ACDDBF3"/>
    <w:rsid w:val="2418B823"/>
    <w:rsid w:val="24281E60"/>
    <w:rsid w:val="252DDF40"/>
    <w:rsid w:val="2A54CCB1"/>
    <w:rsid w:val="2BA024D1"/>
    <w:rsid w:val="30F9D416"/>
    <w:rsid w:val="310DC4A5"/>
    <w:rsid w:val="311A39C6"/>
    <w:rsid w:val="31F07E97"/>
    <w:rsid w:val="356A2866"/>
    <w:rsid w:val="38A271B3"/>
    <w:rsid w:val="3E9B811E"/>
    <w:rsid w:val="3F6DFAAC"/>
    <w:rsid w:val="50F891E7"/>
    <w:rsid w:val="557B23A8"/>
    <w:rsid w:val="56CCE098"/>
    <w:rsid w:val="59D811BF"/>
    <w:rsid w:val="5A0ABF37"/>
    <w:rsid w:val="5A106FA0"/>
    <w:rsid w:val="5B729368"/>
    <w:rsid w:val="5D94774B"/>
    <w:rsid w:val="682209B6"/>
    <w:rsid w:val="69583221"/>
    <w:rsid w:val="6C0CAA6F"/>
    <w:rsid w:val="6D62B227"/>
    <w:rsid w:val="71F5F700"/>
    <w:rsid w:val="7238E373"/>
    <w:rsid w:val="73779E3C"/>
    <w:rsid w:val="74C89DA9"/>
    <w:rsid w:val="75971659"/>
    <w:rsid w:val="75AC00E1"/>
    <w:rsid w:val="7C1EBD67"/>
    <w:rsid w:val="7FFC9CB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46BDBDB7"/>
  <w15:chartTrackingRefBased/>
  <w15:docId w15:val="{67D9E2B1-BA18-48B8-811B-7D5EEC441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caption" w:qFormat="1"/>
    <w:lsdException w:name="table of figures" w:qFormat="1"/>
    <w:lsdException w:name="annotation reference" w:uiPriority="99"/>
    <w:lsdException w:name="List Bullet" w:uiPriority="1" w:qFormat="1"/>
    <w:lsdException w:name="List Number" w:uiPriority="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67996"/>
    <w:rPr>
      <w:lang w:eastAsia="en-US"/>
    </w:rPr>
  </w:style>
  <w:style w:type="paragraph" w:styleId="Heading1">
    <w:name w:val="heading 1"/>
    <w:basedOn w:val="Normal"/>
    <w:next w:val="BodyText"/>
    <w:link w:val="Heading1Char"/>
    <w:qFormat/>
    <w:rsid w:val="00356E02"/>
    <w:pPr>
      <w:keepNext/>
      <w:tabs>
        <w:tab w:val="left" w:pos="284"/>
      </w:tabs>
      <w:spacing w:before="400"/>
      <w:outlineLvl w:val="0"/>
    </w:pPr>
    <w:rPr>
      <w:rFonts w:ascii="Arial" w:hAnsi="Arial"/>
      <w:color w:val="1D3278"/>
      <w:kern w:val="28"/>
      <w:sz w:val="40"/>
      <w:szCs w:val="36"/>
      <w:lang w:val="en-AU"/>
    </w:rPr>
  </w:style>
  <w:style w:type="paragraph" w:styleId="Heading2">
    <w:name w:val="heading 2"/>
    <w:basedOn w:val="Normal"/>
    <w:next w:val="BodyText"/>
    <w:link w:val="Heading2Char"/>
    <w:qFormat/>
    <w:rsid w:val="00643F94"/>
    <w:pPr>
      <w:keepNext/>
      <w:widowControl w:val="0"/>
      <w:numPr>
        <w:numId w:val="10"/>
      </w:numPr>
      <w:pBdr>
        <w:bottom w:val="single" w:sz="4" w:space="2" w:color="00ABE6"/>
      </w:pBdr>
      <w:spacing w:before="240" w:after="100" w:line="240" w:lineRule="atLeast"/>
      <w:outlineLvl w:val="1"/>
    </w:pPr>
    <w:rPr>
      <w:rFonts w:ascii="Arial" w:hAnsi="Arial"/>
      <w:b/>
      <w:color w:val="00ABE6"/>
      <w:kern w:val="28"/>
      <w:sz w:val="28"/>
      <w:szCs w:val="36"/>
      <w:lang w:val="en-AU"/>
    </w:rPr>
  </w:style>
  <w:style w:type="paragraph" w:styleId="Heading3">
    <w:name w:val="heading 3"/>
    <w:basedOn w:val="Heading2"/>
    <w:next w:val="BodyText"/>
    <w:link w:val="Heading3Char"/>
    <w:qFormat/>
    <w:rsid w:val="00356E02"/>
    <w:pPr>
      <w:numPr>
        <w:numId w:val="0"/>
      </w:numPr>
      <w:pBdr>
        <w:bottom w:val="none" w:sz="0" w:space="0" w:color="auto"/>
      </w:pBdr>
      <w:outlineLvl w:val="2"/>
    </w:pPr>
    <w:rPr>
      <w:color w:val="auto"/>
    </w:rPr>
  </w:style>
  <w:style w:type="paragraph" w:styleId="Heading4">
    <w:name w:val="heading 4"/>
    <w:basedOn w:val="Heading3"/>
    <w:next w:val="Normal"/>
    <w:link w:val="Heading4Char"/>
    <w:qFormat/>
    <w:rsid w:val="00356E02"/>
    <w:pPr>
      <w:outlineLvl w:val="3"/>
    </w:pPr>
    <w:rPr>
      <w:sz w:val="20"/>
    </w:rPr>
  </w:style>
  <w:style w:type="paragraph" w:styleId="Heading5">
    <w:name w:val="heading 5"/>
    <w:basedOn w:val="Heading4"/>
    <w:next w:val="BodyText"/>
    <w:link w:val="Heading5Char"/>
    <w:qFormat/>
    <w:rsid w:val="00356E02"/>
    <w:pPr>
      <w:spacing w:after="60"/>
      <w:outlineLvl w:val="4"/>
    </w:pPr>
    <w:rPr>
      <w:b w:val="0"/>
      <w:i/>
    </w:rPr>
  </w:style>
  <w:style w:type="paragraph" w:styleId="Heading6">
    <w:name w:val="heading 6"/>
    <w:basedOn w:val="Heading1"/>
    <w:next w:val="Normal"/>
    <w:link w:val="Heading6Char"/>
    <w:qFormat/>
    <w:rsid w:val="00356E02"/>
    <w:pPr>
      <w:spacing w:before="120"/>
      <w:outlineLvl w:val="5"/>
    </w:pPr>
    <w:rPr>
      <w:rFonts w:ascii="Times New Roman" w:hAnsi="Times New Roman"/>
      <w:b/>
      <w:i/>
      <w:caps/>
      <w:kern w:val="0"/>
      <w:sz w:val="24"/>
    </w:rPr>
  </w:style>
  <w:style w:type="paragraph" w:styleId="Heading7">
    <w:name w:val="heading 7"/>
    <w:basedOn w:val="Heading5"/>
    <w:next w:val="Normal"/>
    <w:link w:val="Heading7Char"/>
    <w:qFormat/>
    <w:rsid w:val="00356E02"/>
    <w:pPr>
      <w:spacing w:before="120"/>
      <w:ind w:left="425"/>
      <w:jc w:val="both"/>
      <w:outlineLvl w:val="6"/>
    </w:pPr>
    <w:rPr>
      <w:i w:val="0"/>
      <w:sz w:val="23"/>
    </w:rPr>
  </w:style>
  <w:style w:type="paragraph" w:styleId="Heading8">
    <w:name w:val="heading 8"/>
    <w:basedOn w:val="Heading7"/>
    <w:next w:val="Normal"/>
    <w:link w:val="Heading8Char"/>
    <w:qFormat/>
    <w:rsid w:val="00356E02"/>
    <w:pPr>
      <w:outlineLvl w:val="7"/>
    </w:pPr>
    <w:rPr>
      <w:i/>
    </w:rPr>
  </w:style>
  <w:style w:type="paragraph" w:styleId="Heading9">
    <w:name w:val="heading 9"/>
    <w:basedOn w:val="Heading8"/>
    <w:next w:val="Normal"/>
    <w:link w:val="Heading9Char"/>
    <w:qFormat/>
    <w:rsid w:val="00356E02"/>
    <w:pPr>
      <w:ind w:left="851"/>
      <w:outlineLvl w:val="8"/>
    </w:pPr>
    <w:rPr>
      <w:i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356E02"/>
    <w:rPr>
      <w:rFonts w:ascii="Tahoma" w:hAnsi="Tahoma" w:cs="Tahoma"/>
      <w:sz w:val="16"/>
      <w:szCs w:val="16"/>
    </w:rPr>
  </w:style>
  <w:style w:type="character" w:customStyle="1" w:styleId="BalloonTextChar">
    <w:name w:val="Balloon Text Char"/>
    <w:link w:val="BalloonText"/>
    <w:rsid w:val="00356E02"/>
    <w:rPr>
      <w:rFonts w:ascii="Tahoma" w:hAnsi="Tahoma" w:cs="Tahoma"/>
      <w:sz w:val="16"/>
      <w:szCs w:val="16"/>
      <w:lang w:val="en-US" w:eastAsia="en-US"/>
    </w:rPr>
  </w:style>
  <w:style w:type="character" w:customStyle="1" w:styleId="Heading1Char">
    <w:name w:val="Heading 1 Char"/>
    <w:link w:val="Heading1"/>
    <w:rsid w:val="008C6150"/>
    <w:rPr>
      <w:rFonts w:ascii="Arial" w:hAnsi="Arial"/>
      <w:color w:val="1D3278"/>
      <w:kern w:val="28"/>
      <w:sz w:val="40"/>
      <w:szCs w:val="36"/>
      <w:lang w:eastAsia="en-US"/>
    </w:rPr>
  </w:style>
  <w:style w:type="character" w:customStyle="1" w:styleId="Heading2Char">
    <w:name w:val="Heading 2 Char"/>
    <w:link w:val="Heading2"/>
    <w:rsid w:val="00643F94"/>
    <w:rPr>
      <w:rFonts w:ascii="Arial" w:hAnsi="Arial"/>
      <w:b/>
      <w:color w:val="00ABE6"/>
      <w:kern w:val="28"/>
      <w:sz w:val="28"/>
      <w:szCs w:val="36"/>
      <w:lang w:eastAsia="en-US"/>
    </w:rPr>
  </w:style>
  <w:style w:type="character" w:customStyle="1" w:styleId="Heading3Char">
    <w:name w:val="Heading 3 Char"/>
    <w:link w:val="Heading3"/>
    <w:rsid w:val="00356E02"/>
    <w:rPr>
      <w:rFonts w:ascii="Arial" w:hAnsi="Arial"/>
      <w:b/>
      <w:kern w:val="28"/>
      <w:sz w:val="24"/>
      <w:szCs w:val="36"/>
      <w:lang w:eastAsia="en-US"/>
    </w:rPr>
  </w:style>
  <w:style w:type="character" w:customStyle="1" w:styleId="Heading4Char">
    <w:name w:val="Heading 4 Char"/>
    <w:link w:val="Heading4"/>
    <w:rsid w:val="008C6150"/>
    <w:rPr>
      <w:rFonts w:ascii="Arial" w:hAnsi="Arial"/>
      <w:b/>
      <w:kern w:val="28"/>
      <w:szCs w:val="36"/>
      <w:lang w:eastAsia="en-US"/>
    </w:rPr>
  </w:style>
  <w:style w:type="character" w:customStyle="1" w:styleId="Heading5Char">
    <w:name w:val="Heading 5 Char"/>
    <w:link w:val="Heading5"/>
    <w:rsid w:val="008C6150"/>
    <w:rPr>
      <w:rFonts w:ascii="Arial" w:hAnsi="Arial"/>
      <w:i/>
      <w:kern w:val="28"/>
      <w:szCs w:val="36"/>
      <w:lang w:eastAsia="en-US"/>
    </w:rPr>
  </w:style>
  <w:style w:type="character" w:customStyle="1" w:styleId="Heading6Char">
    <w:name w:val="Heading 6 Char"/>
    <w:link w:val="Heading6"/>
    <w:rsid w:val="008C6150"/>
    <w:rPr>
      <w:b/>
      <w:i/>
      <w:caps/>
      <w:color w:val="1D3278"/>
      <w:sz w:val="24"/>
      <w:szCs w:val="36"/>
      <w:lang w:eastAsia="en-US"/>
    </w:rPr>
  </w:style>
  <w:style w:type="character" w:customStyle="1" w:styleId="Heading7Char">
    <w:name w:val="Heading 7 Char"/>
    <w:link w:val="Heading7"/>
    <w:rsid w:val="008C6150"/>
    <w:rPr>
      <w:rFonts w:ascii="Arial" w:hAnsi="Arial"/>
      <w:kern w:val="28"/>
      <w:sz w:val="23"/>
      <w:szCs w:val="36"/>
      <w:lang w:eastAsia="en-US"/>
    </w:rPr>
  </w:style>
  <w:style w:type="character" w:customStyle="1" w:styleId="Heading8Char">
    <w:name w:val="Heading 8 Char"/>
    <w:link w:val="Heading8"/>
    <w:rsid w:val="008C6150"/>
    <w:rPr>
      <w:rFonts w:ascii="Arial" w:hAnsi="Arial"/>
      <w:i/>
      <w:kern w:val="28"/>
      <w:sz w:val="23"/>
      <w:szCs w:val="36"/>
      <w:lang w:eastAsia="en-US"/>
    </w:rPr>
  </w:style>
  <w:style w:type="character" w:customStyle="1" w:styleId="Heading9Char">
    <w:name w:val="Heading 9 Char"/>
    <w:link w:val="Heading9"/>
    <w:rsid w:val="008C6150"/>
    <w:rPr>
      <w:rFonts w:ascii="Arial" w:hAnsi="Arial"/>
      <w:kern w:val="28"/>
      <w:sz w:val="23"/>
      <w:szCs w:val="36"/>
      <w:lang w:eastAsia="en-US"/>
    </w:rPr>
  </w:style>
  <w:style w:type="paragraph" w:styleId="BodyText">
    <w:name w:val="Body Text"/>
    <w:link w:val="BodyTextChar"/>
    <w:autoRedefine/>
    <w:rsid w:val="00BF4099"/>
    <w:pPr>
      <w:spacing w:before="160" w:after="100" w:line="240" w:lineRule="atLeast"/>
    </w:pPr>
    <w:rPr>
      <w:rFonts w:ascii="Arial" w:hAnsi="Arial" w:cs="Arial"/>
      <w:sz w:val="23"/>
      <w:lang w:val="en-AU" w:eastAsia="en-US"/>
    </w:rPr>
  </w:style>
  <w:style w:type="character" w:customStyle="1" w:styleId="BodyTextChar">
    <w:name w:val="Body Text Char"/>
    <w:link w:val="BodyText"/>
    <w:rsid w:val="00BF4099"/>
    <w:rPr>
      <w:rFonts w:ascii="Arial" w:hAnsi="Arial" w:cs="Arial"/>
      <w:sz w:val="23"/>
      <w:lang w:val="en-AU" w:eastAsia="en-US"/>
    </w:rPr>
  </w:style>
  <w:style w:type="paragraph" w:customStyle="1" w:styleId="BodyText-Box">
    <w:name w:val="Body Text - Box"/>
    <w:basedOn w:val="BodyText"/>
    <w:autoRedefine/>
    <w:rsid w:val="00356E02"/>
    <w:pPr>
      <w:tabs>
        <w:tab w:val="left" w:pos="567"/>
      </w:tabs>
      <w:spacing w:before="120" w:after="120" w:line="240" w:lineRule="auto"/>
      <w:ind w:right="-143"/>
    </w:pPr>
    <w:rPr>
      <w:rFonts w:ascii="Times New Roman" w:hAnsi="Times New Roman"/>
      <w:color w:val="000000"/>
      <w:sz w:val="21"/>
      <w:szCs w:val="21"/>
      <w:lang w:eastAsia="en-AU"/>
    </w:rPr>
  </w:style>
  <w:style w:type="paragraph" w:customStyle="1" w:styleId="BodyTextBox">
    <w:name w:val="Body Text Box"/>
    <w:basedOn w:val="Normal"/>
    <w:link w:val="BodyTextBoxChar"/>
    <w:autoRedefine/>
    <w:rsid w:val="00B06F09"/>
    <w:pPr>
      <w:framePr w:hSpace="180" w:wrap="around" w:vAnchor="text" w:hAnchor="margin" w:y="30"/>
      <w:spacing w:before="80" w:after="80" w:line="240" w:lineRule="atLeast"/>
    </w:pPr>
    <w:rPr>
      <w:rFonts w:ascii="Arial" w:hAnsi="Arial" w:cs="Arial"/>
      <w:color w:val="0A7CB9"/>
      <w:sz w:val="23"/>
      <w:szCs w:val="19"/>
      <w:lang w:val="en-AU"/>
    </w:rPr>
  </w:style>
  <w:style w:type="paragraph" w:customStyle="1" w:styleId="ObjectHeading">
    <w:name w:val="Object Heading"/>
    <w:basedOn w:val="Heading3"/>
    <w:next w:val="Normal"/>
    <w:rsid w:val="00356E02"/>
    <w:pPr>
      <w:tabs>
        <w:tab w:val="left" w:pos="1418"/>
      </w:tabs>
      <w:ind w:left="1418" w:hanging="1418"/>
    </w:pPr>
    <w:rPr>
      <w:kern w:val="0"/>
    </w:rPr>
  </w:style>
  <w:style w:type="paragraph" w:customStyle="1" w:styleId="BoxHeading">
    <w:name w:val="Box Heading"/>
    <w:basedOn w:val="ObjectHeading"/>
    <w:autoRedefine/>
    <w:rsid w:val="00225FB1"/>
    <w:pPr>
      <w:framePr w:hSpace="180" w:wrap="around" w:vAnchor="text" w:hAnchor="margin" w:y="97"/>
      <w:tabs>
        <w:tab w:val="clear" w:pos="1418"/>
      </w:tabs>
      <w:spacing w:before="80" w:after="60" w:line="240" w:lineRule="auto"/>
      <w:ind w:left="0" w:firstLine="0"/>
    </w:pPr>
    <w:rPr>
      <w:rFonts w:cs="Arial"/>
      <w:color w:val="0A7CB9"/>
      <w:sz w:val="23"/>
      <w:szCs w:val="19"/>
      <w:lang w:val="en-US"/>
    </w:rPr>
  </w:style>
  <w:style w:type="paragraph" w:customStyle="1" w:styleId="Bullet1">
    <w:name w:val="Bullet 1"/>
    <w:basedOn w:val="BodyText"/>
    <w:link w:val="Bullet1Char"/>
    <w:autoRedefine/>
    <w:uiPriority w:val="99"/>
    <w:qFormat/>
    <w:rsid w:val="006A4023"/>
    <w:pPr>
      <w:widowControl w:val="0"/>
      <w:numPr>
        <w:numId w:val="11"/>
      </w:numPr>
      <w:spacing w:before="0" w:after="80"/>
      <w:ind w:left="357" w:hanging="357"/>
    </w:pPr>
  </w:style>
  <w:style w:type="character" w:customStyle="1" w:styleId="Bullet1Char">
    <w:name w:val="Bullet 1 Char"/>
    <w:link w:val="Bullet1"/>
    <w:uiPriority w:val="99"/>
    <w:rsid w:val="006A4023"/>
    <w:rPr>
      <w:rFonts w:ascii="Arial" w:hAnsi="Arial" w:cs="Arial"/>
      <w:sz w:val="23"/>
      <w:lang w:val="en-AU" w:eastAsia="en-US"/>
    </w:rPr>
  </w:style>
  <w:style w:type="paragraph" w:customStyle="1" w:styleId="Bullet1inabox">
    <w:name w:val="Bullet 1 in a box"/>
    <w:basedOn w:val="Bullet1"/>
    <w:autoRedefine/>
    <w:rsid w:val="00512D0C"/>
    <w:pPr>
      <w:numPr>
        <w:numId w:val="12"/>
      </w:numPr>
      <w:spacing w:before="100" w:after="60"/>
    </w:pPr>
    <w:rPr>
      <w:rFonts w:cs="Times New Roman"/>
      <w:color w:val="0A7CB9"/>
    </w:rPr>
  </w:style>
  <w:style w:type="paragraph" w:customStyle="1" w:styleId="Bullet1Paragraph">
    <w:name w:val="Bullet 1 Paragraph"/>
    <w:basedOn w:val="Normal"/>
    <w:rsid w:val="00356E02"/>
    <w:pPr>
      <w:ind w:left="425"/>
    </w:pPr>
  </w:style>
  <w:style w:type="paragraph" w:customStyle="1" w:styleId="Bullet2">
    <w:name w:val="Bullet 2"/>
    <w:basedOn w:val="Bullet1"/>
    <w:rsid w:val="00A1397D"/>
    <w:pPr>
      <w:numPr>
        <w:numId w:val="13"/>
      </w:numPr>
      <w:spacing w:before="80" w:after="40"/>
      <w:ind w:left="714" w:hanging="357"/>
    </w:pPr>
  </w:style>
  <w:style w:type="paragraph" w:customStyle="1" w:styleId="Bullet2innumberedlist">
    <w:name w:val="Bullet 2 in numbered list"/>
    <w:basedOn w:val="Bullet2"/>
    <w:rsid w:val="00356E02"/>
    <w:pPr>
      <w:numPr>
        <w:numId w:val="0"/>
      </w:numPr>
      <w:tabs>
        <w:tab w:val="num" w:pos="851"/>
      </w:tabs>
      <w:spacing w:after="0"/>
      <w:ind w:left="851" w:hanging="426"/>
    </w:pPr>
  </w:style>
  <w:style w:type="paragraph" w:customStyle="1" w:styleId="Bullet2Paragraph">
    <w:name w:val="Bullet 2 Paragraph"/>
    <w:basedOn w:val="Bullet1Paragraph"/>
    <w:rsid w:val="00356E02"/>
    <w:pPr>
      <w:ind w:left="851"/>
    </w:pPr>
  </w:style>
  <w:style w:type="paragraph" w:customStyle="1" w:styleId="Bullet3">
    <w:name w:val="Bullet 3"/>
    <w:basedOn w:val="Bullet2"/>
    <w:rsid w:val="00356E02"/>
    <w:pPr>
      <w:numPr>
        <w:numId w:val="14"/>
      </w:numPr>
    </w:pPr>
  </w:style>
  <w:style w:type="paragraph" w:customStyle="1" w:styleId="Bullet3Paragraph">
    <w:name w:val="Bullet 3 Paragraph"/>
    <w:basedOn w:val="Bullet2Paragraph"/>
    <w:rsid w:val="00356E02"/>
    <w:pPr>
      <w:ind w:left="1276"/>
    </w:pPr>
  </w:style>
  <w:style w:type="paragraph" w:customStyle="1" w:styleId="Bullet4">
    <w:name w:val="Bullet 4"/>
    <w:basedOn w:val="Bullet3"/>
    <w:rsid w:val="00356E02"/>
    <w:pPr>
      <w:numPr>
        <w:numId w:val="15"/>
      </w:numPr>
    </w:pPr>
  </w:style>
  <w:style w:type="paragraph" w:customStyle="1" w:styleId="Bullet4Paragraph">
    <w:name w:val="Bullet 4 Paragraph"/>
    <w:basedOn w:val="Bullet3Paragraph"/>
    <w:rsid w:val="00356E02"/>
    <w:pPr>
      <w:ind w:left="1701"/>
    </w:pPr>
  </w:style>
  <w:style w:type="paragraph" w:customStyle="1" w:styleId="ChapterHeadingStyle">
    <w:name w:val="Chapter Heading Style"/>
    <w:basedOn w:val="Normal"/>
    <w:rsid w:val="00356E02"/>
    <w:pPr>
      <w:keepNext/>
      <w:keepLines/>
      <w:pBdr>
        <w:bottom w:val="threeDEmboss" w:sz="24" w:space="1" w:color="000000"/>
      </w:pBdr>
      <w:tabs>
        <w:tab w:val="left" w:pos="1134"/>
        <w:tab w:val="left" w:pos="2268"/>
      </w:tabs>
      <w:spacing w:after="120"/>
      <w:ind w:left="2268" w:hanging="2268"/>
      <w:outlineLvl w:val="0"/>
    </w:pPr>
    <w:rPr>
      <w:rFonts w:ascii="Tahoma" w:hAnsi="Tahoma"/>
      <w:b/>
      <w:caps/>
      <w:color w:val="000000"/>
      <w:kern w:val="28"/>
      <w:sz w:val="32"/>
      <w:lang w:val="en-AU"/>
    </w:rPr>
  </w:style>
  <w:style w:type="paragraph" w:customStyle="1" w:styleId="Chart1X">
    <w:name w:val="Chart 1.X"/>
    <w:basedOn w:val="Normal"/>
    <w:next w:val="Normal"/>
    <w:rsid w:val="00AC43FC"/>
    <w:pPr>
      <w:keepLines/>
      <w:numPr>
        <w:numId w:val="16"/>
      </w:numPr>
      <w:tabs>
        <w:tab w:val="left" w:pos="1304"/>
      </w:tabs>
      <w:spacing w:before="240" w:after="120"/>
      <w:ind w:left="357" w:hanging="357"/>
    </w:pPr>
    <w:rPr>
      <w:rFonts w:ascii="Arial" w:hAnsi="Arial"/>
      <w:i/>
      <w:color w:val="4F4F4F"/>
      <w:sz w:val="22"/>
    </w:rPr>
  </w:style>
  <w:style w:type="paragraph" w:customStyle="1" w:styleId="ChartHeading">
    <w:name w:val="Chart Heading"/>
    <w:basedOn w:val="Normal"/>
    <w:autoRedefine/>
    <w:rsid w:val="00356E02"/>
    <w:pPr>
      <w:keepNext/>
      <w:widowControl w:val="0"/>
      <w:spacing w:before="240" w:after="120"/>
    </w:pPr>
    <w:rPr>
      <w:rFonts w:ascii="Arial" w:hAnsi="Arial"/>
      <w:b/>
      <w:sz w:val="24"/>
    </w:rPr>
  </w:style>
  <w:style w:type="character" w:styleId="EndnoteReference">
    <w:name w:val="endnote reference"/>
    <w:rsid w:val="00356E02"/>
    <w:rPr>
      <w:i/>
      <w:sz w:val="16"/>
      <w:vertAlign w:val="superscript"/>
    </w:rPr>
  </w:style>
  <w:style w:type="paragraph" w:styleId="Footer">
    <w:name w:val="footer"/>
    <w:basedOn w:val="Normal"/>
    <w:link w:val="FooterChar"/>
    <w:rsid w:val="00356E02"/>
    <w:pPr>
      <w:pBdr>
        <w:top w:val="single" w:sz="4" w:space="1" w:color="auto"/>
      </w:pBdr>
      <w:tabs>
        <w:tab w:val="right" w:pos="7655"/>
      </w:tabs>
    </w:pPr>
    <w:rPr>
      <w:rFonts w:ascii="Arial" w:hAnsi="Arial"/>
      <w:sz w:val="18"/>
    </w:rPr>
  </w:style>
  <w:style w:type="character" w:customStyle="1" w:styleId="FooterChar">
    <w:name w:val="Footer Char"/>
    <w:link w:val="Footer"/>
    <w:rsid w:val="00356E02"/>
    <w:rPr>
      <w:rFonts w:ascii="Arial" w:hAnsi="Arial"/>
      <w:sz w:val="18"/>
      <w:lang w:val="en-US" w:eastAsia="en-US"/>
    </w:rPr>
  </w:style>
  <w:style w:type="character" w:styleId="FootnoteReference">
    <w:name w:val="footnote reference"/>
    <w:rsid w:val="00356E02"/>
    <w:rPr>
      <w:vertAlign w:val="superscript"/>
    </w:rPr>
  </w:style>
  <w:style w:type="paragraph" w:styleId="FootnoteText">
    <w:name w:val="footnote text"/>
    <w:basedOn w:val="Normal"/>
    <w:link w:val="FootnoteTextChar"/>
    <w:rsid w:val="00356E02"/>
    <w:pPr>
      <w:spacing w:before="80" w:after="80"/>
      <w:ind w:left="709" w:hanging="142"/>
    </w:pPr>
    <w:rPr>
      <w:i/>
      <w:sz w:val="16"/>
    </w:rPr>
  </w:style>
  <w:style w:type="character" w:customStyle="1" w:styleId="FootnoteTextChar">
    <w:name w:val="Footnote Text Char"/>
    <w:link w:val="FootnoteText"/>
    <w:rsid w:val="00356E02"/>
    <w:rPr>
      <w:i/>
      <w:sz w:val="16"/>
      <w:lang w:val="en-US" w:eastAsia="en-US"/>
    </w:rPr>
  </w:style>
  <w:style w:type="paragraph" w:styleId="Header">
    <w:name w:val="header"/>
    <w:basedOn w:val="Normal"/>
    <w:link w:val="HeaderChar"/>
    <w:uiPriority w:val="99"/>
    <w:rsid w:val="00356E02"/>
    <w:pPr>
      <w:tabs>
        <w:tab w:val="center" w:pos="4153"/>
        <w:tab w:val="right" w:pos="8306"/>
      </w:tabs>
    </w:pPr>
  </w:style>
  <w:style w:type="character" w:customStyle="1" w:styleId="HeaderChar">
    <w:name w:val="Header Char"/>
    <w:link w:val="Header"/>
    <w:uiPriority w:val="99"/>
    <w:rsid w:val="00356E02"/>
    <w:rPr>
      <w:lang w:val="en-US" w:eastAsia="en-US"/>
    </w:rPr>
  </w:style>
  <w:style w:type="paragraph" w:customStyle="1" w:styleId="Heading1BP2">
    <w:name w:val="Heading 1 BP2"/>
    <w:rsid w:val="00356E02"/>
    <w:pPr>
      <w:keepNext/>
      <w:tabs>
        <w:tab w:val="left" w:pos="284"/>
      </w:tabs>
      <w:spacing w:before="400" w:after="240"/>
    </w:pPr>
    <w:rPr>
      <w:rFonts w:ascii="Lucida Sans" w:hAnsi="Lucida Sans"/>
      <w:kern w:val="28"/>
      <w:sz w:val="36"/>
      <w:szCs w:val="36"/>
      <w:lang w:val="en-AU" w:eastAsia="en-US"/>
    </w:rPr>
  </w:style>
  <w:style w:type="paragraph" w:customStyle="1" w:styleId="ListBullet1">
    <w:name w:val="List Bullet1"/>
    <w:basedOn w:val="Normal"/>
    <w:autoRedefine/>
    <w:rsid w:val="00356E02"/>
    <w:pPr>
      <w:numPr>
        <w:numId w:val="17"/>
      </w:numPr>
      <w:spacing w:line="360" w:lineRule="auto"/>
    </w:pPr>
    <w:rPr>
      <w:rFonts w:ascii="Arial" w:hAnsi="Arial"/>
      <w:sz w:val="28"/>
      <w:lang w:val="en-AU"/>
    </w:rPr>
  </w:style>
  <w:style w:type="paragraph" w:styleId="NoSpacing">
    <w:name w:val="No Spacing"/>
    <w:basedOn w:val="Normal"/>
    <w:link w:val="NoSpacingChar"/>
    <w:qFormat/>
    <w:rsid w:val="00356E02"/>
  </w:style>
  <w:style w:type="character" w:customStyle="1" w:styleId="NoSpacingChar">
    <w:name w:val="No Spacing Char"/>
    <w:link w:val="NoSpacing"/>
    <w:rsid w:val="00356E02"/>
    <w:rPr>
      <w:lang w:val="en-US" w:eastAsia="en-US"/>
    </w:rPr>
  </w:style>
  <w:style w:type="paragraph" w:customStyle="1" w:styleId="Object">
    <w:name w:val="Object"/>
    <w:basedOn w:val="Normal"/>
    <w:next w:val="Normal"/>
    <w:rsid w:val="00356E02"/>
    <w:pPr>
      <w:jc w:val="center"/>
    </w:pPr>
  </w:style>
  <w:style w:type="paragraph" w:customStyle="1" w:styleId="ObjectFootnote">
    <w:name w:val="Object Footnote"/>
    <w:basedOn w:val="Object"/>
    <w:next w:val="Normal"/>
    <w:rsid w:val="00356E02"/>
    <w:pPr>
      <w:spacing w:after="60"/>
    </w:pPr>
    <w:rPr>
      <w:i/>
      <w:sz w:val="14"/>
    </w:rPr>
  </w:style>
  <w:style w:type="paragraph" w:customStyle="1" w:styleId="ObjectFootnotelettered">
    <w:name w:val="Object Footnote lettered"/>
    <w:basedOn w:val="ObjectFootnote"/>
    <w:rsid w:val="00356E02"/>
    <w:pPr>
      <w:tabs>
        <w:tab w:val="left" w:pos="709"/>
      </w:tabs>
      <w:ind w:left="426"/>
      <w:jc w:val="left"/>
    </w:pPr>
  </w:style>
  <w:style w:type="paragraph" w:customStyle="1" w:styleId="ObjectFootnoteleft">
    <w:name w:val="Object Footnote left"/>
    <w:basedOn w:val="ObjectFootnotelettered"/>
    <w:rsid w:val="00356E02"/>
    <w:pPr>
      <w:ind w:left="709" w:hanging="283"/>
    </w:pPr>
  </w:style>
  <w:style w:type="character" w:styleId="PageNumber">
    <w:name w:val="page number"/>
    <w:rsid w:val="00356E02"/>
  </w:style>
  <w:style w:type="paragraph" w:customStyle="1" w:styleId="Style211HeadingBold">
    <w:name w:val="Style 2.1.1 Heading + Bold"/>
    <w:basedOn w:val="Normal"/>
    <w:rsid w:val="00356E02"/>
    <w:rPr>
      <w:b/>
      <w:bCs/>
      <w:i/>
      <w:iCs/>
    </w:rPr>
  </w:style>
  <w:style w:type="paragraph" w:customStyle="1" w:styleId="StyleBoxHeadingLeft0Firstline0">
    <w:name w:val="Style Box Heading + Left:  0&quot; First line:  0&quot;"/>
    <w:basedOn w:val="BoxHeading"/>
    <w:autoRedefine/>
    <w:rsid w:val="00356E02"/>
    <w:pPr>
      <w:keepLines/>
      <w:framePr w:wrap="around"/>
      <w:widowControl/>
      <w:tabs>
        <w:tab w:val="left" w:pos="567"/>
        <w:tab w:val="num" w:pos="1276"/>
      </w:tabs>
      <w:spacing w:before="120" w:after="120"/>
      <w:outlineLvl w:val="9"/>
    </w:pPr>
    <w:rPr>
      <w:bCs/>
      <w:color w:val="000000"/>
      <w:lang w:val="en-AU" w:eastAsia="en-AU"/>
    </w:rPr>
  </w:style>
  <w:style w:type="paragraph" w:customStyle="1" w:styleId="StyleName">
    <w:name w:val="Style Name"/>
    <w:basedOn w:val="Normal"/>
    <w:rsid w:val="00356E02"/>
    <w:pPr>
      <w:ind w:left="851" w:hanging="851"/>
      <w:jc w:val="center"/>
    </w:pPr>
    <w:rPr>
      <w:rFonts w:ascii="Arial" w:hAnsi="Arial"/>
      <w:b/>
      <w:i/>
      <w:color w:val="000000"/>
      <w:sz w:val="24"/>
      <w:lang w:val="en-GB" w:eastAsia="en-AU"/>
    </w:rPr>
  </w:style>
  <w:style w:type="paragraph" w:customStyle="1" w:styleId="TableHeading">
    <w:name w:val="Table Heading"/>
    <w:basedOn w:val="Normal"/>
    <w:autoRedefine/>
    <w:rsid w:val="00356E02"/>
    <w:pPr>
      <w:keepNext/>
      <w:keepLines/>
      <w:numPr>
        <w:numId w:val="20"/>
      </w:numPr>
      <w:spacing w:before="120" w:after="120"/>
    </w:pPr>
    <w:rPr>
      <w:rFonts w:ascii="Arial" w:hAnsi="Arial"/>
      <w:b/>
      <w:sz w:val="24"/>
    </w:rPr>
  </w:style>
  <w:style w:type="paragraph" w:customStyle="1" w:styleId="Table1X">
    <w:name w:val="Table 1.X"/>
    <w:basedOn w:val="TableHeading"/>
    <w:rsid w:val="00AC43FC"/>
    <w:pPr>
      <w:keepNext w:val="0"/>
      <w:keepLines w:val="0"/>
      <w:widowControl w:val="0"/>
      <w:numPr>
        <w:numId w:val="18"/>
      </w:numPr>
      <w:tabs>
        <w:tab w:val="left" w:pos="1304"/>
      </w:tabs>
      <w:spacing w:before="240"/>
      <w:ind w:left="357" w:hanging="357"/>
    </w:pPr>
    <w:rPr>
      <w:b w:val="0"/>
      <w:bCs/>
      <w:i/>
      <w:color w:val="4F4F4F"/>
      <w:kern w:val="28"/>
      <w:sz w:val="22"/>
      <w:szCs w:val="22"/>
    </w:rPr>
  </w:style>
  <w:style w:type="paragraph" w:customStyle="1" w:styleId="Table2X">
    <w:name w:val="Table 2.X"/>
    <w:basedOn w:val="Table1X"/>
    <w:qFormat/>
    <w:rsid w:val="00356E02"/>
    <w:pPr>
      <w:numPr>
        <w:numId w:val="19"/>
      </w:numPr>
    </w:pPr>
  </w:style>
  <w:style w:type="paragraph" w:customStyle="1" w:styleId="TableFootnote">
    <w:name w:val="Table Footnote"/>
    <w:basedOn w:val="Normal"/>
    <w:rsid w:val="00356E02"/>
    <w:pPr>
      <w:spacing w:before="60" w:after="60"/>
      <w:ind w:left="284"/>
    </w:pPr>
    <w:rPr>
      <w:rFonts w:ascii="Arial" w:hAnsi="Arial"/>
      <w:i/>
      <w:sz w:val="14"/>
    </w:rPr>
  </w:style>
  <w:style w:type="table" w:styleId="TableGrid">
    <w:name w:val="Table Grid"/>
    <w:basedOn w:val="TableNormal"/>
    <w:rsid w:val="00356E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E867DA"/>
    <w:rPr>
      <w:lang w:eastAsia="en-US"/>
    </w:rPr>
  </w:style>
  <w:style w:type="paragraph" w:customStyle="1" w:styleId="TableHeadingCont">
    <w:name w:val="Table Heading Cont'"/>
    <w:basedOn w:val="TableHeading"/>
    <w:rsid w:val="00356E02"/>
    <w:pPr>
      <w:tabs>
        <w:tab w:val="clear" w:pos="1440"/>
        <w:tab w:val="left" w:pos="1418"/>
      </w:tabs>
    </w:pPr>
  </w:style>
  <w:style w:type="paragraph" w:styleId="NormalWeb">
    <w:name w:val="Normal (Web)"/>
    <w:basedOn w:val="Normal"/>
    <w:uiPriority w:val="99"/>
    <w:unhideWhenUsed/>
    <w:rsid w:val="001319F4"/>
    <w:pPr>
      <w:spacing w:before="100" w:beforeAutospacing="1" w:after="100" w:afterAutospacing="1"/>
    </w:pPr>
    <w:rPr>
      <w:sz w:val="24"/>
      <w:szCs w:val="24"/>
      <w:lang w:val="en-AU" w:eastAsia="en-AU"/>
    </w:rPr>
  </w:style>
  <w:style w:type="character" w:styleId="CommentReference">
    <w:name w:val="annotation reference"/>
    <w:uiPriority w:val="99"/>
    <w:rsid w:val="006341DC"/>
    <w:rPr>
      <w:sz w:val="16"/>
      <w:szCs w:val="16"/>
    </w:rPr>
  </w:style>
  <w:style w:type="paragraph" w:styleId="CommentText">
    <w:name w:val="annotation text"/>
    <w:basedOn w:val="Normal"/>
    <w:link w:val="CommentTextChar"/>
    <w:uiPriority w:val="99"/>
    <w:rsid w:val="006341DC"/>
  </w:style>
  <w:style w:type="character" w:customStyle="1" w:styleId="CommentTextChar">
    <w:name w:val="Comment Text Char"/>
    <w:link w:val="CommentText"/>
    <w:uiPriority w:val="99"/>
    <w:rsid w:val="006341DC"/>
    <w:rPr>
      <w:lang w:val="en-US" w:eastAsia="en-US"/>
    </w:rPr>
  </w:style>
  <w:style w:type="paragraph" w:styleId="CommentSubject">
    <w:name w:val="annotation subject"/>
    <w:basedOn w:val="CommentText"/>
    <w:next w:val="CommentText"/>
    <w:link w:val="CommentSubjectChar"/>
    <w:uiPriority w:val="99"/>
    <w:rsid w:val="006341DC"/>
    <w:rPr>
      <w:b/>
      <w:bCs/>
    </w:rPr>
  </w:style>
  <w:style w:type="character" w:customStyle="1" w:styleId="CommentSubjectChar">
    <w:name w:val="Comment Subject Char"/>
    <w:link w:val="CommentSubject"/>
    <w:uiPriority w:val="99"/>
    <w:rsid w:val="006341DC"/>
    <w:rPr>
      <w:b/>
      <w:bCs/>
      <w:lang w:val="en-US" w:eastAsia="en-US"/>
    </w:rPr>
  </w:style>
  <w:style w:type="paragraph" w:customStyle="1" w:styleId="Coremessagetext">
    <w:name w:val="Core message text"/>
    <w:basedOn w:val="BodyText"/>
    <w:qFormat/>
    <w:rsid w:val="00FA0C52"/>
    <w:pPr>
      <w:spacing w:before="80" w:after="80" w:line="280" w:lineRule="exact"/>
    </w:pPr>
    <w:rPr>
      <w:rFonts w:cs="Times New Roman"/>
      <w:sz w:val="22"/>
      <w:lang w:eastAsia="en-AU"/>
    </w:rPr>
  </w:style>
  <w:style w:type="character" w:styleId="Hyperlink">
    <w:name w:val="Hyperlink"/>
    <w:uiPriority w:val="99"/>
    <w:rsid w:val="00652A10"/>
    <w:rPr>
      <w:color w:val="0563C1"/>
      <w:u w:val="single"/>
    </w:rPr>
  </w:style>
  <w:style w:type="character" w:customStyle="1" w:styleId="BodyTextBoxChar">
    <w:name w:val="Body Text Box Char"/>
    <w:link w:val="BodyTextBox"/>
    <w:rsid w:val="00B06F09"/>
    <w:rPr>
      <w:rFonts w:ascii="Arial" w:hAnsi="Arial" w:cs="Arial"/>
      <w:color w:val="0A7CB9"/>
      <w:sz w:val="23"/>
      <w:szCs w:val="19"/>
      <w:lang w:val="en-AU" w:eastAsia="en-US"/>
    </w:rPr>
  </w:style>
  <w:style w:type="paragraph" w:customStyle="1" w:styleId="Default">
    <w:name w:val="Default"/>
    <w:rsid w:val="00652A10"/>
    <w:pPr>
      <w:autoSpaceDE w:val="0"/>
      <w:autoSpaceDN w:val="0"/>
      <w:adjustRightInd w:val="0"/>
    </w:pPr>
    <w:rPr>
      <w:rFonts w:ascii="Arial" w:eastAsia="Calibri" w:hAnsi="Arial" w:cs="Arial"/>
      <w:color w:val="000000"/>
      <w:sz w:val="24"/>
      <w:szCs w:val="24"/>
      <w:lang w:val="en-AU" w:eastAsia="en-US"/>
    </w:rPr>
  </w:style>
  <w:style w:type="paragraph" w:customStyle="1" w:styleId="Box11BoxHeading">
    <w:name w:val="Box 1.1: Box Heading"/>
    <w:basedOn w:val="Normal"/>
    <w:qFormat/>
    <w:rsid w:val="007C0428"/>
    <w:pPr>
      <w:numPr>
        <w:numId w:val="27"/>
      </w:numPr>
      <w:spacing w:before="80" w:after="60"/>
      <w:ind w:left="357" w:hanging="357"/>
    </w:pPr>
    <w:rPr>
      <w:rFonts w:ascii="Arial" w:hAnsi="Arial"/>
      <w:b/>
      <w:sz w:val="23"/>
      <w:lang w:val="en-AU"/>
    </w:rPr>
  </w:style>
  <w:style w:type="paragraph" w:customStyle="1" w:styleId="11Heading2">
    <w:name w:val="1.1 Heading 2"/>
    <w:basedOn w:val="Normal"/>
    <w:qFormat/>
    <w:rsid w:val="007C0428"/>
    <w:pPr>
      <w:numPr>
        <w:numId w:val="28"/>
      </w:numPr>
      <w:pBdr>
        <w:bottom w:val="single" w:sz="4" w:space="4" w:color="00ABE6"/>
      </w:pBdr>
      <w:spacing w:before="240" w:after="100"/>
      <w:ind w:left="357" w:hanging="357"/>
    </w:pPr>
    <w:rPr>
      <w:rFonts w:ascii="Arial" w:hAnsi="Arial"/>
      <w:b/>
      <w:color w:val="00ABE6"/>
      <w:sz w:val="28"/>
      <w:lang w:val="en-AU"/>
    </w:rPr>
  </w:style>
  <w:style w:type="paragraph" w:styleId="EndnoteText">
    <w:name w:val="endnote text"/>
    <w:basedOn w:val="Normal"/>
    <w:link w:val="EndnoteTextChar"/>
    <w:rsid w:val="00ED7588"/>
  </w:style>
  <w:style w:type="character" w:customStyle="1" w:styleId="EndnoteTextChar">
    <w:name w:val="Endnote Text Char"/>
    <w:basedOn w:val="DefaultParagraphFont"/>
    <w:link w:val="EndnoteText"/>
    <w:rsid w:val="00ED7588"/>
    <w:rPr>
      <w:lang w:eastAsia="en-US"/>
    </w:rPr>
  </w:style>
  <w:style w:type="paragraph" w:styleId="ListParagraph">
    <w:name w:val="List Paragraph"/>
    <w:basedOn w:val="Normal"/>
    <w:uiPriority w:val="34"/>
    <w:qFormat/>
    <w:rsid w:val="00BA329D"/>
    <w:pPr>
      <w:spacing w:after="160" w:line="259" w:lineRule="auto"/>
      <w:ind w:left="720"/>
      <w:contextualSpacing/>
    </w:pPr>
    <w:rPr>
      <w:rFonts w:asciiTheme="minorHAnsi" w:eastAsiaTheme="minorHAnsi" w:hAnsiTheme="minorHAnsi" w:cstheme="minorBidi"/>
      <w:sz w:val="22"/>
      <w:szCs w:val="22"/>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94221">
      <w:bodyDiv w:val="1"/>
      <w:marLeft w:val="0"/>
      <w:marRight w:val="0"/>
      <w:marTop w:val="0"/>
      <w:marBottom w:val="0"/>
      <w:divBdr>
        <w:top w:val="none" w:sz="0" w:space="0" w:color="auto"/>
        <w:left w:val="none" w:sz="0" w:space="0" w:color="auto"/>
        <w:bottom w:val="none" w:sz="0" w:space="0" w:color="auto"/>
        <w:right w:val="none" w:sz="0" w:space="0" w:color="auto"/>
      </w:divBdr>
    </w:div>
    <w:div w:id="30541545">
      <w:bodyDiv w:val="1"/>
      <w:marLeft w:val="0"/>
      <w:marRight w:val="0"/>
      <w:marTop w:val="0"/>
      <w:marBottom w:val="0"/>
      <w:divBdr>
        <w:top w:val="none" w:sz="0" w:space="0" w:color="auto"/>
        <w:left w:val="none" w:sz="0" w:space="0" w:color="auto"/>
        <w:bottom w:val="none" w:sz="0" w:space="0" w:color="auto"/>
        <w:right w:val="none" w:sz="0" w:space="0" w:color="auto"/>
      </w:divBdr>
    </w:div>
    <w:div w:id="48766162">
      <w:bodyDiv w:val="1"/>
      <w:marLeft w:val="0"/>
      <w:marRight w:val="0"/>
      <w:marTop w:val="0"/>
      <w:marBottom w:val="0"/>
      <w:divBdr>
        <w:top w:val="none" w:sz="0" w:space="0" w:color="auto"/>
        <w:left w:val="none" w:sz="0" w:space="0" w:color="auto"/>
        <w:bottom w:val="none" w:sz="0" w:space="0" w:color="auto"/>
        <w:right w:val="none" w:sz="0" w:space="0" w:color="auto"/>
      </w:divBdr>
    </w:div>
    <w:div w:id="63383978">
      <w:bodyDiv w:val="1"/>
      <w:marLeft w:val="0"/>
      <w:marRight w:val="0"/>
      <w:marTop w:val="0"/>
      <w:marBottom w:val="0"/>
      <w:divBdr>
        <w:top w:val="none" w:sz="0" w:space="0" w:color="auto"/>
        <w:left w:val="none" w:sz="0" w:space="0" w:color="auto"/>
        <w:bottom w:val="none" w:sz="0" w:space="0" w:color="auto"/>
        <w:right w:val="none" w:sz="0" w:space="0" w:color="auto"/>
      </w:divBdr>
    </w:div>
    <w:div w:id="81415237">
      <w:bodyDiv w:val="1"/>
      <w:marLeft w:val="0"/>
      <w:marRight w:val="0"/>
      <w:marTop w:val="0"/>
      <w:marBottom w:val="0"/>
      <w:divBdr>
        <w:top w:val="none" w:sz="0" w:space="0" w:color="auto"/>
        <w:left w:val="none" w:sz="0" w:space="0" w:color="auto"/>
        <w:bottom w:val="none" w:sz="0" w:space="0" w:color="auto"/>
        <w:right w:val="none" w:sz="0" w:space="0" w:color="auto"/>
      </w:divBdr>
    </w:div>
    <w:div w:id="132842911">
      <w:bodyDiv w:val="1"/>
      <w:marLeft w:val="0"/>
      <w:marRight w:val="0"/>
      <w:marTop w:val="0"/>
      <w:marBottom w:val="0"/>
      <w:divBdr>
        <w:top w:val="none" w:sz="0" w:space="0" w:color="auto"/>
        <w:left w:val="none" w:sz="0" w:space="0" w:color="auto"/>
        <w:bottom w:val="none" w:sz="0" w:space="0" w:color="auto"/>
        <w:right w:val="single" w:sz="6" w:space="6" w:color="FFFFFF"/>
      </w:divBdr>
      <w:divsChild>
        <w:div w:id="1915235705">
          <w:marLeft w:val="0"/>
          <w:marRight w:val="0"/>
          <w:marTop w:val="0"/>
          <w:marBottom w:val="0"/>
          <w:divBdr>
            <w:top w:val="none" w:sz="0" w:space="0" w:color="auto"/>
            <w:left w:val="none" w:sz="0" w:space="0" w:color="auto"/>
            <w:bottom w:val="none" w:sz="0" w:space="0" w:color="auto"/>
            <w:right w:val="none" w:sz="0" w:space="0" w:color="auto"/>
          </w:divBdr>
          <w:divsChild>
            <w:div w:id="975987822">
              <w:marLeft w:val="0"/>
              <w:marRight w:val="0"/>
              <w:marTop w:val="0"/>
              <w:marBottom w:val="0"/>
              <w:divBdr>
                <w:top w:val="none" w:sz="0" w:space="0" w:color="auto"/>
                <w:left w:val="none" w:sz="0" w:space="0" w:color="auto"/>
                <w:bottom w:val="none" w:sz="0" w:space="0" w:color="auto"/>
                <w:right w:val="none" w:sz="0" w:space="0" w:color="auto"/>
              </w:divBdr>
              <w:divsChild>
                <w:div w:id="2101826154">
                  <w:blockQuote w:val="1"/>
                  <w:marLeft w:val="340"/>
                  <w:marRight w:val="0"/>
                  <w:marTop w:val="160"/>
                  <w:marBottom w:val="200"/>
                  <w:divBdr>
                    <w:top w:val="none" w:sz="0" w:space="0" w:color="auto"/>
                    <w:left w:val="none" w:sz="0" w:space="0" w:color="auto"/>
                    <w:bottom w:val="none" w:sz="0" w:space="0" w:color="auto"/>
                    <w:right w:val="none" w:sz="0" w:space="0" w:color="auto"/>
                  </w:divBdr>
                  <w:divsChild>
                    <w:div w:id="732391493">
                      <w:blockQuote w:val="1"/>
                      <w:marLeft w:val="340"/>
                      <w:marRight w:val="0"/>
                      <w:marTop w:val="160"/>
                      <w:marBottom w:val="200"/>
                      <w:divBdr>
                        <w:top w:val="none" w:sz="0" w:space="0" w:color="auto"/>
                        <w:left w:val="none" w:sz="0" w:space="0" w:color="auto"/>
                        <w:bottom w:val="none" w:sz="0" w:space="0" w:color="auto"/>
                        <w:right w:val="none" w:sz="0" w:space="0" w:color="auto"/>
                      </w:divBdr>
                      <w:divsChild>
                        <w:div w:id="1568998724">
                          <w:blockQuote w:val="1"/>
                          <w:marLeft w:val="340"/>
                          <w:marRight w:val="0"/>
                          <w:marTop w:val="160"/>
                          <w:marBottom w:val="200"/>
                          <w:divBdr>
                            <w:top w:val="none" w:sz="0" w:space="0" w:color="auto"/>
                            <w:left w:val="none" w:sz="0" w:space="0" w:color="auto"/>
                            <w:bottom w:val="none" w:sz="0" w:space="0" w:color="auto"/>
                            <w:right w:val="none" w:sz="0" w:space="0" w:color="auto"/>
                          </w:divBdr>
                        </w:div>
                        <w:div w:id="2090082367">
                          <w:blockQuote w:val="1"/>
                          <w:marLeft w:val="340"/>
                          <w:marRight w:val="0"/>
                          <w:marTop w:val="160"/>
                          <w:marBottom w:val="200"/>
                          <w:divBdr>
                            <w:top w:val="none" w:sz="0" w:space="0" w:color="auto"/>
                            <w:left w:val="none" w:sz="0" w:space="0" w:color="auto"/>
                            <w:bottom w:val="none" w:sz="0" w:space="0" w:color="auto"/>
                            <w:right w:val="none" w:sz="0" w:space="0" w:color="auto"/>
                          </w:divBdr>
                        </w:div>
                      </w:divsChild>
                    </w:div>
                    <w:div w:id="1188064454">
                      <w:blockQuote w:val="1"/>
                      <w:marLeft w:val="340"/>
                      <w:marRight w:val="0"/>
                      <w:marTop w:val="160"/>
                      <w:marBottom w:val="200"/>
                      <w:divBdr>
                        <w:top w:val="none" w:sz="0" w:space="0" w:color="auto"/>
                        <w:left w:val="none" w:sz="0" w:space="0" w:color="auto"/>
                        <w:bottom w:val="none" w:sz="0" w:space="0" w:color="auto"/>
                        <w:right w:val="none" w:sz="0" w:space="0" w:color="auto"/>
                      </w:divBdr>
                    </w:div>
                  </w:divsChild>
                </w:div>
              </w:divsChild>
            </w:div>
          </w:divsChild>
        </w:div>
      </w:divsChild>
    </w:div>
    <w:div w:id="140195272">
      <w:bodyDiv w:val="1"/>
      <w:marLeft w:val="0"/>
      <w:marRight w:val="0"/>
      <w:marTop w:val="0"/>
      <w:marBottom w:val="0"/>
      <w:divBdr>
        <w:top w:val="none" w:sz="0" w:space="0" w:color="auto"/>
        <w:left w:val="none" w:sz="0" w:space="0" w:color="auto"/>
        <w:bottom w:val="none" w:sz="0" w:space="0" w:color="auto"/>
        <w:right w:val="none" w:sz="0" w:space="0" w:color="auto"/>
      </w:divBdr>
    </w:div>
    <w:div w:id="148638180">
      <w:bodyDiv w:val="1"/>
      <w:marLeft w:val="0"/>
      <w:marRight w:val="0"/>
      <w:marTop w:val="0"/>
      <w:marBottom w:val="0"/>
      <w:divBdr>
        <w:top w:val="none" w:sz="0" w:space="0" w:color="auto"/>
        <w:left w:val="none" w:sz="0" w:space="0" w:color="auto"/>
        <w:bottom w:val="none" w:sz="0" w:space="0" w:color="auto"/>
        <w:right w:val="none" w:sz="0" w:space="0" w:color="auto"/>
      </w:divBdr>
    </w:div>
    <w:div w:id="188108832">
      <w:bodyDiv w:val="1"/>
      <w:marLeft w:val="0"/>
      <w:marRight w:val="0"/>
      <w:marTop w:val="0"/>
      <w:marBottom w:val="0"/>
      <w:divBdr>
        <w:top w:val="none" w:sz="0" w:space="0" w:color="auto"/>
        <w:left w:val="none" w:sz="0" w:space="0" w:color="auto"/>
        <w:bottom w:val="none" w:sz="0" w:space="0" w:color="auto"/>
        <w:right w:val="none" w:sz="0" w:space="0" w:color="auto"/>
      </w:divBdr>
    </w:div>
    <w:div w:id="194314279">
      <w:bodyDiv w:val="1"/>
      <w:marLeft w:val="0"/>
      <w:marRight w:val="0"/>
      <w:marTop w:val="0"/>
      <w:marBottom w:val="0"/>
      <w:divBdr>
        <w:top w:val="none" w:sz="0" w:space="0" w:color="auto"/>
        <w:left w:val="none" w:sz="0" w:space="0" w:color="auto"/>
        <w:bottom w:val="none" w:sz="0" w:space="0" w:color="auto"/>
        <w:right w:val="none" w:sz="0" w:space="0" w:color="auto"/>
      </w:divBdr>
    </w:div>
    <w:div w:id="235480124">
      <w:bodyDiv w:val="1"/>
      <w:marLeft w:val="0"/>
      <w:marRight w:val="0"/>
      <w:marTop w:val="0"/>
      <w:marBottom w:val="0"/>
      <w:divBdr>
        <w:top w:val="none" w:sz="0" w:space="0" w:color="auto"/>
        <w:left w:val="none" w:sz="0" w:space="0" w:color="auto"/>
        <w:bottom w:val="none" w:sz="0" w:space="0" w:color="auto"/>
        <w:right w:val="none" w:sz="0" w:space="0" w:color="auto"/>
      </w:divBdr>
    </w:div>
    <w:div w:id="238834706">
      <w:bodyDiv w:val="1"/>
      <w:marLeft w:val="0"/>
      <w:marRight w:val="0"/>
      <w:marTop w:val="0"/>
      <w:marBottom w:val="0"/>
      <w:divBdr>
        <w:top w:val="none" w:sz="0" w:space="0" w:color="auto"/>
        <w:left w:val="none" w:sz="0" w:space="0" w:color="auto"/>
        <w:bottom w:val="none" w:sz="0" w:space="0" w:color="auto"/>
        <w:right w:val="none" w:sz="0" w:space="0" w:color="auto"/>
      </w:divBdr>
    </w:div>
    <w:div w:id="309600284">
      <w:bodyDiv w:val="1"/>
      <w:marLeft w:val="0"/>
      <w:marRight w:val="0"/>
      <w:marTop w:val="0"/>
      <w:marBottom w:val="0"/>
      <w:divBdr>
        <w:top w:val="none" w:sz="0" w:space="0" w:color="auto"/>
        <w:left w:val="none" w:sz="0" w:space="0" w:color="auto"/>
        <w:bottom w:val="none" w:sz="0" w:space="0" w:color="auto"/>
        <w:right w:val="none" w:sz="0" w:space="0" w:color="auto"/>
      </w:divBdr>
    </w:div>
    <w:div w:id="328826878">
      <w:bodyDiv w:val="1"/>
      <w:marLeft w:val="0"/>
      <w:marRight w:val="0"/>
      <w:marTop w:val="0"/>
      <w:marBottom w:val="0"/>
      <w:divBdr>
        <w:top w:val="none" w:sz="0" w:space="0" w:color="auto"/>
        <w:left w:val="none" w:sz="0" w:space="0" w:color="auto"/>
        <w:bottom w:val="none" w:sz="0" w:space="0" w:color="auto"/>
        <w:right w:val="none" w:sz="0" w:space="0" w:color="auto"/>
      </w:divBdr>
    </w:div>
    <w:div w:id="341516190">
      <w:bodyDiv w:val="1"/>
      <w:marLeft w:val="0"/>
      <w:marRight w:val="0"/>
      <w:marTop w:val="0"/>
      <w:marBottom w:val="0"/>
      <w:divBdr>
        <w:top w:val="none" w:sz="0" w:space="0" w:color="auto"/>
        <w:left w:val="none" w:sz="0" w:space="0" w:color="auto"/>
        <w:bottom w:val="none" w:sz="0" w:space="0" w:color="auto"/>
        <w:right w:val="none" w:sz="0" w:space="0" w:color="auto"/>
      </w:divBdr>
    </w:div>
    <w:div w:id="342050601">
      <w:bodyDiv w:val="1"/>
      <w:marLeft w:val="0"/>
      <w:marRight w:val="0"/>
      <w:marTop w:val="0"/>
      <w:marBottom w:val="0"/>
      <w:divBdr>
        <w:top w:val="none" w:sz="0" w:space="0" w:color="auto"/>
        <w:left w:val="none" w:sz="0" w:space="0" w:color="auto"/>
        <w:bottom w:val="none" w:sz="0" w:space="0" w:color="auto"/>
        <w:right w:val="none" w:sz="0" w:space="0" w:color="auto"/>
      </w:divBdr>
    </w:div>
    <w:div w:id="344020769">
      <w:bodyDiv w:val="1"/>
      <w:marLeft w:val="0"/>
      <w:marRight w:val="0"/>
      <w:marTop w:val="0"/>
      <w:marBottom w:val="0"/>
      <w:divBdr>
        <w:top w:val="none" w:sz="0" w:space="0" w:color="auto"/>
        <w:left w:val="none" w:sz="0" w:space="0" w:color="auto"/>
        <w:bottom w:val="none" w:sz="0" w:space="0" w:color="auto"/>
        <w:right w:val="none" w:sz="0" w:space="0" w:color="auto"/>
      </w:divBdr>
    </w:div>
    <w:div w:id="395663303">
      <w:bodyDiv w:val="1"/>
      <w:marLeft w:val="0"/>
      <w:marRight w:val="0"/>
      <w:marTop w:val="0"/>
      <w:marBottom w:val="0"/>
      <w:divBdr>
        <w:top w:val="none" w:sz="0" w:space="0" w:color="auto"/>
        <w:left w:val="none" w:sz="0" w:space="0" w:color="auto"/>
        <w:bottom w:val="none" w:sz="0" w:space="0" w:color="auto"/>
        <w:right w:val="none" w:sz="0" w:space="0" w:color="auto"/>
      </w:divBdr>
    </w:div>
    <w:div w:id="443885332">
      <w:bodyDiv w:val="1"/>
      <w:marLeft w:val="0"/>
      <w:marRight w:val="0"/>
      <w:marTop w:val="0"/>
      <w:marBottom w:val="0"/>
      <w:divBdr>
        <w:top w:val="none" w:sz="0" w:space="0" w:color="auto"/>
        <w:left w:val="none" w:sz="0" w:space="0" w:color="auto"/>
        <w:bottom w:val="none" w:sz="0" w:space="0" w:color="auto"/>
        <w:right w:val="none" w:sz="0" w:space="0" w:color="auto"/>
      </w:divBdr>
    </w:div>
    <w:div w:id="500587664">
      <w:bodyDiv w:val="1"/>
      <w:marLeft w:val="60"/>
      <w:marRight w:val="60"/>
      <w:marTop w:val="60"/>
      <w:marBottom w:val="15"/>
      <w:divBdr>
        <w:top w:val="none" w:sz="0" w:space="0" w:color="auto"/>
        <w:left w:val="none" w:sz="0" w:space="0" w:color="auto"/>
        <w:bottom w:val="none" w:sz="0" w:space="0" w:color="auto"/>
        <w:right w:val="none" w:sz="0" w:space="0" w:color="auto"/>
      </w:divBdr>
      <w:divsChild>
        <w:div w:id="188491397">
          <w:marLeft w:val="0"/>
          <w:marRight w:val="0"/>
          <w:marTop w:val="0"/>
          <w:marBottom w:val="0"/>
          <w:divBdr>
            <w:top w:val="none" w:sz="0" w:space="0" w:color="auto"/>
            <w:left w:val="none" w:sz="0" w:space="0" w:color="auto"/>
            <w:bottom w:val="none" w:sz="0" w:space="0" w:color="auto"/>
            <w:right w:val="none" w:sz="0" w:space="0" w:color="auto"/>
          </w:divBdr>
        </w:div>
        <w:div w:id="1558323123">
          <w:marLeft w:val="0"/>
          <w:marRight w:val="0"/>
          <w:marTop w:val="0"/>
          <w:marBottom w:val="0"/>
          <w:divBdr>
            <w:top w:val="none" w:sz="0" w:space="0" w:color="auto"/>
            <w:left w:val="none" w:sz="0" w:space="0" w:color="auto"/>
            <w:bottom w:val="none" w:sz="0" w:space="0" w:color="auto"/>
            <w:right w:val="none" w:sz="0" w:space="0" w:color="auto"/>
          </w:divBdr>
        </w:div>
      </w:divsChild>
    </w:div>
    <w:div w:id="542596999">
      <w:bodyDiv w:val="1"/>
      <w:marLeft w:val="0"/>
      <w:marRight w:val="0"/>
      <w:marTop w:val="0"/>
      <w:marBottom w:val="0"/>
      <w:divBdr>
        <w:top w:val="none" w:sz="0" w:space="0" w:color="auto"/>
        <w:left w:val="none" w:sz="0" w:space="0" w:color="auto"/>
        <w:bottom w:val="none" w:sz="0" w:space="0" w:color="auto"/>
        <w:right w:val="none" w:sz="0" w:space="0" w:color="auto"/>
      </w:divBdr>
    </w:div>
    <w:div w:id="548959726">
      <w:bodyDiv w:val="1"/>
      <w:marLeft w:val="0"/>
      <w:marRight w:val="0"/>
      <w:marTop w:val="0"/>
      <w:marBottom w:val="0"/>
      <w:divBdr>
        <w:top w:val="none" w:sz="0" w:space="0" w:color="auto"/>
        <w:left w:val="none" w:sz="0" w:space="0" w:color="auto"/>
        <w:bottom w:val="none" w:sz="0" w:space="0" w:color="auto"/>
        <w:right w:val="none" w:sz="0" w:space="0" w:color="auto"/>
      </w:divBdr>
    </w:div>
    <w:div w:id="563031208">
      <w:bodyDiv w:val="1"/>
      <w:marLeft w:val="0"/>
      <w:marRight w:val="0"/>
      <w:marTop w:val="0"/>
      <w:marBottom w:val="0"/>
      <w:divBdr>
        <w:top w:val="none" w:sz="0" w:space="0" w:color="auto"/>
        <w:left w:val="none" w:sz="0" w:space="0" w:color="auto"/>
        <w:bottom w:val="none" w:sz="0" w:space="0" w:color="auto"/>
        <w:right w:val="none" w:sz="0" w:space="0" w:color="auto"/>
      </w:divBdr>
    </w:div>
    <w:div w:id="649946007">
      <w:bodyDiv w:val="1"/>
      <w:marLeft w:val="0"/>
      <w:marRight w:val="0"/>
      <w:marTop w:val="0"/>
      <w:marBottom w:val="0"/>
      <w:divBdr>
        <w:top w:val="none" w:sz="0" w:space="0" w:color="auto"/>
        <w:left w:val="none" w:sz="0" w:space="0" w:color="auto"/>
        <w:bottom w:val="none" w:sz="0" w:space="0" w:color="auto"/>
        <w:right w:val="none" w:sz="0" w:space="0" w:color="auto"/>
      </w:divBdr>
    </w:div>
    <w:div w:id="669868577">
      <w:bodyDiv w:val="1"/>
      <w:marLeft w:val="0"/>
      <w:marRight w:val="0"/>
      <w:marTop w:val="0"/>
      <w:marBottom w:val="0"/>
      <w:divBdr>
        <w:top w:val="none" w:sz="0" w:space="0" w:color="auto"/>
        <w:left w:val="none" w:sz="0" w:space="0" w:color="auto"/>
        <w:bottom w:val="none" w:sz="0" w:space="0" w:color="auto"/>
        <w:right w:val="none" w:sz="0" w:space="0" w:color="auto"/>
      </w:divBdr>
    </w:div>
    <w:div w:id="710227249">
      <w:bodyDiv w:val="1"/>
      <w:marLeft w:val="0"/>
      <w:marRight w:val="0"/>
      <w:marTop w:val="0"/>
      <w:marBottom w:val="0"/>
      <w:divBdr>
        <w:top w:val="none" w:sz="0" w:space="0" w:color="auto"/>
        <w:left w:val="none" w:sz="0" w:space="0" w:color="auto"/>
        <w:bottom w:val="none" w:sz="0" w:space="0" w:color="auto"/>
        <w:right w:val="none" w:sz="0" w:space="0" w:color="auto"/>
      </w:divBdr>
    </w:div>
    <w:div w:id="714430494">
      <w:bodyDiv w:val="1"/>
      <w:marLeft w:val="0"/>
      <w:marRight w:val="0"/>
      <w:marTop w:val="0"/>
      <w:marBottom w:val="0"/>
      <w:divBdr>
        <w:top w:val="none" w:sz="0" w:space="0" w:color="auto"/>
        <w:left w:val="none" w:sz="0" w:space="0" w:color="auto"/>
        <w:bottom w:val="none" w:sz="0" w:space="0" w:color="auto"/>
        <w:right w:val="none" w:sz="0" w:space="0" w:color="auto"/>
      </w:divBdr>
    </w:div>
    <w:div w:id="763383714">
      <w:bodyDiv w:val="1"/>
      <w:marLeft w:val="0"/>
      <w:marRight w:val="0"/>
      <w:marTop w:val="0"/>
      <w:marBottom w:val="0"/>
      <w:divBdr>
        <w:top w:val="none" w:sz="0" w:space="0" w:color="auto"/>
        <w:left w:val="none" w:sz="0" w:space="0" w:color="auto"/>
        <w:bottom w:val="none" w:sz="0" w:space="0" w:color="auto"/>
        <w:right w:val="none" w:sz="0" w:space="0" w:color="auto"/>
      </w:divBdr>
    </w:div>
    <w:div w:id="778332253">
      <w:bodyDiv w:val="1"/>
      <w:marLeft w:val="0"/>
      <w:marRight w:val="0"/>
      <w:marTop w:val="0"/>
      <w:marBottom w:val="0"/>
      <w:divBdr>
        <w:top w:val="none" w:sz="0" w:space="0" w:color="auto"/>
        <w:left w:val="none" w:sz="0" w:space="0" w:color="auto"/>
        <w:bottom w:val="none" w:sz="0" w:space="0" w:color="auto"/>
        <w:right w:val="none" w:sz="0" w:space="0" w:color="auto"/>
      </w:divBdr>
    </w:div>
    <w:div w:id="796875918">
      <w:bodyDiv w:val="1"/>
      <w:marLeft w:val="0"/>
      <w:marRight w:val="0"/>
      <w:marTop w:val="0"/>
      <w:marBottom w:val="0"/>
      <w:divBdr>
        <w:top w:val="none" w:sz="0" w:space="0" w:color="auto"/>
        <w:left w:val="none" w:sz="0" w:space="0" w:color="auto"/>
        <w:bottom w:val="none" w:sz="0" w:space="0" w:color="auto"/>
        <w:right w:val="none" w:sz="0" w:space="0" w:color="auto"/>
      </w:divBdr>
    </w:div>
    <w:div w:id="877930531">
      <w:bodyDiv w:val="1"/>
      <w:marLeft w:val="0"/>
      <w:marRight w:val="0"/>
      <w:marTop w:val="0"/>
      <w:marBottom w:val="0"/>
      <w:divBdr>
        <w:top w:val="none" w:sz="0" w:space="0" w:color="auto"/>
        <w:left w:val="none" w:sz="0" w:space="0" w:color="auto"/>
        <w:bottom w:val="none" w:sz="0" w:space="0" w:color="auto"/>
        <w:right w:val="none" w:sz="0" w:space="0" w:color="auto"/>
      </w:divBdr>
    </w:div>
    <w:div w:id="882015520">
      <w:bodyDiv w:val="1"/>
      <w:marLeft w:val="0"/>
      <w:marRight w:val="0"/>
      <w:marTop w:val="0"/>
      <w:marBottom w:val="0"/>
      <w:divBdr>
        <w:top w:val="none" w:sz="0" w:space="0" w:color="auto"/>
        <w:left w:val="none" w:sz="0" w:space="0" w:color="auto"/>
        <w:bottom w:val="none" w:sz="0" w:space="0" w:color="auto"/>
        <w:right w:val="none" w:sz="0" w:space="0" w:color="auto"/>
      </w:divBdr>
    </w:div>
    <w:div w:id="933828873">
      <w:bodyDiv w:val="1"/>
      <w:marLeft w:val="60"/>
      <w:marRight w:val="60"/>
      <w:marTop w:val="60"/>
      <w:marBottom w:val="15"/>
      <w:divBdr>
        <w:top w:val="none" w:sz="0" w:space="0" w:color="auto"/>
        <w:left w:val="none" w:sz="0" w:space="0" w:color="auto"/>
        <w:bottom w:val="none" w:sz="0" w:space="0" w:color="auto"/>
        <w:right w:val="none" w:sz="0" w:space="0" w:color="auto"/>
      </w:divBdr>
      <w:divsChild>
        <w:div w:id="1925331593">
          <w:marLeft w:val="0"/>
          <w:marRight w:val="0"/>
          <w:marTop w:val="0"/>
          <w:marBottom w:val="0"/>
          <w:divBdr>
            <w:top w:val="none" w:sz="0" w:space="0" w:color="auto"/>
            <w:left w:val="none" w:sz="0" w:space="0" w:color="auto"/>
            <w:bottom w:val="none" w:sz="0" w:space="0" w:color="auto"/>
            <w:right w:val="none" w:sz="0" w:space="0" w:color="auto"/>
          </w:divBdr>
        </w:div>
      </w:divsChild>
    </w:div>
    <w:div w:id="943269157">
      <w:bodyDiv w:val="1"/>
      <w:marLeft w:val="0"/>
      <w:marRight w:val="0"/>
      <w:marTop w:val="0"/>
      <w:marBottom w:val="0"/>
      <w:divBdr>
        <w:top w:val="none" w:sz="0" w:space="0" w:color="auto"/>
        <w:left w:val="none" w:sz="0" w:space="0" w:color="auto"/>
        <w:bottom w:val="none" w:sz="0" w:space="0" w:color="auto"/>
        <w:right w:val="none" w:sz="0" w:space="0" w:color="auto"/>
      </w:divBdr>
    </w:div>
    <w:div w:id="946624801">
      <w:bodyDiv w:val="1"/>
      <w:marLeft w:val="0"/>
      <w:marRight w:val="0"/>
      <w:marTop w:val="0"/>
      <w:marBottom w:val="0"/>
      <w:divBdr>
        <w:top w:val="none" w:sz="0" w:space="0" w:color="auto"/>
        <w:left w:val="none" w:sz="0" w:space="0" w:color="auto"/>
        <w:bottom w:val="none" w:sz="0" w:space="0" w:color="auto"/>
        <w:right w:val="none" w:sz="0" w:space="0" w:color="auto"/>
      </w:divBdr>
    </w:div>
    <w:div w:id="1014310623">
      <w:bodyDiv w:val="1"/>
      <w:marLeft w:val="0"/>
      <w:marRight w:val="0"/>
      <w:marTop w:val="0"/>
      <w:marBottom w:val="0"/>
      <w:divBdr>
        <w:top w:val="none" w:sz="0" w:space="0" w:color="auto"/>
        <w:left w:val="none" w:sz="0" w:space="0" w:color="auto"/>
        <w:bottom w:val="none" w:sz="0" w:space="0" w:color="auto"/>
        <w:right w:val="none" w:sz="0" w:space="0" w:color="auto"/>
      </w:divBdr>
    </w:div>
    <w:div w:id="1034308130">
      <w:bodyDiv w:val="1"/>
      <w:marLeft w:val="0"/>
      <w:marRight w:val="0"/>
      <w:marTop w:val="0"/>
      <w:marBottom w:val="0"/>
      <w:divBdr>
        <w:top w:val="none" w:sz="0" w:space="0" w:color="auto"/>
        <w:left w:val="none" w:sz="0" w:space="0" w:color="auto"/>
        <w:bottom w:val="none" w:sz="0" w:space="0" w:color="auto"/>
        <w:right w:val="none" w:sz="0" w:space="0" w:color="auto"/>
      </w:divBdr>
    </w:div>
    <w:div w:id="1048531717">
      <w:bodyDiv w:val="1"/>
      <w:marLeft w:val="0"/>
      <w:marRight w:val="0"/>
      <w:marTop w:val="0"/>
      <w:marBottom w:val="0"/>
      <w:divBdr>
        <w:top w:val="none" w:sz="0" w:space="0" w:color="auto"/>
        <w:left w:val="none" w:sz="0" w:space="0" w:color="auto"/>
        <w:bottom w:val="none" w:sz="0" w:space="0" w:color="auto"/>
        <w:right w:val="none" w:sz="0" w:space="0" w:color="auto"/>
      </w:divBdr>
    </w:div>
    <w:div w:id="1051198330">
      <w:bodyDiv w:val="1"/>
      <w:marLeft w:val="0"/>
      <w:marRight w:val="0"/>
      <w:marTop w:val="0"/>
      <w:marBottom w:val="0"/>
      <w:divBdr>
        <w:top w:val="none" w:sz="0" w:space="0" w:color="auto"/>
        <w:left w:val="none" w:sz="0" w:space="0" w:color="auto"/>
        <w:bottom w:val="none" w:sz="0" w:space="0" w:color="auto"/>
        <w:right w:val="none" w:sz="0" w:space="0" w:color="auto"/>
      </w:divBdr>
    </w:div>
    <w:div w:id="1131049219">
      <w:bodyDiv w:val="1"/>
      <w:marLeft w:val="0"/>
      <w:marRight w:val="0"/>
      <w:marTop w:val="0"/>
      <w:marBottom w:val="0"/>
      <w:divBdr>
        <w:top w:val="none" w:sz="0" w:space="0" w:color="auto"/>
        <w:left w:val="none" w:sz="0" w:space="0" w:color="auto"/>
        <w:bottom w:val="none" w:sz="0" w:space="0" w:color="auto"/>
        <w:right w:val="none" w:sz="0" w:space="0" w:color="auto"/>
      </w:divBdr>
    </w:div>
    <w:div w:id="1135870573">
      <w:bodyDiv w:val="1"/>
      <w:marLeft w:val="0"/>
      <w:marRight w:val="0"/>
      <w:marTop w:val="0"/>
      <w:marBottom w:val="0"/>
      <w:divBdr>
        <w:top w:val="none" w:sz="0" w:space="0" w:color="auto"/>
        <w:left w:val="none" w:sz="0" w:space="0" w:color="auto"/>
        <w:bottom w:val="none" w:sz="0" w:space="0" w:color="auto"/>
        <w:right w:val="none" w:sz="0" w:space="0" w:color="auto"/>
      </w:divBdr>
    </w:div>
    <w:div w:id="1197691331">
      <w:bodyDiv w:val="1"/>
      <w:marLeft w:val="0"/>
      <w:marRight w:val="0"/>
      <w:marTop w:val="0"/>
      <w:marBottom w:val="0"/>
      <w:divBdr>
        <w:top w:val="none" w:sz="0" w:space="0" w:color="auto"/>
        <w:left w:val="none" w:sz="0" w:space="0" w:color="auto"/>
        <w:bottom w:val="none" w:sz="0" w:space="0" w:color="auto"/>
        <w:right w:val="none" w:sz="0" w:space="0" w:color="auto"/>
      </w:divBdr>
    </w:div>
    <w:div w:id="1252618404">
      <w:bodyDiv w:val="1"/>
      <w:marLeft w:val="0"/>
      <w:marRight w:val="0"/>
      <w:marTop w:val="0"/>
      <w:marBottom w:val="0"/>
      <w:divBdr>
        <w:top w:val="none" w:sz="0" w:space="0" w:color="auto"/>
        <w:left w:val="none" w:sz="0" w:space="0" w:color="auto"/>
        <w:bottom w:val="none" w:sz="0" w:space="0" w:color="auto"/>
        <w:right w:val="none" w:sz="0" w:space="0" w:color="auto"/>
      </w:divBdr>
    </w:div>
    <w:div w:id="1265385193">
      <w:bodyDiv w:val="1"/>
      <w:marLeft w:val="0"/>
      <w:marRight w:val="0"/>
      <w:marTop w:val="0"/>
      <w:marBottom w:val="0"/>
      <w:divBdr>
        <w:top w:val="none" w:sz="0" w:space="0" w:color="auto"/>
        <w:left w:val="none" w:sz="0" w:space="0" w:color="auto"/>
        <w:bottom w:val="none" w:sz="0" w:space="0" w:color="auto"/>
        <w:right w:val="none" w:sz="0" w:space="0" w:color="auto"/>
      </w:divBdr>
    </w:div>
    <w:div w:id="1334993685">
      <w:bodyDiv w:val="1"/>
      <w:marLeft w:val="0"/>
      <w:marRight w:val="0"/>
      <w:marTop w:val="0"/>
      <w:marBottom w:val="0"/>
      <w:divBdr>
        <w:top w:val="none" w:sz="0" w:space="0" w:color="auto"/>
        <w:left w:val="none" w:sz="0" w:space="0" w:color="auto"/>
        <w:bottom w:val="none" w:sz="0" w:space="0" w:color="auto"/>
        <w:right w:val="none" w:sz="0" w:space="0" w:color="auto"/>
      </w:divBdr>
    </w:div>
    <w:div w:id="1337725939">
      <w:bodyDiv w:val="1"/>
      <w:marLeft w:val="0"/>
      <w:marRight w:val="0"/>
      <w:marTop w:val="0"/>
      <w:marBottom w:val="0"/>
      <w:divBdr>
        <w:top w:val="none" w:sz="0" w:space="0" w:color="auto"/>
        <w:left w:val="none" w:sz="0" w:space="0" w:color="auto"/>
        <w:bottom w:val="none" w:sz="0" w:space="0" w:color="auto"/>
        <w:right w:val="none" w:sz="0" w:space="0" w:color="auto"/>
      </w:divBdr>
    </w:div>
    <w:div w:id="1369798843">
      <w:bodyDiv w:val="1"/>
      <w:marLeft w:val="0"/>
      <w:marRight w:val="0"/>
      <w:marTop w:val="0"/>
      <w:marBottom w:val="0"/>
      <w:divBdr>
        <w:top w:val="none" w:sz="0" w:space="0" w:color="auto"/>
        <w:left w:val="none" w:sz="0" w:space="0" w:color="auto"/>
        <w:bottom w:val="none" w:sz="0" w:space="0" w:color="auto"/>
        <w:right w:val="none" w:sz="0" w:space="0" w:color="auto"/>
      </w:divBdr>
    </w:div>
    <w:div w:id="1396198337">
      <w:bodyDiv w:val="1"/>
      <w:marLeft w:val="0"/>
      <w:marRight w:val="0"/>
      <w:marTop w:val="0"/>
      <w:marBottom w:val="0"/>
      <w:divBdr>
        <w:top w:val="none" w:sz="0" w:space="0" w:color="auto"/>
        <w:left w:val="none" w:sz="0" w:space="0" w:color="auto"/>
        <w:bottom w:val="none" w:sz="0" w:space="0" w:color="auto"/>
        <w:right w:val="none" w:sz="0" w:space="0" w:color="auto"/>
      </w:divBdr>
    </w:div>
    <w:div w:id="1399670874">
      <w:bodyDiv w:val="1"/>
      <w:marLeft w:val="0"/>
      <w:marRight w:val="0"/>
      <w:marTop w:val="0"/>
      <w:marBottom w:val="0"/>
      <w:divBdr>
        <w:top w:val="none" w:sz="0" w:space="0" w:color="auto"/>
        <w:left w:val="none" w:sz="0" w:space="0" w:color="auto"/>
        <w:bottom w:val="none" w:sz="0" w:space="0" w:color="auto"/>
        <w:right w:val="none" w:sz="0" w:space="0" w:color="auto"/>
      </w:divBdr>
    </w:div>
    <w:div w:id="1428388216">
      <w:bodyDiv w:val="1"/>
      <w:marLeft w:val="0"/>
      <w:marRight w:val="0"/>
      <w:marTop w:val="0"/>
      <w:marBottom w:val="0"/>
      <w:divBdr>
        <w:top w:val="none" w:sz="0" w:space="0" w:color="auto"/>
        <w:left w:val="none" w:sz="0" w:space="0" w:color="auto"/>
        <w:bottom w:val="none" w:sz="0" w:space="0" w:color="auto"/>
        <w:right w:val="none" w:sz="0" w:space="0" w:color="auto"/>
      </w:divBdr>
    </w:div>
    <w:div w:id="1454981524">
      <w:bodyDiv w:val="1"/>
      <w:marLeft w:val="0"/>
      <w:marRight w:val="0"/>
      <w:marTop w:val="0"/>
      <w:marBottom w:val="0"/>
      <w:divBdr>
        <w:top w:val="none" w:sz="0" w:space="0" w:color="auto"/>
        <w:left w:val="none" w:sz="0" w:space="0" w:color="auto"/>
        <w:bottom w:val="none" w:sz="0" w:space="0" w:color="auto"/>
        <w:right w:val="none" w:sz="0" w:space="0" w:color="auto"/>
      </w:divBdr>
    </w:div>
    <w:div w:id="1509325404">
      <w:bodyDiv w:val="1"/>
      <w:marLeft w:val="0"/>
      <w:marRight w:val="0"/>
      <w:marTop w:val="0"/>
      <w:marBottom w:val="0"/>
      <w:divBdr>
        <w:top w:val="none" w:sz="0" w:space="0" w:color="auto"/>
        <w:left w:val="none" w:sz="0" w:space="0" w:color="auto"/>
        <w:bottom w:val="none" w:sz="0" w:space="0" w:color="auto"/>
        <w:right w:val="none" w:sz="0" w:space="0" w:color="auto"/>
      </w:divBdr>
    </w:div>
    <w:div w:id="1509441327">
      <w:bodyDiv w:val="1"/>
      <w:marLeft w:val="0"/>
      <w:marRight w:val="0"/>
      <w:marTop w:val="0"/>
      <w:marBottom w:val="0"/>
      <w:divBdr>
        <w:top w:val="none" w:sz="0" w:space="0" w:color="auto"/>
        <w:left w:val="none" w:sz="0" w:space="0" w:color="auto"/>
        <w:bottom w:val="none" w:sz="0" w:space="0" w:color="auto"/>
        <w:right w:val="none" w:sz="0" w:space="0" w:color="auto"/>
      </w:divBdr>
    </w:div>
    <w:div w:id="1513035978">
      <w:bodyDiv w:val="1"/>
      <w:marLeft w:val="0"/>
      <w:marRight w:val="0"/>
      <w:marTop w:val="0"/>
      <w:marBottom w:val="0"/>
      <w:divBdr>
        <w:top w:val="none" w:sz="0" w:space="0" w:color="auto"/>
        <w:left w:val="none" w:sz="0" w:space="0" w:color="auto"/>
        <w:bottom w:val="none" w:sz="0" w:space="0" w:color="auto"/>
        <w:right w:val="none" w:sz="0" w:space="0" w:color="auto"/>
      </w:divBdr>
    </w:div>
    <w:div w:id="1551914988">
      <w:bodyDiv w:val="1"/>
      <w:marLeft w:val="0"/>
      <w:marRight w:val="0"/>
      <w:marTop w:val="0"/>
      <w:marBottom w:val="0"/>
      <w:divBdr>
        <w:top w:val="none" w:sz="0" w:space="0" w:color="auto"/>
        <w:left w:val="none" w:sz="0" w:space="0" w:color="auto"/>
        <w:bottom w:val="none" w:sz="0" w:space="0" w:color="auto"/>
        <w:right w:val="none" w:sz="0" w:space="0" w:color="auto"/>
      </w:divBdr>
    </w:div>
    <w:div w:id="1568419487">
      <w:bodyDiv w:val="1"/>
      <w:marLeft w:val="0"/>
      <w:marRight w:val="0"/>
      <w:marTop w:val="0"/>
      <w:marBottom w:val="0"/>
      <w:divBdr>
        <w:top w:val="none" w:sz="0" w:space="0" w:color="auto"/>
        <w:left w:val="none" w:sz="0" w:space="0" w:color="auto"/>
        <w:bottom w:val="none" w:sz="0" w:space="0" w:color="auto"/>
        <w:right w:val="none" w:sz="0" w:space="0" w:color="auto"/>
      </w:divBdr>
    </w:div>
    <w:div w:id="1577788567">
      <w:bodyDiv w:val="1"/>
      <w:marLeft w:val="0"/>
      <w:marRight w:val="0"/>
      <w:marTop w:val="0"/>
      <w:marBottom w:val="0"/>
      <w:divBdr>
        <w:top w:val="none" w:sz="0" w:space="0" w:color="auto"/>
        <w:left w:val="none" w:sz="0" w:space="0" w:color="auto"/>
        <w:bottom w:val="none" w:sz="0" w:space="0" w:color="auto"/>
        <w:right w:val="none" w:sz="0" w:space="0" w:color="auto"/>
      </w:divBdr>
    </w:div>
    <w:div w:id="1583106469">
      <w:bodyDiv w:val="1"/>
      <w:marLeft w:val="0"/>
      <w:marRight w:val="0"/>
      <w:marTop w:val="0"/>
      <w:marBottom w:val="0"/>
      <w:divBdr>
        <w:top w:val="none" w:sz="0" w:space="0" w:color="auto"/>
        <w:left w:val="none" w:sz="0" w:space="0" w:color="auto"/>
        <w:bottom w:val="none" w:sz="0" w:space="0" w:color="auto"/>
        <w:right w:val="none" w:sz="0" w:space="0" w:color="auto"/>
      </w:divBdr>
    </w:div>
    <w:div w:id="1655910107">
      <w:bodyDiv w:val="1"/>
      <w:marLeft w:val="0"/>
      <w:marRight w:val="0"/>
      <w:marTop w:val="0"/>
      <w:marBottom w:val="0"/>
      <w:divBdr>
        <w:top w:val="none" w:sz="0" w:space="0" w:color="auto"/>
        <w:left w:val="none" w:sz="0" w:space="0" w:color="auto"/>
        <w:bottom w:val="none" w:sz="0" w:space="0" w:color="auto"/>
        <w:right w:val="none" w:sz="0" w:space="0" w:color="auto"/>
      </w:divBdr>
    </w:div>
    <w:div w:id="1761559190">
      <w:bodyDiv w:val="1"/>
      <w:marLeft w:val="0"/>
      <w:marRight w:val="0"/>
      <w:marTop w:val="0"/>
      <w:marBottom w:val="0"/>
      <w:divBdr>
        <w:top w:val="none" w:sz="0" w:space="0" w:color="auto"/>
        <w:left w:val="none" w:sz="0" w:space="0" w:color="auto"/>
        <w:bottom w:val="none" w:sz="0" w:space="0" w:color="auto"/>
        <w:right w:val="none" w:sz="0" w:space="0" w:color="auto"/>
      </w:divBdr>
    </w:div>
    <w:div w:id="1801532622">
      <w:bodyDiv w:val="1"/>
      <w:marLeft w:val="0"/>
      <w:marRight w:val="0"/>
      <w:marTop w:val="0"/>
      <w:marBottom w:val="0"/>
      <w:divBdr>
        <w:top w:val="none" w:sz="0" w:space="0" w:color="auto"/>
        <w:left w:val="none" w:sz="0" w:space="0" w:color="auto"/>
        <w:bottom w:val="none" w:sz="0" w:space="0" w:color="auto"/>
        <w:right w:val="none" w:sz="0" w:space="0" w:color="auto"/>
      </w:divBdr>
    </w:div>
    <w:div w:id="1802840696">
      <w:bodyDiv w:val="1"/>
      <w:marLeft w:val="0"/>
      <w:marRight w:val="0"/>
      <w:marTop w:val="0"/>
      <w:marBottom w:val="0"/>
      <w:divBdr>
        <w:top w:val="none" w:sz="0" w:space="0" w:color="auto"/>
        <w:left w:val="none" w:sz="0" w:space="0" w:color="auto"/>
        <w:bottom w:val="none" w:sz="0" w:space="0" w:color="auto"/>
        <w:right w:val="none" w:sz="0" w:space="0" w:color="auto"/>
      </w:divBdr>
    </w:div>
    <w:div w:id="1807089873">
      <w:bodyDiv w:val="1"/>
      <w:marLeft w:val="0"/>
      <w:marRight w:val="0"/>
      <w:marTop w:val="0"/>
      <w:marBottom w:val="0"/>
      <w:divBdr>
        <w:top w:val="none" w:sz="0" w:space="0" w:color="auto"/>
        <w:left w:val="none" w:sz="0" w:space="0" w:color="auto"/>
        <w:bottom w:val="none" w:sz="0" w:space="0" w:color="auto"/>
        <w:right w:val="none" w:sz="0" w:space="0" w:color="auto"/>
      </w:divBdr>
    </w:div>
    <w:div w:id="1876624830">
      <w:bodyDiv w:val="1"/>
      <w:marLeft w:val="0"/>
      <w:marRight w:val="0"/>
      <w:marTop w:val="0"/>
      <w:marBottom w:val="0"/>
      <w:divBdr>
        <w:top w:val="none" w:sz="0" w:space="0" w:color="auto"/>
        <w:left w:val="none" w:sz="0" w:space="0" w:color="auto"/>
        <w:bottom w:val="none" w:sz="0" w:space="0" w:color="auto"/>
        <w:right w:val="none" w:sz="0" w:space="0" w:color="auto"/>
      </w:divBdr>
    </w:div>
    <w:div w:id="1912616127">
      <w:bodyDiv w:val="1"/>
      <w:marLeft w:val="0"/>
      <w:marRight w:val="0"/>
      <w:marTop w:val="0"/>
      <w:marBottom w:val="0"/>
      <w:divBdr>
        <w:top w:val="none" w:sz="0" w:space="0" w:color="auto"/>
        <w:left w:val="none" w:sz="0" w:space="0" w:color="auto"/>
        <w:bottom w:val="none" w:sz="0" w:space="0" w:color="auto"/>
        <w:right w:val="none" w:sz="0" w:space="0" w:color="auto"/>
      </w:divBdr>
    </w:div>
    <w:div w:id="1926260959">
      <w:bodyDiv w:val="1"/>
      <w:marLeft w:val="0"/>
      <w:marRight w:val="0"/>
      <w:marTop w:val="0"/>
      <w:marBottom w:val="0"/>
      <w:divBdr>
        <w:top w:val="none" w:sz="0" w:space="0" w:color="auto"/>
        <w:left w:val="none" w:sz="0" w:space="0" w:color="auto"/>
        <w:bottom w:val="none" w:sz="0" w:space="0" w:color="auto"/>
        <w:right w:val="none" w:sz="0" w:space="0" w:color="auto"/>
      </w:divBdr>
    </w:div>
    <w:div w:id="1939678238">
      <w:bodyDiv w:val="1"/>
      <w:marLeft w:val="0"/>
      <w:marRight w:val="0"/>
      <w:marTop w:val="0"/>
      <w:marBottom w:val="0"/>
      <w:divBdr>
        <w:top w:val="none" w:sz="0" w:space="0" w:color="auto"/>
        <w:left w:val="none" w:sz="0" w:space="0" w:color="auto"/>
        <w:bottom w:val="none" w:sz="0" w:space="0" w:color="auto"/>
        <w:right w:val="none" w:sz="0" w:space="0" w:color="auto"/>
      </w:divBdr>
    </w:div>
    <w:div w:id="1943342170">
      <w:bodyDiv w:val="1"/>
      <w:marLeft w:val="0"/>
      <w:marRight w:val="0"/>
      <w:marTop w:val="0"/>
      <w:marBottom w:val="0"/>
      <w:divBdr>
        <w:top w:val="none" w:sz="0" w:space="0" w:color="auto"/>
        <w:left w:val="none" w:sz="0" w:space="0" w:color="auto"/>
        <w:bottom w:val="none" w:sz="0" w:space="0" w:color="auto"/>
        <w:right w:val="none" w:sz="0" w:space="0" w:color="auto"/>
      </w:divBdr>
    </w:div>
    <w:div w:id="1999532685">
      <w:bodyDiv w:val="1"/>
      <w:marLeft w:val="0"/>
      <w:marRight w:val="0"/>
      <w:marTop w:val="0"/>
      <w:marBottom w:val="0"/>
      <w:divBdr>
        <w:top w:val="none" w:sz="0" w:space="0" w:color="auto"/>
        <w:left w:val="none" w:sz="0" w:space="0" w:color="auto"/>
        <w:bottom w:val="none" w:sz="0" w:space="0" w:color="auto"/>
        <w:right w:val="none" w:sz="0" w:space="0" w:color="auto"/>
      </w:divBdr>
    </w:div>
    <w:div w:id="2110273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chart" Target="charts/chart2.xml"/><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chart" Target="charts/chart1.xml"/><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https://www.sydneymetro.info/west/project-overview" TargetMode="External"/><Relationship Id="rId20"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2.xml"/><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2" Type="http://schemas.openxmlformats.org/officeDocument/2006/relationships/oleObject" Target="https://nswgov.sharepoint.com/sites/TSY2019-20Budget/Shared%20Documents/General/Budget/05.%20Budget%20Paper%202%20(Infrastructure%20Statement)/Ch1%20-%20Investment%20Program/Model/20190514_Budget%20Paper%202%20Smart%20View%20Reports_19-20.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6586054605648638E-2"/>
          <c:y val="4.7408490462289898E-2"/>
          <c:w val="0.88812494347040982"/>
          <c:h val="0.88003915711907987"/>
        </c:manualLayout>
      </c:layout>
      <c:barChart>
        <c:barDir val="col"/>
        <c:grouping val="stacked"/>
        <c:varyColors val="0"/>
        <c:ser>
          <c:idx val="0"/>
          <c:order val="0"/>
          <c:tx>
            <c:strRef>
              <c:f>'Chart 1.3'!$A$29</c:f>
              <c:strCache>
                <c:ptCount val="1"/>
                <c:pt idx="0">
                  <c:v>General 
Government 
71.7</c:v>
                </c:pt>
              </c:strCache>
            </c:strRef>
          </c:tx>
          <c:spPr>
            <a:solidFill>
              <a:srgbClr val="002664"/>
            </a:solidFill>
            <a:ln>
              <a:noFill/>
            </a:ln>
          </c:spPr>
          <c:invertIfNegative val="0"/>
          <c:dPt>
            <c:idx val="0"/>
            <c:invertIfNegative val="0"/>
            <c:bubble3D val="0"/>
            <c:spPr>
              <a:solidFill>
                <a:srgbClr val="002664"/>
              </a:solidFill>
              <a:ln w="25400" cap="flat" cmpd="sng" algn="ctr">
                <a:noFill/>
                <a:prstDash val="solid"/>
              </a:ln>
              <a:effectLst/>
            </c:spPr>
            <c:extLst>
              <c:ext xmlns:c16="http://schemas.microsoft.com/office/drawing/2014/chart" uri="{C3380CC4-5D6E-409C-BE32-E72D297353CC}">
                <c16:uniqueId val="{00000001-AD67-4920-8C5A-C12200C694B8}"/>
              </c:ext>
            </c:extLst>
          </c:dPt>
          <c:dLbls>
            <c:dLbl>
              <c:idx val="0"/>
              <c:numFmt formatCode="#,##0.0_ ;[Red]\-#,##0.0\ " sourceLinked="0"/>
              <c:spPr/>
              <c:txPr>
                <a:bodyPr/>
                <a:lstStyle/>
                <a:p>
                  <a:pPr>
                    <a:defRPr sz="650">
                      <a:solidFill>
                        <a:schemeClr val="bg1"/>
                      </a:solidFill>
                    </a:defRPr>
                  </a:pPr>
                  <a:endParaRPr lang="en-US"/>
                </a:p>
              </c:txPr>
              <c:dLblPos val="ctr"/>
              <c:showLegendKey val="0"/>
              <c:showVal val="0"/>
              <c:showCatName val="0"/>
              <c:showSerName val="1"/>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AD67-4920-8C5A-C12200C694B8}"/>
                </c:ext>
              </c:extLst>
            </c:dLbl>
            <c:dLbl>
              <c:idx val="1"/>
              <c:tx>
                <c:rich>
                  <a:bodyPr/>
                  <a:lstStyle/>
                  <a:p>
                    <a:endParaRPr lang="en-AU"/>
                  </a:p>
                </c:rich>
              </c:tx>
              <c:dLblPos val="ct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2-AD67-4920-8C5A-C12200C694B8}"/>
                </c:ext>
              </c:extLst>
            </c:dLbl>
            <c:numFmt formatCode="#,##0.0" sourceLinked="0"/>
            <c:spPr>
              <a:noFill/>
              <a:ln>
                <a:noFill/>
              </a:ln>
              <a:effectLst/>
            </c:spPr>
            <c:txPr>
              <a:bodyPr/>
              <a:lstStyle/>
              <a:p>
                <a:pPr>
                  <a:defRPr sz="650">
                    <a:solidFill>
                      <a:schemeClr val="bg1"/>
                    </a:solidFill>
                  </a:defRPr>
                </a:pPr>
                <a:endParaRPr lang="en-US"/>
              </a:p>
            </c:txPr>
            <c:dLblPos val="ctr"/>
            <c:showLegendKey val="0"/>
            <c:showVal val="0"/>
            <c:showCatName val="0"/>
            <c:showSerName val="1"/>
            <c:showPercent val="0"/>
            <c:showBubbleSize val="0"/>
            <c:showLeaderLines val="0"/>
            <c:extLst>
              <c:ext xmlns:c15="http://schemas.microsoft.com/office/drawing/2012/chart" uri="{CE6537A1-D6FC-4f65-9D91-7224C49458BB}">
                <c15:showDataLabelsRange val="1"/>
                <c15:showLeaderLines val="0"/>
              </c:ext>
            </c:extLst>
          </c:dLbls>
          <c:cat>
            <c:strRef>
              <c:f>'Chart 1.3'!$M$28:$N$28</c:f>
              <c:strCache>
                <c:ptCount val="2"/>
                <c:pt idx="0">
                  <c:v>Expenditure</c:v>
                </c:pt>
                <c:pt idx="1">
                  <c:v>Funding</c:v>
                </c:pt>
              </c:strCache>
            </c:strRef>
          </c:cat>
          <c:val>
            <c:numRef>
              <c:f>'Chart 1.3'!$M$29:$N$29</c:f>
              <c:numCache>
                <c:formatCode>General</c:formatCode>
                <c:ptCount val="2"/>
                <c:pt idx="0" formatCode="_-* #,##0_-;\-* #,##0_-;_-* &quot;-&quot;??_-;_-@_-">
                  <c:v>71691.040362345506</c:v>
                </c:pt>
              </c:numCache>
            </c:numRef>
          </c:val>
          <c:extLst>
            <c:ext xmlns:c16="http://schemas.microsoft.com/office/drawing/2014/chart" uri="{C3380CC4-5D6E-409C-BE32-E72D297353CC}">
              <c16:uniqueId val="{00000003-AD67-4920-8C5A-C12200C694B8}"/>
            </c:ext>
          </c:extLst>
        </c:ser>
        <c:ser>
          <c:idx val="1"/>
          <c:order val="1"/>
          <c:tx>
            <c:strRef>
              <c:f>'Chart 1.3'!$A$30</c:f>
              <c:strCache>
                <c:ptCount val="1"/>
                <c:pt idx="0">
                  <c:v>Public Non-Financial Corporations
21.3</c:v>
                </c:pt>
              </c:strCache>
            </c:strRef>
          </c:tx>
          <c:spPr>
            <a:solidFill>
              <a:srgbClr val="25A9E1"/>
            </a:solidFill>
            <a:ln w="25400" cap="flat" cmpd="sng" algn="ctr">
              <a:noFill/>
              <a:prstDash val="solid"/>
            </a:ln>
            <a:effectLst/>
          </c:spPr>
          <c:invertIfNegative val="0"/>
          <c:dLbls>
            <c:dLbl>
              <c:idx val="0"/>
              <c:tx>
                <c:rich>
                  <a:bodyPr wrap="square" lIns="38100" tIns="19050" rIns="38100" bIns="19050" anchor="ctr">
                    <a:noAutofit/>
                  </a:bodyPr>
                  <a:lstStyle/>
                  <a:p>
                    <a:pPr>
                      <a:defRPr>
                        <a:solidFill>
                          <a:schemeClr val="bg1"/>
                        </a:solidFill>
                      </a:defRPr>
                    </a:pPr>
                    <a:fld id="{F5E12E0E-766C-4E34-A390-04C9DA2FA733}" type="CELLRANGE">
                      <a:rPr lang="en-US">
                        <a:solidFill>
                          <a:schemeClr val="bg1"/>
                        </a:solidFill>
                      </a:rPr>
                      <a:pPr>
                        <a:defRPr>
                          <a:solidFill>
                            <a:schemeClr val="bg1"/>
                          </a:solidFill>
                        </a:defRPr>
                      </a:pPr>
                      <a:t>[CELLRANGE]</a:t>
                    </a:fld>
                    <a:endParaRPr lang="en-AU"/>
                  </a:p>
                </c:rich>
              </c:tx>
              <c:spPr>
                <a:noFill/>
                <a:ln>
                  <a:noFill/>
                </a:ln>
                <a:effectLst/>
              </c:spPr>
              <c:dLblPos val="ctr"/>
              <c:showLegendKey val="0"/>
              <c:showVal val="0"/>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1"/>
                </c:ext>
                <c:ext xmlns:c16="http://schemas.microsoft.com/office/drawing/2014/chart" uri="{C3380CC4-5D6E-409C-BE32-E72D297353CC}">
                  <c16:uniqueId val="{00000004-AD67-4920-8C5A-C12200C694B8}"/>
                </c:ext>
              </c:extLst>
            </c:dLbl>
            <c:dLbl>
              <c:idx val="1"/>
              <c:tx>
                <c:rich>
                  <a:bodyPr/>
                  <a:lstStyle/>
                  <a:p>
                    <a:endParaRPr lang="en-US"/>
                  </a:p>
                </c:rich>
              </c:tx>
              <c:dLblPos val="ct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05-AD67-4920-8C5A-C12200C694B8}"/>
                </c:ext>
              </c:extLst>
            </c:dLbl>
            <c:spPr>
              <a:noFill/>
              <a:ln>
                <a:noFill/>
              </a:ln>
              <a:effectLst/>
            </c:spPr>
            <c:dLblPos val="ctr"/>
            <c:showLegendKey val="0"/>
            <c:showVal val="0"/>
            <c:showCatName val="0"/>
            <c:showSerName val="1"/>
            <c:showPercent val="0"/>
            <c:showBubbleSize val="0"/>
            <c:showLeaderLines val="0"/>
            <c:extLst>
              <c:ext xmlns:c15="http://schemas.microsoft.com/office/drawing/2012/chart" uri="{CE6537A1-D6FC-4f65-9D91-7224C49458BB}">
                <c15:showDataLabelsRange val="1"/>
                <c15:showLeaderLines val="0"/>
              </c:ext>
            </c:extLst>
          </c:dLbls>
          <c:cat>
            <c:strRef>
              <c:f>'Chart 1.3'!$M$28:$N$28</c:f>
              <c:strCache>
                <c:ptCount val="2"/>
                <c:pt idx="0">
                  <c:v>Expenditure</c:v>
                </c:pt>
                <c:pt idx="1">
                  <c:v>Funding</c:v>
                </c:pt>
              </c:strCache>
            </c:strRef>
          </c:cat>
          <c:val>
            <c:numRef>
              <c:f>'Chart 1.3'!$M$30:$N$30</c:f>
              <c:numCache>
                <c:formatCode>General</c:formatCode>
                <c:ptCount val="2"/>
                <c:pt idx="0" formatCode="_-* #,##0_-;\-* #,##0_-;_-* &quot;-&quot;??_-;_-@_-">
                  <c:v>21343.040473699999</c:v>
                </c:pt>
              </c:numCache>
            </c:numRef>
          </c:val>
          <c:extLst>
            <c:ext xmlns:c15="http://schemas.microsoft.com/office/drawing/2012/chart" uri="{02D57815-91ED-43cb-92C2-25804820EDAC}">
              <c15:datalabelsRange>
                <c15:f>'Chart 1.3'!$A$30</c15:f>
                <c15:dlblRangeCache>
                  <c:ptCount val="1"/>
                  <c:pt idx="0">
                    <c:v>Public Non-Financial Corporations
21.3</c:v>
                  </c:pt>
                </c15:dlblRangeCache>
              </c15:datalabelsRange>
            </c:ext>
            <c:ext xmlns:c16="http://schemas.microsoft.com/office/drawing/2014/chart" uri="{C3380CC4-5D6E-409C-BE32-E72D297353CC}">
              <c16:uniqueId val="{00000006-AD67-4920-8C5A-C12200C694B8}"/>
            </c:ext>
          </c:extLst>
        </c:ser>
        <c:ser>
          <c:idx val="5"/>
          <c:order val="2"/>
          <c:tx>
            <c:strRef>
              <c:f>'Chart 1.3'!$A$34</c:f>
              <c:strCache>
                <c:ptCount val="1"/>
                <c:pt idx="0">
                  <c:v>State sources
64.1</c:v>
                </c:pt>
              </c:strCache>
            </c:strRef>
          </c:tx>
          <c:spPr>
            <a:solidFill>
              <a:srgbClr val="002664"/>
            </a:solidFill>
            <a:ln w="25400" cap="flat" cmpd="sng" algn="ctr">
              <a:noFill/>
              <a:prstDash val="solid"/>
            </a:ln>
            <a:effectLst/>
          </c:spPr>
          <c:invertIfNegative val="0"/>
          <c:dLbls>
            <c:dLbl>
              <c:idx val="0"/>
              <c:tx>
                <c:rich>
                  <a:bodyPr/>
                  <a:lstStyle/>
                  <a:p>
                    <a:endParaRPr lang="en-US"/>
                  </a:p>
                </c:rich>
              </c:tx>
              <c:dLblPos val="ctr"/>
              <c:showLegendKey val="0"/>
              <c:showVal val="0"/>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D67-4920-8C5A-C12200C694B8}"/>
                </c:ext>
              </c:extLst>
            </c:dLbl>
            <c:dLbl>
              <c:idx val="1"/>
              <c:tx>
                <c:rich>
                  <a:bodyPr wrap="square" lIns="38100" tIns="19050" rIns="38100" bIns="19050" anchor="ctr">
                    <a:noAutofit/>
                  </a:bodyPr>
                  <a:lstStyle/>
                  <a:p>
                    <a:pPr>
                      <a:defRPr baseline="0">
                        <a:solidFill>
                          <a:schemeClr val="bg1"/>
                        </a:solidFill>
                      </a:defRPr>
                    </a:pPr>
                    <a:fld id="{5042FDF8-9867-43D6-8C98-7F0EA6052F2C}" type="SERIESNAME">
                      <a:rPr lang="en-US" baseline="0">
                        <a:solidFill>
                          <a:schemeClr val="bg1"/>
                        </a:solidFill>
                      </a:rPr>
                      <a:pPr>
                        <a:defRPr baseline="0">
                          <a:solidFill>
                            <a:schemeClr val="bg1"/>
                          </a:solidFill>
                        </a:defRPr>
                      </a:pPr>
                      <a:t>[SERIES NAME]</a:t>
                    </a:fld>
                    <a:endParaRPr lang="en-AU"/>
                  </a:p>
                </c:rich>
              </c:tx>
              <c:spPr>
                <a:noFill/>
                <a:ln>
                  <a:noFill/>
                </a:ln>
                <a:effectLst/>
              </c:spPr>
              <c:dLblPos val="ctr"/>
              <c:showLegendKey val="0"/>
              <c:showVal val="0"/>
              <c:showCatName val="0"/>
              <c:showSerName val="1"/>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1"/>
                </c:ext>
                <c:ext xmlns:c16="http://schemas.microsoft.com/office/drawing/2014/chart" uri="{C3380CC4-5D6E-409C-BE32-E72D297353CC}">
                  <c16:uniqueId val="{00000008-AD67-4920-8C5A-C12200C694B8}"/>
                </c:ext>
              </c:extLst>
            </c:dLbl>
            <c:spPr>
              <a:noFill/>
              <a:ln>
                <a:noFill/>
              </a:ln>
              <a:effectLst/>
            </c:spPr>
            <c:dLblPos val="ct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ext>
            </c:extLst>
          </c:dLbls>
          <c:cat>
            <c:strRef>
              <c:f>'Chart 1.3'!$M$28:$N$28</c:f>
              <c:strCache>
                <c:ptCount val="2"/>
                <c:pt idx="0">
                  <c:v>Expenditure</c:v>
                </c:pt>
                <c:pt idx="1">
                  <c:v>Funding</c:v>
                </c:pt>
              </c:strCache>
            </c:strRef>
          </c:cat>
          <c:val>
            <c:numRef>
              <c:f>'Chart 1.3'!$M$34:$N$34</c:f>
              <c:numCache>
                <c:formatCode>_-* #,##0_-;\-* #,##0_-;_-* "-"??_-;_-@_-</c:formatCode>
                <c:ptCount val="2"/>
                <c:pt idx="1">
                  <c:v>64055.590755251025</c:v>
                </c:pt>
              </c:numCache>
            </c:numRef>
          </c:val>
          <c:extLst>
            <c:ext xmlns:c15="http://schemas.microsoft.com/office/drawing/2012/chart" uri="{02D57815-91ED-43cb-92C2-25804820EDAC}">
              <c15:datalabelsRange>
                <c15:f>'Chart 1.3'!$A$34</c15:f>
                <c15:dlblRangeCache>
                  <c:ptCount val="1"/>
                  <c:pt idx="0">
                    <c:v>State sources
64.1</c:v>
                  </c:pt>
                </c15:dlblRangeCache>
              </c15:datalabelsRange>
            </c:ext>
            <c:ext xmlns:c16="http://schemas.microsoft.com/office/drawing/2014/chart" uri="{C3380CC4-5D6E-409C-BE32-E72D297353CC}">
              <c16:uniqueId val="{00000009-AD67-4920-8C5A-C12200C694B8}"/>
            </c:ext>
          </c:extLst>
        </c:ser>
        <c:ser>
          <c:idx val="3"/>
          <c:order val="3"/>
          <c:tx>
            <c:strRef>
              <c:f>'Chart 1.3'!$A$32</c:f>
              <c:strCache>
                <c:ptCount val="1"/>
                <c:pt idx="0">
                  <c:v>Restart NSW
 11.2</c:v>
                </c:pt>
              </c:strCache>
            </c:strRef>
          </c:tx>
          <c:spPr>
            <a:solidFill>
              <a:schemeClr val="lt1"/>
            </a:solidFill>
            <a:ln w="3175" cap="flat" cmpd="sng" algn="ctr">
              <a:solidFill>
                <a:schemeClr val="bg1">
                  <a:lumMod val="85000"/>
                </a:schemeClr>
              </a:solidFill>
              <a:prstDash val="solid"/>
            </a:ln>
            <a:effectLst/>
          </c:spPr>
          <c:invertIfNegative val="0"/>
          <c:dPt>
            <c:idx val="1"/>
            <c:invertIfNegative val="0"/>
            <c:bubble3D val="0"/>
            <c:extLst>
              <c:ext xmlns:c16="http://schemas.microsoft.com/office/drawing/2014/chart" uri="{C3380CC4-5D6E-409C-BE32-E72D297353CC}">
                <c16:uniqueId val="{0000000A-AD67-4920-8C5A-C12200C694B8}"/>
              </c:ext>
            </c:extLst>
          </c:dPt>
          <c:dLbls>
            <c:dLbl>
              <c:idx val="0"/>
              <c:tx>
                <c:rich>
                  <a:bodyPr/>
                  <a:lstStyle/>
                  <a:p>
                    <a:endParaRPr lang="en-AU"/>
                  </a:p>
                </c:rich>
              </c:tx>
              <c:dLblPos val="ctr"/>
              <c:showLegendKey val="0"/>
              <c:showVal val="0"/>
              <c:showCatName val="0"/>
              <c:showSerName val="1"/>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B-AD67-4920-8C5A-C12200C694B8}"/>
                </c:ext>
              </c:extLst>
            </c:dLbl>
            <c:dLbl>
              <c:idx val="1"/>
              <c:tx>
                <c:rich>
                  <a:bodyPr wrap="square" lIns="38100" tIns="19050" rIns="38100" bIns="19050" anchor="ctr">
                    <a:noAutofit/>
                  </a:bodyPr>
                  <a:lstStyle/>
                  <a:p>
                    <a:pPr>
                      <a:defRPr sz="650"/>
                    </a:pPr>
                    <a:fld id="{1A4DAEF6-AD43-4E02-AC06-A8A386F1818A}" type="SERIESNAME">
                      <a:rPr lang="en-US"/>
                      <a:pPr>
                        <a:defRPr sz="650"/>
                      </a:pPr>
                      <a:t>[SERIES NAME]</a:t>
                    </a:fld>
                    <a:endParaRPr lang="en-AU"/>
                  </a:p>
                </c:rich>
              </c:tx>
              <c:numFmt formatCode="#,##0.0" sourceLinked="0"/>
              <c:spPr>
                <a:noFill/>
                <a:ln w="25400" cap="flat" cmpd="sng" algn="ctr">
                  <a:noFill/>
                  <a:prstDash val="solid"/>
                </a:ln>
                <a:effectLst/>
              </c:spPr>
              <c:showLegendKey val="0"/>
              <c:showVal val="0"/>
              <c:showCatName val="0"/>
              <c:showSerName val="1"/>
              <c:showPercent val="0"/>
              <c:showBubbleSize val="0"/>
              <c:extLst>
                <c:ext xmlns:c15="http://schemas.microsoft.com/office/drawing/2012/chart" uri="{CE6537A1-D6FC-4f65-9D91-7224C49458BB}">
                  <c15:spPr xmlns:c15="http://schemas.microsoft.com/office/drawing/2012/chart">
                    <a:prstGeom prst="rect">
                      <a:avLst/>
                    </a:prstGeom>
                  </c15:spPr>
                  <c15:dlblFieldTable/>
                  <c15:showDataLabelsRange val="1"/>
                </c:ext>
                <c:ext xmlns:c16="http://schemas.microsoft.com/office/drawing/2014/chart" uri="{C3380CC4-5D6E-409C-BE32-E72D297353CC}">
                  <c16:uniqueId val="{0000000A-AD67-4920-8C5A-C12200C694B8}"/>
                </c:ext>
              </c:extLst>
            </c:dLbl>
            <c:numFmt formatCode="#,##0.0" sourceLinked="0"/>
            <c:spPr>
              <a:noFill/>
              <a:ln w="25400" cap="flat" cmpd="sng" algn="ctr">
                <a:noFill/>
                <a:prstDash val="solid"/>
              </a:ln>
              <a:effectLst/>
            </c:spPr>
            <c:txPr>
              <a:bodyPr wrap="square" lIns="38100" tIns="19050" rIns="38100" bIns="19050" anchor="ctr">
                <a:spAutoFit/>
              </a:bodyPr>
              <a:lstStyle/>
              <a:p>
                <a:pPr>
                  <a:defRPr sz="650"/>
                </a:pPr>
                <a:endParaRPr lang="en-US"/>
              </a:p>
            </c:txPr>
            <c:dLblPos val="ctr"/>
            <c:showLegendKey val="0"/>
            <c:showVal val="0"/>
            <c:showCatName val="0"/>
            <c:showSerName val="1"/>
            <c:showPercent val="0"/>
            <c:showBubbleSize val="0"/>
            <c:separator> </c:separator>
            <c:showLeaderLines val="0"/>
            <c:extLst>
              <c:ext xmlns:c15="http://schemas.microsoft.com/office/drawing/2012/chart" uri="{CE6537A1-D6FC-4f65-9D91-7224C49458BB}">
                <c15:showDataLabelsRange val="1"/>
                <c15:showLeaderLines val="0"/>
              </c:ext>
            </c:extLst>
          </c:dLbls>
          <c:cat>
            <c:strRef>
              <c:f>'Chart 1.3'!$M$28:$N$28</c:f>
              <c:strCache>
                <c:ptCount val="2"/>
                <c:pt idx="0">
                  <c:v>Expenditure</c:v>
                </c:pt>
                <c:pt idx="1">
                  <c:v>Funding</c:v>
                </c:pt>
              </c:strCache>
            </c:strRef>
          </c:cat>
          <c:val>
            <c:numRef>
              <c:f>'Chart 1.3'!$M$32:$N$32</c:f>
              <c:numCache>
                <c:formatCode>_-* #,##0_-;\-* #,##0_-;_-* "-"??_-;_-@_-</c:formatCode>
                <c:ptCount val="2"/>
                <c:pt idx="1">
                  <c:v>11165.060343134477</c:v>
                </c:pt>
              </c:numCache>
            </c:numRef>
          </c:val>
          <c:extLst>
            <c:ext xmlns:c15="http://schemas.microsoft.com/office/drawing/2012/chart" uri="{02D57815-91ED-43cb-92C2-25804820EDAC}">
              <c15:datalabelsRange>
                <c15:f>'Chart 1.3'!$A$32</c15:f>
                <c15:dlblRangeCache>
                  <c:ptCount val="1"/>
                  <c:pt idx="0">
                    <c:v>Restart NSW
 11.2</c:v>
                  </c:pt>
                </c15:dlblRangeCache>
              </c15:datalabelsRange>
            </c:ext>
            <c:ext xmlns:c16="http://schemas.microsoft.com/office/drawing/2014/chart" uri="{C3380CC4-5D6E-409C-BE32-E72D297353CC}">
              <c16:uniqueId val="{0000000C-AD67-4920-8C5A-C12200C694B8}"/>
            </c:ext>
          </c:extLst>
        </c:ser>
        <c:ser>
          <c:idx val="4"/>
          <c:order val="4"/>
          <c:tx>
            <c:strRef>
              <c:f>'Chart 1.3'!$A$33</c:f>
              <c:strCache>
                <c:ptCount val="1"/>
                <c:pt idx="0">
                  <c:v>Commonwealth 6.3</c:v>
                </c:pt>
              </c:strCache>
            </c:strRef>
          </c:tx>
          <c:spPr>
            <a:solidFill>
              <a:srgbClr val="25A9E1"/>
            </a:solidFill>
            <a:ln w="25400" cap="flat" cmpd="sng" algn="ctr">
              <a:noFill/>
              <a:prstDash val="solid"/>
            </a:ln>
            <a:effectLst/>
          </c:spPr>
          <c:invertIfNegative val="0"/>
          <c:dLbls>
            <c:dLbl>
              <c:idx val="0"/>
              <c:tx>
                <c:rich>
                  <a:bodyPr/>
                  <a:lstStyle/>
                  <a:p>
                    <a:endParaRPr lang="en-AU"/>
                  </a:p>
                </c:rich>
              </c:tx>
              <c:dLblPos val="ctr"/>
              <c:showLegendKey val="0"/>
              <c:showVal val="0"/>
              <c:showCatName val="0"/>
              <c:showSerName val="1"/>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D-AD67-4920-8C5A-C12200C694B8}"/>
                </c:ext>
              </c:extLst>
            </c:dLbl>
            <c:dLbl>
              <c:idx val="1"/>
              <c:layout>
                <c:manualLayout>
                  <c:x val="-9.8402407964806658E-4"/>
                  <c:y val="-2.6979828255862589E-3"/>
                </c:manualLayout>
              </c:layout>
              <c:dLblPos val="ctr"/>
              <c:showLegendKey val="0"/>
              <c:showVal val="0"/>
              <c:showCatName val="0"/>
              <c:showSerName val="1"/>
              <c:showPercent val="0"/>
              <c:showBubbleSize val="0"/>
              <c:separator>
</c:separator>
              <c:extLst>
                <c:ext xmlns:c15="http://schemas.microsoft.com/office/drawing/2012/chart" uri="{CE6537A1-D6FC-4f65-9D91-7224C49458BB}">
                  <c15:layout>
                    <c:manualLayout>
                      <c:w val="0.14495262259414005"/>
                      <c:h val="4.3818849449204403E-2"/>
                    </c:manualLayout>
                  </c15:layout>
                </c:ext>
                <c:ext xmlns:c16="http://schemas.microsoft.com/office/drawing/2014/chart" uri="{C3380CC4-5D6E-409C-BE32-E72D297353CC}">
                  <c16:uniqueId val="{0000000E-AD67-4920-8C5A-C12200C694B8}"/>
                </c:ext>
              </c:extLst>
            </c:dLbl>
            <c:numFmt formatCode="#,##0.0" sourceLinked="0"/>
            <c:spPr>
              <a:ln>
                <a:noFill/>
              </a:ln>
            </c:spPr>
            <c:txPr>
              <a:bodyPr/>
              <a:lstStyle/>
              <a:p>
                <a:pPr>
                  <a:defRPr sz="650">
                    <a:solidFill>
                      <a:schemeClr val="bg1"/>
                    </a:solidFill>
                  </a:defRPr>
                </a:pPr>
                <a:endParaRPr lang="en-US"/>
              </a:p>
            </c:txPr>
            <c:dLblPos val="ctr"/>
            <c:showLegendKey val="0"/>
            <c:showVal val="0"/>
            <c:showCatName val="0"/>
            <c:showSerName val="1"/>
            <c:showPercent val="0"/>
            <c:showBubbleSize val="0"/>
            <c:separator>
</c:separator>
            <c:showLeaderLines val="0"/>
            <c:extLst>
              <c:ext xmlns:c15="http://schemas.microsoft.com/office/drawing/2012/chart" uri="{CE6537A1-D6FC-4f65-9D91-7224C49458BB}">
                <c15:showDataLabelsRange val="1"/>
                <c15:showLeaderLines val="0"/>
              </c:ext>
            </c:extLst>
          </c:dLbls>
          <c:cat>
            <c:strRef>
              <c:f>'Chart 1.3'!$M$28:$N$28</c:f>
              <c:strCache>
                <c:ptCount val="2"/>
                <c:pt idx="0">
                  <c:v>Expenditure</c:v>
                </c:pt>
                <c:pt idx="1">
                  <c:v>Funding</c:v>
                </c:pt>
              </c:strCache>
            </c:strRef>
          </c:cat>
          <c:val>
            <c:numRef>
              <c:f>'Chart 1.3'!$M$33:$N$33</c:f>
              <c:numCache>
                <c:formatCode>_-* #,##0_-;\-* #,##0_-;_-* "-"??_-;_-@_-</c:formatCode>
                <c:ptCount val="2"/>
                <c:pt idx="1">
                  <c:v>6273.1110000000008</c:v>
                </c:pt>
              </c:numCache>
            </c:numRef>
          </c:val>
          <c:extLst>
            <c:ext xmlns:c16="http://schemas.microsoft.com/office/drawing/2014/chart" uri="{C3380CC4-5D6E-409C-BE32-E72D297353CC}">
              <c16:uniqueId val="{0000000F-AD67-4920-8C5A-C12200C694B8}"/>
            </c:ext>
          </c:extLst>
        </c:ser>
        <c:ser>
          <c:idx val="2"/>
          <c:order val="5"/>
          <c:tx>
            <c:strRef>
              <c:f>'Chart 1.3'!$A$31</c:f>
              <c:strCache>
                <c:ptCount val="1"/>
                <c:pt idx="0">
                  <c:v>PNFC own-sources 11.5</c:v>
                </c:pt>
              </c:strCache>
            </c:strRef>
          </c:tx>
          <c:spPr>
            <a:solidFill>
              <a:srgbClr val="95C11F"/>
            </a:solidFill>
            <a:ln>
              <a:noFill/>
            </a:ln>
          </c:spPr>
          <c:invertIfNegative val="0"/>
          <c:dPt>
            <c:idx val="1"/>
            <c:invertIfNegative val="0"/>
            <c:bubble3D val="0"/>
            <c:spPr>
              <a:solidFill>
                <a:srgbClr val="95C11F"/>
              </a:solidFill>
              <a:ln w="25400" cap="flat" cmpd="sng" algn="ctr">
                <a:noFill/>
                <a:prstDash val="solid"/>
              </a:ln>
              <a:effectLst/>
            </c:spPr>
            <c:extLst>
              <c:ext xmlns:c16="http://schemas.microsoft.com/office/drawing/2014/chart" uri="{C3380CC4-5D6E-409C-BE32-E72D297353CC}">
                <c16:uniqueId val="{00000011-AD67-4920-8C5A-C12200C694B8}"/>
              </c:ext>
            </c:extLst>
          </c:dPt>
          <c:dLbls>
            <c:dLbl>
              <c:idx val="0"/>
              <c:tx>
                <c:rich>
                  <a:bodyPr/>
                  <a:lstStyle/>
                  <a:p>
                    <a:endParaRPr lang="en-AU"/>
                  </a:p>
                </c:rich>
              </c:tx>
              <c:dLblPos val="ctr"/>
              <c:showLegendKey val="0"/>
              <c:showVal val="0"/>
              <c:showCatName val="0"/>
              <c:showSerName val="1"/>
              <c:showPercent val="0"/>
              <c:showBubbleSize val="0"/>
              <c:extLst>
                <c:ext xmlns:c15="http://schemas.microsoft.com/office/drawing/2012/chart" uri="{CE6537A1-D6FC-4f65-9D91-7224C49458BB}"/>
                <c:ext xmlns:c16="http://schemas.microsoft.com/office/drawing/2014/chart" uri="{C3380CC4-5D6E-409C-BE32-E72D297353CC}">
                  <c16:uniqueId val="{00000012-AD67-4920-8C5A-C12200C694B8}"/>
                </c:ext>
              </c:extLst>
            </c:dLbl>
            <c:dLbl>
              <c:idx val="1"/>
              <c:layout>
                <c:manualLayout>
                  <c:x val="1.0968149725220045E-3"/>
                  <c:y val="-2.6979828255862485E-3"/>
                </c:manualLayout>
              </c:layout>
              <c:tx>
                <c:rich>
                  <a:bodyPr anchorCtr="0"/>
                  <a:lstStyle/>
                  <a:p>
                    <a:pPr algn="ctr">
                      <a:defRPr sz="650" baseline="0">
                        <a:solidFill>
                          <a:sysClr val="windowText" lastClr="000000"/>
                        </a:solidFill>
                      </a:defRPr>
                    </a:pPr>
                    <a:fld id="{C3883FD2-6B92-4C63-826A-DFA1C65305F4}" type="SERIESNAME">
                      <a:rPr lang="en-US"/>
                      <a:pPr algn="ctr">
                        <a:defRPr sz="650" baseline="0">
                          <a:solidFill>
                            <a:sysClr val="windowText" lastClr="000000"/>
                          </a:solidFill>
                        </a:defRPr>
                      </a:pPr>
                      <a:t>[SERIES NAME]</a:t>
                    </a:fld>
                    <a:endParaRPr lang="en-AU"/>
                  </a:p>
                </c:rich>
              </c:tx>
              <c:numFmt formatCode="#,##0.0" sourceLinked="0"/>
              <c:spPr>
                <a:noFill/>
              </c:spPr>
              <c:dLblPos val="ctr"/>
              <c:showLegendKey val="0"/>
              <c:showVal val="0"/>
              <c:showCatName val="0"/>
              <c:showSerName val="1"/>
              <c:showPercent val="0"/>
              <c:showBubbleSize val="0"/>
              <c:separator>
</c:separator>
              <c:extLst>
                <c:ext xmlns:c15="http://schemas.microsoft.com/office/drawing/2012/chart" uri="{CE6537A1-D6FC-4f65-9D91-7224C49458BB}">
                  <c15:layout>
                    <c:manualLayout>
                      <c:w val="0.15199717694547418"/>
                      <c:h val="0.1034308349155254"/>
                    </c:manualLayout>
                  </c15:layout>
                  <c15:dlblFieldTable/>
                  <c15:showDataLabelsRange val="1"/>
                </c:ext>
                <c:ext xmlns:c16="http://schemas.microsoft.com/office/drawing/2014/chart" uri="{C3380CC4-5D6E-409C-BE32-E72D297353CC}">
                  <c16:uniqueId val="{00000011-AD67-4920-8C5A-C12200C694B8}"/>
                </c:ext>
              </c:extLst>
            </c:dLbl>
            <c:spPr>
              <a:solidFill>
                <a:sysClr val="window" lastClr="FFFFFF"/>
              </a:solidFill>
              <a:ln>
                <a:noFill/>
              </a:ln>
              <a:effectLst/>
            </c:spPr>
            <c:txPr>
              <a:bodyPr wrap="square" lIns="38100" tIns="19050" rIns="38100" bIns="19050" anchor="ctr">
                <a:spAutoFit/>
              </a:bodyPr>
              <a:lstStyle/>
              <a:p>
                <a:pPr>
                  <a:defRPr sz="650" baseline="0">
                    <a:solidFill>
                      <a:sysClr val="windowText" lastClr="000000"/>
                    </a:solidFill>
                  </a:defRPr>
                </a:pPr>
                <a:endParaRPr lang="en-US"/>
              </a:p>
            </c:txPr>
            <c:dLblPos val="ctr"/>
            <c:showLegendKey val="0"/>
            <c:showVal val="0"/>
            <c:showCatName val="0"/>
            <c:showSerName val="1"/>
            <c:showPercent val="0"/>
            <c:showBubbleSize val="0"/>
            <c:showLeaderLines val="0"/>
            <c:extLst>
              <c:ext xmlns:c15="http://schemas.microsoft.com/office/drawing/2012/chart" uri="{CE6537A1-D6FC-4f65-9D91-7224C49458BB}">
                <c15:showDataLabelsRange val="1"/>
                <c15:showLeaderLines val="0"/>
              </c:ext>
            </c:extLst>
          </c:dLbls>
          <c:cat>
            <c:strRef>
              <c:f>'Chart 1.3'!$M$28:$N$28</c:f>
              <c:strCache>
                <c:ptCount val="2"/>
                <c:pt idx="0">
                  <c:v>Expenditure</c:v>
                </c:pt>
                <c:pt idx="1">
                  <c:v>Funding</c:v>
                </c:pt>
              </c:strCache>
            </c:strRef>
          </c:cat>
          <c:val>
            <c:numRef>
              <c:f>'Chart 1.3'!$M$31:$N$31</c:f>
              <c:numCache>
                <c:formatCode>_-* #,##0_-;\-* #,##0_-;_-* "-"??_-;_-@_-</c:formatCode>
                <c:ptCount val="2"/>
                <c:pt idx="1">
                  <c:v>11540.31873766</c:v>
                </c:pt>
              </c:numCache>
            </c:numRef>
          </c:val>
          <c:extLst>
            <c:ext xmlns:c15="http://schemas.microsoft.com/office/drawing/2012/chart" uri="{02D57815-91ED-43cb-92C2-25804820EDAC}">
              <c15:datalabelsRange>
                <c15:f>'Chart 1.3'!$A$31</c15:f>
                <c15:dlblRangeCache>
                  <c:ptCount val="1"/>
                  <c:pt idx="0">
                    <c:v>PNFC own-sources 11.5</c:v>
                  </c:pt>
                </c15:dlblRangeCache>
              </c15:datalabelsRange>
            </c:ext>
            <c:ext xmlns:c16="http://schemas.microsoft.com/office/drawing/2014/chart" uri="{C3380CC4-5D6E-409C-BE32-E72D297353CC}">
              <c16:uniqueId val="{00000013-AD67-4920-8C5A-C12200C694B8}"/>
            </c:ext>
          </c:extLst>
        </c:ser>
        <c:dLbls>
          <c:dLblPos val="ctr"/>
          <c:showLegendKey val="0"/>
          <c:showVal val="1"/>
          <c:showCatName val="0"/>
          <c:showSerName val="0"/>
          <c:showPercent val="0"/>
          <c:showBubbleSize val="0"/>
        </c:dLbls>
        <c:gapWidth val="200"/>
        <c:overlap val="100"/>
        <c:axId val="590079104"/>
        <c:axId val="590080640"/>
      </c:barChart>
      <c:catAx>
        <c:axId val="590079104"/>
        <c:scaling>
          <c:orientation val="minMax"/>
        </c:scaling>
        <c:delete val="0"/>
        <c:axPos val="b"/>
        <c:numFmt formatCode="General" sourceLinked="0"/>
        <c:majorTickMark val="out"/>
        <c:minorTickMark val="none"/>
        <c:tickLblPos val="nextTo"/>
        <c:spPr>
          <a:ln>
            <a:noFill/>
          </a:ln>
        </c:spPr>
        <c:crossAx val="590080640"/>
        <c:crosses val="autoZero"/>
        <c:auto val="1"/>
        <c:lblAlgn val="ctr"/>
        <c:lblOffset val="100"/>
        <c:noMultiLvlLbl val="0"/>
      </c:catAx>
      <c:valAx>
        <c:axId val="590080640"/>
        <c:scaling>
          <c:orientation val="minMax"/>
        </c:scaling>
        <c:delete val="0"/>
        <c:axPos val="l"/>
        <c:majorGridlines>
          <c:spPr>
            <a:ln w="3175" cap="flat">
              <a:solidFill>
                <a:srgbClr val="DFDCDA"/>
              </a:solidFill>
              <a:prstDash val="solid"/>
            </a:ln>
          </c:spPr>
        </c:majorGridlines>
        <c:numFmt formatCode="#,##0" sourceLinked="0"/>
        <c:majorTickMark val="out"/>
        <c:minorTickMark val="none"/>
        <c:tickLblPos val="nextTo"/>
        <c:spPr>
          <a:ln cmpd="dbl">
            <a:noFill/>
            <a:prstDash val="solid"/>
          </a:ln>
        </c:spPr>
        <c:crossAx val="590079104"/>
        <c:crosses val="autoZero"/>
        <c:crossBetween val="between"/>
        <c:dispUnits>
          <c:builtInUnit val="thousands"/>
          <c:dispUnitsLbl>
            <c:layout>
              <c:manualLayout>
                <c:xMode val="edge"/>
                <c:yMode val="edge"/>
                <c:x val="1.0508319739481438E-2"/>
                <c:y val="0.37667131439029822"/>
              </c:manualLayout>
            </c:layout>
            <c:tx>
              <c:rich>
                <a:bodyPr/>
                <a:lstStyle/>
                <a:p>
                  <a:pPr>
                    <a:defRPr/>
                  </a:pPr>
                  <a:r>
                    <a:rPr lang="en-US"/>
                    <a:t>$</a:t>
                  </a:r>
                  <a:r>
                    <a:rPr lang="en-US" baseline="0"/>
                    <a:t> billions</a:t>
                  </a:r>
                  <a:endParaRPr lang="en-US"/>
                </a:p>
              </c:rich>
            </c:tx>
          </c:dispUnitsLbl>
        </c:dispUnits>
      </c:valAx>
      <c:spPr>
        <a:noFill/>
        <a:ln>
          <a:prstDash val="solid"/>
        </a:ln>
      </c:spPr>
    </c:plotArea>
    <c:plotVisOnly val="1"/>
    <c:dispBlanksAs val="gap"/>
    <c:showDLblsOverMax val="0"/>
  </c:chart>
  <c:spPr>
    <a:ln>
      <a:noFill/>
    </a:ln>
  </c:spPr>
  <c:txPr>
    <a:bodyPr/>
    <a:lstStyle/>
    <a:p>
      <a:pPr>
        <a:defRPr sz="700">
          <a:solidFill>
            <a:srgbClr val="57514D"/>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9177030441288302E-2"/>
          <c:y val="2.1452705729045743E-2"/>
          <c:w val="0.89701506937801001"/>
          <c:h val="0.76069920471460062"/>
        </c:manualLayout>
      </c:layout>
      <c:barChart>
        <c:barDir val="col"/>
        <c:grouping val="stacked"/>
        <c:varyColors val="0"/>
        <c:ser>
          <c:idx val="0"/>
          <c:order val="0"/>
          <c:tx>
            <c:strRef>
              <c:f>'Chart 1.4'!$B$100</c:f>
              <c:strCache>
                <c:ptCount val="1"/>
                <c:pt idx="0">
                  <c:v>Other State funded infrastructure program</c:v>
                </c:pt>
              </c:strCache>
            </c:strRef>
          </c:tx>
          <c:spPr>
            <a:solidFill>
              <a:srgbClr val="002664"/>
            </a:solidFill>
            <a:ln>
              <a:noFill/>
            </a:ln>
          </c:spPr>
          <c:invertIfNegative val="0"/>
          <c:cat>
            <c:multiLvlStrRef>
              <c:f>'Chart 1.4'!$G$97:$V$98</c:f>
              <c:multiLvlStrCache>
                <c:ptCount val="16"/>
                <c:lvl>
                  <c:pt idx="0">
                    <c:v>Actual</c:v>
                  </c:pt>
                  <c:pt idx="1">
                    <c:v>Actual</c:v>
                  </c:pt>
                  <c:pt idx="2">
                    <c:v>Actual</c:v>
                  </c:pt>
                  <c:pt idx="3">
                    <c:v>Actual</c:v>
                  </c:pt>
                  <c:pt idx="4">
                    <c:v>Actual</c:v>
                  </c:pt>
                  <c:pt idx="5">
                    <c:v>Actual</c:v>
                  </c:pt>
                  <c:pt idx="6">
                    <c:v>Actual</c:v>
                  </c:pt>
                  <c:pt idx="7">
                    <c:v>Actual</c:v>
                  </c:pt>
                  <c:pt idx="8">
                    <c:v>Actual</c:v>
                  </c:pt>
                  <c:pt idx="9">
                    <c:v>Actual</c:v>
                  </c:pt>
                  <c:pt idx="10">
                    <c:v>Actual</c:v>
                  </c:pt>
                  <c:pt idx="11">
                    <c:v>Revised</c:v>
                  </c:pt>
                  <c:pt idx="12">
                    <c:v>Budget</c:v>
                  </c:pt>
                  <c:pt idx="13">
                    <c:v>Estimate</c:v>
                  </c:pt>
                  <c:pt idx="14">
                    <c:v>Estimate</c:v>
                  </c:pt>
                  <c:pt idx="15">
                    <c:v>Estimate</c:v>
                  </c:pt>
                </c:lvl>
                <c:lvl>
                  <c:pt idx="0">
                    <c:v>2007-08</c:v>
                  </c:pt>
                  <c:pt idx="1">
                    <c:v>2008-09</c:v>
                  </c:pt>
                  <c:pt idx="2">
                    <c:v>2009-10</c:v>
                  </c:pt>
                  <c:pt idx="3">
                    <c:v>2010-11</c:v>
                  </c:pt>
                  <c:pt idx="4">
                    <c:v>2011-12</c:v>
                  </c:pt>
                  <c:pt idx="5">
                    <c:v>2012-13</c:v>
                  </c:pt>
                  <c:pt idx="6">
                    <c:v> 2013-14</c:v>
                  </c:pt>
                  <c:pt idx="7">
                    <c:v>2014-15</c:v>
                  </c:pt>
                  <c:pt idx="8">
                    <c:v>2015-16</c:v>
                  </c:pt>
                  <c:pt idx="9">
                    <c:v>2016-17</c:v>
                  </c:pt>
                  <c:pt idx="10">
                    <c:v>2017-18</c:v>
                  </c:pt>
                  <c:pt idx="11">
                    <c:v>2018-19</c:v>
                  </c:pt>
                  <c:pt idx="12">
                    <c:v>2019-20</c:v>
                  </c:pt>
                  <c:pt idx="13">
                    <c:v>2020-21</c:v>
                  </c:pt>
                  <c:pt idx="14">
                    <c:v>2021-22</c:v>
                  </c:pt>
                  <c:pt idx="15">
                    <c:v>2022-23</c:v>
                  </c:pt>
                </c:lvl>
              </c:multiLvlStrCache>
            </c:multiLvlStrRef>
          </c:cat>
          <c:val>
            <c:numRef>
              <c:f>'Chart 1.4'!$G$100:$V$100</c:f>
              <c:numCache>
                <c:formatCode>#,##0</c:formatCode>
                <c:ptCount val="16"/>
                <c:pt idx="0">
                  <c:v>6253.183</c:v>
                </c:pt>
                <c:pt idx="1">
                  <c:v>5727.3144891729398</c:v>
                </c:pt>
                <c:pt idx="2">
                  <c:v>6417.0503582566034</c:v>
                </c:pt>
                <c:pt idx="3">
                  <c:v>6045.0619983276392</c:v>
                </c:pt>
                <c:pt idx="4">
                  <c:v>5652.7879849487554</c:v>
                </c:pt>
                <c:pt idx="5">
                  <c:v>6340.6327764673797</c:v>
                </c:pt>
                <c:pt idx="6">
                  <c:v>7417.0109448121002</c:v>
                </c:pt>
                <c:pt idx="7">
                  <c:v>8299.755000000001</c:v>
                </c:pt>
                <c:pt idx="8">
                  <c:v>11209.601238729998</c:v>
                </c:pt>
                <c:pt idx="9">
                  <c:v>10408.665378489999</c:v>
                </c:pt>
                <c:pt idx="10">
                  <c:v>11582.170708149999</c:v>
                </c:pt>
                <c:pt idx="11">
                  <c:v>16019.942325242209</c:v>
                </c:pt>
                <c:pt idx="12">
                  <c:v>21895.314828746603</c:v>
                </c:pt>
                <c:pt idx="13">
                  <c:v>19224.475072134097</c:v>
                </c:pt>
                <c:pt idx="14">
                  <c:v>17713.534512248199</c:v>
                </c:pt>
                <c:pt idx="15">
                  <c:v>14098.896685256599</c:v>
                </c:pt>
              </c:numCache>
            </c:numRef>
          </c:val>
          <c:extLst>
            <c:ext xmlns:c16="http://schemas.microsoft.com/office/drawing/2014/chart" uri="{C3380CC4-5D6E-409C-BE32-E72D297353CC}">
              <c16:uniqueId val="{00000000-4235-4223-A4AC-FBF96A17E79B}"/>
            </c:ext>
          </c:extLst>
        </c:ser>
        <c:ser>
          <c:idx val="2"/>
          <c:order val="1"/>
          <c:tx>
            <c:strRef>
              <c:f>'Chart 1.4'!$B$101</c:f>
              <c:strCache>
                <c:ptCount val="1"/>
                <c:pt idx="0">
                  <c:v>State funded PPP projects</c:v>
                </c:pt>
              </c:strCache>
            </c:strRef>
          </c:tx>
          <c:spPr>
            <a:solidFill>
              <a:srgbClr val="25A9E1"/>
            </a:solidFill>
          </c:spPr>
          <c:invertIfNegative val="0"/>
          <c:cat>
            <c:multiLvlStrRef>
              <c:f>'Chart 1.4'!$G$97:$V$98</c:f>
              <c:multiLvlStrCache>
                <c:ptCount val="16"/>
                <c:lvl>
                  <c:pt idx="0">
                    <c:v>Actual</c:v>
                  </c:pt>
                  <c:pt idx="1">
                    <c:v>Actual</c:v>
                  </c:pt>
                  <c:pt idx="2">
                    <c:v>Actual</c:v>
                  </c:pt>
                  <c:pt idx="3">
                    <c:v>Actual</c:v>
                  </c:pt>
                  <c:pt idx="4">
                    <c:v>Actual</c:v>
                  </c:pt>
                  <c:pt idx="5">
                    <c:v>Actual</c:v>
                  </c:pt>
                  <c:pt idx="6">
                    <c:v>Actual</c:v>
                  </c:pt>
                  <c:pt idx="7">
                    <c:v>Actual</c:v>
                  </c:pt>
                  <c:pt idx="8">
                    <c:v>Actual</c:v>
                  </c:pt>
                  <c:pt idx="9">
                    <c:v>Actual</c:v>
                  </c:pt>
                  <c:pt idx="10">
                    <c:v>Actual</c:v>
                  </c:pt>
                  <c:pt idx="11">
                    <c:v>Revised</c:v>
                  </c:pt>
                  <c:pt idx="12">
                    <c:v>Budget</c:v>
                  </c:pt>
                  <c:pt idx="13">
                    <c:v>Estimate</c:v>
                  </c:pt>
                  <c:pt idx="14">
                    <c:v>Estimate</c:v>
                  </c:pt>
                  <c:pt idx="15">
                    <c:v>Estimate</c:v>
                  </c:pt>
                </c:lvl>
                <c:lvl>
                  <c:pt idx="0">
                    <c:v>2007-08</c:v>
                  </c:pt>
                  <c:pt idx="1">
                    <c:v>2008-09</c:v>
                  </c:pt>
                  <c:pt idx="2">
                    <c:v>2009-10</c:v>
                  </c:pt>
                  <c:pt idx="3">
                    <c:v>2010-11</c:v>
                  </c:pt>
                  <c:pt idx="4">
                    <c:v>2011-12</c:v>
                  </c:pt>
                  <c:pt idx="5">
                    <c:v>2012-13</c:v>
                  </c:pt>
                  <c:pt idx="6">
                    <c:v> 2013-14</c:v>
                  </c:pt>
                  <c:pt idx="7">
                    <c:v>2014-15</c:v>
                  </c:pt>
                  <c:pt idx="8">
                    <c:v>2015-16</c:v>
                  </c:pt>
                  <c:pt idx="9">
                    <c:v>2016-17</c:v>
                  </c:pt>
                  <c:pt idx="10">
                    <c:v>2017-18</c:v>
                  </c:pt>
                  <c:pt idx="11">
                    <c:v>2018-19</c:v>
                  </c:pt>
                  <c:pt idx="12">
                    <c:v>2019-20</c:v>
                  </c:pt>
                  <c:pt idx="13">
                    <c:v>2020-21</c:v>
                  </c:pt>
                  <c:pt idx="14">
                    <c:v>2021-22</c:v>
                  </c:pt>
                  <c:pt idx="15">
                    <c:v>2022-23</c:v>
                  </c:pt>
                </c:lvl>
              </c:multiLvlStrCache>
            </c:multiLvlStrRef>
          </c:cat>
          <c:val>
            <c:numRef>
              <c:f>'Chart 1.4'!$G$101:$V$101</c:f>
              <c:numCache>
                <c:formatCode>#,##0</c:formatCode>
                <c:ptCount val="16"/>
                <c:pt idx="0">
                  <c:v>0</c:v>
                </c:pt>
                <c:pt idx="1">
                  <c:v>186.6285108270605</c:v>
                </c:pt>
                <c:pt idx="2">
                  <c:v>24.516641743396669</c:v>
                </c:pt>
                <c:pt idx="3">
                  <c:v>231.78000167236061</c:v>
                </c:pt>
                <c:pt idx="4">
                  <c:v>224.82701505124547</c:v>
                </c:pt>
                <c:pt idx="5">
                  <c:v>1472.3920585326211</c:v>
                </c:pt>
                <c:pt idx="6">
                  <c:v>996.08005518790003</c:v>
                </c:pt>
                <c:pt idx="7">
                  <c:v>262.52300000000002</c:v>
                </c:pt>
                <c:pt idx="8">
                  <c:v>84.944999999999993</c:v>
                </c:pt>
                <c:pt idx="9">
                  <c:v>1597.319</c:v>
                </c:pt>
                <c:pt idx="10">
                  <c:v>270.49900000000002</c:v>
                </c:pt>
                <c:pt idx="11">
                  <c:v>2278.8420000000001</c:v>
                </c:pt>
                <c:pt idx="12">
                  <c:v>1582.4280000000001</c:v>
                </c:pt>
                <c:pt idx="13">
                  <c:v>706.00199999999995</c:v>
                </c:pt>
                <c:pt idx="14">
                  <c:v>0</c:v>
                </c:pt>
                <c:pt idx="15">
                  <c:v>0</c:v>
                </c:pt>
              </c:numCache>
            </c:numRef>
          </c:val>
          <c:extLst>
            <c:ext xmlns:c16="http://schemas.microsoft.com/office/drawing/2014/chart" uri="{C3380CC4-5D6E-409C-BE32-E72D297353CC}">
              <c16:uniqueId val="{00000001-4235-4223-A4AC-FBF96A17E79B}"/>
            </c:ext>
          </c:extLst>
        </c:ser>
        <c:dLbls>
          <c:showLegendKey val="0"/>
          <c:showVal val="0"/>
          <c:showCatName val="0"/>
          <c:showSerName val="0"/>
          <c:showPercent val="0"/>
          <c:showBubbleSize val="0"/>
        </c:dLbls>
        <c:gapWidth val="150"/>
        <c:overlap val="100"/>
        <c:axId val="693073408"/>
        <c:axId val="693074944"/>
      </c:barChart>
      <c:lineChart>
        <c:grouping val="standard"/>
        <c:varyColors val="0"/>
        <c:ser>
          <c:idx val="3"/>
          <c:order val="2"/>
          <c:tx>
            <c:strRef>
              <c:f>'Chart 1.4'!$B$103</c:f>
              <c:strCache>
                <c:ptCount val="1"/>
                <c:pt idx="0">
                  <c:v>over 4 years to 2010-11</c:v>
                </c:pt>
              </c:strCache>
            </c:strRef>
          </c:tx>
          <c:spPr>
            <a:ln w="31750">
              <a:solidFill>
                <a:srgbClr val="1D3278"/>
              </a:solidFill>
              <a:prstDash val="sysDash"/>
            </a:ln>
          </c:spPr>
          <c:marker>
            <c:symbol val="none"/>
          </c:marker>
          <c:cat>
            <c:multiLvlStrRef>
              <c:f>'Chart 1.4'!$G$97:$V$98</c:f>
              <c:multiLvlStrCache>
                <c:ptCount val="16"/>
                <c:lvl>
                  <c:pt idx="0">
                    <c:v>Actual</c:v>
                  </c:pt>
                  <c:pt idx="1">
                    <c:v>Actual</c:v>
                  </c:pt>
                  <c:pt idx="2">
                    <c:v>Actual</c:v>
                  </c:pt>
                  <c:pt idx="3">
                    <c:v>Actual</c:v>
                  </c:pt>
                  <c:pt idx="4">
                    <c:v>Actual</c:v>
                  </c:pt>
                  <c:pt idx="5">
                    <c:v>Actual</c:v>
                  </c:pt>
                  <c:pt idx="6">
                    <c:v>Actual</c:v>
                  </c:pt>
                  <c:pt idx="7">
                    <c:v>Actual</c:v>
                  </c:pt>
                  <c:pt idx="8">
                    <c:v>Actual</c:v>
                  </c:pt>
                  <c:pt idx="9">
                    <c:v>Actual</c:v>
                  </c:pt>
                  <c:pt idx="10">
                    <c:v>Actual</c:v>
                  </c:pt>
                  <c:pt idx="11">
                    <c:v>Revised</c:v>
                  </c:pt>
                  <c:pt idx="12">
                    <c:v>Budget</c:v>
                  </c:pt>
                  <c:pt idx="13">
                    <c:v>Estimate</c:v>
                  </c:pt>
                  <c:pt idx="14">
                    <c:v>Estimate</c:v>
                  </c:pt>
                  <c:pt idx="15">
                    <c:v>Estimate</c:v>
                  </c:pt>
                </c:lvl>
                <c:lvl>
                  <c:pt idx="0">
                    <c:v>2007-08</c:v>
                  </c:pt>
                  <c:pt idx="1">
                    <c:v>2008-09</c:v>
                  </c:pt>
                  <c:pt idx="2">
                    <c:v>2009-10</c:v>
                  </c:pt>
                  <c:pt idx="3">
                    <c:v>2010-11</c:v>
                  </c:pt>
                  <c:pt idx="4">
                    <c:v>2011-12</c:v>
                  </c:pt>
                  <c:pt idx="5">
                    <c:v>2012-13</c:v>
                  </c:pt>
                  <c:pt idx="6">
                    <c:v> 2013-14</c:v>
                  </c:pt>
                  <c:pt idx="7">
                    <c:v>2014-15</c:v>
                  </c:pt>
                  <c:pt idx="8">
                    <c:v>2015-16</c:v>
                  </c:pt>
                  <c:pt idx="9">
                    <c:v>2016-17</c:v>
                  </c:pt>
                  <c:pt idx="10">
                    <c:v>2017-18</c:v>
                  </c:pt>
                  <c:pt idx="11">
                    <c:v>2018-19</c:v>
                  </c:pt>
                  <c:pt idx="12">
                    <c:v>2019-20</c:v>
                  </c:pt>
                  <c:pt idx="13">
                    <c:v>2020-21</c:v>
                  </c:pt>
                  <c:pt idx="14">
                    <c:v>2021-22</c:v>
                  </c:pt>
                  <c:pt idx="15">
                    <c:v>2022-23</c:v>
                  </c:pt>
                </c:lvl>
              </c:multiLvlStrCache>
            </c:multiLvlStrRef>
          </c:cat>
          <c:val>
            <c:numRef>
              <c:f>'Chart 1.4'!$G$103:$V$103</c:f>
              <c:numCache>
                <c:formatCode>#,##0</c:formatCode>
                <c:ptCount val="16"/>
                <c:pt idx="0">
                  <c:v>6221.38375</c:v>
                </c:pt>
                <c:pt idx="1">
                  <c:v>6221.38375</c:v>
                </c:pt>
                <c:pt idx="2">
                  <c:v>6221.38375</c:v>
                </c:pt>
                <c:pt idx="3">
                  <c:v>6221.38375</c:v>
                </c:pt>
              </c:numCache>
            </c:numRef>
          </c:val>
          <c:smooth val="0"/>
          <c:extLst>
            <c:ext xmlns:c16="http://schemas.microsoft.com/office/drawing/2014/chart" uri="{C3380CC4-5D6E-409C-BE32-E72D297353CC}">
              <c16:uniqueId val="{00000002-4235-4223-A4AC-FBF96A17E79B}"/>
            </c:ext>
          </c:extLst>
        </c:ser>
        <c:ser>
          <c:idx val="4"/>
          <c:order val="3"/>
          <c:tx>
            <c:strRef>
              <c:f>'Chart 1.4'!$B$104</c:f>
              <c:strCache>
                <c:ptCount val="1"/>
                <c:pt idx="0">
                  <c:v>over 4 years to 2014-15</c:v>
                </c:pt>
              </c:strCache>
            </c:strRef>
          </c:tx>
          <c:spPr>
            <a:ln w="31750">
              <a:solidFill>
                <a:srgbClr val="1D3278"/>
              </a:solidFill>
              <a:prstDash val="sysDash"/>
            </a:ln>
          </c:spPr>
          <c:marker>
            <c:symbol val="none"/>
          </c:marker>
          <c:cat>
            <c:multiLvlStrRef>
              <c:f>'Chart 1.4'!$G$97:$V$98</c:f>
              <c:multiLvlStrCache>
                <c:ptCount val="16"/>
                <c:lvl>
                  <c:pt idx="0">
                    <c:v>Actual</c:v>
                  </c:pt>
                  <c:pt idx="1">
                    <c:v>Actual</c:v>
                  </c:pt>
                  <c:pt idx="2">
                    <c:v>Actual</c:v>
                  </c:pt>
                  <c:pt idx="3">
                    <c:v>Actual</c:v>
                  </c:pt>
                  <c:pt idx="4">
                    <c:v>Actual</c:v>
                  </c:pt>
                  <c:pt idx="5">
                    <c:v>Actual</c:v>
                  </c:pt>
                  <c:pt idx="6">
                    <c:v>Actual</c:v>
                  </c:pt>
                  <c:pt idx="7">
                    <c:v>Actual</c:v>
                  </c:pt>
                  <c:pt idx="8">
                    <c:v>Actual</c:v>
                  </c:pt>
                  <c:pt idx="9">
                    <c:v>Actual</c:v>
                  </c:pt>
                  <c:pt idx="10">
                    <c:v>Actual</c:v>
                  </c:pt>
                  <c:pt idx="11">
                    <c:v>Revised</c:v>
                  </c:pt>
                  <c:pt idx="12">
                    <c:v>Budget</c:v>
                  </c:pt>
                  <c:pt idx="13">
                    <c:v>Estimate</c:v>
                  </c:pt>
                  <c:pt idx="14">
                    <c:v>Estimate</c:v>
                  </c:pt>
                  <c:pt idx="15">
                    <c:v>Estimate</c:v>
                  </c:pt>
                </c:lvl>
                <c:lvl>
                  <c:pt idx="0">
                    <c:v>2007-08</c:v>
                  </c:pt>
                  <c:pt idx="1">
                    <c:v>2008-09</c:v>
                  </c:pt>
                  <c:pt idx="2">
                    <c:v>2009-10</c:v>
                  </c:pt>
                  <c:pt idx="3">
                    <c:v>2010-11</c:v>
                  </c:pt>
                  <c:pt idx="4">
                    <c:v>2011-12</c:v>
                  </c:pt>
                  <c:pt idx="5">
                    <c:v>2012-13</c:v>
                  </c:pt>
                  <c:pt idx="6">
                    <c:v> 2013-14</c:v>
                  </c:pt>
                  <c:pt idx="7">
                    <c:v>2014-15</c:v>
                  </c:pt>
                  <c:pt idx="8">
                    <c:v>2015-16</c:v>
                  </c:pt>
                  <c:pt idx="9">
                    <c:v>2016-17</c:v>
                  </c:pt>
                  <c:pt idx="10">
                    <c:v>2017-18</c:v>
                  </c:pt>
                  <c:pt idx="11">
                    <c:v>2018-19</c:v>
                  </c:pt>
                  <c:pt idx="12">
                    <c:v>2019-20</c:v>
                  </c:pt>
                  <c:pt idx="13">
                    <c:v>2020-21</c:v>
                  </c:pt>
                  <c:pt idx="14">
                    <c:v>2021-22</c:v>
                  </c:pt>
                  <c:pt idx="15">
                    <c:v>2022-23</c:v>
                  </c:pt>
                </c:lvl>
              </c:multiLvlStrCache>
            </c:multiLvlStrRef>
          </c:cat>
          <c:val>
            <c:numRef>
              <c:f>'Chart 1.4'!$G$104:$V$104</c:f>
              <c:numCache>
                <c:formatCode>General</c:formatCode>
                <c:ptCount val="16"/>
                <c:pt idx="4" formatCode="#,##0">
                  <c:v>7666.5022087500001</c:v>
                </c:pt>
                <c:pt idx="5" formatCode="#,##0">
                  <c:v>7666.5022087500001</c:v>
                </c:pt>
                <c:pt idx="6" formatCode="#,##0">
                  <c:v>7666.5022087500001</c:v>
                </c:pt>
                <c:pt idx="7" formatCode="#,##0">
                  <c:v>7666.5022087500001</c:v>
                </c:pt>
              </c:numCache>
            </c:numRef>
          </c:val>
          <c:smooth val="0"/>
          <c:extLst>
            <c:ext xmlns:c16="http://schemas.microsoft.com/office/drawing/2014/chart" uri="{C3380CC4-5D6E-409C-BE32-E72D297353CC}">
              <c16:uniqueId val="{00000003-4235-4223-A4AC-FBF96A17E79B}"/>
            </c:ext>
          </c:extLst>
        </c:ser>
        <c:ser>
          <c:idx val="5"/>
          <c:order val="4"/>
          <c:tx>
            <c:strRef>
              <c:f>'Chart 1.4'!$B$105</c:f>
              <c:strCache>
                <c:ptCount val="1"/>
                <c:pt idx="0">
                  <c:v>over 4 years to 2018-19</c:v>
                </c:pt>
              </c:strCache>
            </c:strRef>
          </c:tx>
          <c:spPr>
            <a:ln w="31750">
              <a:solidFill>
                <a:schemeClr val="tx1"/>
              </a:solidFill>
              <a:prstDash val="sysDash"/>
            </a:ln>
          </c:spPr>
          <c:marker>
            <c:symbol val="none"/>
          </c:marker>
          <c:cat>
            <c:multiLvlStrRef>
              <c:f>'Chart 1.4'!$G$97:$V$98</c:f>
              <c:multiLvlStrCache>
                <c:ptCount val="16"/>
                <c:lvl>
                  <c:pt idx="0">
                    <c:v>Actual</c:v>
                  </c:pt>
                  <c:pt idx="1">
                    <c:v>Actual</c:v>
                  </c:pt>
                  <c:pt idx="2">
                    <c:v>Actual</c:v>
                  </c:pt>
                  <c:pt idx="3">
                    <c:v>Actual</c:v>
                  </c:pt>
                  <c:pt idx="4">
                    <c:v>Actual</c:v>
                  </c:pt>
                  <c:pt idx="5">
                    <c:v>Actual</c:v>
                  </c:pt>
                  <c:pt idx="6">
                    <c:v>Actual</c:v>
                  </c:pt>
                  <c:pt idx="7">
                    <c:v>Actual</c:v>
                  </c:pt>
                  <c:pt idx="8">
                    <c:v>Actual</c:v>
                  </c:pt>
                  <c:pt idx="9">
                    <c:v>Actual</c:v>
                  </c:pt>
                  <c:pt idx="10">
                    <c:v>Actual</c:v>
                  </c:pt>
                  <c:pt idx="11">
                    <c:v>Revised</c:v>
                  </c:pt>
                  <c:pt idx="12">
                    <c:v>Budget</c:v>
                  </c:pt>
                  <c:pt idx="13">
                    <c:v>Estimate</c:v>
                  </c:pt>
                  <c:pt idx="14">
                    <c:v>Estimate</c:v>
                  </c:pt>
                  <c:pt idx="15">
                    <c:v>Estimate</c:v>
                  </c:pt>
                </c:lvl>
                <c:lvl>
                  <c:pt idx="0">
                    <c:v>2007-08</c:v>
                  </c:pt>
                  <c:pt idx="1">
                    <c:v>2008-09</c:v>
                  </c:pt>
                  <c:pt idx="2">
                    <c:v>2009-10</c:v>
                  </c:pt>
                  <c:pt idx="3">
                    <c:v>2010-11</c:v>
                  </c:pt>
                  <c:pt idx="4">
                    <c:v>2011-12</c:v>
                  </c:pt>
                  <c:pt idx="5">
                    <c:v>2012-13</c:v>
                  </c:pt>
                  <c:pt idx="6">
                    <c:v> 2013-14</c:v>
                  </c:pt>
                  <c:pt idx="7">
                    <c:v>2014-15</c:v>
                  </c:pt>
                  <c:pt idx="8">
                    <c:v>2015-16</c:v>
                  </c:pt>
                  <c:pt idx="9">
                    <c:v>2016-17</c:v>
                  </c:pt>
                  <c:pt idx="10">
                    <c:v>2017-18</c:v>
                  </c:pt>
                  <c:pt idx="11">
                    <c:v>2018-19</c:v>
                  </c:pt>
                  <c:pt idx="12">
                    <c:v>2019-20</c:v>
                  </c:pt>
                  <c:pt idx="13">
                    <c:v>2020-21</c:v>
                  </c:pt>
                  <c:pt idx="14">
                    <c:v>2021-22</c:v>
                  </c:pt>
                  <c:pt idx="15">
                    <c:v>2022-23</c:v>
                  </c:pt>
                </c:lvl>
              </c:multiLvlStrCache>
            </c:multiLvlStrRef>
          </c:cat>
          <c:val>
            <c:numRef>
              <c:f>'Chart 1.4'!$G$105:$V$105</c:f>
              <c:numCache>
                <c:formatCode>General</c:formatCode>
                <c:ptCount val="16"/>
                <c:pt idx="8" formatCode="_(* #,##0_);_(* \(#,##0\);_(* &quot;-&quot;_);_(@_)">
                  <c:v>13362.996162653051</c:v>
                </c:pt>
                <c:pt idx="9" formatCode="_(* #,##0_);_(* \(#,##0\);_(* &quot;-&quot;_);_(@_)">
                  <c:v>13362.996162653051</c:v>
                </c:pt>
                <c:pt idx="10" formatCode="_(* #,##0_);_(* \(#,##0\);_(* &quot;-&quot;_);_(@_)">
                  <c:v>13362.996162653051</c:v>
                </c:pt>
                <c:pt idx="11" formatCode="_(* #,##0_);_(* \(#,##0\);_(* &quot;-&quot;_);_(@_)">
                  <c:v>13362.996162653051</c:v>
                </c:pt>
              </c:numCache>
            </c:numRef>
          </c:val>
          <c:smooth val="0"/>
          <c:extLst>
            <c:ext xmlns:c16="http://schemas.microsoft.com/office/drawing/2014/chart" uri="{C3380CC4-5D6E-409C-BE32-E72D297353CC}">
              <c16:uniqueId val="{00000004-4235-4223-A4AC-FBF96A17E79B}"/>
            </c:ext>
          </c:extLst>
        </c:ser>
        <c:ser>
          <c:idx val="1"/>
          <c:order val="5"/>
          <c:tx>
            <c:strRef>
              <c:f>'Chart 1.4'!$B$106</c:f>
              <c:strCache>
                <c:ptCount val="1"/>
                <c:pt idx="0">
                  <c:v>over 4 years to 2022-23</c:v>
                </c:pt>
              </c:strCache>
            </c:strRef>
          </c:tx>
          <c:spPr>
            <a:ln w="31750">
              <a:solidFill>
                <a:schemeClr val="tx1"/>
              </a:solidFill>
              <a:prstDash val="sysDash"/>
            </a:ln>
          </c:spPr>
          <c:marker>
            <c:symbol val="none"/>
          </c:marker>
          <c:cat>
            <c:multiLvlStrRef>
              <c:f>'Chart 1.4'!$G$97:$V$98</c:f>
              <c:multiLvlStrCache>
                <c:ptCount val="16"/>
                <c:lvl>
                  <c:pt idx="0">
                    <c:v>Actual</c:v>
                  </c:pt>
                  <c:pt idx="1">
                    <c:v>Actual</c:v>
                  </c:pt>
                  <c:pt idx="2">
                    <c:v>Actual</c:v>
                  </c:pt>
                  <c:pt idx="3">
                    <c:v>Actual</c:v>
                  </c:pt>
                  <c:pt idx="4">
                    <c:v>Actual</c:v>
                  </c:pt>
                  <c:pt idx="5">
                    <c:v>Actual</c:v>
                  </c:pt>
                  <c:pt idx="6">
                    <c:v>Actual</c:v>
                  </c:pt>
                  <c:pt idx="7">
                    <c:v>Actual</c:v>
                  </c:pt>
                  <c:pt idx="8">
                    <c:v>Actual</c:v>
                  </c:pt>
                  <c:pt idx="9">
                    <c:v>Actual</c:v>
                  </c:pt>
                  <c:pt idx="10">
                    <c:v>Actual</c:v>
                  </c:pt>
                  <c:pt idx="11">
                    <c:v>Revised</c:v>
                  </c:pt>
                  <c:pt idx="12">
                    <c:v>Budget</c:v>
                  </c:pt>
                  <c:pt idx="13">
                    <c:v>Estimate</c:v>
                  </c:pt>
                  <c:pt idx="14">
                    <c:v>Estimate</c:v>
                  </c:pt>
                  <c:pt idx="15">
                    <c:v>Estimate</c:v>
                  </c:pt>
                </c:lvl>
                <c:lvl>
                  <c:pt idx="0">
                    <c:v>2007-08</c:v>
                  </c:pt>
                  <c:pt idx="1">
                    <c:v>2008-09</c:v>
                  </c:pt>
                  <c:pt idx="2">
                    <c:v>2009-10</c:v>
                  </c:pt>
                  <c:pt idx="3">
                    <c:v>2010-11</c:v>
                  </c:pt>
                  <c:pt idx="4">
                    <c:v>2011-12</c:v>
                  </c:pt>
                  <c:pt idx="5">
                    <c:v>2012-13</c:v>
                  </c:pt>
                  <c:pt idx="6">
                    <c:v> 2013-14</c:v>
                  </c:pt>
                  <c:pt idx="7">
                    <c:v>2014-15</c:v>
                  </c:pt>
                  <c:pt idx="8">
                    <c:v>2015-16</c:v>
                  </c:pt>
                  <c:pt idx="9">
                    <c:v>2016-17</c:v>
                  </c:pt>
                  <c:pt idx="10">
                    <c:v>2017-18</c:v>
                  </c:pt>
                  <c:pt idx="11">
                    <c:v>2018-19</c:v>
                  </c:pt>
                  <c:pt idx="12">
                    <c:v>2019-20</c:v>
                  </c:pt>
                  <c:pt idx="13">
                    <c:v>2020-21</c:v>
                  </c:pt>
                  <c:pt idx="14">
                    <c:v>2021-22</c:v>
                  </c:pt>
                  <c:pt idx="15">
                    <c:v>2022-23</c:v>
                  </c:pt>
                </c:lvl>
              </c:multiLvlStrCache>
            </c:multiLvlStrRef>
          </c:cat>
          <c:val>
            <c:numRef>
              <c:f>'Chart 1.4'!$G$106:$V$106</c:f>
              <c:numCache>
                <c:formatCode>General</c:formatCode>
                <c:ptCount val="16"/>
                <c:pt idx="12" formatCode="_(* #,##0_);_(* \(#,##0\);_(* &quot;-&quot;_);_(@_)">
                  <c:v>18805.162774596374</c:v>
                </c:pt>
                <c:pt idx="13" formatCode="_(* #,##0_);_(* \(#,##0\);_(* &quot;-&quot;_);_(@_)">
                  <c:v>18805.162774596374</c:v>
                </c:pt>
                <c:pt idx="14" formatCode="_(* #,##0_);_(* \(#,##0\);_(* &quot;-&quot;_);_(@_)">
                  <c:v>18805.162774596374</c:v>
                </c:pt>
                <c:pt idx="15" formatCode="_(* #,##0_);_(* \(#,##0\);_(* &quot;-&quot;_);_(@_)">
                  <c:v>18805.162774596374</c:v>
                </c:pt>
              </c:numCache>
            </c:numRef>
          </c:val>
          <c:smooth val="0"/>
          <c:extLst>
            <c:ext xmlns:c16="http://schemas.microsoft.com/office/drawing/2014/chart" uri="{C3380CC4-5D6E-409C-BE32-E72D297353CC}">
              <c16:uniqueId val="{00000005-4235-4223-A4AC-FBF96A17E79B}"/>
            </c:ext>
          </c:extLst>
        </c:ser>
        <c:dLbls>
          <c:showLegendKey val="0"/>
          <c:showVal val="0"/>
          <c:showCatName val="0"/>
          <c:showSerName val="0"/>
          <c:showPercent val="0"/>
          <c:showBubbleSize val="0"/>
        </c:dLbls>
        <c:marker val="1"/>
        <c:smooth val="0"/>
        <c:axId val="693073408"/>
        <c:axId val="693074944"/>
      </c:lineChart>
      <c:catAx>
        <c:axId val="693073408"/>
        <c:scaling>
          <c:orientation val="minMax"/>
        </c:scaling>
        <c:delete val="0"/>
        <c:axPos val="b"/>
        <c:numFmt formatCode="General" sourceLinked="0"/>
        <c:majorTickMark val="out"/>
        <c:minorTickMark val="none"/>
        <c:tickLblPos val="nextTo"/>
        <c:spPr>
          <a:ln w="3175">
            <a:noFill/>
          </a:ln>
        </c:spPr>
        <c:txPr>
          <a:bodyPr rot="0" vert="horz"/>
          <a:lstStyle/>
          <a:p>
            <a:pPr>
              <a:defRPr sz="600">
                <a:solidFill>
                  <a:srgbClr val="57514D"/>
                </a:solidFill>
              </a:defRPr>
            </a:pPr>
            <a:endParaRPr lang="en-US"/>
          </a:p>
        </c:txPr>
        <c:crossAx val="693074944"/>
        <c:crosses val="autoZero"/>
        <c:auto val="1"/>
        <c:lblAlgn val="ctr"/>
        <c:lblOffset val="100"/>
        <c:noMultiLvlLbl val="1"/>
      </c:catAx>
      <c:valAx>
        <c:axId val="693074944"/>
        <c:scaling>
          <c:orientation val="minMax"/>
          <c:max val="27000"/>
        </c:scaling>
        <c:delete val="0"/>
        <c:axPos val="l"/>
        <c:majorGridlines>
          <c:spPr>
            <a:ln w="3175">
              <a:solidFill>
                <a:srgbClr val="DFDCDA"/>
              </a:solidFill>
              <a:prstDash val="solid"/>
            </a:ln>
          </c:spPr>
        </c:majorGridlines>
        <c:title>
          <c:tx>
            <c:rich>
              <a:bodyPr rot="-5400000" vert="horz"/>
              <a:lstStyle/>
              <a:p>
                <a:pPr>
                  <a:defRPr sz="700" b="0"/>
                </a:pPr>
                <a:r>
                  <a:rPr lang="en-US" sz="700" b="0"/>
                  <a:t>$ millions</a:t>
                </a:r>
              </a:p>
            </c:rich>
          </c:tx>
          <c:layout>
            <c:manualLayout>
              <c:xMode val="edge"/>
              <c:yMode val="edge"/>
              <c:x val="9.3287871726314611E-3"/>
              <c:y val="0.36239032421655193"/>
            </c:manualLayout>
          </c:layout>
          <c:overlay val="0"/>
        </c:title>
        <c:numFmt formatCode="#,##0" sourceLinked="0"/>
        <c:majorTickMark val="out"/>
        <c:minorTickMark val="none"/>
        <c:tickLblPos val="nextTo"/>
        <c:spPr>
          <a:ln w="3175">
            <a:noFill/>
          </a:ln>
        </c:spPr>
        <c:txPr>
          <a:bodyPr/>
          <a:lstStyle/>
          <a:p>
            <a:pPr>
              <a:defRPr sz="700"/>
            </a:pPr>
            <a:endParaRPr lang="en-US"/>
          </a:p>
        </c:txPr>
        <c:crossAx val="693073408"/>
        <c:crossesAt val="1"/>
        <c:crossBetween val="between"/>
        <c:majorUnit val="3000"/>
      </c:valAx>
    </c:plotArea>
    <c:legend>
      <c:legendPos val="b"/>
      <c:legendEntry>
        <c:idx val="0"/>
        <c:txPr>
          <a:bodyPr/>
          <a:lstStyle/>
          <a:p>
            <a:pPr>
              <a:defRPr sz="700"/>
            </a:pPr>
            <a:endParaRPr lang="en-US"/>
          </a:p>
        </c:txPr>
      </c:legendEntry>
      <c:legendEntry>
        <c:idx val="2"/>
        <c:delete val="1"/>
      </c:legendEntry>
      <c:legendEntry>
        <c:idx val="3"/>
        <c:delete val="1"/>
      </c:legendEntry>
      <c:legendEntry>
        <c:idx val="4"/>
        <c:delete val="1"/>
      </c:legendEntry>
      <c:legendEntry>
        <c:idx val="5"/>
        <c:delete val="1"/>
      </c:legendEntry>
      <c:layout>
        <c:manualLayout>
          <c:xMode val="edge"/>
          <c:yMode val="edge"/>
          <c:x val="0.26191911231032372"/>
          <c:y val="0.87239711399626985"/>
          <c:w val="0.54353164713426805"/>
          <c:h val="0.12760288600373018"/>
        </c:manualLayout>
      </c:layout>
      <c:overlay val="0"/>
    </c:legend>
    <c:plotVisOnly val="1"/>
    <c:dispBlanksAs val="gap"/>
    <c:showDLblsOverMax val="0"/>
  </c:chart>
  <c:spPr>
    <a:noFill/>
    <a:ln>
      <a:noFill/>
    </a:ln>
  </c:spPr>
  <c:txPr>
    <a:bodyPr/>
    <a:lstStyle/>
    <a:p>
      <a:pPr>
        <a:spcBef>
          <a:spcPts val="600"/>
        </a:spcBef>
        <a:defRPr sz="650">
          <a:solidFill>
            <a:srgbClr val="57514D"/>
          </a:solidFill>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dPt>
            <c:idx val="0"/>
            <c:bubble3D val="0"/>
            <c:spPr>
              <a:solidFill>
                <a:srgbClr val="002664"/>
              </a:solidFill>
              <a:ln>
                <a:solidFill>
                  <a:srgbClr val="0579B9"/>
                </a:solidFill>
              </a:ln>
            </c:spPr>
            <c:extLst>
              <c:ext xmlns:c16="http://schemas.microsoft.com/office/drawing/2014/chart" uri="{C3380CC4-5D6E-409C-BE32-E72D297353CC}">
                <c16:uniqueId val="{00000001-D179-43DF-A993-357EA04FF65E}"/>
              </c:ext>
            </c:extLst>
          </c:dPt>
          <c:dPt>
            <c:idx val="1"/>
            <c:bubble3D val="0"/>
            <c:spPr>
              <a:solidFill>
                <a:srgbClr val="25A9E1"/>
              </a:solidFill>
            </c:spPr>
            <c:extLst>
              <c:ext xmlns:c16="http://schemas.microsoft.com/office/drawing/2014/chart" uri="{C3380CC4-5D6E-409C-BE32-E72D297353CC}">
                <c16:uniqueId val="{00000003-D179-43DF-A993-357EA04FF65E}"/>
              </c:ext>
            </c:extLst>
          </c:dPt>
          <c:dPt>
            <c:idx val="2"/>
            <c:bubble3D val="0"/>
            <c:spPr>
              <a:solidFill>
                <a:srgbClr val="95C11F"/>
              </a:solidFill>
            </c:spPr>
            <c:extLst>
              <c:ext xmlns:c16="http://schemas.microsoft.com/office/drawing/2014/chart" uri="{C3380CC4-5D6E-409C-BE32-E72D297353CC}">
                <c16:uniqueId val="{00000005-D179-43DF-A993-357EA04FF65E}"/>
              </c:ext>
            </c:extLst>
          </c:dPt>
          <c:dPt>
            <c:idx val="3"/>
            <c:bubble3D val="0"/>
            <c:spPr>
              <a:solidFill>
                <a:srgbClr val="0A7CB9"/>
              </a:solidFill>
            </c:spPr>
            <c:extLst>
              <c:ext xmlns:c16="http://schemas.microsoft.com/office/drawing/2014/chart" uri="{C3380CC4-5D6E-409C-BE32-E72D297353CC}">
                <c16:uniqueId val="{00000007-D179-43DF-A993-357EA04FF65E}"/>
              </c:ext>
            </c:extLst>
          </c:dPt>
          <c:dPt>
            <c:idx val="4"/>
            <c:bubble3D val="0"/>
            <c:spPr>
              <a:solidFill>
                <a:srgbClr val="57514D"/>
              </a:solidFill>
            </c:spPr>
            <c:extLst>
              <c:ext xmlns:c16="http://schemas.microsoft.com/office/drawing/2014/chart" uri="{C3380CC4-5D6E-409C-BE32-E72D297353CC}">
                <c16:uniqueId val="{00000009-D179-43DF-A993-357EA04FF65E}"/>
              </c:ext>
            </c:extLst>
          </c:dPt>
          <c:dPt>
            <c:idx val="5"/>
            <c:bubble3D val="0"/>
            <c:spPr>
              <a:solidFill>
                <a:srgbClr val="57514D">
                  <a:alpha val="50000"/>
                </a:srgbClr>
              </a:solidFill>
            </c:spPr>
            <c:extLst>
              <c:ext xmlns:c16="http://schemas.microsoft.com/office/drawing/2014/chart" uri="{C3380CC4-5D6E-409C-BE32-E72D297353CC}">
                <c16:uniqueId val="{0000000B-D179-43DF-A993-357EA04FF65E}"/>
              </c:ext>
            </c:extLst>
          </c:dPt>
          <c:dPt>
            <c:idx val="6"/>
            <c:bubble3D val="0"/>
            <c:spPr>
              <a:solidFill>
                <a:srgbClr val="0579B9">
                  <a:alpha val="50000"/>
                </a:srgbClr>
              </a:solidFill>
            </c:spPr>
            <c:extLst>
              <c:ext xmlns:c16="http://schemas.microsoft.com/office/drawing/2014/chart" uri="{C3380CC4-5D6E-409C-BE32-E72D297353CC}">
                <c16:uniqueId val="{0000000D-D179-43DF-A993-357EA04FF65E}"/>
              </c:ext>
            </c:extLst>
          </c:dPt>
          <c:dPt>
            <c:idx val="7"/>
            <c:bubble3D val="0"/>
            <c:spPr>
              <a:solidFill>
                <a:srgbClr val="95C11F">
                  <a:alpha val="50000"/>
                </a:srgbClr>
              </a:solidFill>
            </c:spPr>
            <c:extLst>
              <c:ext xmlns:c16="http://schemas.microsoft.com/office/drawing/2014/chart" uri="{C3380CC4-5D6E-409C-BE32-E72D297353CC}">
                <c16:uniqueId val="{0000000F-D179-43DF-A993-357EA04FF65E}"/>
              </c:ext>
            </c:extLst>
          </c:dPt>
          <c:dPt>
            <c:idx val="8"/>
            <c:bubble3D val="0"/>
            <c:spPr>
              <a:solidFill>
                <a:srgbClr val="0579B9"/>
              </a:solidFill>
            </c:spPr>
            <c:extLst>
              <c:ext xmlns:c16="http://schemas.microsoft.com/office/drawing/2014/chart" uri="{C3380CC4-5D6E-409C-BE32-E72D297353CC}">
                <c16:uniqueId val="{00000011-D179-43DF-A993-357EA04FF65E}"/>
              </c:ext>
            </c:extLst>
          </c:dPt>
          <c:dPt>
            <c:idx val="9"/>
            <c:bubble3D val="0"/>
            <c:spPr>
              <a:solidFill>
                <a:srgbClr val="202D61"/>
              </a:solidFill>
            </c:spPr>
            <c:extLst>
              <c:ext xmlns:c16="http://schemas.microsoft.com/office/drawing/2014/chart" uri="{C3380CC4-5D6E-409C-BE32-E72D297353CC}">
                <c16:uniqueId val="{00000013-D179-43DF-A993-357EA04FF65E}"/>
              </c:ext>
            </c:extLst>
          </c:dPt>
          <c:dPt>
            <c:idx val="10"/>
            <c:bubble3D val="0"/>
            <c:spPr>
              <a:solidFill>
                <a:srgbClr val="00A1DE"/>
              </a:solidFill>
            </c:spPr>
            <c:extLst>
              <c:ext xmlns:c16="http://schemas.microsoft.com/office/drawing/2014/chart" uri="{C3380CC4-5D6E-409C-BE32-E72D297353CC}">
                <c16:uniqueId val="{00000015-D179-43DF-A993-357EA04FF65E}"/>
              </c:ext>
            </c:extLst>
          </c:dPt>
          <c:dLbls>
            <c:dLbl>
              <c:idx val="0"/>
              <c:layout>
                <c:manualLayout>
                  <c:x val="-9.5152604701750215E-2"/>
                  <c:y val="0.1212335076691724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179-43DF-A993-357EA04FF65E}"/>
                </c:ext>
              </c:extLst>
            </c:dLbl>
            <c:dLbl>
              <c:idx val="1"/>
              <c:layout>
                <c:manualLayout>
                  <c:x val="-0.10576407658183287"/>
                  <c:y val="-1.1054031938148676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179-43DF-A993-357EA04FF65E}"/>
                </c:ext>
              </c:extLst>
            </c:dLbl>
            <c:dLbl>
              <c:idx val="2"/>
              <c:layout>
                <c:manualLayout>
                  <c:x val="-8.6538696177606719E-2"/>
                  <c:y val="-0.12195851459889755"/>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179-43DF-A993-357EA04FF65E}"/>
                </c:ext>
              </c:extLst>
            </c:dLbl>
            <c:dLbl>
              <c:idx val="3"/>
              <c:layout>
                <c:manualLayout>
                  <c:x val="0.12386399536582333"/>
                  <c:y val="1.2981408418910597E-2"/>
                </c:manualLayout>
              </c:layout>
              <c:tx>
                <c:rich>
                  <a:bodyPr/>
                  <a:lstStyle/>
                  <a:p>
                    <a:fld id="{2FF80DBB-A247-4A48-A7AF-B4A9021368F0}" type="CATEGORYNAME">
                      <a:rPr lang="en-US"/>
                      <a:pPr/>
                      <a:t>[CATEGORY NAME]</a:t>
                    </a:fld>
                    <a:r>
                      <a:rPr lang="en-US" baseline="30000"/>
                      <a:t>(a)</a:t>
                    </a:r>
                    <a:r>
                      <a:rPr lang="en-US" baseline="0"/>
                      <a:t>
</a:t>
                    </a:r>
                    <a:fld id="{99D5D2D0-3C95-4757-82B0-635219D6A1A4}" type="PERCENTAGE">
                      <a:rPr lang="en-US" baseline="0"/>
                      <a:pPr/>
                      <a:t>[PERCENTAGE]</a:t>
                    </a:fld>
                    <a:endParaRPr lang="en-US"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D179-43DF-A993-357EA04FF65E}"/>
                </c:ext>
              </c:extLst>
            </c:dLbl>
            <c:dLbl>
              <c:idx val="4"/>
              <c:layout>
                <c:manualLayout>
                  <c:x val="1.5204320299776663E-3"/>
                  <c:y val="4.246284501061571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179-43DF-A993-357EA04FF65E}"/>
                </c:ext>
              </c:extLst>
            </c:dLbl>
            <c:dLbl>
              <c:idx val="5"/>
              <c:layout>
                <c:manualLayout>
                  <c:x val="1.21097382267341E-2"/>
                  <c:y val="3.821622615644382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179-43DF-A993-357EA04FF65E}"/>
                </c:ext>
              </c:extLst>
            </c:dLbl>
            <c:dLbl>
              <c:idx val="6"/>
              <c:layout>
                <c:manualLayout>
                  <c:x val="9.814885114477331E-3"/>
                  <c:y val="1.9546617182406339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D179-43DF-A993-357EA04FF65E}"/>
                </c:ext>
              </c:extLst>
            </c:dLbl>
            <c:dLbl>
              <c:idx val="7"/>
              <c:layout>
                <c:manualLayout>
                  <c:x val="1.0368066355624676E-2"/>
                  <c:y val="6.8077636792216257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D179-43DF-A993-357EA04FF65E}"/>
                </c:ext>
              </c:extLst>
            </c:dLbl>
            <c:dLbl>
              <c:idx val="8"/>
              <c:layout>
                <c:manualLayout>
                  <c:x val="3.9259867011180371E-3"/>
                  <c:y val="2.0108330407743617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1-D179-43DF-A993-357EA04FF65E}"/>
                </c:ext>
              </c:extLst>
            </c:dLbl>
            <c:dLbl>
              <c:idx val="9"/>
              <c:layout>
                <c:manualLayout>
                  <c:x val="7.409330443336885E-3"/>
                  <c:y val="5.039370078740157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3-D179-43DF-A993-357EA04FF65E}"/>
                </c:ext>
              </c:extLst>
            </c:dLbl>
            <c:dLbl>
              <c:idx val="10"/>
              <c:layout>
                <c:manualLayout>
                  <c:x val="1.3105546776482664E-2"/>
                  <c:y val="0"/>
                </c:manualLayout>
              </c:layout>
              <c:tx>
                <c:rich>
                  <a:bodyPr/>
                  <a:lstStyle/>
                  <a:p>
                    <a:r>
                      <a:t>Add text</a:t>
                    </a:r>
                  </a:p>
                </c:rich>
              </c:tx>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5-D179-43DF-A993-357EA04FF65E}"/>
                </c:ext>
              </c:extLst>
            </c:dLbl>
            <c:numFmt formatCode="0%" sourceLinked="0"/>
            <c:spPr>
              <a:noFill/>
              <a:ln>
                <a:noFill/>
              </a:ln>
            </c:spPr>
            <c:showLegendKey val="0"/>
            <c:showVal val="0"/>
            <c:showCatName val="1"/>
            <c:showSerName val="0"/>
            <c:showPercent val="1"/>
            <c:showBubbleSize val="0"/>
            <c:showLeaderLines val="0"/>
            <c:extLst>
              <c:ext xmlns:c15="http://schemas.microsoft.com/office/drawing/2012/chart" uri="{CE6537A1-D6FC-4f65-9D91-7224C49458BB}"/>
            </c:extLst>
          </c:dLbls>
          <c:cat>
            <c:strRef>
              <c:f>'Chart 1.7'!$D$26:$G$27</c:f>
              <c:strCache>
                <c:ptCount val="4"/>
                <c:pt idx="0">
                  <c:v>Land</c:v>
                </c:pt>
                <c:pt idx="1">
                  <c:v>Buildings</c:v>
                </c:pt>
                <c:pt idx="2">
                  <c:v>Plant and 
Equipment</c:v>
                </c:pt>
                <c:pt idx="3">
                  <c:v>Infrastructure
Systems</c:v>
                </c:pt>
              </c:strCache>
            </c:strRef>
          </c:cat>
          <c:val>
            <c:numRef>
              <c:f>'Chart 1.7'!$D$29:$G$29</c:f>
              <c:numCache>
                <c:formatCode>#,##0\ \ ;\(#,##0\)\ \ ;...\ \ \ </c:formatCode>
                <c:ptCount val="4"/>
                <c:pt idx="0">
                  <c:v>73309.297589900001</c:v>
                </c:pt>
                <c:pt idx="1">
                  <c:v>88945.601497629992</c:v>
                </c:pt>
                <c:pt idx="2">
                  <c:v>17338.351707140002</c:v>
                </c:pt>
                <c:pt idx="3">
                  <c:v>160242.15809752999</c:v>
                </c:pt>
              </c:numCache>
            </c:numRef>
          </c:val>
          <c:extLst>
            <c:ext xmlns:c16="http://schemas.microsoft.com/office/drawing/2014/chart" uri="{C3380CC4-5D6E-409C-BE32-E72D297353CC}">
              <c16:uniqueId val="{00000016-D179-43DF-A993-357EA04FF65E}"/>
            </c:ext>
          </c:extLst>
        </c:ser>
        <c:dLbls>
          <c:showLegendKey val="0"/>
          <c:showVal val="1"/>
          <c:showCatName val="0"/>
          <c:showSerName val="0"/>
          <c:showPercent val="0"/>
          <c:showBubbleSize val="0"/>
          <c:showLeaderLines val="0"/>
        </c:dLbls>
        <c:firstSliceAng val="150"/>
        <c:holeSize val="60"/>
      </c:doughnutChart>
      <c:spPr>
        <a:noFill/>
        <a:ln>
          <a:noFill/>
        </a:ln>
      </c:spPr>
    </c:plotArea>
    <c:plotVisOnly val="1"/>
    <c:dispBlanksAs val="gap"/>
    <c:showDLblsOverMax val="0"/>
  </c:chart>
  <c:spPr>
    <a:noFill/>
    <a:ln>
      <a:noFill/>
    </a:ln>
  </c:spPr>
  <c:txPr>
    <a:bodyPr/>
    <a:lstStyle/>
    <a:p>
      <a:pPr>
        <a:defRPr sz="700">
          <a:solidFill>
            <a:srgbClr val="57514D"/>
          </a:solidFill>
          <a:latin typeface="Arial" panose="020B0604020202020204" pitchFamily="34" charset="0"/>
          <a:cs typeface="Arial" panose="020B0604020202020204" pitchFamily="34" charset="0"/>
        </a:defRPr>
      </a:pPr>
      <a:endParaRPr lang="en-US"/>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0.22138</cdr:x>
      <cdr:y>0.96469</cdr:y>
    </cdr:from>
    <cdr:to>
      <cdr:x>0.87809</cdr:x>
      <cdr:y>1</cdr:y>
    </cdr:to>
    <cdr:sp macro="" textlink="">
      <cdr:nvSpPr>
        <cdr:cNvPr id="2" name="Rectangle 1"/>
        <cdr:cNvSpPr/>
      </cdr:nvSpPr>
      <cdr:spPr>
        <a:xfrm xmlns:a="http://schemas.openxmlformats.org/drawingml/2006/main">
          <a:off x="1676373" y="2638425"/>
          <a:ext cx="4972855" cy="96568"/>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0.14465</cdr:x>
      <cdr:y>0.21592</cdr:y>
    </cdr:from>
    <cdr:to>
      <cdr:x>0.29811</cdr:x>
      <cdr:y>0.28558</cdr:y>
    </cdr:to>
    <cdr:sp macro="" textlink="">
      <cdr:nvSpPr>
        <cdr:cNvPr id="5" name="TextBox 4">
          <a:extLst xmlns:a="http://schemas.openxmlformats.org/drawingml/2006/main">
            <a:ext uri="{FF2B5EF4-FFF2-40B4-BE49-F238E27FC236}">
              <a16:creationId xmlns:a16="http://schemas.microsoft.com/office/drawing/2014/main" id="{8F1BF0DE-A28C-44EF-A712-D57123A7D2C7}"/>
            </a:ext>
          </a:extLst>
        </cdr:cNvPr>
        <cdr:cNvSpPr txBox="1"/>
      </cdr:nvSpPr>
      <cdr:spPr>
        <a:xfrm xmlns:a="http://schemas.openxmlformats.org/drawingml/2006/main">
          <a:off x="1095376" y="590550"/>
          <a:ext cx="1162050" cy="1905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AU" sz="1100"/>
        </a:p>
      </cdr:txBody>
    </cdr:sp>
  </cdr:relSizeAnchor>
  <cdr:relSizeAnchor xmlns:cdr="http://schemas.openxmlformats.org/drawingml/2006/chartDrawing">
    <cdr:from>
      <cdr:x>0.80473</cdr:x>
      <cdr:y>0.11041</cdr:y>
    </cdr:from>
    <cdr:to>
      <cdr:x>0.99844</cdr:x>
      <cdr:y>0.18713</cdr:y>
    </cdr:to>
    <cdr:sp macro="" textlink="">
      <cdr:nvSpPr>
        <cdr:cNvPr id="9" name="TextBox 8">
          <a:extLst xmlns:a="http://schemas.openxmlformats.org/drawingml/2006/main">
            <a:ext uri="{FF2B5EF4-FFF2-40B4-BE49-F238E27FC236}">
              <a16:creationId xmlns:a16="http://schemas.microsoft.com/office/drawing/2014/main" id="{4CE41521-93C0-42A2-B1A8-705C222ADBEB}"/>
            </a:ext>
          </a:extLst>
        </cdr:cNvPr>
        <cdr:cNvSpPr txBox="1"/>
      </cdr:nvSpPr>
      <cdr:spPr>
        <a:xfrm xmlns:a="http://schemas.openxmlformats.org/drawingml/2006/main">
          <a:off x="4925586" y="247272"/>
          <a:ext cx="1185654" cy="17182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fld id="{27852187-7B05-41A4-A8AA-DF070A0416FD}" type="TxLink">
            <a:rPr lang="en-US" sz="700" b="1" i="0" u="none" strike="noStrike">
              <a:solidFill>
                <a:schemeClr val="tx1">
                  <a:lumMod val="65000"/>
                  <a:lumOff val="35000"/>
                </a:schemeClr>
              </a:solidFill>
              <a:latin typeface="Arial" panose="020B0604020202020204" pitchFamily="34" charset="0"/>
              <a:cs typeface="Arial" panose="020B0604020202020204" pitchFamily="34" charset="0"/>
            </a:rPr>
            <a:pPr/>
            <a:t>Average: $18.8 billion</a:t>
          </a:fld>
          <a:endParaRPr lang="en-AU" sz="700" b="1">
            <a:solidFill>
              <a:schemeClr val="tx1">
                <a:lumMod val="65000"/>
                <a:lumOff val="35000"/>
              </a:schemeClr>
            </a:solidFill>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0.13627</cdr:x>
      <cdr:y>0.49618</cdr:y>
    </cdr:from>
    <cdr:to>
      <cdr:x>0.3159</cdr:x>
      <cdr:y>0.57839</cdr:y>
    </cdr:to>
    <cdr:sp macro="" textlink="">
      <cdr:nvSpPr>
        <cdr:cNvPr id="8" name="TextBox 1">
          <a:extLst xmlns:a="http://schemas.openxmlformats.org/drawingml/2006/main">
            <a:ext uri="{FF2B5EF4-FFF2-40B4-BE49-F238E27FC236}">
              <a16:creationId xmlns:a16="http://schemas.microsoft.com/office/drawing/2014/main" id="{B46AE63C-3C78-46CA-9790-0BCD6FE071C9}"/>
            </a:ext>
          </a:extLst>
        </cdr:cNvPr>
        <cdr:cNvSpPr txBox="1"/>
      </cdr:nvSpPr>
      <cdr:spPr>
        <a:xfrm xmlns:a="http://schemas.openxmlformats.org/drawingml/2006/main">
          <a:off x="834077" y="1111266"/>
          <a:ext cx="1099498" cy="18413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fld id="{43618AD8-B959-4168-A4D1-31CB71A9A88D}" type="TxLink">
            <a:rPr lang="en-US" sz="700" b="1" i="0" u="none" strike="noStrike">
              <a:solidFill>
                <a:schemeClr val="tx1">
                  <a:lumMod val="65000"/>
                  <a:lumOff val="35000"/>
                </a:schemeClr>
              </a:solidFill>
              <a:latin typeface="Arial" panose="020B0604020202020204" pitchFamily="34" charset="0"/>
              <a:cs typeface="Arial" panose="020B0604020202020204" pitchFamily="34" charset="0"/>
            </a:rPr>
            <a:pPr/>
            <a:t>Average: $6.2 billion</a:t>
          </a:fld>
          <a:endParaRPr lang="en-AU" sz="700" b="1">
            <a:solidFill>
              <a:schemeClr val="tx1">
                <a:lumMod val="65000"/>
                <a:lumOff val="35000"/>
              </a:schemeClr>
            </a:solidFill>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0.35849</cdr:x>
      <cdr:y>0.43497</cdr:y>
    </cdr:from>
    <cdr:to>
      <cdr:x>0.56022</cdr:x>
      <cdr:y>0.49334</cdr:y>
    </cdr:to>
    <cdr:sp macro="" textlink="">
      <cdr:nvSpPr>
        <cdr:cNvPr id="10" name="TextBox 1">
          <a:extLst xmlns:a="http://schemas.openxmlformats.org/drawingml/2006/main">
            <a:ext uri="{FF2B5EF4-FFF2-40B4-BE49-F238E27FC236}">
              <a16:creationId xmlns:a16="http://schemas.microsoft.com/office/drawing/2014/main" id="{BE2F15C6-C0B8-44B7-8636-F5DD4A7EAA69}"/>
            </a:ext>
          </a:extLst>
        </cdr:cNvPr>
        <cdr:cNvSpPr txBox="1"/>
      </cdr:nvSpPr>
      <cdr:spPr>
        <a:xfrm xmlns:a="http://schemas.openxmlformats.org/drawingml/2006/main">
          <a:off x="2194232" y="974168"/>
          <a:ext cx="1234767" cy="13073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fld id="{406DF557-B0F6-487F-8266-ECED6F91AD3D}" type="TxLink">
            <a:rPr lang="en-US" sz="700" b="1" i="0" u="none" strike="noStrike">
              <a:solidFill>
                <a:schemeClr val="tx1">
                  <a:lumMod val="65000"/>
                  <a:lumOff val="35000"/>
                </a:schemeClr>
              </a:solidFill>
              <a:latin typeface="Arial" panose="020B0604020202020204" pitchFamily="34" charset="0"/>
              <a:cs typeface="Arial" panose="020B0604020202020204" pitchFamily="34" charset="0"/>
            </a:rPr>
            <a:pPr/>
            <a:t>Average: $7.7 billion</a:t>
          </a:fld>
          <a:endParaRPr lang="en-AU" sz="700" b="1">
            <a:solidFill>
              <a:schemeClr val="tx1">
                <a:lumMod val="65000"/>
                <a:lumOff val="35000"/>
              </a:schemeClr>
            </a:solidFill>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0.55084</cdr:x>
      <cdr:y>0.27645</cdr:y>
    </cdr:from>
    <cdr:to>
      <cdr:x>0.76097</cdr:x>
      <cdr:y>0.33173</cdr:y>
    </cdr:to>
    <cdr:sp macro="" textlink="">
      <cdr:nvSpPr>
        <cdr:cNvPr id="11" name="TextBox 1">
          <a:extLst xmlns:a="http://schemas.openxmlformats.org/drawingml/2006/main">
            <a:ext uri="{FF2B5EF4-FFF2-40B4-BE49-F238E27FC236}">
              <a16:creationId xmlns:a16="http://schemas.microsoft.com/office/drawing/2014/main" id="{9FE5C5B6-8DED-497E-8E59-80DA06578CC8}"/>
            </a:ext>
          </a:extLst>
        </cdr:cNvPr>
        <cdr:cNvSpPr txBox="1"/>
      </cdr:nvSpPr>
      <cdr:spPr>
        <a:xfrm xmlns:a="http://schemas.openxmlformats.org/drawingml/2006/main">
          <a:off x="3371560" y="619151"/>
          <a:ext cx="1286165" cy="12380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fld id="{745F3757-644F-464A-B2D9-7E8685915886}" type="TxLink">
            <a:rPr lang="en-US" sz="700" b="1" i="0" u="none" strike="noStrike">
              <a:solidFill>
                <a:schemeClr val="tx1">
                  <a:lumMod val="65000"/>
                  <a:lumOff val="35000"/>
                </a:schemeClr>
              </a:solidFill>
              <a:latin typeface="Arial" panose="020B0604020202020204" pitchFamily="34" charset="0"/>
              <a:cs typeface="Arial" panose="020B0604020202020204" pitchFamily="34" charset="0"/>
            </a:rPr>
            <a:pPr/>
            <a:t>Average: $13.4 billion</a:t>
          </a:fld>
          <a:endParaRPr lang="en-AU" sz="700" b="1">
            <a:solidFill>
              <a:schemeClr val="tx1">
                <a:lumMod val="65000"/>
                <a:lumOff val="35000"/>
              </a:schemeClr>
            </a:solidFill>
            <a:latin typeface="Arial" panose="020B0604020202020204" pitchFamily="34" charset="0"/>
            <a:cs typeface="Arial" panose="020B0604020202020204" pitchFamily="34"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Budget">
    <a:dk1>
      <a:srgbClr val="57514D"/>
    </a:dk1>
    <a:lt1>
      <a:srgbClr val="FFFFFF"/>
    </a:lt1>
    <a:dk2>
      <a:srgbClr val="1D3278"/>
    </a:dk2>
    <a:lt2>
      <a:srgbClr val="DD0332"/>
    </a:lt2>
    <a:accent1>
      <a:srgbClr val="0579B9"/>
    </a:accent1>
    <a:accent2>
      <a:srgbClr val="EB8C00"/>
    </a:accent2>
    <a:accent3>
      <a:srgbClr val="951C7D"/>
    </a:accent3>
    <a:accent4>
      <a:srgbClr val="95C11F"/>
    </a:accent4>
    <a:accent5>
      <a:srgbClr val="13421F"/>
    </a:accent5>
    <a:accent6>
      <a:srgbClr val="25A9E1"/>
    </a:accent6>
    <a:hlink>
      <a:srgbClr val="000000"/>
    </a:hlink>
    <a:folHlink>
      <a:srgbClr val="000000"/>
    </a:folHlink>
  </a:clrScheme>
  <a:fontScheme name="Budget">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801a5968-9419-4033-b9de-7ffe8168468e">
      <UserInfo>
        <DisplayName>Danielle Burgess</DisplayName>
        <AccountId>27</AccountId>
        <AccountType/>
      </UserInfo>
    </SharedWithUsers>
    <_Flow_SignoffStatus xmlns="1c478e85-8130-4c67-8ee4-8bdf1c0e604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02F16F1AFBDE54EBD2685E90FE1922F" ma:contentTypeVersion="11" ma:contentTypeDescription="Create a new document." ma:contentTypeScope="" ma:versionID="09dc3bd8f1f17fedb8a1949fc26bace1">
  <xsd:schema xmlns:xsd="http://www.w3.org/2001/XMLSchema" xmlns:xs="http://www.w3.org/2001/XMLSchema" xmlns:p="http://schemas.microsoft.com/office/2006/metadata/properties" xmlns:ns2="801a5968-9419-4033-b9de-7ffe8168468e" xmlns:ns3="1c478e85-8130-4c67-8ee4-8bdf1c0e6049" targetNamespace="http://schemas.microsoft.com/office/2006/metadata/properties" ma:root="true" ma:fieldsID="b368971463d79661f3ec0885fa2b6f01" ns2:_="" ns3:_="">
    <xsd:import namespace="801a5968-9419-4033-b9de-7ffe8168468e"/>
    <xsd:import namespace="1c478e85-8130-4c67-8ee4-8bdf1c0e604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DateTaken" minOccurs="0"/>
                <xsd:element ref="ns3:MediaServiceOCR" minOccurs="0"/>
                <xsd:element ref="ns3:MediaServiceLocation" minOccurs="0"/>
                <xsd:element ref="ns3:MediaServiceGenerationTime" minOccurs="0"/>
                <xsd:element ref="ns3:MediaServiceEventHashCode" minOccurs="0"/>
                <xsd:element ref="ns3: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1a5968-9419-4033-b9de-7ffe8168468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c478e85-8130-4c67-8ee4-8bdf1c0e604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256981-04AC-4029-A4D1-CECB1D71233F}">
  <ds:schemaRefs>
    <ds:schemaRef ds:uri="http://purl.org/dc/elements/1.1/"/>
    <ds:schemaRef ds:uri="http://schemas.microsoft.com/office/2006/documentManagement/types"/>
    <ds:schemaRef ds:uri="801a5968-9419-4033-b9de-7ffe8168468e"/>
    <ds:schemaRef ds:uri="http://purl.org/dc/dcmitype/"/>
    <ds:schemaRef ds:uri="http://www.w3.org/XML/1998/namespace"/>
    <ds:schemaRef ds:uri="http://schemas.openxmlformats.org/package/2006/metadata/core-properties"/>
    <ds:schemaRef ds:uri="http://purl.org/dc/terms/"/>
    <ds:schemaRef ds:uri="http://schemas.microsoft.com/office/infopath/2007/PartnerControls"/>
    <ds:schemaRef ds:uri="1c478e85-8130-4c67-8ee4-8bdf1c0e6049"/>
    <ds:schemaRef ds:uri="http://schemas.microsoft.com/office/2006/metadata/properties"/>
  </ds:schemaRefs>
</ds:datastoreItem>
</file>

<file path=customXml/itemProps2.xml><?xml version="1.0" encoding="utf-8"?>
<ds:datastoreItem xmlns:ds="http://schemas.openxmlformats.org/officeDocument/2006/customXml" ds:itemID="{2A522357-6383-4B88-808C-FAFCB94D862A}">
  <ds:schemaRefs>
    <ds:schemaRef ds:uri="http://schemas.microsoft.com/sharepoint/v3/contenttype/forms"/>
  </ds:schemaRefs>
</ds:datastoreItem>
</file>

<file path=customXml/itemProps3.xml><?xml version="1.0" encoding="utf-8"?>
<ds:datastoreItem xmlns:ds="http://schemas.openxmlformats.org/officeDocument/2006/customXml" ds:itemID="{F9268D67-CF99-418E-95B2-17B6EAC852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1a5968-9419-4033-b9de-7ffe8168468e"/>
    <ds:schemaRef ds:uri="1c478e85-8130-4c67-8ee4-8bdf1c0e604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177F2C2-4ACC-4561-90E5-F75BED1B59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2718</TotalTime>
  <Pages>13</Pages>
  <Words>4561</Words>
  <Characters>26022</Characters>
  <Application>Microsoft Office Word</Application>
  <DocSecurity>0</DocSecurity>
  <Lines>216</Lines>
  <Paragraphs>61</Paragraphs>
  <ScaleCrop>false</ScaleCrop>
  <HeadingPairs>
    <vt:vector size="2" baseType="variant">
      <vt:variant>
        <vt:lpstr>Title</vt:lpstr>
      </vt:variant>
      <vt:variant>
        <vt:i4>1</vt:i4>
      </vt:variant>
    </vt:vector>
  </HeadingPairs>
  <TitlesOfParts>
    <vt:vector size="1" baseType="lpstr">
      <vt:lpstr>2019-20 Budget Paper No. 2 - Infrastructure Statement - Chapter 1: Infrastructure Program Overview</vt:lpstr>
    </vt:vector>
  </TitlesOfParts>
  <Company>NSW Treasury</Company>
  <LinksUpToDate>false</LinksUpToDate>
  <CharactersWithSpaces>30522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2019-20 Budget Paper No. 2 - Infrastructure Statement - Chapter 1: Infrastructure Program Overview</dc:title>
  <dc:subject/>
  <dc:creator>The Treasury</dc:creator>
  <cp:keywords/>
  <dc:description/>
  <cp:lastModifiedBy>Francess Lavorato</cp:lastModifiedBy>
  <cp:revision>3248</cp:revision>
  <cp:lastPrinted>2019-06-15T07:50:00Z</cp:lastPrinted>
  <dcterms:created xsi:type="dcterms:W3CDTF">2019-05-13T02:34:00Z</dcterms:created>
  <dcterms:modified xsi:type="dcterms:W3CDTF">2019-06-15T07:50:00Z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0x010100F02F16F1AFBDE54EBD2685E90FE1922F</vt:lpwstr>
  </property>
</Properties>
</file>