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90A9" w14:textId="0B5D0039" w:rsidR="001A33E6" w:rsidRPr="001A33E6" w:rsidRDefault="0008672B" w:rsidP="00055D45">
      <w:pPr>
        <w:pStyle w:val="Heading1"/>
        <w:numPr>
          <w:ilvl w:val="0"/>
          <w:numId w:val="0"/>
        </w:numPr>
        <w:spacing w:before="480" w:after="480"/>
      </w:pPr>
      <w:r>
        <w:t>4</w:t>
      </w:r>
      <w:r w:rsidR="007563DF" w:rsidRPr="0011270D">
        <w:t>.</w:t>
      </w:r>
      <w:r w:rsidR="007563DF" w:rsidRPr="0011270D">
        <w:tab/>
      </w:r>
      <w:r w:rsidR="00621373" w:rsidRPr="0011270D">
        <w:t>Revenue</w:t>
      </w:r>
      <w:r w:rsidR="00347F51" w:rsidRPr="00347F51">
        <w:t xml:space="preserve"> </w:t>
      </w:r>
    </w:p>
    <w:tbl>
      <w:tblPr>
        <w:tblW w:w="9615" w:type="dxa"/>
        <w:jc w:val="right"/>
        <w:shd w:val="clear" w:color="auto" w:fill="F2F2F2" w:themeFill="background1" w:themeFillShade="F2"/>
        <w:tblLayout w:type="fixed"/>
        <w:tblCellMar>
          <w:left w:w="0" w:type="dxa"/>
          <w:right w:w="0" w:type="dxa"/>
        </w:tblCellMar>
        <w:tblLook w:val="04A0" w:firstRow="1" w:lastRow="0" w:firstColumn="1" w:lastColumn="0" w:noHBand="0" w:noVBand="1"/>
      </w:tblPr>
      <w:tblGrid>
        <w:gridCol w:w="9615"/>
      </w:tblGrid>
      <w:tr w:rsidR="007563DF" w:rsidRPr="0011270D" w14:paraId="5E7A1D11" w14:textId="77777777" w:rsidTr="00384E74">
        <w:trPr>
          <w:trHeight w:val="653"/>
          <w:jc w:val="right"/>
        </w:trPr>
        <w:tc>
          <w:tcPr>
            <w:tcW w:w="9615" w:type="dxa"/>
            <w:shd w:val="clear" w:color="auto" w:fill="F2F2F2" w:themeFill="background1" w:themeFillShade="F2"/>
            <w:tcMar>
              <w:top w:w="0" w:type="dxa"/>
              <w:left w:w="108" w:type="dxa"/>
              <w:bottom w:w="0" w:type="dxa"/>
              <w:right w:w="108" w:type="dxa"/>
            </w:tcMar>
          </w:tcPr>
          <w:p w14:paraId="7B7A17FD" w14:textId="5E7D8F96" w:rsidR="00392A6C" w:rsidRDefault="0078289C" w:rsidP="00D63847">
            <w:pPr>
              <w:pStyle w:val="Bullet1inabox"/>
            </w:pPr>
            <w:r>
              <w:t>The Government’s program of tax reduction</w:t>
            </w:r>
            <w:r w:rsidR="00447654">
              <w:t xml:space="preserve">s is continuing, </w:t>
            </w:r>
            <w:r w:rsidR="006B30BE">
              <w:t xml:space="preserve">with further rounds of payroll tax </w:t>
            </w:r>
            <w:r w:rsidR="00A01A7A">
              <w:t>cut</w:t>
            </w:r>
            <w:r w:rsidR="14D53350">
              <w:t>s</w:t>
            </w:r>
            <w:r w:rsidR="00A01A7A">
              <w:t xml:space="preserve"> </w:t>
            </w:r>
            <w:r w:rsidR="006B30BE">
              <w:t xml:space="preserve">and transfer duty </w:t>
            </w:r>
            <w:r w:rsidR="00A01A7A">
              <w:t xml:space="preserve">threshold </w:t>
            </w:r>
            <w:r w:rsidR="006B30BE">
              <w:t>indexation commencing in 2019-20.</w:t>
            </w:r>
          </w:p>
          <w:p w14:paraId="0934F303" w14:textId="01F993B3" w:rsidR="00370D42" w:rsidRPr="00725788" w:rsidRDefault="00370D42" w:rsidP="00D63847">
            <w:pPr>
              <w:pStyle w:val="Bullet1inabox"/>
            </w:pPr>
            <w:r w:rsidRPr="00725788">
              <w:t>Total</w:t>
            </w:r>
            <w:r w:rsidR="00C05A84" w:rsidRPr="00725788">
              <w:t xml:space="preserve"> </w:t>
            </w:r>
            <w:r w:rsidRPr="00725788">
              <w:t xml:space="preserve">revenue </w:t>
            </w:r>
            <w:r w:rsidR="00BF602F" w:rsidRPr="00725788">
              <w:t>for</w:t>
            </w:r>
            <w:r w:rsidRPr="00725788">
              <w:t xml:space="preserve"> </w:t>
            </w:r>
            <w:r w:rsidR="00BF602F" w:rsidRPr="00725788">
              <w:t xml:space="preserve">New South Wales in </w:t>
            </w:r>
            <w:r w:rsidRPr="00725788">
              <w:t>201</w:t>
            </w:r>
            <w:r w:rsidR="0038088C" w:rsidRPr="00725788">
              <w:t>9</w:t>
            </w:r>
            <w:r w:rsidRPr="00725788">
              <w:t>-</w:t>
            </w:r>
            <w:r w:rsidR="0038088C" w:rsidRPr="00725788">
              <w:t>20</w:t>
            </w:r>
            <w:r w:rsidRPr="00725788">
              <w:t xml:space="preserve"> </w:t>
            </w:r>
            <w:r w:rsidR="00080181" w:rsidRPr="00725788">
              <w:t xml:space="preserve">is estimated at </w:t>
            </w:r>
            <w:r w:rsidR="00080181" w:rsidRPr="00384E74">
              <w:t>$</w:t>
            </w:r>
            <w:r w:rsidR="00C96F34" w:rsidRPr="00384E74">
              <w:t>84.3</w:t>
            </w:r>
            <w:r w:rsidR="004370D3" w:rsidRPr="008F3E2A">
              <w:t xml:space="preserve"> billion</w:t>
            </w:r>
            <w:r w:rsidR="00AB342F" w:rsidRPr="00725788">
              <w:t xml:space="preserve">, </w:t>
            </w:r>
            <w:r w:rsidR="00CF0BD1" w:rsidRPr="00725788">
              <w:t>and $354.0</w:t>
            </w:r>
            <w:r w:rsidR="003E10BD" w:rsidRPr="00725788">
              <w:t> </w:t>
            </w:r>
            <w:r w:rsidR="00CF0BD1" w:rsidRPr="00725788">
              <w:t>billion</w:t>
            </w:r>
            <w:r w:rsidR="00AB342F" w:rsidRPr="00725788">
              <w:t xml:space="preserve"> </w:t>
            </w:r>
            <w:r w:rsidR="00A26CE8" w:rsidRPr="00725788">
              <w:t>in</w:t>
            </w:r>
            <w:r w:rsidR="00AB342F" w:rsidRPr="00725788">
              <w:t xml:space="preserve"> the four years to 2022-23</w:t>
            </w:r>
            <w:r w:rsidR="00080181" w:rsidRPr="00725788">
              <w:t xml:space="preserve">. </w:t>
            </w:r>
          </w:p>
          <w:p w14:paraId="2F5B8BC5" w14:textId="4EAD75B9" w:rsidR="00900711" w:rsidRPr="00725788" w:rsidRDefault="00900711" w:rsidP="00D63847">
            <w:pPr>
              <w:pStyle w:val="Bullet1inabox"/>
            </w:pPr>
            <w:r w:rsidRPr="00725788">
              <w:t>While individual revenue sources can be highly volatile, the State’s diverse revenue base is expected to support average annual growth of 3.2 per cent in the four years to 2022</w:t>
            </w:r>
            <w:r w:rsidR="005C34F0">
              <w:noBreakHyphen/>
            </w:r>
            <w:r w:rsidRPr="00725788">
              <w:t>23.</w:t>
            </w:r>
          </w:p>
          <w:p w14:paraId="4F5B71B0" w14:textId="0C3245A0" w:rsidR="00282344" w:rsidRPr="00725788" w:rsidRDefault="00282344" w:rsidP="00D63847">
            <w:pPr>
              <w:pStyle w:val="Bullet1inabox"/>
            </w:pPr>
            <w:r w:rsidRPr="00725788">
              <w:t xml:space="preserve">A </w:t>
            </w:r>
            <w:r w:rsidR="00593D9E" w:rsidRPr="00725788">
              <w:t xml:space="preserve">forecast </w:t>
            </w:r>
            <w:r w:rsidRPr="00725788">
              <w:t>recovery of housing market transaction volumes, and a return to positive price growth during 2019-20, will support</w:t>
            </w:r>
            <w:r w:rsidR="00A957DD" w:rsidRPr="00725788">
              <w:t xml:space="preserve"> forecast </w:t>
            </w:r>
            <w:r w:rsidR="152E7632" w:rsidRPr="00725788">
              <w:t>annual growth of transfer duty</w:t>
            </w:r>
            <w:r w:rsidR="13CF25B3" w:rsidRPr="00725788">
              <w:t xml:space="preserve"> averaging</w:t>
            </w:r>
            <w:r w:rsidR="00A957DD" w:rsidRPr="00725788">
              <w:t xml:space="preserve"> </w:t>
            </w:r>
            <w:r w:rsidRPr="00725788">
              <w:t>5.2</w:t>
            </w:r>
            <w:r w:rsidR="005D1CB2" w:rsidRPr="00725788">
              <w:t> p</w:t>
            </w:r>
            <w:r w:rsidRPr="00725788">
              <w:t>er</w:t>
            </w:r>
            <w:r w:rsidR="005D1CB2" w:rsidRPr="00725788">
              <w:t> </w:t>
            </w:r>
            <w:r w:rsidRPr="00725788">
              <w:t>cent in the four years to 2022-23.</w:t>
            </w:r>
          </w:p>
          <w:p w14:paraId="02253E3D" w14:textId="76A5874E" w:rsidR="00282344" w:rsidRDefault="00282344" w:rsidP="00D63847">
            <w:pPr>
              <w:pStyle w:val="Bullet1inabox"/>
            </w:pPr>
            <w:r w:rsidRPr="00725788">
              <w:t xml:space="preserve">Payroll tax is </w:t>
            </w:r>
            <w:r w:rsidR="00760E25" w:rsidRPr="00725788">
              <w:t>growing</w:t>
            </w:r>
            <w:r w:rsidRPr="00725788">
              <w:t xml:space="preserve"> stead</w:t>
            </w:r>
            <w:r w:rsidR="00760E25" w:rsidRPr="00725788">
              <w:t>il</w:t>
            </w:r>
            <w:r w:rsidRPr="00725788">
              <w:t xml:space="preserve">y, with average growth of </w:t>
            </w:r>
            <w:r w:rsidR="005C4AE3" w:rsidRPr="00384E74">
              <w:t>4</w:t>
            </w:r>
            <w:r w:rsidRPr="00384E74">
              <w:t>.</w:t>
            </w:r>
            <w:r w:rsidR="005C4AE3" w:rsidRPr="00384E74">
              <w:t>6</w:t>
            </w:r>
            <w:r w:rsidRPr="008F3E2A">
              <w:t xml:space="preserve"> per cent</w:t>
            </w:r>
            <w:r>
              <w:t xml:space="preserve"> </w:t>
            </w:r>
            <w:r w:rsidR="00842E09">
              <w:t xml:space="preserve">forecast </w:t>
            </w:r>
            <w:r>
              <w:t>in the four years to 2022-23</w:t>
            </w:r>
            <w:r w:rsidR="005C34F0">
              <w:t>. This is</w:t>
            </w:r>
            <w:r>
              <w:t xml:space="preserve"> underpinned by </w:t>
            </w:r>
            <w:r w:rsidR="009662B4">
              <w:t xml:space="preserve">forecasts </w:t>
            </w:r>
            <w:r w:rsidR="00C70CF4">
              <w:t xml:space="preserve">of </w:t>
            </w:r>
            <w:r w:rsidR="00541B32">
              <w:t>robust</w:t>
            </w:r>
            <w:r>
              <w:t xml:space="preserve"> employment and an increasing contribution from wage growth.</w:t>
            </w:r>
          </w:p>
          <w:p w14:paraId="20C38E40" w14:textId="4744BEFC" w:rsidR="007563DF" w:rsidRPr="0011270D" w:rsidRDefault="000008E7" w:rsidP="00D63847">
            <w:pPr>
              <w:pStyle w:val="Bullet1inabox"/>
            </w:pPr>
            <w:r>
              <w:t xml:space="preserve">The forecast for GST revenue </w:t>
            </w:r>
            <w:r w:rsidR="00B6606A">
              <w:t xml:space="preserve">(including </w:t>
            </w:r>
            <w:r w:rsidR="009C2D24">
              <w:t>‘</w:t>
            </w:r>
            <w:r w:rsidR="002812FA">
              <w:t>no worse off</w:t>
            </w:r>
            <w:r w:rsidR="009C2D24">
              <w:t>’</w:t>
            </w:r>
            <w:r w:rsidR="002812FA">
              <w:t xml:space="preserve"> payments) </w:t>
            </w:r>
            <w:r>
              <w:t>has been reduced by $290.0 million in 2018-19 and $2.3</w:t>
            </w:r>
            <w:r w:rsidR="007A4D8C">
              <w:t> </w:t>
            </w:r>
            <w:r>
              <w:t>billion in the four years to 2021-22, with a significant reduction in the national GST pool</w:t>
            </w:r>
            <w:r w:rsidR="00170850">
              <w:t>.</w:t>
            </w:r>
          </w:p>
        </w:tc>
      </w:tr>
    </w:tbl>
    <w:p w14:paraId="6D4DA1E6" w14:textId="77777777" w:rsidR="00BE164B" w:rsidRPr="008D42CE" w:rsidRDefault="00BE164B" w:rsidP="00055D45"/>
    <w:p w14:paraId="32D689D2" w14:textId="525D1245" w:rsidR="007563DF" w:rsidRPr="001C6699" w:rsidRDefault="002242B1" w:rsidP="00384E74">
      <w:pPr>
        <w:pStyle w:val="Heading2"/>
      </w:pPr>
      <w:r>
        <w:t>A continuing program of</w:t>
      </w:r>
      <w:r w:rsidR="00BD0097">
        <w:t xml:space="preserve"> </w:t>
      </w:r>
      <w:r w:rsidR="00A35021">
        <w:t>tax reductions</w:t>
      </w:r>
      <w:r w:rsidR="00B53942" w:rsidRPr="001C6699">
        <w:t xml:space="preserve"> </w:t>
      </w:r>
    </w:p>
    <w:p w14:paraId="7EEE0E9B" w14:textId="64CC2349" w:rsidR="00A81E49" w:rsidRDefault="00B86B0F" w:rsidP="00384E74">
      <w:pPr>
        <w:pStyle w:val="BodyText"/>
      </w:pPr>
      <w:bookmarkStart w:id="0" w:name="_Hlk515876510"/>
      <w:r>
        <w:t xml:space="preserve">The Government is continuing with its program of tax cuts, including implementing </w:t>
      </w:r>
      <w:r w:rsidR="00F20064">
        <w:t>indexation of transfer duty threshold</w:t>
      </w:r>
      <w:r w:rsidR="3CF2A199">
        <w:t>s</w:t>
      </w:r>
      <w:r w:rsidR="00B81F9E">
        <w:t xml:space="preserve"> and further reductions in payroll tax</w:t>
      </w:r>
      <w:r w:rsidR="00F20064">
        <w:t xml:space="preserve">. </w:t>
      </w:r>
    </w:p>
    <w:p w14:paraId="0DB3419B" w14:textId="77777777" w:rsidR="00A81E49" w:rsidRPr="009C71C9" w:rsidRDefault="00A81E49" w:rsidP="00384E74">
      <w:pPr>
        <w:pStyle w:val="Heading3"/>
        <w:numPr>
          <w:ilvl w:val="0"/>
          <w:numId w:val="0"/>
        </w:numPr>
        <w:ind w:left="720" w:hanging="720"/>
        <w:rPr>
          <w:rFonts w:ascii="Arial" w:hAnsi="Arial" w:cs="Arial"/>
          <w:color w:val="0A7CB9"/>
          <w:sz w:val="23"/>
          <w:szCs w:val="23"/>
        </w:rPr>
      </w:pPr>
      <w:r w:rsidRPr="00384E74">
        <w:t>Indexing transfer duty thresholds to the Consumer Price Index</w:t>
      </w:r>
    </w:p>
    <w:p w14:paraId="30E87D00" w14:textId="0672A434" w:rsidR="00A81E49" w:rsidRPr="00732C01" w:rsidRDefault="00A81E49" w:rsidP="00384E74">
      <w:pPr>
        <w:pStyle w:val="BodyText"/>
      </w:pPr>
      <w:r>
        <w:t>As announced in the 2018-19 Half-Yearly Review, from 1 July 2019 transfer duty thresholds will be indexed to the Sydney Consumer Price Index</w:t>
      </w:r>
      <w:r w:rsidRPr="00732C01">
        <w:t>.</w:t>
      </w:r>
      <w:r>
        <w:t xml:space="preserve"> This will gradually increase thresholds and over time, reduce the amount of transfer duty paid on property purchases. With the exception of the 2004 introduction of additional duty on residential properties valued over $3 million, transfer duty brackets had not changed since 1986.</w:t>
      </w:r>
    </w:p>
    <w:p w14:paraId="62102A7C" w14:textId="77777777" w:rsidR="00A81E49" w:rsidRPr="00384E74" w:rsidRDefault="00A81E49" w:rsidP="00384E74">
      <w:pPr>
        <w:pStyle w:val="Heading3"/>
        <w:numPr>
          <w:ilvl w:val="0"/>
          <w:numId w:val="0"/>
        </w:numPr>
        <w:ind w:left="720" w:hanging="720"/>
        <w:rPr>
          <w:b w:val="0"/>
        </w:rPr>
      </w:pPr>
      <w:r w:rsidRPr="00384E74">
        <w:t>A new $900,000 payroll tax threshold in 2019-20</w:t>
      </w:r>
    </w:p>
    <w:p w14:paraId="793A5A61" w14:textId="57EB50D5" w:rsidR="00E1274D" w:rsidRDefault="00A81E49" w:rsidP="00D63847">
      <w:pPr>
        <w:pStyle w:val="BodyText"/>
      </w:pPr>
      <w:r>
        <w:t>As announced in the 2018-19 Budget, the payroll tax threshold will be increased progressively from its previous level of $750,</w:t>
      </w:r>
      <w:r w:rsidRPr="0080078E">
        <w:t>000</w:t>
      </w:r>
      <w:r>
        <w:t xml:space="preserve"> in 2017-18 to $1.0 million in 2021-22. The threshold will be increased from its current level of $850,000 in 2018-19 to $900,000 in 2019-20, $950,000 in 2020-21 and $1.0 million in 2021-22.</w:t>
      </w:r>
      <w:r w:rsidR="003134BE">
        <w:t xml:space="preserve"> This year’s increase in the payroll tax threshold will save New South Wales’ businesses $187.0 million </w:t>
      </w:r>
      <w:r w:rsidR="00812964">
        <w:t>and further threshold increases over the next two years will provide savings of $571.0 million.</w:t>
      </w:r>
      <w:r w:rsidR="003134BE">
        <w:t xml:space="preserve"> </w:t>
      </w:r>
    </w:p>
    <w:p w14:paraId="462586FB" w14:textId="77777777" w:rsidR="00E35D4D" w:rsidRDefault="00E35D4D" w:rsidP="00384E74">
      <w:r>
        <w:br w:type="page"/>
      </w:r>
    </w:p>
    <w:p w14:paraId="38180384" w14:textId="17703171" w:rsidR="00344099" w:rsidRDefault="00344099" w:rsidP="00344099">
      <w:pPr>
        <w:pStyle w:val="Heading2"/>
      </w:pPr>
      <w:r w:rsidRPr="001C6699">
        <w:lastRenderedPageBreak/>
        <w:t xml:space="preserve">2019-20 Budget revenue measures </w:t>
      </w:r>
    </w:p>
    <w:p w14:paraId="1FF4AD91" w14:textId="05190CC2" w:rsidR="00F14F59" w:rsidRDefault="007B777C">
      <w:pPr>
        <w:pStyle w:val="BodyText"/>
      </w:pPr>
      <w:r>
        <w:t xml:space="preserve">The 2019-20 Budget </w:t>
      </w:r>
      <w:r w:rsidR="00C37475">
        <w:t xml:space="preserve">announces new tax reductions </w:t>
      </w:r>
      <w:r w:rsidR="00B567B8">
        <w:t>totalling $6</w:t>
      </w:r>
      <w:r w:rsidR="00840D5C">
        <w:t>6</w:t>
      </w:r>
      <w:r w:rsidR="00B567B8">
        <w:t>.</w:t>
      </w:r>
      <w:r w:rsidR="00840D5C">
        <w:t>0</w:t>
      </w:r>
      <w:r w:rsidR="00B567B8">
        <w:t xml:space="preserve"> million over the four years to 2022-23, including </w:t>
      </w:r>
      <w:r w:rsidR="005C79E9">
        <w:t>measures to provide drought assistance and relief from surcharge taxes for certain foreign retirees.</w:t>
      </w:r>
      <w:r w:rsidR="00C37475">
        <w:t xml:space="preserve"> </w:t>
      </w:r>
    </w:p>
    <w:p w14:paraId="42D6900B" w14:textId="08D498A1" w:rsidR="000907D5" w:rsidDel="00F854FB" w:rsidRDefault="00CE60A8" w:rsidP="003B4788">
      <w:pPr>
        <w:pStyle w:val="Table4X"/>
        <w:tabs>
          <w:tab w:val="clear" w:pos="1134"/>
          <w:tab w:val="left" w:pos="1304"/>
        </w:tabs>
        <w:ind w:left="1304" w:hanging="1304"/>
      </w:pPr>
      <w:r>
        <w:t>New r</w:t>
      </w:r>
      <w:r w:rsidR="0077319B">
        <w:t>evenue measures</w:t>
      </w:r>
    </w:p>
    <w:p w14:paraId="42BA661E" w14:textId="453F3E23" w:rsidR="0077319B" w:rsidRPr="002B6ED9" w:rsidRDefault="004F09C2" w:rsidP="00D63847">
      <w:pPr>
        <w:pStyle w:val="BodyText"/>
      </w:pPr>
      <w:r w:rsidRPr="004F09C2">
        <w:t xml:space="preserve"> </w:t>
      </w:r>
      <w:r w:rsidR="00AD2884" w:rsidRPr="00AD2884">
        <w:drawing>
          <wp:inline distT="0" distB="0" distL="0" distR="0" wp14:anchorId="7ECAF26F" wp14:editId="348E8FCE">
            <wp:extent cx="5908040" cy="1892300"/>
            <wp:effectExtent l="0" t="0" r="0" b="0"/>
            <wp:docPr id="2" name="Picture 2" descr="Table 4.1: New revenu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040" cy="1892300"/>
                    </a:xfrm>
                    <a:prstGeom prst="rect">
                      <a:avLst/>
                    </a:prstGeom>
                    <a:noFill/>
                    <a:ln>
                      <a:noFill/>
                    </a:ln>
                  </pic:spPr>
                </pic:pic>
              </a:graphicData>
            </a:graphic>
          </wp:inline>
        </w:drawing>
      </w:r>
    </w:p>
    <w:p w14:paraId="59CAF6E9" w14:textId="760016F9" w:rsidR="00B53942" w:rsidRPr="0011270D" w:rsidRDefault="00E91F7C" w:rsidP="00055D45">
      <w:pPr>
        <w:pStyle w:val="Heading3"/>
        <w:numPr>
          <w:ilvl w:val="0"/>
          <w:numId w:val="0"/>
        </w:numPr>
        <w:ind w:left="720" w:hanging="720"/>
      </w:pPr>
      <w:r>
        <w:t>Foreign Investor Surcharge exemption for retirement visa</w:t>
      </w:r>
      <w:r w:rsidR="007A6097">
        <w:t xml:space="preserve"> holders</w:t>
      </w:r>
    </w:p>
    <w:p w14:paraId="5505D800" w14:textId="556267D4" w:rsidR="00374A00" w:rsidRDefault="00DC7334" w:rsidP="00D63847">
      <w:pPr>
        <w:pStyle w:val="BodyText"/>
      </w:pPr>
      <w:r>
        <w:t>From 1 July 2019, h</w:t>
      </w:r>
      <w:r w:rsidR="00FF0737" w:rsidRPr="00FF0737">
        <w:t xml:space="preserve">olders of retirement visas (subclass 410 and 405) will be exempt from foreign investor surcharges </w:t>
      </w:r>
      <w:r w:rsidR="00855E83">
        <w:t xml:space="preserve">on transfer duty and land tax </w:t>
      </w:r>
      <w:r w:rsidR="00FF0737" w:rsidRPr="00FF0737">
        <w:t>for principal places of residence</w:t>
      </w:r>
      <w:r w:rsidR="003746E1">
        <w:t xml:space="preserve">. </w:t>
      </w:r>
      <w:r w:rsidR="003D0EF1">
        <w:t xml:space="preserve">This measure will better align the treatment of visa holders in New South Wales with other states. </w:t>
      </w:r>
      <w:r w:rsidR="009264FE">
        <w:t>The exemption</w:t>
      </w:r>
      <w:r w:rsidR="003746E1">
        <w:t xml:space="preserve"> will reduce </w:t>
      </w:r>
      <w:r w:rsidR="00A75858">
        <w:t>F</w:t>
      </w:r>
      <w:r w:rsidR="003746E1">
        <w:t>oreign Investor Surcharge revenue by</w:t>
      </w:r>
      <w:r w:rsidR="00FF0737" w:rsidRPr="00FF0737">
        <w:t xml:space="preserve"> $1</w:t>
      </w:r>
      <w:r w:rsidR="005D3FE6">
        <w:t>6</w:t>
      </w:r>
      <w:r w:rsidR="005668FB">
        <w:t>.</w:t>
      </w:r>
      <w:r w:rsidR="005D3FE6">
        <w:t>0</w:t>
      </w:r>
      <w:r w:rsidR="00740A31">
        <w:t> </w:t>
      </w:r>
      <w:r w:rsidR="00FF0737" w:rsidRPr="00FF0737">
        <w:t>m</w:t>
      </w:r>
      <w:r w:rsidR="005668FB">
        <w:t>illion</w:t>
      </w:r>
      <w:r w:rsidR="00FF0737" w:rsidRPr="00FF0737">
        <w:t xml:space="preserve"> over the </w:t>
      </w:r>
      <w:r w:rsidR="005668FB">
        <w:t>four</w:t>
      </w:r>
      <w:r w:rsidR="00FF0737" w:rsidRPr="00FF0737">
        <w:t xml:space="preserve"> years to 2022</w:t>
      </w:r>
      <w:r w:rsidR="00846BF5">
        <w:noBreakHyphen/>
      </w:r>
      <w:r w:rsidR="00FF0737" w:rsidRPr="00FF0737">
        <w:t>23.</w:t>
      </w:r>
    </w:p>
    <w:p w14:paraId="1D6EEFD7" w14:textId="2FE8AB79" w:rsidR="003A43C3" w:rsidRPr="0011270D" w:rsidRDefault="003A43C3" w:rsidP="003A43C3">
      <w:pPr>
        <w:pStyle w:val="Heading3"/>
        <w:numPr>
          <w:ilvl w:val="0"/>
          <w:numId w:val="0"/>
        </w:numPr>
        <w:ind w:left="720" w:hanging="720"/>
      </w:pPr>
      <w:r>
        <w:t>Drought Assistance Package 2019-20</w:t>
      </w:r>
    </w:p>
    <w:p w14:paraId="43F3D3C9" w14:textId="6B6954B7" w:rsidR="003A43C3" w:rsidRDefault="00624637" w:rsidP="00D63847">
      <w:pPr>
        <w:pStyle w:val="BodyText"/>
      </w:pPr>
      <w:r w:rsidRPr="00624637">
        <w:t xml:space="preserve">Additional drought relief </w:t>
      </w:r>
      <w:r w:rsidR="00F20064">
        <w:t xml:space="preserve">will </w:t>
      </w:r>
      <w:r w:rsidRPr="00624637">
        <w:t xml:space="preserve">provide $50.0 million for one-year relief from Local Land Services </w:t>
      </w:r>
      <w:r w:rsidR="00F20064">
        <w:t>a</w:t>
      </w:r>
      <w:r w:rsidRPr="00624637">
        <w:t xml:space="preserve">nnual </w:t>
      </w:r>
      <w:r w:rsidR="00F20064">
        <w:t>r</w:t>
      </w:r>
      <w:r w:rsidRPr="00624637">
        <w:t>ates and $10.0 million in Farm Innovation Fund loan interest relief in 2019-20.</w:t>
      </w:r>
    </w:p>
    <w:p w14:paraId="25898DC3" w14:textId="77777777" w:rsidR="00E31473" w:rsidRDefault="00E31473" w:rsidP="00E31473">
      <w:pPr>
        <w:pStyle w:val="Heading3"/>
        <w:numPr>
          <w:ilvl w:val="0"/>
          <w:numId w:val="0"/>
        </w:numPr>
        <w:ind w:left="720" w:hanging="720"/>
      </w:pPr>
      <w:r>
        <w:t>Fee-free training</w:t>
      </w:r>
    </w:p>
    <w:p w14:paraId="29102EFC" w14:textId="77777777" w:rsidR="00E31473" w:rsidRDefault="00E31473" w:rsidP="00E31473">
      <w:pPr>
        <w:pStyle w:val="BodyText"/>
      </w:pPr>
      <w:r>
        <w:t>In fulfilling its election commitments, the Government will fund fee-free traineeships for young job seekers, and fee-free training and career advice to mature aged workers, reducing revenue from the sale of goods and services by $25.5 million in the four years to 2022-23.</w:t>
      </w:r>
    </w:p>
    <w:p w14:paraId="34330D14" w14:textId="42E3EF09" w:rsidR="00E31473" w:rsidRDefault="00E31473" w:rsidP="00384E74">
      <w:pPr>
        <w:pStyle w:val="BodyText"/>
      </w:pPr>
      <w:r>
        <w:t>From 1 January 2020, 70,000 fee-free traineeships will be provided to young job seekers through Smart and Skilled Vocational Education and Training (VET) providers. The Government will also provide free TAFE qualifications and career counselling for up to 30,000 mature aged workers who</w:t>
      </w:r>
      <w:r w:rsidR="00697515">
        <w:t xml:space="preserve"> are seeking to </w:t>
      </w:r>
      <w:r w:rsidR="00D407F7">
        <w:t>re-train or re-enter the workforce</w:t>
      </w:r>
      <w:r>
        <w:t>.</w:t>
      </w:r>
    </w:p>
    <w:p w14:paraId="3B8F48BA" w14:textId="3D55FE2B" w:rsidR="00101438" w:rsidRDefault="00101438" w:rsidP="00384E74">
      <w:pPr>
        <w:pStyle w:val="Heading3"/>
        <w:numPr>
          <w:ilvl w:val="0"/>
          <w:numId w:val="0"/>
        </w:numPr>
        <w:ind w:left="720" w:hanging="720"/>
      </w:pPr>
      <w:r w:rsidRPr="00AE529C">
        <w:t xml:space="preserve">More Trains, More Services Stage </w:t>
      </w:r>
      <w:r w:rsidR="00836D9A">
        <w:t>2</w:t>
      </w:r>
    </w:p>
    <w:p w14:paraId="02E5CF35" w14:textId="27047F8E" w:rsidR="00101438" w:rsidRDefault="00E31473" w:rsidP="00D63847">
      <w:pPr>
        <w:pStyle w:val="BodyText"/>
      </w:pPr>
      <w:r>
        <w:t xml:space="preserve">The </w:t>
      </w:r>
      <w:r w:rsidR="00101438">
        <w:t xml:space="preserve">Transport </w:t>
      </w:r>
      <w:r w:rsidR="00CB2968">
        <w:t xml:space="preserve">cluster </w:t>
      </w:r>
      <w:r w:rsidR="00101438">
        <w:t xml:space="preserve">will </w:t>
      </w:r>
      <w:r w:rsidR="00DF1C41" w:rsidRPr="00DF1C41">
        <w:t>increase service capacity on the T4 Eastern Suburbs and Illawarra Line, T8 Airport Line and South Coast Line by 2021-22</w:t>
      </w:r>
      <w:r w:rsidR="00DB52E5">
        <w:t>. This</w:t>
      </w:r>
      <w:r w:rsidR="00101438">
        <w:t xml:space="preserve"> will increase fee for service revenue from RailCorp (under the Transport Asset Holding Entity) by $1.2 billion over the three years to 2021-22.</w:t>
      </w:r>
    </w:p>
    <w:p w14:paraId="6C33F0D7" w14:textId="77777777" w:rsidR="00101438" w:rsidRDefault="00101438" w:rsidP="00384E74">
      <w:pPr>
        <w:pStyle w:val="Heading3"/>
        <w:numPr>
          <w:ilvl w:val="0"/>
          <w:numId w:val="0"/>
        </w:numPr>
        <w:ind w:left="720" w:hanging="720"/>
      </w:pPr>
      <w:r w:rsidRPr="00AE529C">
        <w:t>Fast Rail Network</w:t>
      </w:r>
    </w:p>
    <w:p w14:paraId="1FAB5A4C" w14:textId="4A9F5B52" w:rsidR="00101438" w:rsidRPr="0011270D" w:rsidRDefault="005F0700" w:rsidP="00D63847">
      <w:pPr>
        <w:pStyle w:val="BodyText"/>
      </w:pPr>
      <w:r>
        <w:t xml:space="preserve">The Government will provide </w:t>
      </w:r>
      <w:r w:rsidR="00101438">
        <w:t>$295.0 million in additional funding to start early works for the Fast Rail Network</w:t>
      </w:r>
      <w:r w:rsidR="009D3B77">
        <w:t>,</w:t>
      </w:r>
      <w:r w:rsidR="00101438">
        <w:t xml:space="preserve"> increasing fee for service revenue from RailCorp to </w:t>
      </w:r>
      <w:r w:rsidR="008F221D">
        <w:t>Transport for NSW</w:t>
      </w:r>
      <w:r w:rsidR="00101438">
        <w:t>.</w:t>
      </w:r>
    </w:p>
    <w:p w14:paraId="4A2B7858" w14:textId="41743961" w:rsidR="00C247C9" w:rsidRDefault="00624637" w:rsidP="00384E74">
      <w:pPr>
        <w:pStyle w:val="Heading3"/>
        <w:numPr>
          <w:ilvl w:val="0"/>
          <w:numId w:val="0"/>
        </w:numPr>
        <w:ind w:left="720" w:hanging="720"/>
      </w:pPr>
      <w:r w:rsidRPr="00055D45">
        <w:lastRenderedPageBreak/>
        <w:t>More express trains for Western Sydney</w:t>
      </w:r>
    </w:p>
    <w:p w14:paraId="78B350A5" w14:textId="263FAA9F" w:rsidR="00624637" w:rsidRDefault="00624637" w:rsidP="00D63847">
      <w:pPr>
        <w:pStyle w:val="BodyText"/>
      </w:pPr>
      <w:r>
        <w:t xml:space="preserve">This measure provides eight additional express train services on the T1 Western Line across morning and evening peak periods. </w:t>
      </w:r>
      <w:r w:rsidR="009D3B77">
        <w:t xml:space="preserve">As a result, </w:t>
      </w:r>
      <w:r>
        <w:t xml:space="preserve">fee for service revenue from RailCorp to </w:t>
      </w:r>
      <w:r w:rsidR="00C56158">
        <w:t>Transport for NSW</w:t>
      </w:r>
      <w:r>
        <w:t xml:space="preserve"> </w:t>
      </w:r>
      <w:r w:rsidR="009D3B77">
        <w:t xml:space="preserve">will increase </w:t>
      </w:r>
      <w:r>
        <w:t>by $66.6 million over the three years to 2021-22.</w:t>
      </w:r>
    </w:p>
    <w:p w14:paraId="47ABCCCA" w14:textId="02741EA2" w:rsidR="00C247C9" w:rsidRDefault="00624637" w:rsidP="00384E74">
      <w:pPr>
        <w:pStyle w:val="Heading3"/>
        <w:numPr>
          <w:ilvl w:val="0"/>
          <w:numId w:val="0"/>
        </w:numPr>
        <w:ind w:left="720" w:hanging="720"/>
      </w:pPr>
      <w:r w:rsidRPr="00055D45">
        <w:t xml:space="preserve">Transfer of </w:t>
      </w:r>
      <w:r w:rsidR="00C56158">
        <w:t xml:space="preserve">the Country </w:t>
      </w:r>
      <w:r w:rsidR="00A17A3B">
        <w:t>Regional Network</w:t>
      </w:r>
      <w:r w:rsidRPr="00055D45">
        <w:t xml:space="preserve"> to RailCorp</w:t>
      </w:r>
    </w:p>
    <w:p w14:paraId="5FBD638A" w14:textId="43700BD3" w:rsidR="000008E7" w:rsidRDefault="00624637" w:rsidP="00384E74">
      <w:pPr>
        <w:pStyle w:val="BodyText"/>
      </w:pPr>
      <w:r>
        <w:t xml:space="preserve">From 1 July 2019, </w:t>
      </w:r>
      <w:r w:rsidR="00A17A3B">
        <w:t xml:space="preserve">the Country Regional Network </w:t>
      </w:r>
      <w:r>
        <w:t xml:space="preserve">will move from the general government sector under </w:t>
      </w:r>
      <w:r w:rsidR="008F221D">
        <w:t>Transport for NSW</w:t>
      </w:r>
      <w:r w:rsidR="00E57486">
        <w:t xml:space="preserve"> </w:t>
      </w:r>
      <w:r>
        <w:t xml:space="preserve">to the </w:t>
      </w:r>
      <w:r w:rsidR="002C3FD7">
        <w:t>public non-financial corporation</w:t>
      </w:r>
      <w:r w:rsidR="006D5EF3">
        <w:t>s</w:t>
      </w:r>
      <w:r>
        <w:t xml:space="preserve"> sector under RailCorp. This will increase fee for service revenue by </w:t>
      </w:r>
      <w:r w:rsidR="00276C46">
        <w:t>$</w:t>
      </w:r>
      <w:r>
        <w:t>293.9 million over the four years to 2022-23.</w:t>
      </w:r>
    </w:p>
    <w:p w14:paraId="68777D10" w14:textId="30AB1936" w:rsidR="002D72C2" w:rsidRDefault="00B53942">
      <w:pPr>
        <w:pStyle w:val="Heading2"/>
      </w:pPr>
      <w:bookmarkStart w:id="1" w:name="_Hlk512506981"/>
      <w:bookmarkEnd w:id="0"/>
      <w:r>
        <w:t xml:space="preserve">General </w:t>
      </w:r>
      <w:r w:rsidR="00816793">
        <w:t>g</w:t>
      </w:r>
      <w:r>
        <w:t xml:space="preserve">overnment </w:t>
      </w:r>
      <w:r w:rsidR="00816793">
        <w:t>r</w:t>
      </w:r>
      <w:r w:rsidR="00FF16D1" w:rsidRPr="0011270D">
        <w:t xml:space="preserve">evenue </w:t>
      </w:r>
      <w:bookmarkEnd w:id="1"/>
    </w:p>
    <w:p w14:paraId="30979CFC" w14:textId="351643DC" w:rsidR="00E805F9" w:rsidRDefault="00B5713F" w:rsidP="00D63847">
      <w:pPr>
        <w:pStyle w:val="BodyText"/>
      </w:pPr>
      <w:r w:rsidRPr="00B5713F">
        <w:t xml:space="preserve">General government revenue is estimated </w:t>
      </w:r>
      <w:r w:rsidRPr="00A1221F">
        <w:t>to</w:t>
      </w:r>
      <w:r w:rsidR="00C93333" w:rsidRPr="008F3E2A">
        <w:t xml:space="preserve"> be </w:t>
      </w:r>
      <w:r w:rsidR="00C93333" w:rsidRPr="00384E74">
        <w:t>$</w:t>
      </w:r>
      <w:r w:rsidR="002638D9" w:rsidRPr="00384E74">
        <w:t>81</w:t>
      </w:r>
      <w:r w:rsidR="00C93333" w:rsidRPr="00384E74">
        <w:t>.</w:t>
      </w:r>
      <w:r w:rsidR="002638D9" w:rsidRPr="00384E74">
        <w:t>1</w:t>
      </w:r>
      <w:r w:rsidR="00C93333" w:rsidRPr="008F3E2A">
        <w:t xml:space="preserve"> billion in 201</w:t>
      </w:r>
      <w:r w:rsidR="00057A78" w:rsidRPr="000F0E4D">
        <w:t>8</w:t>
      </w:r>
      <w:r w:rsidR="00C93333" w:rsidRPr="000F0E4D">
        <w:t>-1</w:t>
      </w:r>
      <w:r w:rsidR="00057A78" w:rsidRPr="000F0E4D">
        <w:t>9</w:t>
      </w:r>
      <w:r w:rsidR="00C93333" w:rsidRPr="000F0E4D">
        <w:t xml:space="preserve">, </w:t>
      </w:r>
      <w:r w:rsidRPr="00384E74">
        <w:t>$</w:t>
      </w:r>
      <w:r w:rsidR="00E85A4A" w:rsidRPr="00384E74">
        <w:t>1</w:t>
      </w:r>
      <w:r w:rsidR="00374532" w:rsidRPr="00384E74">
        <w:t>37</w:t>
      </w:r>
      <w:r w:rsidR="00C22F4C" w:rsidRPr="00384E74">
        <w:t>.</w:t>
      </w:r>
      <w:r w:rsidR="00FF5D17" w:rsidRPr="00384E74">
        <w:t>6</w:t>
      </w:r>
      <w:r w:rsidRPr="008F3E2A">
        <w:t xml:space="preserve"> million</w:t>
      </w:r>
      <w:r w:rsidRPr="00B5713F">
        <w:t xml:space="preserve"> </w:t>
      </w:r>
      <w:r w:rsidR="00DA6930">
        <w:t>low</w:t>
      </w:r>
      <w:r w:rsidRPr="00B5713F">
        <w:t>er</w:t>
      </w:r>
      <w:r w:rsidR="00F66329">
        <w:t xml:space="preserve"> than forecast in the</w:t>
      </w:r>
      <w:r w:rsidR="00C7327D">
        <w:t xml:space="preserve"> 2019</w:t>
      </w:r>
      <w:r w:rsidR="00F66329">
        <w:t xml:space="preserve"> </w:t>
      </w:r>
      <w:r w:rsidR="000E4E03">
        <w:t>Pre-election Budget Update</w:t>
      </w:r>
      <w:r w:rsidR="00274FAD">
        <w:t xml:space="preserve"> (see Chart </w:t>
      </w:r>
      <w:r w:rsidR="003903CC">
        <w:t>4</w:t>
      </w:r>
      <w:r w:rsidR="00274FAD">
        <w:t>.</w:t>
      </w:r>
      <w:r w:rsidR="00EC3B42">
        <w:t>1</w:t>
      </w:r>
      <w:r w:rsidR="00274FAD">
        <w:t>)</w:t>
      </w:r>
      <w:r w:rsidR="00F66329">
        <w:t xml:space="preserve">. The </w:t>
      </w:r>
      <w:r w:rsidR="006E33D5">
        <w:t>main drivers of change</w:t>
      </w:r>
      <w:r w:rsidR="00F66329">
        <w:t xml:space="preserve"> since the </w:t>
      </w:r>
      <w:r w:rsidR="00C7327D">
        <w:t xml:space="preserve">2019 </w:t>
      </w:r>
      <w:r w:rsidR="000E4E03">
        <w:t>Pre</w:t>
      </w:r>
      <w:r w:rsidR="00151C97">
        <w:noBreakHyphen/>
      </w:r>
      <w:r w:rsidR="000E4E03">
        <w:t>election Budget Update</w:t>
      </w:r>
      <w:r w:rsidR="00F66329">
        <w:t xml:space="preserve"> are a</w:t>
      </w:r>
      <w:r w:rsidR="00985801">
        <w:t>n increase of $639.0 million in other dividends and distributi</w:t>
      </w:r>
      <w:r w:rsidR="001D7A29">
        <w:t>o</w:t>
      </w:r>
      <w:r w:rsidR="00985801">
        <w:t>n</w:t>
      </w:r>
      <w:r w:rsidR="0014687A">
        <w:t>s</w:t>
      </w:r>
      <w:r w:rsidR="001D7A29">
        <w:t>,</w:t>
      </w:r>
      <w:r w:rsidR="00985801">
        <w:t xml:space="preserve"> </w:t>
      </w:r>
      <w:r w:rsidR="00511F07">
        <w:t xml:space="preserve">which is </w:t>
      </w:r>
      <w:r w:rsidR="00FD1046">
        <w:t>partially</w:t>
      </w:r>
      <w:r w:rsidR="00985801">
        <w:t xml:space="preserve"> offset by</w:t>
      </w:r>
      <w:r w:rsidR="00F66329">
        <w:t xml:space="preserve"> </w:t>
      </w:r>
      <w:r w:rsidR="00511F07">
        <w:t xml:space="preserve">a </w:t>
      </w:r>
      <w:r w:rsidR="00F66329">
        <w:t>$</w:t>
      </w:r>
      <w:r w:rsidR="00661F4E">
        <w:t>290.0</w:t>
      </w:r>
      <w:r w:rsidR="007C0E31">
        <w:t xml:space="preserve"> </w:t>
      </w:r>
      <w:r w:rsidR="00661F4E">
        <w:t>m</w:t>
      </w:r>
      <w:r w:rsidR="00F66329">
        <w:t xml:space="preserve">illion </w:t>
      </w:r>
      <w:r w:rsidR="007C0E31">
        <w:t>down</w:t>
      </w:r>
      <w:r w:rsidR="00F66329">
        <w:t>ward revision in GST</w:t>
      </w:r>
      <w:r w:rsidR="002F274E">
        <w:t xml:space="preserve"> revenue</w:t>
      </w:r>
      <w:r w:rsidR="000E4E03">
        <w:t xml:space="preserve"> and </w:t>
      </w:r>
      <w:r w:rsidR="00F66329" w:rsidRPr="00B640F3">
        <w:t>a $</w:t>
      </w:r>
      <w:r w:rsidR="000E4E03">
        <w:t>173</w:t>
      </w:r>
      <w:r w:rsidR="002D6B7C">
        <w:t>.</w:t>
      </w:r>
      <w:r w:rsidR="00740A5B">
        <w:t>0</w:t>
      </w:r>
      <w:r w:rsidR="002D6B7C">
        <w:t xml:space="preserve"> </w:t>
      </w:r>
      <w:r w:rsidR="00B620E1">
        <w:t>m</w:t>
      </w:r>
      <w:r w:rsidR="00F66329" w:rsidRPr="00B640F3">
        <w:t>illion</w:t>
      </w:r>
      <w:r w:rsidR="00F66329">
        <w:t xml:space="preserve"> </w:t>
      </w:r>
      <w:r w:rsidR="002D6B7C">
        <w:t>down</w:t>
      </w:r>
      <w:r w:rsidR="00F66329">
        <w:t xml:space="preserve">ward revision in </w:t>
      </w:r>
      <w:r w:rsidR="004778DF">
        <w:t>transfer duty</w:t>
      </w:r>
      <w:r w:rsidRPr="00B5713F">
        <w:t>.</w:t>
      </w:r>
    </w:p>
    <w:p w14:paraId="6C04A860" w14:textId="33F3B1A8" w:rsidR="00B53942" w:rsidRDefault="00274FAD" w:rsidP="003B4788">
      <w:pPr>
        <w:pStyle w:val="Chart41"/>
      </w:pPr>
      <w:r>
        <w:t>C</w:t>
      </w:r>
      <w:r w:rsidR="00B53942">
        <w:t xml:space="preserve">hanges </w:t>
      </w:r>
      <w:r w:rsidR="00B53942" w:rsidRPr="0011270D">
        <w:t xml:space="preserve">in </w:t>
      </w:r>
      <w:r>
        <w:t>201</w:t>
      </w:r>
      <w:r w:rsidR="002F7C32">
        <w:t>8</w:t>
      </w:r>
      <w:r>
        <w:t>-1</w:t>
      </w:r>
      <w:r w:rsidR="002F7C32">
        <w:t>9</w:t>
      </w:r>
      <w:r>
        <w:t xml:space="preserve"> </w:t>
      </w:r>
      <w:r w:rsidR="00B53942" w:rsidRPr="0011270D">
        <w:t xml:space="preserve">revenue </w:t>
      </w:r>
      <w:r w:rsidR="00B53942">
        <w:t>–</w:t>
      </w:r>
      <w:r>
        <w:t xml:space="preserve"> </w:t>
      </w:r>
      <w:r w:rsidR="00C7327D">
        <w:t xml:space="preserve">2019 </w:t>
      </w:r>
      <w:r w:rsidR="000E4E03">
        <w:t>Pre-election Budget Update</w:t>
      </w:r>
      <w:r w:rsidR="00B53942">
        <w:t xml:space="preserve"> to 201</w:t>
      </w:r>
      <w:r w:rsidR="002F7C32">
        <w:t>9</w:t>
      </w:r>
      <w:r w:rsidR="00B53942">
        <w:t>-</w:t>
      </w:r>
      <w:r w:rsidR="002F7C32">
        <w:t>20</w:t>
      </w:r>
      <w:r w:rsidR="00B53942">
        <w:t xml:space="preserve"> Budget</w:t>
      </w:r>
    </w:p>
    <w:p w14:paraId="09BC53A1" w14:textId="0BC73C84" w:rsidR="00B53942" w:rsidRDefault="005F3330" w:rsidP="0008672B">
      <w:pPr>
        <w:pStyle w:val="Chart41"/>
        <w:numPr>
          <w:ilvl w:val="0"/>
          <w:numId w:val="0"/>
        </w:numPr>
      </w:pPr>
      <w:r w:rsidRPr="005F3330">
        <w:rPr>
          <w:noProof/>
        </w:rPr>
        <w:drawing>
          <wp:inline distT="0" distB="0" distL="0" distR="0" wp14:anchorId="76883528" wp14:editId="6AAF6767">
            <wp:extent cx="6114415" cy="2329815"/>
            <wp:effectExtent l="0" t="0" r="0" b="0"/>
            <wp:docPr id="22" name="Picture 22" descr="Chart 4.1: Changes in 2018-19 revenue – 2019 Pre-election Budget Update to 2019-20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2329815"/>
                    </a:xfrm>
                    <a:prstGeom prst="rect">
                      <a:avLst/>
                    </a:prstGeom>
                    <a:noFill/>
                    <a:ln>
                      <a:noFill/>
                    </a:ln>
                  </pic:spPr>
                </pic:pic>
              </a:graphicData>
            </a:graphic>
          </wp:inline>
        </w:drawing>
      </w:r>
      <w:r w:rsidR="00085929" w:rsidRPr="00085929" w:rsidDel="00D67EA0">
        <w:t xml:space="preserve"> </w:t>
      </w:r>
    </w:p>
    <w:p w14:paraId="4512C9E2" w14:textId="2433EAA4" w:rsidR="005D40A3" w:rsidRDefault="00DB4C14" w:rsidP="00D63847">
      <w:pPr>
        <w:pStyle w:val="BodyText"/>
      </w:pPr>
      <w:bookmarkStart w:id="2" w:name="_Hlk516871668"/>
      <w:r>
        <w:t xml:space="preserve">Revenue is </w:t>
      </w:r>
      <w:r w:rsidRPr="00A1221F">
        <w:t>forecast to reach</w:t>
      </w:r>
      <w:r w:rsidR="00B5713F" w:rsidRPr="008F3E2A">
        <w:t xml:space="preserve"> </w:t>
      </w:r>
      <w:r w:rsidR="00801C72" w:rsidRPr="00384E74">
        <w:t>$84.3</w:t>
      </w:r>
      <w:r w:rsidR="00801C72" w:rsidRPr="008F3E2A">
        <w:t xml:space="preserve"> billion </w:t>
      </w:r>
      <w:r w:rsidR="00337F31" w:rsidRPr="00F51E9A">
        <w:t>in 2019-20</w:t>
      </w:r>
      <w:r w:rsidR="00B5713F" w:rsidRPr="00F51E9A">
        <w:t xml:space="preserve">, </w:t>
      </w:r>
      <w:r w:rsidR="00011199" w:rsidRPr="00384E74">
        <w:t>$</w:t>
      </w:r>
      <w:r w:rsidR="008F4F46" w:rsidRPr="00384E74">
        <w:t>3</w:t>
      </w:r>
      <w:r w:rsidR="002F7C32" w:rsidRPr="00384E74">
        <w:t>.</w:t>
      </w:r>
      <w:r w:rsidR="00097625" w:rsidRPr="00384E74">
        <w:t>2</w:t>
      </w:r>
      <w:r w:rsidR="00011199" w:rsidRPr="00384E74">
        <w:t xml:space="preserve"> </w:t>
      </w:r>
      <w:r w:rsidR="008F4F46" w:rsidRPr="00384E74">
        <w:t>b</w:t>
      </w:r>
      <w:r w:rsidR="00011199" w:rsidRPr="00384E74">
        <w:t>illion</w:t>
      </w:r>
      <w:r w:rsidR="00011199" w:rsidRPr="008F3E2A">
        <w:t xml:space="preserve"> </w:t>
      </w:r>
      <w:r w:rsidR="00011199" w:rsidRPr="00384E74">
        <w:t>higher</w:t>
      </w:r>
      <w:r w:rsidR="00011199" w:rsidRPr="008F3E2A">
        <w:t xml:space="preserve"> than revenue in 201</w:t>
      </w:r>
      <w:r w:rsidR="002F7C32" w:rsidRPr="00F51E9A">
        <w:t>8</w:t>
      </w:r>
      <w:r w:rsidR="0093179F">
        <w:noBreakHyphen/>
      </w:r>
      <w:r w:rsidR="00011199" w:rsidRPr="00A1221F">
        <w:t>1</w:t>
      </w:r>
      <w:r w:rsidR="002F7C32" w:rsidRPr="008F3E2A">
        <w:t>9</w:t>
      </w:r>
      <w:r w:rsidR="00011199" w:rsidRPr="00F51E9A">
        <w:t xml:space="preserve">. </w:t>
      </w:r>
      <w:r w:rsidR="002B1ECF" w:rsidRPr="00F51E9A">
        <w:t>T</w:t>
      </w:r>
      <w:r w:rsidR="00967149" w:rsidRPr="00F51E9A">
        <w:t xml:space="preserve">axation revenue will </w:t>
      </w:r>
      <w:r w:rsidR="00337F31" w:rsidRPr="00F51E9A">
        <w:t xml:space="preserve">account for </w:t>
      </w:r>
      <w:r w:rsidR="000C34E9" w:rsidRPr="00384E74">
        <w:t>37</w:t>
      </w:r>
      <w:r w:rsidR="00967149" w:rsidRPr="00384E74">
        <w:t>.</w:t>
      </w:r>
      <w:r w:rsidR="000C34E9" w:rsidRPr="00384E74">
        <w:t>8</w:t>
      </w:r>
      <w:r w:rsidR="00967149" w:rsidRPr="008F3E2A">
        <w:t> per </w:t>
      </w:r>
      <w:r w:rsidR="002B1ECF" w:rsidRPr="00F51E9A">
        <w:t xml:space="preserve">cent of this total, while Commonwealth grants, including GST, will provide </w:t>
      </w:r>
      <w:r w:rsidR="000734C2" w:rsidRPr="00384E74">
        <w:t>3</w:t>
      </w:r>
      <w:r w:rsidR="00A911F7" w:rsidRPr="00384E74">
        <w:t>8</w:t>
      </w:r>
      <w:r w:rsidR="00967149" w:rsidRPr="00384E74">
        <w:t>.</w:t>
      </w:r>
      <w:r w:rsidR="00A911F7" w:rsidRPr="00384E74">
        <w:t>4</w:t>
      </w:r>
      <w:r w:rsidR="002B1ECF" w:rsidRPr="00A1221F">
        <w:t> per cent</w:t>
      </w:r>
      <w:r w:rsidR="002B1ECF" w:rsidRPr="008F3E2A">
        <w:t xml:space="preserve"> (see</w:t>
      </w:r>
      <w:r w:rsidR="002B1ECF">
        <w:t xml:space="preserve"> Chart </w:t>
      </w:r>
      <w:r w:rsidR="003903CC">
        <w:t>4</w:t>
      </w:r>
      <w:r w:rsidR="002B1ECF">
        <w:t>.</w:t>
      </w:r>
      <w:r w:rsidR="004510BB">
        <w:t>2</w:t>
      </w:r>
      <w:r w:rsidR="002B1ECF">
        <w:t>).</w:t>
      </w:r>
    </w:p>
    <w:p w14:paraId="32B0184F" w14:textId="5C74BD62" w:rsidR="005D40A3" w:rsidRDefault="005D40A3" w:rsidP="00D63847">
      <w:pPr>
        <w:pStyle w:val="BodyText"/>
      </w:pPr>
    </w:p>
    <w:p w14:paraId="0592488C" w14:textId="5583EB9F" w:rsidR="005D40A3" w:rsidRDefault="005D40A3" w:rsidP="00D63847">
      <w:pPr>
        <w:pStyle w:val="BodyText"/>
      </w:pPr>
    </w:p>
    <w:p w14:paraId="40F321CE" w14:textId="77777777" w:rsidR="005D40A3" w:rsidRDefault="005D40A3" w:rsidP="00D63847">
      <w:pPr>
        <w:pStyle w:val="BodyText"/>
      </w:pPr>
    </w:p>
    <w:bookmarkEnd w:id="2"/>
    <w:p w14:paraId="71C4D99A" w14:textId="77777777" w:rsidR="001D20C2" w:rsidRDefault="001D20C2">
      <w:pPr>
        <w:spacing w:after="200" w:line="276" w:lineRule="auto"/>
        <w:rPr>
          <w:rFonts w:ascii="Arial" w:eastAsiaTheme="minorHAnsi" w:hAnsi="Arial" w:cs="Arial"/>
          <w:noProof/>
          <w:sz w:val="23"/>
          <w:szCs w:val="23"/>
          <w:lang w:eastAsia="x-none"/>
        </w:rPr>
      </w:pPr>
      <w:r>
        <w:br w:type="page"/>
      </w:r>
    </w:p>
    <w:p w14:paraId="3EAF68FA" w14:textId="660E03B2" w:rsidR="008F1ADE" w:rsidRDefault="008F1ADE" w:rsidP="008F1ADE">
      <w:pPr>
        <w:pStyle w:val="Chart41"/>
      </w:pPr>
      <w:r w:rsidRPr="0011270D">
        <w:lastRenderedPageBreak/>
        <w:t xml:space="preserve">Composition of total revenue, </w:t>
      </w:r>
      <w:r>
        <w:t>2019-20</w:t>
      </w:r>
    </w:p>
    <w:p w14:paraId="19F1EE2E" w14:textId="11C74ACB" w:rsidR="008F1ADE" w:rsidDel="008F1ADE" w:rsidRDefault="006F23CE" w:rsidP="00384E74">
      <w:pPr>
        <w:spacing w:before="120"/>
        <w:jc w:val="center"/>
      </w:pPr>
      <w:r w:rsidRPr="006F23CE">
        <w:t xml:space="preserve"> </w:t>
      </w:r>
      <w:r w:rsidR="00644DD3" w:rsidRPr="00644DD3">
        <w:rPr>
          <w:noProof/>
        </w:rPr>
        <w:drawing>
          <wp:inline distT="0" distB="0" distL="0" distR="0" wp14:anchorId="628B2233" wp14:editId="56A56B00">
            <wp:extent cx="4629150" cy="3048000"/>
            <wp:effectExtent l="0" t="0" r="0" b="0"/>
            <wp:docPr id="12" name="Picture 12" descr="Chart 4.2: Composition of total revenue,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3048000"/>
                    </a:xfrm>
                    <a:prstGeom prst="rect">
                      <a:avLst/>
                    </a:prstGeom>
                    <a:noFill/>
                    <a:ln>
                      <a:noFill/>
                    </a:ln>
                  </pic:spPr>
                </pic:pic>
              </a:graphicData>
            </a:graphic>
          </wp:inline>
        </w:drawing>
      </w:r>
    </w:p>
    <w:p w14:paraId="6D80C8F9" w14:textId="57559A5B" w:rsidR="002B1ECF" w:rsidDel="007B70AD" w:rsidRDefault="00E221CE" w:rsidP="00D63847">
      <w:pPr>
        <w:pStyle w:val="BodyText"/>
      </w:pPr>
      <w:r w:rsidRPr="00A1221F">
        <w:t>G</w:t>
      </w:r>
      <w:r w:rsidR="00B075B1" w:rsidRPr="008F3E2A">
        <w:t xml:space="preserve">eneral </w:t>
      </w:r>
      <w:r w:rsidR="00B45FA0" w:rsidRPr="009A5D6D">
        <w:t xml:space="preserve">government revenue is expected to grow at an average annual rate of </w:t>
      </w:r>
      <w:r w:rsidR="005674C8" w:rsidRPr="00384E74">
        <w:t>3</w:t>
      </w:r>
      <w:r w:rsidR="00B45FA0" w:rsidRPr="00384E74">
        <w:t>.</w:t>
      </w:r>
      <w:r w:rsidR="005674C8" w:rsidRPr="00384E74">
        <w:t>2</w:t>
      </w:r>
      <w:r w:rsidR="00B45FA0" w:rsidRPr="008F3E2A">
        <w:t xml:space="preserve"> per cent </w:t>
      </w:r>
      <w:r w:rsidRPr="009A5D6D">
        <w:t xml:space="preserve"> over the four years to 2022-23 </w:t>
      </w:r>
      <w:r w:rsidR="00B45FA0" w:rsidRPr="009A5D6D">
        <w:t xml:space="preserve">(Table </w:t>
      </w:r>
      <w:r w:rsidR="000A1A49" w:rsidRPr="009A5D6D">
        <w:t>4</w:t>
      </w:r>
      <w:r w:rsidR="00B45FA0" w:rsidRPr="009A5D6D">
        <w:t>.</w:t>
      </w:r>
      <w:r w:rsidR="00F25B2F" w:rsidRPr="009A5D6D">
        <w:t>2</w:t>
      </w:r>
      <w:r w:rsidR="00B45FA0" w:rsidRPr="009A5D6D">
        <w:t xml:space="preserve">). </w:t>
      </w:r>
      <w:r w:rsidR="00CA2023" w:rsidRPr="009A5D6D">
        <w:t xml:space="preserve">Taxation revenue is forecast to grow </w:t>
      </w:r>
      <w:r w:rsidR="005F411F" w:rsidRPr="009A5D6D">
        <w:t>by</w:t>
      </w:r>
      <w:r w:rsidR="00CA2023" w:rsidRPr="009A5D6D">
        <w:t xml:space="preserve"> </w:t>
      </w:r>
      <w:r w:rsidR="00990521" w:rsidRPr="00384E74">
        <w:t>4</w:t>
      </w:r>
      <w:r w:rsidR="005B53EA" w:rsidRPr="00384E74">
        <w:t>.</w:t>
      </w:r>
      <w:r w:rsidR="00990521" w:rsidRPr="00384E74">
        <w:t>1</w:t>
      </w:r>
      <w:r w:rsidR="005F411F" w:rsidRPr="008F3E2A">
        <w:t> </w:t>
      </w:r>
      <w:r w:rsidR="00CA2023" w:rsidRPr="009A5D6D">
        <w:t>per</w:t>
      </w:r>
      <w:r w:rsidR="005F411F" w:rsidRPr="009A5D6D">
        <w:t> </w:t>
      </w:r>
      <w:r w:rsidR="00CA2023" w:rsidRPr="009A5D6D">
        <w:t xml:space="preserve">cent </w:t>
      </w:r>
      <w:r w:rsidR="005F411F" w:rsidRPr="009A5D6D">
        <w:t xml:space="preserve">per annum on average </w:t>
      </w:r>
      <w:r w:rsidR="00CA2023" w:rsidRPr="009A5D6D">
        <w:t xml:space="preserve">over the </w:t>
      </w:r>
      <w:r w:rsidR="005B53EA" w:rsidRPr="009A5D6D">
        <w:t>four years to 202</w:t>
      </w:r>
      <w:r w:rsidR="00675657" w:rsidRPr="009A5D6D">
        <w:t>2</w:t>
      </w:r>
      <w:r w:rsidR="00274FAD" w:rsidRPr="009A5D6D">
        <w:noBreakHyphen/>
      </w:r>
      <w:r w:rsidR="005B53EA" w:rsidRPr="009A5D6D">
        <w:t>2</w:t>
      </w:r>
      <w:r w:rsidR="00675657" w:rsidRPr="009A5D6D">
        <w:t>3</w:t>
      </w:r>
      <w:r w:rsidR="00CA2023" w:rsidRPr="009A5D6D">
        <w:t xml:space="preserve">, </w:t>
      </w:r>
      <w:r w:rsidR="00460C53" w:rsidRPr="009A5D6D">
        <w:t>supported by a recovery</w:t>
      </w:r>
      <w:r w:rsidR="003C0F47" w:rsidRPr="009A5D6D">
        <w:t xml:space="preserve"> in </w:t>
      </w:r>
      <w:r w:rsidR="00E83FB5" w:rsidRPr="009A5D6D">
        <w:t>transfer duty</w:t>
      </w:r>
      <w:r w:rsidR="00CA2023" w:rsidRPr="009A5D6D">
        <w:t>. GST revenue is</w:t>
      </w:r>
      <w:r w:rsidR="00CA2023" w:rsidRPr="005B53EA">
        <w:t xml:space="preserve"> expected to grow at an average </w:t>
      </w:r>
      <w:r w:rsidR="00C22F4C">
        <w:t xml:space="preserve">annual </w:t>
      </w:r>
      <w:r w:rsidR="00CA2023" w:rsidRPr="005B53EA">
        <w:t xml:space="preserve">rate of </w:t>
      </w:r>
      <w:r w:rsidR="004B2F52">
        <w:t>4</w:t>
      </w:r>
      <w:r w:rsidR="005B53EA" w:rsidRPr="005B53EA">
        <w:t>.</w:t>
      </w:r>
      <w:r w:rsidR="004B2F52">
        <w:t>5</w:t>
      </w:r>
      <w:r w:rsidR="00CA2023" w:rsidRPr="005B53EA">
        <w:t xml:space="preserve"> per cent over the four years to 202</w:t>
      </w:r>
      <w:r w:rsidR="003F37E0">
        <w:t>2</w:t>
      </w:r>
      <w:r w:rsidR="00CA2023" w:rsidRPr="005B53EA">
        <w:t>-2</w:t>
      </w:r>
      <w:r w:rsidR="003F37E0">
        <w:t>3</w:t>
      </w:r>
      <w:r w:rsidR="00923400">
        <w:t>.</w:t>
      </w:r>
    </w:p>
    <w:p w14:paraId="19673B0B" w14:textId="6E4520AC" w:rsidR="00F72042" w:rsidRPr="0011270D" w:rsidRDefault="00716D03" w:rsidP="00384E74">
      <w:pPr>
        <w:pStyle w:val="Table4X"/>
        <w:ind w:left="357" w:hanging="357"/>
      </w:pPr>
      <w:r w:rsidRPr="00E805F9">
        <w:t>General</w:t>
      </w:r>
      <w:r w:rsidRPr="0011270D">
        <w:t xml:space="preserve"> government sector </w:t>
      </w:r>
      <w:r w:rsidR="0027681B">
        <w:t xml:space="preserve">- </w:t>
      </w:r>
      <w:r w:rsidRPr="0011270D">
        <w:t xml:space="preserve">summary of revenue </w:t>
      </w:r>
      <w:r w:rsidR="00CA4FC1">
        <w:t xml:space="preserve"> </w:t>
      </w:r>
    </w:p>
    <w:p w14:paraId="403DB74E" w14:textId="6D0368B5" w:rsidR="00B53942" w:rsidRDefault="00885FBA" w:rsidP="00384E74">
      <w:r w:rsidRPr="00885FBA">
        <w:rPr>
          <w:noProof/>
        </w:rPr>
        <w:drawing>
          <wp:inline distT="0" distB="0" distL="0" distR="0" wp14:anchorId="6EA04CAD" wp14:editId="01C3BC2F">
            <wp:extent cx="6120765" cy="2678077"/>
            <wp:effectExtent l="0" t="0" r="0" b="8255"/>
            <wp:docPr id="5" name="Picture 5" descr="Table 4.2: General government sector - summary of reve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678077"/>
                    </a:xfrm>
                    <a:prstGeom prst="rect">
                      <a:avLst/>
                    </a:prstGeom>
                    <a:noFill/>
                    <a:ln>
                      <a:noFill/>
                    </a:ln>
                  </pic:spPr>
                </pic:pic>
              </a:graphicData>
            </a:graphic>
          </wp:inline>
        </w:drawing>
      </w:r>
      <w:r w:rsidR="009B3352" w:rsidRPr="009B3352" w:rsidDel="00064945">
        <w:t xml:space="preserve"> </w:t>
      </w:r>
    </w:p>
    <w:p w14:paraId="29716CEE" w14:textId="77777777" w:rsidR="001D20C2" w:rsidRDefault="001D20C2" w:rsidP="00384E74"/>
    <w:p w14:paraId="58653372" w14:textId="32BCF6E9" w:rsidR="00D3335F" w:rsidRPr="00BC06E9" w:rsidRDefault="00407420" w:rsidP="00D63847">
      <w:pPr>
        <w:pStyle w:val="BodyText"/>
      </w:pPr>
      <w:r w:rsidRPr="00F33275">
        <w:t>T</w:t>
      </w:r>
      <w:r w:rsidR="2AE05695" w:rsidRPr="00F33275">
        <w:t xml:space="preserve">he </w:t>
      </w:r>
      <w:r w:rsidR="007D1FC1" w:rsidRPr="00384E74">
        <w:t>in</w:t>
      </w:r>
      <w:r w:rsidR="2AE05695" w:rsidRPr="00384E74">
        <w:t>crease</w:t>
      </w:r>
      <w:r w:rsidR="2AE05695" w:rsidRPr="00F33275">
        <w:t xml:space="preserve"> in </w:t>
      </w:r>
      <w:r w:rsidR="009A1A4E" w:rsidRPr="00F33275">
        <w:t xml:space="preserve">forecast </w:t>
      </w:r>
      <w:r w:rsidR="2AE05695" w:rsidRPr="00F33275">
        <w:t>revenue</w:t>
      </w:r>
      <w:r w:rsidR="001B3D8C" w:rsidRPr="00F33275">
        <w:t xml:space="preserve"> since the </w:t>
      </w:r>
      <w:r w:rsidR="00C7327D">
        <w:t xml:space="preserve">2019 </w:t>
      </w:r>
      <w:r w:rsidR="001B3D8C" w:rsidRPr="00F33275">
        <w:t>Pre-election Budget Update</w:t>
      </w:r>
      <w:r w:rsidR="2AE05695" w:rsidRPr="00F33275">
        <w:t xml:space="preserve"> in the four years to 2021-22 is </w:t>
      </w:r>
      <w:r w:rsidR="2AE05695" w:rsidRPr="00384E74">
        <w:t>$</w:t>
      </w:r>
      <w:r w:rsidR="00553DFB" w:rsidRPr="00384E74">
        <w:t>6</w:t>
      </w:r>
      <w:r w:rsidR="00DB3826" w:rsidRPr="00384E74">
        <w:t>75</w:t>
      </w:r>
      <w:r w:rsidR="2AE05695" w:rsidRPr="00384E74">
        <w:t>.</w:t>
      </w:r>
      <w:r w:rsidR="00511F07">
        <w:t>0</w:t>
      </w:r>
      <w:r w:rsidR="2AE05695">
        <w:t xml:space="preserve"> </w:t>
      </w:r>
      <w:r w:rsidR="00674A24">
        <w:t>m</w:t>
      </w:r>
      <w:r w:rsidR="2AE05695">
        <w:t xml:space="preserve">illion (Table </w:t>
      </w:r>
      <w:r w:rsidR="00DB3826">
        <w:t>4</w:t>
      </w:r>
      <w:r w:rsidR="2AE05695">
        <w:t xml:space="preserve">.3). </w:t>
      </w:r>
      <w:r w:rsidR="3AC2F519">
        <w:t>Highlighting</w:t>
      </w:r>
      <w:r w:rsidR="51EE3AC4">
        <w:t xml:space="preserve"> the volatility in individual revenue sources, s</w:t>
      </w:r>
      <w:r w:rsidR="2AE05695">
        <w:t>ignificant revisions include:</w:t>
      </w:r>
    </w:p>
    <w:p w14:paraId="7ABAC9F6" w14:textId="0EAEF9AE" w:rsidR="00C57A64" w:rsidRPr="00D415E9" w:rsidRDefault="005C34F0">
      <w:pPr>
        <w:pStyle w:val="Bullet1"/>
      </w:pPr>
      <w:r>
        <w:t>a</w:t>
      </w:r>
      <w:r w:rsidR="00C0673D">
        <w:t xml:space="preserve">n upward revision of other </w:t>
      </w:r>
      <w:r w:rsidR="002A73AB">
        <w:t xml:space="preserve">dividends and </w:t>
      </w:r>
      <w:r w:rsidR="002A73AB" w:rsidRPr="00A1221F">
        <w:t xml:space="preserve">distributions </w:t>
      </w:r>
      <w:r w:rsidR="00397DB4" w:rsidRPr="008F3E2A">
        <w:t xml:space="preserve">of </w:t>
      </w:r>
      <w:r w:rsidR="00397DB4" w:rsidRPr="00384E74">
        <w:t>$1.8</w:t>
      </w:r>
      <w:r w:rsidR="00397DB4" w:rsidRPr="008F3E2A">
        <w:t xml:space="preserve"> billion </w:t>
      </w:r>
      <w:r w:rsidR="00F72A80" w:rsidRPr="00D415E9">
        <w:t xml:space="preserve">in part due to strong fund performance in 2019, and changes to expected </w:t>
      </w:r>
      <w:r w:rsidR="00EA2559" w:rsidRPr="00D415E9">
        <w:t>N</w:t>
      </w:r>
      <w:r w:rsidR="00A82479" w:rsidRPr="00D415E9">
        <w:t xml:space="preserve">SW </w:t>
      </w:r>
      <w:r w:rsidR="00EA2559" w:rsidRPr="00D415E9">
        <w:t>G</w:t>
      </w:r>
      <w:r w:rsidR="00A82479" w:rsidRPr="00D415E9">
        <w:t xml:space="preserve">enerations </w:t>
      </w:r>
      <w:r w:rsidR="00EA2559" w:rsidRPr="00D415E9">
        <w:t>F</w:t>
      </w:r>
      <w:r w:rsidR="00A82479" w:rsidRPr="00D415E9">
        <w:t>und</w:t>
      </w:r>
      <w:r w:rsidR="00EA2559" w:rsidRPr="00D415E9">
        <w:t xml:space="preserve"> and S</w:t>
      </w:r>
      <w:r w:rsidR="00A82479" w:rsidRPr="00D415E9">
        <w:t xml:space="preserve">ocial and Affordable </w:t>
      </w:r>
      <w:r w:rsidR="00EA2559" w:rsidRPr="00D415E9">
        <w:t>H</w:t>
      </w:r>
      <w:r w:rsidR="00A82479" w:rsidRPr="00D415E9">
        <w:t xml:space="preserve">ousing </w:t>
      </w:r>
      <w:r w:rsidR="00EA2559" w:rsidRPr="00D415E9">
        <w:t>F</w:t>
      </w:r>
      <w:r w:rsidR="00A82479" w:rsidRPr="00D415E9">
        <w:t>und</w:t>
      </w:r>
      <w:r w:rsidR="00F72A80" w:rsidRPr="00D415E9">
        <w:t xml:space="preserve"> distributions from applying the </w:t>
      </w:r>
      <w:r w:rsidR="009D4396">
        <w:t>recently</w:t>
      </w:r>
      <w:r w:rsidR="00C764DF">
        <w:t xml:space="preserve"> introduced </w:t>
      </w:r>
      <w:r w:rsidR="00F72A80" w:rsidRPr="00D415E9">
        <w:t>Attribution Managed Investment Trust regime</w:t>
      </w:r>
    </w:p>
    <w:p w14:paraId="23AC4CCF" w14:textId="5F5457B0" w:rsidR="003F120E" w:rsidRDefault="000B472A" w:rsidP="00D63847">
      <w:pPr>
        <w:pStyle w:val="Bullet1"/>
      </w:pPr>
      <w:r>
        <w:t>a</w:t>
      </w:r>
      <w:r w:rsidR="003F120E" w:rsidRPr="005B53EA">
        <w:t xml:space="preserve"> </w:t>
      </w:r>
      <w:r w:rsidR="003F120E">
        <w:t>down</w:t>
      </w:r>
      <w:r w:rsidR="003F120E" w:rsidRPr="005B53EA">
        <w:t xml:space="preserve">ward revision to </w:t>
      </w:r>
      <w:r w:rsidR="006E56DF">
        <w:t>forecast</w:t>
      </w:r>
      <w:r w:rsidR="003F120E" w:rsidRPr="005B53EA">
        <w:t xml:space="preserve"> GST </w:t>
      </w:r>
      <w:r w:rsidR="003F120E">
        <w:t xml:space="preserve">revenue </w:t>
      </w:r>
      <w:r w:rsidR="00B81B1C">
        <w:t xml:space="preserve">(including </w:t>
      </w:r>
      <w:r w:rsidR="008C7CC0">
        <w:t>‘</w:t>
      </w:r>
      <w:r w:rsidR="00B81B1C">
        <w:t>no worse off</w:t>
      </w:r>
      <w:r w:rsidR="00226E39">
        <w:t>’</w:t>
      </w:r>
      <w:r w:rsidR="00B81B1C">
        <w:t xml:space="preserve"> payments) </w:t>
      </w:r>
      <w:r w:rsidR="003F120E" w:rsidRPr="005B53EA">
        <w:t>of $</w:t>
      </w:r>
      <w:r w:rsidR="00E715B7">
        <w:t>2</w:t>
      </w:r>
      <w:r w:rsidR="003F120E" w:rsidRPr="005B53EA">
        <w:t>.</w:t>
      </w:r>
      <w:r w:rsidR="00FF289B">
        <w:t>3</w:t>
      </w:r>
      <w:r w:rsidR="003F120E">
        <w:t> </w:t>
      </w:r>
      <w:r w:rsidR="003F120E" w:rsidRPr="005B53EA">
        <w:t>billion</w:t>
      </w:r>
      <w:r w:rsidR="003F120E">
        <w:t>, due to revisions of the GST pool</w:t>
      </w:r>
    </w:p>
    <w:p w14:paraId="7CD77528" w14:textId="24A95376" w:rsidR="008F2A97" w:rsidRPr="00146FDB" w:rsidRDefault="006318BF" w:rsidP="00D63847">
      <w:pPr>
        <w:pStyle w:val="Bullet1"/>
      </w:pPr>
      <w:r>
        <w:lastRenderedPageBreak/>
        <w:t xml:space="preserve">a reduction in land </w:t>
      </w:r>
      <w:r w:rsidRPr="00A1221F">
        <w:t xml:space="preserve">tax of </w:t>
      </w:r>
      <w:r w:rsidR="00A748E5" w:rsidRPr="00384E74">
        <w:t>$</w:t>
      </w:r>
      <w:r w:rsidR="00E6372A" w:rsidRPr="00384E74">
        <w:t>3</w:t>
      </w:r>
      <w:r w:rsidR="00CE73F4">
        <w:t>2</w:t>
      </w:r>
      <w:r w:rsidR="00E6372A" w:rsidRPr="00384E74">
        <w:t>8</w:t>
      </w:r>
      <w:r w:rsidR="00154037" w:rsidRPr="00384E74">
        <w:t>.</w:t>
      </w:r>
      <w:r w:rsidR="00CE73F4">
        <w:t>7</w:t>
      </w:r>
      <w:r w:rsidR="00154037" w:rsidRPr="008F3E2A">
        <w:t xml:space="preserve"> million, </w:t>
      </w:r>
      <w:r w:rsidR="00C93DF7" w:rsidRPr="00146FDB">
        <w:t xml:space="preserve">reflecting </w:t>
      </w:r>
      <w:r w:rsidR="00896B3D" w:rsidRPr="00146FDB">
        <w:t xml:space="preserve">a decline in </w:t>
      </w:r>
      <w:r w:rsidR="00807B51" w:rsidRPr="00146FDB">
        <w:t>residential land values</w:t>
      </w:r>
      <w:r w:rsidR="00CA185F">
        <w:rPr>
          <w:rStyle w:val="FootnoteReference"/>
        </w:rPr>
        <w:footnoteReference w:id="2"/>
      </w:r>
    </w:p>
    <w:p w14:paraId="5A184D04" w14:textId="302DC38A" w:rsidR="003E5073" w:rsidRPr="00146FDB" w:rsidDel="003E5073" w:rsidRDefault="000B472A" w:rsidP="00D63847">
      <w:pPr>
        <w:pStyle w:val="Bullet1"/>
      </w:pPr>
      <w:r w:rsidRPr="00146FDB">
        <w:t>r</w:t>
      </w:r>
      <w:r w:rsidR="00D3335F" w:rsidRPr="00146FDB">
        <w:t xml:space="preserve">educed transfer duty </w:t>
      </w:r>
      <w:r w:rsidR="00475E67" w:rsidRPr="00146FDB">
        <w:t>of $</w:t>
      </w:r>
      <w:r w:rsidR="00F66215" w:rsidRPr="00146FDB">
        <w:t>23</w:t>
      </w:r>
      <w:r w:rsidR="00E70075">
        <w:t>2</w:t>
      </w:r>
      <w:r w:rsidR="00F66215" w:rsidRPr="00A1221F">
        <w:t>.</w:t>
      </w:r>
      <w:r w:rsidR="00E70075">
        <w:t>2</w:t>
      </w:r>
      <w:r w:rsidR="00F66215" w:rsidRPr="00A1221F">
        <w:t xml:space="preserve"> million</w:t>
      </w:r>
      <w:r w:rsidR="0077659E" w:rsidRPr="008F3E2A">
        <w:t>,</w:t>
      </w:r>
      <w:r w:rsidR="00F66215" w:rsidRPr="00146FDB">
        <w:t xml:space="preserve"> </w:t>
      </w:r>
      <w:r w:rsidR="009E7912" w:rsidRPr="00146FDB">
        <w:t>as</w:t>
      </w:r>
      <w:r w:rsidR="0001559A" w:rsidRPr="00146FDB">
        <w:t xml:space="preserve"> the downturn in residential property transactions </w:t>
      </w:r>
      <w:r w:rsidR="001D6D78" w:rsidRPr="00146FDB">
        <w:t xml:space="preserve">in the first half of 2019 </w:t>
      </w:r>
      <w:r w:rsidR="004227FC" w:rsidRPr="00146FDB">
        <w:t>was</w:t>
      </w:r>
      <w:r w:rsidR="001D6D78" w:rsidRPr="00146FDB">
        <w:t xml:space="preserve"> slightly greater than expected</w:t>
      </w:r>
      <w:r w:rsidR="00D71CE1" w:rsidRPr="00384E74">
        <w:rPr>
          <w:vertAlign w:val="superscript"/>
        </w:rPr>
        <w:t>1</w:t>
      </w:r>
    </w:p>
    <w:p w14:paraId="65F66724" w14:textId="71F7D00D" w:rsidR="000B0890" w:rsidRPr="00384E74" w:rsidRDefault="000B472A" w:rsidP="00384E74">
      <w:pPr>
        <w:pStyle w:val="Bullet1"/>
        <w:rPr>
          <w:rFonts w:eastAsiaTheme="minorHAnsi"/>
          <w:noProof/>
          <w:szCs w:val="23"/>
          <w:lang w:eastAsia="x-none"/>
        </w:rPr>
      </w:pPr>
      <w:r w:rsidRPr="00146FDB">
        <w:t>r</w:t>
      </w:r>
      <w:r w:rsidR="00473FFF" w:rsidRPr="00146FDB">
        <w:t>educed</w:t>
      </w:r>
      <w:r w:rsidR="002D043E" w:rsidRPr="00146FDB">
        <w:t xml:space="preserve"> revenue from fines, fees and other revenue totalling </w:t>
      </w:r>
      <w:r w:rsidR="002D043E" w:rsidRPr="00384E74">
        <w:t>$</w:t>
      </w:r>
      <w:r w:rsidR="005E4A8B" w:rsidRPr="00384E74">
        <w:t>955</w:t>
      </w:r>
      <w:r w:rsidR="00473FFF" w:rsidRPr="00384E74">
        <w:t>.</w:t>
      </w:r>
      <w:r w:rsidR="00AA5809">
        <w:t>6</w:t>
      </w:r>
      <w:r w:rsidR="005106ED" w:rsidRPr="008F3E2A">
        <w:t> </w:t>
      </w:r>
      <w:r w:rsidR="005E4A8B" w:rsidRPr="00146FDB">
        <w:t>m</w:t>
      </w:r>
      <w:r w:rsidR="002D043E" w:rsidRPr="00146FDB">
        <w:t>illion</w:t>
      </w:r>
      <w:r w:rsidR="00E83CFA">
        <w:t>.</w:t>
      </w:r>
    </w:p>
    <w:p w14:paraId="048B483D" w14:textId="655E2610" w:rsidR="00B53942" w:rsidRPr="0011270D" w:rsidRDefault="00B53942" w:rsidP="003B4788">
      <w:pPr>
        <w:pStyle w:val="Table4X"/>
        <w:tabs>
          <w:tab w:val="clear" w:pos="1134"/>
          <w:tab w:val="left" w:pos="1304"/>
        </w:tabs>
        <w:ind w:left="357" w:hanging="357"/>
      </w:pPr>
      <w:r w:rsidRPr="00C230D5">
        <w:t>Revenue</w:t>
      </w:r>
      <w:r w:rsidRPr="0011270D">
        <w:t xml:space="preserve"> reconciliation</w:t>
      </w:r>
      <w:r w:rsidR="00FE2DFE">
        <w:t xml:space="preserve"> </w:t>
      </w:r>
    </w:p>
    <w:p w14:paraId="4C626ED2" w14:textId="7D16AE29" w:rsidR="00B53942" w:rsidRDefault="00C64C38" w:rsidP="00384E74">
      <w:r w:rsidRPr="00C64C38">
        <w:rPr>
          <w:noProof/>
        </w:rPr>
        <w:drawing>
          <wp:inline distT="0" distB="0" distL="0" distR="0" wp14:anchorId="453839A3" wp14:editId="17D7572A">
            <wp:extent cx="6120765" cy="6087318"/>
            <wp:effectExtent l="0" t="0" r="0" b="8890"/>
            <wp:docPr id="7" name="Picture 7" descr="Table 4.3: Revenue reconcil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087318"/>
                    </a:xfrm>
                    <a:prstGeom prst="rect">
                      <a:avLst/>
                    </a:prstGeom>
                    <a:noFill/>
                    <a:ln>
                      <a:noFill/>
                    </a:ln>
                  </pic:spPr>
                </pic:pic>
              </a:graphicData>
            </a:graphic>
          </wp:inline>
        </w:drawing>
      </w:r>
    </w:p>
    <w:p w14:paraId="77423DEF" w14:textId="77777777" w:rsidR="00B53942" w:rsidRPr="0011270D" w:rsidRDefault="00B53942" w:rsidP="00B53942"/>
    <w:p w14:paraId="089BCCD9" w14:textId="77777777" w:rsidR="001D20C2" w:rsidRDefault="001D20C2" w:rsidP="00384E74">
      <w:bookmarkStart w:id="3" w:name="_Hlk512506988"/>
      <w:r>
        <w:br w:type="page"/>
      </w:r>
    </w:p>
    <w:p w14:paraId="01FC7377" w14:textId="7F6CB655" w:rsidR="008F2849" w:rsidRPr="0011270D" w:rsidRDefault="00FF16D1">
      <w:pPr>
        <w:pStyle w:val="Heading2"/>
      </w:pPr>
      <w:r w:rsidRPr="0011270D">
        <w:lastRenderedPageBreak/>
        <w:t>Taxation r</w:t>
      </w:r>
      <w:r w:rsidR="00B13FAD" w:rsidRPr="0011270D">
        <w:t>evenue</w:t>
      </w:r>
      <w:bookmarkEnd w:id="3"/>
    </w:p>
    <w:p w14:paraId="4CE657B9" w14:textId="070AB863" w:rsidR="00EF0506" w:rsidRDefault="00C208BF" w:rsidP="00D63847">
      <w:pPr>
        <w:pStyle w:val="BodyText"/>
      </w:pPr>
      <w:r w:rsidRPr="0011270D">
        <w:t xml:space="preserve">State taxation revenue is </w:t>
      </w:r>
      <w:r w:rsidR="00F51F72">
        <w:t xml:space="preserve">forecast </w:t>
      </w:r>
      <w:r w:rsidRPr="0011270D">
        <w:t xml:space="preserve">to </w:t>
      </w:r>
      <w:r w:rsidRPr="00A1221F">
        <w:t xml:space="preserve">be </w:t>
      </w:r>
      <w:r w:rsidRPr="00384E74">
        <w:t>$</w:t>
      </w:r>
      <w:r w:rsidR="003E326C" w:rsidRPr="00384E74">
        <w:t>31</w:t>
      </w:r>
      <w:r w:rsidR="00750BCE" w:rsidRPr="00384E74">
        <w:t>.</w:t>
      </w:r>
      <w:r w:rsidR="003E326C" w:rsidRPr="00384E74">
        <w:t>8</w:t>
      </w:r>
      <w:r w:rsidR="00750BCE" w:rsidRPr="008F3E2A">
        <w:t xml:space="preserve"> billion</w:t>
      </w:r>
      <w:r w:rsidRPr="005A21F2">
        <w:t xml:space="preserve"> in </w:t>
      </w:r>
      <w:r w:rsidR="00E51D96" w:rsidRPr="005A21F2">
        <w:t>201</w:t>
      </w:r>
      <w:r w:rsidR="00474A0A" w:rsidRPr="005A21F2">
        <w:t>9</w:t>
      </w:r>
      <w:r w:rsidR="00E51D96" w:rsidRPr="005A21F2">
        <w:t>-</w:t>
      </w:r>
      <w:r w:rsidR="00474A0A" w:rsidRPr="005A21F2">
        <w:t>20</w:t>
      </w:r>
      <w:r w:rsidR="002B1ECF" w:rsidRPr="005A21F2">
        <w:t xml:space="preserve"> (see Table </w:t>
      </w:r>
      <w:r w:rsidR="003E326C" w:rsidRPr="005A21F2">
        <w:t>4</w:t>
      </w:r>
      <w:r w:rsidR="002B1ECF" w:rsidRPr="005A21F2">
        <w:t>.</w:t>
      </w:r>
      <w:r w:rsidR="009F643C" w:rsidRPr="005A21F2">
        <w:t>4</w:t>
      </w:r>
      <w:r w:rsidR="002B1ECF" w:rsidRPr="005A21F2">
        <w:t>)</w:t>
      </w:r>
      <w:r w:rsidR="00E51D96" w:rsidRPr="005A21F2">
        <w:t xml:space="preserve">. </w:t>
      </w:r>
      <w:r w:rsidR="00526844" w:rsidRPr="005A21F2">
        <w:t>Payroll</w:t>
      </w:r>
      <w:r w:rsidR="00BB71CF" w:rsidRPr="005A21F2">
        <w:t xml:space="preserve"> </w:t>
      </w:r>
      <w:r w:rsidR="00B70DE9" w:rsidRPr="005A21F2">
        <w:t>tax</w:t>
      </w:r>
      <w:r w:rsidR="00E51D96" w:rsidRPr="005A21F2">
        <w:t xml:space="preserve"> </w:t>
      </w:r>
      <w:r w:rsidR="002E1065" w:rsidRPr="005A21F2">
        <w:t>is</w:t>
      </w:r>
      <w:r w:rsidR="00E51D96" w:rsidRPr="005A21F2">
        <w:t xml:space="preserve"> the largest single source of </w:t>
      </w:r>
      <w:r w:rsidR="00B70DE9" w:rsidRPr="005A21F2">
        <w:t>taxation revenue</w:t>
      </w:r>
      <w:r w:rsidR="00185895" w:rsidRPr="005A21F2">
        <w:t xml:space="preserve">, </w:t>
      </w:r>
      <w:r w:rsidR="00F05025" w:rsidRPr="005A21F2">
        <w:t xml:space="preserve">accounting for </w:t>
      </w:r>
      <w:r w:rsidR="004C4AC7" w:rsidRPr="00384E74">
        <w:t>30</w:t>
      </w:r>
      <w:r w:rsidR="00EB1BFD" w:rsidRPr="00384E74">
        <w:t>.</w:t>
      </w:r>
      <w:r w:rsidR="004C4AC7" w:rsidRPr="00384E74">
        <w:t>8</w:t>
      </w:r>
      <w:r w:rsidR="00C90EC9" w:rsidRPr="008F3E2A">
        <w:t xml:space="preserve"> per cent</w:t>
      </w:r>
      <w:r w:rsidR="00185895" w:rsidRPr="005A21F2">
        <w:t xml:space="preserve"> </w:t>
      </w:r>
      <w:r w:rsidR="005F6859" w:rsidRPr="005A21F2">
        <w:t xml:space="preserve">in </w:t>
      </w:r>
      <w:r w:rsidR="007478DC" w:rsidRPr="005A21F2">
        <w:t>201</w:t>
      </w:r>
      <w:r w:rsidR="00882480" w:rsidRPr="005A21F2">
        <w:t>9</w:t>
      </w:r>
      <w:r w:rsidR="00A104C6" w:rsidRPr="005A21F2">
        <w:noBreakHyphen/>
      </w:r>
      <w:r w:rsidR="00882480" w:rsidRPr="005A21F2">
        <w:t>20</w:t>
      </w:r>
      <w:r w:rsidR="007478DC" w:rsidRPr="005A21F2">
        <w:t xml:space="preserve"> (see </w:t>
      </w:r>
      <w:r w:rsidR="00153702" w:rsidRPr="005A21F2">
        <w:t>C</w:t>
      </w:r>
      <w:r w:rsidR="007478DC" w:rsidRPr="005A21F2">
        <w:t xml:space="preserve">hart </w:t>
      </w:r>
      <w:r w:rsidR="003903CC" w:rsidRPr="005A21F2">
        <w:t>4</w:t>
      </w:r>
      <w:r w:rsidR="00995C67" w:rsidRPr="005A21F2">
        <w:t>.</w:t>
      </w:r>
      <w:r w:rsidR="00047E6D" w:rsidRPr="005A21F2">
        <w:t>3</w:t>
      </w:r>
      <w:r w:rsidR="00185895" w:rsidRPr="005A21F2">
        <w:t>)</w:t>
      </w:r>
      <w:r w:rsidR="007D3A72" w:rsidRPr="005A21F2">
        <w:t xml:space="preserve">, </w:t>
      </w:r>
      <w:r w:rsidR="00882480" w:rsidRPr="005A21F2">
        <w:t>followed by</w:t>
      </w:r>
      <w:r w:rsidR="007D3A72" w:rsidRPr="005A21F2">
        <w:t xml:space="preserve"> transfer duty, which </w:t>
      </w:r>
      <w:r w:rsidR="00C136F9" w:rsidRPr="005A21F2">
        <w:t xml:space="preserve">is forecast to </w:t>
      </w:r>
      <w:r w:rsidR="005F6859" w:rsidRPr="005A21F2">
        <w:t xml:space="preserve">account for </w:t>
      </w:r>
      <w:r w:rsidR="00B47FE9" w:rsidRPr="00384E74">
        <w:t>21</w:t>
      </w:r>
      <w:r w:rsidR="00750BCE" w:rsidRPr="00384E74">
        <w:t>.</w:t>
      </w:r>
      <w:r w:rsidR="00B47FE9" w:rsidRPr="00384E74">
        <w:t>6</w:t>
      </w:r>
      <w:r w:rsidR="007D3A72" w:rsidRPr="008F3E2A">
        <w:t xml:space="preserve"> per cent</w:t>
      </w:r>
      <w:r w:rsidR="00185895" w:rsidRPr="005A21F2">
        <w:t>.</w:t>
      </w:r>
      <w:r w:rsidR="009C4610" w:rsidRPr="005A21F2">
        <w:t xml:space="preserve"> </w:t>
      </w:r>
      <w:r w:rsidR="00100F1A" w:rsidRPr="005A21F2">
        <w:t xml:space="preserve">Taxation revenue </w:t>
      </w:r>
      <w:r w:rsidR="007F41B5" w:rsidRPr="005A21F2">
        <w:t>growth</w:t>
      </w:r>
      <w:r w:rsidR="00EB1BFD" w:rsidRPr="005A21F2">
        <w:t xml:space="preserve"> is expected to </w:t>
      </w:r>
      <w:r w:rsidR="00000F3C" w:rsidRPr="005A21F2">
        <w:t xml:space="preserve">average </w:t>
      </w:r>
      <w:r w:rsidR="00B923E6" w:rsidRPr="00384E74">
        <w:t>4.1</w:t>
      </w:r>
      <w:r w:rsidR="009C4610" w:rsidRPr="00A1221F">
        <w:t xml:space="preserve"> per cent</w:t>
      </w:r>
      <w:r w:rsidR="009C4610">
        <w:t xml:space="preserve"> </w:t>
      </w:r>
      <w:r w:rsidR="00000F3C">
        <w:t xml:space="preserve">per annum </w:t>
      </w:r>
      <w:r w:rsidR="00FA2454">
        <w:t xml:space="preserve">in the four years to </w:t>
      </w:r>
      <w:r w:rsidR="00661A7B">
        <w:t>2022-23</w:t>
      </w:r>
      <w:r w:rsidR="008C7002">
        <w:t>.</w:t>
      </w:r>
      <w:r w:rsidR="009C4610">
        <w:t xml:space="preserve"> </w:t>
      </w:r>
    </w:p>
    <w:p w14:paraId="5ED8139F" w14:textId="41505E25" w:rsidR="008D5525" w:rsidRDefault="008D5525" w:rsidP="00384E74">
      <w:pPr>
        <w:rPr>
          <w:rFonts w:ascii="Arial" w:eastAsiaTheme="minorHAnsi" w:hAnsi="Arial"/>
          <w:color w:val="4F4F4F"/>
          <w:kern w:val="28"/>
          <w:sz w:val="22"/>
          <w:szCs w:val="22"/>
        </w:rPr>
      </w:pPr>
    </w:p>
    <w:p w14:paraId="6F4F914C" w14:textId="4338836A" w:rsidR="00717FAD" w:rsidRPr="006867C6" w:rsidRDefault="009D0194" w:rsidP="003B4788">
      <w:pPr>
        <w:pStyle w:val="Table4X"/>
        <w:numPr>
          <w:ilvl w:val="0"/>
          <w:numId w:val="68"/>
        </w:numPr>
        <w:tabs>
          <w:tab w:val="clear" w:pos="1134"/>
          <w:tab w:val="left" w:pos="1304"/>
        </w:tabs>
        <w:spacing w:before="0"/>
        <w:rPr>
          <w:rFonts w:eastAsiaTheme="minorHAnsi"/>
        </w:rPr>
      </w:pPr>
      <w:r w:rsidRPr="006867C6">
        <w:rPr>
          <w:rFonts w:eastAsiaTheme="minorHAnsi"/>
        </w:rPr>
        <w:t>General government sector</w:t>
      </w:r>
      <w:r w:rsidR="00153702" w:rsidRPr="006867C6">
        <w:rPr>
          <w:rFonts w:eastAsiaTheme="minorHAnsi"/>
        </w:rPr>
        <w:t xml:space="preserve"> – </w:t>
      </w:r>
      <w:r w:rsidRPr="006867C6">
        <w:rPr>
          <w:rFonts w:eastAsiaTheme="minorHAnsi"/>
        </w:rPr>
        <w:t xml:space="preserve">summary of taxation revenue </w:t>
      </w:r>
    </w:p>
    <w:p w14:paraId="57FB1C4A" w14:textId="73E4A1E2" w:rsidR="002D72C2" w:rsidRPr="0011270D" w:rsidRDefault="00C64C38" w:rsidP="00CF0219">
      <w:r w:rsidRPr="00C64C38">
        <w:rPr>
          <w:noProof/>
        </w:rPr>
        <w:drawing>
          <wp:inline distT="0" distB="0" distL="0" distR="0" wp14:anchorId="2DD45D00" wp14:editId="3B4D411D">
            <wp:extent cx="6120765" cy="6386805"/>
            <wp:effectExtent l="0" t="0" r="0" b="0"/>
            <wp:docPr id="8" name="Picture 8" descr="Table 4.4: General government sector – summary of taxation reven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6386805"/>
                    </a:xfrm>
                    <a:prstGeom prst="rect">
                      <a:avLst/>
                    </a:prstGeom>
                    <a:noFill/>
                    <a:ln>
                      <a:noFill/>
                    </a:ln>
                  </pic:spPr>
                </pic:pic>
              </a:graphicData>
            </a:graphic>
          </wp:inline>
        </w:drawing>
      </w:r>
    </w:p>
    <w:p w14:paraId="57793021" w14:textId="1434921A" w:rsidR="00033484" w:rsidRPr="0011270D" w:rsidRDefault="00033484">
      <w:pPr>
        <w:spacing w:after="200" w:line="276" w:lineRule="auto"/>
        <w:rPr>
          <w:rFonts w:ascii="Arial" w:eastAsia="Arial Unicode MS" w:hAnsi="Arial"/>
          <w:bCs/>
          <w:i/>
          <w:color w:val="57514D"/>
          <w:kern w:val="28"/>
          <w:szCs w:val="22"/>
        </w:rPr>
      </w:pPr>
      <w:bookmarkStart w:id="4" w:name="_Hlk511825805"/>
    </w:p>
    <w:p w14:paraId="4605AA01" w14:textId="77777777" w:rsidR="001D20C2" w:rsidRDefault="001D20C2">
      <w:pPr>
        <w:spacing w:after="200" w:line="276" w:lineRule="auto"/>
        <w:rPr>
          <w:rFonts w:ascii="Arial" w:eastAsiaTheme="minorHAnsi" w:hAnsi="Arial" w:cs="Arial"/>
          <w:noProof/>
          <w:sz w:val="23"/>
          <w:szCs w:val="23"/>
          <w:lang w:eastAsia="x-none"/>
        </w:rPr>
      </w:pPr>
      <w:r>
        <w:br w:type="page"/>
      </w:r>
    </w:p>
    <w:p w14:paraId="5D5B5B35" w14:textId="62C36236" w:rsidR="00C64821" w:rsidRDefault="00000F3C" w:rsidP="00384E74">
      <w:pPr>
        <w:pStyle w:val="BodyText"/>
      </w:pPr>
      <w:r>
        <w:lastRenderedPageBreak/>
        <w:t>The v</w:t>
      </w:r>
      <w:r w:rsidR="4DD39E8A">
        <w:t xml:space="preserve">olatility of </w:t>
      </w:r>
      <w:r w:rsidR="51CB5C52">
        <w:t>transfer</w:t>
      </w:r>
      <w:r w:rsidR="2B7FAB11">
        <w:t xml:space="preserve"> duty revenue is a significant fiscal challenge for New South Wales. D</w:t>
      </w:r>
      <w:r w:rsidR="51CB5C52">
        <w:t xml:space="preserve">uring the property market boom, transfer duty grew to be </w:t>
      </w:r>
      <w:r w:rsidR="6C812C38">
        <w:t xml:space="preserve">the State’s largest tax, representing </w:t>
      </w:r>
      <w:r w:rsidR="0153428B" w:rsidRPr="00384E74">
        <w:t>31</w:t>
      </w:r>
      <w:r w:rsidR="008373EF" w:rsidRPr="00384E74">
        <w:t>.4</w:t>
      </w:r>
      <w:r w:rsidR="006871E0" w:rsidRPr="00A1221F">
        <w:t> </w:t>
      </w:r>
      <w:r w:rsidR="6C812C38" w:rsidRPr="009D7660">
        <w:t>per</w:t>
      </w:r>
      <w:r w:rsidR="006871E0" w:rsidRPr="009D7660">
        <w:t> </w:t>
      </w:r>
      <w:r w:rsidR="6C812C38" w:rsidRPr="009D7660">
        <w:t>cent of tax revenue in 2016</w:t>
      </w:r>
      <w:r w:rsidR="2C3A4BE2" w:rsidRPr="009D7660">
        <w:t xml:space="preserve">-17 </w:t>
      </w:r>
      <w:r w:rsidR="43FFAC8D" w:rsidRPr="009D7660">
        <w:t>(Chart 4.3).</w:t>
      </w:r>
      <w:r w:rsidR="2C3A4BE2" w:rsidRPr="009D7660">
        <w:t xml:space="preserve"> The </w:t>
      </w:r>
      <w:r w:rsidR="00B45320" w:rsidRPr="009D7660">
        <w:t xml:space="preserve">decline in the </w:t>
      </w:r>
      <w:r w:rsidR="2C3A4BE2" w:rsidRPr="009D7660">
        <w:t xml:space="preserve">property market </w:t>
      </w:r>
      <w:r w:rsidR="1C4A1FFE" w:rsidRPr="009D7660">
        <w:t xml:space="preserve">over the past 18 months has seen </w:t>
      </w:r>
      <w:r w:rsidR="00DC6477">
        <w:t xml:space="preserve">forecast </w:t>
      </w:r>
      <w:r w:rsidR="1C4A1FFE" w:rsidRPr="009D7660">
        <w:t>transfer duty fall to 2</w:t>
      </w:r>
      <w:r w:rsidR="000943B5" w:rsidRPr="00384E74">
        <w:t>1.6</w:t>
      </w:r>
      <w:r w:rsidR="1C4A1FFE" w:rsidRPr="00A1221F">
        <w:t xml:space="preserve"> per cent </w:t>
      </w:r>
      <w:r w:rsidR="04AC4294" w:rsidRPr="008F3E2A">
        <w:t xml:space="preserve">of </w:t>
      </w:r>
      <w:r w:rsidR="04AC4294" w:rsidRPr="009D7660">
        <w:t>tax revenue</w:t>
      </w:r>
      <w:r w:rsidR="00C7094C" w:rsidRPr="009D7660">
        <w:t xml:space="preserve"> in 2019</w:t>
      </w:r>
      <w:r w:rsidR="009D7660" w:rsidRPr="009D7660">
        <w:noBreakHyphen/>
      </w:r>
      <w:r w:rsidR="00C7094C" w:rsidRPr="009D7660">
        <w:t>20</w:t>
      </w:r>
      <w:r w:rsidR="613CC0BE" w:rsidRPr="009D7660">
        <w:t xml:space="preserve">. </w:t>
      </w:r>
      <w:r w:rsidR="0153428B" w:rsidRPr="009D7660">
        <w:t>Since the 2017-18 Budget, the four-year forecast for transfer duty has been reduced by $10.6 billion.</w:t>
      </w:r>
      <w:r w:rsidR="0153428B">
        <w:t xml:space="preserve"> </w:t>
      </w:r>
    </w:p>
    <w:p w14:paraId="539473C2" w14:textId="0A18A59A" w:rsidR="00A12472" w:rsidRDefault="00772B28" w:rsidP="003B4788">
      <w:pPr>
        <w:pStyle w:val="Chart41"/>
      </w:pPr>
      <w:r w:rsidRPr="0011270D">
        <w:t>Composition of taxation revenue</w:t>
      </w:r>
      <w:bookmarkEnd w:id="4"/>
    </w:p>
    <w:p w14:paraId="779EC8CA" w14:textId="00947BA0" w:rsidR="00A12472" w:rsidRDefault="005F3330" w:rsidP="00384E74">
      <w:pPr>
        <w:jc w:val="center"/>
      </w:pPr>
      <w:r w:rsidRPr="005F3330">
        <w:rPr>
          <w:noProof/>
        </w:rPr>
        <w:drawing>
          <wp:inline distT="0" distB="0" distL="0" distR="0" wp14:anchorId="787538E6" wp14:editId="64162EAB">
            <wp:extent cx="6106795" cy="2329815"/>
            <wp:effectExtent l="0" t="0" r="8255" b="0"/>
            <wp:docPr id="20" name="Picture 20" descr="Chart 4.3: Composition of taxation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6795" cy="2329815"/>
                    </a:xfrm>
                    <a:prstGeom prst="rect">
                      <a:avLst/>
                    </a:prstGeom>
                    <a:noFill/>
                    <a:ln>
                      <a:noFill/>
                    </a:ln>
                  </pic:spPr>
                </pic:pic>
              </a:graphicData>
            </a:graphic>
          </wp:inline>
        </w:drawing>
      </w:r>
    </w:p>
    <w:p w14:paraId="0A64D0D0" w14:textId="3B11AFEB" w:rsidR="00A12472" w:rsidRPr="00A12472" w:rsidDel="001F020E" w:rsidRDefault="00226043" w:rsidP="00055D45">
      <w:pPr>
        <w:pStyle w:val="Heading3"/>
        <w:numPr>
          <w:ilvl w:val="0"/>
          <w:numId w:val="0"/>
        </w:numPr>
        <w:ind w:left="720" w:hanging="720"/>
      </w:pPr>
      <w:r w:rsidRPr="0011270D">
        <w:t>Transfer d</w:t>
      </w:r>
      <w:r w:rsidR="00772B28" w:rsidRPr="0011270D">
        <w:t>uty</w:t>
      </w:r>
    </w:p>
    <w:p w14:paraId="7FFB0B7D" w14:textId="5D4EFC2B" w:rsidR="001B6650" w:rsidRDefault="00F05FA9" w:rsidP="00D63847">
      <w:pPr>
        <w:pStyle w:val="BodyText"/>
      </w:pPr>
      <w:r>
        <w:t>Transfer duty revenue is expected to be $7.4 billion in 2018-19</w:t>
      </w:r>
      <w:r w:rsidR="00DB4819">
        <w:t>,</w:t>
      </w:r>
      <w:r>
        <w:t xml:space="preserve"> $</w:t>
      </w:r>
      <w:r w:rsidR="00B51F96">
        <w:t>173</w:t>
      </w:r>
      <w:r>
        <w:t xml:space="preserve">.0 million lower than forecast at </w:t>
      </w:r>
      <w:r w:rsidR="000466FA">
        <w:t xml:space="preserve">the </w:t>
      </w:r>
      <w:r w:rsidR="00E92757">
        <w:t xml:space="preserve">2019 </w:t>
      </w:r>
      <w:r w:rsidR="000466FA">
        <w:t>Pre-election Budget Update</w:t>
      </w:r>
      <w:r>
        <w:t xml:space="preserve">. </w:t>
      </w:r>
      <w:r w:rsidR="00850511">
        <w:t xml:space="preserve">Excluding the WestConnex transaction, </w:t>
      </w:r>
      <w:r w:rsidR="003A358D">
        <w:t>total transfer duty is expected to grow by 1.0</w:t>
      </w:r>
      <w:r w:rsidR="000466FA">
        <w:t> </w:t>
      </w:r>
      <w:r w:rsidR="003A358D">
        <w:t>per cent in 2019-20, and at an average annual rate of 7.3 per cent in the four years to 2022-23.</w:t>
      </w:r>
      <w:r w:rsidR="00A80BA5">
        <w:t xml:space="preserve"> </w:t>
      </w:r>
      <w:r w:rsidR="009548A0">
        <w:t>D</w:t>
      </w:r>
      <w:r w:rsidR="00850511">
        <w:t xml:space="preserve">ownward </w:t>
      </w:r>
      <w:r>
        <w:t>revision</w:t>
      </w:r>
      <w:r w:rsidR="00850511">
        <w:t>s</w:t>
      </w:r>
      <w:r>
        <w:t xml:space="preserve"> </w:t>
      </w:r>
      <w:r w:rsidR="008A535B">
        <w:t xml:space="preserve">in the near term </w:t>
      </w:r>
      <w:r w:rsidR="00850511">
        <w:t>are</w:t>
      </w:r>
      <w:r w:rsidR="00943F3F">
        <w:t xml:space="preserve"> largely </w:t>
      </w:r>
      <w:r w:rsidR="008910C0">
        <w:t>a result of</w:t>
      </w:r>
      <w:r w:rsidR="00943F3F">
        <w:t xml:space="preserve"> the residential property market</w:t>
      </w:r>
      <w:r w:rsidR="00B978D0">
        <w:t>.</w:t>
      </w:r>
      <w:r w:rsidR="008A535B">
        <w:t xml:space="preserve"> Upward revisions in the </w:t>
      </w:r>
      <w:r w:rsidR="008D5E0D">
        <w:t>outer years</w:t>
      </w:r>
      <w:r w:rsidR="00C50D71">
        <w:t xml:space="preserve"> </w:t>
      </w:r>
      <w:r w:rsidR="005631F6">
        <w:t xml:space="preserve">of the forecast period </w:t>
      </w:r>
      <w:r w:rsidR="00C50D71">
        <w:t xml:space="preserve">incorporate higher forecasts </w:t>
      </w:r>
      <w:r w:rsidR="003D7F5D">
        <w:t>for</w:t>
      </w:r>
      <w:r w:rsidR="00C50D71">
        <w:t xml:space="preserve"> large </w:t>
      </w:r>
      <w:r w:rsidR="00F83121">
        <w:t>non</w:t>
      </w:r>
      <w:r w:rsidR="00F83121">
        <w:noBreakHyphen/>
        <w:t xml:space="preserve">residential </w:t>
      </w:r>
      <w:r w:rsidR="00C50D71" w:rsidRPr="00445437">
        <w:t>transactions</w:t>
      </w:r>
      <w:r w:rsidR="00B978D0">
        <w:t>.</w:t>
      </w:r>
      <w:r w:rsidR="00445437" w:rsidRPr="00445437">
        <w:t xml:space="preserve"> </w:t>
      </w:r>
    </w:p>
    <w:p w14:paraId="1C879E74" w14:textId="0CF851FA" w:rsidR="009D598F" w:rsidRDefault="00F06C84" w:rsidP="00D63847">
      <w:pPr>
        <w:pStyle w:val="BodyText"/>
      </w:pPr>
      <w:r>
        <w:t>R</w:t>
      </w:r>
      <w:r w:rsidR="266D1EDF">
        <w:t>esidential transfer duty is expected to grow at an average annual rate of 8.8 per cent</w:t>
      </w:r>
      <w:r>
        <w:t xml:space="preserve"> over the four years to 2022-23</w:t>
      </w:r>
      <w:r w:rsidR="266D1EDF">
        <w:t>. This forecast is</w:t>
      </w:r>
      <w:r w:rsidR="00E243DC">
        <w:t xml:space="preserve"> </w:t>
      </w:r>
      <w:r w:rsidR="00F539FF">
        <w:t xml:space="preserve">largely </w:t>
      </w:r>
      <w:r w:rsidR="266D1EDF">
        <w:t xml:space="preserve">driven by </w:t>
      </w:r>
      <w:r w:rsidR="00E243DC">
        <w:t>the</w:t>
      </w:r>
      <w:r w:rsidR="002028F7">
        <w:t xml:space="preserve"> expected</w:t>
      </w:r>
      <w:r w:rsidR="266D1EDF">
        <w:t xml:space="preserve"> return to average transaction volumes. </w:t>
      </w:r>
      <w:r w:rsidR="00CB025D">
        <w:t>As interest rate cuts and relaxed credit restrictions flow through into increased lending, residential transaction volumes are forecast to rebound strongly from the middle of 2019 (see Chart 4.</w:t>
      </w:r>
      <w:r w:rsidR="000171EE">
        <w:t>4</w:t>
      </w:r>
      <w:r w:rsidR="00CB025D">
        <w:t>)</w:t>
      </w:r>
      <w:r w:rsidR="000171EE">
        <w:t xml:space="preserve">. </w:t>
      </w:r>
      <w:r w:rsidR="00F539FF">
        <w:t>P</w:t>
      </w:r>
      <w:r w:rsidR="266D1EDF">
        <w:t>rice growth</w:t>
      </w:r>
      <w:r w:rsidR="000171EE">
        <w:t>, however,</w:t>
      </w:r>
      <w:r w:rsidR="266D1EDF">
        <w:t xml:space="preserve"> is expected to be restrained</w:t>
      </w:r>
      <w:r w:rsidR="00F539FF">
        <w:t xml:space="preserve"> during the </w:t>
      </w:r>
      <w:r w:rsidR="46C497F1">
        <w:t xml:space="preserve">forecast </w:t>
      </w:r>
      <w:r w:rsidR="00F539FF">
        <w:t>period</w:t>
      </w:r>
      <w:r w:rsidR="000171EE">
        <w:t>,</w:t>
      </w:r>
      <w:r w:rsidR="266D1EDF">
        <w:t xml:space="preserve"> largely keeping pace with inflation.</w:t>
      </w:r>
    </w:p>
    <w:p w14:paraId="2B2F09FA" w14:textId="77777777" w:rsidR="00523D05" w:rsidDel="00A42142" w:rsidRDefault="00523D05" w:rsidP="003B4788">
      <w:pPr>
        <w:pStyle w:val="Chart41"/>
        <w:keepNext/>
        <w:spacing w:after="0"/>
      </w:pPr>
      <w:r>
        <w:t>Residential transaction volumes</w:t>
      </w:r>
    </w:p>
    <w:p w14:paraId="469E9210" w14:textId="61D33EF3" w:rsidR="00523D05" w:rsidRDefault="005F3330" w:rsidP="00384E74">
      <w:r w:rsidRPr="005F3330">
        <w:rPr>
          <w:noProof/>
        </w:rPr>
        <w:drawing>
          <wp:inline distT="0" distB="0" distL="0" distR="0" wp14:anchorId="727441A3" wp14:editId="7A28B463">
            <wp:extent cx="6106795" cy="2321560"/>
            <wp:effectExtent l="0" t="0" r="0" b="0"/>
            <wp:docPr id="19" name="Picture 19" descr="Chart 4.4: Residential transaction 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6795" cy="2321560"/>
                    </a:xfrm>
                    <a:prstGeom prst="rect">
                      <a:avLst/>
                    </a:prstGeom>
                    <a:noFill/>
                    <a:ln>
                      <a:noFill/>
                    </a:ln>
                  </pic:spPr>
                </pic:pic>
              </a:graphicData>
            </a:graphic>
          </wp:inline>
        </w:drawing>
      </w:r>
    </w:p>
    <w:p w14:paraId="4C564C46" w14:textId="77777777" w:rsidR="00523D05" w:rsidRPr="00FC5352" w:rsidRDefault="00523D05" w:rsidP="00523D05">
      <w:pPr>
        <w:pStyle w:val="Source"/>
      </w:pPr>
      <w:r w:rsidRPr="00FC5352">
        <w:t>Source: Revenue NSW, ABS 3101.0, NSW Treasury</w:t>
      </w:r>
    </w:p>
    <w:p w14:paraId="7D07B170" w14:textId="77777777" w:rsidR="00523D05" w:rsidDel="00747A78" w:rsidRDefault="00523D05" w:rsidP="00384E74"/>
    <w:p w14:paraId="096185D1" w14:textId="551A8B41" w:rsidR="0007048F" w:rsidRDefault="004620A5" w:rsidP="00D63847">
      <w:pPr>
        <w:pStyle w:val="BodyText"/>
      </w:pPr>
      <w:r>
        <w:lastRenderedPageBreak/>
        <w:t xml:space="preserve">Weakness in the residential </w:t>
      </w:r>
      <w:r w:rsidR="00BF4483">
        <w:t xml:space="preserve">property </w:t>
      </w:r>
      <w:r>
        <w:t xml:space="preserve">market </w:t>
      </w:r>
      <w:r w:rsidR="00614B3A">
        <w:t>has been</w:t>
      </w:r>
      <w:r>
        <w:t xml:space="preserve"> partially offset by </w:t>
      </w:r>
      <w:r w:rsidR="00C71529">
        <w:t xml:space="preserve">the </w:t>
      </w:r>
      <w:r w:rsidR="00646A9E">
        <w:t xml:space="preserve">non-residential </w:t>
      </w:r>
      <w:r w:rsidR="00C71529">
        <w:t xml:space="preserve">property market. </w:t>
      </w:r>
      <w:r w:rsidR="00930236">
        <w:t xml:space="preserve">Setting aside </w:t>
      </w:r>
      <w:r w:rsidR="00110F86">
        <w:t xml:space="preserve">the WestConnex transaction, </w:t>
      </w:r>
      <w:r w:rsidR="00C27FDC">
        <w:t xml:space="preserve">revenue from </w:t>
      </w:r>
      <w:r w:rsidR="0079188A">
        <w:t xml:space="preserve">transfers of </w:t>
      </w:r>
      <w:r w:rsidR="00BF4483">
        <w:t xml:space="preserve">commercial </w:t>
      </w:r>
      <w:r w:rsidR="0079188A">
        <w:t xml:space="preserve">property </w:t>
      </w:r>
      <w:r w:rsidR="00C27FDC">
        <w:t xml:space="preserve">is expected to grow at an average annual rate of around </w:t>
      </w:r>
      <w:r w:rsidR="00C10F37">
        <w:t>4.0 per cent in the four years to 2022-23</w:t>
      </w:r>
      <w:r w:rsidR="00835232">
        <w:t xml:space="preserve">. </w:t>
      </w:r>
      <w:r w:rsidR="003F4691">
        <w:t xml:space="preserve">The </w:t>
      </w:r>
      <w:r w:rsidR="006D2311">
        <w:t xml:space="preserve">increased share of large commercial transactions </w:t>
      </w:r>
      <w:r w:rsidR="00B31D60">
        <w:t xml:space="preserve">during the forecast years is likely to </w:t>
      </w:r>
      <w:r w:rsidR="005B6E5D">
        <w:t>increase</w:t>
      </w:r>
      <w:r w:rsidR="00B31D60">
        <w:t xml:space="preserve"> </w:t>
      </w:r>
      <w:r w:rsidR="002866FE">
        <w:t>volatility of transfer duty revenue</w:t>
      </w:r>
      <w:r w:rsidR="003C70F4">
        <w:t>.</w:t>
      </w:r>
    </w:p>
    <w:p w14:paraId="0E224228" w14:textId="5B6DEC79" w:rsidR="00772B28" w:rsidRPr="00241BB4" w:rsidRDefault="00772B28" w:rsidP="00055D45">
      <w:pPr>
        <w:pStyle w:val="Heading3"/>
        <w:numPr>
          <w:ilvl w:val="0"/>
          <w:numId w:val="0"/>
        </w:numPr>
        <w:ind w:left="720" w:hanging="720"/>
      </w:pPr>
      <w:r w:rsidRPr="00241BB4">
        <w:t>Other stamp duties</w:t>
      </w:r>
    </w:p>
    <w:p w14:paraId="4C275FB5" w14:textId="7AA59C55" w:rsidR="0000182B" w:rsidRDefault="009575E4" w:rsidP="00D63847">
      <w:pPr>
        <w:pStyle w:val="BodyText"/>
      </w:pPr>
      <w:r w:rsidRPr="00241BB4">
        <w:t>O</w:t>
      </w:r>
      <w:r w:rsidR="00B52813" w:rsidRPr="00241BB4">
        <w:t>ther stamp duties</w:t>
      </w:r>
      <w:r w:rsidRPr="00241BB4">
        <w:t xml:space="preserve"> </w:t>
      </w:r>
      <w:r w:rsidR="00B52813" w:rsidRPr="00241BB4">
        <w:t>includ</w:t>
      </w:r>
      <w:r w:rsidR="00337F8D" w:rsidRPr="00241BB4">
        <w:t>e</w:t>
      </w:r>
      <w:r w:rsidR="00B52813" w:rsidRPr="00241BB4">
        <w:t xml:space="preserve"> insurance duty and motor vehic</w:t>
      </w:r>
      <w:r w:rsidR="00B52813" w:rsidRPr="00625718">
        <w:t>le registration duty</w:t>
      </w:r>
      <w:r w:rsidR="00337F8D" w:rsidRPr="00625718">
        <w:t xml:space="preserve">. </w:t>
      </w:r>
      <w:r w:rsidR="00B3507C">
        <w:t>R</w:t>
      </w:r>
      <w:r w:rsidR="00337F8D" w:rsidRPr="00625718">
        <w:t xml:space="preserve">evenue from </w:t>
      </w:r>
      <w:r w:rsidR="00363EC1">
        <w:t>other stamp</w:t>
      </w:r>
      <w:r w:rsidR="00363EC1" w:rsidRPr="00625718">
        <w:t xml:space="preserve"> </w:t>
      </w:r>
      <w:r w:rsidR="00337F8D" w:rsidRPr="00625718">
        <w:t xml:space="preserve">duties </w:t>
      </w:r>
      <w:r w:rsidR="00353776" w:rsidRPr="00625718">
        <w:t>is expected to reach $1.8 </w:t>
      </w:r>
      <w:r w:rsidR="000F1AE7" w:rsidRPr="00625718">
        <w:t>billion</w:t>
      </w:r>
      <w:r w:rsidR="009B7138">
        <w:t xml:space="preserve"> in 2018-19 </w:t>
      </w:r>
      <w:r w:rsidR="006B68F6">
        <w:t>–</w:t>
      </w:r>
      <w:r w:rsidR="000F1AE7" w:rsidRPr="00974178">
        <w:t xml:space="preserve"> an upward revision of </w:t>
      </w:r>
      <w:r w:rsidR="004F0D85" w:rsidRPr="00974178">
        <w:t>$</w:t>
      </w:r>
      <w:r w:rsidR="00974178" w:rsidRPr="00974178">
        <w:t>4</w:t>
      </w:r>
      <w:r w:rsidR="00363EC1">
        <w:t>6</w:t>
      </w:r>
      <w:r w:rsidR="003969C5" w:rsidRPr="00974178">
        <w:t>.</w:t>
      </w:r>
      <w:r w:rsidR="00363EC1">
        <w:t>2</w:t>
      </w:r>
      <w:r w:rsidR="00A104C6" w:rsidRPr="00974178">
        <w:t> </w:t>
      </w:r>
      <w:r w:rsidR="004F0D85" w:rsidRPr="00974178">
        <w:t>million since the</w:t>
      </w:r>
      <w:r w:rsidR="000C68C3" w:rsidRPr="00974178">
        <w:t xml:space="preserve"> </w:t>
      </w:r>
      <w:r w:rsidR="00E92757">
        <w:t xml:space="preserve">2019 </w:t>
      </w:r>
      <w:r w:rsidR="000466FA">
        <w:t>Pre-election Budget Update</w:t>
      </w:r>
      <w:r w:rsidR="000F1AE7" w:rsidRPr="00974178">
        <w:t xml:space="preserve">. </w:t>
      </w:r>
      <w:r w:rsidR="006B68F6">
        <w:t xml:space="preserve"> </w:t>
      </w:r>
    </w:p>
    <w:p w14:paraId="0A69E9A8" w14:textId="632CDE92" w:rsidR="0000182B" w:rsidRDefault="00C16E63" w:rsidP="00D63847">
      <w:pPr>
        <w:pStyle w:val="BodyText"/>
      </w:pPr>
      <w:bookmarkStart w:id="5" w:name="_Hlk9948656"/>
      <w:r>
        <w:t xml:space="preserve">Insurance duty has been higher than expected in 2018-19, resulting in a </w:t>
      </w:r>
      <w:r w:rsidRPr="004139C2">
        <w:t>$</w:t>
      </w:r>
      <w:r>
        <w:t>3</w:t>
      </w:r>
      <w:r w:rsidRPr="004139C2">
        <w:t>3.0 million</w:t>
      </w:r>
      <w:r>
        <w:t xml:space="preserve"> upward revision </w:t>
      </w:r>
      <w:r w:rsidR="002A2E2C">
        <w:t>in</w:t>
      </w:r>
      <w:r>
        <w:t xml:space="preserve"> expected revenue. </w:t>
      </w:r>
      <w:r w:rsidR="00C91DF4">
        <w:t>A h</w:t>
      </w:r>
      <w:r w:rsidR="007C461B" w:rsidRPr="007C461B">
        <w:t xml:space="preserve">igher revenue </w:t>
      </w:r>
      <w:r w:rsidR="00C91DF4">
        <w:t xml:space="preserve">base </w:t>
      </w:r>
      <w:r w:rsidR="007C461B" w:rsidRPr="007C461B">
        <w:t xml:space="preserve">in 2018-19 contributes to </w:t>
      </w:r>
      <w:r w:rsidR="006C1C22">
        <w:t>an</w:t>
      </w:r>
      <w:r w:rsidR="007C461B" w:rsidRPr="007C461B">
        <w:t xml:space="preserve"> upward revision of $82.0 million in the subsequent three years to 2021-22, which is partially offset by slightly lower forecasts for the underlying economic drivers.</w:t>
      </w:r>
      <w:bookmarkEnd w:id="5"/>
    </w:p>
    <w:p w14:paraId="36A5E391" w14:textId="782BCC7B" w:rsidR="005769D0" w:rsidRPr="0011270D" w:rsidRDefault="00715E23" w:rsidP="00D63847">
      <w:pPr>
        <w:pStyle w:val="BodyText"/>
      </w:pPr>
      <w:r w:rsidRPr="005703C5">
        <w:t>Motor vehicle registration duty</w:t>
      </w:r>
      <w:r w:rsidR="004E6BBB">
        <w:t xml:space="preserve"> in 2018-19</w:t>
      </w:r>
      <w:r w:rsidRPr="005703C5">
        <w:t xml:space="preserve"> </w:t>
      </w:r>
      <w:r w:rsidR="004E6BBB">
        <w:t>is</w:t>
      </w:r>
      <w:r w:rsidR="00583476" w:rsidRPr="005703C5">
        <w:t xml:space="preserve"> </w:t>
      </w:r>
      <w:r w:rsidR="004E6BBB">
        <w:t xml:space="preserve">expected to be </w:t>
      </w:r>
      <w:r w:rsidR="00911AC2" w:rsidRPr="005703C5">
        <w:t>$</w:t>
      </w:r>
      <w:r w:rsidR="00911AC2">
        <w:t>12</w:t>
      </w:r>
      <w:r w:rsidR="00911AC2" w:rsidRPr="005703C5">
        <w:t xml:space="preserve">.0 million </w:t>
      </w:r>
      <w:r w:rsidR="004E6BBB">
        <w:t xml:space="preserve">higher than forecast at </w:t>
      </w:r>
      <w:r w:rsidR="003427A6">
        <w:t xml:space="preserve">the </w:t>
      </w:r>
      <w:r w:rsidR="00E92757">
        <w:t xml:space="preserve">2019 </w:t>
      </w:r>
      <w:r w:rsidR="003427A6">
        <w:t>Pre-election Budget Update</w:t>
      </w:r>
      <w:r w:rsidR="00A054B8">
        <w:t xml:space="preserve">, reflecting </w:t>
      </w:r>
      <w:r w:rsidR="00E94911">
        <w:t xml:space="preserve">slightly </w:t>
      </w:r>
      <w:r w:rsidR="00A054B8">
        <w:t>higher</w:t>
      </w:r>
      <w:r w:rsidR="008A57F9">
        <w:t>-</w:t>
      </w:r>
      <w:r w:rsidR="00A054B8">
        <w:t>than</w:t>
      </w:r>
      <w:r w:rsidR="008A57F9">
        <w:t>-</w:t>
      </w:r>
      <w:r w:rsidR="00C55462">
        <w:t xml:space="preserve">expected growth of vehicle </w:t>
      </w:r>
      <w:r w:rsidR="00E94911">
        <w:t>prices</w:t>
      </w:r>
      <w:r w:rsidR="003427A6">
        <w:t>.</w:t>
      </w:r>
      <w:r w:rsidR="00FE3ED8" w:rsidRPr="005703C5">
        <w:t xml:space="preserve"> </w:t>
      </w:r>
      <w:r w:rsidR="00D07ADD">
        <w:t>M</w:t>
      </w:r>
      <w:r w:rsidR="003427A6">
        <w:t>otor vehicle registration duty has been revised down by $</w:t>
      </w:r>
      <w:r w:rsidR="007F796D">
        <w:t>25</w:t>
      </w:r>
      <w:r w:rsidR="003427A6">
        <w:t xml:space="preserve">.0 million </w:t>
      </w:r>
      <w:r w:rsidR="00EC3C96">
        <w:t xml:space="preserve">over the three years to 2021-22 </w:t>
      </w:r>
      <w:r w:rsidR="00E94911">
        <w:t xml:space="preserve">reflecting </w:t>
      </w:r>
      <w:r w:rsidR="00857466">
        <w:t xml:space="preserve">a revised </w:t>
      </w:r>
      <w:r w:rsidR="008A6EB0">
        <w:t xml:space="preserve">outlook </w:t>
      </w:r>
      <w:r w:rsidR="00857466">
        <w:t xml:space="preserve">for </w:t>
      </w:r>
      <w:r w:rsidR="00EE3B5C" w:rsidRPr="005703C5">
        <w:t xml:space="preserve">new vehicle </w:t>
      </w:r>
      <w:r w:rsidR="00857466">
        <w:t>sales</w:t>
      </w:r>
      <w:r w:rsidR="00D37A7F">
        <w:t>.</w:t>
      </w:r>
    </w:p>
    <w:p w14:paraId="5A7BC808" w14:textId="5E099C4F" w:rsidR="00772B28" w:rsidRPr="0011270D" w:rsidRDefault="00CF5DF8" w:rsidP="00055D45">
      <w:pPr>
        <w:pStyle w:val="Heading3"/>
        <w:numPr>
          <w:ilvl w:val="0"/>
          <w:numId w:val="0"/>
        </w:numPr>
        <w:ind w:left="720" w:hanging="720"/>
      </w:pPr>
      <w:r w:rsidRPr="0011270D">
        <w:t xml:space="preserve">Payroll </w:t>
      </w:r>
      <w:r w:rsidR="000C3029">
        <w:t>t</w:t>
      </w:r>
      <w:r w:rsidRPr="0011270D">
        <w:t>ax</w:t>
      </w:r>
      <w:r w:rsidR="00772B28" w:rsidRPr="0011270D">
        <w:t xml:space="preserve"> </w:t>
      </w:r>
    </w:p>
    <w:p w14:paraId="2483574F" w14:textId="3175D0F7" w:rsidR="006E0D39" w:rsidRPr="008F3E2A" w:rsidRDefault="006E0D39" w:rsidP="00D63847">
      <w:pPr>
        <w:pStyle w:val="BodyText"/>
      </w:pPr>
      <w:r w:rsidRPr="00A1221F">
        <w:t xml:space="preserve">Payroll tax </w:t>
      </w:r>
      <w:r w:rsidR="0073154F" w:rsidRPr="00A1221F">
        <w:t>is the State’s largest sour</w:t>
      </w:r>
      <w:r w:rsidR="0073154F" w:rsidRPr="008F3E2A">
        <w:t xml:space="preserve">ce of taxation revenue. Payroll tax </w:t>
      </w:r>
      <w:r w:rsidRPr="008F3E2A">
        <w:t>revenue in 201</w:t>
      </w:r>
      <w:r w:rsidR="00281E56" w:rsidRPr="00443FAF">
        <w:t>8</w:t>
      </w:r>
      <w:r w:rsidRPr="00443FAF">
        <w:t>-1</w:t>
      </w:r>
      <w:r w:rsidR="00281E56" w:rsidRPr="00443FAF">
        <w:t>9</w:t>
      </w:r>
      <w:r w:rsidRPr="00443FAF">
        <w:t xml:space="preserve"> is expected to be </w:t>
      </w:r>
      <w:r w:rsidRPr="00384E74">
        <w:t>$</w:t>
      </w:r>
      <w:r w:rsidR="00126873" w:rsidRPr="00384E74">
        <w:t>9</w:t>
      </w:r>
      <w:r w:rsidRPr="00384E74">
        <w:t>.</w:t>
      </w:r>
      <w:r w:rsidR="00126873" w:rsidRPr="00384E74">
        <w:t>4</w:t>
      </w:r>
      <w:r w:rsidRPr="00A1221F">
        <w:t xml:space="preserve"> billion</w:t>
      </w:r>
      <w:r w:rsidR="00EB7D64" w:rsidRPr="008F3E2A">
        <w:t>, a</w:t>
      </w:r>
      <w:r w:rsidR="001B2C06" w:rsidRPr="008F3E2A">
        <w:t>n</w:t>
      </w:r>
      <w:r w:rsidRPr="00443FAF">
        <w:t xml:space="preserve"> </w:t>
      </w:r>
      <w:r w:rsidR="001B2C06" w:rsidRPr="00443FAF">
        <w:t>upward</w:t>
      </w:r>
      <w:r w:rsidRPr="00443FAF">
        <w:t xml:space="preserve"> revision of </w:t>
      </w:r>
      <w:r w:rsidRPr="00384E74">
        <w:t>$</w:t>
      </w:r>
      <w:r w:rsidR="00554B30" w:rsidRPr="00384E74">
        <w:t>222.6</w:t>
      </w:r>
      <w:r w:rsidR="00B6220B" w:rsidRPr="00A1221F">
        <w:t> </w:t>
      </w:r>
      <w:r w:rsidRPr="008F3E2A">
        <w:t>million since the 201</w:t>
      </w:r>
      <w:r w:rsidR="001B2C06" w:rsidRPr="008F3E2A">
        <w:t>8</w:t>
      </w:r>
      <w:r w:rsidRPr="00443FAF">
        <w:t>-1</w:t>
      </w:r>
      <w:r w:rsidR="001B2C06" w:rsidRPr="00443FAF">
        <w:t>9</w:t>
      </w:r>
      <w:r w:rsidRPr="00443FAF">
        <w:t xml:space="preserve"> Budget and </w:t>
      </w:r>
      <w:r w:rsidRPr="00384E74">
        <w:t>$</w:t>
      </w:r>
      <w:r w:rsidR="00BE58F6" w:rsidRPr="00384E74">
        <w:t>19.3</w:t>
      </w:r>
      <w:r w:rsidR="00B6220B" w:rsidRPr="00A1221F">
        <w:t> </w:t>
      </w:r>
      <w:r w:rsidRPr="008F3E2A">
        <w:t xml:space="preserve">million since </w:t>
      </w:r>
      <w:r w:rsidR="00D37A7F" w:rsidRPr="008F3E2A">
        <w:t xml:space="preserve">the </w:t>
      </w:r>
      <w:r w:rsidR="00E92757">
        <w:t xml:space="preserve">2019 </w:t>
      </w:r>
      <w:r w:rsidR="00D37A7F" w:rsidRPr="008F3E2A">
        <w:t>Pre-election Budget Update</w:t>
      </w:r>
      <w:r w:rsidRPr="00443FAF">
        <w:t>.</w:t>
      </w:r>
      <w:r w:rsidR="007146A2" w:rsidRPr="00443FAF">
        <w:t xml:space="preserve"> </w:t>
      </w:r>
      <w:r w:rsidR="005A19B5" w:rsidRPr="00443FAF">
        <w:t xml:space="preserve">Payroll tax </w:t>
      </w:r>
      <w:r w:rsidR="00372B1B" w:rsidRPr="00443FAF">
        <w:t xml:space="preserve">revenue has been </w:t>
      </w:r>
      <w:r w:rsidR="00450944" w:rsidRPr="00443FAF">
        <w:t>st</w:t>
      </w:r>
      <w:r w:rsidR="0078015E" w:rsidRPr="00443FAF">
        <w:t>r</w:t>
      </w:r>
      <w:r w:rsidR="00450944" w:rsidRPr="00443FAF">
        <w:t>onger than expected s</w:t>
      </w:r>
      <w:r w:rsidR="005A19B5" w:rsidRPr="00443FAF">
        <w:t>ince the 2018-19 Budget</w:t>
      </w:r>
      <w:r w:rsidR="00450944" w:rsidRPr="00443FAF">
        <w:t xml:space="preserve"> due to </w:t>
      </w:r>
      <w:r w:rsidR="00DE0014" w:rsidRPr="00443FAF">
        <w:t>higher</w:t>
      </w:r>
      <w:r w:rsidR="009F1B21" w:rsidRPr="00443FAF">
        <w:t>-</w:t>
      </w:r>
      <w:r w:rsidR="007F65BE" w:rsidRPr="00443FAF">
        <w:t>than</w:t>
      </w:r>
      <w:r w:rsidR="009F1B21" w:rsidRPr="00443FAF">
        <w:t>-</w:t>
      </w:r>
      <w:r w:rsidR="007F65BE" w:rsidRPr="00443FAF">
        <w:t>expected growth</w:t>
      </w:r>
      <w:r w:rsidR="00450944" w:rsidRPr="00443FAF">
        <w:t xml:space="preserve"> in employment, partially </w:t>
      </w:r>
      <w:r w:rsidR="007F65BE" w:rsidRPr="00443FAF">
        <w:t>offset by weaker</w:t>
      </w:r>
      <w:r w:rsidR="008840E3">
        <w:t>-</w:t>
      </w:r>
      <w:r w:rsidR="007F65BE" w:rsidRPr="00A1221F">
        <w:t>than</w:t>
      </w:r>
      <w:r w:rsidR="008840E3">
        <w:t>-</w:t>
      </w:r>
      <w:r w:rsidR="007F65BE" w:rsidRPr="00A1221F">
        <w:t>expected growth</w:t>
      </w:r>
      <w:r w:rsidR="00C1560A" w:rsidRPr="00A1221F">
        <w:t xml:space="preserve"> of </w:t>
      </w:r>
      <w:r w:rsidR="008A6EB0" w:rsidRPr="008F3E2A">
        <w:t>wages</w:t>
      </w:r>
      <w:r w:rsidR="005A19B5" w:rsidRPr="008F3E2A">
        <w:t>.</w:t>
      </w:r>
      <w:r w:rsidR="00B12BCC" w:rsidRPr="00443FAF">
        <w:t xml:space="preserve"> </w:t>
      </w:r>
    </w:p>
    <w:p w14:paraId="69F9F215" w14:textId="794399E4" w:rsidR="0040226C" w:rsidRDefault="009575E4" w:rsidP="00D63847">
      <w:pPr>
        <w:pStyle w:val="BodyText"/>
      </w:pPr>
      <w:r w:rsidRPr="008F3E2A">
        <w:t>P</w:t>
      </w:r>
      <w:r w:rsidR="00265109" w:rsidRPr="00443FAF">
        <w:t xml:space="preserve">ayroll tax </w:t>
      </w:r>
      <w:r w:rsidR="00FA39E9" w:rsidRPr="00443FAF">
        <w:t xml:space="preserve">revenue of </w:t>
      </w:r>
      <w:r w:rsidR="00FA39E9" w:rsidRPr="00384E74">
        <w:t>$</w:t>
      </w:r>
      <w:r w:rsidR="00FA54B4" w:rsidRPr="00384E74">
        <w:t>9</w:t>
      </w:r>
      <w:r w:rsidR="001238DA" w:rsidRPr="00384E74">
        <w:t>.</w:t>
      </w:r>
      <w:r w:rsidR="00FA54B4" w:rsidRPr="00384E74">
        <w:t>8</w:t>
      </w:r>
      <w:r w:rsidR="00977A5E" w:rsidRPr="00A1221F">
        <w:t xml:space="preserve"> billion</w:t>
      </w:r>
      <w:r w:rsidR="00FA39E9" w:rsidRPr="008F3E2A">
        <w:t xml:space="preserve"> is forecast </w:t>
      </w:r>
      <w:r w:rsidR="000C68C3" w:rsidRPr="008F3E2A">
        <w:t>for 20</w:t>
      </w:r>
      <w:r w:rsidR="001238DA" w:rsidRPr="00443FAF">
        <w:t>1</w:t>
      </w:r>
      <w:r w:rsidR="006F5824" w:rsidRPr="00443FAF">
        <w:t>9</w:t>
      </w:r>
      <w:r w:rsidR="000C68C3" w:rsidRPr="00443FAF">
        <w:noBreakHyphen/>
      </w:r>
      <w:r w:rsidR="006F5824" w:rsidRPr="00443FAF">
        <w:t>20</w:t>
      </w:r>
      <w:r w:rsidR="00144CB1" w:rsidRPr="00443FAF">
        <w:t xml:space="preserve">, </w:t>
      </w:r>
      <w:r w:rsidR="00654C42" w:rsidRPr="00443FAF">
        <w:t xml:space="preserve">growing by </w:t>
      </w:r>
      <w:r w:rsidR="00936DB5" w:rsidRPr="00384E74">
        <w:t>4</w:t>
      </w:r>
      <w:r w:rsidR="00654C42" w:rsidRPr="00384E74">
        <w:t>.</w:t>
      </w:r>
      <w:r w:rsidR="00936DB5" w:rsidRPr="00384E74">
        <w:t>5</w:t>
      </w:r>
      <w:r w:rsidR="00654C42" w:rsidRPr="00A1221F">
        <w:t xml:space="preserve"> per cent from 201</w:t>
      </w:r>
      <w:r w:rsidR="006F5824" w:rsidRPr="008F3E2A">
        <w:t>8</w:t>
      </w:r>
      <w:r w:rsidR="00654C42" w:rsidRPr="008F3E2A">
        <w:noBreakHyphen/>
        <w:t>1</w:t>
      </w:r>
      <w:r w:rsidR="006F5824" w:rsidRPr="00443FAF">
        <w:t>9</w:t>
      </w:r>
      <w:r w:rsidR="00654C42" w:rsidRPr="00443FAF">
        <w:t>. Payroll tax revenue over the four years to 202</w:t>
      </w:r>
      <w:r w:rsidR="00F00B45" w:rsidRPr="00443FAF">
        <w:t>2</w:t>
      </w:r>
      <w:r w:rsidR="00654C42" w:rsidRPr="00443FAF">
        <w:t>-2</w:t>
      </w:r>
      <w:r w:rsidR="00F00B45" w:rsidRPr="00443FAF">
        <w:t>3</w:t>
      </w:r>
      <w:r w:rsidR="00654C42" w:rsidRPr="00443FAF">
        <w:t xml:space="preserve"> is forecast to grow at an average annual rate of </w:t>
      </w:r>
      <w:r w:rsidR="00C069CA" w:rsidRPr="00384E74">
        <w:t>4</w:t>
      </w:r>
      <w:r w:rsidR="00654C42" w:rsidRPr="00384E74">
        <w:t>.</w:t>
      </w:r>
      <w:r w:rsidR="00C069CA" w:rsidRPr="00384E74">
        <w:t>6</w:t>
      </w:r>
      <w:r w:rsidR="00654C42" w:rsidRPr="00A1221F">
        <w:t xml:space="preserve"> per cent</w:t>
      </w:r>
      <w:r w:rsidR="002E0A41" w:rsidRPr="00443FAF">
        <w:t>. This is</w:t>
      </w:r>
      <w:r w:rsidR="006B0D54" w:rsidRPr="00443FAF">
        <w:t xml:space="preserve"> slightly below the long-run average</w:t>
      </w:r>
      <w:r w:rsidR="00D2144B" w:rsidRPr="00443FAF">
        <w:t xml:space="preserve"> of</w:t>
      </w:r>
      <w:r w:rsidR="00E65E1B" w:rsidRPr="00443FAF">
        <w:t xml:space="preserve"> </w:t>
      </w:r>
      <w:r w:rsidR="00AA331E" w:rsidRPr="00384E74">
        <w:t>5</w:t>
      </w:r>
      <w:r w:rsidR="00E65E1B" w:rsidRPr="00384E74">
        <w:t>.</w:t>
      </w:r>
      <w:r w:rsidR="00AA331E" w:rsidRPr="00384E74">
        <w:t>1</w:t>
      </w:r>
      <w:r w:rsidR="00355522" w:rsidRPr="00A1221F">
        <w:t> </w:t>
      </w:r>
      <w:r w:rsidR="00E65E1B" w:rsidRPr="008F3E2A">
        <w:t>per</w:t>
      </w:r>
      <w:r w:rsidR="00355522" w:rsidRPr="008F3E2A">
        <w:t> </w:t>
      </w:r>
      <w:r w:rsidR="00E65E1B" w:rsidRPr="00443FAF">
        <w:t>cent</w:t>
      </w:r>
      <w:r w:rsidR="003D4168">
        <w:t xml:space="preserve"> </w:t>
      </w:r>
      <w:r w:rsidR="003D4168" w:rsidRPr="008F3E2A">
        <w:t>(</w:t>
      </w:r>
      <w:r w:rsidR="003D4168">
        <w:t xml:space="preserve">see </w:t>
      </w:r>
      <w:r w:rsidR="003D4168" w:rsidRPr="00443FAF">
        <w:t>Chart 4.5)</w:t>
      </w:r>
      <w:r w:rsidR="007E642C" w:rsidRPr="00443FAF">
        <w:t>,</w:t>
      </w:r>
      <w:r w:rsidR="002E0A41" w:rsidRPr="00443FAF">
        <w:t xml:space="preserve"> </w:t>
      </w:r>
      <w:r w:rsidR="008A471C" w:rsidRPr="00443FAF">
        <w:t xml:space="preserve">reflecting </w:t>
      </w:r>
      <w:r w:rsidR="009E51D5" w:rsidRPr="00443FAF">
        <w:t xml:space="preserve">increases in the </w:t>
      </w:r>
      <w:r w:rsidR="00E62887" w:rsidRPr="00443FAF">
        <w:t>tax-free threshold, which reduce</w:t>
      </w:r>
      <w:r w:rsidR="00CD0A81">
        <w:t>s</w:t>
      </w:r>
      <w:r w:rsidR="00E62887" w:rsidRPr="00A1221F">
        <w:t xml:space="preserve"> the growth in payroll tax revenue</w:t>
      </w:r>
      <w:r w:rsidR="006B0D54" w:rsidRPr="008F3E2A">
        <w:t>.</w:t>
      </w:r>
      <w:r w:rsidR="0076081C" w:rsidRPr="008F3E2A">
        <w:t xml:space="preserve"> </w:t>
      </w:r>
      <w:r w:rsidR="00A01736" w:rsidRPr="00443FAF">
        <w:t>In 201</w:t>
      </w:r>
      <w:r w:rsidR="00CB30CD" w:rsidRPr="00443FAF">
        <w:t>9</w:t>
      </w:r>
      <w:r w:rsidR="00A01736" w:rsidRPr="00443FAF">
        <w:t>-</w:t>
      </w:r>
      <w:r w:rsidR="00CB30CD" w:rsidRPr="00443FAF">
        <w:t>20</w:t>
      </w:r>
      <w:r w:rsidR="00A01736">
        <w:t xml:space="preserve">, the threshold </w:t>
      </w:r>
      <w:r w:rsidR="00CB30CD">
        <w:t>will be</w:t>
      </w:r>
      <w:r w:rsidR="00A01736">
        <w:t xml:space="preserve"> $</w:t>
      </w:r>
      <w:r w:rsidR="00CB30CD">
        <w:t>90</w:t>
      </w:r>
      <w:r w:rsidR="00A01736">
        <w:t>0,000</w:t>
      </w:r>
      <w:r w:rsidR="00CB30CD">
        <w:t xml:space="preserve">, increasing to </w:t>
      </w:r>
      <w:r w:rsidR="00A01736">
        <w:t>$1.0 million by 2021-22.</w:t>
      </w:r>
    </w:p>
    <w:p w14:paraId="54419845" w14:textId="3173C38E" w:rsidR="0040226C" w:rsidRDefault="00251401" w:rsidP="003B4788">
      <w:pPr>
        <w:pStyle w:val="Chart41"/>
      </w:pPr>
      <w:r>
        <w:t>Payroll tax growth</w:t>
      </w:r>
    </w:p>
    <w:p w14:paraId="2137F7DF" w14:textId="62142E85" w:rsidR="004773BE" w:rsidRPr="00541B32" w:rsidRDefault="005F3330" w:rsidP="00384E74">
      <w:pPr>
        <w:pStyle w:val="Source"/>
      </w:pPr>
      <w:r w:rsidRPr="005F3330">
        <w:drawing>
          <wp:inline distT="0" distB="0" distL="0" distR="0" wp14:anchorId="22D9A5F3" wp14:editId="5792428F">
            <wp:extent cx="6106795" cy="2329815"/>
            <wp:effectExtent l="0" t="0" r="8255" b="0"/>
            <wp:docPr id="25" name="Picture 25" descr="Chart 4.5: Payroll tax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6795" cy="2329815"/>
                    </a:xfrm>
                    <a:prstGeom prst="rect">
                      <a:avLst/>
                    </a:prstGeom>
                    <a:noFill/>
                    <a:ln>
                      <a:noFill/>
                    </a:ln>
                  </pic:spPr>
                </pic:pic>
              </a:graphicData>
            </a:graphic>
          </wp:inline>
        </w:drawing>
      </w:r>
      <w:r w:rsidR="008F28ED" w:rsidRPr="00055D45">
        <w:t xml:space="preserve">Source: </w:t>
      </w:r>
      <w:r w:rsidR="00095C21">
        <w:t>NSW Treasury</w:t>
      </w:r>
    </w:p>
    <w:p w14:paraId="5ECBB7DF" w14:textId="77777777" w:rsidR="000C0534" w:rsidRDefault="000C0534" w:rsidP="00384E74">
      <w:pPr>
        <w:spacing w:after="200" w:line="276" w:lineRule="auto"/>
      </w:pPr>
    </w:p>
    <w:tbl>
      <w:tblPr>
        <w:tblW w:w="9581" w:type="dxa"/>
        <w:jc w:val="right"/>
        <w:shd w:val="pct5" w:color="auto" w:fill="auto"/>
        <w:tblLayout w:type="fixed"/>
        <w:tblCellMar>
          <w:left w:w="0" w:type="dxa"/>
          <w:right w:w="0" w:type="dxa"/>
        </w:tblCellMar>
        <w:tblLook w:val="04A0" w:firstRow="1" w:lastRow="0" w:firstColumn="1" w:lastColumn="0" w:noHBand="0" w:noVBand="1"/>
        <w:tblCaption w:val="Box 4.1: Businesses to benefit from streamlined payroll tax system"/>
        <w:tblDescription w:val="Box 4.1: Businesses to benefit from streamlined payroll tax system"/>
      </w:tblPr>
      <w:tblGrid>
        <w:gridCol w:w="9581"/>
      </w:tblGrid>
      <w:tr w:rsidR="006C441F" w:rsidRPr="0011270D" w14:paraId="05193E94" w14:textId="77777777" w:rsidTr="00384E74">
        <w:trPr>
          <w:trHeight w:val="510"/>
          <w:jc w:val="right"/>
        </w:trPr>
        <w:tc>
          <w:tcPr>
            <w:tcW w:w="9581" w:type="dxa"/>
            <w:shd w:val="pct5" w:color="auto" w:fill="auto"/>
            <w:tcMar>
              <w:top w:w="0" w:type="dxa"/>
              <w:left w:w="108" w:type="dxa"/>
              <w:bottom w:w="0" w:type="dxa"/>
              <w:right w:w="108" w:type="dxa"/>
            </w:tcMar>
          </w:tcPr>
          <w:p w14:paraId="22B0B648" w14:textId="5A0263FA" w:rsidR="006C441F" w:rsidRPr="00374A00" w:rsidRDefault="006C441F" w:rsidP="008F3E2A">
            <w:pPr>
              <w:pStyle w:val="Box51BoxHeading"/>
              <w:framePr w:wrap="around"/>
            </w:pPr>
            <w:r w:rsidRPr="0011270D">
              <w:lastRenderedPageBreak/>
              <w:br w:type="page"/>
            </w:r>
            <w:r w:rsidR="00335245">
              <w:t xml:space="preserve">Businesses to benefit from </w:t>
            </w:r>
            <w:r w:rsidR="00F62C93">
              <w:t>streamlined payroll tax system</w:t>
            </w:r>
          </w:p>
          <w:p w14:paraId="2BD981DC" w14:textId="62F99C97" w:rsidR="003D30D9" w:rsidRDefault="003D30D9" w:rsidP="000008E7">
            <w:pPr>
              <w:pStyle w:val="BodyTextBox"/>
            </w:pPr>
            <w:r>
              <w:t xml:space="preserve">In November 2018, the Government accepted all </w:t>
            </w:r>
            <w:r w:rsidR="00D37A7F">
              <w:t>12</w:t>
            </w:r>
            <w:r>
              <w:t xml:space="preserve"> recommendations to streamline and modernise the payroll tax system made by a NSW Productivity Commission Review of Payroll Tax Administration. The </w:t>
            </w:r>
            <w:r w:rsidR="00F22571">
              <w:t>g</w:t>
            </w:r>
            <w:r>
              <w:t xml:space="preserve">overnment has already made good progress in implementing the recommendations to boost business productivity. </w:t>
            </w:r>
            <w:r w:rsidR="003C169B">
              <w:t>The c</w:t>
            </w:r>
            <w:r>
              <w:t>hanges</w:t>
            </w:r>
            <w:r w:rsidR="00B624DB">
              <w:t>,</w:t>
            </w:r>
            <w:r>
              <w:t xml:space="preserve"> which will take effect from 1</w:t>
            </w:r>
            <w:r w:rsidR="00B61EB1">
              <w:t> </w:t>
            </w:r>
            <w:r>
              <w:t>July</w:t>
            </w:r>
            <w:r w:rsidR="00B61EB1">
              <w:t> </w:t>
            </w:r>
            <w:r>
              <w:t>2019</w:t>
            </w:r>
            <w:r w:rsidR="00B624DB">
              <w:t>,</w:t>
            </w:r>
            <w:r>
              <w:t xml:space="preserve"> include:</w:t>
            </w:r>
          </w:p>
          <w:p w14:paraId="5257AD43" w14:textId="43436D89" w:rsidR="003D30D9" w:rsidRPr="00055D45" w:rsidRDefault="001144AA" w:rsidP="00384E74">
            <w:pPr>
              <w:pStyle w:val="Bullet1inabox"/>
            </w:pPr>
            <w:r w:rsidRPr="00055D45">
              <w:t>m</w:t>
            </w:r>
            <w:r w:rsidR="003D30D9" w:rsidRPr="00055D45">
              <w:t xml:space="preserve">onthly returns </w:t>
            </w:r>
            <w:r w:rsidR="003C169B">
              <w:t xml:space="preserve">will be </w:t>
            </w:r>
            <w:r w:rsidR="00595A6E" w:rsidRPr="00055D45">
              <w:t>replaced with a single annual return</w:t>
            </w:r>
            <w:r w:rsidR="003D30D9" w:rsidRPr="00055D45">
              <w:t xml:space="preserve"> for businesses with payroll tax liabilities up to $20,000 per annum</w:t>
            </w:r>
          </w:p>
          <w:p w14:paraId="089EC31A" w14:textId="0CCE0660" w:rsidR="003D30D9" w:rsidRPr="00055D45" w:rsidRDefault="001144AA" w:rsidP="00384E74">
            <w:pPr>
              <w:pStyle w:val="Bullet1inabox"/>
            </w:pPr>
            <w:r w:rsidRPr="00055D45">
              <w:t>p</w:t>
            </w:r>
            <w:r w:rsidR="003D30D9" w:rsidRPr="00055D45">
              <w:t>re-set monthly payments will be available for businesses with liabilities between $20,000 and $150,000 per annum, freeing them from the need to prepare detailed calculations every month</w:t>
            </w:r>
          </w:p>
          <w:p w14:paraId="5F2EB95A" w14:textId="526C6671" w:rsidR="003D30D9" w:rsidRPr="00055D45" w:rsidRDefault="001144AA" w:rsidP="00384E74">
            <w:pPr>
              <w:pStyle w:val="Bullet1inabox"/>
            </w:pPr>
            <w:r w:rsidRPr="00055D45">
              <w:t>a</w:t>
            </w:r>
            <w:r w:rsidR="003D30D9" w:rsidRPr="00055D45">
              <w:t>ll businesses will have an extra week to submit their annual reconciliation</w:t>
            </w:r>
            <w:r w:rsidR="00E55053">
              <w:t>.</w:t>
            </w:r>
          </w:p>
          <w:p w14:paraId="703A3BE9" w14:textId="2CBD9873" w:rsidR="006C441F" w:rsidRPr="0011270D" w:rsidRDefault="003D30D9" w:rsidP="000008E7">
            <w:pPr>
              <w:pStyle w:val="BodyTextBox"/>
            </w:pPr>
            <w:r>
              <w:t xml:space="preserve">Revenue NSW </w:t>
            </w:r>
            <w:r w:rsidR="00574FCD">
              <w:t>is</w:t>
            </w:r>
            <w:r>
              <w:t xml:space="preserve"> updating its systems and processes to implement the remaining Review recommendations, including improved materials to support a greater focus on early engagement and education</w:t>
            </w:r>
            <w:r w:rsidR="008A6230">
              <w:t>,</w:t>
            </w:r>
            <w:r>
              <w:t xml:space="preserve"> a</w:t>
            </w:r>
            <w:r w:rsidR="008A6230">
              <w:t>s well as</w:t>
            </w:r>
            <w:r>
              <w:t xml:space="preserve"> improvements to its audit process. Through the Board of Treasurers and other relevant interjurisdictional forums, N</w:t>
            </w:r>
            <w:r w:rsidR="005C34F0">
              <w:t xml:space="preserve">ew </w:t>
            </w:r>
            <w:r>
              <w:t>S</w:t>
            </w:r>
            <w:r w:rsidR="005C34F0">
              <w:t xml:space="preserve">outh </w:t>
            </w:r>
            <w:r>
              <w:t>W</w:t>
            </w:r>
            <w:r w:rsidR="005C34F0">
              <w:t>ales</w:t>
            </w:r>
            <w:r>
              <w:t xml:space="preserve"> is actively leading work to progress recommendations for greater harmonisation across jurisdictions, broadening the productivity benefits of the Review right across the nation.</w:t>
            </w:r>
          </w:p>
        </w:tc>
      </w:tr>
    </w:tbl>
    <w:p w14:paraId="54288F6F" w14:textId="1CE9E8F7" w:rsidR="008347F2" w:rsidRPr="006C4473" w:rsidRDefault="00226043" w:rsidP="00055D45">
      <w:pPr>
        <w:pStyle w:val="Heading3"/>
        <w:numPr>
          <w:ilvl w:val="0"/>
          <w:numId w:val="0"/>
        </w:numPr>
        <w:ind w:left="720" w:hanging="720"/>
        <w:rPr>
          <w:rFonts w:eastAsiaTheme="minorHAnsi"/>
        </w:rPr>
      </w:pPr>
      <w:r w:rsidRPr="006C4473">
        <w:rPr>
          <w:rFonts w:eastAsiaTheme="minorHAnsi"/>
        </w:rPr>
        <w:t>Land t</w:t>
      </w:r>
      <w:r w:rsidR="008347F2" w:rsidRPr="006C4473">
        <w:rPr>
          <w:rFonts w:eastAsiaTheme="minorHAnsi"/>
        </w:rPr>
        <w:t xml:space="preserve">ax </w:t>
      </w:r>
    </w:p>
    <w:p w14:paraId="0AB0BA10" w14:textId="7C69E29A" w:rsidR="001E401C" w:rsidRPr="00597CCD" w:rsidRDefault="00BD4ECA" w:rsidP="00D63847">
      <w:pPr>
        <w:pStyle w:val="BodyText"/>
      </w:pPr>
      <w:r w:rsidRPr="00BD4ECA">
        <w:t xml:space="preserve">Land tax </w:t>
      </w:r>
      <w:r w:rsidRPr="00A1221F">
        <w:t xml:space="preserve">revenue is expected to be </w:t>
      </w:r>
      <w:r w:rsidRPr="00384E74">
        <w:t>$</w:t>
      </w:r>
      <w:r w:rsidR="00CA4E22" w:rsidRPr="00384E74">
        <w:t>4</w:t>
      </w:r>
      <w:r w:rsidRPr="00384E74">
        <w:t>.</w:t>
      </w:r>
      <w:r w:rsidR="002F120C">
        <w:t>2</w:t>
      </w:r>
      <w:r w:rsidRPr="00A1221F">
        <w:t xml:space="preserve"> </w:t>
      </w:r>
      <w:r w:rsidR="005C1650" w:rsidRPr="008F3E2A">
        <w:t>b</w:t>
      </w:r>
      <w:r w:rsidRPr="00597CCD">
        <w:t xml:space="preserve">illion </w:t>
      </w:r>
      <w:r w:rsidR="00994780" w:rsidRPr="00597CCD">
        <w:t xml:space="preserve">in 2018-19, </w:t>
      </w:r>
      <w:r w:rsidR="002F120C">
        <w:t xml:space="preserve">in line with </w:t>
      </w:r>
      <w:r w:rsidRPr="00597CCD">
        <w:t xml:space="preserve">the </w:t>
      </w:r>
      <w:r w:rsidR="00E92757">
        <w:t xml:space="preserve">2019 </w:t>
      </w:r>
      <w:r w:rsidR="009526E8" w:rsidRPr="00597CCD">
        <w:t>Pre</w:t>
      </w:r>
      <w:r w:rsidR="00D37A7F" w:rsidRPr="00597CCD">
        <w:noBreakHyphen/>
      </w:r>
      <w:r w:rsidR="009526E8" w:rsidRPr="00597CCD">
        <w:t>election Budget Update</w:t>
      </w:r>
      <w:r w:rsidRPr="00597CCD">
        <w:t xml:space="preserve">. </w:t>
      </w:r>
      <w:r w:rsidR="002F120C">
        <w:t>F</w:t>
      </w:r>
      <w:r w:rsidR="003730EC" w:rsidRPr="00597CCD">
        <w:t>orecast</w:t>
      </w:r>
      <w:r w:rsidRPr="00597CCD">
        <w:t xml:space="preserve"> land tax has been </w:t>
      </w:r>
      <w:r w:rsidR="00EB43F8" w:rsidRPr="00597CCD">
        <w:t>reduced</w:t>
      </w:r>
      <w:r w:rsidRPr="00597CCD">
        <w:t xml:space="preserve"> by </w:t>
      </w:r>
      <w:r w:rsidRPr="00384E74">
        <w:t>$</w:t>
      </w:r>
      <w:r w:rsidR="003903EC" w:rsidRPr="00384E74">
        <w:t>3</w:t>
      </w:r>
      <w:r w:rsidR="00BE0DD7" w:rsidRPr="00384E74">
        <w:t>34</w:t>
      </w:r>
      <w:r w:rsidRPr="00384E74">
        <w:t>.</w:t>
      </w:r>
      <w:r w:rsidR="00BE0DD7" w:rsidRPr="00384E74">
        <w:t>9</w:t>
      </w:r>
      <w:r w:rsidR="00E90439" w:rsidRPr="00A1221F">
        <w:t> </w:t>
      </w:r>
      <w:r w:rsidRPr="008F3E2A">
        <w:t>million</w:t>
      </w:r>
      <w:r w:rsidR="00C40A1B" w:rsidRPr="00597CCD">
        <w:t xml:space="preserve"> over the three yea</w:t>
      </w:r>
      <w:r w:rsidR="00715429" w:rsidRPr="00597CCD">
        <w:t>rs to 2021</w:t>
      </w:r>
      <w:r w:rsidR="002213BB">
        <w:noBreakHyphen/>
      </w:r>
      <w:r w:rsidR="00715429" w:rsidRPr="00597CCD">
        <w:t>22</w:t>
      </w:r>
      <w:r w:rsidRPr="00597CCD">
        <w:t>.</w:t>
      </w:r>
    </w:p>
    <w:p w14:paraId="774025D5" w14:textId="56CA914A" w:rsidR="009B1637" w:rsidRPr="00597CCD" w:rsidRDefault="00715429" w:rsidP="00D63847">
      <w:pPr>
        <w:pStyle w:val="BodyText"/>
      </w:pPr>
      <w:r w:rsidRPr="00597CCD">
        <w:t>R</w:t>
      </w:r>
      <w:r w:rsidR="005016C9" w:rsidRPr="00597CCD">
        <w:t xml:space="preserve">esidential land values </w:t>
      </w:r>
      <w:r w:rsidR="000700F0" w:rsidRPr="00597CCD">
        <w:t xml:space="preserve">are forecast to decline by 9.0 per cent </w:t>
      </w:r>
      <w:r w:rsidR="00EB6B71" w:rsidRPr="00597CCD">
        <w:t xml:space="preserve">in 2019, </w:t>
      </w:r>
      <w:r w:rsidR="004E7C9E" w:rsidRPr="00597CCD">
        <w:t xml:space="preserve">while </w:t>
      </w:r>
      <w:r w:rsidR="003E02F5" w:rsidRPr="00597CCD">
        <w:t>commer</w:t>
      </w:r>
      <w:r w:rsidR="00F67CDD" w:rsidRPr="00597CCD">
        <w:t>ci</w:t>
      </w:r>
      <w:r w:rsidR="003E02F5" w:rsidRPr="00597CCD">
        <w:t xml:space="preserve">al land values are forecast to </w:t>
      </w:r>
      <w:r w:rsidR="004E7C9E" w:rsidRPr="00597CCD">
        <w:t>rise</w:t>
      </w:r>
      <w:r w:rsidR="000700F0" w:rsidRPr="00597CCD">
        <w:t xml:space="preserve"> </w:t>
      </w:r>
      <w:r w:rsidR="003E02F5" w:rsidRPr="00597CCD">
        <w:t>by</w:t>
      </w:r>
      <w:r w:rsidR="00D37A7F" w:rsidRPr="00597CCD">
        <w:t xml:space="preserve"> </w:t>
      </w:r>
      <w:r w:rsidR="004A0326" w:rsidRPr="00597CCD">
        <w:t>2.0</w:t>
      </w:r>
      <w:r w:rsidR="000700F0" w:rsidRPr="00597CCD">
        <w:t> </w:t>
      </w:r>
      <w:r w:rsidR="004A0326" w:rsidRPr="00597CCD">
        <w:t>per</w:t>
      </w:r>
      <w:r w:rsidR="000700F0" w:rsidRPr="00597CCD">
        <w:t> </w:t>
      </w:r>
      <w:r w:rsidR="004A0326" w:rsidRPr="00597CCD">
        <w:t>cent</w:t>
      </w:r>
      <w:r w:rsidRPr="00597CCD">
        <w:t>, reflecting movements in property prices</w:t>
      </w:r>
      <w:r w:rsidR="004A0326" w:rsidRPr="00597CCD">
        <w:t xml:space="preserve">. </w:t>
      </w:r>
    </w:p>
    <w:p w14:paraId="32BD69F8" w14:textId="66924EA9" w:rsidR="002B76C5" w:rsidRDefault="009660BB" w:rsidP="00D63847">
      <w:pPr>
        <w:pStyle w:val="BodyText"/>
      </w:pPr>
      <w:r w:rsidRPr="00597CCD">
        <w:t xml:space="preserve">Land tax is forecast to grow by </w:t>
      </w:r>
      <w:r w:rsidR="003A1FFA" w:rsidRPr="00384E74">
        <w:t>2</w:t>
      </w:r>
      <w:r w:rsidRPr="00384E74">
        <w:t>.</w:t>
      </w:r>
      <w:r w:rsidR="003A1FFA" w:rsidRPr="00384E74">
        <w:t>0</w:t>
      </w:r>
      <w:r w:rsidRPr="00A1221F">
        <w:t xml:space="preserve"> per cent</w:t>
      </w:r>
      <w:r>
        <w:t xml:space="preserve"> in</w:t>
      </w:r>
      <w:r w:rsidR="00BD4ECA" w:rsidRPr="00E86363">
        <w:t xml:space="preserve"> the </w:t>
      </w:r>
      <w:r>
        <w:t>four years to 2022-23.</w:t>
      </w:r>
      <w:r w:rsidR="00BE0DD7">
        <w:t xml:space="preserve"> </w:t>
      </w:r>
    </w:p>
    <w:p w14:paraId="0F22FAB5" w14:textId="552A5F22" w:rsidR="005C1A1C" w:rsidRPr="006C4473" w:rsidRDefault="008347F2" w:rsidP="00055D45">
      <w:pPr>
        <w:pStyle w:val="Heading3"/>
        <w:numPr>
          <w:ilvl w:val="0"/>
          <w:numId w:val="0"/>
        </w:numPr>
        <w:ind w:left="720" w:hanging="720"/>
        <w:rPr>
          <w:rFonts w:eastAsiaTheme="minorHAnsi"/>
        </w:rPr>
      </w:pPr>
      <w:r w:rsidRPr="006C4473">
        <w:rPr>
          <w:rFonts w:eastAsiaTheme="minorHAnsi"/>
        </w:rPr>
        <w:t>T</w:t>
      </w:r>
      <w:r w:rsidR="00226043" w:rsidRPr="006C4473">
        <w:rPr>
          <w:rFonts w:eastAsiaTheme="minorHAnsi"/>
        </w:rPr>
        <w:t>axes on motor vehicle ownership and o</w:t>
      </w:r>
      <w:r w:rsidRPr="006C4473">
        <w:rPr>
          <w:rFonts w:eastAsiaTheme="minorHAnsi"/>
        </w:rPr>
        <w:t xml:space="preserve">peration </w:t>
      </w:r>
    </w:p>
    <w:p w14:paraId="7535AF55" w14:textId="547230C0" w:rsidR="00B16F70" w:rsidRDefault="00300AE5" w:rsidP="00D63847">
      <w:pPr>
        <w:pStyle w:val="BodyText"/>
      </w:pPr>
      <w:r>
        <w:t xml:space="preserve">Motor vehicle taxes are expected to be </w:t>
      </w:r>
      <w:r w:rsidR="003D5B18">
        <w:t>$</w:t>
      </w:r>
      <w:r w:rsidR="003E02F5">
        <w:t>7</w:t>
      </w:r>
      <w:r w:rsidR="003D5B18">
        <w:t xml:space="preserve">.0 million </w:t>
      </w:r>
      <w:r w:rsidR="003E02F5">
        <w:t>higher</w:t>
      </w:r>
      <w:r w:rsidR="003D5B18">
        <w:t xml:space="preserve"> </w:t>
      </w:r>
      <w:r w:rsidR="004E7C9E">
        <w:t xml:space="preserve">in 2018-19 </w:t>
      </w:r>
      <w:r w:rsidR="003D5B18">
        <w:t xml:space="preserve">than </w:t>
      </w:r>
      <w:r w:rsidR="00641F78">
        <w:t xml:space="preserve">at </w:t>
      </w:r>
      <w:r w:rsidR="003E02F5">
        <w:t xml:space="preserve">the </w:t>
      </w:r>
      <w:r w:rsidR="00E92757">
        <w:t xml:space="preserve">2019 </w:t>
      </w:r>
      <w:r w:rsidR="00E92757">
        <w:br/>
      </w:r>
      <w:r w:rsidR="003E02F5">
        <w:t>Pre-election Budget Update</w:t>
      </w:r>
      <w:r w:rsidR="00715C73">
        <w:t>.</w:t>
      </w:r>
    </w:p>
    <w:p w14:paraId="5B089E69" w14:textId="0AE87D8B" w:rsidR="00A10649" w:rsidRDefault="00987AC6" w:rsidP="00D63847">
      <w:pPr>
        <w:pStyle w:val="BodyText"/>
      </w:pPr>
      <w:r>
        <w:t>Compared to</w:t>
      </w:r>
      <w:r w:rsidR="0048005E">
        <w:t xml:space="preserve"> the 2018-19 Budget, m</w:t>
      </w:r>
      <w:r w:rsidR="00445437">
        <w:t xml:space="preserve">otor vehicle taxes are </w:t>
      </w:r>
      <w:r w:rsidR="00975DDC">
        <w:t xml:space="preserve">expected to be </w:t>
      </w:r>
      <w:r w:rsidR="006529D9">
        <w:t>$</w:t>
      </w:r>
      <w:r w:rsidR="00445437">
        <w:t>63.0</w:t>
      </w:r>
      <w:r w:rsidR="00FE0F4C">
        <w:t xml:space="preserve"> mil</w:t>
      </w:r>
      <w:r w:rsidR="00D96580">
        <w:t>l</w:t>
      </w:r>
      <w:r w:rsidR="00FE0F4C">
        <w:t>ion lower in 2018</w:t>
      </w:r>
      <w:r w:rsidR="007B7308">
        <w:noBreakHyphen/>
      </w:r>
      <w:r w:rsidR="00FE0F4C">
        <w:t>19</w:t>
      </w:r>
      <w:r w:rsidR="006A6BA0">
        <w:t>,</w:t>
      </w:r>
      <w:r w:rsidR="00FE0F4C">
        <w:t xml:space="preserve"> </w:t>
      </w:r>
      <w:r w:rsidR="00E06036">
        <w:t>reflecting</w:t>
      </w:r>
      <w:r w:rsidR="00A61E45">
        <w:t xml:space="preserve"> </w:t>
      </w:r>
      <w:r w:rsidR="0053101F">
        <w:t>slower growth in the vehicle stock</w:t>
      </w:r>
      <w:r w:rsidR="00972BD3">
        <w:t>.</w:t>
      </w:r>
      <w:r w:rsidR="00445437">
        <w:t xml:space="preserve"> Motor vehicle</w:t>
      </w:r>
      <w:r w:rsidR="00876737">
        <w:t xml:space="preserve"> tax revenue is expected to </w:t>
      </w:r>
      <w:r w:rsidR="000E7009">
        <w:t xml:space="preserve">grow by </w:t>
      </w:r>
      <w:r w:rsidR="00106644">
        <w:t>4.</w:t>
      </w:r>
      <w:r w:rsidR="00445437">
        <w:t>1</w:t>
      </w:r>
      <w:r w:rsidR="00106644">
        <w:t xml:space="preserve"> per cent </w:t>
      </w:r>
      <w:r w:rsidR="00E372D2">
        <w:t xml:space="preserve">on average each year </w:t>
      </w:r>
      <w:r w:rsidR="00106644">
        <w:t xml:space="preserve">over the four years to </w:t>
      </w:r>
      <w:r w:rsidR="00792A38">
        <w:t>2022-23.</w:t>
      </w:r>
    </w:p>
    <w:p w14:paraId="38C681D5" w14:textId="77777777" w:rsidR="00843A75" w:rsidRDefault="00843A75" w:rsidP="00384E74">
      <w:pPr>
        <w:spacing w:after="200" w:line="276" w:lineRule="auto"/>
      </w:pPr>
    </w:p>
    <w:p w14:paraId="36C6DD1D" w14:textId="77777777" w:rsidR="001D20C2" w:rsidRDefault="001D20C2">
      <w:pPr>
        <w:spacing w:after="200" w:line="276" w:lineRule="auto"/>
        <w:rPr>
          <w:rFonts w:ascii="Arial" w:hAnsi="Arial"/>
          <w:i/>
          <w:color w:val="4F4F4F"/>
          <w:sz w:val="22"/>
        </w:rPr>
      </w:pPr>
      <w:r>
        <w:br w:type="page"/>
      </w:r>
    </w:p>
    <w:p w14:paraId="1A248FB3" w14:textId="2AFE380C" w:rsidR="00033484" w:rsidRPr="0011270D" w:rsidRDefault="008C4724" w:rsidP="00055D45">
      <w:pPr>
        <w:pStyle w:val="Heading3"/>
        <w:numPr>
          <w:ilvl w:val="0"/>
          <w:numId w:val="0"/>
        </w:numPr>
        <w:ind w:left="720" w:hanging="720"/>
      </w:pPr>
      <w:bookmarkStart w:id="6" w:name="_Hlk9948191"/>
      <w:r w:rsidRPr="009823BD">
        <w:lastRenderedPageBreak/>
        <w:t xml:space="preserve">Gambling </w:t>
      </w:r>
      <w:r w:rsidR="00B6732A" w:rsidRPr="009823BD">
        <w:t>and betting taxes</w:t>
      </w:r>
    </w:p>
    <w:p w14:paraId="5495F754" w14:textId="7C2320C8" w:rsidR="00AD5E17" w:rsidRPr="00AD5E17" w:rsidRDefault="00AD5E17" w:rsidP="00D63847">
      <w:pPr>
        <w:pStyle w:val="BodyText"/>
        <w:rPr>
          <w:b/>
        </w:rPr>
      </w:pPr>
      <w:r w:rsidRPr="00AD5E17">
        <w:t xml:space="preserve">Gambling tax revenue is expected to be $2.6 billion in 2018-19, with an upward revision of $83.9 million since the </w:t>
      </w:r>
      <w:r w:rsidR="00E92757">
        <w:t xml:space="preserve">2019 </w:t>
      </w:r>
      <w:r w:rsidRPr="00AD5E17">
        <w:t xml:space="preserve">Pre-election Budget Update and $168.7 million since the 2018-19 Budget. </w:t>
      </w:r>
      <w:r w:rsidR="005D0444">
        <w:t>However</w:t>
      </w:r>
      <w:r w:rsidR="006122CF">
        <w:t>,</w:t>
      </w:r>
      <w:r w:rsidR="005D0444">
        <w:t xml:space="preserve"> g</w:t>
      </w:r>
      <w:r w:rsidRPr="00AD5E17">
        <w:t>ambling tax revenue has been revised downwards by $</w:t>
      </w:r>
      <w:r w:rsidR="00595C25">
        <w:t>178</w:t>
      </w:r>
      <w:r w:rsidRPr="00AD5E17">
        <w:t>.</w:t>
      </w:r>
      <w:r w:rsidR="00595C25">
        <w:t>0</w:t>
      </w:r>
      <w:r w:rsidRPr="00AD5E17">
        <w:t xml:space="preserve"> million</w:t>
      </w:r>
      <w:r w:rsidR="00EF31D3">
        <w:t xml:space="preserve"> </w:t>
      </w:r>
      <w:r w:rsidR="00C614DD">
        <w:t xml:space="preserve">over the three years to 2021-22 </w:t>
      </w:r>
      <w:r w:rsidR="00EF31D3">
        <w:t xml:space="preserve">since the </w:t>
      </w:r>
      <w:r w:rsidR="00E92757">
        <w:t xml:space="preserve">2019 </w:t>
      </w:r>
      <w:r w:rsidR="00EF31D3">
        <w:t>Pre-election Budget Update</w:t>
      </w:r>
      <w:r w:rsidRPr="00AD5E17">
        <w:t>.</w:t>
      </w:r>
    </w:p>
    <w:p w14:paraId="19D69638" w14:textId="3BE1EBCB" w:rsidR="00AD5E17" w:rsidRDefault="00653405" w:rsidP="00D63847">
      <w:pPr>
        <w:pStyle w:val="BodyText"/>
      </w:pPr>
      <w:r>
        <w:t>C</w:t>
      </w:r>
      <w:r w:rsidR="00AD5E17" w:rsidRPr="00AD5E17">
        <w:t>asino revenue has been revised up by $75.0 million in 2018-19 and down by $</w:t>
      </w:r>
      <w:r w:rsidR="00162AC2">
        <w:t>202</w:t>
      </w:r>
      <w:r w:rsidR="00AD5E17" w:rsidRPr="00AD5E17">
        <w:t xml:space="preserve">.4 million over the </w:t>
      </w:r>
      <w:r w:rsidR="00162AC2">
        <w:t>three</w:t>
      </w:r>
      <w:r w:rsidR="00AD5E17" w:rsidRPr="00AD5E17">
        <w:t xml:space="preserve"> years to 2021-22</w:t>
      </w:r>
      <w:r>
        <w:t xml:space="preserve"> since the </w:t>
      </w:r>
      <w:r w:rsidR="00E92757">
        <w:t>2019</w:t>
      </w:r>
      <w:r w:rsidR="00676E6B">
        <w:t xml:space="preserve"> </w:t>
      </w:r>
      <w:r>
        <w:t>Pre-election Budget Update</w:t>
      </w:r>
      <w:r w:rsidR="00AD5E17" w:rsidRPr="00AD5E17">
        <w:t xml:space="preserve">. Lotteries revenue has been revised up by $100.5 million since the </w:t>
      </w:r>
      <w:r w:rsidR="00676E6B">
        <w:t xml:space="preserve">2019 </w:t>
      </w:r>
      <w:r w:rsidR="00AD5E17" w:rsidRPr="00AD5E17">
        <w:t>Pre-election Budget Update over the four years to 2021-22, reflecting an unexpected increase in the number of high lottery jackpots and stronger expectations of growth in lotteries revenue.</w:t>
      </w:r>
    </w:p>
    <w:bookmarkEnd w:id="6"/>
    <w:p w14:paraId="390FFB74" w14:textId="69BF09D5" w:rsidR="00D4439E" w:rsidRDefault="008C4724" w:rsidP="00055D45">
      <w:pPr>
        <w:pStyle w:val="Heading3"/>
        <w:numPr>
          <w:ilvl w:val="0"/>
          <w:numId w:val="0"/>
        </w:numPr>
        <w:ind w:left="720" w:hanging="720"/>
      </w:pPr>
      <w:r w:rsidRPr="00B11941">
        <w:t xml:space="preserve">Other </w:t>
      </w:r>
      <w:r w:rsidR="00B6732A" w:rsidRPr="00B11941">
        <w:t>t</w:t>
      </w:r>
      <w:r w:rsidRPr="00B11941">
        <w:t>axes</w:t>
      </w:r>
      <w:r w:rsidR="00BC1B3F" w:rsidRPr="00B11941">
        <w:t xml:space="preserve"> and levies</w:t>
      </w:r>
    </w:p>
    <w:p w14:paraId="319DD8AB" w14:textId="59507458" w:rsidR="00DE5CBA" w:rsidRDefault="00F22B02" w:rsidP="00D63847">
      <w:pPr>
        <w:pStyle w:val="BodyText"/>
      </w:pPr>
      <w:r w:rsidRPr="00B11941">
        <w:t>Other</w:t>
      </w:r>
      <w:r w:rsidR="0050042D" w:rsidRPr="00B11941">
        <w:t xml:space="preserve"> taxes and </w:t>
      </w:r>
      <w:r w:rsidR="0050042D" w:rsidRPr="00A1221F">
        <w:t xml:space="preserve">levies </w:t>
      </w:r>
      <w:r w:rsidR="00A10649" w:rsidRPr="00A1221F">
        <w:t>are expected to</w:t>
      </w:r>
      <w:r w:rsidR="00B909AA" w:rsidRPr="008F3E2A">
        <w:t xml:space="preserve"> provide </w:t>
      </w:r>
      <w:r w:rsidR="00B909AA" w:rsidRPr="00384E74">
        <w:t>$</w:t>
      </w:r>
      <w:r w:rsidR="00946574" w:rsidRPr="00384E74">
        <w:t>3</w:t>
      </w:r>
      <w:r w:rsidR="00B909AA" w:rsidRPr="00384E74">
        <w:t>.</w:t>
      </w:r>
      <w:r w:rsidR="00946574" w:rsidRPr="00384E74">
        <w:t>2</w:t>
      </w:r>
      <w:r w:rsidR="007668D8" w:rsidRPr="00A1221F">
        <w:t xml:space="preserve"> billion in 2018-19, growing at an average annual rate of </w:t>
      </w:r>
      <w:r w:rsidR="00B0649D" w:rsidRPr="00384E74">
        <w:t>3.5</w:t>
      </w:r>
      <w:r w:rsidR="007668D8" w:rsidRPr="00A1221F">
        <w:t> per cent in the four years to 202</w:t>
      </w:r>
      <w:r w:rsidR="003D60EA" w:rsidRPr="008F3E2A">
        <w:t>2</w:t>
      </w:r>
      <w:r w:rsidR="007668D8" w:rsidRPr="008F3E2A">
        <w:t>-2</w:t>
      </w:r>
      <w:r w:rsidR="003D60EA" w:rsidRPr="00597CCD">
        <w:t>3</w:t>
      </w:r>
      <w:r w:rsidR="007668D8" w:rsidRPr="00597CCD">
        <w:t xml:space="preserve">. </w:t>
      </w:r>
      <w:r w:rsidR="00F62F8B" w:rsidRPr="00597CCD">
        <w:t>Revenue from the Emergency Services Levy (</w:t>
      </w:r>
      <w:r w:rsidR="0033208B" w:rsidRPr="00597CCD">
        <w:t xml:space="preserve">including </w:t>
      </w:r>
      <w:r w:rsidR="00F62F8B" w:rsidRPr="00597CCD">
        <w:t xml:space="preserve">insurer and </w:t>
      </w:r>
      <w:r w:rsidR="005D0444" w:rsidRPr="00597CCD">
        <w:t>c</w:t>
      </w:r>
      <w:r w:rsidR="00F62F8B" w:rsidRPr="00597CCD">
        <w:t>ouncil</w:t>
      </w:r>
      <w:r w:rsidR="00F62F8B" w:rsidRPr="00F62F8B">
        <w:t xml:space="preserve"> contributions) is forecast to be $1.1 billion in 2019-20 and $4.7 billion over the four years to 2022-23. </w:t>
      </w:r>
      <w:r w:rsidR="00617698" w:rsidRPr="0011394A">
        <w:t>The increase, relative to the 2018-19 Budget, is largely due to additional contributions to the workers compensation scheme to provide greater care and support for firefighters diagnosed with one of 12 prescribed cancers. This legislative change was approved by Parliament with support from across the major and minor parties and was included in the 2018-1</w:t>
      </w:r>
      <w:r w:rsidR="005D0444">
        <w:t>9</w:t>
      </w:r>
      <w:r w:rsidR="00617698" w:rsidRPr="0011394A">
        <w:t xml:space="preserve"> Half</w:t>
      </w:r>
      <w:r w:rsidR="006424AE">
        <w:t>-</w:t>
      </w:r>
      <w:r w:rsidR="00617698" w:rsidRPr="0011394A">
        <w:t>Year</w:t>
      </w:r>
      <w:r w:rsidR="006424AE">
        <w:t>ly</w:t>
      </w:r>
      <w:r w:rsidR="00617698" w:rsidRPr="0011394A">
        <w:t xml:space="preserve"> Review and the </w:t>
      </w:r>
      <w:r w:rsidR="00676E6B">
        <w:t xml:space="preserve">2019 </w:t>
      </w:r>
      <w:r w:rsidR="00617698" w:rsidRPr="0011394A">
        <w:t>Pre</w:t>
      </w:r>
      <w:r w:rsidR="00C054E2">
        <w:noBreakHyphen/>
      </w:r>
      <w:r w:rsidR="00A02E43">
        <w:t>e</w:t>
      </w:r>
      <w:r w:rsidR="00617698" w:rsidRPr="0011394A">
        <w:t>lection Budget Update.</w:t>
      </w:r>
      <w:r w:rsidR="00617698" w:rsidRPr="00F62F8B">
        <w:t xml:space="preserve"> </w:t>
      </w:r>
    </w:p>
    <w:p w14:paraId="5E3AAE12" w14:textId="58996D9E" w:rsidR="00A25411" w:rsidRDefault="00F62F8B" w:rsidP="00D63847">
      <w:pPr>
        <w:pStyle w:val="BodyText"/>
      </w:pPr>
      <w:r w:rsidRPr="00F62F8B">
        <w:t xml:space="preserve">Revenue from </w:t>
      </w:r>
      <w:r w:rsidR="00644B39">
        <w:t>w</w:t>
      </w:r>
      <w:r w:rsidRPr="00F62F8B">
        <w:t xml:space="preserve">aste and </w:t>
      </w:r>
      <w:r w:rsidR="00644B39">
        <w:t>e</w:t>
      </w:r>
      <w:r w:rsidRPr="00F62F8B">
        <w:t xml:space="preserve">nvironment </w:t>
      </w:r>
      <w:r w:rsidR="00644B39">
        <w:t>l</w:t>
      </w:r>
      <w:r w:rsidRPr="00F62F8B">
        <w:t>ev</w:t>
      </w:r>
      <w:r w:rsidR="001725CD">
        <w:t xml:space="preserve">ies </w:t>
      </w:r>
      <w:r w:rsidRPr="00F62F8B">
        <w:t>is forecast to provide $</w:t>
      </w:r>
      <w:r w:rsidR="00D71E8F" w:rsidRPr="00F62F8B">
        <w:t>7</w:t>
      </w:r>
      <w:r w:rsidR="00D71E8F">
        <w:t>70</w:t>
      </w:r>
      <w:r w:rsidRPr="00F62F8B">
        <w:t>.</w:t>
      </w:r>
      <w:r w:rsidR="00861750">
        <w:t>8</w:t>
      </w:r>
      <w:r w:rsidRPr="00F62F8B">
        <w:t xml:space="preserve"> million in 2019</w:t>
      </w:r>
      <w:r w:rsidR="00C054E2">
        <w:noBreakHyphen/>
      </w:r>
      <w:r w:rsidRPr="00F62F8B">
        <w:t>20 and $3.1 billion over the four years to 2022-23, reflecting revised expectations for volume growth in leviable waste.</w:t>
      </w:r>
    </w:p>
    <w:p w14:paraId="4E180C41" w14:textId="1C51D483" w:rsidR="004171EC" w:rsidRDefault="00DE5CBA" w:rsidP="00D63847">
      <w:pPr>
        <w:pStyle w:val="BodyText"/>
        <w:rPr>
          <w:lang w:eastAsia="en-US"/>
        </w:rPr>
      </w:pPr>
      <w:r w:rsidRPr="00DE5CBA">
        <w:t>In 2019-20</w:t>
      </w:r>
      <w:r w:rsidR="00A25411">
        <w:t>,</w:t>
      </w:r>
      <w:r w:rsidRPr="00DE5CBA">
        <w:t xml:space="preserve"> Local Land Services </w:t>
      </w:r>
      <w:r w:rsidR="00A02E43">
        <w:t xml:space="preserve">annual rates have </w:t>
      </w:r>
      <w:r w:rsidRPr="00DE5CBA">
        <w:t>been revised down by $</w:t>
      </w:r>
      <w:r w:rsidR="000A1B97">
        <w:t>50</w:t>
      </w:r>
      <w:r w:rsidRPr="00DE5CBA">
        <w:t xml:space="preserve">.0 million due to the decision to waive this payment as part of the </w:t>
      </w:r>
      <w:r w:rsidR="004775C9">
        <w:t xml:space="preserve">2019-20 </w:t>
      </w:r>
      <w:r w:rsidR="005C34F0">
        <w:t>D</w:t>
      </w:r>
      <w:r w:rsidRPr="00DE5CBA">
        <w:t xml:space="preserve">rought </w:t>
      </w:r>
      <w:r w:rsidR="005C34F0">
        <w:t>R</w:t>
      </w:r>
      <w:r w:rsidRPr="00DE5CBA">
        <w:t xml:space="preserve">elief </w:t>
      </w:r>
      <w:r w:rsidR="005C34F0">
        <w:t>P</w:t>
      </w:r>
      <w:r w:rsidRPr="00DE5CBA">
        <w:t>ackage.</w:t>
      </w:r>
    </w:p>
    <w:p w14:paraId="28DD7871" w14:textId="77777777" w:rsidR="004171EC" w:rsidRPr="0011270D" w:rsidRDefault="004171EC">
      <w:pPr>
        <w:pStyle w:val="Heading2"/>
      </w:pPr>
      <w:r w:rsidRPr="0011270D">
        <w:t>Grant revenue</w:t>
      </w:r>
    </w:p>
    <w:p w14:paraId="2ACFDBD3" w14:textId="02969226" w:rsidR="004171EC" w:rsidRDefault="004171EC" w:rsidP="00D63847">
      <w:pPr>
        <w:pStyle w:val="BodyText"/>
      </w:pPr>
      <w:r>
        <w:t xml:space="preserve">Grant revenue is </w:t>
      </w:r>
      <w:r w:rsidRPr="008F3E2A">
        <w:t xml:space="preserve">comprised </w:t>
      </w:r>
      <w:r w:rsidRPr="008F3E2A">
        <w:rPr>
          <w:noProof w:val="0"/>
        </w:rPr>
        <w:t>primarily</w:t>
      </w:r>
      <w:r w:rsidRPr="0060246F">
        <w:t xml:space="preserve"> of </w:t>
      </w:r>
      <w:proofErr w:type="gramStart"/>
      <w:r w:rsidRPr="0060246F">
        <w:rPr>
          <w:noProof w:val="0"/>
        </w:rPr>
        <w:t>general</w:t>
      </w:r>
      <w:r w:rsidRPr="0060246F">
        <w:t xml:space="preserve"> purpose</w:t>
      </w:r>
      <w:proofErr w:type="gramEnd"/>
      <w:r w:rsidRPr="0060246F">
        <w:t xml:space="preserve"> </w:t>
      </w:r>
      <w:r w:rsidR="00E55FE5" w:rsidRPr="0060246F">
        <w:t xml:space="preserve">grants (including </w:t>
      </w:r>
      <w:r w:rsidRPr="0060246F">
        <w:t>GST</w:t>
      </w:r>
      <w:r w:rsidR="00E55FE5" w:rsidRPr="0060246F">
        <w:t xml:space="preserve">) </w:t>
      </w:r>
      <w:r w:rsidRPr="0060246F">
        <w:t xml:space="preserve">and specific purpose revenues in the form of funding under National Agreements and National Partnerships. Total Commonwealth grant revenue is expected to grow by </w:t>
      </w:r>
      <w:r w:rsidR="004A10B6" w:rsidRPr="00384E74">
        <w:t>3</w:t>
      </w:r>
      <w:r w:rsidRPr="00384E74">
        <w:t>.5</w:t>
      </w:r>
      <w:r w:rsidRPr="008F3E2A">
        <w:t xml:space="preserve"> per cent</w:t>
      </w:r>
      <w:r w:rsidRPr="0060246F">
        <w:t xml:space="preserve"> to </w:t>
      </w:r>
      <w:r w:rsidRPr="00384E74">
        <w:t>$32.</w:t>
      </w:r>
      <w:r w:rsidR="00A276AB" w:rsidRPr="00384E74">
        <w:t>4</w:t>
      </w:r>
      <w:r w:rsidR="00E842CE" w:rsidRPr="0060246F">
        <w:t> </w:t>
      </w:r>
      <w:r w:rsidRPr="0060246F">
        <w:t>billion in 2019</w:t>
      </w:r>
      <w:r w:rsidR="00A276AB" w:rsidRPr="0060246F">
        <w:noBreakHyphen/>
      </w:r>
      <w:r w:rsidRPr="0060246F">
        <w:t>20</w:t>
      </w:r>
      <w:r w:rsidR="00400419" w:rsidRPr="0060246F">
        <w:t xml:space="preserve"> and by</w:t>
      </w:r>
      <w:r w:rsidRPr="0060246F">
        <w:t xml:space="preserve"> an average of </w:t>
      </w:r>
      <w:r w:rsidRPr="00384E74">
        <w:t>4.</w:t>
      </w:r>
      <w:r w:rsidR="00BB3F08" w:rsidRPr="00384E74">
        <w:t>3</w:t>
      </w:r>
      <w:r w:rsidRPr="008F3E2A">
        <w:t xml:space="preserve"> per </w:t>
      </w:r>
      <w:r w:rsidRPr="0060246F">
        <w:rPr>
          <w:noProof w:val="0"/>
        </w:rPr>
        <w:t>cent</w:t>
      </w:r>
      <w:r w:rsidRPr="0060246F">
        <w:t xml:space="preserve"> per annum over the four years to 2022-23 (see Table </w:t>
      </w:r>
      <w:r w:rsidR="00BB3F08" w:rsidRPr="0060246F">
        <w:t>4</w:t>
      </w:r>
      <w:r w:rsidRPr="0060246F">
        <w:t>.</w:t>
      </w:r>
      <w:r w:rsidR="00BB3F08" w:rsidRPr="0060246F">
        <w:t>5</w:t>
      </w:r>
      <w:r w:rsidRPr="0060246F">
        <w:t>).</w:t>
      </w:r>
    </w:p>
    <w:p w14:paraId="15D091A2" w14:textId="65715F65" w:rsidR="005C1E91" w:rsidRPr="000C0534" w:rsidRDefault="005C1E91" w:rsidP="003B4788">
      <w:pPr>
        <w:pStyle w:val="Table4X"/>
        <w:tabs>
          <w:tab w:val="clear" w:pos="1134"/>
          <w:tab w:val="left" w:pos="1304"/>
        </w:tabs>
      </w:pPr>
      <w:r w:rsidRPr="000C0534">
        <w:t>Grant</w:t>
      </w:r>
      <w:r w:rsidRPr="00131C71">
        <w:t xml:space="preserve"> </w:t>
      </w:r>
      <w:r w:rsidRPr="000C0534">
        <w:t>revenue</w:t>
      </w:r>
      <w:r w:rsidRPr="00131C71">
        <w:t xml:space="preserve"> </w:t>
      </w:r>
      <w:r w:rsidR="004716C5">
        <w:t xml:space="preserve"> </w:t>
      </w:r>
    </w:p>
    <w:p w14:paraId="531C942A" w14:textId="49658A3F" w:rsidR="00433078" w:rsidRDefault="000021F6" w:rsidP="005400A6">
      <w:r w:rsidRPr="000021F6">
        <w:t xml:space="preserve"> </w:t>
      </w:r>
      <w:r w:rsidR="00EF515E" w:rsidRPr="00EF515E">
        <w:rPr>
          <w:noProof/>
        </w:rPr>
        <w:drawing>
          <wp:inline distT="0" distB="0" distL="0" distR="0" wp14:anchorId="69715B65" wp14:editId="2CAA6E27">
            <wp:extent cx="6017895" cy="2519680"/>
            <wp:effectExtent l="0" t="0" r="1905" b="0"/>
            <wp:docPr id="57" name="Picture 57" descr="Table 4.5: Grant reve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7895" cy="2519680"/>
                    </a:xfrm>
                    <a:prstGeom prst="rect">
                      <a:avLst/>
                    </a:prstGeom>
                    <a:noFill/>
                    <a:ln>
                      <a:noFill/>
                    </a:ln>
                  </pic:spPr>
                </pic:pic>
              </a:graphicData>
            </a:graphic>
          </wp:inline>
        </w:drawing>
      </w:r>
    </w:p>
    <w:p w14:paraId="3968D924" w14:textId="77777777" w:rsidR="005400A6" w:rsidRPr="0011270D" w:rsidDel="00563E70" w:rsidRDefault="004171EC" w:rsidP="00055D45">
      <w:pPr>
        <w:pStyle w:val="Heading3"/>
        <w:numPr>
          <w:ilvl w:val="0"/>
          <w:numId w:val="0"/>
        </w:numPr>
        <w:ind w:left="720" w:hanging="720"/>
        <w:rPr>
          <w:rFonts w:eastAsia="Arial Unicode MS"/>
        </w:rPr>
      </w:pPr>
      <w:r w:rsidRPr="0011270D">
        <w:rPr>
          <w:rFonts w:eastAsia="Arial Unicode MS"/>
        </w:rPr>
        <w:lastRenderedPageBreak/>
        <w:t>General purpose grants</w:t>
      </w:r>
    </w:p>
    <w:p w14:paraId="07A20980" w14:textId="662FBDFF" w:rsidR="00351120" w:rsidRPr="0060246F" w:rsidRDefault="00867A95" w:rsidP="00D63847">
      <w:pPr>
        <w:pStyle w:val="BodyText"/>
      </w:pPr>
      <w:r>
        <w:t>Forecast</w:t>
      </w:r>
      <w:r w:rsidR="00351120" w:rsidRPr="009D34F9">
        <w:t xml:space="preserve"> </w:t>
      </w:r>
      <w:r w:rsidR="00351120" w:rsidRPr="008F3E2A">
        <w:t>New South Wales GST revenue</w:t>
      </w:r>
      <w:r w:rsidR="00E43444" w:rsidRPr="008F3E2A">
        <w:t xml:space="preserve"> (including </w:t>
      </w:r>
      <w:r w:rsidR="0019796E" w:rsidRPr="0060246F">
        <w:t>‘</w:t>
      </w:r>
      <w:r w:rsidR="00E43444" w:rsidRPr="0060246F">
        <w:t>no worse off</w:t>
      </w:r>
      <w:r w:rsidR="0019796E" w:rsidRPr="0060246F">
        <w:t>’</w:t>
      </w:r>
      <w:r w:rsidR="00E43444" w:rsidRPr="0060246F">
        <w:t xml:space="preserve"> payments)</w:t>
      </w:r>
      <w:r w:rsidR="00351120" w:rsidRPr="0060246F">
        <w:t xml:space="preserve"> has been reduced by </w:t>
      </w:r>
      <w:r w:rsidR="00351120" w:rsidRPr="00384E74">
        <w:t>$2.3</w:t>
      </w:r>
      <w:r w:rsidR="00351120" w:rsidRPr="008F3E2A">
        <w:t> billion</w:t>
      </w:r>
      <w:r w:rsidR="00351120" w:rsidRPr="0060246F">
        <w:t xml:space="preserve"> </w:t>
      </w:r>
      <w:r w:rsidR="00EA00FB" w:rsidRPr="0060246F">
        <w:t xml:space="preserve">over the four years to 2021-22 </w:t>
      </w:r>
      <w:r w:rsidR="00351120" w:rsidRPr="0060246F">
        <w:t xml:space="preserve">compared to the </w:t>
      </w:r>
      <w:r w:rsidR="00676E6B">
        <w:t xml:space="preserve">2019 </w:t>
      </w:r>
      <w:r w:rsidR="00351120" w:rsidRPr="0060246F">
        <w:t>Pre-election Budget Update. Building on a significant downward revision to the GST pool in the Commonwealth’s 2018-19 Mid-</w:t>
      </w:r>
      <w:r w:rsidR="006424AE" w:rsidRPr="0060246F">
        <w:t>Y</w:t>
      </w:r>
      <w:r w:rsidR="00351120" w:rsidRPr="0060246F">
        <w:t xml:space="preserve">ear Economic and Fiscal Outlook (MYEFO), the Commonwealth’s 2019-20 Budget </w:t>
      </w:r>
      <w:r w:rsidR="00C44A2B" w:rsidRPr="0060246F">
        <w:t xml:space="preserve">further </w:t>
      </w:r>
      <w:r w:rsidR="00351120" w:rsidRPr="0060246F">
        <w:t>lowered forecasts of the national GST pool by $8.3</w:t>
      </w:r>
      <w:r w:rsidR="005C34F0">
        <w:t> </w:t>
      </w:r>
      <w:r w:rsidR="00351120" w:rsidRPr="0060246F">
        <w:t>billion over the four years to 2021</w:t>
      </w:r>
      <w:r w:rsidR="00621E35" w:rsidRPr="0060246F">
        <w:noBreakHyphen/>
      </w:r>
      <w:r w:rsidR="00351120" w:rsidRPr="0060246F">
        <w:t>22</w:t>
      </w:r>
      <w:r w:rsidR="00FB57C4" w:rsidRPr="0060246F">
        <w:t>.</w:t>
      </w:r>
      <w:r w:rsidR="00351120" w:rsidRPr="0060246F">
        <w:t xml:space="preserve"> </w:t>
      </w:r>
      <w:r w:rsidR="00FB57C4" w:rsidRPr="0060246F">
        <w:t xml:space="preserve">This </w:t>
      </w:r>
      <w:r w:rsidR="00351120" w:rsidRPr="0060246F">
        <w:t>includ</w:t>
      </w:r>
      <w:r w:rsidR="00FB57C4" w:rsidRPr="0060246F">
        <w:t>ed</w:t>
      </w:r>
      <w:r w:rsidR="00351120" w:rsidRPr="0060246F">
        <w:t xml:space="preserve"> a reduction of $1.8 billion in 2019-20.</w:t>
      </w:r>
    </w:p>
    <w:p w14:paraId="38F6F4B5" w14:textId="5C057256" w:rsidR="004171EC" w:rsidRPr="0060246F" w:rsidRDefault="004171EC" w:rsidP="00D63847">
      <w:pPr>
        <w:pStyle w:val="BodyText"/>
      </w:pPr>
      <w:r w:rsidRPr="0060246F">
        <w:t xml:space="preserve">GST revenue is estimated to be </w:t>
      </w:r>
      <w:r w:rsidRPr="00384E74">
        <w:t>$18.7</w:t>
      </w:r>
      <w:r w:rsidRPr="008F3E2A">
        <w:t xml:space="preserve"> billion </w:t>
      </w:r>
      <w:r w:rsidRPr="0060246F">
        <w:t xml:space="preserve">in 2019-20, </w:t>
      </w:r>
      <w:r w:rsidRPr="00384E74">
        <w:t>4.</w:t>
      </w:r>
      <w:r w:rsidR="0071523F" w:rsidRPr="00384E74">
        <w:t>8</w:t>
      </w:r>
      <w:r w:rsidRPr="008F3E2A">
        <w:t xml:space="preserve"> per</w:t>
      </w:r>
      <w:r w:rsidRPr="0060246F">
        <w:t xml:space="preserve"> cent higher than in 2018</w:t>
      </w:r>
      <w:r w:rsidR="00621E35" w:rsidRPr="0060246F">
        <w:noBreakHyphen/>
      </w:r>
      <w:r w:rsidRPr="0060246F">
        <w:t>19</w:t>
      </w:r>
      <w:r w:rsidR="00A55150" w:rsidRPr="0060246F">
        <w:t>,</w:t>
      </w:r>
      <w:r w:rsidRPr="0060246F">
        <w:t xml:space="preserve"> with average </w:t>
      </w:r>
      <w:r w:rsidR="00C35A01" w:rsidRPr="0060246F">
        <w:t xml:space="preserve">growth </w:t>
      </w:r>
      <w:r w:rsidRPr="0060246F">
        <w:t>of 4</w:t>
      </w:r>
      <w:r w:rsidR="00B41915" w:rsidRPr="0060246F">
        <w:t>.5</w:t>
      </w:r>
      <w:r w:rsidRPr="0060246F">
        <w:t xml:space="preserve"> per cent per annum over the </w:t>
      </w:r>
      <w:r w:rsidR="00104007" w:rsidRPr="0060246F">
        <w:t>four years to 2022-23</w:t>
      </w:r>
      <w:r w:rsidR="00E55FE5" w:rsidRPr="0060246F">
        <w:t xml:space="preserve"> (see Table 4.6).</w:t>
      </w:r>
    </w:p>
    <w:p w14:paraId="4D5CD93A" w14:textId="0D90C990" w:rsidR="005400A6" w:rsidRDefault="004171EC" w:rsidP="00384E74">
      <w:pPr>
        <w:pStyle w:val="BodyText"/>
      </w:pPr>
      <w:r w:rsidRPr="0060246F">
        <w:t xml:space="preserve">The GST pool </w:t>
      </w:r>
      <w:r w:rsidR="00B41CE4" w:rsidRPr="0060246F">
        <w:t xml:space="preserve">is expected to grow </w:t>
      </w:r>
      <w:r w:rsidR="00FA1E6F" w:rsidRPr="0060246F">
        <w:t>at</w:t>
      </w:r>
      <w:r w:rsidR="00B41CE4" w:rsidRPr="0060246F">
        <w:t xml:space="preserve"> </w:t>
      </w:r>
      <w:r w:rsidR="00FA1E6F" w:rsidRPr="0060246F">
        <w:t xml:space="preserve">an </w:t>
      </w:r>
      <w:r w:rsidRPr="0060246F">
        <w:t>average</w:t>
      </w:r>
      <w:r w:rsidRPr="009D34F9">
        <w:t xml:space="preserve"> </w:t>
      </w:r>
      <w:r w:rsidR="00FA1E6F">
        <w:t xml:space="preserve">of </w:t>
      </w:r>
      <w:r w:rsidRPr="009D34F9">
        <w:t xml:space="preserve">4.4 per cent </w:t>
      </w:r>
      <w:r w:rsidR="005E33D1">
        <w:t xml:space="preserve">per annum </w:t>
      </w:r>
      <w:r w:rsidR="00FA1E6F">
        <w:t>in</w:t>
      </w:r>
      <w:r w:rsidR="00FA1E6F" w:rsidRPr="009D34F9">
        <w:t xml:space="preserve"> </w:t>
      </w:r>
      <w:r w:rsidRPr="009D34F9">
        <w:t xml:space="preserve">the four years to 2022-23. </w:t>
      </w:r>
      <w:r w:rsidR="004775C9">
        <w:t xml:space="preserve">Over the same period, </w:t>
      </w:r>
      <w:r w:rsidR="00FA221A" w:rsidRPr="009D34F9">
        <w:t>New South Wales</w:t>
      </w:r>
      <w:r w:rsidR="007B0370">
        <w:t xml:space="preserve">’ </w:t>
      </w:r>
      <w:r w:rsidR="00001712">
        <w:t xml:space="preserve">relativity </w:t>
      </w:r>
      <w:r w:rsidR="00FA221A" w:rsidRPr="009D34F9">
        <w:t>is forecast to rise</w:t>
      </w:r>
      <w:r w:rsidR="000F1FDF">
        <w:t>,</w:t>
      </w:r>
      <w:r w:rsidR="00FA221A" w:rsidRPr="009D34F9">
        <w:t xml:space="preserve"> reflecting Western Australia’s current strong royalty revenues as well as the recent downturn in the housing market</w:t>
      </w:r>
      <w:r w:rsidR="00691DDD">
        <w:t>, felt particularly in</w:t>
      </w:r>
      <w:r w:rsidR="00FA221A" w:rsidRPr="009D34F9">
        <w:t xml:space="preserve"> New South Wales and Victoria.</w:t>
      </w:r>
    </w:p>
    <w:p w14:paraId="45FE4DAB" w14:textId="0B1FDF24" w:rsidR="00B46FD8" w:rsidRDefault="00377CFE" w:rsidP="00D63847">
      <w:pPr>
        <w:pStyle w:val="BodyText"/>
      </w:pPr>
      <w:r>
        <w:t>Downside</w:t>
      </w:r>
      <w:r w:rsidR="00A66CE8">
        <w:t xml:space="preserve"> risks to the</w:t>
      </w:r>
      <w:r w:rsidR="00080296">
        <w:t xml:space="preserve"> national GST</w:t>
      </w:r>
      <w:r w:rsidR="00A66CE8">
        <w:t xml:space="preserve"> pool forecast include </w:t>
      </w:r>
      <w:r w:rsidR="003F3DDC">
        <w:t xml:space="preserve">weaker </w:t>
      </w:r>
      <w:r w:rsidR="004310B7">
        <w:t>household consumption</w:t>
      </w:r>
      <w:r w:rsidR="001512D5">
        <w:t xml:space="preserve"> and</w:t>
      </w:r>
      <w:r w:rsidR="004C5A2A">
        <w:t xml:space="preserve"> </w:t>
      </w:r>
      <w:r w:rsidR="00654BE0">
        <w:t>dwelling investment</w:t>
      </w:r>
      <w:r w:rsidR="001512D5">
        <w:t>,</w:t>
      </w:r>
      <w:r w:rsidR="004310B7">
        <w:t xml:space="preserve"> </w:t>
      </w:r>
      <w:r w:rsidR="00654BE0">
        <w:t xml:space="preserve">and </w:t>
      </w:r>
      <w:r w:rsidR="00C62132">
        <w:t xml:space="preserve">changes in </w:t>
      </w:r>
      <w:r w:rsidR="004310B7">
        <w:t xml:space="preserve">the share of </w:t>
      </w:r>
      <w:r w:rsidR="00A66CE8">
        <w:t>consumption subject to GST</w:t>
      </w:r>
      <w:r w:rsidR="004C5A2A">
        <w:t xml:space="preserve">. </w:t>
      </w:r>
      <w:r w:rsidR="00062783">
        <w:t xml:space="preserve">The possibility </w:t>
      </w:r>
      <w:r w:rsidR="00C34108">
        <w:t>of</w:t>
      </w:r>
      <w:r w:rsidR="00062783">
        <w:t xml:space="preserve"> elevated iron ore prices </w:t>
      </w:r>
      <w:r w:rsidR="00C33475">
        <w:t>beyond 2019 pr</w:t>
      </w:r>
      <w:r w:rsidR="001512D5">
        <w:t>esents</w:t>
      </w:r>
      <w:r w:rsidR="00C33475">
        <w:t xml:space="preserve"> </w:t>
      </w:r>
      <w:r w:rsidR="00C34108">
        <w:t>an upside risk for N</w:t>
      </w:r>
      <w:r w:rsidR="001512D5">
        <w:t xml:space="preserve">ew </w:t>
      </w:r>
      <w:r w:rsidR="00C34108">
        <w:t>S</w:t>
      </w:r>
      <w:r w:rsidR="001512D5">
        <w:t xml:space="preserve">outh </w:t>
      </w:r>
      <w:r w:rsidR="00C34108">
        <w:t>W</w:t>
      </w:r>
      <w:r w:rsidR="001512D5">
        <w:t>ales’</w:t>
      </w:r>
      <w:r w:rsidR="00C34108">
        <w:t xml:space="preserve"> </w:t>
      </w:r>
      <w:r w:rsidR="00C12449">
        <w:t xml:space="preserve">share of </w:t>
      </w:r>
      <w:r w:rsidR="00C34108">
        <w:t>GST.</w:t>
      </w:r>
      <w:r w:rsidR="00206F2A">
        <w:t xml:space="preserve"> </w:t>
      </w:r>
      <w:r w:rsidR="004171EC" w:rsidRPr="00FA3440">
        <w:t xml:space="preserve">The </w:t>
      </w:r>
      <w:r w:rsidR="004171EC">
        <w:t xml:space="preserve">potential </w:t>
      </w:r>
      <w:r w:rsidR="004171EC" w:rsidRPr="00FA3440">
        <w:t xml:space="preserve">significance of </w:t>
      </w:r>
      <w:r w:rsidR="00206F2A">
        <w:t>these</w:t>
      </w:r>
      <w:r w:rsidR="00206F2A" w:rsidRPr="00FA3440">
        <w:t xml:space="preserve"> </w:t>
      </w:r>
      <w:r w:rsidR="004171EC" w:rsidRPr="00FA3440">
        <w:t>risk</w:t>
      </w:r>
      <w:r w:rsidR="00206F2A">
        <w:t>s</w:t>
      </w:r>
      <w:r w:rsidR="004171EC" w:rsidRPr="00FA3440">
        <w:t xml:space="preserve"> is</w:t>
      </w:r>
      <w:r w:rsidR="004171EC">
        <w:t xml:space="preserve"> considered further</w:t>
      </w:r>
      <w:r w:rsidR="004171EC" w:rsidRPr="00FA3440">
        <w:t xml:space="preserve"> in </w:t>
      </w:r>
      <w:r w:rsidR="004171EC" w:rsidRPr="00384E74">
        <w:rPr>
          <w:i/>
        </w:rPr>
        <w:t xml:space="preserve">Appendix </w:t>
      </w:r>
      <w:r w:rsidR="004E0A62" w:rsidRPr="00384E74">
        <w:rPr>
          <w:i/>
        </w:rPr>
        <w:t>B</w:t>
      </w:r>
      <w:r w:rsidR="004171EC" w:rsidRPr="00384E74">
        <w:rPr>
          <w:i/>
        </w:rPr>
        <w:t>: Fiscal Risks and Budget Sensitivities</w:t>
      </w:r>
      <w:r w:rsidR="004171EC">
        <w:t>.</w:t>
      </w:r>
      <w:r w:rsidR="009E3BD5" w:rsidDel="00F11B0E">
        <w:t xml:space="preserve"> </w:t>
      </w:r>
    </w:p>
    <w:p w14:paraId="54E73610" w14:textId="5098C863" w:rsidR="004171EC" w:rsidRDefault="004171EC" w:rsidP="003B4788">
      <w:pPr>
        <w:pStyle w:val="Table4X"/>
        <w:tabs>
          <w:tab w:val="clear" w:pos="1134"/>
          <w:tab w:val="left" w:pos="1304"/>
        </w:tabs>
        <w:ind w:left="1304" w:hanging="1304"/>
      </w:pPr>
      <w:r w:rsidRPr="00F612F1">
        <w:t>GST revenues to New South Wales – reconciliation statement</w:t>
      </w:r>
      <w:r w:rsidR="008F315E">
        <w:rPr>
          <w:vertAlign w:val="superscript"/>
        </w:rPr>
        <w:t>(a)</w:t>
      </w:r>
    </w:p>
    <w:p w14:paraId="3291B4E1" w14:textId="2662557B" w:rsidR="001D20C2" w:rsidRDefault="005F3330" w:rsidP="00384E74">
      <w:pPr>
        <w:rPr>
          <w:rFonts w:ascii="Arial" w:eastAsiaTheme="minorHAnsi" w:hAnsi="Arial" w:cs="Arial"/>
          <w:noProof/>
          <w:sz w:val="18"/>
          <w:lang w:eastAsia="x-none"/>
        </w:rPr>
      </w:pPr>
      <w:r w:rsidRPr="005F3330">
        <w:rPr>
          <w:rFonts w:eastAsiaTheme="minorHAnsi"/>
          <w:noProof/>
        </w:rPr>
        <w:drawing>
          <wp:inline distT="0" distB="0" distL="0" distR="0" wp14:anchorId="1DB4DCE8" wp14:editId="55DD90EA">
            <wp:extent cx="5931535" cy="3244215"/>
            <wp:effectExtent l="0" t="0" r="0" b="0"/>
            <wp:docPr id="27" name="Picture 27" descr="Table 4.6: GST revenues to New South Wales – reconciliat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1535" cy="3244215"/>
                    </a:xfrm>
                    <a:prstGeom prst="rect">
                      <a:avLst/>
                    </a:prstGeom>
                    <a:noFill/>
                    <a:ln>
                      <a:noFill/>
                    </a:ln>
                  </pic:spPr>
                </pic:pic>
              </a:graphicData>
            </a:graphic>
          </wp:inline>
        </w:drawing>
      </w:r>
    </w:p>
    <w:p w14:paraId="7351A94D" w14:textId="77777777" w:rsidR="001D20C2" w:rsidRPr="00384E74" w:rsidRDefault="001D20C2" w:rsidP="00384E74">
      <w:pPr>
        <w:rPr>
          <w:rFonts w:ascii="Arial" w:eastAsiaTheme="minorHAnsi" w:hAnsi="Arial" w:cs="Arial"/>
          <w:i/>
          <w:noProof/>
          <w:sz w:val="6"/>
          <w:szCs w:val="6"/>
          <w:lang w:eastAsia="x-none"/>
        </w:rPr>
      </w:pPr>
    </w:p>
    <w:p w14:paraId="472C0CB3" w14:textId="32CA061F" w:rsidR="004171EC" w:rsidRPr="00384E74" w:rsidRDefault="004171EC" w:rsidP="00384E74">
      <w:pPr>
        <w:pStyle w:val="ListParagraph"/>
        <w:numPr>
          <w:ilvl w:val="0"/>
          <w:numId w:val="70"/>
        </w:numPr>
        <w:spacing w:after="200" w:line="276" w:lineRule="auto"/>
        <w:ind w:left="426" w:hanging="426"/>
        <w:rPr>
          <w:rFonts w:ascii="Arial" w:hAnsi="Arial" w:cs="Arial"/>
          <w:sz w:val="17"/>
          <w:szCs w:val="17"/>
        </w:rPr>
      </w:pPr>
      <w:r w:rsidRPr="00384E74">
        <w:rPr>
          <w:rFonts w:ascii="Arial" w:hAnsi="Arial" w:cs="Arial"/>
          <w:sz w:val="17"/>
          <w:szCs w:val="17"/>
        </w:rPr>
        <w:t xml:space="preserve">The Commonwealth </w:t>
      </w:r>
      <w:r w:rsidR="005C34F0">
        <w:rPr>
          <w:rFonts w:ascii="Arial" w:hAnsi="Arial" w:cs="Arial"/>
          <w:sz w:val="17"/>
          <w:szCs w:val="17"/>
        </w:rPr>
        <w:t xml:space="preserve">Government </w:t>
      </w:r>
      <w:r w:rsidRPr="00384E74">
        <w:rPr>
          <w:rFonts w:ascii="Arial" w:hAnsi="Arial" w:cs="Arial"/>
          <w:sz w:val="17"/>
          <w:szCs w:val="17"/>
        </w:rPr>
        <w:t>will provide separate untied grants between 2021-22 to 2026-27</w:t>
      </w:r>
      <w:r w:rsidR="001D584D" w:rsidRPr="00384E74">
        <w:rPr>
          <w:rFonts w:ascii="Arial" w:hAnsi="Arial" w:cs="Arial"/>
          <w:sz w:val="17"/>
          <w:szCs w:val="17"/>
        </w:rPr>
        <w:t xml:space="preserve"> to ensure states and territories are financially no worse off</w:t>
      </w:r>
      <w:r w:rsidR="007F1C23" w:rsidRPr="00384E74">
        <w:rPr>
          <w:rFonts w:ascii="Arial" w:hAnsi="Arial" w:cs="Arial"/>
          <w:sz w:val="17"/>
          <w:szCs w:val="17"/>
        </w:rPr>
        <w:t xml:space="preserve"> </w:t>
      </w:r>
      <w:r w:rsidR="006023AD" w:rsidRPr="00384E74">
        <w:rPr>
          <w:rFonts w:ascii="Arial" w:hAnsi="Arial" w:cs="Arial"/>
          <w:sz w:val="17"/>
          <w:szCs w:val="17"/>
        </w:rPr>
        <w:t xml:space="preserve">under changes to the Horizontal Fiscal Equalisation system </w:t>
      </w:r>
      <w:r w:rsidR="00ED7B70" w:rsidRPr="00384E74">
        <w:rPr>
          <w:rFonts w:ascii="Arial" w:hAnsi="Arial" w:cs="Arial"/>
          <w:sz w:val="17"/>
          <w:szCs w:val="17"/>
        </w:rPr>
        <w:t>(‘no worse off’ payments)</w:t>
      </w:r>
      <w:r w:rsidRPr="00384E74">
        <w:rPr>
          <w:rFonts w:ascii="Arial" w:hAnsi="Arial" w:cs="Arial"/>
          <w:sz w:val="17"/>
          <w:szCs w:val="17"/>
        </w:rPr>
        <w:t>.</w:t>
      </w:r>
      <w:r w:rsidR="00ED7B70" w:rsidRPr="00384E74">
        <w:rPr>
          <w:rFonts w:ascii="Arial" w:hAnsi="Arial" w:cs="Arial"/>
          <w:sz w:val="17"/>
          <w:szCs w:val="17"/>
        </w:rPr>
        <w:t xml:space="preserve"> These payments are not part of the GST pool and are counted as other</w:t>
      </w:r>
      <w:r w:rsidR="008F315E" w:rsidRPr="00384E74">
        <w:rPr>
          <w:rFonts w:ascii="Arial" w:hAnsi="Arial" w:cs="Arial"/>
          <w:sz w:val="17"/>
          <w:szCs w:val="17"/>
        </w:rPr>
        <w:t xml:space="preserve"> </w:t>
      </w:r>
      <w:proofErr w:type="gramStart"/>
      <w:r w:rsidR="008F315E" w:rsidRPr="00384E74">
        <w:rPr>
          <w:rFonts w:ascii="Arial" w:hAnsi="Arial" w:cs="Arial"/>
          <w:sz w:val="17"/>
          <w:szCs w:val="17"/>
        </w:rPr>
        <w:t>general purpose</w:t>
      </w:r>
      <w:proofErr w:type="gramEnd"/>
      <w:r w:rsidR="00ED7B70" w:rsidRPr="00384E74">
        <w:rPr>
          <w:rFonts w:ascii="Arial" w:hAnsi="Arial" w:cs="Arial"/>
          <w:sz w:val="17"/>
          <w:szCs w:val="17"/>
        </w:rPr>
        <w:t xml:space="preserve"> grant revenue.</w:t>
      </w:r>
    </w:p>
    <w:p w14:paraId="6832C31F" w14:textId="77777777" w:rsidR="004D7187" w:rsidRDefault="004D7187">
      <w:pPr>
        <w:spacing w:after="200" w:line="276" w:lineRule="auto"/>
      </w:pPr>
      <w:r>
        <w:br w:type="page"/>
      </w:r>
    </w:p>
    <w:p w14:paraId="349A2C74" w14:textId="27520478" w:rsidR="000C0534" w:rsidRPr="00384E74" w:rsidRDefault="000C0534" w:rsidP="00384E74">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4.2: Transitional costs for the new Horizontal Fiscal Equalisation (HFE) scheme are growing rapidly"/>
        <w:tblDescription w:val="Box 4.2: Transitional costs for the new Horizontal Fiscal Equalisation (HFE) scheme are growing rapidly"/>
      </w:tblPr>
      <w:tblGrid>
        <w:gridCol w:w="9639"/>
      </w:tblGrid>
      <w:tr w:rsidR="004D7187" w14:paraId="3DADDB1E" w14:textId="77777777" w:rsidTr="00384E74">
        <w:trPr>
          <w:trHeight w:val="567"/>
        </w:trPr>
        <w:tc>
          <w:tcPr>
            <w:tcW w:w="9639" w:type="dxa"/>
            <w:shd w:val="pct5" w:color="auto" w:fill="auto"/>
          </w:tcPr>
          <w:p w14:paraId="2418120A" w14:textId="77777777" w:rsidR="004D7187" w:rsidRDefault="004D7187" w:rsidP="004D7187">
            <w:pPr>
              <w:pStyle w:val="Box51BoxHeading"/>
              <w:framePr w:wrap="auto" w:vAnchor="margin" w:yAlign="inline"/>
              <w:ind w:left="1176" w:hanging="1176"/>
            </w:pPr>
            <w:r>
              <w:t>Transitional costs for the new Horizontal Fiscal Equalisation (HFE) scheme are growing rapidly</w:t>
            </w:r>
          </w:p>
          <w:p w14:paraId="4A78DA7B" w14:textId="3A286599" w:rsidR="004D7187" w:rsidRPr="00055D45" w:rsidRDefault="004D7187" w:rsidP="004D7187">
            <w:pPr>
              <w:spacing w:after="120"/>
              <w:rPr>
                <w:color w:val="0A7CB9"/>
                <w:sz w:val="22"/>
                <w:szCs w:val="22"/>
              </w:rPr>
            </w:pPr>
            <w:r w:rsidRPr="00055D45">
              <w:rPr>
                <w:rFonts w:ascii="Arial" w:eastAsiaTheme="minorHAnsi" w:hAnsi="Arial" w:cs="Arial"/>
                <w:color w:val="0A7CB9"/>
                <w:sz w:val="22"/>
                <w:szCs w:val="22"/>
              </w:rPr>
              <w:t>The Commonwealth</w:t>
            </w:r>
            <w:r w:rsidR="005C34F0">
              <w:rPr>
                <w:rFonts w:ascii="Arial" w:eastAsiaTheme="minorHAnsi" w:hAnsi="Arial" w:cs="Arial"/>
                <w:color w:val="0A7CB9"/>
                <w:sz w:val="22"/>
                <w:szCs w:val="22"/>
              </w:rPr>
              <w:t xml:space="preserve"> Government</w:t>
            </w:r>
            <w:r w:rsidRPr="00055D45">
              <w:rPr>
                <w:rFonts w:ascii="Arial" w:eastAsiaTheme="minorHAnsi" w:hAnsi="Arial" w:cs="Arial"/>
                <w:color w:val="0A7CB9"/>
                <w:sz w:val="22"/>
                <w:szCs w:val="22"/>
              </w:rPr>
              <w:t xml:space="preserve"> legislated changes to HFE in late 2018 as a response to the Productivity Commission inquiry into HFE (the PC inquiry). The </w:t>
            </w:r>
            <w:r>
              <w:rPr>
                <w:rFonts w:ascii="Arial" w:eastAsiaTheme="minorHAnsi" w:hAnsi="Arial" w:cs="Arial"/>
                <w:color w:val="0A7CB9"/>
                <w:sz w:val="22"/>
                <w:szCs w:val="22"/>
              </w:rPr>
              <w:t>changes included a</w:t>
            </w:r>
            <w:r w:rsidRPr="00055D45">
              <w:rPr>
                <w:rFonts w:ascii="Arial" w:eastAsiaTheme="minorHAnsi" w:hAnsi="Arial" w:cs="Arial"/>
                <w:color w:val="0A7CB9"/>
                <w:sz w:val="22"/>
                <w:szCs w:val="22"/>
              </w:rPr>
              <w:t xml:space="preserve"> new HFE benchmark and a transition plan to 2026-27.  </w:t>
            </w:r>
          </w:p>
          <w:p w14:paraId="19627A27" w14:textId="77777777" w:rsidR="004D7187" w:rsidRPr="00055D45" w:rsidRDefault="004D7187" w:rsidP="004D7187">
            <w:pPr>
              <w:spacing w:after="120"/>
              <w:rPr>
                <w:color w:val="0A7CB9"/>
                <w:sz w:val="22"/>
                <w:szCs w:val="22"/>
              </w:rPr>
            </w:pPr>
            <w:r w:rsidRPr="00055D45">
              <w:rPr>
                <w:rFonts w:ascii="Arial" w:eastAsiaTheme="minorHAnsi" w:hAnsi="Arial" w:cs="Arial"/>
                <w:color w:val="0A7CB9"/>
                <w:sz w:val="22"/>
                <w:szCs w:val="22"/>
              </w:rPr>
              <w:t xml:space="preserve">New South Wales estimates the </w:t>
            </w:r>
            <w:r>
              <w:rPr>
                <w:rFonts w:ascii="Arial" w:eastAsiaTheme="minorHAnsi" w:hAnsi="Arial" w:cs="Arial"/>
                <w:color w:val="0A7CB9"/>
                <w:sz w:val="22"/>
                <w:szCs w:val="22"/>
              </w:rPr>
              <w:t xml:space="preserve">new HFE system will cost the </w:t>
            </w:r>
            <w:r w:rsidRPr="00055D45">
              <w:rPr>
                <w:rFonts w:ascii="Arial" w:eastAsiaTheme="minorHAnsi" w:hAnsi="Arial" w:cs="Arial"/>
                <w:color w:val="0A7CB9"/>
                <w:sz w:val="22"/>
                <w:szCs w:val="22"/>
              </w:rPr>
              <w:t>Commonwealth</w:t>
            </w:r>
            <w:r>
              <w:rPr>
                <w:rFonts w:ascii="Arial" w:eastAsiaTheme="minorHAnsi" w:hAnsi="Arial" w:cs="Arial"/>
                <w:color w:val="0A7CB9"/>
                <w:sz w:val="22"/>
                <w:szCs w:val="22"/>
              </w:rPr>
              <w:t xml:space="preserve"> $8.7 billion in</w:t>
            </w:r>
            <w:r w:rsidRPr="00055D45">
              <w:rPr>
                <w:rFonts w:ascii="Arial" w:eastAsiaTheme="minorHAnsi" w:hAnsi="Arial" w:cs="Arial"/>
                <w:color w:val="0A7CB9"/>
                <w:sz w:val="22"/>
                <w:szCs w:val="22"/>
              </w:rPr>
              <w:t xml:space="preserve"> the four years to 2022-23. This is $5.7 billion higher than the Commonwealth estimated in its interim response to the PC inquiry </w:t>
            </w:r>
            <w:r>
              <w:rPr>
                <w:rFonts w:ascii="Arial" w:eastAsiaTheme="minorHAnsi" w:hAnsi="Arial" w:cs="Arial"/>
                <w:color w:val="0A7CB9"/>
                <w:sz w:val="22"/>
                <w:szCs w:val="22"/>
              </w:rPr>
              <w:t xml:space="preserve">in July 2018 </w:t>
            </w:r>
            <w:r w:rsidRPr="00055D45">
              <w:rPr>
                <w:rFonts w:ascii="Arial" w:eastAsiaTheme="minorHAnsi" w:hAnsi="Arial" w:cs="Arial"/>
                <w:color w:val="0A7CB9"/>
                <w:sz w:val="22"/>
                <w:szCs w:val="22"/>
              </w:rPr>
              <w:t>(</w:t>
            </w:r>
            <w:r>
              <w:rPr>
                <w:rFonts w:ascii="Arial" w:eastAsiaTheme="minorHAnsi" w:hAnsi="Arial" w:cs="Arial"/>
                <w:color w:val="0A7CB9"/>
                <w:sz w:val="22"/>
                <w:szCs w:val="22"/>
              </w:rPr>
              <w:t>s</w:t>
            </w:r>
            <w:r w:rsidRPr="00055D45">
              <w:rPr>
                <w:rFonts w:ascii="Arial" w:eastAsiaTheme="minorHAnsi" w:hAnsi="Arial" w:cs="Arial"/>
                <w:color w:val="0A7CB9"/>
                <w:sz w:val="22"/>
                <w:szCs w:val="22"/>
              </w:rPr>
              <w:t xml:space="preserve">ee Chart </w:t>
            </w:r>
            <w:r>
              <w:rPr>
                <w:rFonts w:ascii="Arial" w:eastAsiaTheme="minorHAnsi" w:hAnsi="Arial" w:cs="Arial"/>
                <w:color w:val="0A7CB9"/>
                <w:sz w:val="22"/>
                <w:szCs w:val="22"/>
              </w:rPr>
              <w:t>4</w:t>
            </w:r>
            <w:r w:rsidRPr="00055D45">
              <w:rPr>
                <w:rFonts w:ascii="Arial" w:eastAsiaTheme="minorHAnsi" w:hAnsi="Arial" w:cs="Arial"/>
                <w:color w:val="0A7CB9"/>
                <w:sz w:val="22"/>
                <w:szCs w:val="22"/>
              </w:rPr>
              <w:t>.</w:t>
            </w:r>
            <w:r>
              <w:rPr>
                <w:rFonts w:ascii="Arial" w:eastAsiaTheme="minorHAnsi" w:hAnsi="Arial" w:cs="Arial"/>
                <w:color w:val="0A7CB9"/>
                <w:sz w:val="22"/>
                <w:szCs w:val="22"/>
              </w:rPr>
              <w:t>6</w:t>
            </w:r>
            <w:r w:rsidRPr="00055D45">
              <w:rPr>
                <w:rFonts w:ascii="Arial" w:eastAsiaTheme="minorHAnsi" w:hAnsi="Arial" w:cs="Arial"/>
                <w:color w:val="0A7CB9"/>
                <w:sz w:val="22"/>
                <w:szCs w:val="22"/>
              </w:rPr>
              <w:t xml:space="preserve">).  </w:t>
            </w:r>
          </w:p>
          <w:p w14:paraId="71F4D8FF" w14:textId="77777777" w:rsidR="004D7187" w:rsidRPr="00055D45" w:rsidRDefault="004D7187" w:rsidP="004D7187">
            <w:pPr>
              <w:spacing w:after="120"/>
              <w:rPr>
                <w:color w:val="0A7CB9"/>
                <w:sz w:val="22"/>
                <w:szCs w:val="22"/>
              </w:rPr>
            </w:pPr>
            <w:r w:rsidRPr="00055D45">
              <w:rPr>
                <w:rFonts w:ascii="Arial" w:eastAsiaTheme="minorHAnsi" w:hAnsi="Arial" w:cs="Arial"/>
                <w:color w:val="0A7CB9"/>
                <w:sz w:val="22"/>
                <w:szCs w:val="22"/>
              </w:rPr>
              <w:t xml:space="preserve">Western Australia is projected to receive $7.7 billion in total from 2019-20 to 2022-23 including $4.7 billion to support </w:t>
            </w:r>
            <w:r>
              <w:rPr>
                <w:rFonts w:ascii="Arial" w:eastAsiaTheme="minorHAnsi" w:hAnsi="Arial" w:cs="Arial"/>
                <w:color w:val="0A7CB9"/>
                <w:sz w:val="22"/>
                <w:szCs w:val="22"/>
              </w:rPr>
              <w:t xml:space="preserve">a </w:t>
            </w:r>
            <w:r w:rsidRPr="00055D45">
              <w:rPr>
                <w:rFonts w:ascii="Arial" w:eastAsiaTheme="minorHAnsi" w:hAnsi="Arial" w:cs="Arial"/>
                <w:color w:val="0A7CB9"/>
                <w:sz w:val="22"/>
                <w:szCs w:val="22"/>
              </w:rPr>
              <w:t>Commonwealth-funded 0.70 relativity floor. Payments to Western Australia are now</w:t>
            </w:r>
            <w:r>
              <w:rPr>
                <w:rFonts w:ascii="Arial" w:eastAsiaTheme="minorHAnsi" w:hAnsi="Arial" w:cs="Arial"/>
                <w:color w:val="0A7CB9"/>
                <w:sz w:val="22"/>
                <w:szCs w:val="22"/>
              </w:rPr>
              <w:t xml:space="preserve"> expected to be</w:t>
            </w:r>
            <w:r w:rsidRPr="00055D45">
              <w:rPr>
                <w:rFonts w:ascii="Arial" w:eastAsiaTheme="minorHAnsi" w:hAnsi="Arial" w:cs="Arial"/>
                <w:color w:val="0A7CB9"/>
                <w:sz w:val="22"/>
                <w:szCs w:val="22"/>
              </w:rPr>
              <w:t xml:space="preserve"> $</w:t>
            </w:r>
            <w:r>
              <w:rPr>
                <w:rFonts w:ascii="Arial" w:eastAsiaTheme="minorHAnsi" w:hAnsi="Arial" w:cs="Arial"/>
                <w:color w:val="0A7CB9"/>
                <w:sz w:val="22"/>
                <w:szCs w:val="22"/>
              </w:rPr>
              <w:t>5</w:t>
            </w:r>
            <w:r w:rsidRPr="00055D45">
              <w:rPr>
                <w:rFonts w:ascii="Arial" w:eastAsiaTheme="minorHAnsi" w:hAnsi="Arial" w:cs="Arial"/>
                <w:color w:val="0A7CB9"/>
                <w:sz w:val="22"/>
                <w:szCs w:val="22"/>
              </w:rPr>
              <w:t xml:space="preserve">.3 billion </w:t>
            </w:r>
            <w:r>
              <w:rPr>
                <w:rFonts w:ascii="Arial" w:eastAsiaTheme="minorHAnsi" w:hAnsi="Arial" w:cs="Arial"/>
                <w:color w:val="0A7CB9"/>
                <w:sz w:val="22"/>
                <w:szCs w:val="22"/>
              </w:rPr>
              <w:t>higher</w:t>
            </w:r>
            <w:r w:rsidRPr="00055D45">
              <w:rPr>
                <w:rFonts w:ascii="Arial" w:eastAsiaTheme="minorHAnsi" w:hAnsi="Arial" w:cs="Arial"/>
                <w:color w:val="0A7CB9"/>
                <w:sz w:val="22"/>
                <w:szCs w:val="22"/>
              </w:rPr>
              <w:t xml:space="preserve"> than the Commonwealth </w:t>
            </w:r>
            <w:r>
              <w:rPr>
                <w:rFonts w:ascii="Arial" w:eastAsiaTheme="minorHAnsi" w:hAnsi="Arial" w:cs="Arial"/>
                <w:color w:val="0A7CB9"/>
                <w:sz w:val="22"/>
                <w:szCs w:val="22"/>
              </w:rPr>
              <w:t>had estimated</w:t>
            </w:r>
            <w:r w:rsidRPr="00055D45">
              <w:rPr>
                <w:rFonts w:ascii="Arial" w:eastAsiaTheme="minorHAnsi" w:hAnsi="Arial" w:cs="Arial"/>
                <w:color w:val="0A7CB9"/>
                <w:sz w:val="22"/>
                <w:szCs w:val="22"/>
              </w:rPr>
              <w:t xml:space="preserve"> in its interim response to the PC inquiry.</w:t>
            </w:r>
          </w:p>
          <w:p w14:paraId="59359CA1" w14:textId="77777777" w:rsidR="004D7187" w:rsidRPr="00055D45" w:rsidRDefault="004D7187" w:rsidP="003B4788">
            <w:pPr>
              <w:pStyle w:val="Chart41"/>
              <w:keepLines w:val="0"/>
              <w:widowControl w:val="0"/>
              <w:ind w:left="1304" w:hanging="1304"/>
              <w:rPr>
                <w:rFonts w:ascii="Times New Roman" w:hAnsi="Times New Roman"/>
              </w:rPr>
            </w:pPr>
            <w:r w:rsidRPr="00055D45">
              <w:rPr>
                <w:rFonts w:eastAsiaTheme="minorHAnsi"/>
              </w:rPr>
              <w:t xml:space="preserve">Commonwealth HFE transition costs  </w:t>
            </w:r>
          </w:p>
          <w:p w14:paraId="78C6BF33" w14:textId="77777777" w:rsidR="004D7187" w:rsidRDefault="004D7187" w:rsidP="004D7187">
            <w:pPr>
              <w:jc w:val="center"/>
            </w:pPr>
            <w:r>
              <w:t xml:space="preserve"> </w:t>
            </w:r>
            <w:r w:rsidRPr="005F3330">
              <w:rPr>
                <w:noProof/>
              </w:rPr>
              <w:drawing>
                <wp:inline distT="0" distB="0" distL="0" distR="0" wp14:anchorId="43D4713D" wp14:editId="480903BB">
                  <wp:extent cx="6106795" cy="23215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6795" cy="2321560"/>
                          </a:xfrm>
                          <a:prstGeom prst="rect">
                            <a:avLst/>
                          </a:prstGeom>
                          <a:noFill/>
                          <a:ln>
                            <a:noFill/>
                          </a:ln>
                        </pic:spPr>
                      </pic:pic>
                    </a:graphicData>
                  </a:graphic>
                </wp:inline>
              </w:drawing>
            </w:r>
          </w:p>
          <w:p w14:paraId="7BA20B3F" w14:textId="77777777" w:rsidR="004D7187" w:rsidRPr="0077422C" w:rsidRDefault="004D7187" w:rsidP="004D7187"/>
          <w:p w14:paraId="12967CAE" w14:textId="016B7BD6" w:rsidR="004D7187" w:rsidRDefault="004D7187" w:rsidP="004D7187">
            <w:pPr>
              <w:spacing w:after="120"/>
              <w:rPr>
                <w:rFonts w:ascii="Arial" w:eastAsiaTheme="minorHAnsi" w:hAnsi="Arial" w:cs="Arial"/>
                <w:color w:val="0A7CB9"/>
                <w:sz w:val="22"/>
                <w:szCs w:val="22"/>
              </w:rPr>
            </w:pPr>
            <w:r>
              <w:rPr>
                <w:rFonts w:ascii="Arial" w:eastAsiaTheme="minorHAnsi" w:hAnsi="Arial" w:cs="Arial"/>
                <w:color w:val="0A7CB9"/>
                <w:sz w:val="22"/>
                <w:szCs w:val="22"/>
              </w:rPr>
              <w:t xml:space="preserve">The increase in total HFE scheme costs reflects </w:t>
            </w:r>
            <w:r w:rsidRPr="00055D45">
              <w:rPr>
                <w:rFonts w:ascii="Arial" w:eastAsiaTheme="minorHAnsi" w:hAnsi="Arial" w:cs="Arial"/>
                <w:color w:val="0A7CB9"/>
                <w:sz w:val="22"/>
                <w:szCs w:val="22"/>
              </w:rPr>
              <w:t>Western Australia’s current strong royalty revenues</w:t>
            </w:r>
            <w:r>
              <w:rPr>
                <w:rFonts w:ascii="Arial" w:eastAsiaTheme="minorHAnsi" w:hAnsi="Arial" w:cs="Arial"/>
                <w:color w:val="0A7CB9"/>
                <w:sz w:val="22"/>
                <w:szCs w:val="22"/>
              </w:rPr>
              <w:t xml:space="preserve"> and</w:t>
            </w:r>
            <w:r w:rsidRPr="00055D45">
              <w:rPr>
                <w:rFonts w:ascii="Arial" w:eastAsiaTheme="minorHAnsi" w:hAnsi="Arial" w:cs="Arial"/>
                <w:color w:val="0A7CB9"/>
                <w:sz w:val="22"/>
                <w:szCs w:val="22"/>
              </w:rPr>
              <w:t xml:space="preserve"> the </w:t>
            </w:r>
            <w:r>
              <w:rPr>
                <w:rFonts w:ascii="Arial" w:eastAsiaTheme="minorHAnsi" w:hAnsi="Arial" w:cs="Arial"/>
                <w:color w:val="0A7CB9"/>
                <w:sz w:val="22"/>
                <w:szCs w:val="22"/>
              </w:rPr>
              <w:t>Commonwealth Grants Commission</w:t>
            </w:r>
            <w:r w:rsidR="00AD2884">
              <w:rPr>
                <w:rFonts w:ascii="Arial" w:eastAsiaTheme="minorHAnsi" w:hAnsi="Arial" w:cs="Arial"/>
                <w:color w:val="0A7CB9"/>
                <w:sz w:val="22"/>
                <w:szCs w:val="22"/>
              </w:rPr>
              <w:t>’s</w:t>
            </w:r>
            <w:r>
              <w:rPr>
                <w:rFonts w:ascii="Arial" w:eastAsiaTheme="minorHAnsi" w:hAnsi="Arial" w:cs="Arial"/>
                <w:color w:val="0A7CB9"/>
                <w:sz w:val="22"/>
                <w:szCs w:val="22"/>
              </w:rPr>
              <w:t xml:space="preserve"> </w:t>
            </w:r>
            <w:r w:rsidRPr="00055D45">
              <w:rPr>
                <w:rFonts w:ascii="Arial" w:eastAsiaTheme="minorHAnsi" w:hAnsi="Arial" w:cs="Arial"/>
                <w:color w:val="0A7CB9"/>
                <w:sz w:val="22"/>
                <w:szCs w:val="22"/>
              </w:rPr>
              <w:t>recent assessment that Western Australia’s relative wage pressures had decreased substantially</w:t>
            </w:r>
            <w:r>
              <w:rPr>
                <w:rFonts w:ascii="Arial" w:eastAsiaTheme="minorHAnsi" w:hAnsi="Arial" w:cs="Arial"/>
                <w:color w:val="0A7CB9"/>
                <w:sz w:val="22"/>
                <w:szCs w:val="22"/>
              </w:rPr>
              <w:t>.</w:t>
            </w:r>
            <w:r w:rsidRPr="00055D45">
              <w:rPr>
                <w:rFonts w:ascii="Arial" w:eastAsiaTheme="minorHAnsi" w:hAnsi="Arial" w:cs="Arial"/>
                <w:color w:val="0A7CB9"/>
                <w:sz w:val="22"/>
                <w:szCs w:val="22"/>
              </w:rPr>
              <w:t xml:space="preserve"> </w:t>
            </w:r>
            <w:r>
              <w:rPr>
                <w:rFonts w:ascii="Arial" w:eastAsiaTheme="minorHAnsi" w:hAnsi="Arial" w:cs="Arial"/>
                <w:color w:val="0A7CB9"/>
                <w:sz w:val="22"/>
                <w:szCs w:val="22"/>
              </w:rPr>
              <w:t xml:space="preserve">In addition, recent </w:t>
            </w:r>
            <w:r w:rsidRPr="00055D45">
              <w:rPr>
                <w:rFonts w:ascii="Arial" w:eastAsiaTheme="minorHAnsi" w:hAnsi="Arial" w:cs="Arial"/>
                <w:color w:val="0A7CB9"/>
                <w:sz w:val="22"/>
                <w:szCs w:val="22"/>
              </w:rPr>
              <w:t>housing market downturns concentrated in New South Wales and Victoria</w:t>
            </w:r>
            <w:r>
              <w:rPr>
                <w:rFonts w:ascii="Arial" w:eastAsiaTheme="minorHAnsi" w:hAnsi="Arial" w:cs="Arial"/>
                <w:color w:val="0A7CB9"/>
                <w:sz w:val="22"/>
                <w:szCs w:val="22"/>
              </w:rPr>
              <w:t xml:space="preserve"> have also increased their relativities – resulting in higher ‘no worse off’ payments. </w:t>
            </w:r>
            <w:r w:rsidRPr="00055D45">
              <w:rPr>
                <w:rFonts w:ascii="Arial" w:eastAsiaTheme="minorHAnsi" w:hAnsi="Arial" w:cs="Arial"/>
                <w:color w:val="0A7CB9"/>
                <w:sz w:val="22"/>
                <w:szCs w:val="22"/>
              </w:rPr>
              <w:t xml:space="preserve"> </w:t>
            </w:r>
          </w:p>
          <w:p w14:paraId="3239DE60" w14:textId="77777777" w:rsidR="004D7187" w:rsidRPr="00FB444F" w:rsidRDefault="004D7187" w:rsidP="004D7187">
            <w:pPr>
              <w:spacing w:after="120"/>
              <w:rPr>
                <w:color w:val="0A7CB9"/>
                <w:sz w:val="22"/>
                <w:szCs w:val="22"/>
              </w:rPr>
            </w:pPr>
            <w:r w:rsidRPr="00FB444F">
              <w:rPr>
                <w:rFonts w:ascii="Arial" w:eastAsiaTheme="minorHAnsi" w:hAnsi="Arial" w:cs="Arial"/>
                <w:color w:val="0A7CB9"/>
                <w:sz w:val="22"/>
                <w:szCs w:val="22"/>
              </w:rPr>
              <w:t xml:space="preserve">New South Wales led efforts through the Board of Treasurers to secure a legislated </w:t>
            </w:r>
            <w:r>
              <w:rPr>
                <w:rFonts w:ascii="Arial" w:eastAsiaTheme="minorHAnsi" w:hAnsi="Arial" w:cs="Arial"/>
                <w:color w:val="0A7CB9"/>
                <w:sz w:val="22"/>
                <w:szCs w:val="22"/>
              </w:rPr>
              <w:t>‘</w:t>
            </w:r>
            <w:r w:rsidRPr="00FB444F">
              <w:rPr>
                <w:rFonts w:ascii="Arial" w:eastAsiaTheme="minorHAnsi" w:hAnsi="Arial" w:cs="Arial"/>
                <w:color w:val="0A7CB9"/>
                <w:sz w:val="22"/>
                <w:szCs w:val="22"/>
              </w:rPr>
              <w:t>no worse off</w:t>
            </w:r>
            <w:r>
              <w:rPr>
                <w:rFonts w:ascii="Arial" w:eastAsiaTheme="minorHAnsi" w:hAnsi="Arial" w:cs="Arial"/>
                <w:color w:val="0A7CB9"/>
                <w:sz w:val="22"/>
                <w:szCs w:val="22"/>
              </w:rPr>
              <w:t>’</w:t>
            </w:r>
            <w:r w:rsidRPr="00FB444F">
              <w:rPr>
                <w:rFonts w:ascii="Arial" w:eastAsiaTheme="minorHAnsi" w:hAnsi="Arial" w:cs="Arial"/>
                <w:color w:val="0A7CB9"/>
                <w:sz w:val="22"/>
                <w:szCs w:val="22"/>
              </w:rPr>
              <w:t xml:space="preserve"> guarantee from the Commonwealth. </w:t>
            </w:r>
          </w:p>
          <w:p w14:paraId="7114E76F" w14:textId="77777777" w:rsidR="004D7187" w:rsidRPr="00FB444F" w:rsidRDefault="004D7187" w:rsidP="004D7187">
            <w:pPr>
              <w:spacing w:after="120"/>
              <w:rPr>
                <w:color w:val="0A7CB9"/>
                <w:sz w:val="22"/>
                <w:szCs w:val="22"/>
              </w:rPr>
            </w:pPr>
            <w:r w:rsidRPr="00FB444F">
              <w:rPr>
                <w:rFonts w:ascii="Arial" w:eastAsiaTheme="minorHAnsi" w:hAnsi="Arial" w:cs="Arial"/>
                <w:color w:val="0A7CB9"/>
                <w:sz w:val="22"/>
                <w:szCs w:val="22"/>
              </w:rPr>
              <w:t xml:space="preserve">The Commonwealth’s </w:t>
            </w:r>
            <w:r>
              <w:rPr>
                <w:rFonts w:ascii="Arial" w:eastAsiaTheme="minorHAnsi" w:hAnsi="Arial" w:cs="Arial"/>
                <w:color w:val="0A7CB9"/>
                <w:sz w:val="22"/>
                <w:szCs w:val="22"/>
              </w:rPr>
              <w:t>‘</w:t>
            </w:r>
            <w:r w:rsidRPr="00FB444F">
              <w:rPr>
                <w:rFonts w:ascii="Arial" w:eastAsiaTheme="minorHAnsi" w:hAnsi="Arial" w:cs="Arial"/>
                <w:color w:val="0A7CB9"/>
                <w:sz w:val="22"/>
                <w:szCs w:val="22"/>
              </w:rPr>
              <w:t>no worse off</w:t>
            </w:r>
            <w:r>
              <w:rPr>
                <w:rFonts w:ascii="Arial" w:eastAsiaTheme="minorHAnsi" w:hAnsi="Arial" w:cs="Arial"/>
                <w:color w:val="0A7CB9"/>
                <w:sz w:val="22"/>
                <w:szCs w:val="22"/>
              </w:rPr>
              <w:t>’</w:t>
            </w:r>
            <w:r w:rsidRPr="00FB444F">
              <w:rPr>
                <w:rFonts w:ascii="Arial" w:eastAsiaTheme="minorHAnsi" w:hAnsi="Arial" w:cs="Arial"/>
                <w:color w:val="0A7CB9"/>
                <w:sz w:val="22"/>
                <w:szCs w:val="22"/>
              </w:rPr>
              <w:t xml:space="preserve"> guarantee is in place over </w:t>
            </w:r>
            <w:r>
              <w:rPr>
                <w:rFonts w:ascii="Arial" w:eastAsiaTheme="minorHAnsi" w:hAnsi="Arial" w:cs="Arial"/>
                <w:color w:val="0A7CB9"/>
                <w:sz w:val="22"/>
                <w:szCs w:val="22"/>
              </w:rPr>
              <w:t>a</w:t>
            </w:r>
            <w:r w:rsidRPr="00FB444F">
              <w:rPr>
                <w:rFonts w:ascii="Arial" w:eastAsiaTheme="minorHAnsi" w:hAnsi="Arial" w:cs="Arial"/>
                <w:color w:val="0A7CB9"/>
                <w:sz w:val="22"/>
                <w:szCs w:val="22"/>
              </w:rPr>
              <w:t xml:space="preserve"> six-year period to 2026-27. Based on New South Wales projections, the Commonwealth will provide $1.9 billion nationally and $720</w:t>
            </w:r>
            <w:r>
              <w:rPr>
                <w:rFonts w:ascii="Arial" w:eastAsiaTheme="minorHAnsi" w:hAnsi="Arial" w:cs="Arial"/>
                <w:color w:val="0A7CB9"/>
                <w:sz w:val="22"/>
                <w:szCs w:val="22"/>
              </w:rPr>
              <w:t>.0 </w:t>
            </w:r>
            <w:r w:rsidRPr="00FB444F">
              <w:rPr>
                <w:rFonts w:ascii="Arial" w:eastAsiaTheme="minorHAnsi" w:hAnsi="Arial" w:cs="Arial"/>
                <w:color w:val="0A7CB9"/>
                <w:sz w:val="22"/>
                <w:szCs w:val="22"/>
              </w:rPr>
              <w:t xml:space="preserve">million to New South Wales in </w:t>
            </w:r>
            <w:r>
              <w:rPr>
                <w:rFonts w:ascii="Arial" w:eastAsiaTheme="minorHAnsi" w:hAnsi="Arial" w:cs="Arial"/>
                <w:color w:val="0A7CB9"/>
                <w:sz w:val="22"/>
                <w:szCs w:val="22"/>
              </w:rPr>
              <w:t>‘</w:t>
            </w:r>
            <w:r w:rsidRPr="00FB444F">
              <w:rPr>
                <w:rFonts w:ascii="Arial" w:eastAsiaTheme="minorHAnsi" w:hAnsi="Arial" w:cs="Arial"/>
                <w:color w:val="0A7CB9"/>
                <w:sz w:val="22"/>
                <w:szCs w:val="22"/>
              </w:rPr>
              <w:t>no worse off</w:t>
            </w:r>
            <w:r>
              <w:rPr>
                <w:rFonts w:ascii="Arial" w:eastAsiaTheme="minorHAnsi" w:hAnsi="Arial" w:cs="Arial"/>
                <w:color w:val="0A7CB9"/>
                <w:sz w:val="22"/>
                <w:szCs w:val="22"/>
              </w:rPr>
              <w:t>’</w:t>
            </w:r>
            <w:r w:rsidRPr="00FB444F">
              <w:rPr>
                <w:rFonts w:ascii="Arial" w:eastAsiaTheme="minorHAnsi" w:hAnsi="Arial" w:cs="Arial"/>
                <w:color w:val="0A7CB9"/>
                <w:sz w:val="22"/>
                <w:szCs w:val="22"/>
              </w:rPr>
              <w:t xml:space="preserve"> payments in 2021-22 and 2022-23. </w:t>
            </w:r>
          </w:p>
          <w:p w14:paraId="49FF7001" w14:textId="77777777" w:rsidR="004D7187" w:rsidRPr="00055D45" w:rsidDel="001E29DD" w:rsidRDefault="004D7187" w:rsidP="004D7187">
            <w:pPr>
              <w:spacing w:after="120"/>
              <w:rPr>
                <w:color w:val="0A7CB9"/>
                <w:sz w:val="22"/>
                <w:szCs w:val="22"/>
              </w:rPr>
            </w:pPr>
            <w:r w:rsidRPr="00055D45">
              <w:rPr>
                <w:rFonts w:ascii="Arial" w:eastAsiaTheme="minorHAnsi" w:hAnsi="Arial" w:cs="Arial"/>
                <w:color w:val="0A7CB9"/>
                <w:sz w:val="22"/>
                <w:szCs w:val="22"/>
              </w:rPr>
              <w:t>State Treasurers will continue to work together to ensure the Commonwealth</w:t>
            </w:r>
            <w:r>
              <w:rPr>
                <w:rFonts w:ascii="Arial" w:eastAsiaTheme="minorHAnsi" w:hAnsi="Arial" w:cs="Arial"/>
                <w:color w:val="0A7CB9"/>
                <w:sz w:val="22"/>
                <w:szCs w:val="22"/>
              </w:rPr>
              <w:t>’s</w:t>
            </w:r>
            <w:r w:rsidRPr="00055D45">
              <w:rPr>
                <w:rFonts w:ascii="Arial" w:eastAsiaTheme="minorHAnsi" w:hAnsi="Arial" w:cs="Arial"/>
                <w:color w:val="0A7CB9"/>
                <w:sz w:val="22"/>
                <w:szCs w:val="22"/>
              </w:rPr>
              <w:t xml:space="preserve"> </w:t>
            </w:r>
            <w:r>
              <w:rPr>
                <w:rFonts w:ascii="Arial" w:eastAsiaTheme="minorHAnsi" w:hAnsi="Arial" w:cs="Arial"/>
                <w:color w:val="0A7CB9"/>
                <w:sz w:val="22"/>
                <w:szCs w:val="22"/>
              </w:rPr>
              <w:t>‘</w:t>
            </w:r>
            <w:r w:rsidRPr="00055D45">
              <w:rPr>
                <w:rFonts w:ascii="Arial" w:eastAsiaTheme="minorHAnsi" w:hAnsi="Arial" w:cs="Arial"/>
                <w:color w:val="0A7CB9"/>
                <w:sz w:val="22"/>
                <w:szCs w:val="22"/>
              </w:rPr>
              <w:t>no worse off</w:t>
            </w:r>
            <w:r>
              <w:rPr>
                <w:rFonts w:ascii="Arial" w:eastAsiaTheme="minorHAnsi" w:hAnsi="Arial" w:cs="Arial"/>
                <w:color w:val="0A7CB9"/>
                <w:sz w:val="22"/>
                <w:szCs w:val="22"/>
              </w:rPr>
              <w:t>’</w:t>
            </w:r>
            <w:r w:rsidRPr="00055D45">
              <w:rPr>
                <w:rFonts w:ascii="Arial" w:eastAsiaTheme="minorHAnsi" w:hAnsi="Arial" w:cs="Arial"/>
                <w:color w:val="0A7CB9"/>
                <w:sz w:val="22"/>
                <w:szCs w:val="22"/>
              </w:rPr>
              <w:t xml:space="preserve"> guarantee is upheld. This includes New South Wales leading on measures through the Board of Treasurers to ensure overall Commonwealth tied funding is not reduced. </w:t>
            </w:r>
            <w:r>
              <w:rPr>
                <w:rFonts w:ascii="Arial" w:eastAsiaTheme="minorHAnsi" w:hAnsi="Arial" w:cs="Arial"/>
                <w:color w:val="0A7CB9"/>
                <w:sz w:val="22"/>
                <w:szCs w:val="22"/>
              </w:rPr>
              <w:t xml:space="preserve">However, there is a risk to New South Wales’ revenue if the Commonwealth does not meet its legislated obligations to ensure states are no worse off </w:t>
            </w:r>
            <w:proofErr w:type="gramStart"/>
            <w:r>
              <w:rPr>
                <w:rFonts w:ascii="Arial" w:eastAsiaTheme="minorHAnsi" w:hAnsi="Arial" w:cs="Arial"/>
                <w:color w:val="0A7CB9"/>
                <w:sz w:val="22"/>
                <w:szCs w:val="22"/>
              </w:rPr>
              <w:t>as a result of</w:t>
            </w:r>
            <w:proofErr w:type="gramEnd"/>
            <w:r>
              <w:rPr>
                <w:rFonts w:ascii="Arial" w:eastAsiaTheme="minorHAnsi" w:hAnsi="Arial" w:cs="Arial"/>
                <w:color w:val="0A7CB9"/>
                <w:sz w:val="22"/>
                <w:szCs w:val="22"/>
              </w:rPr>
              <w:t xml:space="preserve"> the scheme.</w:t>
            </w:r>
          </w:p>
          <w:p w14:paraId="6778B8BE" w14:textId="77777777" w:rsidR="004D7187" w:rsidRDefault="004D7187" w:rsidP="004D7187">
            <w:pPr>
              <w:spacing w:after="120"/>
              <w:rPr>
                <w:rFonts w:ascii="Arial" w:eastAsiaTheme="minorHAnsi" w:hAnsi="Arial" w:cs="Arial"/>
                <w:noProof/>
                <w:color w:val="0A7CB9"/>
                <w:sz w:val="22"/>
                <w:szCs w:val="22"/>
              </w:rPr>
            </w:pPr>
            <w:r w:rsidRPr="00346623">
              <w:rPr>
                <w:rFonts w:ascii="Arial" w:eastAsiaTheme="minorHAnsi" w:hAnsi="Arial" w:cs="Arial"/>
                <w:noProof/>
                <w:color w:val="0A7CB9"/>
                <w:sz w:val="22"/>
                <w:szCs w:val="22"/>
              </w:rPr>
              <w:t>Western Australia’s 2019-20 Budget demonstrates how the Commonwealth’s new HFE arrangements delivers Western Australia a significant windfall and competitive advantage.</w:t>
            </w:r>
            <w:r>
              <w:rPr>
                <w:rFonts w:ascii="Arial" w:eastAsiaTheme="minorHAnsi" w:hAnsi="Arial" w:cs="Arial"/>
                <w:noProof/>
                <w:color w:val="0A7CB9"/>
                <w:sz w:val="22"/>
                <w:szCs w:val="22"/>
              </w:rPr>
              <w:t xml:space="preserve"> </w:t>
            </w:r>
            <w:r w:rsidRPr="00346623">
              <w:rPr>
                <w:rFonts w:ascii="Arial" w:eastAsiaTheme="minorHAnsi" w:hAnsi="Arial" w:cs="Arial"/>
                <w:noProof/>
                <w:color w:val="0A7CB9"/>
                <w:sz w:val="22"/>
                <w:szCs w:val="22"/>
              </w:rPr>
              <w:t>Western Australia will now return to surplus in 2018-19, assisted by a $434</w:t>
            </w:r>
            <w:r>
              <w:rPr>
                <w:rFonts w:ascii="Arial" w:eastAsiaTheme="minorHAnsi" w:hAnsi="Arial" w:cs="Arial"/>
                <w:noProof/>
                <w:color w:val="0A7CB9"/>
                <w:sz w:val="22"/>
                <w:szCs w:val="22"/>
              </w:rPr>
              <w:t>.0</w:t>
            </w:r>
            <w:r w:rsidRPr="00346623">
              <w:rPr>
                <w:rFonts w:ascii="Arial" w:eastAsiaTheme="minorHAnsi" w:hAnsi="Arial" w:cs="Arial"/>
                <w:noProof/>
                <w:color w:val="0A7CB9"/>
                <w:sz w:val="22"/>
                <w:szCs w:val="22"/>
              </w:rPr>
              <w:t xml:space="preserve"> million prepayment of the Commonwealth funded 0.70 relativity floor. Western Australia can also spend more on services and provide a lower tax burden than other states. </w:t>
            </w:r>
          </w:p>
          <w:p w14:paraId="1E019495" w14:textId="1D543DD2" w:rsidR="004D7187" w:rsidRDefault="004D7187" w:rsidP="004D7187">
            <w:r w:rsidRPr="00346623">
              <w:rPr>
                <w:rFonts w:ascii="Arial" w:eastAsiaTheme="minorHAnsi" w:hAnsi="Arial" w:cs="Arial"/>
                <w:noProof/>
                <w:color w:val="0A7CB9"/>
                <w:sz w:val="22"/>
                <w:szCs w:val="22"/>
              </w:rPr>
              <w:t xml:space="preserve">According to </w:t>
            </w:r>
            <w:r>
              <w:rPr>
                <w:rFonts w:ascii="Arial" w:eastAsiaTheme="minorHAnsi" w:hAnsi="Arial" w:cs="Arial"/>
                <w:noProof/>
                <w:color w:val="0A7CB9"/>
                <w:sz w:val="22"/>
                <w:szCs w:val="22"/>
              </w:rPr>
              <w:t>Western Australia’s</w:t>
            </w:r>
            <w:r w:rsidRPr="00346623">
              <w:rPr>
                <w:rFonts w:ascii="Arial" w:eastAsiaTheme="minorHAnsi" w:hAnsi="Arial" w:cs="Arial"/>
                <w:noProof/>
                <w:color w:val="0A7CB9"/>
                <w:sz w:val="22"/>
                <w:szCs w:val="22"/>
              </w:rPr>
              <w:t xml:space="preserve"> 2019-20 Budget, the projected $5</w:t>
            </w:r>
            <w:r>
              <w:rPr>
                <w:rFonts w:ascii="Arial" w:eastAsiaTheme="minorHAnsi" w:hAnsi="Arial" w:cs="Arial"/>
                <w:noProof/>
                <w:color w:val="0A7CB9"/>
                <w:sz w:val="22"/>
                <w:szCs w:val="22"/>
              </w:rPr>
              <w:t>.0</w:t>
            </w:r>
            <w:r w:rsidRPr="00346623">
              <w:rPr>
                <w:rFonts w:ascii="Arial" w:eastAsiaTheme="minorHAnsi" w:hAnsi="Arial" w:cs="Arial"/>
                <w:noProof/>
                <w:color w:val="0A7CB9"/>
                <w:sz w:val="22"/>
                <w:szCs w:val="22"/>
              </w:rPr>
              <w:t xml:space="preserve"> billion in Commonwealth GST top</w:t>
            </w:r>
            <w:r>
              <w:rPr>
                <w:rFonts w:ascii="Arial" w:eastAsiaTheme="minorHAnsi" w:hAnsi="Arial" w:cs="Arial"/>
                <w:noProof/>
                <w:color w:val="0A7CB9"/>
                <w:sz w:val="22"/>
                <w:szCs w:val="22"/>
              </w:rPr>
              <w:t xml:space="preserve"> </w:t>
            </w:r>
            <w:r w:rsidRPr="00346623">
              <w:rPr>
                <w:rFonts w:ascii="Arial" w:eastAsiaTheme="minorHAnsi" w:hAnsi="Arial" w:cs="Arial"/>
                <w:noProof/>
                <w:color w:val="0A7CB9"/>
                <w:sz w:val="22"/>
                <w:szCs w:val="22"/>
              </w:rPr>
              <w:t>up payments to 2021-22 will fund debt reduction and also deliver Western Australia’s lowest increase in household tariffs, fees and charges since 2006-07. Western Australia is also now planning to increase targeted investments in key services and job</w:t>
            </w:r>
            <w:r>
              <w:rPr>
                <w:rFonts w:ascii="Arial" w:eastAsiaTheme="minorHAnsi" w:hAnsi="Arial" w:cs="Arial"/>
                <w:noProof/>
                <w:color w:val="0A7CB9"/>
                <w:sz w:val="22"/>
                <w:szCs w:val="22"/>
              </w:rPr>
              <w:t xml:space="preserve"> </w:t>
            </w:r>
            <w:r w:rsidRPr="00346623">
              <w:rPr>
                <w:rFonts w:ascii="Arial" w:eastAsiaTheme="minorHAnsi" w:hAnsi="Arial" w:cs="Arial"/>
                <w:noProof/>
                <w:color w:val="0A7CB9"/>
                <w:sz w:val="22"/>
                <w:szCs w:val="22"/>
              </w:rPr>
              <w:t>creating initiatives.</w:t>
            </w:r>
            <w:r w:rsidRPr="00BA5800">
              <w:rPr>
                <w:rFonts w:ascii="Arial" w:eastAsiaTheme="minorHAnsi" w:hAnsi="Arial" w:cs="Arial"/>
                <w:noProof/>
                <w:color w:val="0A7CB9"/>
                <w:sz w:val="22"/>
                <w:szCs w:val="22"/>
              </w:rPr>
              <w:t xml:space="preserve"> </w:t>
            </w:r>
          </w:p>
        </w:tc>
      </w:tr>
    </w:tbl>
    <w:p w14:paraId="5343B276" w14:textId="77777777" w:rsidR="004171EC" w:rsidRPr="0011270D" w:rsidRDefault="004171EC" w:rsidP="00055D45">
      <w:pPr>
        <w:pStyle w:val="Heading3"/>
        <w:numPr>
          <w:ilvl w:val="0"/>
          <w:numId w:val="0"/>
        </w:numPr>
        <w:ind w:left="720" w:hanging="720"/>
      </w:pPr>
      <w:r w:rsidRPr="0011270D">
        <w:lastRenderedPageBreak/>
        <w:t xml:space="preserve">National Agreements </w:t>
      </w:r>
    </w:p>
    <w:p w14:paraId="5C9C8C45" w14:textId="06C09955" w:rsidR="003D3646" w:rsidRPr="00A533DB" w:rsidRDefault="00FD7879" w:rsidP="00D63847">
      <w:pPr>
        <w:pStyle w:val="BodyText"/>
      </w:pPr>
      <w:r w:rsidRPr="00FD7879">
        <w:t xml:space="preserve">National Agreements </w:t>
      </w:r>
      <w:r w:rsidR="00F566E9" w:rsidRPr="008F3E2A">
        <w:t>provide</w:t>
      </w:r>
      <w:r w:rsidRPr="008F3E2A">
        <w:t xml:space="preserve"> ongoing payments for specific purposes from the Commonwealth to </w:t>
      </w:r>
      <w:r w:rsidR="005345FE" w:rsidRPr="00A533DB">
        <w:t xml:space="preserve">the </w:t>
      </w:r>
      <w:r w:rsidR="00D45B9A" w:rsidRPr="00A533DB">
        <w:t>s</w:t>
      </w:r>
      <w:r w:rsidRPr="00A533DB">
        <w:t xml:space="preserve">tates. </w:t>
      </w:r>
    </w:p>
    <w:p w14:paraId="67223986" w14:textId="3EA242D2" w:rsidR="004171EC" w:rsidRPr="00A533DB" w:rsidRDefault="004171EC" w:rsidP="00D63847">
      <w:pPr>
        <w:pStyle w:val="BodyText"/>
      </w:pPr>
      <w:r w:rsidRPr="00A533DB">
        <w:t xml:space="preserve">Revenue from National Agreements is forecast to total </w:t>
      </w:r>
      <w:r w:rsidRPr="00384E74">
        <w:t>$10.4</w:t>
      </w:r>
      <w:r w:rsidRPr="008F3E2A">
        <w:t> billion in 2019</w:t>
      </w:r>
      <w:r w:rsidRPr="008F3E2A">
        <w:noBreakHyphen/>
        <w:t xml:space="preserve">20, an increase of </w:t>
      </w:r>
      <w:r w:rsidRPr="00384E74">
        <w:t>3.0 </w:t>
      </w:r>
      <w:r w:rsidRPr="008F3E2A">
        <w:t>per cent on 201</w:t>
      </w:r>
      <w:r w:rsidRPr="00A533DB">
        <w:t>8</w:t>
      </w:r>
      <w:r w:rsidRPr="00A533DB">
        <w:noBreakHyphen/>
        <w:t xml:space="preserve">19. This </w:t>
      </w:r>
      <w:r w:rsidR="00704F53" w:rsidRPr="00A533DB">
        <w:t xml:space="preserve">growth </w:t>
      </w:r>
      <w:r w:rsidRPr="00A533DB">
        <w:t xml:space="preserve">will rise to an average annual rate of </w:t>
      </w:r>
      <w:r w:rsidRPr="00384E74">
        <w:t>5.1 </w:t>
      </w:r>
      <w:r w:rsidRPr="008F3E2A">
        <w:t>per cent over</w:t>
      </w:r>
      <w:r w:rsidRPr="00A533DB">
        <w:t xml:space="preserve"> the four years to 2022</w:t>
      </w:r>
      <w:r w:rsidRPr="00A533DB">
        <w:noBreakHyphen/>
        <w:t xml:space="preserve">23. Table </w:t>
      </w:r>
      <w:r w:rsidR="009F75F1" w:rsidRPr="00A533DB">
        <w:t>4</w:t>
      </w:r>
      <w:r w:rsidRPr="00A533DB">
        <w:t>.7 summarises National Agreement payments by key service delivery area.</w:t>
      </w:r>
    </w:p>
    <w:p w14:paraId="2705AFA9" w14:textId="5948A8BA" w:rsidR="004171EC" w:rsidRDefault="004171EC" w:rsidP="00D63847">
      <w:pPr>
        <w:pStyle w:val="BodyText"/>
      </w:pPr>
      <w:r w:rsidRPr="00A533DB">
        <w:t xml:space="preserve">Since the </w:t>
      </w:r>
      <w:r w:rsidR="00676E6B">
        <w:t xml:space="preserve">2019 </w:t>
      </w:r>
      <w:r w:rsidRPr="00A533DB">
        <w:t xml:space="preserve">Pre-election Budget Update, revenue from National Agreements </w:t>
      </w:r>
      <w:r w:rsidR="00E0043A" w:rsidRPr="00A533DB">
        <w:t>has fallen by $127.9</w:t>
      </w:r>
      <w:r w:rsidR="007A6FF3" w:rsidRPr="00A533DB">
        <w:t xml:space="preserve"> million over the four years to 2021-22</w:t>
      </w:r>
      <w:r w:rsidRPr="00A533DB">
        <w:t>. This is primarily due to amendments to health activity level assumptions.</w:t>
      </w:r>
    </w:p>
    <w:p w14:paraId="2B91EB30" w14:textId="540C85DB" w:rsidR="00466193" w:rsidRDefault="004171EC" w:rsidP="003B4788">
      <w:pPr>
        <w:pStyle w:val="Table4X"/>
        <w:tabs>
          <w:tab w:val="clear" w:pos="1134"/>
          <w:tab w:val="left" w:pos="1276"/>
        </w:tabs>
        <w:ind w:left="1304" w:hanging="1304"/>
      </w:pPr>
      <w:r w:rsidRPr="000C0534">
        <w:t>National</w:t>
      </w:r>
      <w:r w:rsidRPr="0011270D">
        <w:t xml:space="preserve"> Agreement payments to New South Wales</w:t>
      </w:r>
      <w:r w:rsidR="00B16603">
        <w:t xml:space="preserve"> </w:t>
      </w:r>
    </w:p>
    <w:p w14:paraId="269DE2DA" w14:textId="7F780B74" w:rsidR="00B405F2" w:rsidRPr="0011270D" w:rsidRDefault="003D24BD" w:rsidP="00384E74">
      <w:pPr>
        <w:pStyle w:val="Table4X"/>
        <w:numPr>
          <w:ilvl w:val="0"/>
          <w:numId w:val="0"/>
        </w:numPr>
        <w:spacing w:before="0"/>
      </w:pPr>
      <w:r w:rsidRPr="003D24BD">
        <w:rPr>
          <w:noProof/>
        </w:rPr>
        <w:drawing>
          <wp:inline distT="0" distB="0" distL="0" distR="0" wp14:anchorId="2876AD01" wp14:editId="0083FA27">
            <wp:extent cx="6120765" cy="1583339"/>
            <wp:effectExtent l="0" t="0" r="0" b="0"/>
            <wp:docPr id="56" name="Picture 56" descr="Table 4.7: National Agreement payments to New South W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583339"/>
                    </a:xfrm>
                    <a:prstGeom prst="rect">
                      <a:avLst/>
                    </a:prstGeom>
                    <a:noFill/>
                    <a:ln>
                      <a:noFill/>
                    </a:ln>
                  </pic:spPr>
                </pic:pic>
              </a:graphicData>
            </a:graphic>
          </wp:inline>
        </w:drawing>
      </w:r>
    </w:p>
    <w:p w14:paraId="5BC659FA" w14:textId="77777777" w:rsidR="004171EC" w:rsidRPr="0011270D" w:rsidRDefault="004171EC" w:rsidP="00055D45">
      <w:pPr>
        <w:pStyle w:val="Heading3"/>
        <w:numPr>
          <w:ilvl w:val="0"/>
          <w:numId w:val="0"/>
        </w:numPr>
        <w:ind w:left="720" w:hanging="720"/>
        <w:rPr>
          <w:rFonts w:eastAsiaTheme="minorHAnsi"/>
        </w:rPr>
      </w:pPr>
      <w:r w:rsidRPr="0011270D">
        <w:rPr>
          <w:rFonts w:eastAsiaTheme="minorHAnsi"/>
        </w:rPr>
        <w:t xml:space="preserve">National Partnerships </w:t>
      </w:r>
    </w:p>
    <w:p w14:paraId="364DB48D" w14:textId="63C42B0E" w:rsidR="004171EC" w:rsidRPr="007B5F25" w:rsidRDefault="004171EC" w:rsidP="00D63847">
      <w:pPr>
        <w:pStyle w:val="BodyText"/>
      </w:pPr>
      <w:bookmarkStart w:id="7" w:name="_Hlk516069312"/>
      <w:r w:rsidRPr="003F79C7">
        <w:t xml:space="preserve">The </w:t>
      </w:r>
      <w:r w:rsidRPr="008F3E2A">
        <w:t xml:space="preserve">Commonwealth </w:t>
      </w:r>
      <w:r w:rsidRPr="007B5F25">
        <w:t>provides National Partnership payments to support specified projects</w:t>
      </w:r>
      <w:r w:rsidR="00586BC4" w:rsidRPr="007B5F25">
        <w:t>, ongoing service delivery</w:t>
      </w:r>
      <w:r w:rsidRPr="007B5F25">
        <w:t xml:space="preserve"> or service delivery improvements. </w:t>
      </w:r>
    </w:p>
    <w:p w14:paraId="63EBF26E" w14:textId="0E3E0E4C" w:rsidR="004171EC" w:rsidRPr="007B5F25" w:rsidDel="00563E70" w:rsidRDefault="004171EC" w:rsidP="00D63847">
      <w:pPr>
        <w:pStyle w:val="BodyText"/>
      </w:pPr>
      <w:r w:rsidRPr="007B5F25">
        <w:t xml:space="preserve">New South Wales </w:t>
      </w:r>
      <w:r w:rsidR="00924669" w:rsidRPr="007B5F25">
        <w:t xml:space="preserve">revenue from National Partnerships is </w:t>
      </w:r>
      <w:r w:rsidRPr="007B5F25">
        <w:t>expect</w:t>
      </w:r>
      <w:r w:rsidR="00924669" w:rsidRPr="007B5F25">
        <w:t>ed</w:t>
      </w:r>
      <w:r w:rsidRPr="007B5F25">
        <w:t xml:space="preserve"> to </w:t>
      </w:r>
      <w:r w:rsidR="00924669" w:rsidRPr="007B5F25">
        <w:t xml:space="preserve">be </w:t>
      </w:r>
      <w:r w:rsidRPr="00384E74">
        <w:t>$2.9</w:t>
      </w:r>
      <w:r w:rsidRPr="008F3E2A">
        <w:t xml:space="preserve"> billlion in 2019</w:t>
      </w:r>
      <w:r w:rsidR="000D59F5" w:rsidRPr="008F3E2A">
        <w:noBreakHyphen/>
      </w:r>
      <w:r w:rsidRPr="007B5F25">
        <w:t>20</w:t>
      </w:r>
      <w:r w:rsidR="00924669" w:rsidRPr="007B5F25">
        <w:t xml:space="preserve">, </w:t>
      </w:r>
      <w:r w:rsidRPr="007B5F25">
        <w:t xml:space="preserve">and is expected to fall </w:t>
      </w:r>
      <w:r w:rsidR="005345FE" w:rsidRPr="007B5F25">
        <w:t xml:space="preserve">by </w:t>
      </w:r>
      <w:r w:rsidR="005B5363" w:rsidRPr="00384E74">
        <w:t>6</w:t>
      </w:r>
      <w:r w:rsidRPr="00384E74">
        <w:t>.</w:t>
      </w:r>
      <w:r w:rsidR="005B5363" w:rsidRPr="00384E74">
        <w:t>2</w:t>
      </w:r>
      <w:r w:rsidRPr="00384E74">
        <w:t xml:space="preserve"> </w:t>
      </w:r>
      <w:r w:rsidRPr="008F3E2A">
        <w:t xml:space="preserve">per cent per annum on average over the </w:t>
      </w:r>
      <w:r w:rsidR="005B5363" w:rsidRPr="008F3E2A">
        <w:t>four</w:t>
      </w:r>
      <w:r w:rsidR="005B5363" w:rsidRPr="007B5F25">
        <w:t xml:space="preserve"> </w:t>
      </w:r>
      <w:r w:rsidRPr="007B5F25">
        <w:t>years to 2022</w:t>
      </w:r>
      <w:r w:rsidR="00D6790D" w:rsidRPr="007B5F25">
        <w:noBreakHyphen/>
      </w:r>
      <w:r w:rsidRPr="007B5F25">
        <w:t xml:space="preserve">23. This is primarily due to the DisabilityCare Australia Fund payment profile and the expiry of </w:t>
      </w:r>
      <w:r w:rsidR="00F45ACA" w:rsidRPr="007B5F25">
        <w:t xml:space="preserve">some </w:t>
      </w:r>
      <w:r w:rsidRPr="007B5F25">
        <w:t>National Partnerships during th</w:t>
      </w:r>
      <w:r w:rsidR="00D30008" w:rsidRPr="007B5F25">
        <w:t>is</w:t>
      </w:r>
      <w:r w:rsidRPr="007B5F25">
        <w:t xml:space="preserve"> period. </w:t>
      </w:r>
    </w:p>
    <w:p w14:paraId="58C7BAB7" w14:textId="405D844A" w:rsidR="005400A6" w:rsidRDefault="004171EC" w:rsidP="00384E74">
      <w:pPr>
        <w:pStyle w:val="BodyText"/>
      </w:pPr>
      <w:r w:rsidRPr="007B5F25">
        <w:t>Transport infrastructure revenue comprises the largest component of total National Partnership revenues</w:t>
      </w:r>
      <w:r w:rsidR="005345FE" w:rsidRPr="007B5F25">
        <w:t>,</w:t>
      </w:r>
      <w:r w:rsidR="007B6454" w:rsidRPr="007B5F25">
        <w:t xml:space="preserve"> </w:t>
      </w:r>
      <w:r w:rsidRPr="007B5F25">
        <w:t xml:space="preserve">with </w:t>
      </w:r>
      <w:r w:rsidRPr="00384E74">
        <w:t>$1.7</w:t>
      </w:r>
      <w:r w:rsidRPr="008F3E2A">
        <w:t xml:space="preserve"> billion expected in 2019-20 and </w:t>
      </w:r>
      <w:r w:rsidRPr="00384E74">
        <w:t>$</w:t>
      </w:r>
      <w:r w:rsidR="005B5363" w:rsidRPr="00384E74">
        <w:t>6</w:t>
      </w:r>
      <w:r w:rsidRPr="00384E74">
        <w:t>.</w:t>
      </w:r>
      <w:r w:rsidR="005B5363" w:rsidRPr="00384E74">
        <w:t>1</w:t>
      </w:r>
      <w:r w:rsidRPr="008F3E2A">
        <w:t xml:space="preserve"> billion over the </w:t>
      </w:r>
      <w:r w:rsidR="000A3CB5" w:rsidRPr="008F3E2A">
        <w:t>four</w:t>
      </w:r>
      <w:r w:rsidRPr="007B5F25">
        <w:t xml:space="preserve"> years to 2022-23 (see Table </w:t>
      </w:r>
      <w:r w:rsidR="00C760FA" w:rsidRPr="007B5F25">
        <w:t>4</w:t>
      </w:r>
      <w:r w:rsidRPr="007B5F25">
        <w:t>.</w:t>
      </w:r>
      <w:r w:rsidR="006F1FB4" w:rsidRPr="007B5F25">
        <w:t>8</w:t>
      </w:r>
      <w:r w:rsidRPr="007B5F25">
        <w:t>)</w:t>
      </w:r>
      <w:r w:rsidR="006D74EF" w:rsidRPr="007B5F25">
        <w:t>.</w:t>
      </w:r>
    </w:p>
    <w:p w14:paraId="4740204B" w14:textId="335FA8EF" w:rsidR="006D74EF" w:rsidRDefault="006D74EF" w:rsidP="003B4788">
      <w:pPr>
        <w:pStyle w:val="Table4X"/>
        <w:tabs>
          <w:tab w:val="clear" w:pos="1134"/>
          <w:tab w:val="left" w:pos="1304"/>
        </w:tabs>
        <w:ind w:left="1276" w:hanging="1276"/>
      </w:pPr>
      <w:r w:rsidRPr="00384E74">
        <w:t>National Partnership payments to New South Wales</w:t>
      </w:r>
      <w:r w:rsidR="004B39DF">
        <w:rPr>
          <w:vertAlign w:val="superscript"/>
        </w:rPr>
        <w:t>(a)</w:t>
      </w:r>
      <w:r w:rsidR="005345FE">
        <w:t xml:space="preserve"> </w:t>
      </w:r>
    </w:p>
    <w:p w14:paraId="0223BB49" w14:textId="10AD4C8C" w:rsidR="006D74EF" w:rsidRPr="00315C56" w:rsidRDefault="00AD2884" w:rsidP="000C0534">
      <w:pPr>
        <w:rPr>
          <w:rFonts w:eastAsiaTheme="minorHAnsi"/>
          <w:i/>
        </w:rPr>
      </w:pPr>
      <w:r w:rsidRPr="00AD2884">
        <w:rPr>
          <w:rFonts w:eastAsiaTheme="minorHAnsi"/>
          <w:noProof/>
        </w:rPr>
        <w:drawing>
          <wp:inline distT="0" distB="0" distL="0" distR="0" wp14:anchorId="24C59A9F" wp14:editId="03EB45F7">
            <wp:extent cx="6120765" cy="2114527"/>
            <wp:effectExtent l="0" t="0" r="0" b="635"/>
            <wp:docPr id="3" name="Picture 3" descr="Table 4.8: National Partnership payments to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2114527"/>
                    </a:xfrm>
                    <a:prstGeom prst="rect">
                      <a:avLst/>
                    </a:prstGeom>
                    <a:noFill/>
                    <a:ln>
                      <a:noFill/>
                    </a:ln>
                  </pic:spPr>
                </pic:pic>
              </a:graphicData>
            </a:graphic>
          </wp:inline>
        </w:drawing>
      </w:r>
    </w:p>
    <w:p w14:paraId="2FD4916C" w14:textId="77777777" w:rsidR="006D74EF" w:rsidRPr="000C0534" w:rsidRDefault="006D74EF" w:rsidP="000C0534">
      <w:pPr>
        <w:rPr>
          <w:rFonts w:ascii="Arial" w:eastAsiaTheme="minorHAnsi" w:hAnsi="Arial" w:cs="Arial"/>
          <w:sz w:val="6"/>
          <w:szCs w:val="6"/>
        </w:rPr>
      </w:pPr>
    </w:p>
    <w:p w14:paraId="08DBB508" w14:textId="1B0584B6" w:rsidR="006D74EF" w:rsidRDefault="006D74EF" w:rsidP="00384E74">
      <w:pPr>
        <w:pStyle w:val="ListParagraph"/>
        <w:numPr>
          <w:ilvl w:val="0"/>
          <w:numId w:val="72"/>
        </w:numPr>
        <w:spacing w:after="200" w:line="276" w:lineRule="auto"/>
        <w:ind w:left="426" w:hanging="426"/>
        <w:rPr>
          <w:rFonts w:ascii="Arial" w:hAnsi="Arial" w:cs="Arial"/>
          <w:sz w:val="17"/>
          <w:szCs w:val="17"/>
        </w:rPr>
      </w:pPr>
      <w:r w:rsidRPr="00384E74">
        <w:rPr>
          <w:rFonts w:ascii="Arial" w:hAnsi="Arial" w:cs="Arial"/>
          <w:sz w:val="17"/>
          <w:szCs w:val="17"/>
        </w:rPr>
        <w:t xml:space="preserve">The implementation of AASB 15 </w:t>
      </w:r>
      <w:r w:rsidR="00FE18AF" w:rsidRPr="00384E74">
        <w:rPr>
          <w:rFonts w:ascii="Arial" w:hAnsi="Arial" w:cs="Arial"/>
          <w:sz w:val="17"/>
          <w:szCs w:val="17"/>
        </w:rPr>
        <w:t xml:space="preserve">and 1058 </w:t>
      </w:r>
      <w:r w:rsidRPr="00384E74">
        <w:rPr>
          <w:rFonts w:ascii="Arial" w:hAnsi="Arial" w:cs="Arial"/>
          <w:sz w:val="17"/>
          <w:szCs w:val="17"/>
        </w:rPr>
        <w:t>from 2019-20 onwards means it is not possible to compare infrastructure grants with prior years.</w:t>
      </w:r>
    </w:p>
    <w:p w14:paraId="5A0B1D3E" w14:textId="6A227FB9" w:rsidR="000F315A" w:rsidRPr="00384E74" w:rsidRDefault="000F315A" w:rsidP="00384E74">
      <w:pPr>
        <w:pStyle w:val="ListParagraph"/>
        <w:numPr>
          <w:ilvl w:val="0"/>
          <w:numId w:val="72"/>
        </w:numPr>
        <w:spacing w:after="200" w:line="276" w:lineRule="auto"/>
        <w:ind w:left="426" w:hanging="426"/>
        <w:rPr>
          <w:rFonts w:ascii="Arial" w:hAnsi="Arial" w:cs="Arial"/>
          <w:sz w:val="17"/>
          <w:szCs w:val="17"/>
        </w:rPr>
      </w:pPr>
      <w:r>
        <w:rPr>
          <w:rFonts w:ascii="Arial" w:hAnsi="Arial" w:cs="Arial"/>
          <w:sz w:val="17"/>
          <w:szCs w:val="17"/>
        </w:rPr>
        <w:t>Includes</w:t>
      </w:r>
      <w:r w:rsidR="00C9255E">
        <w:rPr>
          <w:rFonts w:ascii="Arial" w:hAnsi="Arial" w:cs="Arial"/>
          <w:sz w:val="17"/>
          <w:szCs w:val="17"/>
        </w:rPr>
        <w:t xml:space="preserve"> A</w:t>
      </w:r>
      <w:r>
        <w:rPr>
          <w:rFonts w:ascii="Arial" w:hAnsi="Arial" w:cs="Arial"/>
          <w:sz w:val="17"/>
          <w:szCs w:val="17"/>
        </w:rPr>
        <w:t xml:space="preserve">sset </w:t>
      </w:r>
      <w:r w:rsidR="00C9255E">
        <w:rPr>
          <w:rFonts w:ascii="Arial" w:hAnsi="Arial" w:cs="Arial"/>
          <w:sz w:val="17"/>
          <w:szCs w:val="17"/>
        </w:rPr>
        <w:t>R</w:t>
      </w:r>
      <w:r>
        <w:rPr>
          <w:rFonts w:ascii="Arial" w:hAnsi="Arial" w:cs="Arial"/>
          <w:sz w:val="17"/>
          <w:szCs w:val="17"/>
        </w:rPr>
        <w:t xml:space="preserve">ecycling </w:t>
      </w:r>
      <w:r w:rsidR="00C9255E">
        <w:rPr>
          <w:rFonts w:ascii="Arial" w:hAnsi="Arial" w:cs="Arial"/>
          <w:sz w:val="17"/>
          <w:szCs w:val="17"/>
        </w:rPr>
        <w:t>I</w:t>
      </w:r>
      <w:r>
        <w:rPr>
          <w:rFonts w:ascii="Arial" w:hAnsi="Arial" w:cs="Arial"/>
          <w:sz w:val="17"/>
          <w:szCs w:val="17"/>
        </w:rPr>
        <w:t>nitiative payments.</w:t>
      </w:r>
    </w:p>
    <w:p w14:paraId="44179301" w14:textId="774AD43A" w:rsidR="00FF18DC" w:rsidRDefault="00FF18DC" w:rsidP="00D63847">
      <w:pPr>
        <w:pStyle w:val="BodyText"/>
      </w:pPr>
      <w:r>
        <w:lastRenderedPageBreak/>
        <w:t xml:space="preserve">Changes to accounting standards </w:t>
      </w:r>
      <w:r w:rsidR="00AE1B18">
        <w:t>affect</w:t>
      </w:r>
      <w:r w:rsidR="00406556">
        <w:t xml:space="preserve"> </w:t>
      </w:r>
      <w:r>
        <w:t>National Partnership infrastructure grant revenues from 1 July 2019</w:t>
      </w:r>
      <w:r w:rsidR="000F315A">
        <w:t xml:space="preserve"> (</w:t>
      </w:r>
      <w:r>
        <w:t xml:space="preserve">see </w:t>
      </w:r>
      <w:r w:rsidR="00D76A45">
        <w:t>B</w:t>
      </w:r>
      <w:r>
        <w:t xml:space="preserve">ox </w:t>
      </w:r>
      <w:r w:rsidR="0062322F">
        <w:t>4.3</w:t>
      </w:r>
      <w:r>
        <w:t xml:space="preserve"> below</w:t>
      </w:r>
      <w:r w:rsidR="000F315A">
        <w:t>)</w:t>
      </w:r>
      <w:r>
        <w:t>.</w:t>
      </w:r>
    </w:p>
    <w:p w14:paraId="0D0B7A69" w14:textId="02CEADC1" w:rsidR="000D2A10" w:rsidRPr="00894B61" w:rsidRDefault="000D2A10" w:rsidP="00D63847">
      <w:pPr>
        <w:pStyle w:val="BodyText"/>
      </w:pPr>
      <w:r w:rsidRPr="008F3E2A">
        <w:t xml:space="preserve">Since the </w:t>
      </w:r>
      <w:r w:rsidR="00676E6B">
        <w:t xml:space="preserve">2019 </w:t>
      </w:r>
      <w:r w:rsidRPr="008F3E2A">
        <w:t xml:space="preserve">Pre-election Budget Update, Commonwealth transport grants have increased by </w:t>
      </w:r>
      <w:r w:rsidRPr="00384E74">
        <w:t>$343.1</w:t>
      </w:r>
      <w:r w:rsidRPr="008F3E2A">
        <w:t xml:space="preserve"> million over the four years to 2021-22</w:t>
      </w:r>
      <w:r w:rsidR="000F315A" w:rsidRPr="008F3E2A">
        <w:t>,</w:t>
      </w:r>
      <w:r w:rsidRPr="00894B61">
        <w:t xml:space="preserve"> primarily due to </w:t>
      </w:r>
      <w:r w:rsidR="009F6D5A" w:rsidRPr="00894B61">
        <w:t xml:space="preserve">changes in </w:t>
      </w:r>
      <w:r w:rsidR="003C0A49" w:rsidRPr="00894B61">
        <w:t xml:space="preserve">the </w:t>
      </w:r>
      <w:r w:rsidR="009F6D5A" w:rsidRPr="00894B61">
        <w:t xml:space="preserve">accounting standards, </w:t>
      </w:r>
      <w:r w:rsidRPr="00894B61">
        <w:t xml:space="preserve">additional funding for Urban Congestion Fund projects and other roads funding announced in the Commonwealth’s 2019-20 Budget. </w:t>
      </w:r>
    </w:p>
    <w:p w14:paraId="5F28CC78" w14:textId="7DC38883" w:rsidR="00C73A9D" w:rsidRPr="00894B61" w:rsidRDefault="00C73A9D" w:rsidP="00D63847">
      <w:pPr>
        <w:pStyle w:val="BodyText"/>
      </w:pPr>
      <w:r w:rsidRPr="00894B61">
        <w:t xml:space="preserve">National Partnership infrastructure funding provided in the Commonwealth 2019-20 Budget </w:t>
      </w:r>
      <w:r w:rsidR="00E10E65">
        <w:t>continues</w:t>
      </w:r>
      <w:r w:rsidR="00E10E65" w:rsidRPr="00894B61">
        <w:t xml:space="preserve"> </w:t>
      </w:r>
      <w:r w:rsidRPr="00894B61">
        <w:t>New South Wales</w:t>
      </w:r>
      <w:r w:rsidR="008743AF" w:rsidRPr="00894B61">
        <w:t>’</w:t>
      </w:r>
      <w:r w:rsidRPr="00894B61">
        <w:t xml:space="preserve"> funding disadvantage on a per capita basis relative to other states. For example, Queensland is expected to receive more than double New South Wales average per capita allocation of Commonwealth infrastructure funding over the four years from 2018-19.</w:t>
      </w:r>
    </w:p>
    <w:p w14:paraId="60F15F14" w14:textId="51DA7175" w:rsidR="00C73A9D" w:rsidRPr="00894B61" w:rsidRDefault="00BC0945" w:rsidP="00D63847">
      <w:pPr>
        <w:pStyle w:val="BodyText"/>
      </w:pPr>
      <w:r w:rsidRPr="00894B61">
        <w:t>S</w:t>
      </w:r>
      <w:r w:rsidR="00C73A9D" w:rsidRPr="00894B61">
        <w:t xml:space="preserve">ince the </w:t>
      </w:r>
      <w:r w:rsidR="00676E6B">
        <w:t xml:space="preserve">2019 </w:t>
      </w:r>
      <w:r w:rsidR="00C73A9D" w:rsidRPr="00894B61">
        <w:t>Pre-election Budget Update</w:t>
      </w:r>
      <w:r w:rsidR="00964672" w:rsidRPr="00894B61">
        <w:t>,</w:t>
      </w:r>
      <w:r w:rsidR="00C73A9D" w:rsidRPr="00894B61">
        <w:t xml:space="preserve"> an additional $97.8 million over the four years to 2021</w:t>
      </w:r>
      <w:r w:rsidR="00964672" w:rsidRPr="00894B61">
        <w:noBreakHyphen/>
      </w:r>
      <w:r w:rsidR="00C73A9D" w:rsidRPr="00894B61">
        <w:t>22 has been provided for Stage 1 of the Sustainable Diversion Limits Adjustment Supply and Constraints Measures in the Murray-Darling Basin.</w:t>
      </w:r>
      <w:r w:rsidR="00426074" w:rsidRPr="00894B61">
        <w:t xml:space="preserve"> </w:t>
      </w:r>
      <w:r w:rsidR="00062E99" w:rsidRPr="00894B61">
        <w:t>T</w:t>
      </w:r>
      <w:r w:rsidR="00011A07" w:rsidRPr="00894B61">
        <w:t xml:space="preserve">he funding profile of the Project Agreement for Small Business Regulatory Reform has </w:t>
      </w:r>
      <w:r w:rsidR="00062E99" w:rsidRPr="00894B61">
        <w:t xml:space="preserve">also </w:t>
      </w:r>
      <w:r w:rsidR="00011A07" w:rsidRPr="00894B61">
        <w:t>been adjusted to reflect receipt of $56.9 million from the Commonwealth in 2019-20 rather than 2018-19.</w:t>
      </w:r>
    </w:p>
    <w:p w14:paraId="7F3765F8" w14:textId="5D9A1DDF" w:rsidR="00EB6B90" w:rsidRDefault="004171EC" w:rsidP="00D63847">
      <w:pPr>
        <w:pStyle w:val="BodyText"/>
      </w:pPr>
      <w:r w:rsidRPr="00894B61">
        <w:t xml:space="preserve">The Commonwealth 2019-20 Budget provided one-year extensions to the National Partnership on Public Dental Services for Adults to 2019-20 and the National Partnership on Universal Access to Early Childhood Education to the end of </w:t>
      </w:r>
      <w:r w:rsidR="00155C73" w:rsidRPr="00894B61">
        <w:t xml:space="preserve">the </w:t>
      </w:r>
      <w:r w:rsidRPr="00894B61">
        <w:t xml:space="preserve">2020 calendar year. These </w:t>
      </w:r>
      <w:r w:rsidR="00944593" w:rsidRPr="00894B61">
        <w:t>extensions</w:t>
      </w:r>
      <w:r w:rsidRPr="00894B61">
        <w:t xml:space="preserve"> deliver additional funding of </w:t>
      </w:r>
      <w:r w:rsidRPr="00384E74">
        <w:t>$1</w:t>
      </w:r>
      <w:r w:rsidR="00AF2383" w:rsidRPr="00384E74">
        <w:t>35.4</w:t>
      </w:r>
      <w:r w:rsidRPr="008F3E2A">
        <w:t xml:space="preserve"> million to 2020-21. </w:t>
      </w:r>
      <w:r w:rsidRPr="00894B61">
        <w:t xml:space="preserve">The </w:t>
      </w:r>
      <w:r w:rsidR="00386888" w:rsidRPr="00894B61">
        <w:t xml:space="preserve">ad hoc </w:t>
      </w:r>
      <w:r w:rsidRPr="00894B61">
        <w:t xml:space="preserve">rolling nature of </w:t>
      </w:r>
      <w:r w:rsidR="00386888" w:rsidRPr="00894B61">
        <w:t xml:space="preserve">these </w:t>
      </w:r>
      <w:r w:rsidRPr="00894B61">
        <w:t>agreements highlight</w:t>
      </w:r>
      <w:r w:rsidR="00062E99" w:rsidRPr="00894B61">
        <w:t>s</w:t>
      </w:r>
      <w:r w:rsidRPr="00894B61">
        <w:t xml:space="preserve"> the need for greater funding certainty and sustainability in areas of national priority and ongoing service delivery by states</w:t>
      </w:r>
      <w:r>
        <w:t xml:space="preserve"> in partnership with the Commonwealth</w:t>
      </w:r>
      <w:r w:rsidRPr="0076025B">
        <w:t>.</w:t>
      </w:r>
    </w:p>
    <w:p w14:paraId="23ECEFCE" w14:textId="77777777" w:rsidR="00E35D4D" w:rsidRDefault="00E35D4D" w:rsidP="00384E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4.3: Budget impacts from the new revenue accounting standards"/>
        <w:tblDescription w:val="Box 4.3: Budget impacts from the new revenue accounting standards"/>
      </w:tblPr>
      <w:tblGrid>
        <w:gridCol w:w="9629"/>
      </w:tblGrid>
      <w:tr w:rsidR="00E35D4D" w14:paraId="69FEF500" w14:textId="77777777" w:rsidTr="00384E74">
        <w:trPr>
          <w:trHeight w:val="6539"/>
        </w:trPr>
        <w:tc>
          <w:tcPr>
            <w:tcW w:w="9629" w:type="dxa"/>
            <w:shd w:val="pct5" w:color="auto" w:fill="auto"/>
          </w:tcPr>
          <w:p w14:paraId="59377D9C" w14:textId="77777777" w:rsidR="00E35D4D" w:rsidRDefault="00E35D4D" w:rsidP="00E35D4D">
            <w:pPr>
              <w:pStyle w:val="Box51BoxHeading"/>
              <w:framePr w:wrap="auto" w:vAnchor="margin" w:yAlign="inline"/>
            </w:pPr>
            <w:r>
              <w:t>Budget impacts from the new revenue accounting standards</w:t>
            </w:r>
          </w:p>
          <w:p w14:paraId="40DAA1F0" w14:textId="553BCA19" w:rsidR="00E35D4D" w:rsidRDefault="00E35D4D" w:rsidP="00E35D4D">
            <w:pPr>
              <w:pStyle w:val="BodyTextBox"/>
            </w:pPr>
            <w:r w:rsidRPr="003F0163">
              <w:t xml:space="preserve">From 1 July 2019, two new accounting standards </w:t>
            </w:r>
            <w:r>
              <w:t>affecting</w:t>
            </w:r>
            <w:r w:rsidRPr="003F0163">
              <w:t xml:space="preserve"> revenue will apply: AASB</w:t>
            </w:r>
            <w:r w:rsidR="00FF444B">
              <w:t> </w:t>
            </w:r>
            <w:r w:rsidRPr="003F0163">
              <w:t>15 </w:t>
            </w:r>
            <w:r w:rsidRPr="003F0163">
              <w:rPr>
                <w:i/>
                <w:iCs/>
              </w:rPr>
              <w:t>Revenue from Contracts with Customers</w:t>
            </w:r>
            <w:r w:rsidRPr="003F0163">
              <w:t> and AASB 1058 </w:t>
            </w:r>
            <w:r w:rsidRPr="003F0163">
              <w:rPr>
                <w:i/>
                <w:iCs/>
              </w:rPr>
              <w:t>Income of Not-For-Profit Entities</w:t>
            </w:r>
            <w:r w:rsidRPr="003F0163">
              <w:t>. </w:t>
            </w:r>
          </w:p>
          <w:p w14:paraId="1E834CFB" w14:textId="449FF1C9" w:rsidR="00E35D4D" w:rsidRPr="00B03C2C" w:rsidRDefault="00E35D4D" w:rsidP="00E35D4D">
            <w:pPr>
              <w:spacing w:before="120" w:after="120"/>
              <w:textAlignment w:val="baseline"/>
              <w:rPr>
                <w:rFonts w:ascii="Arial" w:eastAsiaTheme="minorHAnsi" w:hAnsi="Arial" w:cs="Arial"/>
                <w:noProof/>
                <w:color w:val="0A7CB9"/>
                <w:sz w:val="22"/>
                <w:szCs w:val="22"/>
              </w:rPr>
            </w:pPr>
            <w:r w:rsidRPr="00B03C2C">
              <w:rPr>
                <w:rFonts w:ascii="Arial" w:eastAsiaTheme="minorHAnsi" w:hAnsi="Arial" w:cs="Arial"/>
                <w:noProof/>
                <w:color w:val="0A7CB9"/>
                <w:sz w:val="22"/>
                <w:szCs w:val="22"/>
              </w:rPr>
              <w:t xml:space="preserve">AASB 15 and AASB 1058 change the timing of the recognition of revenue to be aligned with the completion of the related performance obligations of the State. This means the payment profile is adjusted regarding Commonwealth tied grants to New South Wales under some infrastructure related National Partnership Agreements. A </w:t>
            </w:r>
            <w:r>
              <w:rPr>
                <w:rFonts w:ascii="Arial" w:eastAsiaTheme="minorHAnsi" w:hAnsi="Arial" w:cs="Arial"/>
                <w:noProof/>
                <w:color w:val="0A7CB9"/>
                <w:sz w:val="22"/>
                <w:szCs w:val="22"/>
              </w:rPr>
              <w:t>small component of this</w:t>
            </w:r>
            <w:r w:rsidRPr="00B03C2C">
              <w:rPr>
                <w:rFonts w:ascii="Arial" w:eastAsiaTheme="minorHAnsi" w:hAnsi="Arial" w:cs="Arial"/>
                <w:noProof/>
                <w:color w:val="0A7CB9"/>
                <w:sz w:val="22"/>
                <w:szCs w:val="22"/>
              </w:rPr>
              <w:t xml:space="preserve"> impact also applies to long</w:t>
            </w:r>
            <w:r w:rsidR="005C34F0">
              <w:rPr>
                <w:rFonts w:ascii="Arial" w:eastAsiaTheme="minorHAnsi" w:hAnsi="Arial" w:cs="Arial"/>
                <w:noProof/>
                <w:color w:val="0A7CB9"/>
                <w:sz w:val="22"/>
                <w:szCs w:val="22"/>
              </w:rPr>
              <w:noBreakHyphen/>
            </w:r>
            <w:r w:rsidRPr="00B03C2C">
              <w:rPr>
                <w:rFonts w:ascii="Arial" w:eastAsiaTheme="minorHAnsi" w:hAnsi="Arial" w:cs="Arial"/>
                <w:noProof/>
                <w:color w:val="0A7CB9"/>
                <w:sz w:val="22"/>
                <w:szCs w:val="22"/>
              </w:rPr>
              <w:t>term licences issued by the State.</w:t>
            </w:r>
          </w:p>
          <w:p w14:paraId="2E2CF607" w14:textId="2037D94D" w:rsidR="00E35D4D" w:rsidRPr="00914CFB" w:rsidRDefault="00E35D4D" w:rsidP="00E35D4D">
            <w:pPr>
              <w:spacing w:before="120" w:after="120"/>
              <w:textAlignment w:val="baseline"/>
              <w:rPr>
                <w:rFonts w:ascii="Arial" w:eastAsiaTheme="minorHAnsi" w:hAnsi="Arial" w:cs="Arial"/>
                <w:noProof/>
                <w:color w:val="0A7CB9"/>
                <w:sz w:val="22"/>
                <w:szCs w:val="22"/>
              </w:rPr>
            </w:pPr>
            <w:r w:rsidRPr="00914CFB">
              <w:rPr>
                <w:rFonts w:ascii="Arial" w:eastAsiaTheme="minorHAnsi" w:hAnsi="Arial" w:cs="Arial"/>
                <w:noProof/>
                <w:color w:val="0A7CB9"/>
                <w:sz w:val="22"/>
                <w:szCs w:val="22"/>
              </w:rPr>
              <w:t>The impact on revenue varies across each year of the budget and forward estimates (see Table</w:t>
            </w:r>
            <w:r w:rsidR="005C34F0">
              <w:rPr>
                <w:rFonts w:ascii="Arial" w:eastAsiaTheme="minorHAnsi" w:hAnsi="Arial" w:cs="Arial"/>
                <w:noProof/>
                <w:color w:val="0A7CB9"/>
                <w:sz w:val="22"/>
                <w:szCs w:val="22"/>
              </w:rPr>
              <w:t> </w:t>
            </w:r>
            <w:r>
              <w:rPr>
                <w:rFonts w:ascii="Arial" w:eastAsiaTheme="minorHAnsi" w:hAnsi="Arial" w:cs="Arial"/>
                <w:noProof/>
                <w:color w:val="0A7CB9"/>
                <w:sz w:val="22"/>
                <w:szCs w:val="22"/>
              </w:rPr>
              <w:t>4.9</w:t>
            </w:r>
            <w:r w:rsidRPr="00914CFB">
              <w:rPr>
                <w:rFonts w:ascii="Arial" w:eastAsiaTheme="minorHAnsi" w:hAnsi="Arial" w:cs="Arial"/>
                <w:noProof/>
                <w:color w:val="0A7CB9"/>
                <w:sz w:val="22"/>
                <w:szCs w:val="22"/>
              </w:rPr>
              <w:t> below). </w:t>
            </w:r>
          </w:p>
          <w:p w14:paraId="0DE730E7" w14:textId="77777777" w:rsidR="00E35D4D" w:rsidRPr="003F0163" w:rsidRDefault="00E35D4D" w:rsidP="003B4788">
            <w:pPr>
              <w:pStyle w:val="Table4X"/>
              <w:tabs>
                <w:tab w:val="clear" w:pos="1134"/>
                <w:tab w:val="left" w:pos="1304"/>
              </w:tabs>
              <w:rPr>
                <w:rFonts w:cs="Arial"/>
                <w:iCs/>
              </w:rPr>
            </w:pPr>
            <w:r w:rsidRPr="003F0163">
              <w:rPr>
                <w:lang w:val="en-US"/>
              </w:rPr>
              <w:t xml:space="preserve">Impact of AASB 15 and AASB 1058 on general government sector </w:t>
            </w:r>
            <w:r>
              <w:rPr>
                <w:lang w:val="en-US"/>
              </w:rPr>
              <w:t>revenue</w:t>
            </w:r>
            <w:r w:rsidRPr="003F0163">
              <w:rPr>
                <w:rFonts w:cs="Arial"/>
                <w:iCs/>
              </w:rPr>
              <w:t> </w:t>
            </w:r>
          </w:p>
          <w:tbl>
            <w:tblPr>
              <w:tblW w:w="9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3"/>
              <w:gridCol w:w="1371"/>
              <w:gridCol w:w="1017"/>
              <w:gridCol w:w="1017"/>
              <w:gridCol w:w="1017"/>
              <w:gridCol w:w="1049"/>
            </w:tblGrid>
            <w:tr w:rsidR="00E35D4D" w:rsidRPr="003F0163" w14:paraId="0D048F03" w14:textId="77777777" w:rsidTr="002F1119">
              <w:trPr>
                <w:trHeight w:val="270"/>
              </w:trPr>
              <w:tc>
                <w:tcPr>
                  <w:tcW w:w="3883" w:type="dxa"/>
                  <w:tcBorders>
                    <w:top w:val="nil"/>
                    <w:left w:val="nil"/>
                    <w:bottom w:val="nil"/>
                    <w:right w:val="nil"/>
                  </w:tcBorders>
                  <w:shd w:val="clear" w:color="auto" w:fill="25A9E1"/>
                  <w:vAlign w:val="center"/>
                  <w:hideMark/>
                </w:tcPr>
                <w:p w14:paraId="794BD6E5"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 </w:t>
                  </w:r>
                  <w:r w:rsidRPr="003F0163">
                    <w:rPr>
                      <w:rFonts w:ascii="Arial" w:hAnsi="Arial" w:cs="Arial"/>
                      <w:sz w:val="17"/>
                      <w:szCs w:val="17"/>
                      <w:lang w:eastAsia="en-AU"/>
                    </w:rPr>
                    <w:t> </w:t>
                  </w:r>
                </w:p>
              </w:tc>
              <w:tc>
                <w:tcPr>
                  <w:tcW w:w="1371" w:type="dxa"/>
                  <w:tcBorders>
                    <w:top w:val="nil"/>
                    <w:left w:val="nil"/>
                    <w:bottom w:val="nil"/>
                    <w:right w:val="nil"/>
                  </w:tcBorders>
                  <w:shd w:val="clear" w:color="auto" w:fill="25A9E1"/>
                  <w:vAlign w:val="center"/>
                  <w:hideMark/>
                </w:tcPr>
                <w:p w14:paraId="6D800C3F" w14:textId="19983584"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2018-19</w:t>
                  </w:r>
                  <w:r w:rsidRPr="003F0163">
                    <w:rPr>
                      <w:rFonts w:ascii="Arial" w:hAnsi="Arial" w:cs="Arial"/>
                      <w:color w:val="FFFFFF"/>
                      <w:sz w:val="13"/>
                      <w:szCs w:val="13"/>
                      <w:vertAlign w:val="superscript"/>
                      <w:lang w:eastAsia="en-AU"/>
                    </w:rPr>
                    <w:t>(a)</w:t>
                  </w:r>
                  <w:r w:rsidRPr="003F0163">
                    <w:rPr>
                      <w:rFonts w:ascii="Arial" w:hAnsi="Arial" w:cs="Arial"/>
                      <w:sz w:val="13"/>
                      <w:szCs w:val="13"/>
                      <w:lang w:eastAsia="en-AU"/>
                    </w:rPr>
                    <w:t> </w:t>
                  </w:r>
                </w:p>
              </w:tc>
              <w:tc>
                <w:tcPr>
                  <w:tcW w:w="1017" w:type="dxa"/>
                  <w:tcBorders>
                    <w:top w:val="nil"/>
                    <w:left w:val="nil"/>
                    <w:bottom w:val="nil"/>
                    <w:right w:val="nil"/>
                  </w:tcBorders>
                  <w:shd w:val="clear" w:color="auto" w:fill="25A9E1"/>
                  <w:vAlign w:val="center"/>
                  <w:hideMark/>
                </w:tcPr>
                <w:p w14:paraId="6462ACDE"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2019-20</w:t>
                  </w:r>
                  <w:r w:rsidRPr="003F0163">
                    <w:rPr>
                      <w:rFonts w:ascii="Arial" w:hAnsi="Arial" w:cs="Arial"/>
                      <w:sz w:val="17"/>
                      <w:szCs w:val="17"/>
                      <w:lang w:eastAsia="en-AU"/>
                    </w:rPr>
                    <w:t> </w:t>
                  </w:r>
                </w:p>
              </w:tc>
              <w:tc>
                <w:tcPr>
                  <w:tcW w:w="1017" w:type="dxa"/>
                  <w:tcBorders>
                    <w:top w:val="nil"/>
                    <w:left w:val="nil"/>
                    <w:bottom w:val="nil"/>
                    <w:right w:val="nil"/>
                  </w:tcBorders>
                  <w:shd w:val="clear" w:color="auto" w:fill="25A9E1"/>
                  <w:vAlign w:val="center"/>
                  <w:hideMark/>
                </w:tcPr>
                <w:p w14:paraId="388EB4B7"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2020-21</w:t>
                  </w:r>
                  <w:r w:rsidRPr="003F0163">
                    <w:rPr>
                      <w:rFonts w:ascii="Arial" w:hAnsi="Arial" w:cs="Arial"/>
                      <w:sz w:val="17"/>
                      <w:szCs w:val="17"/>
                      <w:lang w:eastAsia="en-AU"/>
                    </w:rPr>
                    <w:t> </w:t>
                  </w:r>
                </w:p>
              </w:tc>
              <w:tc>
                <w:tcPr>
                  <w:tcW w:w="1017" w:type="dxa"/>
                  <w:tcBorders>
                    <w:top w:val="nil"/>
                    <w:left w:val="nil"/>
                    <w:bottom w:val="nil"/>
                    <w:right w:val="nil"/>
                  </w:tcBorders>
                  <w:shd w:val="clear" w:color="auto" w:fill="25A9E1"/>
                  <w:vAlign w:val="center"/>
                  <w:hideMark/>
                </w:tcPr>
                <w:p w14:paraId="55B791D1"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2021-22</w:t>
                  </w:r>
                  <w:r w:rsidRPr="003F0163">
                    <w:rPr>
                      <w:rFonts w:ascii="Arial" w:hAnsi="Arial" w:cs="Arial"/>
                      <w:sz w:val="17"/>
                      <w:szCs w:val="17"/>
                      <w:lang w:eastAsia="en-AU"/>
                    </w:rPr>
                    <w:t> </w:t>
                  </w:r>
                </w:p>
              </w:tc>
              <w:tc>
                <w:tcPr>
                  <w:tcW w:w="1049" w:type="dxa"/>
                  <w:tcBorders>
                    <w:top w:val="nil"/>
                    <w:left w:val="nil"/>
                    <w:bottom w:val="nil"/>
                    <w:right w:val="nil"/>
                  </w:tcBorders>
                  <w:shd w:val="clear" w:color="auto" w:fill="25A9E1"/>
                  <w:vAlign w:val="center"/>
                  <w:hideMark/>
                </w:tcPr>
                <w:p w14:paraId="7E61E7BF"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2022-23</w:t>
                  </w:r>
                  <w:r w:rsidRPr="003F0163">
                    <w:rPr>
                      <w:rFonts w:ascii="Arial" w:hAnsi="Arial" w:cs="Arial"/>
                      <w:sz w:val="17"/>
                      <w:szCs w:val="17"/>
                      <w:lang w:eastAsia="en-AU"/>
                    </w:rPr>
                    <w:t> </w:t>
                  </w:r>
                </w:p>
              </w:tc>
            </w:tr>
            <w:tr w:rsidR="00E35D4D" w:rsidRPr="003F0163" w14:paraId="0A3EB951" w14:textId="77777777" w:rsidTr="002F1119">
              <w:trPr>
                <w:trHeight w:val="78"/>
              </w:trPr>
              <w:tc>
                <w:tcPr>
                  <w:tcW w:w="3883" w:type="dxa"/>
                  <w:tcBorders>
                    <w:top w:val="nil"/>
                    <w:left w:val="nil"/>
                    <w:bottom w:val="nil"/>
                    <w:right w:val="nil"/>
                  </w:tcBorders>
                  <w:shd w:val="clear" w:color="auto" w:fill="25A9E1"/>
                  <w:vAlign w:val="center"/>
                  <w:hideMark/>
                </w:tcPr>
                <w:p w14:paraId="02EF2D0D"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 </w:t>
                  </w:r>
                  <w:r w:rsidRPr="003F0163">
                    <w:rPr>
                      <w:rFonts w:ascii="Arial" w:hAnsi="Arial" w:cs="Arial"/>
                      <w:sz w:val="17"/>
                      <w:szCs w:val="17"/>
                      <w:lang w:eastAsia="en-AU"/>
                    </w:rPr>
                    <w:t> </w:t>
                  </w:r>
                </w:p>
              </w:tc>
              <w:tc>
                <w:tcPr>
                  <w:tcW w:w="1371" w:type="dxa"/>
                  <w:tcBorders>
                    <w:top w:val="nil"/>
                    <w:left w:val="nil"/>
                    <w:bottom w:val="nil"/>
                    <w:right w:val="nil"/>
                  </w:tcBorders>
                  <w:shd w:val="clear" w:color="auto" w:fill="25A9E1"/>
                  <w:vAlign w:val="center"/>
                  <w:hideMark/>
                </w:tcPr>
                <w:p w14:paraId="2C9FFFB9"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 xml:space="preserve">Revised </w:t>
                  </w:r>
                </w:p>
              </w:tc>
              <w:tc>
                <w:tcPr>
                  <w:tcW w:w="1017" w:type="dxa"/>
                  <w:tcBorders>
                    <w:top w:val="nil"/>
                    <w:left w:val="nil"/>
                    <w:bottom w:val="nil"/>
                    <w:right w:val="nil"/>
                  </w:tcBorders>
                  <w:shd w:val="clear" w:color="auto" w:fill="25A9E1"/>
                  <w:vAlign w:val="center"/>
                  <w:hideMark/>
                </w:tcPr>
                <w:p w14:paraId="1122384D"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Budget</w:t>
                  </w:r>
                  <w:r w:rsidRPr="003F0163">
                    <w:rPr>
                      <w:rFonts w:ascii="Arial" w:hAnsi="Arial" w:cs="Arial"/>
                      <w:sz w:val="17"/>
                      <w:szCs w:val="17"/>
                      <w:lang w:eastAsia="en-AU"/>
                    </w:rPr>
                    <w:t> </w:t>
                  </w:r>
                </w:p>
              </w:tc>
              <w:tc>
                <w:tcPr>
                  <w:tcW w:w="3083" w:type="dxa"/>
                  <w:gridSpan w:val="3"/>
                  <w:tcBorders>
                    <w:top w:val="nil"/>
                    <w:left w:val="nil"/>
                    <w:bottom w:val="nil"/>
                    <w:right w:val="nil"/>
                  </w:tcBorders>
                  <w:shd w:val="clear" w:color="auto" w:fill="25A9E1"/>
                  <w:vAlign w:val="center"/>
                  <w:hideMark/>
                </w:tcPr>
                <w:p w14:paraId="68D68F27"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Forward Estimates</w:t>
                  </w:r>
                  <w:r w:rsidRPr="003F0163">
                    <w:rPr>
                      <w:rFonts w:ascii="Arial" w:hAnsi="Arial" w:cs="Arial"/>
                      <w:sz w:val="17"/>
                      <w:szCs w:val="17"/>
                      <w:lang w:eastAsia="en-AU"/>
                    </w:rPr>
                    <w:t> </w:t>
                  </w:r>
                </w:p>
              </w:tc>
            </w:tr>
            <w:tr w:rsidR="00E35D4D" w:rsidRPr="003F0163" w14:paraId="4E9762BB" w14:textId="77777777" w:rsidTr="002F1119">
              <w:trPr>
                <w:trHeight w:val="270"/>
              </w:trPr>
              <w:tc>
                <w:tcPr>
                  <w:tcW w:w="3883" w:type="dxa"/>
                  <w:tcBorders>
                    <w:top w:val="nil"/>
                    <w:left w:val="nil"/>
                    <w:bottom w:val="nil"/>
                    <w:right w:val="nil"/>
                  </w:tcBorders>
                  <w:shd w:val="clear" w:color="auto" w:fill="0579B9"/>
                  <w:vAlign w:val="center"/>
                  <w:hideMark/>
                </w:tcPr>
                <w:p w14:paraId="23580C5A"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 </w:t>
                  </w:r>
                  <w:r w:rsidRPr="003F0163">
                    <w:rPr>
                      <w:rFonts w:ascii="Arial" w:hAnsi="Arial" w:cs="Arial"/>
                      <w:sz w:val="17"/>
                      <w:szCs w:val="17"/>
                      <w:lang w:eastAsia="en-AU"/>
                    </w:rPr>
                    <w:t> </w:t>
                  </w:r>
                </w:p>
              </w:tc>
              <w:tc>
                <w:tcPr>
                  <w:tcW w:w="1371" w:type="dxa"/>
                  <w:tcBorders>
                    <w:top w:val="nil"/>
                    <w:left w:val="nil"/>
                    <w:bottom w:val="nil"/>
                    <w:right w:val="nil"/>
                  </w:tcBorders>
                  <w:shd w:val="clear" w:color="auto" w:fill="0579B9"/>
                  <w:vAlign w:val="center"/>
                  <w:hideMark/>
                </w:tcPr>
                <w:p w14:paraId="03DEADD1"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$m</w:t>
                  </w:r>
                  <w:r w:rsidRPr="003F0163">
                    <w:rPr>
                      <w:rFonts w:ascii="Arial" w:hAnsi="Arial" w:cs="Arial"/>
                      <w:sz w:val="17"/>
                      <w:szCs w:val="17"/>
                      <w:lang w:eastAsia="en-AU"/>
                    </w:rPr>
                    <w:t> </w:t>
                  </w:r>
                </w:p>
              </w:tc>
              <w:tc>
                <w:tcPr>
                  <w:tcW w:w="1017" w:type="dxa"/>
                  <w:tcBorders>
                    <w:top w:val="nil"/>
                    <w:left w:val="nil"/>
                    <w:bottom w:val="nil"/>
                    <w:right w:val="nil"/>
                  </w:tcBorders>
                  <w:shd w:val="clear" w:color="auto" w:fill="0579B9"/>
                  <w:vAlign w:val="center"/>
                  <w:hideMark/>
                </w:tcPr>
                <w:p w14:paraId="10BEEB98"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$m</w:t>
                  </w:r>
                  <w:r w:rsidRPr="003F0163">
                    <w:rPr>
                      <w:rFonts w:ascii="Arial" w:hAnsi="Arial" w:cs="Arial"/>
                      <w:sz w:val="17"/>
                      <w:szCs w:val="17"/>
                      <w:lang w:eastAsia="en-AU"/>
                    </w:rPr>
                    <w:t> </w:t>
                  </w:r>
                </w:p>
              </w:tc>
              <w:tc>
                <w:tcPr>
                  <w:tcW w:w="1017" w:type="dxa"/>
                  <w:tcBorders>
                    <w:top w:val="nil"/>
                    <w:left w:val="nil"/>
                    <w:bottom w:val="nil"/>
                    <w:right w:val="nil"/>
                  </w:tcBorders>
                  <w:shd w:val="clear" w:color="auto" w:fill="0579B9"/>
                  <w:vAlign w:val="center"/>
                  <w:hideMark/>
                </w:tcPr>
                <w:p w14:paraId="0760D055"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$m</w:t>
                  </w:r>
                  <w:r w:rsidRPr="003F0163">
                    <w:rPr>
                      <w:rFonts w:ascii="Arial" w:hAnsi="Arial" w:cs="Arial"/>
                      <w:sz w:val="17"/>
                      <w:szCs w:val="17"/>
                      <w:lang w:eastAsia="en-AU"/>
                    </w:rPr>
                    <w:t> </w:t>
                  </w:r>
                </w:p>
              </w:tc>
              <w:tc>
                <w:tcPr>
                  <w:tcW w:w="1017" w:type="dxa"/>
                  <w:tcBorders>
                    <w:top w:val="nil"/>
                    <w:left w:val="nil"/>
                    <w:bottom w:val="nil"/>
                    <w:right w:val="nil"/>
                  </w:tcBorders>
                  <w:shd w:val="clear" w:color="auto" w:fill="0579B9"/>
                  <w:vAlign w:val="center"/>
                  <w:hideMark/>
                </w:tcPr>
                <w:p w14:paraId="28250381"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$m</w:t>
                  </w:r>
                  <w:r w:rsidRPr="003F0163">
                    <w:rPr>
                      <w:rFonts w:ascii="Arial" w:hAnsi="Arial" w:cs="Arial"/>
                      <w:sz w:val="17"/>
                      <w:szCs w:val="17"/>
                      <w:lang w:eastAsia="en-AU"/>
                    </w:rPr>
                    <w:t> </w:t>
                  </w:r>
                </w:p>
              </w:tc>
              <w:tc>
                <w:tcPr>
                  <w:tcW w:w="1049" w:type="dxa"/>
                  <w:tcBorders>
                    <w:top w:val="nil"/>
                    <w:left w:val="nil"/>
                    <w:bottom w:val="nil"/>
                    <w:right w:val="nil"/>
                  </w:tcBorders>
                  <w:shd w:val="clear" w:color="auto" w:fill="0579B9"/>
                  <w:vAlign w:val="center"/>
                  <w:hideMark/>
                </w:tcPr>
                <w:p w14:paraId="2F042F4D" w14:textId="77777777" w:rsidR="00E35D4D" w:rsidRPr="003F0163" w:rsidRDefault="00E35D4D" w:rsidP="00E35D4D">
                  <w:pPr>
                    <w:jc w:val="center"/>
                    <w:textAlignment w:val="baseline"/>
                    <w:rPr>
                      <w:sz w:val="24"/>
                      <w:szCs w:val="24"/>
                      <w:lang w:eastAsia="en-AU"/>
                    </w:rPr>
                  </w:pPr>
                  <w:r w:rsidRPr="003F0163">
                    <w:rPr>
                      <w:rFonts w:ascii="Arial" w:hAnsi="Arial" w:cs="Arial"/>
                      <w:color w:val="FFFFFF"/>
                      <w:sz w:val="17"/>
                      <w:szCs w:val="17"/>
                      <w:lang w:eastAsia="en-AU"/>
                    </w:rPr>
                    <w:t>$m</w:t>
                  </w:r>
                  <w:r w:rsidRPr="003F0163">
                    <w:rPr>
                      <w:rFonts w:ascii="Arial" w:hAnsi="Arial" w:cs="Arial"/>
                      <w:sz w:val="17"/>
                      <w:szCs w:val="17"/>
                      <w:lang w:eastAsia="en-AU"/>
                    </w:rPr>
                    <w:t> </w:t>
                  </w:r>
                </w:p>
              </w:tc>
            </w:tr>
            <w:tr w:rsidR="00E35D4D" w:rsidRPr="003F0163" w14:paraId="1BE47EF8" w14:textId="77777777" w:rsidTr="002F1119">
              <w:trPr>
                <w:trHeight w:val="270"/>
              </w:trPr>
              <w:tc>
                <w:tcPr>
                  <w:tcW w:w="3883" w:type="dxa"/>
                  <w:tcBorders>
                    <w:top w:val="nil"/>
                    <w:left w:val="nil"/>
                    <w:bottom w:val="nil"/>
                    <w:right w:val="nil"/>
                  </w:tcBorders>
                  <w:shd w:val="clear" w:color="auto" w:fill="auto"/>
                  <w:vAlign w:val="center"/>
                  <w:hideMark/>
                </w:tcPr>
                <w:p w14:paraId="20B37DE5" w14:textId="77777777" w:rsidR="00E35D4D" w:rsidRPr="003F0163" w:rsidRDefault="00E35D4D" w:rsidP="00E35D4D">
                  <w:pPr>
                    <w:textAlignment w:val="baseline"/>
                    <w:rPr>
                      <w:sz w:val="24"/>
                      <w:szCs w:val="24"/>
                      <w:lang w:eastAsia="en-AU"/>
                    </w:rPr>
                  </w:pPr>
                  <w:r>
                    <w:rPr>
                      <w:rFonts w:ascii="Arial" w:hAnsi="Arial" w:cs="Arial"/>
                      <w:sz w:val="17"/>
                      <w:szCs w:val="17"/>
                      <w:lang w:eastAsia="en-AU"/>
                    </w:rPr>
                    <w:t>Total revenue</w:t>
                  </w:r>
                  <w:r w:rsidRPr="003F0163">
                    <w:rPr>
                      <w:rFonts w:ascii="Arial" w:hAnsi="Arial" w:cs="Arial"/>
                      <w:sz w:val="17"/>
                      <w:szCs w:val="17"/>
                      <w:lang w:eastAsia="en-AU"/>
                    </w:rPr>
                    <w:t xml:space="preserve"> (before impact of AASB 15/1058)  </w:t>
                  </w:r>
                </w:p>
              </w:tc>
              <w:tc>
                <w:tcPr>
                  <w:tcW w:w="1371" w:type="dxa"/>
                  <w:tcBorders>
                    <w:top w:val="nil"/>
                    <w:left w:val="nil"/>
                    <w:bottom w:val="nil"/>
                    <w:right w:val="nil"/>
                  </w:tcBorders>
                  <w:shd w:val="clear" w:color="auto" w:fill="auto"/>
                  <w:vAlign w:val="center"/>
                  <w:hideMark/>
                </w:tcPr>
                <w:p w14:paraId="20F18B7E" w14:textId="77777777" w:rsidR="00E35D4D" w:rsidRPr="002F1119" w:rsidRDefault="00E35D4D" w:rsidP="00E35D4D">
                  <w:pPr>
                    <w:ind w:right="182"/>
                    <w:jc w:val="right"/>
                    <w:textAlignment w:val="baseline"/>
                    <w:rPr>
                      <w:sz w:val="24"/>
                      <w:szCs w:val="24"/>
                      <w:lang w:eastAsia="en-AU"/>
                    </w:rPr>
                  </w:pPr>
                  <w:r w:rsidRPr="002F1119">
                    <w:rPr>
                      <w:rFonts w:ascii="Arial" w:hAnsi="Arial" w:cs="Arial"/>
                      <w:sz w:val="17"/>
                      <w:szCs w:val="17"/>
                      <w:lang w:eastAsia="en-AU"/>
                    </w:rPr>
                    <w:t>81,128 </w:t>
                  </w:r>
                </w:p>
              </w:tc>
              <w:tc>
                <w:tcPr>
                  <w:tcW w:w="1017" w:type="dxa"/>
                  <w:tcBorders>
                    <w:top w:val="nil"/>
                    <w:left w:val="nil"/>
                    <w:bottom w:val="nil"/>
                    <w:right w:val="nil"/>
                  </w:tcBorders>
                  <w:shd w:val="clear" w:color="auto" w:fill="F2F2F2"/>
                  <w:vAlign w:val="center"/>
                </w:tcPr>
                <w:p w14:paraId="6D811752" w14:textId="77777777" w:rsidR="00E35D4D" w:rsidRPr="002F1119" w:rsidRDefault="00E35D4D" w:rsidP="00E35D4D">
                  <w:pPr>
                    <w:ind w:right="182"/>
                    <w:jc w:val="right"/>
                    <w:textAlignment w:val="baseline"/>
                    <w:rPr>
                      <w:rFonts w:ascii="Arial" w:hAnsi="Arial" w:cs="Arial"/>
                      <w:sz w:val="17"/>
                      <w:szCs w:val="17"/>
                      <w:lang w:eastAsia="en-AU"/>
                    </w:rPr>
                  </w:pPr>
                  <w:r w:rsidRPr="002F1119">
                    <w:rPr>
                      <w:rFonts w:ascii="Arial" w:hAnsi="Arial" w:cs="Arial"/>
                      <w:sz w:val="17"/>
                      <w:szCs w:val="17"/>
                      <w:lang w:eastAsia="en-AU"/>
                    </w:rPr>
                    <w:t>84,168</w:t>
                  </w:r>
                </w:p>
              </w:tc>
              <w:tc>
                <w:tcPr>
                  <w:tcW w:w="1017" w:type="dxa"/>
                  <w:tcBorders>
                    <w:top w:val="nil"/>
                    <w:left w:val="nil"/>
                    <w:bottom w:val="nil"/>
                    <w:right w:val="nil"/>
                  </w:tcBorders>
                  <w:shd w:val="clear" w:color="auto" w:fill="F2F2F2"/>
                  <w:vAlign w:val="center"/>
                </w:tcPr>
                <w:p w14:paraId="0C68879F" w14:textId="77777777" w:rsidR="00E35D4D" w:rsidRPr="002F1119" w:rsidRDefault="00E35D4D" w:rsidP="00E35D4D">
                  <w:pPr>
                    <w:ind w:right="182"/>
                    <w:jc w:val="right"/>
                    <w:textAlignment w:val="baseline"/>
                    <w:rPr>
                      <w:rFonts w:ascii="Arial" w:hAnsi="Arial" w:cs="Arial"/>
                      <w:sz w:val="17"/>
                      <w:szCs w:val="17"/>
                      <w:lang w:eastAsia="en-AU"/>
                    </w:rPr>
                  </w:pPr>
                  <w:r w:rsidRPr="002F1119">
                    <w:rPr>
                      <w:rFonts w:ascii="Arial" w:hAnsi="Arial" w:cs="Arial"/>
                      <w:sz w:val="17"/>
                      <w:szCs w:val="17"/>
                      <w:lang w:eastAsia="en-AU"/>
                    </w:rPr>
                    <w:t>87,799</w:t>
                  </w:r>
                </w:p>
              </w:tc>
              <w:tc>
                <w:tcPr>
                  <w:tcW w:w="1017" w:type="dxa"/>
                  <w:tcBorders>
                    <w:top w:val="nil"/>
                    <w:left w:val="nil"/>
                    <w:bottom w:val="nil"/>
                    <w:right w:val="nil"/>
                  </w:tcBorders>
                  <w:shd w:val="clear" w:color="auto" w:fill="F2F2F2"/>
                  <w:vAlign w:val="center"/>
                </w:tcPr>
                <w:p w14:paraId="2127A8B8" w14:textId="77777777" w:rsidR="00E35D4D" w:rsidRPr="002F1119" w:rsidRDefault="00E35D4D" w:rsidP="00E35D4D">
                  <w:pPr>
                    <w:ind w:right="182"/>
                    <w:jc w:val="right"/>
                    <w:textAlignment w:val="baseline"/>
                    <w:rPr>
                      <w:rFonts w:ascii="Arial" w:hAnsi="Arial" w:cs="Arial"/>
                      <w:sz w:val="17"/>
                      <w:szCs w:val="17"/>
                      <w:lang w:eastAsia="en-AU"/>
                    </w:rPr>
                  </w:pPr>
                  <w:r w:rsidRPr="002F1119">
                    <w:rPr>
                      <w:rFonts w:ascii="Arial" w:hAnsi="Arial" w:cs="Arial"/>
                      <w:sz w:val="17"/>
                      <w:szCs w:val="17"/>
                      <w:lang w:eastAsia="en-AU"/>
                    </w:rPr>
                    <w:t>89,810</w:t>
                  </w:r>
                </w:p>
              </w:tc>
              <w:tc>
                <w:tcPr>
                  <w:tcW w:w="1049" w:type="dxa"/>
                  <w:tcBorders>
                    <w:top w:val="nil"/>
                    <w:left w:val="nil"/>
                    <w:bottom w:val="nil"/>
                    <w:right w:val="nil"/>
                  </w:tcBorders>
                  <w:shd w:val="clear" w:color="auto" w:fill="F2F2F2"/>
                  <w:vAlign w:val="center"/>
                </w:tcPr>
                <w:p w14:paraId="0980590A" w14:textId="77777777" w:rsidR="00E35D4D" w:rsidRPr="002F1119" w:rsidRDefault="00E35D4D" w:rsidP="00E35D4D">
                  <w:pPr>
                    <w:ind w:right="182"/>
                    <w:jc w:val="right"/>
                    <w:textAlignment w:val="baseline"/>
                    <w:rPr>
                      <w:rFonts w:ascii="Arial" w:hAnsi="Arial" w:cs="Arial"/>
                      <w:sz w:val="17"/>
                      <w:szCs w:val="17"/>
                      <w:lang w:eastAsia="en-AU"/>
                    </w:rPr>
                  </w:pPr>
                  <w:r w:rsidRPr="002F1119">
                    <w:rPr>
                      <w:rFonts w:ascii="Arial" w:hAnsi="Arial" w:cs="Arial"/>
                      <w:sz w:val="17"/>
                      <w:szCs w:val="17"/>
                      <w:lang w:eastAsia="en-AU"/>
                    </w:rPr>
                    <w:t>92,065</w:t>
                  </w:r>
                </w:p>
              </w:tc>
            </w:tr>
            <w:tr w:rsidR="00E35D4D" w:rsidRPr="003F0163" w14:paraId="5446DB2F" w14:textId="77777777" w:rsidTr="002F1119">
              <w:trPr>
                <w:trHeight w:val="270"/>
              </w:trPr>
              <w:tc>
                <w:tcPr>
                  <w:tcW w:w="3883" w:type="dxa"/>
                  <w:tcBorders>
                    <w:top w:val="nil"/>
                    <w:left w:val="nil"/>
                    <w:bottom w:val="nil"/>
                    <w:right w:val="nil"/>
                  </w:tcBorders>
                  <w:shd w:val="clear" w:color="auto" w:fill="auto"/>
                  <w:vAlign w:val="center"/>
                  <w:hideMark/>
                </w:tcPr>
                <w:p w14:paraId="27E7BBA0" w14:textId="77777777" w:rsidR="00E35D4D" w:rsidRPr="003F0163" w:rsidRDefault="00E35D4D" w:rsidP="00E35D4D">
                  <w:pPr>
                    <w:textAlignment w:val="baseline"/>
                    <w:rPr>
                      <w:sz w:val="24"/>
                      <w:szCs w:val="24"/>
                      <w:lang w:eastAsia="en-AU"/>
                    </w:rPr>
                  </w:pPr>
                  <w:r w:rsidRPr="003F0163">
                    <w:rPr>
                      <w:rFonts w:ascii="Arial" w:hAnsi="Arial" w:cs="Arial"/>
                      <w:sz w:val="17"/>
                      <w:szCs w:val="17"/>
                      <w:lang w:eastAsia="en-AU"/>
                    </w:rPr>
                    <w:t>Impact of AASB 15 and AASB 1058 </w:t>
                  </w:r>
                </w:p>
              </w:tc>
              <w:tc>
                <w:tcPr>
                  <w:tcW w:w="1371" w:type="dxa"/>
                  <w:tcBorders>
                    <w:top w:val="nil"/>
                    <w:left w:val="nil"/>
                    <w:bottom w:val="nil"/>
                    <w:right w:val="nil"/>
                  </w:tcBorders>
                  <w:shd w:val="clear" w:color="auto" w:fill="auto"/>
                  <w:vAlign w:val="center"/>
                  <w:hideMark/>
                </w:tcPr>
                <w:p w14:paraId="0015A034" w14:textId="77777777" w:rsidR="00E35D4D" w:rsidRPr="003F0163" w:rsidRDefault="00E35D4D" w:rsidP="00E35D4D">
                  <w:pPr>
                    <w:ind w:right="182"/>
                    <w:jc w:val="right"/>
                    <w:textAlignment w:val="baseline"/>
                    <w:rPr>
                      <w:sz w:val="24"/>
                      <w:szCs w:val="24"/>
                      <w:lang w:eastAsia="en-AU"/>
                    </w:rPr>
                  </w:pPr>
                  <w:r w:rsidRPr="003F0163">
                    <w:rPr>
                      <w:rFonts w:ascii="Arial" w:hAnsi="Arial" w:cs="Arial"/>
                      <w:sz w:val="17"/>
                      <w:szCs w:val="17"/>
                      <w:lang w:eastAsia="en-AU"/>
                    </w:rPr>
                    <w:t>... </w:t>
                  </w:r>
                </w:p>
              </w:tc>
              <w:tc>
                <w:tcPr>
                  <w:tcW w:w="1017" w:type="dxa"/>
                  <w:tcBorders>
                    <w:top w:val="nil"/>
                    <w:left w:val="nil"/>
                    <w:bottom w:val="nil"/>
                    <w:right w:val="nil"/>
                  </w:tcBorders>
                  <w:shd w:val="clear" w:color="auto" w:fill="F2F2F2"/>
                  <w:vAlign w:val="center"/>
                  <w:hideMark/>
                </w:tcPr>
                <w:p w14:paraId="58AF8B69" w14:textId="77777777" w:rsidR="00E35D4D" w:rsidRPr="003F0163" w:rsidRDefault="00E35D4D" w:rsidP="00E35D4D">
                  <w:pPr>
                    <w:ind w:right="182"/>
                    <w:jc w:val="right"/>
                    <w:textAlignment w:val="baseline"/>
                    <w:rPr>
                      <w:sz w:val="24"/>
                      <w:szCs w:val="24"/>
                      <w:lang w:eastAsia="en-AU"/>
                    </w:rPr>
                  </w:pPr>
                  <w:r w:rsidRPr="003F0163">
                    <w:rPr>
                      <w:rFonts w:ascii="Arial" w:hAnsi="Arial" w:cs="Arial"/>
                      <w:sz w:val="17"/>
                      <w:szCs w:val="17"/>
                      <w:lang w:eastAsia="en-AU"/>
                    </w:rPr>
                    <w:t>148</w:t>
                  </w:r>
                </w:p>
              </w:tc>
              <w:tc>
                <w:tcPr>
                  <w:tcW w:w="1017" w:type="dxa"/>
                  <w:tcBorders>
                    <w:top w:val="nil"/>
                    <w:left w:val="nil"/>
                    <w:bottom w:val="nil"/>
                    <w:right w:val="nil"/>
                  </w:tcBorders>
                  <w:shd w:val="clear" w:color="auto" w:fill="F2F2F2"/>
                  <w:vAlign w:val="center"/>
                  <w:hideMark/>
                </w:tcPr>
                <w:p w14:paraId="61840E8A" w14:textId="77777777" w:rsidR="00E35D4D" w:rsidRPr="003F0163" w:rsidRDefault="00E35D4D" w:rsidP="00E35D4D">
                  <w:pPr>
                    <w:ind w:right="182"/>
                    <w:jc w:val="right"/>
                    <w:textAlignment w:val="baseline"/>
                    <w:rPr>
                      <w:sz w:val="24"/>
                      <w:szCs w:val="24"/>
                      <w:lang w:eastAsia="en-AU"/>
                    </w:rPr>
                  </w:pPr>
                  <w:r w:rsidRPr="003F0163">
                    <w:rPr>
                      <w:rFonts w:ascii="Arial" w:hAnsi="Arial" w:cs="Arial"/>
                      <w:sz w:val="17"/>
                      <w:szCs w:val="17"/>
                      <w:lang w:eastAsia="en-AU"/>
                    </w:rPr>
                    <w:t>(167)</w:t>
                  </w:r>
                </w:p>
              </w:tc>
              <w:tc>
                <w:tcPr>
                  <w:tcW w:w="1017" w:type="dxa"/>
                  <w:tcBorders>
                    <w:top w:val="nil"/>
                    <w:left w:val="nil"/>
                    <w:bottom w:val="nil"/>
                    <w:right w:val="nil"/>
                  </w:tcBorders>
                  <w:shd w:val="clear" w:color="auto" w:fill="F2F2F2"/>
                  <w:vAlign w:val="center"/>
                  <w:hideMark/>
                </w:tcPr>
                <w:p w14:paraId="222EB1FB" w14:textId="77777777" w:rsidR="00E35D4D" w:rsidRPr="003F0163" w:rsidRDefault="00E35D4D" w:rsidP="00E35D4D">
                  <w:pPr>
                    <w:ind w:right="182"/>
                    <w:jc w:val="right"/>
                    <w:textAlignment w:val="baseline"/>
                    <w:rPr>
                      <w:sz w:val="24"/>
                      <w:szCs w:val="24"/>
                      <w:lang w:eastAsia="en-AU"/>
                    </w:rPr>
                  </w:pPr>
                  <w:r w:rsidRPr="003F0163">
                    <w:rPr>
                      <w:rFonts w:ascii="Arial" w:hAnsi="Arial" w:cs="Arial"/>
                      <w:sz w:val="17"/>
                      <w:szCs w:val="17"/>
                      <w:lang w:eastAsia="en-AU"/>
                    </w:rPr>
                    <w:t>208</w:t>
                  </w:r>
                </w:p>
              </w:tc>
              <w:tc>
                <w:tcPr>
                  <w:tcW w:w="1049" w:type="dxa"/>
                  <w:tcBorders>
                    <w:top w:val="nil"/>
                    <w:left w:val="nil"/>
                    <w:bottom w:val="nil"/>
                    <w:right w:val="nil"/>
                  </w:tcBorders>
                  <w:shd w:val="clear" w:color="auto" w:fill="F2F2F2"/>
                  <w:vAlign w:val="center"/>
                  <w:hideMark/>
                </w:tcPr>
                <w:p w14:paraId="746EA899" w14:textId="77777777" w:rsidR="00E35D4D" w:rsidRPr="003F0163" w:rsidRDefault="00E35D4D" w:rsidP="00E35D4D">
                  <w:pPr>
                    <w:ind w:right="182"/>
                    <w:jc w:val="right"/>
                    <w:textAlignment w:val="baseline"/>
                    <w:rPr>
                      <w:sz w:val="24"/>
                      <w:szCs w:val="24"/>
                      <w:lang w:eastAsia="en-AU"/>
                    </w:rPr>
                  </w:pPr>
                  <w:r w:rsidRPr="003F0163">
                    <w:rPr>
                      <w:rFonts w:ascii="Arial" w:hAnsi="Arial" w:cs="Arial"/>
                      <w:sz w:val="17"/>
                      <w:szCs w:val="17"/>
                      <w:lang w:eastAsia="en-AU"/>
                    </w:rPr>
                    <w:t>(56)</w:t>
                  </w:r>
                </w:p>
              </w:tc>
            </w:tr>
            <w:tr w:rsidR="00E35D4D" w:rsidRPr="003F0163" w14:paraId="285E9232" w14:textId="77777777" w:rsidTr="002F1119">
              <w:trPr>
                <w:trHeight w:val="270"/>
              </w:trPr>
              <w:tc>
                <w:tcPr>
                  <w:tcW w:w="3883" w:type="dxa"/>
                  <w:tcBorders>
                    <w:top w:val="single" w:sz="6" w:space="0" w:color="auto"/>
                    <w:left w:val="nil"/>
                    <w:bottom w:val="single" w:sz="6" w:space="0" w:color="auto"/>
                    <w:right w:val="nil"/>
                  </w:tcBorders>
                  <w:shd w:val="clear" w:color="auto" w:fill="auto"/>
                  <w:vAlign w:val="center"/>
                  <w:hideMark/>
                </w:tcPr>
                <w:p w14:paraId="3D537F9A" w14:textId="77777777" w:rsidR="00E35D4D" w:rsidRPr="003F0163" w:rsidRDefault="00E35D4D" w:rsidP="00E35D4D">
                  <w:pPr>
                    <w:textAlignment w:val="baseline"/>
                    <w:rPr>
                      <w:sz w:val="24"/>
                      <w:szCs w:val="24"/>
                      <w:lang w:eastAsia="en-AU"/>
                    </w:rPr>
                  </w:pPr>
                  <w:r>
                    <w:rPr>
                      <w:rFonts w:ascii="Arial" w:hAnsi="Arial" w:cs="Arial"/>
                      <w:b/>
                      <w:bCs/>
                      <w:sz w:val="17"/>
                      <w:szCs w:val="17"/>
                      <w:lang w:eastAsia="en-AU"/>
                    </w:rPr>
                    <w:t>Total revenue</w:t>
                  </w:r>
                  <w:r w:rsidRPr="003F0163">
                    <w:rPr>
                      <w:rFonts w:ascii="Arial" w:hAnsi="Arial" w:cs="Arial"/>
                      <w:b/>
                      <w:bCs/>
                      <w:sz w:val="17"/>
                      <w:szCs w:val="17"/>
                      <w:lang w:eastAsia="en-AU"/>
                    </w:rPr>
                    <w:t xml:space="preserve"> at 2019-20 Budget</w:t>
                  </w:r>
                  <w:r w:rsidRPr="003F0163">
                    <w:rPr>
                      <w:rFonts w:ascii="Arial" w:hAnsi="Arial" w:cs="Arial"/>
                      <w:sz w:val="17"/>
                      <w:szCs w:val="17"/>
                      <w:lang w:eastAsia="en-AU"/>
                    </w:rPr>
                    <w:t> </w:t>
                  </w:r>
                </w:p>
              </w:tc>
              <w:tc>
                <w:tcPr>
                  <w:tcW w:w="1371" w:type="dxa"/>
                  <w:tcBorders>
                    <w:top w:val="single" w:sz="6" w:space="0" w:color="auto"/>
                    <w:left w:val="nil"/>
                    <w:bottom w:val="single" w:sz="6" w:space="0" w:color="auto"/>
                    <w:right w:val="nil"/>
                  </w:tcBorders>
                  <w:shd w:val="clear" w:color="auto" w:fill="auto"/>
                  <w:vAlign w:val="center"/>
                </w:tcPr>
                <w:p w14:paraId="47531581" w14:textId="77777777" w:rsidR="00E35D4D" w:rsidRPr="002F1119" w:rsidRDefault="00E35D4D" w:rsidP="00E35D4D">
                  <w:pPr>
                    <w:ind w:right="182"/>
                    <w:jc w:val="right"/>
                    <w:textAlignment w:val="baseline"/>
                    <w:rPr>
                      <w:rFonts w:ascii="Arial" w:hAnsi="Arial" w:cs="Arial"/>
                      <w:b/>
                      <w:sz w:val="17"/>
                      <w:szCs w:val="17"/>
                      <w:lang w:eastAsia="en-AU"/>
                    </w:rPr>
                  </w:pPr>
                  <w:r w:rsidRPr="002F1119">
                    <w:rPr>
                      <w:rFonts w:ascii="Arial" w:hAnsi="Arial" w:cs="Arial"/>
                      <w:b/>
                      <w:sz w:val="17"/>
                      <w:szCs w:val="17"/>
                      <w:lang w:eastAsia="en-AU"/>
                    </w:rPr>
                    <w:t>81,128</w:t>
                  </w:r>
                </w:p>
              </w:tc>
              <w:tc>
                <w:tcPr>
                  <w:tcW w:w="1017" w:type="dxa"/>
                  <w:tcBorders>
                    <w:top w:val="single" w:sz="6" w:space="0" w:color="auto"/>
                    <w:left w:val="nil"/>
                    <w:bottom w:val="single" w:sz="6" w:space="0" w:color="auto"/>
                    <w:right w:val="nil"/>
                  </w:tcBorders>
                  <w:shd w:val="clear" w:color="auto" w:fill="F2F2F2"/>
                  <w:vAlign w:val="center"/>
                </w:tcPr>
                <w:p w14:paraId="596CD88B" w14:textId="77777777" w:rsidR="00E35D4D" w:rsidRPr="002F1119" w:rsidRDefault="00E35D4D" w:rsidP="00E35D4D">
                  <w:pPr>
                    <w:ind w:right="182"/>
                    <w:jc w:val="right"/>
                    <w:textAlignment w:val="baseline"/>
                    <w:rPr>
                      <w:rFonts w:ascii="Arial" w:hAnsi="Arial" w:cs="Arial"/>
                      <w:b/>
                      <w:sz w:val="17"/>
                      <w:szCs w:val="17"/>
                      <w:lang w:eastAsia="en-AU"/>
                    </w:rPr>
                  </w:pPr>
                  <w:r w:rsidRPr="002F1119">
                    <w:rPr>
                      <w:rFonts w:ascii="Arial" w:hAnsi="Arial" w:cs="Arial"/>
                      <w:b/>
                      <w:sz w:val="17"/>
                      <w:szCs w:val="17"/>
                      <w:lang w:eastAsia="en-AU"/>
                    </w:rPr>
                    <w:t>84,316</w:t>
                  </w:r>
                </w:p>
              </w:tc>
              <w:tc>
                <w:tcPr>
                  <w:tcW w:w="1017" w:type="dxa"/>
                  <w:tcBorders>
                    <w:top w:val="single" w:sz="6" w:space="0" w:color="auto"/>
                    <w:left w:val="nil"/>
                    <w:bottom w:val="single" w:sz="6" w:space="0" w:color="auto"/>
                    <w:right w:val="nil"/>
                  </w:tcBorders>
                  <w:shd w:val="clear" w:color="auto" w:fill="F2F2F2"/>
                  <w:vAlign w:val="center"/>
                </w:tcPr>
                <w:p w14:paraId="3FBC2ECD" w14:textId="77777777" w:rsidR="00E35D4D" w:rsidRPr="002F1119" w:rsidRDefault="00E35D4D" w:rsidP="00E35D4D">
                  <w:pPr>
                    <w:ind w:right="182"/>
                    <w:jc w:val="right"/>
                    <w:textAlignment w:val="baseline"/>
                    <w:rPr>
                      <w:rFonts w:ascii="Arial" w:hAnsi="Arial" w:cs="Arial"/>
                      <w:b/>
                      <w:sz w:val="17"/>
                      <w:szCs w:val="17"/>
                      <w:lang w:eastAsia="en-AU"/>
                    </w:rPr>
                  </w:pPr>
                  <w:r w:rsidRPr="002F1119">
                    <w:rPr>
                      <w:rFonts w:ascii="Arial" w:hAnsi="Arial" w:cs="Arial"/>
                      <w:b/>
                      <w:sz w:val="17"/>
                      <w:szCs w:val="17"/>
                      <w:lang w:eastAsia="en-AU"/>
                    </w:rPr>
                    <w:t>87,632</w:t>
                  </w:r>
                </w:p>
              </w:tc>
              <w:tc>
                <w:tcPr>
                  <w:tcW w:w="1017" w:type="dxa"/>
                  <w:tcBorders>
                    <w:top w:val="single" w:sz="6" w:space="0" w:color="auto"/>
                    <w:left w:val="nil"/>
                    <w:bottom w:val="single" w:sz="6" w:space="0" w:color="auto"/>
                    <w:right w:val="nil"/>
                  </w:tcBorders>
                  <w:shd w:val="clear" w:color="auto" w:fill="F2F2F2"/>
                  <w:vAlign w:val="center"/>
                </w:tcPr>
                <w:p w14:paraId="315C544D" w14:textId="77777777" w:rsidR="00E35D4D" w:rsidRPr="002F1119" w:rsidRDefault="00E35D4D" w:rsidP="00E35D4D">
                  <w:pPr>
                    <w:ind w:right="182"/>
                    <w:jc w:val="right"/>
                    <w:textAlignment w:val="baseline"/>
                    <w:rPr>
                      <w:rFonts w:ascii="Arial" w:hAnsi="Arial" w:cs="Arial"/>
                      <w:b/>
                      <w:sz w:val="17"/>
                      <w:szCs w:val="17"/>
                      <w:lang w:eastAsia="en-AU"/>
                    </w:rPr>
                  </w:pPr>
                  <w:r w:rsidRPr="002F1119">
                    <w:rPr>
                      <w:rFonts w:ascii="Arial" w:hAnsi="Arial" w:cs="Arial"/>
                      <w:b/>
                      <w:sz w:val="17"/>
                      <w:szCs w:val="17"/>
                      <w:lang w:eastAsia="en-AU"/>
                    </w:rPr>
                    <w:t>90,018</w:t>
                  </w:r>
                </w:p>
              </w:tc>
              <w:tc>
                <w:tcPr>
                  <w:tcW w:w="1049" w:type="dxa"/>
                  <w:tcBorders>
                    <w:top w:val="single" w:sz="6" w:space="0" w:color="auto"/>
                    <w:left w:val="nil"/>
                    <w:bottom w:val="single" w:sz="6" w:space="0" w:color="auto"/>
                    <w:right w:val="nil"/>
                  </w:tcBorders>
                  <w:shd w:val="clear" w:color="auto" w:fill="F2F2F2"/>
                  <w:vAlign w:val="center"/>
                </w:tcPr>
                <w:p w14:paraId="3E1AE20B" w14:textId="77777777" w:rsidR="00E35D4D" w:rsidRPr="002F1119" w:rsidRDefault="00E35D4D" w:rsidP="00E35D4D">
                  <w:pPr>
                    <w:ind w:right="182"/>
                    <w:jc w:val="right"/>
                    <w:textAlignment w:val="baseline"/>
                    <w:rPr>
                      <w:rFonts w:ascii="Arial" w:hAnsi="Arial" w:cs="Arial"/>
                      <w:b/>
                      <w:sz w:val="17"/>
                      <w:szCs w:val="17"/>
                      <w:lang w:eastAsia="en-AU"/>
                    </w:rPr>
                  </w:pPr>
                  <w:r w:rsidRPr="002F1119">
                    <w:rPr>
                      <w:rFonts w:ascii="Arial" w:hAnsi="Arial" w:cs="Arial"/>
                      <w:b/>
                      <w:sz w:val="17"/>
                      <w:szCs w:val="17"/>
                      <w:lang w:eastAsia="en-AU"/>
                    </w:rPr>
                    <w:t>92,009</w:t>
                  </w:r>
                </w:p>
              </w:tc>
            </w:tr>
          </w:tbl>
          <w:p w14:paraId="4F1B459B" w14:textId="77777777" w:rsidR="00E35D4D" w:rsidRPr="000C0534" w:rsidRDefault="00E35D4D" w:rsidP="00E35D4D">
            <w:pPr>
              <w:rPr>
                <w:rFonts w:ascii="Arial" w:hAnsi="Arial" w:cs="Arial"/>
                <w:sz w:val="6"/>
                <w:szCs w:val="6"/>
              </w:rPr>
            </w:pPr>
          </w:p>
          <w:p w14:paraId="644A230C" w14:textId="77777777" w:rsidR="00E35D4D" w:rsidRPr="000C0534" w:rsidRDefault="00E35D4D" w:rsidP="00E35D4D">
            <w:pPr>
              <w:pStyle w:val="ListParagraph"/>
              <w:numPr>
                <w:ilvl w:val="0"/>
                <w:numId w:val="43"/>
              </w:numPr>
              <w:ind w:left="357" w:hanging="357"/>
              <w:rPr>
                <w:rFonts w:ascii="Arial" w:hAnsi="Arial" w:cs="Arial"/>
                <w:sz w:val="17"/>
                <w:szCs w:val="17"/>
              </w:rPr>
            </w:pPr>
            <w:r w:rsidRPr="000C0534">
              <w:rPr>
                <w:rFonts w:ascii="Arial" w:hAnsi="Arial" w:cs="Arial"/>
                <w:sz w:val="17"/>
                <w:szCs w:val="17"/>
              </w:rPr>
              <w:t xml:space="preserve">The 2018-19 revised estimate is not </w:t>
            </w:r>
            <w:r>
              <w:rPr>
                <w:rFonts w:ascii="Arial" w:hAnsi="Arial" w:cs="Arial"/>
                <w:sz w:val="17"/>
                <w:szCs w:val="17"/>
              </w:rPr>
              <w:t>affected</w:t>
            </w:r>
            <w:r w:rsidRPr="000C0534">
              <w:rPr>
                <w:rFonts w:ascii="Arial" w:hAnsi="Arial" w:cs="Arial"/>
                <w:sz w:val="17"/>
                <w:szCs w:val="17"/>
              </w:rPr>
              <w:t xml:space="preserve"> as the new accounting standards are effective from 1 July 2019. </w:t>
            </w:r>
          </w:p>
          <w:p w14:paraId="4F6084FF" w14:textId="77777777" w:rsidR="005C34F0" w:rsidRDefault="005C34F0" w:rsidP="005C34F0"/>
          <w:p w14:paraId="4E107FAD" w14:textId="7F49DAEC" w:rsidR="00E35D4D" w:rsidRDefault="00E35D4D" w:rsidP="00384E74">
            <w:pPr>
              <w:pStyle w:val="BodyTextBox"/>
            </w:pPr>
            <w:r w:rsidRPr="003F0163">
              <w:t xml:space="preserve">For a full reconciliation of the impact of </w:t>
            </w:r>
            <w:r>
              <w:t xml:space="preserve">all </w:t>
            </w:r>
            <w:r w:rsidRPr="008F3E2A">
              <w:t>new accounting standards applying from 1 </w:t>
            </w:r>
            <w:r w:rsidRPr="00F80445">
              <w:t>July 2019 reflected in the 2019-20 Budget, see</w:t>
            </w:r>
            <w:r>
              <w:t xml:space="preserve"> Table A2.5</w:t>
            </w:r>
            <w:r w:rsidRPr="00F80445">
              <w:t> in Appendix A2 </w:t>
            </w:r>
            <w:r w:rsidRPr="00F80445">
              <w:rPr>
                <w:i/>
                <w:iCs/>
              </w:rPr>
              <w:t>Statement of Significant Accounting Policies and Forecast Assumptions</w:t>
            </w:r>
            <w:r w:rsidRPr="00F80445">
              <w:t>.</w:t>
            </w:r>
            <w:r w:rsidRPr="003F0163">
              <w:t> </w:t>
            </w:r>
          </w:p>
        </w:tc>
      </w:tr>
    </w:tbl>
    <w:p w14:paraId="415E0C95" w14:textId="77777777" w:rsidR="004D7187" w:rsidRDefault="004D7187">
      <w:pPr>
        <w:spacing w:after="200" w:line="276" w:lineRule="auto"/>
        <w:rPr>
          <w:rFonts w:ascii="Arial Bold" w:hAnsi="Arial Bold"/>
          <w:b/>
          <w:kern w:val="28"/>
          <w:sz w:val="26"/>
          <w:szCs w:val="36"/>
        </w:rPr>
      </w:pPr>
      <w:r>
        <w:br w:type="page"/>
      </w:r>
    </w:p>
    <w:p w14:paraId="1F87E431" w14:textId="732B89DE" w:rsidR="004441EB" w:rsidRPr="004441EB" w:rsidRDefault="004441EB" w:rsidP="00055D45">
      <w:pPr>
        <w:pStyle w:val="Heading3"/>
        <w:numPr>
          <w:ilvl w:val="0"/>
          <w:numId w:val="0"/>
        </w:numPr>
        <w:ind w:left="720" w:hanging="720"/>
        <w:rPr>
          <w:rFonts w:eastAsiaTheme="minorHAnsi"/>
        </w:rPr>
      </w:pPr>
      <w:r w:rsidRPr="004441EB">
        <w:rPr>
          <w:rFonts w:eastAsiaTheme="minorHAnsi"/>
        </w:rPr>
        <w:lastRenderedPageBreak/>
        <w:t xml:space="preserve">Other Commonwealth </w:t>
      </w:r>
      <w:r w:rsidR="00A13D11">
        <w:rPr>
          <w:rFonts w:eastAsiaTheme="minorHAnsi"/>
        </w:rPr>
        <w:t>payments</w:t>
      </w:r>
    </w:p>
    <w:p w14:paraId="3B49F12F" w14:textId="22D43C26" w:rsidR="004441EB" w:rsidRPr="00C01CD7" w:rsidRDefault="004441EB" w:rsidP="00D63847">
      <w:pPr>
        <w:pStyle w:val="BodyText"/>
      </w:pPr>
      <w:r>
        <w:t xml:space="preserve">Other </w:t>
      </w:r>
      <w:r w:rsidRPr="008F3E2A">
        <w:t xml:space="preserve">Commonwealth </w:t>
      </w:r>
      <w:r w:rsidR="00A13D11" w:rsidRPr="00C01CD7">
        <w:t xml:space="preserve">payments </w:t>
      </w:r>
      <w:r w:rsidRPr="00C01CD7">
        <w:t xml:space="preserve">are forecast to be </w:t>
      </w:r>
      <w:r w:rsidRPr="00384E74">
        <w:t>$</w:t>
      </w:r>
      <w:r w:rsidR="00DF66CA" w:rsidRPr="00384E74">
        <w:t>409</w:t>
      </w:r>
      <w:r w:rsidRPr="00384E74">
        <w:t>.</w:t>
      </w:r>
      <w:r w:rsidR="00DF66CA" w:rsidRPr="00384E74">
        <w:t>9</w:t>
      </w:r>
      <w:r w:rsidRPr="008F3E2A">
        <w:t xml:space="preserve"> million in 2018-19. This represents a</w:t>
      </w:r>
      <w:r w:rsidR="00851444">
        <w:t>n</w:t>
      </w:r>
      <w:r w:rsidRPr="008F3E2A">
        <w:t xml:space="preserve"> </w:t>
      </w:r>
      <w:r w:rsidRPr="00384E74">
        <w:t>$</w:t>
      </w:r>
      <w:r w:rsidR="00FA45EA" w:rsidRPr="00384E74">
        <w:t>18</w:t>
      </w:r>
      <w:r w:rsidRPr="00384E74">
        <w:t>.</w:t>
      </w:r>
      <w:r w:rsidR="00FA45EA" w:rsidRPr="00384E74">
        <w:t>9</w:t>
      </w:r>
      <w:r w:rsidR="001E1611" w:rsidRPr="008F3E2A">
        <w:t> million</w:t>
      </w:r>
      <w:r w:rsidRPr="00C01CD7">
        <w:t xml:space="preserve"> downgrade in revenue since the </w:t>
      </w:r>
      <w:r w:rsidR="00676E6B">
        <w:t xml:space="preserve">2019 </w:t>
      </w:r>
      <w:r w:rsidRPr="00C01CD7">
        <w:t xml:space="preserve">Pre-election Budget Update. Over the three years to 2021-22, other Commonwealth </w:t>
      </w:r>
      <w:r w:rsidR="00336F8B" w:rsidRPr="00C01CD7">
        <w:t xml:space="preserve">payments </w:t>
      </w:r>
      <w:r w:rsidRPr="00C01CD7">
        <w:t xml:space="preserve">have been revised down by </w:t>
      </w:r>
      <w:r w:rsidRPr="00384E74">
        <w:t>$</w:t>
      </w:r>
      <w:r w:rsidR="0019634C" w:rsidRPr="00384E74">
        <w:t>74</w:t>
      </w:r>
      <w:r w:rsidRPr="00384E74">
        <w:t>.</w:t>
      </w:r>
      <w:r w:rsidR="0019634C" w:rsidRPr="00384E74">
        <w:t>2</w:t>
      </w:r>
      <w:r w:rsidR="005C34F0">
        <w:t> </w:t>
      </w:r>
      <w:r w:rsidRPr="008F3E2A">
        <w:t xml:space="preserve">million. Downward revisions </w:t>
      </w:r>
      <w:r w:rsidR="001E1611" w:rsidRPr="008F3E2A">
        <w:t xml:space="preserve">over the three years </w:t>
      </w:r>
      <w:r w:rsidRPr="00C01CD7">
        <w:t xml:space="preserve">mainly reflect revised expectations for Commonwealth funding to the Ministry of Health. </w:t>
      </w:r>
    </w:p>
    <w:p w14:paraId="1EB6798F" w14:textId="1EE53906" w:rsidR="004441EB" w:rsidRPr="00C01CD7" w:rsidRDefault="004441EB" w:rsidP="00055D45">
      <w:pPr>
        <w:pStyle w:val="Heading3"/>
        <w:numPr>
          <w:ilvl w:val="0"/>
          <w:numId w:val="0"/>
        </w:numPr>
        <w:ind w:left="720" w:hanging="720"/>
        <w:rPr>
          <w:rFonts w:eastAsiaTheme="minorHAnsi"/>
        </w:rPr>
      </w:pPr>
      <w:r w:rsidRPr="00C01CD7">
        <w:rPr>
          <w:rFonts w:eastAsiaTheme="minorHAnsi"/>
        </w:rPr>
        <w:t>Other grants</w:t>
      </w:r>
    </w:p>
    <w:p w14:paraId="10F5FB50" w14:textId="29B8CD52" w:rsidR="00D26BDF" w:rsidRDefault="004441EB" w:rsidP="00D63847">
      <w:pPr>
        <w:pStyle w:val="BodyText"/>
      </w:pPr>
      <w:r w:rsidRPr="00C01CD7">
        <w:t xml:space="preserve">Other grants </w:t>
      </w:r>
      <w:r w:rsidR="00781337" w:rsidRPr="00C01CD7">
        <w:t xml:space="preserve">are expected to provide </w:t>
      </w:r>
      <w:r w:rsidR="000A77CF" w:rsidRPr="00384E74">
        <w:t>$</w:t>
      </w:r>
      <w:r w:rsidR="007B75A4" w:rsidRPr="00384E74">
        <w:t>581</w:t>
      </w:r>
      <w:r w:rsidR="00A71E7E" w:rsidRPr="00384E74">
        <w:t>.</w:t>
      </w:r>
      <w:r w:rsidR="007B75A4" w:rsidRPr="00384E74">
        <w:t>1</w:t>
      </w:r>
      <w:r w:rsidR="005F1AE2" w:rsidRPr="008F3E2A">
        <w:t xml:space="preserve"> million in 2018-19 and grow by </w:t>
      </w:r>
      <w:r w:rsidR="00AB2F69" w:rsidRPr="00384E74">
        <w:t>2</w:t>
      </w:r>
      <w:r w:rsidR="005F1AE2" w:rsidRPr="00384E74">
        <w:t>.</w:t>
      </w:r>
      <w:r w:rsidR="00AB2F69" w:rsidRPr="00384E74">
        <w:t>1</w:t>
      </w:r>
      <w:r w:rsidR="005F1AE2" w:rsidRPr="008F3E2A">
        <w:t> per cent over the four years to 2022-23</w:t>
      </w:r>
      <w:r w:rsidR="00A854CC" w:rsidRPr="008F3E2A">
        <w:t xml:space="preserve">. This forecast is </w:t>
      </w:r>
      <w:r w:rsidRPr="00C01CD7">
        <w:t>broadly</w:t>
      </w:r>
      <w:r>
        <w:t xml:space="preserve"> unchanged relative to the </w:t>
      </w:r>
      <w:r w:rsidR="00676E6B">
        <w:t xml:space="preserve">2019 </w:t>
      </w:r>
      <w:r>
        <w:t xml:space="preserve">Pre-election Budget </w:t>
      </w:r>
      <w:r w:rsidR="00FF5D59">
        <w:t>U</w:t>
      </w:r>
      <w:r>
        <w:t>pdate.</w:t>
      </w:r>
    </w:p>
    <w:p w14:paraId="37E05899" w14:textId="5E88E878" w:rsidR="00A6669E" w:rsidRPr="0011270D" w:rsidRDefault="00A6669E">
      <w:pPr>
        <w:pStyle w:val="Heading2"/>
      </w:pPr>
      <w:bookmarkStart w:id="8" w:name="_Hlk512507003"/>
      <w:bookmarkEnd w:id="7"/>
      <w:r w:rsidRPr="0011270D">
        <w:t>Other revenues</w:t>
      </w:r>
      <w:bookmarkEnd w:id="8"/>
    </w:p>
    <w:p w14:paraId="34B3C1F8" w14:textId="00CFC068" w:rsidR="00A6669E" w:rsidRPr="0011270D" w:rsidRDefault="00A6669E" w:rsidP="00055D45">
      <w:pPr>
        <w:pStyle w:val="Heading3"/>
        <w:numPr>
          <w:ilvl w:val="0"/>
          <w:numId w:val="0"/>
        </w:numPr>
        <w:ind w:left="720" w:hanging="720"/>
        <w:rPr>
          <w:rFonts w:eastAsiaTheme="minorHAnsi"/>
        </w:rPr>
      </w:pPr>
      <w:r w:rsidRPr="0011270D">
        <w:rPr>
          <w:rFonts w:eastAsiaTheme="minorHAnsi"/>
        </w:rPr>
        <w:t>Sale of goods and services</w:t>
      </w:r>
    </w:p>
    <w:p w14:paraId="75BB1FE2" w14:textId="2104A40C" w:rsidR="00967076" w:rsidDel="00FC1B69" w:rsidRDefault="00D609B1" w:rsidP="00D63847">
      <w:pPr>
        <w:pStyle w:val="BodyText"/>
      </w:pPr>
      <w:r w:rsidRPr="00343106">
        <w:t xml:space="preserve">Sale of goods and services </w:t>
      </w:r>
      <w:r w:rsidR="00851444">
        <w:t>is</w:t>
      </w:r>
      <w:r w:rsidR="00851444" w:rsidRPr="00343106">
        <w:t xml:space="preserve"> </w:t>
      </w:r>
      <w:r w:rsidRPr="00343106">
        <w:t xml:space="preserve">expected to </w:t>
      </w:r>
      <w:r w:rsidR="00737F92">
        <w:t xml:space="preserve">generate </w:t>
      </w:r>
      <w:r w:rsidR="00737F92" w:rsidRPr="008F3E2A">
        <w:t>revenue of</w:t>
      </w:r>
      <w:r w:rsidRPr="008F3E2A">
        <w:t xml:space="preserve"> </w:t>
      </w:r>
      <w:r w:rsidRPr="00384E74">
        <w:t>$</w:t>
      </w:r>
      <w:r w:rsidR="00574F52" w:rsidRPr="00384E74">
        <w:t>8</w:t>
      </w:r>
      <w:r w:rsidRPr="00384E74">
        <w:t>.</w:t>
      </w:r>
      <w:r w:rsidR="00574F52" w:rsidRPr="00384E74">
        <w:t>8</w:t>
      </w:r>
      <w:r w:rsidRPr="008F3E2A">
        <w:t xml:space="preserve"> billion</w:t>
      </w:r>
      <w:r w:rsidRPr="00343106">
        <w:t xml:space="preserve"> in 2018-19, and </w:t>
      </w:r>
      <w:r w:rsidR="00851444">
        <w:t>is</w:t>
      </w:r>
      <w:r w:rsidR="00851444" w:rsidRPr="00343106">
        <w:t xml:space="preserve"> </w:t>
      </w:r>
      <w:r w:rsidRPr="00343106">
        <w:t xml:space="preserve">forecast to </w:t>
      </w:r>
      <w:r w:rsidRPr="008F3E2A">
        <w:t xml:space="preserve">grow by </w:t>
      </w:r>
      <w:r w:rsidR="00CB274C" w:rsidRPr="00384E74">
        <w:t>0</w:t>
      </w:r>
      <w:r w:rsidRPr="00384E74">
        <w:t>.</w:t>
      </w:r>
      <w:r w:rsidR="00D2110C" w:rsidRPr="00384E74">
        <w:t>5</w:t>
      </w:r>
      <w:r w:rsidRPr="008F3E2A">
        <w:t xml:space="preserve"> per cent</w:t>
      </w:r>
      <w:r w:rsidRPr="00343106">
        <w:t xml:space="preserve"> in the four years to 2022-23.</w:t>
      </w:r>
    </w:p>
    <w:p w14:paraId="26C325A7" w14:textId="1D102481" w:rsidR="00D609B1" w:rsidRPr="00343106" w:rsidRDefault="00D609B1" w:rsidP="00D63847">
      <w:pPr>
        <w:pStyle w:val="BodyText"/>
      </w:pPr>
      <w:r w:rsidRPr="00343106">
        <w:t xml:space="preserve">In 2018-19, sale of goods and services revenue has been revised down </w:t>
      </w:r>
      <w:r w:rsidRPr="008F3E2A">
        <w:t xml:space="preserve">by </w:t>
      </w:r>
      <w:r w:rsidRPr="00384E74">
        <w:t>$</w:t>
      </w:r>
      <w:r w:rsidR="003842BF" w:rsidRPr="00384E74">
        <w:t>23</w:t>
      </w:r>
      <w:r w:rsidR="002A7EDE" w:rsidRPr="00384E74">
        <w:t>0</w:t>
      </w:r>
      <w:r w:rsidRPr="00384E74">
        <w:t>.</w:t>
      </w:r>
      <w:r w:rsidR="002A7EDE" w:rsidRPr="00384E74">
        <w:t>6</w:t>
      </w:r>
      <w:r w:rsidRPr="008F3E2A">
        <w:t xml:space="preserve"> </w:t>
      </w:r>
      <w:r w:rsidR="003842BF" w:rsidRPr="008F3E2A">
        <w:t>m</w:t>
      </w:r>
      <w:r w:rsidRPr="00343106">
        <w:t xml:space="preserve">illion compared to the </w:t>
      </w:r>
      <w:r w:rsidR="00676E6B">
        <w:t xml:space="preserve">2019 </w:t>
      </w:r>
      <w:r w:rsidRPr="00343106">
        <w:t>Pre-election Budget Update</w:t>
      </w:r>
      <w:r w:rsidR="00204FA2">
        <w:t>.</w:t>
      </w:r>
      <w:r w:rsidRPr="00343106">
        <w:t xml:space="preserve"> </w:t>
      </w:r>
      <w:r w:rsidR="00204FA2">
        <w:t xml:space="preserve">This is due to </w:t>
      </w:r>
      <w:r w:rsidRPr="00343106">
        <w:t xml:space="preserve">lower </w:t>
      </w:r>
      <w:r w:rsidR="008238E8">
        <w:t>fee for service revenue associated with the transfer of North</w:t>
      </w:r>
      <w:r w:rsidR="00FF444B">
        <w:t xml:space="preserve"> W</w:t>
      </w:r>
      <w:r w:rsidR="008238E8">
        <w:t>est</w:t>
      </w:r>
      <w:r w:rsidR="00FF444B">
        <w:t xml:space="preserve"> Metro</w:t>
      </w:r>
      <w:r w:rsidR="008238E8">
        <w:t xml:space="preserve"> assets</w:t>
      </w:r>
      <w:r w:rsidR="00E448B8">
        <w:t xml:space="preserve"> from RailCorp to Sydney Metro and lower revenue to Infrastructure NSW associated with offsetting reductions in spending on </w:t>
      </w:r>
      <w:r w:rsidR="009C1111">
        <w:t>Walsh Bay Precinct and Western Sydney Stadium projects</w:t>
      </w:r>
      <w:r w:rsidR="008238E8">
        <w:t xml:space="preserve">. </w:t>
      </w:r>
      <w:r w:rsidR="008966B1">
        <w:t xml:space="preserve">This is partially offset by stronger revenue associated with </w:t>
      </w:r>
      <w:r w:rsidR="006837D6">
        <w:t>the Highly Specialised Drugs arrangements</w:t>
      </w:r>
      <w:r w:rsidR="00F31C25">
        <w:t xml:space="preserve">, </w:t>
      </w:r>
      <w:r w:rsidR="00421BD9" w:rsidRPr="00421BD9">
        <w:t>under which the Commonwealth provides funding for specialised medicines prescribed by public hospitals</w:t>
      </w:r>
      <w:r w:rsidR="00421BD9">
        <w:t>.</w:t>
      </w:r>
    </w:p>
    <w:p w14:paraId="27883795" w14:textId="4202D2B1" w:rsidR="00D609B1" w:rsidRPr="00343106" w:rsidRDefault="00D609B1" w:rsidP="00D63847">
      <w:pPr>
        <w:pStyle w:val="BodyText"/>
      </w:pPr>
      <w:r w:rsidRPr="00343106">
        <w:t xml:space="preserve">Over the three years to 2021-22, upward revisions to sale of goods and services revenue </w:t>
      </w:r>
      <w:r w:rsidR="00943E20">
        <w:t>in</w:t>
      </w:r>
      <w:r w:rsidR="00896BBD">
        <w:t xml:space="preserve">clude higher </w:t>
      </w:r>
      <w:r w:rsidR="009B2E35">
        <w:t xml:space="preserve">revenue from </w:t>
      </w:r>
      <w:r w:rsidR="004952B7">
        <w:t xml:space="preserve">the </w:t>
      </w:r>
      <w:r w:rsidR="005C34F0">
        <w:t>h</w:t>
      </w:r>
      <w:r w:rsidR="004952B7">
        <w:t xml:space="preserve">ighly </w:t>
      </w:r>
      <w:r w:rsidR="005C34F0">
        <w:t>s</w:t>
      </w:r>
      <w:r w:rsidR="004952B7">
        <w:t xml:space="preserve">pecialised </w:t>
      </w:r>
      <w:r w:rsidR="005C34F0">
        <w:t>d</w:t>
      </w:r>
      <w:r w:rsidR="004952B7">
        <w:t>rugs arrangements</w:t>
      </w:r>
      <w:r w:rsidR="00633B11">
        <w:t>.</w:t>
      </w:r>
      <w:r w:rsidRPr="00343106">
        <w:t xml:space="preserve"> Passenger revenue is also higher in the three years to 2021-22 due to </w:t>
      </w:r>
      <w:r w:rsidR="009B5598">
        <w:t>recognition</w:t>
      </w:r>
      <w:r w:rsidR="009B5598" w:rsidRPr="00343106">
        <w:t xml:space="preserve"> </w:t>
      </w:r>
      <w:r w:rsidRPr="00343106">
        <w:t xml:space="preserve">of </w:t>
      </w:r>
      <w:r w:rsidR="00277487">
        <w:t>Newcastle and Inner West bus service</w:t>
      </w:r>
      <w:r w:rsidR="00F17041">
        <w:t>s</w:t>
      </w:r>
      <w:r w:rsidR="00277487">
        <w:t xml:space="preserve"> </w:t>
      </w:r>
      <w:r w:rsidRPr="00343106">
        <w:t>farebox revenue</w:t>
      </w:r>
      <w:r w:rsidR="00AB25A3">
        <w:t xml:space="preserve"> resulting from new accounting standard AASB 15 </w:t>
      </w:r>
      <w:r w:rsidR="00AB25A3" w:rsidRPr="00384E74">
        <w:rPr>
          <w:i/>
        </w:rPr>
        <w:t>Revenue</w:t>
      </w:r>
      <w:r w:rsidRPr="00343106">
        <w:t xml:space="preserve">. </w:t>
      </w:r>
      <w:r w:rsidR="003D39BF">
        <w:t xml:space="preserve">This is partially offset by a reduction in Property NSW rental income due to the new accounting standard AASB 16 </w:t>
      </w:r>
      <w:r w:rsidR="003D39BF" w:rsidRPr="00B53AF5">
        <w:rPr>
          <w:i/>
        </w:rPr>
        <w:t>Leases</w:t>
      </w:r>
      <w:r w:rsidR="003D39BF">
        <w:t>.</w:t>
      </w:r>
    </w:p>
    <w:p w14:paraId="56F33CD7" w14:textId="26FCF8C9" w:rsidR="00FC1B69" w:rsidRDefault="00D609B1" w:rsidP="00D63847">
      <w:pPr>
        <w:pStyle w:val="BodyText"/>
      </w:pPr>
      <w:r w:rsidRPr="00222B79">
        <w:t xml:space="preserve">Fee for service revenue has been revised up </w:t>
      </w:r>
      <w:r w:rsidRPr="008F3E2A">
        <w:t xml:space="preserve">by </w:t>
      </w:r>
      <w:r w:rsidRPr="00384E74">
        <w:t>$</w:t>
      </w:r>
      <w:r w:rsidR="008505E2" w:rsidRPr="00384E74">
        <w:t>2</w:t>
      </w:r>
      <w:r w:rsidRPr="00384E74">
        <w:t>.</w:t>
      </w:r>
      <w:r w:rsidR="008505E2" w:rsidRPr="00384E74">
        <w:t>0</w:t>
      </w:r>
      <w:r w:rsidRPr="008F3E2A">
        <w:t xml:space="preserve"> billion s</w:t>
      </w:r>
      <w:r w:rsidRPr="00222B79">
        <w:t xml:space="preserve">ince the </w:t>
      </w:r>
      <w:r w:rsidR="00676E6B">
        <w:t xml:space="preserve">2019 </w:t>
      </w:r>
      <w:r w:rsidRPr="00222B79">
        <w:t xml:space="preserve">Pre-election Budget Update </w:t>
      </w:r>
      <w:r w:rsidR="00451CBE">
        <w:t>over the three years to</w:t>
      </w:r>
      <w:r w:rsidRPr="00222B79">
        <w:t xml:space="preserve"> 2021-22 </w:t>
      </w:r>
      <w:r>
        <w:t>driven by</w:t>
      </w:r>
      <w:r w:rsidR="00ED37C0">
        <w:t xml:space="preserve"> the approval of</w:t>
      </w:r>
      <w:r w:rsidRPr="00222B79">
        <w:t xml:space="preserve"> $1.2 billion for More Trains</w:t>
      </w:r>
      <w:r w:rsidR="009421C7">
        <w:t>,</w:t>
      </w:r>
      <w:r w:rsidRPr="00222B79">
        <w:t xml:space="preserve"> More Services </w:t>
      </w:r>
      <w:r>
        <w:t>S</w:t>
      </w:r>
      <w:r w:rsidRPr="00222B79">
        <w:t>tage 2</w:t>
      </w:r>
      <w:r>
        <w:t>,</w:t>
      </w:r>
      <w:r w:rsidRPr="00222B79">
        <w:t xml:space="preserve"> </w:t>
      </w:r>
      <w:r>
        <w:t>which</w:t>
      </w:r>
      <w:r w:rsidRPr="00222B79">
        <w:t xml:space="preserve"> will deliver increased rail services and more resilient infrastructure.</w:t>
      </w:r>
      <w:r w:rsidR="004134A1">
        <w:t xml:space="preserve"> </w:t>
      </w:r>
      <w:r w:rsidR="00A90FEF">
        <w:t>W</w:t>
      </w:r>
      <w:r w:rsidR="004134A1">
        <w:t xml:space="preserve">ork on the </w:t>
      </w:r>
      <w:r w:rsidR="00A40A87">
        <w:t xml:space="preserve">proposed </w:t>
      </w:r>
      <w:r w:rsidR="004134A1">
        <w:t xml:space="preserve">fast rail network </w:t>
      </w:r>
      <w:r w:rsidR="00A90FEF">
        <w:t xml:space="preserve">will </w:t>
      </w:r>
      <w:r w:rsidR="004134A1">
        <w:t>also increase fee for service revenue</w:t>
      </w:r>
      <w:r w:rsidR="004A197F">
        <w:t xml:space="preserve">, </w:t>
      </w:r>
      <w:r w:rsidR="009D43AB">
        <w:t xml:space="preserve">paid by </w:t>
      </w:r>
      <w:r w:rsidR="004134A1">
        <w:t xml:space="preserve">Railcorp to </w:t>
      </w:r>
      <w:r w:rsidR="004036F5">
        <w:t>Transport</w:t>
      </w:r>
      <w:r w:rsidR="00FF444B">
        <w:t xml:space="preserve"> for NSW</w:t>
      </w:r>
      <w:r w:rsidR="004A197F">
        <w:t>,</w:t>
      </w:r>
      <w:r w:rsidR="004134A1">
        <w:t xml:space="preserve"> over the three years to 2021-22.</w:t>
      </w:r>
    </w:p>
    <w:p w14:paraId="7E36A4F3" w14:textId="01CBECDE" w:rsidR="00A6669E" w:rsidRDefault="0077628D" w:rsidP="003B4788">
      <w:pPr>
        <w:pStyle w:val="Table4X"/>
        <w:numPr>
          <w:ilvl w:val="0"/>
          <w:numId w:val="69"/>
        </w:numPr>
        <w:tabs>
          <w:tab w:val="clear" w:pos="1134"/>
          <w:tab w:val="left" w:pos="1304"/>
        </w:tabs>
      </w:pPr>
      <w:r w:rsidRPr="0011270D">
        <w:t xml:space="preserve">Sale of </w:t>
      </w:r>
      <w:r w:rsidRPr="000C0534">
        <w:rPr>
          <w:rStyle w:val="eop"/>
        </w:rPr>
        <w:t>goods</w:t>
      </w:r>
      <w:r w:rsidRPr="0011270D">
        <w:t xml:space="preserve"> and services</w:t>
      </w:r>
    </w:p>
    <w:p w14:paraId="79562E60" w14:textId="074AACB6" w:rsidR="003C4FB7" w:rsidRDefault="004968E4" w:rsidP="003C4FB7">
      <w:r w:rsidRPr="004968E4">
        <w:t xml:space="preserve"> </w:t>
      </w:r>
      <w:r w:rsidR="002A7EDE" w:rsidRPr="002A7EDE">
        <w:t xml:space="preserve"> </w:t>
      </w:r>
      <w:r w:rsidR="006220F8" w:rsidRPr="006220F8">
        <w:rPr>
          <w:noProof/>
        </w:rPr>
        <w:drawing>
          <wp:inline distT="0" distB="0" distL="0" distR="0" wp14:anchorId="55D0E312" wp14:editId="0E8D4769">
            <wp:extent cx="5961380" cy="2244725"/>
            <wp:effectExtent l="0" t="0" r="1270" b="3175"/>
            <wp:docPr id="14" name="Picture 14" descr="Table 4.10: Sale of good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1380" cy="2244725"/>
                    </a:xfrm>
                    <a:prstGeom prst="rect">
                      <a:avLst/>
                    </a:prstGeom>
                    <a:noFill/>
                    <a:ln>
                      <a:noFill/>
                    </a:ln>
                  </pic:spPr>
                </pic:pic>
              </a:graphicData>
            </a:graphic>
          </wp:inline>
        </w:drawing>
      </w:r>
    </w:p>
    <w:p w14:paraId="1DF7845D" w14:textId="77777777" w:rsidR="00A6669E" w:rsidRPr="0011270D" w:rsidRDefault="00A6669E" w:rsidP="00055D45">
      <w:pPr>
        <w:pStyle w:val="Heading3"/>
        <w:numPr>
          <w:ilvl w:val="0"/>
          <w:numId w:val="0"/>
        </w:numPr>
        <w:ind w:left="720" w:hanging="720"/>
        <w:rPr>
          <w:rFonts w:eastAsiaTheme="minorHAnsi"/>
        </w:rPr>
      </w:pPr>
      <w:r w:rsidRPr="0011270D">
        <w:rPr>
          <w:rFonts w:eastAsiaTheme="minorHAnsi"/>
        </w:rPr>
        <w:lastRenderedPageBreak/>
        <w:t>Interest income</w:t>
      </w:r>
    </w:p>
    <w:p w14:paraId="28C35439" w14:textId="58DCB492" w:rsidR="0077628D" w:rsidRDefault="007C35DC" w:rsidP="00D63847">
      <w:pPr>
        <w:pStyle w:val="BodyText"/>
      </w:pPr>
      <w:r w:rsidRPr="007C35DC">
        <w:t xml:space="preserve">Interest income includes returns on managed bond investments, including investments made by TCorp, and interest earned on bank deposits, and is expected to </w:t>
      </w:r>
      <w:r w:rsidRPr="008F3E2A">
        <w:t>be </w:t>
      </w:r>
      <w:r w:rsidRPr="00384E74">
        <w:t>$531.0</w:t>
      </w:r>
      <w:r w:rsidRPr="008F3E2A">
        <w:t> million</w:t>
      </w:r>
      <w:r w:rsidRPr="007C35DC">
        <w:t xml:space="preserve"> in 2018</w:t>
      </w:r>
      <w:r w:rsidR="00971E85">
        <w:noBreakHyphen/>
      </w:r>
      <w:r w:rsidRPr="007C35DC">
        <w:t xml:space="preserve">19. Forecast increases in 2018-19 are primarily due to higher investments in TCorpIM Funds. </w:t>
      </w:r>
      <w:bookmarkStart w:id="9" w:name="_Hlk516818031"/>
    </w:p>
    <w:p w14:paraId="2F9F3045" w14:textId="088B9666" w:rsidR="00492554" w:rsidRPr="00BC4DB9" w:rsidRDefault="00152E83" w:rsidP="00384E74">
      <w:pPr>
        <w:pStyle w:val="Heading3"/>
        <w:numPr>
          <w:ilvl w:val="0"/>
          <w:numId w:val="0"/>
        </w:numPr>
        <w:ind w:left="720" w:hanging="720"/>
      </w:pPr>
      <w:r>
        <w:rPr>
          <w:rFonts w:eastAsiaTheme="minorHAnsi"/>
        </w:rPr>
        <w:t>Dividends and income tax equivalents</w:t>
      </w:r>
    </w:p>
    <w:p w14:paraId="0D0D2CF9" w14:textId="77777777" w:rsidR="007B683A" w:rsidRDefault="00590874" w:rsidP="00D63847">
      <w:pPr>
        <w:pStyle w:val="BodyText"/>
      </w:pPr>
      <w:bookmarkStart w:id="10" w:name="_Hlk516488521"/>
      <w:r>
        <w:t xml:space="preserve">State-owned corporations pay dividends that provide a commercially appropriate return on government investment. These dividends support investment in essential government services. </w:t>
      </w:r>
    </w:p>
    <w:p w14:paraId="3F65A1AC" w14:textId="13182E74" w:rsidR="002B0784" w:rsidRPr="00971E85" w:rsidDel="00590874" w:rsidRDefault="00590874" w:rsidP="00D63847">
      <w:pPr>
        <w:pStyle w:val="BodyText"/>
      </w:pPr>
      <w:r>
        <w:t xml:space="preserve">Dividends and income tax equivalents have been revised down </w:t>
      </w:r>
      <w:r w:rsidRPr="008F3E2A">
        <w:t xml:space="preserve">by </w:t>
      </w:r>
      <w:r w:rsidRPr="00384E74">
        <w:t>$38.7</w:t>
      </w:r>
      <w:r w:rsidRPr="008F3E2A">
        <w:t xml:space="preserve"> million in 2018-19 since the </w:t>
      </w:r>
      <w:r w:rsidR="00676E6B">
        <w:t xml:space="preserve">2019 </w:t>
      </w:r>
      <w:r w:rsidRPr="008F3E2A">
        <w:t xml:space="preserve">Pre-election Budget Update. </w:t>
      </w:r>
      <w:r w:rsidR="00FF2AF0" w:rsidRPr="00971E85">
        <w:t xml:space="preserve">This is driven by lower distributions from Landcom due to delayed sales settlements and slowing land sales. In addition, dividends from Sydney Water in 2018-19 will be lower due to the impact of drought-driven costs including </w:t>
      </w:r>
      <w:r w:rsidR="007B2632" w:rsidRPr="00971E85">
        <w:t>the costs of</w:t>
      </w:r>
      <w:r w:rsidR="00FF2AF0" w:rsidRPr="00971E85">
        <w:t xml:space="preserve"> desalination, and conservation and maintenance expenses.</w:t>
      </w:r>
    </w:p>
    <w:bookmarkEnd w:id="9"/>
    <w:p w14:paraId="01941191" w14:textId="77820BFE" w:rsidR="00733AE7" w:rsidRDefault="00C14B91" w:rsidP="00D63847">
      <w:pPr>
        <w:pStyle w:val="BodyText"/>
      </w:pPr>
      <w:r w:rsidRPr="00971E85">
        <w:t>Dividends and income tax equivalents are expected to be</w:t>
      </w:r>
      <w:r w:rsidR="00590874" w:rsidRPr="00971E85">
        <w:t xml:space="preserve"> </w:t>
      </w:r>
      <w:r w:rsidR="00590874" w:rsidRPr="00384E74">
        <w:t>$</w:t>
      </w:r>
      <w:r w:rsidR="00404BE9" w:rsidRPr="00384E74">
        <w:t>380</w:t>
      </w:r>
      <w:r w:rsidR="00E70D15" w:rsidRPr="00384E74">
        <w:t>.</w:t>
      </w:r>
      <w:r w:rsidR="00404BE9" w:rsidRPr="00384E74">
        <w:t>8</w:t>
      </w:r>
      <w:r w:rsidR="00590874" w:rsidRPr="008F3E2A">
        <w:t xml:space="preserve"> million</w:t>
      </w:r>
      <w:r w:rsidR="00590874">
        <w:t xml:space="preserve"> </w:t>
      </w:r>
      <w:r>
        <w:t xml:space="preserve">higher </w:t>
      </w:r>
      <w:r w:rsidR="00590874">
        <w:t xml:space="preserve">over the </w:t>
      </w:r>
      <w:r w:rsidR="00E70D15">
        <w:t>three years to 202</w:t>
      </w:r>
      <w:r w:rsidR="00E009B5">
        <w:t>1</w:t>
      </w:r>
      <w:r w:rsidR="00E70D15">
        <w:t>-2</w:t>
      </w:r>
      <w:r w:rsidR="00E009B5">
        <w:t>2</w:t>
      </w:r>
      <w:r w:rsidR="007B683A">
        <w:t xml:space="preserve"> since the </w:t>
      </w:r>
      <w:r w:rsidR="00676E6B">
        <w:t xml:space="preserve">2019 </w:t>
      </w:r>
      <w:r w:rsidR="007B683A">
        <w:t>Pre-election Budget Update</w:t>
      </w:r>
      <w:r w:rsidR="00590874">
        <w:t>. Th</w:t>
      </w:r>
      <w:r w:rsidR="002E2FC8">
        <w:t xml:space="preserve">e </w:t>
      </w:r>
      <w:r w:rsidR="00565217">
        <w:t>most important contributor</w:t>
      </w:r>
      <w:r w:rsidR="000C17A1">
        <w:t xml:space="preserve"> to this change</w:t>
      </w:r>
      <w:r w:rsidR="00565217">
        <w:t xml:space="preserve"> </w:t>
      </w:r>
      <w:r w:rsidR="000C17A1">
        <w:t>is</w:t>
      </w:r>
      <w:r w:rsidR="00565217">
        <w:t xml:space="preserve"> </w:t>
      </w:r>
      <w:r w:rsidR="000C17A1">
        <w:t xml:space="preserve">an </w:t>
      </w:r>
      <w:r w:rsidR="00120608">
        <w:t xml:space="preserve">increased </w:t>
      </w:r>
      <w:r w:rsidR="000C17A1">
        <w:t xml:space="preserve">dividend </w:t>
      </w:r>
      <w:r w:rsidR="00590874">
        <w:t xml:space="preserve">in 2019-20 as part of a capital restructuring that allows TCorp to return previously retained earnings to government. </w:t>
      </w:r>
    </w:p>
    <w:bookmarkEnd w:id="10"/>
    <w:p w14:paraId="7026916B" w14:textId="107F5778" w:rsidR="0077628D" w:rsidRPr="0011270D" w:rsidRDefault="0077628D" w:rsidP="00055D45">
      <w:pPr>
        <w:pStyle w:val="Heading3"/>
        <w:numPr>
          <w:ilvl w:val="0"/>
          <w:numId w:val="0"/>
        </w:numPr>
        <w:ind w:left="720" w:hanging="720"/>
        <w:rPr>
          <w:rFonts w:eastAsiaTheme="minorHAnsi"/>
        </w:rPr>
      </w:pPr>
      <w:r w:rsidRPr="0011270D">
        <w:rPr>
          <w:rFonts w:eastAsiaTheme="minorHAnsi"/>
        </w:rPr>
        <w:t>O</w:t>
      </w:r>
      <w:r w:rsidR="00226043" w:rsidRPr="0011270D">
        <w:rPr>
          <w:rFonts w:eastAsiaTheme="minorHAnsi"/>
        </w:rPr>
        <w:t>ther dividends and d</w:t>
      </w:r>
      <w:r w:rsidRPr="0011270D">
        <w:rPr>
          <w:rFonts w:eastAsiaTheme="minorHAnsi"/>
        </w:rPr>
        <w:t xml:space="preserve">istributions </w:t>
      </w:r>
    </w:p>
    <w:p w14:paraId="43897E8E" w14:textId="2171A169" w:rsidR="0001490B" w:rsidRDefault="00061BAD" w:rsidP="00055D45">
      <w:pPr>
        <w:spacing w:before="160" w:after="100" w:line="240" w:lineRule="atLeast"/>
        <w:rPr>
          <w:rFonts w:ascii="Arial" w:eastAsiaTheme="minorHAnsi" w:hAnsi="Arial" w:cs="Arial"/>
          <w:noProof/>
          <w:sz w:val="23"/>
          <w:szCs w:val="23"/>
          <w:lang w:eastAsia="x-none"/>
        </w:rPr>
      </w:pPr>
      <w:bookmarkStart w:id="11" w:name="_Hlk9948230"/>
      <w:r w:rsidRPr="00061BAD">
        <w:rPr>
          <w:rFonts w:ascii="Arial" w:eastAsiaTheme="minorHAnsi" w:hAnsi="Arial" w:cs="Arial"/>
          <w:noProof/>
          <w:sz w:val="23"/>
          <w:szCs w:val="23"/>
          <w:lang w:eastAsia="x-none"/>
        </w:rPr>
        <w:t xml:space="preserve">Other dividends and distributions are received from entities other than State Owned Corporations and are </w:t>
      </w:r>
      <w:r w:rsidRPr="008F3E2A">
        <w:rPr>
          <w:rFonts w:ascii="Arial" w:eastAsiaTheme="minorHAnsi" w:hAnsi="Arial" w:cs="Arial"/>
          <w:noProof/>
          <w:sz w:val="23"/>
          <w:szCs w:val="23"/>
          <w:lang w:eastAsia="x-none"/>
        </w:rPr>
        <w:t xml:space="preserve">expected to be </w:t>
      </w:r>
      <w:r w:rsidRPr="00384E74">
        <w:rPr>
          <w:rFonts w:ascii="Arial" w:eastAsiaTheme="minorHAnsi" w:hAnsi="Arial" w:cs="Arial"/>
          <w:noProof/>
          <w:sz w:val="23"/>
          <w:szCs w:val="23"/>
          <w:lang w:eastAsia="x-none"/>
        </w:rPr>
        <w:t>$1.</w:t>
      </w:r>
      <w:r w:rsidR="00C02C7A" w:rsidRPr="00384E74">
        <w:rPr>
          <w:rFonts w:ascii="Arial" w:eastAsiaTheme="minorHAnsi" w:hAnsi="Arial" w:cs="Arial"/>
          <w:noProof/>
          <w:sz w:val="23"/>
          <w:szCs w:val="23"/>
          <w:lang w:eastAsia="x-none"/>
        </w:rPr>
        <w:t>8</w:t>
      </w:r>
      <w:r w:rsidRPr="008F3E2A">
        <w:rPr>
          <w:rFonts w:ascii="Arial" w:eastAsiaTheme="minorHAnsi" w:hAnsi="Arial" w:cs="Arial"/>
          <w:noProof/>
          <w:sz w:val="23"/>
          <w:szCs w:val="23"/>
          <w:lang w:eastAsia="x-none"/>
        </w:rPr>
        <w:t xml:space="preserve"> billion</w:t>
      </w:r>
      <w:r w:rsidRPr="00061BAD">
        <w:rPr>
          <w:rFonts w:ascii="Arial" w:eastAsiaTheme="minorHAnsi" w:hAnsi="Arial" w:cs="Arial"/>
          <w:noProof/>
          <w:sz w:val="23"/>
          <w:szCs w:val="23"/>
          <w:lang w:eastAsia="x-none"/>
        </w:rPr>
        <w:t xml:space="preserve"> in </w:t>
      </w:r>
      <w:r w:rsidRPr="008F3E2A">
        <w:rPr>
          <w:rFonts w:ascii="Arial" w:eastAsiaTheme="minorHAnsi" w:hAnsi="Arial" w:cs="Arial"/>
          <w:noProof/>
          <w:sz w:val="23"/>
          <w:szCs w:val="23"/>
          <w:lang w:eastAsia="x-none"/>
        </w:rPr>
        <w:t xml:space="preserve">2018-19. </w:t>
      </w:r>
      <w:r w:rsidR="003619EF" w:rsidRPr="008F3E2A">
        <w:rPr>
          <w:rFonts w:ascii="Arial" w:eastAsiaTheme="minorHAnsi" w:hAnsi="Arial" w:cs="Arial"/>
          <w:noProof/>
          <w:sz w:val="23"/>
          <w:szCs w:val="23"/>
          <w:lang w:eastAsia="x-none"/>
        </w:rPr>
        <w:t xml:space="preserve">Since the </w:t>
      </w:r>
      <w:r w:rsidR="00676E6B">
        <w:rPr>
          <w:rFonts w:ascii="Arial" w:eastAsiaTheme="minorHAnsi" w:hAnsi="Arial" w:cs="Arial"/>
          <w:noProof/>
          <w:sz w:val="23"/>
          <w:szCs w:val="23"/>
          <w:lang w:eastAsia="x-none"/>
        </w:rPr>
        <w:t xml:space="preserve">2019 </w:t>
      </w:r>
      <w:r w:rsidR="003619EF" w:rsidRPr="008F3E2A">
        <w:rPr>
          <w:rFonts w:ascii="Arial" w:eastAsiaTheme="minorHAnsi" w:hAnsi="Arial" w:cs="Arial"/>
          <w:noProof/>
          <w:sz w:val="23"/>
          <w:szCs w:val="23"/>
          <w:lang w:eastAsia="x-none"/>
        </w:rPr>
        <w:t>Pre-elec</w:t>
      </w:r>
      <w:r w:rsidR="003619EF" w:rsidRPr="00B2465F">
        <w:rPr>
          <w:rFonts w:ascii="Arial" w:eastAsiaTheme="minorHAnsi" w:hAnsi="Arial" w:cs="Arial"/>
          <w:noProof/>
          <w:sz w:val="23"/>
          <w:szCs w:val="23"/>
          <w:lang w:eastAsia="x-none"/>
        </w:rPr>
        <w:t>tion Budget Update r</w:t>
      </w:r>
      <w:r w:rsidRPr="00B2465F">
        <w:rPr>
          <w:rFonts w:ascii="Arial" w:eastAsiaTheme="minorHAnsi" w:hAnsi="Arial" w:cs="Arial"/>
          <w:noProof/>
          <w:sz w:val="23"/>
          <w:szCs w:val="23"/>
          <w:lang w:eastAsia="x-none"/>
        </w:rPr>
        <w:t xml:space="preserve">evenue from other dividends and distributions </w:t>
      </w:r>
      <w:r w:rsidR="003619EF" w:rsidRPr="00B2465F">
        <w:rPr>
          <w:rFonts w:ascii="Arial" w:eastAsiaTheme="minorHAnsi" w:hAnsi="Arial" w:cs="Arial"/>
          <w:noProof/>
          <w:sz w:val="23"/>
          <w:szCs w:val="23"/>
          <w:lang w:eastAsia="x-none"/>
        </w:rPr>
        <w:t xml:space="preserve">has </w:t>
      </w:r>
      <w:r w:rsidRPr="00B2465F">
        <w:rPr>
          <w:rFonts w:ascii="Arial" w:eastAsiaTheme="minorHAnsi" w:hAnsi="Arial" w:cs="Arial"/>
          <w:noProof/>
          <w:sz w:val="23"/>
          <w:szCs w:val="23"/>
          <w:lang w:eastAsia="x-none"/>
        </w:rPr>
        <w:t xml:space="preserve">been revised up by </w:t>
      </w:r>
      <w:r w:rsidRPr="00384E74">
        <w:rPr>
          <w:rFonts w:ascii="Arial" w:eastAsiaTheme="minorHAnsi" w:hAnsi="Arial" w:cs="Arial"/>
          <w:noProof/>
          <w:sz w:val="23"/>
          <w:szCs w:val="23"/>
          <w:lang w:eastAsia="x-none"/>
        </w:rPr>
        <w:t>$</w:t>
      </w:r>
      <w:r w:rsidR="006C1CD7" w:rsidRPr="00384E74">
        <w:rPr>
          <w:rFonts w:ascii="Arial" w:eastAsiaTheme="minorHAnsi" w:hAnsi="Arial" w:cs="Arial"/>
          <w:noProof/>
          <w:sz w:val="23"/>
          <w:szCs w:val="23"/>
          <w:lang w:eastAsia="x-none"/>
        </w:rPr>
        <w:t>639</w:t>
      </w:r>
      <w:r w:rsidRPr="00384E74">
        <w:rPr>
          <w:rFonts w:ascii="Arial" w:eastAsiaTheme="minorHAnsi" w:hAnsi="Arial" w:cs="Arial"/>
          <w:noProof/>
          <w:sz w:val="23"/>
          <w:szCs w:val="23"/>
          <w:lang w:eastAsia="x-none"/>
        </w:rPr>
        <w:t>.</w:t>
      </w:r>
      <w:r w:rsidR="006C1CD7" w:rsidRPr="00384E74">
        <w:rPr>
          <w:rFonts w:ascii="Arial" w:eastAsiaTheme="minorHAnsi" w:hAnsi="Arial" w:cs="Arial"/>
          <w:noProof/>
          <w:sz w:val="23"/>
          <w:szCs w:val="23"/>
          <w:lang w:eastAsia="x-none"/>
        </w:rPr>
        <w:t>0</w:t>
      </w:r>
      <w:r w:rsidR="00B61EB1">
        <w:rPr>
          <w:rFonts w:ascii="Arial" w:eastAsiaTheme="minorHAnsi" w:hAnsi="Arial" w:cs="Arial"/>
          <w:noProof/>
          <w:sz w:val="23"/>
          <w:szCs w:val="23"/>
          <w:lang w:eastAsia="x-none"/>
        </w:rPr>
        <w:t> </w:t>
      </w:r>
      <w:r w:rsidR="001565BF" w:rsidRPr="008F3E2A">
        <w:rPr>
          <w:rFonts w:ascii="Arial" w:eastAsiaTheme="minorHAnsi" w:hAnsi="Arial" w:cs="Arial"/>
          <w:noProof/>
          <w:sz w:val="23"/>
          <w:szCs w:val="23"/>
          <w:lang w:eastAsia="x-none"/>
        </w:rPr>
        <w:t>m</w:t>
      </w:r>
      <w:r w:rsidRPr="00B2465F">
        <w:rPr>
          <w:rFonts w:ascii="Arial" w:eastAsiaTheme="minorHAnsi" w:hAnsi="Arial" w:cs="Arial"/>
          <w:noProof/>
          <w:sz w:val="23"/>
          <w:szCs w:val="23"/>
          <w:lang w:eastAsia="x-none"/>
        </w:rPr>
        <w:t xml:space="preserve">illion in 2018-19 and </w:t>
      </w:r>
      <w:r w:rsidRPr="00384E74">
        <w:rPr>
          <w:rFonts w:ascii="Arial" w:eastAsiaTheme="minorHAnsi" w:hAnsi="Arial" w:cs="Arial"/>
          <w:noProof/>
          <w:sz w:val="23"/>
          <w:szCs w:val="23"/>
          <w:lang w:eastAsia="x-none"/>
        </w:rPr>
        <w:t>$1.</w:t>
      </w:r>
      <w:r w:rsidR="00D25E7E" w:rsidRPr="00384E74">
        <w:rPr>
          <w:rFonts w:ascii="Arial" w:eastAsiaTheme="minorHAnsi" w:hAnsi="Arial" w:cs="Arial"/>
          <w:noProof/>
          <w:sz w:val="23"/>
          <w:szCs w:val="23"/>
          <w:lang w:eastAsia="x-none"/>
        </w:rPr>
        <w:t>2</w:t>
      </w:r>
      <w:r w:rsidRPr="008F3E2A">
        <w:rPr>
          <w:rFonts w:ascii="Arial" w:eastAsiaTheme="minorHAnsi" w:hAnsi="Arial" w:cs="Arial"/>
          <w:noProof/>
          <w:sz w:val="23"/>
          <w:szCs w:val="23"/>
          <w:lang w:eastAsia="x-none"/>
        </w:rPr>
        <w:t xml:space="preserve"> billion </w:t>
      </w:r>
      <w:r w:rsidR="00FE1D19" w:rsidRPr="008F3E2A">
        <w:rPr>
          <w:rFonts w:ascii="Arial" w:eastAsiaTheme="minorHAnsi" w:hAnsi="Arial" w:cs="Arial"/>
          <w:noProof/>
          <w:sz w:val="23"/>
          <w:szCs w:val="23"/>
          <w:lang w:eastAsia="x-none"/>
        </w:rPr>
        <w:t>over</w:t>
      </w:r>
      <w:r w:rsidR="003619EF" w:rsidRPr="00B2465F">
        <w:rPr>
          <w:rFonts w:ascii="Arial" w:eastAsiaTheme="minorHAnsi" w:hAnsi="Arial" w:cs="Arial"/>
          <w:noProof/>
          <w:sz w:val="23"/>
          <w:szCs w:val="23"/>
          <w:lang w:eastAsia="x-none"/>
        </w:rPr>
        <w:t xml:space="preserve"> </w:t>
      </w:r>
      <w:r w:rsidRPr="00B2465F">
        <w:rPr>
          <w:rFonts w:ascii="Arial" w:eastAsiaTheme="minorHAnsi" w:hAnsi="Arial" w:cs="Arial"/>
          <w:noProof/>
          <w:sz w:val="23"/>
          <w:szCs w:val="23"/>
          <w:lang w:eastAsia="x-none"/>
        </w:rPr>
        <w:t xml:space="preserve">the </w:t>
      </w:r>
      <w:r w:rsidR="00D25E7E" w:rsidRPr="00B2465F">
        <w:rPr>
          <w:rFonts w:ascii="Arial" w:eastAsiaTheme="minorHAnsi" w:hAnsi="Arial" w:cs="Arial"/>
          <w:noProof/>
          <w:sz w:val="23"/>
          <w:szCs w:val="23"/>
          <w:lang w:eastAsia="x-none"/>
        </w:rPr>
        <w:t xml:space="preserve">three </w:t>
      </w:r>
      <w:r w:rsidRPr="00B2465F">
        <w:rPr>
          <w:rFonts w:ascii="Arial" w:eastAsiaTheme="minorHAnsi" w:hAnsi="Arial" w:cs="Arial"/>
          <w:noProof/>
          <w:sz w:val="23"/>
          <w:szCs w:val="23"/>
          <w:lang w:eastAsia="x-none"/>
        </w:rPr>
        <w:t>years to 2021-22.</w:t>
      </w:r>
      <w:r w:rsidRPr="00061BAD">
        <w:rPr>
          <w:rFonts w:ascii="Arial" w:eastAsiaTheme="minorHAnsi" w:hAnsi="Arial" w:cs="Arial"/>
          <w:noProof/>
          <w:sz w:val="23"/>
          <w:szCs w:val="23"/>
          <w:lang w:eastAsia="x-none"/>
        </w:rPr>
        <w:t xml:space="preserve"> </w:t>
      </w:r>
    </w:p>
    <w:p w14:paraId="1958CE85" w14:textId="36AE5FBA" w:rsidR="005400A6" w:rsidRDefault="00061BAD" w:rsidP="00055D45">
      <w:pPr>
        <w:spacing w:before="160" w:after="100" w:line="240" w:lineRule="atLeast"/>
        <w:rPr>
          <w:rFonts w:ascii="Arial Bold" w:eastAsiaTheme="minorHAnsi" w:hAnsi="Arial Bold"/>
          <w:b/>
          <w:kern w:val="28"/>
          <w:sz w:val="26"/>
          <w:szCs w:val="36"/>
        </w:rPr>
      </w:pPr>
      <w:r w:rsidRPr="00061BAD">
        <w:rPr>
          <w:rFonts w:ascii="Arial" w:eastAsiaTheme="minorHAnsi" w:hAnsi="Arial" w:cs="Arial"/>
          <w:noProof/>
          <w:sz w:val="23"/>
          <w:szCs w:val="23"/>
          <w:lang w:eastAsia="x-none"/>
        </w:rPr>
        <w:t>Th</w:t>
      </w:r>
      <w:r w:rsidR="0001490B">
        <w:rPr>
          <w:rFonts w:ascii="Arial" w:eastAsiaTheme="minorHAnsi" w:hAnsi="Arial" w:cs="Arial"/>
          <w:noProof/>
          <w:sz w:val="23"/>
          <w:szCs w:val="23"/>
          <w:lang w:eastAsia="x-none"/>
        </w:rPr>
        <w:t>e upward revision</w:t>
      </w:r>
      <w:r w:rsidR="00F550F0">
        <w:rPr>
          <w:rFonts w:ascii="Arial" w:eastAsiaTheme="minorHAnsi" w:hAnsi="Arial" w:cs="Arial"/>
          <w:noProof/>
          <w:sz w:val="23"/>
          <w:szCs w:val="23"/>
          <w:lang w:eastAsia="x-none"/>
        </w:rPr>
        <w:t xml:space="preserve"> in 2018-19</w:t>
      </w:r>
      <w:r w:rsidRPr="00061BAD">
        <w:rPr>
          <w:rFonts w:ascii="Arial" w:eastAsiaTheme="minorHAnsi" w:hAnsi="Arial" w:cs="Arial"/>
          <w:noProof/>
          <w:sz w:val="23"/>
          <w:szCs w:val="23"/>
          <w:lang w:eastAsia="x-none"/>
        </w:rPr>
        <w:t xml:space="preserve"> reflects </w:t>
      </w:r>
      <w:r w:rsidR="005B4809" w:rsidRPr="005B4809">
        <w:rPr>
          <w:rFonts w:ascii="Arial" w:eastAsiaTheme="minorHAnsi" w:hAnsi="Arial" w:cs="Arial"/>
          <w:noProof/>
          <w:sz w:val="23"/>
          <w:szCs w:val="23"/>
          <w:lang w:eastAsia="x-none"/>
        </w:rPr>
        <w:t xml:space="preserve">a rebound in </w:t>
      </w:r>
      <w:r w:rsidR="00FE1D19">
        <w:rPr>
          <w:rFonts w:ascii="Arial" w:eastAsiaTheme="minorHAnsi" w:hAnsi="Arial" w:cs="Arial"/>
          <w:noProof/>
          <w:sz w:val="23"/>
          <w:szCs w:val="23"/>
          <w:lang w:eastAsia="x-none"/>
        </w:rPr>
        <w:t>financial</w:t>
      </w:r>
      <w:r w:rsidR="00FE1D19" w:rsidRPr="005B4809">
        <w:rPr>
          <w:rFonts w:ascii="Arial" w:eastAsiaTheme="minorHAnsi" w:hAnsi="Arial" w:cs="Arial"/>
          <w:noProof/>
          <w:sz w:val="23"/>
          <w:szCs w:val="23"/>
          <w:lang w:eastAsia="x-none"/>
        </w:rPr>
        <w:t xml:space="preserve"> </w:t>
      </w:r>
      <w:r w:rsidR="005B4809" w:rsidRPr="005B4809">
        <w:rPr>
          <w:rFonts w:ascii="Arial" w:eastAsiaTheme="minorHAnsi" w:hAnsi="Arial" w:cs="Arial"/>
          <w:noProof/>
          <w:sz w:val="23"/>
          <w:szCs w:val="23"/>
          <w:lang w:eastAsia="x-none"/>
        </w:rPr>
        <w:t>market</w:t>
      </w:r>
      <w:r w:rsidR="00FE1D19">
        <w:rPr>
          <w:rFonts w:ascii="Arial" w:eastAsiaTheme="minorHAnsi" w:hAnsi="Arial" w:cs="Arial"/>
          <w:noProof/>
          <w:sz w:val="23"/>
          <w:szCs w:val="23"/>
          <w:lang w:eastAsia="x-none"/>
        </w:rPr>
        <w:t>s</w:t>
      </w:r>
      <w:r w:rsidR="005B4809" w:rsidRPr="005B4809">
        <w:rPr>
          <w:rFonts w:ascii="Arial" w:eastAsiaTheme="minorHAnsi" w:hAnsi="Arial" w:cs="Arial"/>
          <w:noProof/>
          <w:sz w:val="23"/>
          <w:szCs w:val="23"/>
          <w:lang w:eastAsia="x-none"/>
        </w:rPr>
        <w:t xml:space="preserve"> since the start of 2019, resulting in higher distributions from the Government’s investment funds</w:t>
      </w:r>
      <w:r w:rsidR="00494C76">
        <w:rPr>
          <w:rFonts w:ascii="Arial" w:eastAsiaTheme="minorHAnsi" w:hAnsi="Arial" w:cs="Arial"/>
          <w:noProof/>
          <w:sz w:val="23"/>
          <w:szCs w:val="23"/>
          <w:lang w:eastAsia="x-none"/>
        </w:rPr>
        <w:t>.</w:t>
      </w:r>
      <w:r w:rsidR="005B4809" w:rsidRPr="005B4809">
        <w:rPr>
          <w:rFonts w:ascii="Arial" w:eastAsiaTheme="minorHAnsi" w:hAnsi="Arial" w:cs="Arial"/>
          <w:noProof/>
          <w:sz w:val="23"/>
          <w:szCs w:val="23"/>
          <w:lang w:eastAsia="x-none"/>
        </w:rPr>
        <w:t xml:space="preserve"> </w:t>
      </w:r>
      <w:r w:rsidR="00494C76">
        <w:rPr>
          <w:rFonts w:ascii="Arial" w:eastAsiaTheme="minorHAnsi" w:hAnsi="Arial" w:cs="Arial"/>
          <w:noProof/>
          <w:sz w:val="23"/>
          <w:szCs w:val="23"/>
          <w:lang w:eastAsia="x-none"/>
        </w:rPr>
        <w:t xml:space="preserve">Upward revisions beyond 2018-19 </w:t>
      </w:r>
      <w:r w:rsidR="00F41428">
        <w:rPr>
          <w:rFonts w:ascii="Arial" w:eastAsiaTheme="minorHAnsi" w:hAnsi="Arial" w:cs="Arial"/>
          <w:noProof/>
          <w:sz w:val="23"/>
          <w:szCs w:val="23"/>
          <w:lang w:eastAsia="x-none"/>
        </w:rPr>
        <w:t xml:space="preserve">are </w:t>
      </w:r>
      <w:r w:rsidR="005B4809" w:rsidRPr="005B4809">
        <w:rPr>
          <w:rFonts w:ascii="Arial" w:eastAsiaTheme="minorHAnsi" w:hAnsi="Arial" w:cs="Arial"/>
          <w:noProof/>
          <w:sz w:val="23"/>
          <w:szCs w:val="23"/>
          <w:lang w:eastAsia="x-none"/>
        </w:rPr>
        <w:t>due to the application of the recently introduced Attribution Managed Investment Trust (AMIT) regime</w:t>
      </w:r>
      <w:r w:rsidR="00F41428">
        <w:rPr>
          <w:rFonts w:ascii="Arial" w:eastAsiaTheme="minorHAnsi" w:hAnsi="Arial" w:cs="Arial"/>
          <w:noProof/>
          <w:sz w:val="23"/>
          <w:szCs w:val="23"/>
          <w:lang w:eastAsia="x-none"/>
        </w:rPr>
        <w:t xml:space="preserve"> </w:t>
      </w:r>
      <w:r w:rsidR="00F41428" w:rsidRPr="005B4809">
        <w:rPr>
          <w:rFonts w:ascii="Arial" w:eastAsiaTheme="minorHAnsi" w:hAnsi="Arial" w:cs="Arial"/>
          <w:noProof/>
          <w:sz w:val="23"/>
          <w:szCs w:val="23"/>
          <w:lang w:eastAsia="x-none"/>
        </w:rPr>
        <w:t>chang</w:t>
      </w:r>
      <w:r w:rsidR="00F41428">
        <w:rPr>
          <w:rFonts w:ascii="Arial" w:eastAsiaTheme="minorHAnsi" w:hAnsi="Arial" w:cs="Arial"/>
          <w:noProof/>
          <w:sz w:val="23"/>
          <w:szCs w:val="23"/>
          <w:lang w:eastAsia="x-none"/>
        </w:rPr>
        <w:t>ing</w:t>
      </w:r>
      <w:r w:rsidR="00F41428" w:rsidRPr="005B4809">
        <w:rPr>
          <w:rFonts w:ascii="Arial" w:eastAsiaTheme="minorHAnsi" w:hAnsi="Arial" w:cs="Arial"/>
          <w:noProof/>
          <w:sz w:val="23"/>
          <w:szCs w:val="23"/>
          <w:lang w:eastAsia="x-none"/>
        </w:rPr>
        <w:t xml:space="preserve"> the reported expected distributions for the </w:t>
      </w:r>
      <w:r w:rsidR="00F41428">
        <w:rPr>
          <w:rFonts w:ascii="Arial" w:eastAsiaTheme="minorHAnsi" w:hAnsi="Arial" w:cs="Arial"/>
          <w:noProof/>
          <w:sz w:val="23"/>
          <w:szCs w:val="23"/>
          <w:lang w:eastAsia="x-none"/>
        </w:rPr>
        <w:t xml:space="preserve">NSW Generations Fund </w:t>
      </w:r>
      <w:r w:rsidR="00F41428" w:rsidRPr="005B4809">
        <w:rPr>
          <w:rFonts w:ascii="Arial" w:eastAsiaTheme="minorHAnsi" w:hAnsi="Arial" w:cs="Arial"/>
          <w:noProof/>
          <w:sz w:val="23"/>
          <w:szCs w:val="23"/>
          <w:lang w:eastAsia="x-none"/>
        </w:rPr>
        <w:t xml:space="preserve">and </w:t>
      </w:r>
      <w:r w:rsidR="008F3E2A">
        <w:rPr>
          <w:rFonts w:ascii="Arial" w:eastAsiaTheme="minorHAnsi" w:hAnsi="Arial" w:cs="Arial"/>
          <w:noProof/>
          <w:sz w:val="23"/>
          <w:szCs w:val="23"/>
          <w:lang w:eastAsia="x-none"/>
        </w:rPr>
        <w:t xml:space="preserve">the </w:t>
      </w:r>
      <w:r w:rsidR="00F41428">
        <w:rPr>
          <w:rFonts w:ascii="Arial" w:eastAsiaTheme="minorHAnsi" w:hAnsi="Arial" w:cs="Arial"/>
          <w:noProof/>
          <w:sz w:val="23"/>
          <w:szCs w:val="23"/>
          <w:lang w:eastAsia="x-none"/>
        </w:rPr>
        <w:t>Social and Affordable Housing Fund</w:t>
      </w:r>
      <w:r w:rsidR="005B4809" w:rsidRPr="005B4809">
        <w:rPr>
          <w:rFonts w:ascii="Arial" w:eastAsiaTheme="minorHAnsi" w:hAnsi="Arial" w:cs="Arial"/>
          <w:noProof/>
          <w:sz w:val="23"/>
          <w:szCs w:val="23"/>
          <w:lang w:eastAsia="x-none"/>
        </w:rPr>
        <w:t>.</w:t>
      </w:r>
      <w:r w:rsidR="005B4809">
        <w:rPr>
          <w:rFonts w:ascii="Arial" w:eastAsiaTheme="minorHAnsi" w:hAnsi="Arial" w:cs="Arial"/>
          <w:noProof/>
          <w:sz w:val="23"/>
          <w:szCs w:val="23"/>
          <w:lang w:eastAsia="x-none"/>
        </w:rPr>
        <w:t xml:space="preserve"> </w:t>
      </w:r>
      <w:r w:rsidRPr="00061BAD">
        <w:rPr>
          <w:rFonts w:ascii="Arial" w:eastAsiaTheme="minorHAnsi" w:hAnsi="Arial" w:cs="Arial"/>
          <w:noProof/>
          <w:sz w:val="23"/>
          <w:szCs w:val="23"/>
          <w:lang w:eastAsia="x-none"/>
        </w:rPr>
        <w:t xml:space="preserve">This has been </w:t>
      </w:r>
      <w:r w:rsidR="000A04E5">
        <w:rPr>
          <w:rFonts w:ascii="Arial" w:eastAsiaTheme="minorHAnsi" w:hAnsi="Arial" w:cs="Arial"/>
          <w:noProof/>
          <w:sz w:val="23"/>
          <w:szCs w:val="23"/>
          <w:lang w:eastAsia="x-none"/>
        </w:rPr>
        <w:t xml:space="preserve">partially </w:t>
      </w:r>
      <w:r w:rsidRPr="00061BAD">
        <w:rPr>
          <w:rFonts w:ascii="Arial" w:eastAsiaTheme="minorHAnsi" w:hAnsi="Arial" w:cs="Arial"/>
          <w:noProof/>
          <w:sz w:val="23"/>
          <w:szCs w:val="23"/>
          <w:lang w:eastAsia="x-none"/>
        </w:rPr>
        <w:t>offset by a reduction in forecast distributions from the Government’s retained interests in Ausgrid and Endeavour, attributable to the Australian Energy Regulator’s recent determination of regulated revenues from each business for the 2019-2024 period.</w:t>
      </w:r>
    </w:p>
    <w:p w14:paraId="773057AD" w14:textId="3807ABDB" w:rsidR="0077628D" w:rsidRPr="0011270D" w:rsidRDefault="0077628D" w:rsidP="00055D45">
      <w:pPr>
        <w:pStyle w:val="Heading3"/>
        <w:numPr>
          <w:ilvl w:val="0"/>
          <w:numId w:val="0"/>
        </w:numPr>
        <w:ind w:left="720" w:hanging="720"/>
        <w:rPr>
          <w:rFonts w:eastAsiaTheme="minorHAnsi"/>
        </w:rPr>
      </w:pPr>
      <w:r w:rsidRPr="0011270D">
        <w:rPr>
          <w:rFonts w:eastAsiaTheme="minorHAnsi"/>
        </w:rPr>
        <w:t xml:space="preserve">Royalties </w:t>
      </w:r>
    </w:p>
    <w:p w14:paraId="6A612CF5" w14:textId="6894C28F" w:rsidR="00AD5E17" w:rsidRPr="007F397B" w:rsidRDefault="00AD5E17" w:rsidP="00055D45">
      <w:pPr>
        <w:spacing w:before="160" w:after="100" w:line="240" w:lineRule="atLeast"/>
      </w:pPr>
      <w:r w:rsidRPr="007F397B">
        <w:rPr>
          <w:rFonts w:ascii="Arial" w:eastAsiaTheme="minorHAnsi" w:hAnsi="Arial" w:cs="Arial"/>
          <w:noProof/>
          <w:sz w:val="23"/>
          <w:szCs w:val="23"/>
          <w:lang w:eastAsia="x-none"/>
        </w:rPr>
        <w:t xml:space="preserve">Changes in the forecasts for mineral royalties since the </w:t>
      </w:r>
      <w:r w:rsidR="00676E6B">
        <w:rPr>
          <w:rFonts w:ascii="Arial" w:eastAsiaTheme="minorHAnsi" w:hAnsi="Arial" w:cs="Arial"/>
          <w:noProof/>
          <w:sz w:val="23"/>
          <w:szCs w:val="23"/>
          <w:lang w:eastAsia="x-none"/>
        </w:rPr>
        <w:t xml:space="preserve">2019 </w:t>
      </w:r>
      <w:r w:rsidRPr="007F397B">
        <w:rPr>
          <w:rFonts w:ascii="Arial" w:eastAsiaTheme="minorHAnsi" w:hAnsi="Arial" w:cs="Arial"/>
          <w:noProof/>
          <w:sz w:val="23"/>
          <w:szCs w:val="23"/>
          <w:lang w:eastAsia="x-none"/>
        </w:rPr>
        <w:t>Pre-election Budget Update reflect the offsetting influence of two forces</w:t>
      </w:r>
      <w:r w:rsidR="00FC5EF4" w:rsidRPr="007F397B">
        <w:rPr>
          <w:rFonts w:ascii="Arial" w:eastAsiaTheme="minorHAnsi" w:hAnsi="Arial" w:cs="Arial"/>
          <w:noProof/>
          <w:sz w:val="23"/>
          <w:szCs w:val="23"/>
          <w:lang w:eastAsia="x-none"/>
        </w:rPr>
        <w:t>. L</w:t>
      </w:r>
      <w:r w:rsidRPr="007F397B">
        <w:rPr>
          <w:rFonts w:ascii="Arial" w:eastAsiaTheme="minorHAnsi" w:hAnsi="Arial" w:cs="Arial"/>
          <w:noProof/>
          <w:sz w:val="23"/>
          <w:szCs w:val="23"/>
          <w:lang w:eastAsia="x-none"/>
        </w:rPr>
        <w:t>ower expectations for the exchange rate</w:t>
      </w:r>
      <w:r w:rsidR="00FC5EF4" w:rsidRPr="007F397B">
        <w:rPr>
          <w:rFonts w:ascii="Arial" w:eastAsiaTheme="minorHAnsi" w:hAnsi="Arial" w:cs="Arial"/>
          <w:noProof/>
          <w:sz w:val="23"/>
          <w:szCs w:val="23"/>
          <w:lang w:eastAsia="x-none"/>
        </w:rPr>
        <w:t xml:space="preserve"> will</w:t>
      </w:r>
      <w:r w:rsidRPr="007F397B">
        <w:rPr>
          <w:rFonts w:ascii="Arial" w:eastAsiaTheme="minorHAnsi" w:hAnsi="Arial" w:cs="Arial"/>
          <w:noProof/>
          <w:sz w:val="23"/>
          <w:szCs w:val="23"/>
          <w:lang w:eastAsia="x-none"/>
        </w:rPr>
        <w:t xml:space="preserve"> increase the expected Australian dollar value of royalty revenue, while lower export prices for coal are expected to lower revenue. In 2018-19, the effect of lower coal prices is expected to dominate, lowering revenue by $73.0 million since the </w:t>
      </w:r>
      <w:r w:rsidR="00676E6B">
        <w:rPr>
          <w:rFonts w:ascii="Arial" w:eastAsiaTheme="minorHAnsi" w:hAnsi="Arial" w:cs="Arial"/>
          <w:noProof/>
          <w:sz w:val="23"/>
          <w:szCs w:val="23"/>
          <w:lang w:eastAsia="x-none"/>
        </w:rPr>
        <w:t xml:space="preserve">2019 </w:t>
      </w:r>
      <w:r w:rsidRPr="007F397B">
        <w:rPr>
          <w:rFonts w:ascii="Arial" w:eastAsiaTheme="minorHAnsi" w:hAnsi="Arial" w:cs="Arial"/>
          <w:noProof/>
          <w:sz w:val="23"/>
          <w:szCs w:val="23"/>
          <w:lang w:eastAsia="x-none"/>
        </w:rPr>
        <w:t xml:space="preserve">Pre-election Budget Update. In the </w:t>
      </w:r>
      <w:r w:rsidR="009F5B8C" w:rsidRPr="007F397B">
        <w:rPr>
          <w:rFonts w:ascii="Arial" w:eastAsiaTheme="minorHAnsi" w:hAnsi="Arial" w:cs="Arial"/>
          <w:noProof/>
          <w:sz w:val="23"/>
          <w:szCs w:val="23"/>
          <w:lang w:eastAsia="x-none"/>
        </w:rPr>
        <w:t>three</w:t>
      </w:r>
      <w:r w:rsidRPr="007F397B">
        <w:rPr>
          <w:rFonts w:ascii="Arial" w:eastAsiaTheme="minorHAnsi" w:hAnsi="Arial" w:cs="Arial"/>
          <w:noProof/>
          <w:sz w:val="23"/>
          <w:szCs w:val="23"/>
          <w:lang w:eastAsia="x-none"/>
        </w:rPr>
        <w:t xml:space="preserve"> years to 202</w:t>
      </w:r>
      <w:r w:rsidR="009F5B8C" w:rsidRPr="007F397B">
        <w:rPr>
          <w:rFonts w:ascii="Arial" w:eastAsiaTheme="minorHAnsi" w:hAnsi="Arial" w:cs="Arial"/>
          <w:noProof/>
          <w:sz w:val="23"/>
          <w:szCs w:val="23"/>
          <w:lang w:eastAsia="x-none"/>
        </w:rPr>
        <w:t>1</w:t>
      </w:r>
      <w:r w:rsidRPr="007F397B">
        <w:rPr>
          <w:rFonts w:ascii="Arial" w:eastAsiaTheme="minorHAnsi" w:hAnsi="Arial" w:cs="Arial"/>
          <w:noProof/>
          <w:sz w:val="23"/>
          <w:szCs w:val="23"/>
          <w:lang w:eastAsia="x-none"/>
        </w:rPr>
        <w:t>-2</w:t>
      </w:r>
      <w:r w:rsidR="009F5B8C" w:rsidRPr="007F397B">
        <w:rPr>
          <w:rFonts w:ascii="Arial" w:eastAsiaTheme="minorHAnsi" w:hAnsi="Arial" w:cs="Arial"/>
          <w:noProof/>
          <w:sz w:val="23"/>
          <w:szCs w:val="23"/>
          <w:lang w:eastAsia="x-none"/>
        </w:rPr>
        <w:t>2</w:t>
      </w:r>
      <w:r w:rsidRPr="007F397B">
        <w:rPr>
          <w:rFonts w:ascii="Arial" w:eastAsiaTheme="minorHAnsi" w:hAnsi="Arial" w:cs="Arial"/>
          <w:noProof/>
          <w:sz w:val="23"/>
          <w:szCs w:val="23"/>
          <w:lang w:eastAsia="x-none"/>
        </w:rPr>
        <w:t>, a lower exchange rate is expected to dominate</w:t>
      </w:r>
      <w:r w:rsidR="00881F6A">
        <w:rPr>
          <w:rFonts w:ascii="Arial" w:eastAsiaTheme="minorHAnsi" w:hAnsi="Arial" w:cs="Arial"/>
          <w:noProof/>
          <w:sz w:val="23"/>
          <w:szCs w:val="23"/>
          <w:lang w:eastAsia="x-none"/>
        </w:rPr>
        <w:t xml:space="preserve">. </w:t>
      </w:r>
    </w:p>
    <w:p w14:paraId="79F0339E" w14:textId="0FADB8F4" w:rsidR="00E45B14" w:rsidRPr="007F397B" w:rsidRDefault="00AD5E17" w:rsidP="00055D45">
      <w:pPr>
        <w:spacing w:before="160" w:after="100" w:line="240" w:lineRule="atLeast"/>
      </w:pPr>
      <w:r w:rsidRPr="007F397B">
        <w:rPr>
          <w:rFonts w:ascii="Arial" w:eastAsiaTheme="minorHAnsi" w:hAnsi="Arial" w:cs="Arial"/>
          <w:noProof/>
          <w:sz w:val="23"/>
          <w:szCs w:val="23"/>
          <w:lang w:eastAsia="x-none"/>
        </w:rPr>
        <w:t xml:space="preserve">Lower expectations for coal prices reflect the influence of </w:t>
      </w:r>
      <w:r w:rsidR="00AB098B">
        <w:rPr>
          <w:rFonts w:ascii="Arial" w:eastAsiaTheme="minorHAnsi" w:hAnsi="Arial" w:cs="Arial"/>
          <w:noProof/>
          <w:sz w:val="23"/>
          <w:szCs w:val="23"/>
          <w:lang w:eastAsia="x-none"/>
        </w:rPr>
        <w:t>various</w:t>
      </w:r>
      <w:r w:rsidR="00AB098B" w:rsidRPr="007F397B">
        <w:rPr>
          <w:rFonts w:ascii="Arial" w:eastAsiaTheme="minorHAnsi" w:hAnsi="Arial" w:cs="Arial"/>
          <w:noProof/>
          <w:sz w:val="23"/>
          <w:szCs w:val="23"/>
          <w:lang w:eastAsia="x-none"/>
        </w:rPr>
        <w:t xml:space="preserve"> </w:t>
      </w:r>
      <w:r w:rsidRPr="007F397B">
        <w:rPr>
          <w:rFonts w:ascii="Arial" w:eastAsiaTheme="minorHAnsi" w:hAnsi="Arial" w:cs="Arial"/>
          <w:noProof/>
          <w:sz w:val="23"/>
          <w:szCs w:val="23"/>
          <w:lang w:eastAsia="x-none"/>
        </w:rPr>
        <w:t xml:space="preserve">factors, including increased domestic production and reduced import demand in China, competition from Russian coal in key markets of South Korea and China, and cheaper LNG prices leading to substitution away from coal by some electricity generators. Export volumes </w:t>
      </w:r>
      <w:r w:rsidR="003E433C" w:rsidRPr="007F397B">
        <w:rPr>
          <w:rFonts w:ascii="Arial" w:eastAsiaTheme="minorHAnsi" w:hAnsi="Arial" w:cs="Arial"/>
          <w:noProof/>
          <w:sz w:val="23"/>
          <w:szCs w:val="23"/>
          <w:lang w:eastAsia="x-none"/>
        </w:rPr>
        <w:t>and domestic sales</w:t>
      </w:r>
      <w:r w:rsidRPr="007F397B">
        <w:rPr>
          <w:rFonts w:ascii="Arial" w:eastAsiaTheme="minorHAnsi" w:hAnsi="Arial" w:cs="Arial"/>
          <w:noProof/>
          <w:sz w:val="23"/>
          <w:szCs w:val="23"/>
          <w:lang w:eastAsia="x-none"/>
        </w:rPr>
        <w:t xml:space="preserve"> are expected to be largely unchanged during the forecast period</w:t>
      </w:r>
      <w:r w:rsidR="00126B01" w:rsidRPr="007F397B">
        <w:rPr>
          <w:rFonts w:ascii="Arial" w:eastAsiaTheme="minorHAnsi" w:hAnsi="Arial" w:cs="Arial"/>
          <w:noProof/>
          <w:sz w:val="23"/>
          <w:szCs w:val="23"/>
          <w:lang w:eastAsia="x-none"/>
        </w:rPr>
        <w:t>.</w:t>
      </w:r>
    </w:p>
    <w:bookmarkEnd w:id="11"/>
    <w:p w14:paraId="46101F9F" w14:textId="77777777" w:rsidR="004D7187" w:rsidRDefault="004D7187">
      <w:pPr>
        <w:spacing w:after="200" w:line="276" w:lineRule="auto"/>
        <w:rPr>
          <w:rFonts w:ascii="Arial Bold" w:eastAsiaTheme="minorHAnsi" w:hAnsi="Arial Bold"/>
          <w:b/>
          <w:kern w:val="28"/>
          <w:sz w:val="26"/>
          <w:szCs w:val="36"/>
        </w:rPr>
      </w:pPr>
      <w:r>
        <w:rPr>
          <w:rFonts w:eastAsiaTheme="minorHAnsi"/>
        </w:rPr>
        <w:br w:type="page"/>
      </w:r>
    </w:p>
    <w:p w14:paraId="6AB32D5F" w14:textId="21A8068D" w:rsidR="0077628D" w:rsidRPr="00E928CE" w:rsidRDefault="0077628D" w:rsidP="00055D45">
      <w:pPr>
        <w:pStyle w:val="Heading3"/>
        <w:numPr>
          <w:ilvl w:val="0"/>
          <w:numId w:val="0"/>
        </w:numPr>
        <w:ind w:left="720" w:hanging="720"/>
        <w:rPr>
          <w:rFonts w:eastAsiaTheme="minorHAnsi"/>
        </w:rPr>
      </w:pPr>
      <w:r w:rsidRPr="0011270D">
        <w:rPr>
          <w:rFonts w:eastAsiaTheme="minorHAnsi"/>
        </w:rPr>
        <w:lastRenderedPageBreak/>
        <w:t>Fines,</w:t>
      </w:r>
      <w:r w:rsidR="00660BF0" w:rsidRPr="0011270D">
        <w:rPr>
          <w:rFonts w:eastAsiaTheme="minorHAnsi"/>
        </w:rPr>
        <w:t xml:space="preserve"> regulatory fees, licences and </w:t>
      </w:r>
      <w:r w:rsidR="00660BF0" w:rsidRPr="00E928CE">
        <w:rPr>
          <w:rFonts w:eastAsiaTheme="minorHAnsi"/>
        </w:rPr>
        <w:t>other r</w:t>
      </w:r>
      <w:r w:rsidRPr="00E928CE">
        <w:rPr>
          <w:rFonts w:eastAsiaTheme="minorHAnsi"/>
        </w:rPr>
        <w:t xml:space="preserve">evenue </w:t>
      </w:r>
    </w:p>
    <w:p w14:paraId="4C88F17C" w14:textId="04A0F114" w:rsidR="0045410D" w:rsidRPr="00E928CE" w:rsidRDefault="0045410D" w:rsidP="00055D45">
      <w:pPr>
        <w:pStyle w:val="Heading3"/>
        <w:numPr>
          <w:ilvl w:val="0"/>
          <w:numId w:val="0"/>
        </w:numPr>
        <w:spacing w:before="160" w:after="100"/>
        <w:rPr>
          <w:rFonts w:ascii="Arial" w:eastAsiaTheme="minorHAnsi" w:hAnsi="Arial" w:cs="Arial"/>
          <w:b w:val="0"/>
          <w:noProof/>
          <w:kern w:val="0"/>
          <w:sz w:val="23"/>
          <w:szCs w:val="23"/>
          <w:lang w:eastAsia="x-none"/>
        </w:rPr>
      </w:pPr>
      <w:r w:rsidRPr="00E928CE">
        <w:rPr>
          <w:rFonts w:ascii="Arial" w:eastAsiaTheme="minorHAnsi" w:hAnsi="Arial" w:cs="Arial"/>
          <w:b w:val="0"/>
          <w:noProof/>
          <w:kern w:val="0"/>
          <w:sz w:val="23"/>
          <w:szCs w:val="23"/>
          <w:lang w:eastAsia="x-none"/>
        </w:rPr>
        <w:t>Total revenue from fines, regulatory fees</w:t>
      </w:r>
      <w:r w:rsidR="00E611F6">
        <w:rPr>
          <w:rFonts w:ascii="Arial" w:eastAsiaTheme="minorHAnsi" w:hAnsi="Arial" w:cs="Arial"/>
          <w:b w:val="0"/>
          <w:noProof/>
          <w:kern w:val="0"/>
          <w:sz w:val="23"/>
          <w:szCs w:val="23"/>
          <w:lang w:eastAsia="x-none"/>
        </w:rPr>
        <w:t>, licences</w:t>
      </w:r>
      <w:r w:rsidRPr="00E928CE">
        <w:rPr>
          <w:rFonts w:ascii="Arial" w:eastAsiaTheme="minorHAnsi" w:hAnsi="Arial" w:cs="Arial"/>
          <w:b w:val="0"/>
          <w:noProof/>
          <w:kern w:val="0"/>
          <w:sz w:val="23"/>
          <w:szCs w:val="23"/>
          <w:lang w:eastAsia="x-none"/>
        </w:rPr>
        <w:t xml:space="preserve"> and other revenue is </w:t>
      </w:r>
      <w:r w:rsidR="00C65CDF" w:rsidRPr="00E928CE">
        <w:rPr>
          <w:rFonts w:ascii="Arial" w:eastAsiaTheme="minorHAnsi" w:hAnsi="Arial" w:cs="Arial"/>
          <w:b w:val="0"/>
          <w:noProof/>
          <w:kern w:val="0"/>
          <w:sz w:val="23"/>
          <w:szCs w:val="23"/>
          <w:lang w:eastAsia="x-none"/>
        </w:rPr>
        <w:t xml:space="preserve">expected to be </w:t>
      </w:r>
      <w:r w:rsidRPr="00384E74">
        <w:rPr>
          <w:rFonts w:ascii="Arial" w:eastAsiaTheme="minorHAnsi" w:hAnsi="Arial" w:cs="Arial"/>
          <w:b w:val="0"/>
          <w:noProof/>
          <w:kern w:val="0"/>
          <w:sz w:val="23"/>
          <w:szCs w:val="23"/>
          <w:lang w:eastAsia="x-none"/>
        </w:rPr>
        <w:t>$</w:t>
      </w:r>
      <w:r w:rsidR="00A631F0" w:rsidRPr="00384E74">
        <w:rPr>
          <w:rFonts w:ascii="Arial" w:eastAsiaTheme="minorHAnsi" w:hAnsi="Arial" w:cs="Arial"/>
          <w:b w:val="0"/>
          <w:noProof/>
          <w:kern w:val="0"/>
          <w:sz w:val="23"/>
          <w:szCs w:val="23"/>
          <w:lang w:eastAsia="x-none"/>
        </w:rPr>
        <w:t>2</w:t>
      </w:r>
      <w:r w:rsidR="00C65CDF" w:rsidRPr="00384E74">
        <w:rPr>
          <w:rFonts w:ascii="Arial" w:eastAsiaTheme="minorHAnsi" w:hAnsi="Arial" w:cs="Arial"/>
          <w:b w:val="0"/>
          <w:noProof/>
          <w:kern w:val="0"/>
          <w:sz w:val="23"/>
          <w:szCs w:val="23"/>
          <w:lang w:eastAsia="x-none"/>
        </w:rPr>
        <w:t>.</w:t>
      </w:r>
      <w:r w:rsidR="00A631F0" w:rsidRPr="00384E74">
        <w:rPr>
          <w:rFonts w:ascii="Arial" w:eastAsiaTheme="minorHAnsi" w:hAnsi="Arial" w:cs="Arial"/>
          <w:b w:val="0"/>
          <w:noProof/>
          <w:kern w:val="0"/>
          <w:sz w:val="23"/>
          <w:szCs w:val="23"/>
          <w:lang w:eastAsia="x-none"/>
        </w:rPr>
        <w:t>9</w:t>
      </w:r>
      <w:r w:rsidR="00FF444B">
        <w:rPr>
          <w:rFonts w:ascii="Arial" w:eastAsiaTheme="minorHAnsi" w:hAnsi="Arial" w:cs="Arial"/>
          <w:b w:val="0"/>
          <w:noProof/>
          <w:kern w:val="0"/>
          <w:sz w:val="23"/>
          <w:szCs w:val="23"/>
          <w:lang w:eastAsia="x-none"/>
        </w:rPr>
        <w:t> </w:t>
      </w:r>
      <w:r w:rsidRPr="00E928CE">
        <w:rPr>
          <w:rFonts w:ascii="Arial" w:eastAsiaTheme="minorHAnsi" w:hAnsi="Arial" w:cs="Arial"/>
          <w:b w:val="0"/>
          <w:noProof/>
          <w:kern w:val="0"/>
          <w:sz w:val="23"/>
          <w:szCs w:val="23"/>
          <w:lang w:eastAsia="x-none"/>
        </w:rPr>
        <w:t xml:space="preserve">billion for 2018-19 and is forecast to grow at an average annual rate of </w:t>
      </w:r>
      <w:r w:rsidR="0012284B" w:rsidRPr="00384E74">
        <w:rPr>
          <w:rFonts w:ascii="Arial" w:eastAsiaTheme="minorHAnsi" w:hAnsi="Arial" w:cs="Arial"/>
          <w:b w:val="0"/>
          <w:noProof/>
          <w:kern w:val="0"/>
          <w:sz w:val="23"/>
          <w:szCs w:val="23"/>
          <w:lang w:eastAsia="x-none"/>
        </w:rPr>
        <w:t>3</w:t>
      </w:r>
      <w:r w:rsidR="0038443E" w:rsidRPr="00384E74">
        <w:rPr>
          <w:rFonts w:ascii="Arial" w:eastAsiaTheme="minorHAnsi" w:hAnsi="Arial" w:cs="Arial"/>
          <w:b w:val="0"/>
          <w:noProof/>
          <w:kern w:val="0"/>
          <w:sz w:val="23"/>
          <w:szCs w:val="23"/>
          <w:lang w:eastAsia="x-none"/>
        </w:rPr>
        <w:t>.</w:t>
      </w:r>
      <w:r w:rsidR="0012284B" w:rsidRPr="00384E74">
        <w:rPr>
          <w:rFonts w:ascii="Arial" w:eastAsiaTheme="minorHAnsi" w:hAnsi="Arial" w:cs="Arial"/>
          <w:b w:val="0"/>
          <w:noProof/>
          <w:kern w:val="0"/>
          <w:sz w:val="23"/>
          <w:szCs w:val="23"/>
          <w:lang w:eastAsia="x-none"/>
        </w:rPr>
        <w:t>9</w:t>
      </w:r>
      <w:r w:rsidRPr="00E928CE">
        <w:rPr>
          <w:rFonts w:ascii="Arial" w:eastAsiaTheme="minorHAnsi" w:hAnsi="Arial" w:cs="Arial"/>
          <w:b w:val="0"/>
          <w:noProof/>
          <w:kern w:val="0"/>
          <w:sz w:val="23"/>
          <w:szCs w:val="23"/>
          <w:lang w:eastAsia="x-none"/>
        </w:rPr>
        <w:t xml:space="preserve"> per cent over the four years to 2022-23.</w:t>
      </w:r>
    </w:p>
    <w:p w14:paraId="1296E1AE" w14:textId="1650523B" w:rsidR="0078084A" w:rsidRDefault="0045410D" w:rsidP="00055D45">
      <w:pPr>
        <w:pStyle w:val="Heading3"/>
        <w:numPr>
          <w:ilvl w:val="0"/>
          <w:numId w:val="0"/>
        </w:numPr>
        <w:spacing w:before="160" w:after="100"/>
        <w:rPr>
          <w:rFonts w:ascii="Arial" w:eastAsiaTheme="minorHAnsi" w:hAnsi="Arial" w:cs="Arial"/>
          <w:b w:val="0"/>
          <w:noProof/>
          <w:kern w:val="0"/>
          <w:sz w:val="23"/>
          <w:szCs w:val="23"/>
          <w:lang w:eastAsia="x-none"/>
        </w:rPr>
      </w:pPr>
      <w:r w:rsidRPr="00E928CE">
        <w:rPr>
          <w:rFonts w:ascii="Arial" w:eastAsiaTheme="minorHAnsi" w:hAnsi="Arial" w:cs="Arial"/>
          <w:b w:val="0"/>
          <w:noProof/>
          <w:kern w:val="0"/>
          <w:sz w:val="23"/>
          <w:szCs w:val="23"/>
          <w:lang w:eastAsia="x-none"/>
        </w:rPr>
        <w:t xml:space="preserve">Fines revenue will be </w:t>
      </w:r>
      <w:r w:rsidRPr="00384E74">
        <w:rPr>
          <w:rFonts w:ascii="Arial" w:eastAsiaTheme="minorHAnsi" w:hAnsi="Arial" w:cs="Arial"/>
          <w:b w:val="0"/>
          <w:noProof/>
          <w:kern w:val="0"/>
          <w:sz w:val="23"/>
          <w:szCs w:val="23"/>
          <w:lang w:eastAsia="x-none"/>
        </w:rPr>
        <w:t>$</w:t>
      </w:r>
      <w:r w:rsidR="009E3310" w:rsidRPr="00384E74">
        <w:rPr>
          <w:rFonts w:ascii="Arial" w:eastAsiaTheme="minorHAnsi" w:hAnsi="Arial" w:cs="Arial"/>
          <w:b w:val="0"/>
          <w:noProof/>
          <w:kern w:val="0"/>
          <w:sz w:val="23"/>
          <w:szCs w:val="23"/>
          <w:lang w:eastAsia="x-none"/>
        </w:rPr>
        <w:t>64</w:t>
      </w:r>
      <w:r w:rsidR="0012284B" w:rsidRPr="00384E74">
        <w:rPr>
          <w:rFonts w:ascii="Arial" w:eastAsiaTheme="minorHAnsi" w:hAnsi="Arial" w:cs="Arial"/>
          <w:b w:val="0"/>
          <w:noProof/>
          <w:kern w:val="0"/>
          <w:sz w:val="23"/>
          <w:szCs w:val="23"/>
          <w:lang w:eastAsia="x-none"/>
        </w:rPr>
        <w:t>6</w:t>
      </w:r>
      <w:r w:rsidR="00A44840" w:rsidRPr="00384E74">
        <w:rPr>
          <w:rFonts w:ascii="Arial" w:eastAsiaTheme="minorHAnsi" w:hAnsi="Arial" w:cs="Arial"/>
          <w:b w:val="0"/>
          <w:noProof/>
          <w:kern w:val="0"/>
          <w:sz w:val="23"/>
          <w:szCs w:val="23"/>
          <w:lang w:eastAsia="x-none"/>
        </w:rPr>
        <w:t>.</w:t>
      </w:r>
      <w:r w:rsidR="001C7710" w:rsidRPr="00384E74">
        <w:rPr>
          <w:rFonts w:ascii="Arial" w:eastAsiaTheme="minorHAnsi" w:hAnsi="Arial" w:cs="Arial"/>
          <w:b w:val="0"/>
          <w:noProof/>
          <w:kern w:val="0"/>
          <w:sz w:val="23"/>
          <w:szCs w:val="23"/>
          <w:lang w:eastAsia="x-none"/>
        </w:rPr>
        <w:t>8</w:t>
      </w:r>
      <w:r w:rsidRPr="00E928CE">
        <w:rPr>
          <w:rFonts w:ascii="Arial" w:eastAsiaTheme="minorHAnsi" w:hAnsi="Arial" w:cs="Arial"/>
          <w:b w:val="0"/>
          <w:noProof/>
          <w:kern w:val="0"/>
          <w:sz w:val="23"/>
          <w:szCs w:val="23"/>
          <w:lang w:eastAsia="x-none"/>
        </w:rPr>
        <w:t xml:space="preserve"> million in 2018-19, a</w:t>
      </w:r>
      <w:r w:rsidR="00763A7B" w:rsidRPr="00E928CE">
        <w:rPr>
          <w:rFonts w:ascii="Arial" w:eastAsiaTheme="minorHAnsi" w:hAnsi="Arial" w:cs="Arial"/>
          <w:b w:val="0"/>
          <w:noProof/>
          <w:kern w:val="0"/>
          <w:sz w:val="23"/>
          <w:szCs w:val="23"/>
          <w:lang w:eastAsia="x-none"/>
        </w:rPr>
        <w:t>n</w:t>
      </w:r>
      <w:r w:rsidRPr="00E928CE">
        <w:rPr>
          <w:rFonts w:ascii="Arial" w:eastAsiaTheme="minorHAnsi" w:hAnsi="Arial" w:cs="Arial"/>
          <w:b w:val="0"/>
          <w:noProof/>
          <w:kern w:val="0"/>
          <w:sz w:val="23"/>
          <w:szCs w:val="23"/>
          <w:lang w:eastAsia="x-none"/>
        </w:rPr>
        <w:t xml:space="preserve"> </w:t>
      </w:r>
      <w:r w:rsidRPr="00384E74">
        <w:rPr>
          <w:rFonts w:ascii="Arial" w:eastAsiaTheme="minorHAnsi" w:hAnsi="Arial" w:cs="Arial"/>
          <w:b w:val="0"/>
          <w:noProof/>
          <w:kern w:val="0"/>
          <w:sz w:val="23"/>
          <w:szCs w:val="23"/>
          <w:lang w:eastAsia="x-none"/>
        </w:rPr>
        <w:t>$</w:t>
      </w:r>
      <w:r w:rsidR="00763A7B" w:rsidRPr="00384E74">
        <w:rPr>
          <w:rFonts w:ascii="Arial" w:eastAsiaTheme="minorHAnsi" w:hAnsi="Arial" w:cs="Arial"/>
          <w:b w:val="0"/>
          <w:noProof/>
          <w:kern w:val="0"/>
          <w:sz w:val="23"/>
          <w:szCs w:val="23"/>
          <w:lang w:eastAsia="x-none"/>
        </w:rPr>
        <w:t>88</w:t>
      </w:r>
      <w:r w:rsidR="00A44840" w:rsidRPr="00384E74">
        <w:rPr>
          <w:rFonts w:ascii="Arial" w:eastAsiaTheme="minorHAnsi" w:hAnsi="Arial" w:cs="Arial"/>
          <w:b w:val="0"/>
          <w:noProof/>
          <w:kern w:val="0"/>
          <w:sz w:val="23"/>
          <w:szCs w:val="23"/>
          <w:lang w:eastAsia="x-none"/>
        </w:rPr>
        <w:t>.</w:t>
      </w:r>
      <w:r w:rsidR="00DB1553" w:rsidRPr="00384E74">
        <w:rPr>
          <w:rFonts w:ascii="Arial" w:eastAsiaTheme="minorHAnsi" w:hAnsi="Arial" w:cs="Arial"/>
          <w:b w:val="0"/>
          <w:noProof/>
          <w:kern w:val="0"/>
          <w:sz w:val="23"/>
          <w:szCs w:val="23"/>
          <w:lang w:eastAsia="x-none"/>
        </w:rPr>
        <w:t>0</w:t>
      </w:r>
      <w:r w:rsidRPr="00E928CE">
        <w:rPr>
          <w:rFonts w:ascii="Arial" w:eastAsiaTheme="minorHAnsi" w:hAnsi="Arial" w:cs="Arial"/>
          <w:b w:val="0"/>
          <w:noProof/>
          <w:kern w:val="0"/>
          <w:sz w:val="23"/>
          <w:szCs w:val="23"/>
          <w:lang w:eastAsia="x-none"/>
        </w:rPr>
        <w:t xml:space="preserve"> million downward revision since the </w:t>
      </w:r>
      <w:r w:rsidR="00871ABC">
        <w:rPr>
          <w:rFonts w:ascii="Arial" w:eastAsiaTheme="minorHAnsi" w:hAnsi="Arial" w:cs="Arial"/>
          <w:b w:val="0"/>
          <w:noProof/>
          <w:kern w:val="0"/>
          <w:sz w:val="23"/>
          <w:szCs w:val="23"/>
          <w:lang w:eastAsia="x-none"/>
        </w:rPr>
        <w:t xml:space="preserve">2019 </w:t>
      </w:r>
      <w:r w:rsidRPr="00E928CE">
        <w:rPr>
          <w:rFonts w:ascii="Arial" w:eastAsiaTheme="minorHAnsi" w:hAnsi="Arial" w:cs="Arial"/>
          <w:b w:val="0"/>
          <w:noProof/>
          <w:kern w:val="0"/>
          <w:sz w:val="23"/>
          <w:szCs w:val="23"/>
          <w:lang w:eastAsia="x-none"/>
        </w:rPr>
        <w:t>Pre-election Budget</w:t>
      </w:r>
      <w:r w:rsidR="008D02BB">
        <w:rPr>
          <w:rFonts w:ascii="Arial" w:eastAsiaTheme="minorHAnsi" w:hAnsi="Arial" w:cs="Arial"/>
          <w:b w:val="0"/>
          <w:noProof/>
          <w:kern w:val="0"/>
          <w:sz w:val="23"/>
          <w:szCs w:val="23"/>
          <w:lang w:eastAsia="x-none"/>
        </w:rPr>
        <w:t xml:space="preserve"> Update</w:t>
      </w:r>
      <w:r w:rsidR="00D941C8" w:rsidRPr="00E928CE">
        <w:rPr>
          <w:rFonts w:ascii="Arial" w:eastAsiaTheme="minorHAnsi" w:hAnsi="Arial" w:cs="Arial"/>
          <w:b w:val="0"/>
          <w:noProof/>
          <w:kern w:val="0"/>
          <w:sz w:val="23"/>
          <w:szCs w:val="23"/>
          <w:lang w:eastAsia="x-none"/>
        </w:rPr>
        <w:t xml:space="preserve">, </w:t>
      </w:r>
      <w:r w:rsidRPr="00E928CE">
        <w:rPr>
          <w:rFonts w:ascii="Arial" w:eastAsiaTheme="minorHAnsi" w:hAnsi="Arial" w:cs="Arial"/>
          <w:b w:val="0"/>
          <w:noProof/>
          <w:kern w:val="0"/>
          <w:sz w:val="23"/>
          <w:szCs w:val="23"/>
          <w:lang w:eastAsia="x-none"/>
        </w:rPr>
        <w:t>largely reflect</w:t>
      </w:r>
      <w:r w:rsidR="00D941C8" w:rsidRPr="00E928CE">
        <w:rPr>
          <w:rFonts w:ascii="Arial" w:eastAsiaTheme="minorHAnsi" w:hAnsi="Arial" w:cs="Arial"/>
          <w:b w:val="0"/>
          <w:noProof/>
          <w:kern w:val="0"/>
          <w:sz w:val="23"/>
          <w:szCs w:val="23"/>
          <w:lang w:eastAsia="x-none"/>
        </w:rPr>
        <w:t>ing</w:t>
      </w:r>
      <w:r w:rsidRPr="00E928CE">
        <w:rPr>
          <w:rFonts w:ascii="Arial" w:eastAsiaTheme="minorHAnsi" w:hAnsi="Arial" w:cs="Arial"/>
          <w:b w:val="0"/>
          <w:noProof/>
          <w:kern w:val="0"/>
          <w:sz w:val="23"/>
          <w:szCs w:val="23"/>
          <w:lang w:eastAsia="x-none"/>
        </w:rPr>
        <w:t xml:space="preserve"> lower-than-expected motor traffic fines. </w:t>
      </w:r>
    </w:p>
    <w:p w14:paraId="3CA504E1" w14:textId="00296234" w:rsidR="0045410D" w:rsidRPr="00E928CE" w:rsidRDefault="0045410D" w:rsidP="00055D45">
      <w:pPr>
        <w:pStyle w:val="Heading3"/>
        <w:numPr>
          <w:ilvl w:val="0"/>
          <w:numId w:val="0"/>
        </w:numPr>
        <w:spacing w:before="160" w:after="100"/>
        <w:rPr>
          <w:rFonts w:ascii="Arial" w:eastAsiaTheme="minorHAnsi" w:hAnsi="Arial" w:cs="Arial"/>
          <w:b w:val="0"/>
          <w:noProof/>
          <w:kern w:val="0"/>
          <w:sz w:val="23"/>
          <w:szCs w:val="23"/>
          <w:lang w:eastAsia="x-none"/>
        </w:rPr>
      </w:pPr>
      <w:r w:rsidRPr="00E928CE">
        <w:rPr>
          <w:rFonts w:ascii="Arial" w:eastAsiaTheme="minorHAnsi" w:hAnsi="Arial" w:cs="Arial"/>
          <w:b w:val="0"/>
          <w:noProof/>
          <w:kern w:val="0"/>
          <w:sz w:val="23"/>
          <w:szCs w:val="23"/>
          <w:lang w:eastAsia="x-none"/>
        </w:rPr>
        <w:t xml:space="preserve">Revenue from regulatory fees </w:t>
      </w:r>
      <w:r w:rsidR="00FF444B">
        <w:rPr>
          <w:rFonts w:ascii="Arial" w:eastAsiaTheme="minorHAnsi" w:hAnsi="Arial" w:cs="Arial"/>
          <w:b w:val="0"/>
          <w:noProof/>
          <w:kern w:val="0"/>
          <w:sz w:val="23"/>
          <w:szCs w:val="23"/>
          <w:lang w:eastAsia="x-none"/>
        </w:rPr>
        <w:t>has</w:t>
      </w:r>
      <w:r w:rsidRPr="00E928CE">
        <w:rPr>
          <w:rFonts w:ascii="Arial" w:eastAsiaTheme="minorHAnsi" w:hAnsi="Arial" w:cs="Arial"/>
          <w:b w:val="0"/>
          <w:noProof/>
          <w:kern w:val="0"/>
          <w:sz w:val="23"/>
          <w:szCs w:val="23"/>
          <w:lang w:eastAsia="x-none"/>
        </w:rPr>
        <w:t xml:space="preserve"> been revised down </w:t>
      </w:r>
      <w:r w:rsidR="00030B64">
        <w:rPr>
          <w:rFonts w:ascii="Arial" w:eastAsiaTheme="minorHAnsi" w:hAnsi="Arial" w:cs="Arial"/>
          <w:b w:val="0"/>
          <w:noProof/>
          <w:kern w:val="0"/>
          <w:sz w:val="23"/>
          <w:szCs w:val="23"/>
          <w:lang w:eastAsia="x-none"/>
        </w:rPr>
        <w:t xml:space="preserve">over the four years to 2021-22 </w:t>
      </w:r>
      <w:r w:rsidRPr="00E928CE">
        <w:rPr>
          <w:rFonts w:ascii="Arial" w:eastAsiaTheme="minorHAnsi" w:hAnsi="Arial" w:cs="Arial"/>
          <w:b w:val="0"/>
          <w:noProof/>
          <w:kern w:val="0"/>
          <w:sz w:val="23"/>
          <w:szCs w:val="23"/>
          <w:lang w:eastAsia="x-none"/>
        </w:rPr>
        <w:t xml:space="preserve">due to lower-than-expected </w:t>
      </w:r>
      <w:r w:rsidR="00246F31" w:rsidRPr="00E928CE">
        <w:rPr>
          <w:rFonts w:ascii="Arial" w:eastAsiaTheme="minorHAnsi" w:hAnsi="Arial" w:cs="Arial"/>
          <w:b w:val="0"/>
          <w:noProof/>
          <w:kern w:val="0"/>
          <w:sz w:val="23"/>
          <w:szCs w:val="23"/>
          <w:lang w:eastAsia="x-none"/>
        </w:rPr>
        <w:t>el</w:t>
      </w:r>
      <w:r w:rsidR="00562702" w:rsidRPr="00E928CE">
        <w:rPr>
          <w:rFonts w:ascii="Arial" w:eastAsiaTheme="minorHAnsi" w:hAnsi="Arial" w:cs="Arial"/>
          <w:b w:val="0"/>
          <w:noProof/>
          <w:kern w:val="0"/>
          <w:sz w:val="23"/>
          <w:szCs w:val="23"/>
          <w:lang w:eastAsia="x-none"/>
        </w:rPr>
        <w:t>e</w:t>
      </w:r>
      <w:r w:rsidR="00246F31" w:rsidRPr="00E928CE">
        <w:rPr>
          <w:rFonts w:ascii="Arial" w:eastAsiaTheme="minorHAnsi" w:hAnsi="Arial" w:cs="Arial"/>
          <w:b w:val="0"/>
          <w:noProof/>
          <w:kern w:val="0"/>
          <w:sz w:val="23"/>
          <w:szCs w:val="23"/>
          <w:lang w:eastAsia="x-none"/>
        </w:rPr>
        <w:t xml:space="preserve">ctoral </w:t>
      </w:r>
      <w:r w:rsidR="00AB2EE9" w:rsidRPr="00E928CE">
        <w:rPr>
          <w:rFonts w:ascii="Arial" w:eastAsiaTheme="minorHAnsi" w:hAnsi="Arial" w:cs="Arial"/>
          <w:b w:val="0"/>
          <w:noProof/>
          <w:kern w:val="0"/>
          <w:sz w:val="23"/>
          <w:szCs w:val="23"/>
          <w:lang w:eastAsia="x-none"/>
        </w:rPr>
        <w:t xml:space="preserve">fines, </w:t>
      </w:r>
      <w:r w:rsidRPr="00E928CE">
        <w:rPr>
          <w:rFonts w:ascii="Arial" w:eastAsiaTheme="minorHAnsi" w:hAnsi="Arial" w:cs="Arial"/>
          <w:b w:val="0"/>
          <w:noProof/>
          <w:kern w:val="0"/>
          <w:sz w:val="23"/>
          <w:szCs w:val="23"/>
          <w:lang w:eastAsia="x-none"/>
        </w:rPr>
        <w:t>and lower Special Infrastructure Contributions (SIC)</w:t>
      </w:r>
      <w:r w:rsidR="004314D7" w:rsidRPr="00E928CE">
        <w:rPr>
          <w:rFonts w:ascii="Arial" w:eastAsiaTheme="minorHAnsi" w:hAnsi="Arial" w:cs="Arial"/>
          <w:b w:val="0"/>
          <w:noProof/>
          <w:kern w:val="0"/>
          <w:sz w:val="23"/>
          <w:szCs w:val="23"/>
          <w:lang w:eastAsia="x-none"/>
        </w:rPr>
        <w:t xml:space="preserve"> reflecting changed timing for </w:t>
      </w:r>
      <w:r w:rsidRPr="00E928CE">
        <w:rPr>
          <w:rFonts w:ascii="Arial" w:eastAsiaTheme="minorHAnsi" w:hAnsi="Arial" w:cs="Arial"/>
          <w:b w:val="0"/>
          <w:noProof/>
          <w:kern w:val="0"/>
          <w:sz w:val="23"/>
          <w:szCs w:val="23"/>
          <w:lang w:eastAsia="x-none"/>
        </w:rPr>
        <w:t xml:space="preserve">the declaration of new SIC areas. </w:t>
      </w:r>
    </w:p>
    <w:p w14:paraId="7F377800" w14:textId="4EA9240E" w:rsidR="008B40DD" w:rsidRDefault="0045410D" w:rsidP="00D63847">
      <w:pPr>
        <w:pStyle w:val="BodyText"/>
      </w:pPr>
      <w:r w:rsidRPr="00E928CE">
        <w:t xml:space="preserve">Other revenues are forecast to grow at an average annual rate of </w:t>
      </w:r>
      <w:r w:rsidR="00B26614" w:rsidRPr="00384E74">
        <w:t>2</w:t>
      </w:r>
      <w:r w:rsidR="00A44840" w:rsidRPr="00384E74">
        <w:t>.</w:t>
      </w:r>
      <w:r w:rsidR="00CD3843" w:rsidRPr="00384E74">
        <w:t>6</w:t>
      </w:r>
      <w:r w:rsidRPr="00E928CE">
        <w:t xml:space="preserve"> per cent over the four years to 202</w:t>
      </w:r>
      <w:r w:rsidR="00B26614" w:rsidRPr="00E928CE">
        <w:t>2</w:t>
      </w:r>
      <w:r w:rsidRPr="00E928CE">
        <w:t>-2</w:t>
      </w:r>
      <w:r w:rsidR="00B26614" w:rsidRPr="00E928CE">
        <w:t>3</w:t>
      </w:r>
      <w:r w:rsidRPr="00E928CE">
        <w:t>. The greatest contribution to this growth arises from the</w:t>
      </w:r>
      <w:r w:rsidRPr="0045410D">
        <w:t xml:space="preserve"> accounting recognition of non-cash revenue received in 2022-23 relating to the NorthConnex and </w:t>
      </w:r>
      <w:bookmarkStart w:id="12" w:name="_GoBack"/>
      <w:bookmarkEnd w:id="12"/>
      <w:r w:rsidRPr="0045410D">
        <w:t>WestConnex motorways</w:t>
      </w:r>
      <w:r w:rsidR="003E40A9">
        <w:t xml:space="preserve">. </w:t>
      </w:r>
    </w:p>
    <w:p w14:paraId="1D4D2827" w14:textId="1DC7C60B" w:rsidR="0077628D" w:rsidRPr="0011270D" w:rsidRDefault="0077628D" w:rsidP="003B4788">
      <w:pPr>
        <w:pStyle w:val="Table4X"/>
        <w:tabs>
          <w:tab w:val="clear" w:pos="1134"/>
          <w:tab w:val="left" w:pos="1276"/>
        </w:tabs>
        <w:ind w:left="1276" w:hanging="1276"/>
      </w:pPr>
      <w:r w:rsidRPr="0011270D">
        <w:t>Fines, regulatory fees</w:t>
      </w:r>
      <w:r w:rsidR="00B71D02">
        <w:t>, licences</w:t>
      </w:r>
      <w:r w:rsidRPr="0011270D">
        <w:t xml:space="preserve"> and other revenues</w:t>
      </w:r>
    </w:p>
    <w:p w14:paraId="6C8268F1" w14:textId="1405673F" w:rsidR="00DF348C" w:rsidRPr="0011270D" w:rsidRDefault="00064B65" w:rsidP="00DF348C">
      <w:r w:rsidRPr="00064B65">
        <w:t xml:space="preserve"> </w:t>
      </w:r>
      <w:r w:rsidR="007D63C6" w:rsidRPr="007D63C6">
        <w:t xml:space="preserve"> </w:t>
      </w:r>
      <w:r w:rsidR="00AC4B3E" w:rsidRPr="00AC4B3E">
        <w:rPr>
          <w:noProof/>
        </w:rPr>
        <w:drawing>
          <wp:inline distT="0" distB="0" distL="0" distR="0" wp14:anchorId="72D3453A" wp14:editId="13F2A272">
            <wp:extent cx="5961380" cy="1591310"/>
            <wp:effectExtent l="0" t="0" r="1270" b="8890"/>
            <wp:docPr id="15" name="Picture 15" descr="Table 4.11: Fines, regulatory fees, licences and other re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1380" cy="1591310"/>
                    </a:xfrm>
                    <a:prstGeom prst="rect">
                      <a:avLst/>
                    </a:prstGeom>
                    <a:noFill/>
                    <a:ln>
                      <a:noFill/>
                    </a:ln>
                  </pic:spPr>
                </pic:pic>
              </a:graphicData>
            </a:graphic>
          </wp:inline>
        </w:drawing>
      </w:r>
    </w:p>
    <w:sectPr w:rsidR="00DF348C" w:rsidRPr="0011270D" w:rsidSect="00384E74">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567"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1298" w14:textId="77777777" w:rsidR="00D74505" w:rsidRDefault="00D74505" w:rsidP="007563DF">
      <w:r>
        <w:separator/>
      </w:r>
    </w:p>
  </w:endnote>
  <w:endnote w:type="continuationSeparator" w:id="0">
    <w:p w14:paraId="44C9C5BC" w14:textId="77777777" w:rsidR="00D74505" w:rsidRDefault="00D74505" w:rsidP="007563DF">
      <w:r>
        <w:continuationSeparator/>
      </w:r>
    </w:p>
  </w:endnote>
  <w:endnote w:type="continuationNotice" w:id="1">
    <w:p w14:paraId="044F64AA" w14:textId="77777777" w:rsidR="00D74505" w:rsidRDefault="00D74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1002A87" w:usb1="00000000" w:usb2="00000000" w:usb3="00000000" w:csb0="0001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29C9" w14:textId="651FFCDA" w:rsidR="00343106" w:rsidRDefault="0008672B" w:rsidP="008A6479">
    <w:pPr>
      <w:pBdr>
        <w:top w:val="single" w:sz="4" w:space="4" w:color="auto"/>
      </w:pBdr>
      <w:tabs>
        <w:tab w:val="right" w:pos="9639"/>
      </w:tabs>
      <w:rPr>
        <w:rFonts w:ascii="Arial" w:hAnsi="Arial" w:cs="Arial"/>
        <w:sz w:val="18"/>
        <w:szCs w:val="18"/>
      </w:rPr>
    </w:pPr>
    <w:r>
      <w:rPr>
        <w:rFonts w:ascii="Arial" w:hAnsi="Arial" w:cs="Arial"/>
        <w:sz w:val="18"/>
        <w:szCs w:val="18"/>
      </w:rPr>
      <w:t>4</w:t>
    </w:r>
    <w:r w:rsidR="00343106" w:rsidRPr="008A6479">
      <w:rPr>
        <w:rFonts w:ascii="Arial" w:hAnsi="Arial" w:cs="Arial"/>
        <w:sz w:val="18"/>
        <w:szCs w:val="18"/>
      </w:rPr>
      <w:t xml:space="preserve"> - </w:t>
    </w:r>
    <w:r w:rsidR="00343106" w:rsidRPr="008A6479">
      <w:rPr>
        <w:rFonts w:ascii="Arial" w:hAnsi="Arial" w:cs="Arial"/>
        <w:sz w:val="18"/>
        <w:szCs w:val="18"/>
      </w:rPr>
      <w:fldChar w:fldCharType="begin"/>
    </w:r>
    <w:r w:rsidR="00343106" w:rsidRPr="008A6479">
      <w:rPr>
        <w:rFonts w:ascii="Arial" w:hAnsi="Arial" w:cs="Arial"/>
        <w:sz w:val="18"/>
        <w:szCs w:val="18"/>
      </w:rPr>
      <w:instrText xml:space="preserve"> PAGE   \* MERGEFORMAT </w:instrText>
    </w:r>
    <w:r w:rsidR="00343106" w:rsidRPr="008A6479">
      <w:rPr>
        <w:rFonts w:ascii="Arial" w:hAnsi="Arial" w:cs="Arial"/>
        <w:sz w:val="18"/>
        <w:szCs w:val="18"/>
      </w:rPr>
      <w:fldChar w:fldCharType="separate"/>
    </w:r>
    <w:r w:rsidR="00343106">
      <w:rPr>
        <w:rFonts w:ascii="Arial" w:hAnsi="Arial" w:cs="Arial"/>
        <w:noProof/>
        <w:sz w:val="18"/>
        <w:szCs w:val="18"/>
      </w:rPr>
      <w:t>2</w:t>
    </w:r>
    <w:r w:rsidR="00343106" w:rsidRPr="008A6479">
      <w:rPr>
        <w:rFonts w:ascii="Arial" w:hAnsi="Arial" w:cs="Arial"/>
        <w:noProof/>
        <w:sz w:val="18"/>
        <w:szCs w:val="18"/>
      </w:rPr>
      <w:fldChar w:fldCharType="end"/>
    </w:r>
    <w:r w:rsidR="00343106">
      <w:rPr>
        <w:rFonts w:ascii="Arial" w:hAnsi="Arial" w:cs="Arial"/>
        <w:noProof/>
        <w:sz w:val="18"/>
        <w:szCs w:val="18"/>
      </w:rPr>
      <w:tab/>
    </w:r>
    <w:r w:rsidR="00343106">
      <w:rPr>
        <w:rFonts w:ascii="Arial" w:hAnsi="Arial" w:cs="Arial"/>
        <w:sz w:val="18"/>
        <w:szCs w:val="18"/>
      </w:rPr>
      <w:t>Budget Statement 2019-20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13B2" w14:textId="6A740FE8" w:rsidR="00343106" w:rsidRDefault="00343106" w:rsidP="008A6479">
    <w:pPr>
      <w:pBdr>
        <w:top w:val="single" w:sz="4" w:space="4" w:color="auto"/>
      </w:pBdr>
      <w:tabs>
        <w:tab w:val="right" w:pos="9639"/>
      </w:tabs>
      <w:rPr>
        <w:rFonts w:ascii="Arial" w:hAnsi="Arial" w:cs="Arial"/>
        <w:noProof/>
        <w:sz w:val="18"/>
        <w:szCs w:val="18"/>
      </w:rPr>
    </w:pPr>
    <w:r w:rsidRPr="008A6479">
      <w:rPr>
        <w:rFonts w:ascii="Arial" w:hAnsi="Arial" w:cs="Arial"/>
        <w:sz w:val="18"/>
        <w:szCs w:val="18"/>
      </w:rPr>
      <w:t>Budget Statement 201</w:t>
    </w:r>
    <w:r>
      <w:rPr>
        <w:rFonts w:ascii="Arial" w:hAnsi="Arial" w:cs="Arial"/>
        <w:sz w:val="18"/>
        <w:szCs w:val="18"/>
      </w:rPr>
      <w:t>9</w:t>
    </w:r>
    <w:r w:rsidRPr="008A6479">
      <w:rPr>
        <w:rFonts w:ascii="Arial" w:hAnsi="Arial" w:cs="Arial"/>
        <w:sz w:val="18"/>
        <w:szCs w:val="18"/>
      </w:rPr>
      <w:t>-</w:t>
    </w:r>
    <w:r>
      <w:rPr>
        <w:rFonts w:ascii="Arial" w:hAnsi="Arial" w:cs="Arial"/>
        <w:sz w:val="18"/>
        <w:szCs w:val="18"/>
      </w:rPr>
      <w:t>20</w:t>
    </w:r>
    <w:r>
      <w:rPr>
        <w:rFonts w:ascii="Arial" w:hAnsi="Arial" w:cs="Arial"/>
        <w:sz w:val="18"/>
        <w:szCs w:val="18"/>
      </w:rPr>
      <w:tab/>
    </w:r>
    <w:r w:rsidR="0008672B">
      <w:rPr>
        <w:rFonts w:ascii="Arial" w:hAnsi="Arial" w:cs="Arial"/>
        <w:sz w:val="18"/>
        <w:szCs w:val="18"/>
      </w:rPr>
      <w:t>4</w:t>
    </w:r>
    <w:r w:rsidR="0008672B" w:rsidRPr="008A6479">
      <w:rPr>
        <w:rFonts w:ascii="Arial" w:hAnsi="Arial" w:cs="Arial"/>
        <w:sz w:val="18"/>
        <w:szCs w:val="18"/>
      </w:rPr>
      <w:t xml:space="preserve"> </w:t>
    </w:r>
    <w:r w:rsidRPr="008A6479">
      <w:rPr>
        <w:rFonts w:ascii="Arial" w:hAnsi="Arial" w:cs="Arial"/>
        <w:sz w:val="18"/>
        <w:szCs w:val="18"/>
      </w:rPr>
      <w:t xml:space="preserve">- </w:t>
    </w:r>
    <w:r w:rsidRPr="008A6479">
      <w:rPr>
        <w:rFonts w:ascii="Arial" w:hAnsi="Arial" w:cs="Arial"/>
        <w:sz w:val="18"/>
        <w:szCs w:val="18"/>
      </w:rPr>
      <w:fldChar w:fldCharType="begin"/>
    </w:r>
    <w:r w:rsidRPr="008A6479">
      <w:rPr>
        <w:rFonts w:ascii="Arial" w:hAnsi="Arial" w:cs="Arial"/>
        <w:sz w:val="18"/>
        <w:szCs w:val="18"/>
      </w:rPr>
      <w:instrText xml:space="preserve"> PAGE   \* MERGEFORMAT </w:instrText>
    </w:r>
    <w:r w:rsidRPr="008A6479">
      <w:rPr>
        <w:rFonts w:ascii="Arial" w:hAnsi="Arial" w:cs="Arial"/>
        <w:sz w:val="18"/>
        <w:szCs w:val="18"/>
      </w:rPr>
      <w:fldChar w:fldCharType="separate"/>
    </w:r>
    <w:r>
      <w:rPr>
        <w:rFonts w:ascii="Arial" w:hAnsi="Arial" w:cs="Arial"/>
        <w:noProof/>
        <w:sz w:val="18"/>
        <w:szCs w:val="18"/>
      </w:rPr>
      <w:t>15</w:t>
    </w:r>
    <w:r w:rsidRPr="008A6479">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560D" w14:textId="570C8E36" w:rsidR="00343106" w:rsidRDefault="00343106" w:rsidP="00383217">
    <w:pPr>
      <w:pBdr>
        <w:top w:val="single" w:sz="4" w:space="4" w:color="auto"/>
      </w:pBdr>
      <w:tabs>
        <w:tab w:val="right" w:pos="9639"/>
      </w:tabs>
      <w:rPr>
        <w:rFonts w:ascii="Arial" w:hAnsi="Arial" w:cs="Arial"/>
        <w:noProof/>
        <w:sz w:val="18"/>
        <w:szCs w:val="18"/>
      </w:rPr>
    </w:pPr>
    <w:r w:rsidRPr="00383217">
      <w:rPr>
        <w:rFonts w:ascii="Arial" w:hAnsi="Arial" w:cs="Arial"/>
        <w:sz w:val="18"/>
        <w:szCs w:val="18"/>
      </w:rPr>
      <w:t>Budget Statement 201</w:t>
    </w:r>
    <w:r>
      <w:rPr>
        <w:rFonts w:ascii="Arial" w:hAnsi="Arial" w:cs="Arial"/>
        <w:sz w:val="18"/>
        <w:szCs w:val="18"/>
      </w:rPr>
      <w:t>9</w:t>
    </w:r>
    <w:r w:rsidRPr="00383217">
      <w:rPr>
        <w:rFonts w:ascii="Arial" w:hAnsi="Arial" w:cs="Arial"/>
        <w:sz w:val="18"/>
        <w:szCs w:val="18"/>
      </w:rPr>
      <w:t>-</w:t>
    </w:r>
    <w:r>
      <w:rPr>
        <w:rFonts w:ascii="Arial" w:hAnsi="Arial" w:cs="Arial"/>
        <w:sz w:val="18"/>
        <w:szCs w:val="18"/>
      </w:rPr>
      <w:t>20</w:t>
    </w:r>
    <w:r w:rsidRPr="00383217">
      <w:rPr>
        <w:rFonts w:ascii="Arial" w:hAnsi="Arial" w:cs="Arial"/>
        <w:sz w:val="18"/>
        <w:szCs w:val="18"/>
      </w:rPr>
      <w:tab/>
    </w:r>
    <w:r w:rsidR="002C3CAC">
      <w:rPr>
        <w:rFonts w:ascii="Arial" w:hAnsi="Arial" w:cs="Arial"/>
        <w:sz w:val="18"/>
        <w:szCs w:val="18"/>
      </w:rPr>
      <w:t>4</w:t>
    </w:r>
    <w:r w:rsidRPr="00383217">
      <w:rPr>
        <w:rFonts w:ascii="Arial" w:hAnsi="Arial" w:cs="Arial"/>
        <w:sz w:val="18"/>
        <w:szCs w:val="18"/>
      </w:rPr>
      <w:t xml:space="preserve"> - </w:t>
    </w:r>
    <w:r w:rsidRPr="00383217">
      <w:rPr>
        <w:rFonts w:ascii="Arial" w:hAnsi="Arial" w:cs="Arial"/>
        <w:sz w:val="18"/>
        <w:szCs w:val="18"/>
      </w:rPr>
      <w:fldChar w:fldCharType="begin"/>
    </w:r>
    <w:r w:rsidRPr="00383217">
      <w:rPr>
        <w:rFonts w:ascii="Arial" w:hAnsi="Arial" w:cs="Arial"/>
        <w:sz w:val="18"/>
        <w:szCs w:val="18"/>
      </w:rPr>
      <w:instrText xml:space="preserve"> PAGE   \* MERGEFORMAT </w:instrText>
    </w:r>
    <w:r w:rsidRPr="00383217">
      <w:rPr>
        <w:rFonts w:ascii="Arial" w:hAnsi="Arial" w:cs="Arial"/>
        <w:sz w:val="18"/>
        <w:szCs w:val="18"/>
      </w:rPr>
      <w:fldChar w:fldCharType="separate"/>
    </w:r>
    <w:r>
      <w:rPr>
        <w:rFonts w:ascii="Arial" w:hAnsi="Arial" w:cs="Arial"/>
        <w:noProof/>
        <w:sz w:val="18"/>
        <w:szCs w:val="18"/>
      </w:rPr>
      <w:t>1</w:t>
    </w:r>
    <w:r w:rsidRPr="0038321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54F7" w14:textId="77777777" w:rsidR="00D74505" w:rsidRDefault="00D74505" w:rsidP="007563DF">
      <w:r>
        <w:separator/>
      </w:r>
    </w:p>
  </w:footnote>
  <w:footnote w:type="continuationSeparator" w:id="0">
    <w:p w14:paraId="49D76E1A" w14:textId="77777777" w:rsidR="00D74505" w:rsidRDefault="00D74505" w:rsidP="007563DF">
      <w:r>
        <w:continuationSeparator/>
      </w:r>
    </w:p>
  </w:footnote>
  <w:footnote w:type="continuationNotice" w:id="1">
    <w:p w14:paraId="0638AACF" w14:textId="77777777" w:rsidR="00D74505" w:rsidRDefault="00D74505"/>
  </w:footnote>
  <w:footnote w:id="2">
    <w:p w14:paraId="0A681C2E" w14:textId="1E2B2C05" w:rsidR="00CA185F" w:rsidRPr="00AD2884" w:rsidRDefault="00CA185F" w:rsidP="00AD2884">
      <w:pPr>
        <w:pStyle w:val="FootnoteText"/>
        <w:ind w:hanging="283"/>
        <w:rPr>
          <w:rFonts w:ascii="Arial" w:hAnsi="Arial" w:cs="Arial"/>
          <w:i w:val="0"/>
          <w:sz w:val="17"/>
          <w:szCs w:val="17"/>
        </w:rPr>
      </w:pPr>
      <w:r w:rsidRPr="00AD2884">
        <w:rPr>
          <w:rStyle w:val="FootnoteReference"/>
          <w:rFonts w:ascii="Arial" w:hAnsi="Arial" w:cs="Arial"/>
          <w:i w:val="0"/>
          <w:sz w:val="17"/>
          <w:szCs w:val="17"/>
        </w:rPr>
        <w:footnoteRef/>
      </w:r>
      <w:r w:rsidRPr="00AD2884">
        <w:rPr>
          <w:rFonts w:ascii="Arial" w:hAnsi="Arial" w:cs="Arial"/>
          <w:i w:val="0"/>
          <w:sz w:val="17"/>
          <w:szCs w:val="17"/>
        </w:rPr>
        <w:t xml:space="preserve"> </w:t>
      </w:r>
      <w:r w:rsidR="00AD2884" w:rsidRPr="00AD2884">
        <w:rPr>
          <w:rFonts w:ascii="Arial" w:hAnsi="Arial" w:cs="Arial"/>
          <w:i w:val="0"/>
          <w:sz w:val="17"/>
          <w:szCs w:val="17"/>
        </w:rPr>
        <w:tab/>
      </w:r>
      <w:r w:rsidR="0011040C" w:rsidRPr="00AD2884">
        <w:rPr>
          <w:rFonts w:ascii="Arial" w:hAnsi="Arial" w:cs="Arial"/>
          <w:i w:val="0"/>
          <w:sz w:val="17"/>
          <w:szCs w:val="17"/>
        </w:rPr>
        <w:t>Includes both policy and parameter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61AE" w14:textId="77777777" w:rsidR="00343106" w:rsidRPr="00665F94" w:rsidRDefault="00343106" w:rsidP="006D48F5">
    <w:pPr>
      <w:pBdr>
        <w:bottom w:val="single" w:sz="4" w:space="4" w:color="auto"/>
      </w:pBdr>
      <w:rPr>
        <w:rFonts w:ascii="Arial" w:eastAsia="Calibri" w:hAnsi="Arial" w:cs="Arial"/>
        <w:sz w:val="18"/>
        <w:szCs w:val="18"/>
      </w:rPr>
    </w:pPr>
    <w:r w:rsidRPr="00665F94">
      <w:rPr>
        <w:rFonts w:ascii="Arial" w:eastAsia="Calibri" w:hAnsi="Arial" w:cs="Arial"/>
        <w:sz w:val="18"/>
        <w:szCs w:val="18"/>
      </w:rPr>
      <w:t>Revenue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FB13" w14:textId="77777777" w:rsidR="00343106" w:rsidRPr="00665F94" w:rsidRDefault="00343106" w:rsidP="008A6479">
    <w:pPr>
      <w:pBdr>
        <w:bottom w:val="single" w:sz="4" w:space="4" w:color="auto"/>
      </w:pBdr>
      <w:jc w:val="right"/>
      <w:rPr>
        <w:rFonts w:ascii="Arial" w:eastAsia="Calibri" w:hAnsi="Arial" w:cs="Arial"/>
        <w:sz w:val="18"/>
        <w:szCs w:val="18"/>
      </w:rPr>
    </w:pPr>
    <w:r w:rsidRPr="00665F94">
      <w:rPr>
        <w:rFonts w:ascii="Arial" w:eastAsia="Calibri" w:hAnsi="Arial" w:cs="Arial"/>
        <w:sz w:val="18"/>
        <w:szCs w:val="18"/>
      </w:rPr>
      <w:t>Revenue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6413" w14:textId="77777777" w:rsidR="002C3CAC" w:rsidRDefault="002C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AF0"/>
    <w:multiLevelType w:val="hybridMultilevel"/>
    <w:tmpl w:val="2A0A2962"/>
    <w:lvl w:ilvl="0" w:tplc="050854E4">
      <w:start w:val="1"/>
      <w:numFmt w:val="decimal"/>
      <w:lvlText w:val="Box 5.%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96041A"/>
    <w:multiLevelType w:val="hybridMultilevel"/>
    <w:tmpl w:val="2C4A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3" w15:restartNumberingAfterBreak="0">
    <w:nsid w:val="06F63BC4"/>
    <w:multiLevelType w:val="hybridMultilevel"/>
    <w:tmpl w:val="E36E76AC"/>
    <w:lvl w:ilvl="0" w:tplc="19AEA8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E47F9"/>
    <w:multiLevelType w:val="hybridMultilevel"/>
    <w:tmpl w:val="5806340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A5428C"/>
    <w:multiLevelType w:val="hybridMultilevel"/>
    <w:tmpl w:val="4A6C714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D4100"/>
    <w:multiLevelType w:val="multilevel"/>
    <w:tmpl w:val="D4985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57355D"/>
    <w:multiLevelType w:val="multilevel"/>
    <w:tmpl w:val="BE38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42D33"/>
    <w:multiLevelType w:val="hybridMultilevel"/>
    <w:tmpl w:val="A63CD7BA"/>
    <w:lvl w:ilvl="0" w:tplc="652E2308">
      <w:start w:val="1"/>
      <w:numFmt w:val="bullet"/>
      <w:lvlText w:val=""/>
      <w:lvlJc w:val="left"/>
      <w:pPr>
        <w:ind w:left="794" w:hanging="22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7856019"/>
    <w:multiLevelType w:val="hybridMultilevel"/>
    <w:tmpl w:val="ABFC981E"/>
    <w:lvl w:ilvl="0" w:tplc="49CC783A">
      <w:start w:val="1"/>
      <w:numFmt w:val="bullet"/>
      <w:lvlText w:val="•"/>
      <w:lvlJc w:val="left"/>
      <w:pPr>
        <w:ind w:left="502" w:hanging="360"/>
      </w:pPr>
      <w:rPr>
        <w:rFonts w:ascii="Arial" w:hAnsi="Arial" w:hint="default"/>
        <w:color w:val="0A7C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07F9B"/>
    <w:multiLevelType w:val="hybridMultilevel"/>
    <w:tmpl w:val="4FB681E4"/>
    <w:lvl w:ilvl="0" w:tplc="BD76E2B2">
      <w:start w:val="1"/>
      <w:numFmt w:val="decimal"/>
      <w:lvlText w:val="Table 5.%1:"/>
      <w:lvlJc w:val="left"/>
      <w:pPr>
        <w:ind w:left="360" w:hanging="360"/>
      </w:pPr>
      <w:rPr>
        <w:rFonts w:ascii="Arial" w:hAnsi="Arial" w:hint="default"/>
        <w:b w:val="0"/>
        <w:i/>
        <w:caps w:val="0"/>
        <w:color w:val="4F4F4F"/>
        <w:sz w:val="22"/>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2D09CA"/>
    <w:multiLevelType w:val="hybridMultilevel"/>
    <w:tmpl w:val="0D12EF80"/>
    <w:lvl w:ilvl="0" w:tplc="4D540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2E7EF6"/>
    <w:multiLevelType w:val="hybridMultilevel"/>
    <w:tmpl w:val="0D12EF80"/>
    <w:lvl w:ilvl="0" w:tplc="4D540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9528D8"/>
    <w:multiLevelType w:val="hybridMultilevel"/>
    <w:tmpl w:val="415A6B26"/>
    <w:lvl w:ilvl="0" w:tplc="8D5CAA14">
      <w:start w:val="1"/>
      <w:numFmt w:val="decimal"/>
      <w:lvlText w:val="Chart 5.%1:"/>
      <w:lvlJc w:val="left"/>
      <w:pPr>
        <w:ind w:left="1494"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55888"/>
    <w:multiLevelType w:val="hybridMultilevel"/>
    <w:tmpl w:val="15FCDF06"/>
    <w:lvl w:ilvl="0" w:tplc="B3D81286">
      <w:start w:val="1"/>
      <w:numFmt w:val="decimal"/>
      <w:pStyle w:val="Table4X"/>
      <w:lvlText w:val="Table 4.%1:"/>
      <w:lvlJc w:val="left"/>
      <w:pPr>
        <w:ind w:left="720" w:hanging="72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14A70"/>
    <w:multiLevelType w:val="hybridMultilevel"/>
    <w:tmpl w:val="C3703936"/>
    <w:lvl w:ilvl="0" w:tplc="C11CC9B2">
      <w:start w:val="1"/>
      <w:numFmt w:val="decimal"/>
      <w:lvlText w:val="Box 4.%1:"/>
      <w:lvlJc w:val="left"/>
      <w:pPr>
        <w:ind w:left="720" w:hanging="360"/>
      </w:pPr>
      <w:rPr>
        <w:rFonts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CE2EB1"/>
    <w:multiLevelType w:val="hybridMultilevel"/>
    <w:tmpl w:val="CC1A9DD2"/>
    <w:lvl w:ilvl="0" w:tplc="3FCCF5CE">
      <w:start w:val="1"/>
      <w:numFmt w:val="decimal"/>
      <w:pStyle w:val="Heading2"/>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pStyle w:val="Heading3"/>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pStyle w:val="Heading7"/>
      <w:lvlText w:val="%7."/>
      <w:lvlJc w:val="left"/>
      <w:pPr>
        <w:ind w:left="5040" w:hanging="360"/>
      </w:pPr>
    </w:lvl>
    <w:lvl w:ilvl="7" w:tplc="0C090019" w:tentative="1">
      <w:start w:val="1"/>
      <w:numFmt w:val="lowerLetter"/>
      <w:pStyle w:val="Heading8"/>
      <w:lvlText w:val="%8."/>
      <w:lvlJc w:val="left"/>
      <w:pPr>
        <w:ind w:left="5760" w:hanging="360"/>
      </w:pPr>
    </w:lvl>
    <w:lvl w:ilvl="8" w:tplc="0C09001B" w:tentative="1">
      <w:start w:val="1"/>
      <w:numFmt w:val="lowerRoman"/>
      <w:pStyle w:val="Heading9"/>
      <w:lvlText w:val="%9."/>
      <w:lvlJc w:val="right"/>
      <w:pPr>
        <w:ind w:left="6480" w:hanging="180"/>
      </w:pPr>
    </w:lvl>
  </w:abstractNum>
  <w:abstractNum w:abstractNumId="18"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19" w15:restartNumberingAfterBreak="0">
    <w:nsid w:val="3F61233F"/>
    <w:multiLevelType w:val="hybridMultilevel"/>
    <w:tmpl w:val="E6E0DA5C"/>
    <w:lvl w:ilvl="0" w:tplc="94BA14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FEA40C3"/>
    <w:multiLevelType w:val="hybridMultilevel"/>
    <w:tmpl w:val="59C423B6"/>
    <w:lvl w:ilvl="0" w:tplc="05C83B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640BBC"/>
    <w:multiLevelType w:val="hybridMultilevel"/>
    <w:tmpl w:val="BE684D68"/>
    <w:lvl w:ilvl="0" w:tplc="6DC0DE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551001"/>
    <w:multiLevelType w:val="hybridMultilevel"/>
    <w:tmpl w:val="7534B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6D523E5"/>
    <w:multiLevelType w:val="hybridMultilevel"/>
    <w:tmpl w:val="A22AB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1379F1"/>
    <w:multiLevelType w:val="hybridMultilevel"/>
    <w:tmpl w:val="E9A86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6B7357"/>
    <w:multiLevelType w:val="hybridMultilevel"/>
    <w:tmpl w:val="8F50861C"/>
    <w:lvl w:ilvl="0" w:tplc="CB0C1E52">
      <w:start w:val="1"/>
      <w:numFmt w:val="decimal"/>
      <w:lvlText w:val="Table 5.%1:"/>
      <w:lvlJc w:val="left"/>
      <w:pPr>
        <w:ind w:left="72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CF7BCB"/>
    <w:multiLevelType w:val="hybridMultilevel"/>
    <w:tmpl w:val="ED825010"/>
    <w:lvl w:ilvl="0" w:tplc="06F2E66A">
      <w:start w:val="1"/>
      <w:numFmt w:val="decimal"/>
      <w:lvlText w:val="5.%1"/>
      <w:lvlJc w:val="left"/>
      <w:pPr>
        <w:ind w:left="643" w:hanging="360"/>
      </w:pPr>
      <w:rPr>
        <w:rFonts w:ascii="Arial Bold" w:hAnsi="Arial Bold" w:hint="default"/>
        <w:b/>
        <w:i w:val="0"/>
        <w:caps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3910D0"/>
    <w:multiLevelType w:val="hybridMultilevel"/>
    <w:tmpl w:val="6016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447D0D"/>
    <w:multiLevelType w:val="hybridMultilevel"/>
    <w:tmpl w:val="66B47746"/>
    <w:lvl w:ilvl="0" w:tplc="764CB502">
      <w:start w:val="1"/>
      <w:numFmt w:val="decimal"/>
      <w:lvlText w:val="4.%1"/>
      <w:lvlJc w:val="left"/>
      <w:pPr>
        <w:ind w:left="720" w:hanging="360"/>
      </w:pPr>
      <w:rPr>
        <w:rFonts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C0C1A"/>
    <w:multiLevelType w:val="multilevel"/>
    <w:tmpl w:val="0854F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9768B2"/>
    <w:multiLevelType w:val="hybridMultilevel"/>
    <w:tmpl w:val="DCF07402"/>
    <w:lvl w:ilvl="0" w:tplc="F7E22098">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3B1261"/>
    <w:multiLevelType w:val="hybridMultilevel"/>
    <w:tmpl w:val="603A078E"/>
    <w:lvl w:ilvl="0" w:tplc="2006C896">
      <w:start w:val="1"/>
      <w:numFmt w:val="bullet"/>
      <w:pStyle w:val="Bullet1inabox"/>
      <w:lvlText w:val=""/>
      <w:lvlJc w:val="left"/>
      <w:pPr>
        <w:ind w:left="794" w:hanging="51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57B90CBF"/>
    <w:multiLevelType w:val="hybridMultilevel"/>
    <w:tmpl w:val="D63672F2"/>
    <w:lvl w:ilvl="0" w:tplc="94BA14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B522501"/>
    <w:multiLevelType w:val="hybridMultilevel"/>
    <w:tmpl w:val="C4A4616A"/>
    <w:lvl w:ilvl="0" w:tplc="9828B454">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D5F01"/>
    <w:multiLevelType w:val="hybridMultilevel"/>
    <w:tmpl w:val="91586344"/>
    <w:lvl w:ilvl="0" w:tplc="AEC89A66">
      <w:start w:val="1"/>
      <w:numFmt w:val="decimal"/>
      <w:pStyle w:val="Box51BoxHeading"/>
      <w:lvlText w:val="Box 4.%1:"/>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7F43D2A"/>
    <w:multiLevelType w:val="hybridMultilevel"/>
    <w:tmpl w:val="6944A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8846F1A"/>
    <w:multiLevelType w:val="hybridMultilevel"/>
    <w:tmpl w:val="CE948918"/>
    <w:lvl w:ilvl="0" w:tplc="E496D01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AE812FE"/>
    <w:multiLevelType w:val="hybridMultilevel"/>
    <w:tmpl w:val="5F585070"/>
    <w:lvl w:ilvl="0" w:tplc="4BBCE72E">
      <w:start w:val="1"/>
      <w:numFmt w:val="bullet"/>
      <w:pStyle w:val="Bulletrecommendtex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7F5B7E"/>
    <w:multiLevelType w:val="hybridMultilevel"/>
    <w:tmpl w:val="76B697F6"/>
    <w:lvl w:ilvl="0" w:tplc="7D2EC52C">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E1539"/>
    <w:multiLevelType w:val="hybridMultilevel"/>
    <w:tmpl w:val="16D8C1D0"/>
    <w:lvl w:ilvl="0" w:tplc="F0EC32FC">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1A1949"/>
    <w:multiLevelType w:val="hybridMultilevel"/>
    <w:tmpl w:val="7DFE196C"/>
    <w:lvl w:ilvl="0" w:tplc="76809DFA">
      <w:start w:val="1"/>
      <w:numFmt w:val="decimal"/>
      <w:pStyle w:val="Chart41"/>
      <w:lvlText w:val="Chart 4.%1:"/>
      <w:lvlJc w:val="left"/>
      <w:pPr>
        <w:ind w:left="36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D75283"/>
    <w:multiLevelType w:val="multilevel"/>
    <w:tmpl w:val="2CD4340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C0514F4"/>
    <w:multiLevelType w:val="hybridMultilevel"/>
    <w:tmpl w:val="85AA49F4"/>
    <w:lvl w:ilvl="0" w:tplc="68D64CEC">
      <w:start w:val="1"/>
      <w:numFmt w:val="lowerLetter"/>
      <w:lvlText w:val="(%1)"/>
      <w:lvlJc w:val="left"/>
      <w:pPr>
        <w:ind w:left="360" w:hanging="360"/>
      </w:pPr>
      <w:rPr>
        <w:rFonts w:hint="default"/>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0"/>
  </w:num>
  <w:num w:numId="2">
    <w:abstractNumId w:val="34"/>
  </w:num>
  <w:num w:numId="3">
    <w:abstractNumId w:val="10"/>
  </w:num>
  <w:num w:numId="4">
    <w:abstractNumId w:val="29"/>
  </w:num>
  <w:num w:numId="5">
    <w:abstractNumId w:val="2"/>
  </w:num>
  <w:num w:numId="6">
    <w:abstractNumId w:val="18"/>
  </w:num>
  <w:num w:numId="7">
    <w:abstractNumId w:val="6"/>
  </w:num>
  <w:num w:numId="8">
    <w:abstractNumId w:val="11"/>
  </w:num>
  <w:num w:numId="9">
    <w:abstractNumId w:val="14"/>
  </w:num>
  <w:num w:numId="10">
    <w:abstractNumId w:val="25"/>
  </w:num>
  <w:num w:numId="11">
    <w:abstractNumId w:val="26"/>
  </w:num>
  <w:num w:numId="12">
    <w:abstractNumId w:val="38"/>
  </w:num>
  <w:num w:numId="13">
    <w:abstractNumId w:val="22"/>
  </w:num>
  <w:num w:numId="14">
    <w:abstractNumId w:val="36"/>
  </w:num>
  <w:num w:numId="15">
    <w:abstractNumId w:val="10"/>
  </w:num>
  <w:num w:numId="16">
    <w:abstractNumId w:val="10"/>
  </w:num>
  <w:num w:numId="17">
    <w:abstractNumId w:val="10"/>
  </w:num>
  <w:num w:numId="18">
    <w:abstractNumId w:val="10"/>
  </w:num>
  <w:num w:numId="19">
    <w:abstractNumId w:val="3"/>
  </w:num>
  <w:num w:numId="20">
    <w:abstractNumId w:val="5"/>
  </w:num>
  <w:num w:numId="21">
    <w:abstractNumId w:val="31"/>
  </w:num>
  <w:num w:numId="22">
    <w:abstractNumId w:val="43"/>
  </w:num>
  <w:num w:numId="23">
    <w:abstractNumId w:val="33"/>
  </w:num>
  <w:num w:numId="24">
    <w:abstractNumId w:val="37"/>
  </w:num>
  <w:num w:numId="25">
    <w:abstractNumId w:val="4"/>
  </w:num>
  <w:num w:numId="26">
    <w:abstractNumId w:val="1"/>
  </w:num>
  <w:num w:numId="27">
    <w:abstractNumId w:val="19"/>
  </w:num>
  <w:num w:numId="28">
    <w:abstractNumId w:val="20"/>
  </w:num>
  <w:num w:numId="29">
    <w:abstractNumId w:val="27"/>
  </w:num>
  <w:num w:numId="30">
    <w:abstractNumId w:val="40"/>
  </w:num>
  <w:num w:numId="31">
    <w:abstractNumId w:val="8"/>
  </w:num>
  <w:num w:numId="32">
    <w:abstractNumId w:val="7"/>
  </w:num>
  <w:num w:numId="33">
    <w:abstractNumId w:val="11"/>
  </w:num>
  <w:num w:numId="34">
    <w:abstractNumId w:val="37"/>
  </w:num>
  <w:num w:numId="35">
    <w:abstractNumId w:val="37"/>
  </w:num>
  <w:num w:numId="36">
    <w:abstractNumId w:val="9"/>
  </w:num>
  <w:num w:numId="37">
    <w:abstractNumId w:val="32"/>
  </w:num>
  <w:num w:numId="38">
    <w:abstractNumId w:val="0"/>
  </w:num>
  <w:num w:numId="39">
    <w:abstractNumId w:val="0"/>
  </w:num>
  <w:num w:numId="40">
    <w:abstractNumId w:val="0"/>
  </w:num>
  <w:num w:numId="41">
    <w:abstractNumId w:val="0"/>
  </w:num>
  <w:num w:numId="42">
    <w:abstractNumId w:val="0"/>
  </w:num>
  <w:num w:numId="43">
    <w:abstractNumId w:val="21"/>
  </w:num>
  <w:num w:numId="44">
    <w:abstractNumId w:val="28"/>
  </w:num>
  <w:num w:numId="45">
    <w:abstractNumId w:val="15"/>
  </w:num>
  <w:num w:numId="46">
    <w:abstractNumId w:val="41"/>
  </w:num>
  <w:num w:numId="47">
    <w:abstractNumId w:val="16"/>
  </w:num>
  <w:num w:numId="48">
    <w:abstractNumId w:val="35"/>
  </w:num>
  <w:num w:numId="49">
    <w:abstractNumId w:val="42"/>
  </w:num>
  <w:num w:numId="50">
    <w:abstractNumId w:val="23"/>
  </w:num>
  <w:num w:numId="51">
    <w:abstractNumId w:val="39"/>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5"/>
  </w:num>
  <w:num w:numId="66">
    <w:abstractNumId w:val="15"/>
  </w:num>
  <w:num w:numId="67">
    <w:abstractNumId w:val="15"/>
  </w:num>
  <w:num w:numId="68">
    <w:abstractNumId w:val="15"/>
    <w:lvlOverride w:ilvl="0">
      <w:lvl w:ilvl="0" w:tplc="B3D81286">
        <w:start w:val="1"/>
        <w:numFmt w:val="decimal"/>
        <w:pStyle w:val="Table4X"/>
        <w:lvlText w:val="Table 4.%1:"/>
        <w:lvlJc w:val="left"/>
        <w:pPr>
          <w:ind w:left="720" w:hanging="720"/>
        </w:pPr>
        <w:rPr>
          <w:rFonts w:ascii="Arial" w:hAnsi="Arial" w:hint="default"/>
          <w:b w:val="0"/>
          <w:i/>
          <w:caps w:val="0"/>
          <w:color w:val="4F4F4F"/>
          <w:sz w:val="22"/>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69">
    <w:abstractNumId w:val="15"/>
    <w:lvlOverride w:ilvl="0">
      <w:lvl w:ilvl="0" w:tplc="B3D81286">
        <w:start w:val="1"/>
        <w:numFmt w:val="decimal"/>
        <w:pStyle w:val="Table4X"/>
        <w:lvlText w:val="Table 4.%1:"/>
        <w:lvlJc w:val="left"/>
        <w:pPr>
          <w:ind w:left="720" w:hanging="720"/>
        </w:pPr>
        <w:rPr>
          <w:rFonts w:ascii="Arial" w:hAnsi="Arial" w:hint="default"/>
          <w:b w:val="0"/>
          <w:i/>
          <w:caps w:val="0"/>
          <w:color w:val="4F4F4F"/>
          <w:sz w:val="22"/>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70">
    <w:abstractNumId w:val="13"/>
  </w:num>
  <w:num w:numId="71">
    <w:abstractNumId w:val="24"/>
  </w:num>
  <w:num w:numId="72">
    <w:abstractNumId w:val="12"/>
  </w:num>
  <w:num w:numId="73">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QUERY_LIST_4F35BF76-6C0D-4D9B-82B2-816C12CF3733" w:val="empty_477D106A-C0D6-4607-AEBD-E2C9D60EA279"/>
  </w:docVars>
  <w:rsids>
    <w:rsidRoot w:val="007563DF"/>
    <w:rsid w:val="00000109"/>
    <w:rsid w:val="000003AE"/>
    <w:rsid w:val="000003DA"/>
    <w:rsid w:val="00000659"/>
    <w:rsid w:val="0000075E"/>
    <w:rsid w:val="000008E7"/>
    <w:rsid w:val="00000BE0"/>
    <w:rsid w:val="00000D15"/>
    <w:rsid w:val="00000F3C"/>
    <w:rsid w:val="00001167"/>
    <w:rsid w:val="00001712"/>
    <w:rsid w:val="0000182B"/>
    <w:rsid w:val="000021F6"/>
    <w:rsid w:val="0000222F"/>
    <w:rsid w:val="000025F6"/>
    <w:rsid w:val="00002936"/>
    <w:rsid w:val="00002E50"/>
    <w:rsid w:val="0000376D"/>
    <w:rsid w:val="00003F68"/>
    <w:rsid w:val="00004024"/>
    <w:rsid w:val="0000415B"/>
    <w:rsid w:val="000042F0"/>
    <w:rsid w:val="0000432C"/>
    <w:rsid w:val="00004B31"/>
    <w:rsid w:val="00004D35"/>
    <w:rsid w:val="0000586D"/>
    <w:rsid w:val="00005971"/>
    <w:rsid w:val="00005CCF"/>
    <w:rsid w:val="00005E69"/>
    <w:rsid w:val="0000708B"/>
    <w:rsid w:val="000073F2"/>
    <w:rsid w:val="00007B3D"/>
    <w:rsid w:val="000105E3"/>
    <w:rsid w:val="000108EF"/>
    <w:rsid w:val="00010FB7"/>
    <w:rsid w:val="00011199"/>
    <w:rsid w:val="000112CB"/>
    <w:rsid w:val="000113AE"/>
    <w:rsid w:val="000116B6"/>
    <w:rsid w:val="0001193D"/>
    <w:rsid w:val="00011A07"/>
    <w:rsid w:val="000120FC"/>
    <w:rsid w:val="00012258"/>
    <w:rsid w:val="00012497"/>
    <w:rsid w:val="00013253"/>
    <w:rsid w:val="00013320"/>
    <w:rsid w:val="00013720"/>
    <w:rsid w:val="0001372A"/>
    <w:rsid w:val="00014214"/>
    <w:rsid w:val="00014853"/>
    <w:rsid w:val="0001490B"/>
    <w:rsid w:val="00014F67"/>
    <w:rsid w:val="00015106"/>
    <w:rsid w:val="0001528B"/>
    <w:rsid w:val="0001550F"/>
    <w:rsid w:val="0001559A"/>
    <w:rsid w:val="00015B53"/>
    <w:rsid w:val="00015DD2"/>
    <w:rsid w:val="0001610E"/>
    <w:rsid w:val="0001631C"/>
    <w:rsid w:val="000163A3"/>
    <w:rsid w:val="00016F48"/>
    <w:rsid w:val="000171EE"/>
    <w:rsid w:val="000176D5"/>
    <w:rsid w:val="00017963"/>
    <w:rsid w:val="000203F0"/>
    <w:rsid w:val="00020E99"/>
    <w:rsid w:val="0002142F"/>
    <w:rsid w:val="00021CB8"/>
    <w:rsid w:val="000223B4"/>
    <w:rsid w:val="00022DA8"/>
    <w:rsid w:val="00022FA5"/>
    <w:rsid w:val="00023754"/>
    <w:rsid w:val="0002428C"/>
    <w:rsid w:val="000242C2"/>
    <w:rsid w:val="0002438A"/>
    <w:rsid w:val="00024A18"/>
    <w:rsid w:val="00024B8B"/>
    <w:rsid w:val="00024BA7"/>
    <w:rsid w:val="00025BF2"/>
    <w:rsid w:val="000262C3"/>
    <w:rsid w:val="000263F2"/>
    <w:rsid w:val="000274B4"/>
    <w:rsid w:val="000278E2"/>
    <w:rsid w:val="00027C10"/>
    <w:rsid w:val="000309DE"/>
    <w:rsid w:val="00030B64"/>
    <w:rsid w:val="00031000"/>
    <w:rsid w:val="00031B7C"/>
    <w:rsid w:val="00031ED2"/>
    <w:rsid w:val="0003276C"/>
    <w:rsid w:val="000331D5"/>
    <w:rsid w:val="0003344D"/>
    <w:rsid w:val="00033484"/>
    <w:rsid w:val="00034310"/>
    <w:rsid w:val="00034600"/>
    <w:rsid w:val="00034DB8"/>
    <w:rsid w:val="000351D3"/>
    <w:rsid w:val="000351ED"/>
    <w:rsid w:val="00036065"/>
    <w:rsid w:val="00036070"/>
    <w:rsid w:val="000362DB"/>
    <w:rsid w:val="000367F5"/>
    <w:rsid w:val="00037FC8"/>
    <w:rsid w:val="00040427"/>
    <w:rsid w:val="000404BB"/>
    <w:rsid w:val="00040A98"/>
    <w:rsid w:val="00040C6D"/>
    <w:rsid w:val="000413D7"/>
    <w:rsid w:val="0004219D"/>
    <w:rsid w:val="000426CF"/>
    <w:rsid w:val="00042906"/>
    <w:rsid w:val="00042994"/>
    <w:rsid w:val="00043298"/>
    <w:rsid w:val="000432B2"/>
    <w:rsid w:val="00043374"/>
    <w:rsid w:val="00043892"/>
    <w:rsid w:val="00043CC9"/>
    <w:rsid w:val="00043D9E"/>
    <w:rsid w:val="00043F52"/>
    <w:rsid w:val="000440BE"/>
    <w:rsid w:val="00044125"/>
    <w:rsid w:val="000442C4"/>
    <w:rsid w:val="0004539D"/>
    <w:rsid w:val="00045697"/>
    <w:rsid w:val="00045AE2"/>
    <w:rsid w:val="00045B56"/>
    <w:rsid w:val="000466FA"/>
    <w:rsid w:val="00046CC2"/>
    <w:rsid w:val="00046E8B"/>
    <w:rsid w:val="0004729E"/>
    <w:rsid w:val="0004748B"/>
    <w:rsid w:val="0004758C"/>
    <w:rsid w:val="00047CCD"/>
    <w:rsid w:val="00047E6D"/>
    <w:rsid w:val="00050007"/>
    <w:rsid w:val="00050049"/>
    <w:rsid w:val="0005004B"/>
    <w:rsid w:val="00050083"/>
    <w:rsid w:val="000506FA"/>
    <w:rsid w:val="00050A84"/>
    <w:rsid w:val="00050E9F"/>
    <w:rsid w:val="000515BB"/>
    <w:rsid w:val="000517C4"/>
    <w:rsid w:val="00051979"/>
    <w:rsid w:val="00051A29"/>
    <w:rsid w:val="000529F4"/>
    <w:rsid w:val="00052ACC"/>
    <w:rsid w:val="0005306C"/>
    <w:rsid w:val="00053C0F"/>
    <w:rsid w:val="00054CFC"/>
    <w:rsid w:val="00054D24"/>
    <w:rsid w:val="00054F5C"/>
    <w:rsid w:val="000552B2"/>
    <w:rsid w:val="00055B6B"/>
    <w:rsid w:val="00055D45"/>
    <w:rsid w:val="00056342"/>
    <w:rsid w:val="00056947"/>
    <w:rsid w:val="00056C25"/>
    <w:rsid w:val="000574CA"/>
    <w:rsid w:val="000576DD"/>
    <w:rsid w:val="00057A78"/>
    <w:rsid w:val="00057CDB"/>
    <w:rsid w:val="00057D30"/>
    <w:rsid w:val="000606F6"/>
    <w:rsid w:val="0006075B"/>
    <w:rsid w:val="000608BD"/>
    <w:rsid w:val="00060E29"/>
    <w:rsid w:val="00060F66"/>
    <w:rsid w:val="000615DA"/>
    <w:rsid w:val="00061BAD"/>
    <w:rsid w:val="00061C3A"/>
    <w:rsid w:val="00062783"/>
    <w:rsid w:val="00062892"/>
    <w:rsid w:val="00062E99"/>
    <w:rsid w:val="000635AC"/>
    <w:rsid w:val="00063984"/>
    <w:rsid w:val="00063AC7"/>
    <w:rsid w:val="00064039"/>
    <w:rsid w:val="0006425D"/>
    <w:rsid w:val="000647A6"/>
    <w:rsid w:val="00064906"/>
    <w:rsid w:val="00064945"/>
    <w:rsid w:val="00064B65"/>
    <w:rsid w:val="00064C7C"/>
    <w:rsid w:val="00064E22"/>
    <w:rsid w:val="0006513F"/>
    <w:rsid w:val="000651AE"/>
    <w:rsid w:val="00065AFF"/>
    <w:rsid w:val="00065DC9"/>
    <w:rsid w:val="00066217"/>
    <w:rsid w:val="000664ED"/>
    <w:rsid w:val="00066734"/>
    <w:rsid w:val="0006690D"/>
    <w:rsid w:val="00067E6F"/>
    <w:rsid w:val="000700F0"/>
    <w:rsid w:val="0007048F"/>
    <w:rsid w:val="000705E2"/>
    <w:rsid w:val="0007060A"/>
    <w:rsid w:val="00071002"/>
    <w:rsid w:val="0007110D"/>
    <w:rsid w:val="000711B5"/>
    <w:rsid w:val="000715FE"/>
    <w:rsid w:val="000716D1"/>
    <w:rsid w:val="0007195D"/>
    <w:rsid w:val="000724DB"/>
    <w:rsid w:val="00072501"/>
    <w:rsid w:val="0007259A"/>
    <w:rsid w:val="000725C5"/>
    <w:rsid w:val="0007284D"/>
    <w:rsid w:val="000731D2"/>
    <w:rsid w:val="000734C2"/>
    <w:rsid w:val="000734F4"/>
    <w:rsid w:val="000737C8"/>
    <w:rsid w:val="00073D54"/>
    <w:rsid w:val="00073EF1"/>
    <w:rsid w:val="00074192"/>
    <w:rsid w:val="00074509"/>
    <w:rsid w:val="00074578"/>
    <w:rsid w:val="000745CA"/>
    <w:rsid w:val="000750F8"/>
    <w:rsid w:val="000753FA"/>
    <w:rsid w:val="00075D90"/>
    <w:rsid w:val="00075DC8"/>
    <w:rsid w:val="00075E6F"/>
    <w:rsid w:val="00075F1B"/>
    <w:rsid w:val="0007606F"/>
    <w:rsid w:val="000760D4"/>
    <w:rsid w:val="000761E3"/>
    <w:rsid w:val="00076CA8"/>
    <w:rsid w:val="000775BE"/>
    <w:rsid w:val="0007770D"/>
    <w:rsid w:val="0007796A"/>
    <w:rsid w:val="00080115"/>
    <w:rsid w:val="00080181"/>
    <w:rsid w:val="00080296"/>
    <w:rsid w:val="000808D8"/>
    <w:rsid w:val="00080E42"/>
    <w:rsid w:val="00080EFC"/>
    <w:rsid w:val="000811F2"/>
    <w:rsid w:val="000812B2"/>
    <w:rsid w:val="00081D76"/>
    <w:rsid w:val="00081F0D"/>
    <w:rsid w:val="000820AC"/>
    <w:rsid w:val="00082220"/>
    <w:rsid w:val="00082CF5"/>
    <w:rsid w:val="00082E9B"/>
    <w:rsid w:val="00084855"/>
    <w:rsid w:val="00084A3B"/>
    <w:rsid w:val="00084AB9"/>
    <w:rsid w:val="00085929"/>
    <w:rsid w:val="00085947"/>
    <w:rsid w:val="00085A99"/>
    <w:rsid w:val="0008672B"/>
    <w:rsid w:val="00086763"/>
    <w:rsid w:val="000868DE"/>
    <w:rsid w:val="0008737F"/>
    <w:rsid w:val="00087C73"/>
    <w:rsid w:val="000900C5"/>
    <w:rsid w:val="0009018D"/>
    <w:rsid w:val="00090405"/>
    <w:rsid w:val="0009057B"/>
    <w:rsid w:val="000907D5"/>
    <w:rsid w:val="000919D5"/>
    <w:rsid w:val="00091A05"/>
    <w:rsid w:val="00092028"/>
    <w:rsid w:val="00092703"/>
    <w:rsid w:val="00092D13"/>
    <w:rsid w:val="00093D35"/>
    <w:rsid w:val="000943B5"/>
    <w:rsid w:val="000947E2"/>
    <w:rsid w:val="00094896"/>
    <w:rsid w:val="00094E73"/>
    <w:rsid w:val="0009535B"/>
    <w:rsid w:val="00095980"/>
    <w:rsid w:val="00095C21"/>
    <w:rsid w:val="00096A02"/>
    <w:rsid w:val="00096E5C"/>
    <w:rsid w:val="0009723F"/>
    <w:rsid w:val="00097625"/>
    <w:rsid w:val="000976AA"/>
    <w:rsid w:val="00097CF2"/>
    <w:rsid w:val="000A0244"/>
    <w:rsid w:val="000A04E5"/>
    <w:rsid w:val="000A0615"/>
    <w:rsid w:val="000A06D6"/>
    <w:rsid w:val="000A0CFD"/>
    <w:rsid w:val="000A14CD"/>
    <w:rsid w:val="000A150F"/>
    <w:rsid w:val="000A1A49"/>
    <w:rsid w:val="000A1A6C"/>
    <w:rsid w:val="000A1B97"/>
    <w:rsid w:val="000A2B37"/>
    <w:rsid w:val="000A34F0"/>
    <w:rsid w:val="000A357C"/>
    <w:rsid w:val="000A35EA"/>
    <w:rsid w:val="000A3A5F"/>
    <w:rsid w:val="000A3CB5"/>
    <w:rsid w:val="000A4034"/>
    <w:rsid w:val="000A4085"/>
    <w:rsid w:val="000A40CB"/>
    <w:rsid w:val="000A4472"/>
    <w:rsid w:val="000A4845"/>
    <w:rsid w:val="000A49CF"/>
    <w:rsid w:val="000A4A50"/>
    <w:rsid w:val="000A4F64"/>
    <w:rsid w:val="000A50ED"/>
    <w:rsid w:val="000A71E0"/>
    <w:rsid w:val="000A732F"/>
    <w:rsid w:val="000A77CF"/>
    <w:rsid w:val="000A78E2"/>
    <w:rsid w:val="000A7BD5"/>
    <w:rsid w:val="000A7D3B"/>
    <w:rsid w:val="000A7F2F"/>
    <w:rsid w:val="000A7F42"/>
    <w:rsid w:val="000B0454"/>
    <w:rsid w:val="000B0890"/>
    <w:rsid w:val="000B0A78"/>
    <w:rsid w:val="000B16F6"/>
    <w:rsid w:val="000B25C1"/>
    <w:rsid w:val="000B29B4"/>
    <w:rsid w:val="000B2BA7"/>
    <w:rsid w:val="000B3526"/>
    <w:rsid w:val="000B355F"/>
    <w:rsid w:val="000B384D"/>
    <w:rsid w:val="000B3BEA"/>
    <w:rsid w:val="000B3BFF"/>
    <w:rsid w:val="000B3FD1"/>
    <w:rsid w:val="000B472A"/>
    <w:rsid w:val="000B4B7C"/>
    <w:rsid w:val="000B58D9"/>
    <w:rsid w:val="000B5960"/>
    <w:rsid w:val="000B5B4B"/>
    <w:rsid w:val="000B5CA3"/>
    <w:rsid w:val="000B6119"/>
    <w:rsid w:val="000B6AAD"/>
    <w:rsid w:val="000B6DC0"/>
    <w:rsid w:val="000B7497"/>
    <w:rsid w:val="000B778E"/>
    <w:rsid w:val="000C0534"/>
    <w:rsid w:val="000C0552"/>
    <w:rsid w:val="000C0666"/>
    <w:rsid w:val="000C0695"/>
    <w:rsid w:val="000C0BD4"/>
    <w:rsid w:val="000C0F0F"/>
    <w:rsid w:val="000C17A1"/>
    <w:rsid w:val="000C1867"/>
    <w:rsid w:val="000C190D"/>
    <w:rsid w:val="000C1C70"/>
    <w:rsid w:val="000C1F01"/>
    <w:rsid w:val="000C218B"/>
    <w:rsid w:val="000C2700"/>
    <w:rsid w:val="000C3029"/>
    <w:rsid w:val="000C34E9"/>
    <w:rsid w:val="000C3915"/>
    <w:rsid w:val="000C3A05"/>
    <w:rsid w:val="000C42FF"/>
    <w:rsid w:val="000C445A"/>
    <w:rsid w:val="000C4742"/>
    <w:rsid w:val="000C4CCC"/>
    <w:rsid w:val="000C4E13"/>
    <w:rsid w:val="000C5449"/>
    <w:rsid w:val="000C651D"/>
    <w:rsid w:val="000C68C3"/>
    <w:rsid w:val="000C6AA7"/>
    <w:rsid w:val="000C6EAA"/>
    <w:rsid w:val="000C70EB"/>
    <w:rsid w:val="000C76C7"/>
    <w:rsid w:val="000C7D08"/>
    <w:rsid w:val="000C7D42"/>
    <w:rsid w:val="000D0B98"/>
    <w:rsid w:val="000D0DF8"/>
    <w:rsid w:val="000D104D"/>
    <w:rsid w:val="000D1BA7"/>
    <w:rsid w:val="000D1BAA"/>
    <w:rsid w:val="000D2155"/>
    <w:rsid w:val="000D26A7"/>
    <w:rsid w:val="000D2858"/>
    <w:rsid w:val="000D289F"/>
    <w:rsid w:val="000D2A10"/>
    <w:rsid w:val="000D3170"/>
    <w:rsid w:val="000D3D42"/>
    <w:rsid w:val="000D3F35"/>
    <w:rsid w:val="000D441B"/>
    <w:rsid w:val="000D5838"/>
    <w:rsid w:val="000D58AA"/>
    <w:rsid w:val="000D59F5"/>
    <w:rsid w:val="000D5E8E"/>
    <w:rsid w:val="000D6950"/>
    <w:rsid w:val="000D6D50"/>
    <w:rsid w:val="000E02F8"/>
    <w:rsid w:val="000E0932"/>
    <w:rsid w:val="000E18C4"/>
    <w:rsid w:val="000E1BF6"/>
    <w:rsid w:val="000E230B"/>
    <w:rsid w:val="000E3090"/>
    <w:rsid w:val="000E316F"/>
    <w:rsid w:val="000E3638"/>
    <w:rsid w:val="000E387E"/>
    <w:rsid w:val="000E39B3"/>
    <w:rsid w:val="000E3EF6"/>
    <w:rsid w:val="000E452D"/>
    <w:rsid w:val="000E4BFD"/>
    <w:rsid w:val="000E4E03"/>
    <w:rsid w:val="000E4F1A"/>
    <w:rsid w:val="000E54BC"/>
    <w:rsid w:val="000E5613"/>
    <w:rsid w:val="000E5D8E"/>
    <w:rsid w:val="000E5FFD"/>
    <w:rsid w:val="000E631A"/>
    <w:rsid w:val="000E7009"/>
    <w:rsid w:val="000E726C"/>
    <w:rsid w:val="000E7E4E"/>
    <w:rsid w:val="000E7FFD"/>
    <w:rsid w:val="000F00A1"/>
    <w:rsid w:val="000F0131"/>
    <w:rsid w:val="000F05C9"/>
    <w:rsid w:val="000F0B07"/>
    <w:rsid w:val="000F0E4D"/>
    <w:rsid w:val="000F119F"/>
    <w:rsid w:val="000F1AE7"/>
    <w:rsid w:val="000F1FDF"/>
    <w:rsid w:val="000F21A4"/>
    <w:rsid w:val="000F2641"/>
    <w:rsid w:val="000F2D93"/>
    <w:rsid w:val="000F315A"/>
    <w:rsid w:val="000F34FD"/>
    <w:rsid w:val="000F357E"/>
    <w:rsid w:val="000F3DCF"/>
    <w:rsid w:val="000F4BFA"/>
    <w:rsid w:val="000F4EBA"/>
    <w:rsid w:val="000F50F3"/>
    <w:rsid w:val="000F5245"/>
    <w:rsid w:val="000F5544"/>
    <w:rsid w:val="000F57AB"/>
    <w:rsid w:val="000F6471"/>
    <w:rsid w:val="000F6B4E"/>
    <w:rsid w:val="000F743D"/>
    <w:rsid w:val="000F74F3"/>
    <w:rsid w:val="000F7E61"/>
    <w:rsid w:val="000F7F16"/>
    <w:rsid w:val="0010004C"/>
    <w:rsid w:val="00100768"/>
    <w:rsid w:val="00100845"/>
    <w:rsid w:val="00100B1D"/>
    <w:rsid w:val="00100F1A"/>
    <w:rsid w:val="00101438"/>
    <w:rsid w:val="00101583"/>
    <w:rsid w:val="00101989"/>
    <w:rsid w:val="00101D3D"/>
    <w:rsid w:val="00102246"/>
    <w:rsid w:val="0010270A"/>
    <w:rsid w:val="00102814"/>
    <w:rsid w:val="00102C52"/>
    <w:rsid w:val="00102D25"/>
    <w:rsid w:val="001033DA"/>
    <w:rsid w:val="001039A0"/>
    <w:rsid w:val="00103B14"/>
    <w:rsid w:val="00103CFE"/>
    <w:rsid w:val="00103D05"/>
    <w:rsid w:val="00104007"/>
    <w:rsid w:val="0010408A"/>
    <w:rsid w:val="00104398"/>
    <w:rsid w:val="00105566"/>
    <w:rsid w:val="00105586"/>
    <w:rsid w:val="00105900"/>
    <w:rsid w:val="00105EE8"/>
    <w:rsid w:val="0010604C"/>
    <w:rsid w:val="00106644"/>
    <w:rsid w:val="00106826"/>
    <w:rsid w:val="00106B26"/>
    <w:rsid w:val="00107471"/>
    <w:rsid w:val="001074E7"/>
    <w:rsid w:val="00107903"/>
    <w:rsid w:val="0011040C"/>
    <w:rsid w:val="0011069F"/>
    <w:rsid w:val="001108AC"/>
    <w:rsid w:val="00110F86"/>
    <w:rsid w:val="00111347"/>
    <w:rsid w:val="001114EB"/>
    <w:rsid w:val="001117A0"/>
    <w:rsid w:val="00111968"/>
    <w:rsid w:val="001124B6"/>
    <w:rsid w:val="0011270D"/>
    <w:rsid w:val="00112731"/>
    <w:rsid w:val="00112821"/>
    <w:rsid w:val="001128F3"/>
    <w:rsid w:val="00112FB8"/>
    <w:rsid w:val="00112FD4"/>
    <w:rsid w:val="00113581"/>
    <w:rsid w:val="00113D86"/>
    <w:rsid w:val="00114154"/>
    <w:rsid w:val="001144AA"/>
    <w:rsid w:val="00114CC8"/>
    <w:rsid w:val="00114D6D"/>
    <w:rsid w:val="00114D95"/>
    <w:rsid w:val="00115538"/>
    <w:rsid w:val="001159FD"/>
    <w:rsid w:val="00115C1C"/>
    <w:rsid w:val="0011636D"/>
    <w:rsid w:val="00117463"/>
    <w:rsid w:val="0011753E"/>
    <w:rsid w:val="00117675"/>
    <w:rsid w:val="00117758"/>
    <w:rsid w:val="001177A8"/>
    <w:rsid w:val="001201D1"/>
    <w:rsid w:val="00120608"/>
    <w:rsid w:val="0012069B"/>
    <w:rsid w:val="00120718"/>
    <w:rsid w:val="00121201"/>
    <w:rsid w:val="0012127B"/>
    <w:rsid w:val="001215E0"/>
    <w:rsid w:val="00121938"/>
    <w:rsid w:val="00121C35"/>
    <w:rsid w:val="00121C8D"/>
    <w:rsid w:val="00121EE4"/>
    <w:rsid w:val="00121F42"/>
    <w:rsid w:val="001223F4"/>
    <w:rsid w:val="001224C0"/>
    <w:rsid w:val="0012284B"/>
    <w:rsid w:val="00122F82"/>
    <w:rsid w:val="001238DA"/>
    <w:rsid w:val="00123F45"/>
    <w:rsid w:val="0012444F"/>
    <w:rsid w:val="00124584"/>
    <w:rsid w:val="001246D0"/>
    <w:rsid w:val="00124A66"/>
    <w:rsid w:val="00124C0A"/>
    <w:rsid w:val="00124C0E"/>
    <w:rsid w:val="00125AF1"/>
    <w:rsid w:val="00126304"/>
    <w:rsid w:val="001265DB"/>
    <w:rsid w:val="00126873"/>
    <w:rsid w:val="00126B01"/>
    <w:rsid w:val="00126ED2"/>
    <w:rsid w:val="00127384"/>
    <w:rsid w:val="00127D81"/>
    <w:rsid w:val="00127EE0"/>
    <w:rsid w:val="00130493"/>
    <w:rsid w:val="00130498"/>
    <w:rsid w:val="0013058B"/>
    <w:rsid w:val="00130992"/>
    <w:rsid w:val="00130B34"/>
    <w:rsid w:val="00130B5E"/>
    <w:rsid w:val="001315E7"/>
    <w:rsid w:val="001317B7"/>
    <w:rsid w:val="00131A12"/>
    <w:rsid w:val="00131C71"/>
    <w:rsid w:val="00131EB2"/>
    <w:rsid w:val="001327AA"/>
    <w:rsid w:val="00132E1D"/>
    <w:rsid w:val="001331BB"/>
    <w:rsid w:val="0013389A"/>
    <w:rsid w:val="00134ABB"/>
    <w:rsid w:val="00134DCB"/>
    <w:rsid w:val="00135C85"/>
    <w:rsid w:val="00136298"/>
    <w:rsid w:val="00136751"/>
    <w:rsid w:val="00136C3B"/>
    <w:rsid w:val="00136EC7"/>
    <w:rsid w:val="00137CD4"/>
    <w:rsid w:val="0014002F"/>
    <w:rsid w:val="001407C2"/>
    <w:rsid w:val="001408A2"/>
    <w:rsid w:val="00140C70"/>
    <w:rsid w:val="00140F6D"/>
    <w:rsid w:val="00140FAE"/>
    <w:rsid w:val="001412AC"/>
    <w:rsid w:val="00141500"/>
    <w:rsid w:val="00141542"/>
    <w:rsid w:val="00141BDD"/>
    <w:rsid w:val="0014211C"/>
    <w:rsid w:val="00142222"/>
    <w:rsid w:val="001423FF"/>
    <w:rsid w:val="001442FD"/>
    <w:rsid w:val="001443E6"/>
    <w:rsid w:val="00144593"/>
    <w:rsid w:val="00144CB1"/>
    <w:rsid w:val="00144FD2"/>
    <w:rsid w:val="00145032"/>
    <w:rsid w:val="00145F0E"/>
    <w:rsid w:val="00145FE3"/>
    <w:rsid w:val="0014687A"/>
    <w:rsid w:val="00146895"/>
    <w:rsid w:val="0014689D"/>
    <w:rsid w:val="00146DCA"/>
    <w:rsid w:val="00146E47"/>
    <w:rsid w:val="00146FDB"/>
    <w:rsid w:val="00147028"/>
    <w:rsid w:val="001472CB"/>
    <w:rsid w:val="00147719"/>
    <w:rsid w:val="001477EC"/>
    <w:rsid w:val="00150384"/>
    <w:rsid w:val="001512D5"/>
    <w:rsid w:val="00151C97"/>
    <w:rsid w:val="001526D9"/>
    <w:rsid w:val="00152D98"/>
    <w:rsid w:val="00152E7C"/>
    <w:rsid w:val="00152E83"/>
    <w:rsid w:val="0015356B"/>
    <w:rsid w:val="00153702"/>
    <w:rsid w:val="001539FD"/>
    <w:rsid w:val="00154037"/>
    <w:rsid w:val="00154910"/>
    <w:rsid w:val="00154F0A"/>
    <w:rsid w:val="001551F5"/>
    <w:rsid w:val="0015546A"/>
    <w:rsid w:val="00155AE8"/>
    <w:rsid w:val="00155C73"/>
    <w:rsid w:val="0015614C"/>
    <w:rsid w:val="00156357"/>
    <w:rsid w:val="00156374"/>
    <w:rsid w:val="00156501"/>
    <w:rsid w:val="001565BF"/>
    <w:rsid w:val="001575CE"/>
    <w:rsid w:val="00157972"/>
    <w:rsid w:val="00157A14"/>
    <w:rsid w:val="00157B29"/>
    <w:rsid w:val="00157B5D"/>
    <w:rsid w:val="00160C16"/>
    <w:rsid w:val="00160CF3"/>
    <w:rsid w:val="00161296"/>
    <w:rsid w:val="001614F6"/>
    <w:rsid w:val="001621E3"/>
    <w:rsid w:val="001624B7"/>
    <w:rsid w:val="0016292D"/>
    <w:rsid w:val="00162AC2"/>
    <w:rsid w:val="001636D5"/>
    <w:rsid w:val="00163B50"/>
    <w:rsid w:val="0016413D"/>
    <w:rsid w:val="00164485"/>
    <w:rsid w:val="001648DE"/>
    <w:rsid w:val="001648FB"/>
    <w:rsid w:val="001649FD"/>
    <w:rsid w:val="00164E0B"/>
    <w:rsid w:val="00165C0A"/>
    <w:rsid w:val="00165C3B"/>
    <w:rsid w:val="00166267"/>
    <w:rsid w:val="00166874"/>
    <w:rsid w:val="00167516"/>
    <w:rsid w:val="00167DE7"/>
    <w:rsid w:val="00170190"/>
    <w:rsid w:val="00170623"/>
    <w:rsid w:val="00170850"/>
    <w:rsid w:val="00170ED3"/>
    <w:rsid w:val="00171365"/>
    <w:rsid w:val="0017180B"/>
    <w:rsid w:val="0017195A"/>
    <w:rsid w:val="00171DF0"/>
    <w:rsid w:val="0017217B"/>
    <w:rsid w:val="00172245"/>
    <w:rsid w:val="001725CD"/>
    <w:rsid w:val="0017595B"/>
    <w:rsid w:val="001759C6"/>
    <w:rsid w:val="00176169"/>
    <w:rsid w:val="00176661"/>
    <w:rsid w:val="001766D4"/>
    <w:rsid w:val="0017720B"/>
    <w:rsid w:val="00177AC2"/>
    <w:rsid w:val="00180575"/>
    <w:rsid w:val="001808F3"/>
    <w:rsid w:val="00180ECB"/>
    <w:rsid w:val="00180FCC"/>
    <w:rsid w:val="0018122B"/>
    <w:rsid w:val="001813DC"/>
    <w:rsid w:val="00181C43"/>
    <w:rsid w:val="00182A5C"/>
    <w:rsid w:val="001835BF"/>
    <w:rsid w:val="0018361F"/>
    <w:rsid w:val="001839C9"/>
    <w:rsid w:val="00183A1E"/>
    <w:rsid w:val="00183B8F"/>
    <w:rsid w:val="00183BDA"/>
    <w:rsid w:val="0018406C"/>
    <w:rsid w:val="00184271"/>
    <w:rsid w:val="00184354"/>
    <w:rsid w:val="001844B7"/>
    <w:rsid w:val="0018464B"/>
    <w:rsid w:val="00184715"/>
    <w:rsid w:val="00184B56"/>
    <w:rsid w:val="00185895"/>
    <w:rsid w:val="00185938"/>
    <w:rsid w:val="00185F9C"/>
    <w:rsid w:val="00185F9F"/>
    <w:rsid w:val="001873C8"/>
    <w:rsid w:val="001875F5"/>
    <w:rsid w:val="0019002C"/>
    <w:rsid w:val="00190795"/>
    <w:rsid w:val="001908EA"/>
    <w:rsid w:val="001908F0"/>
    <w:rsid w:val="001912DA"/>
    <w:rsid w:val="00191464"/>
    <w:rsid w:val="001914A4"/>
    <w:rsid w:val="001917C0"/>
    <w:rsid w:val="0019192B"/>
    <w:rsid w:val="001926C6"/>
    <w:rsid w:val="00192CC3"/>
    <w:rsid w:val="00192D2F"/>
    <w:rsid w:val="00193090"/>
    <w:rsid w:val="00193234"/>
    <w:rsid w:val="00193333"/>
    <w:rsid w:val="00193E8D"/>
    <w:rsid w:val="00193F4C"/>
    <w:rsid w:val="001942E9"/>
    <w:rsid w:val="001946C9"/>
    <w:rsid w:val="00195602"/>
    <w:rsid w:val="00195652"/>
    <w:rsid w:val="0019569A"/>
    <w:rsid w:val="00195DD6"/>
    <w:rsid w:val="0019634C"/>
    <w:rsid w:val="00196946"/>
    <w:rsid w:val="00196B99"/>
    <w:rsid w:val="0019712A"/>
    <w:rsid w:val="0019767F"/>
    <w:rsid w:val="0019796E"/>
    <w:rsid w:val="001A096A"/>
    <w:rsid w:val="001A0B4D"/>
    <w:rsid w:val="001A12C8"/>
    <w:rsid w:val="001A1659"/>
    <w:rsid w:val="001A1788"/>
    <w:rsid w:val="001A1899"/>
    <w:rsid w:val="001A1D89"/>
    <w:rsid w:val="001A1D9A"/>
    <w:rsid w:val="001A1FB9"/>
    <w:rsid w:val="001A24E8"/>
    <w:rsid w:val="001A2697"/>
    <w:rsid w:val="001A2EC4"/>
    <w:rsid w:val="001A33E6"/>
    <w:rsid w:val="001A4177"/>
    <w:rsid w:val="001A4504"/>
    <w:rsid w:val="001A4AA1"/>
    <w:rsid w:val="001A5994"/>
    <w:rsid w:val="001A6FB3"/>
    <w:rsid w:val="001A7697"/>
    <w:rsid w:val="001A7803"/>
    <w:rsid w:val="001A7CBA"/>
    <w:rsid w:val="001A7E6A"/>
    <w:rsid w:val="001B031D"/>
    <w:rsid w:val="001B051F"/>
    <w:rsid w:val="001B0A78"/>
    <w:rsid w:val="001B0D86"/>
    <w:rsid w:val="001B12E5"/>
    <w:rsid w:val="001B13BA"/>
    <w:rsid w:val="001B1A50"/>
    <w:rsid w:val="001B2442"/>
    <w:rsid w:val="001B28AF"/>
    <w:rsid w:val="001B28F5"/>
    <w:rsid w:val="001B2C06"/>
    <w:rsid w:val="001B2C34"/>
    <w:rsid w:val="001B2CB0"/>
    <w:rsid w:val="001B325A"/>
    <w:rsid w:val="001B353C"/>
    <w:rsid w:val="001B3573"/>
    <w:rsid w:val="001B3D8C"/>
    <w:rsid w:val="001B3E8E"/>
    <w:rsid w:val="001B4C8F"/>
    <w:rsid w:val="001B50AF"/>
    <w:rsid w:val="001B6650"/>
    <w:rsid w:val="001B6F2D"/>
    <w:rsid w:val="001B782E"/>
    <w:rsid w:val="001B7E1C"/>
    <w:rsid w:val="001B7F9F"/>
    <w:rsid w:val="001C0032"/>
    <w:rsid w:val="001C0274"/>
    <w:rsid w:val="001C05BB"/>
    <w:rsid w:val="001C14B7"/>
    <w:rsid w:val="001C160B"/>
    <w:rsid w:val="001C1D50"/>
    <w:rsid w:val="001C20D4"/>
    <w:rsid w:val="001C21BC"/>
    <w:rsid w:val="001C28D7"/>
    <w:rsid w:val="001C2F53"/>
    <w:rsid w:val="001C3179"/>
    <w:rsid w:val="001C3DF4"/>
    <w:rsid w:val="001C4327"/>
    <w:rsid w:val="001C4441"/>
    <w:rsid w:val="001C451D"/>
    <w:rsid w:val="001C4D49"/>
    <w:rsid w:val="001C6699"/>
    <w:rsid w:val="001C695E"/>
    <w:rsid w:val="001C6AAE"/>
    <w:rsid w:val="001C6D50"/>
    <w:rsid w:val="001C6D84"/>
    <w:rsid w:val="001C6EE1"/>
    <w:rsid w:val="001C75E9"/>
    <w:rsid w:val="001C7710"/>
    <w:rsid w:val="001C7FEB"/>
    <w:rsid w:val="001D095F"/>
    <w:rsid w:val="001D0A36"/>
    <w:rsid w:val="001D0E77"/>
    <w:rsid w:val="001D10F2"/>
    <w:rsid w:val="001D1433"/>
    <w:rsid w:val="001D1968"/>
    <w:rsid w:val="001D1DF7"/>
    <w:rsid w:val="001D1FC5"/>
    <w:rsid w:val="001D20C2"/>
    <w:rsid w:val="001D251A"/>
    <w:rsid w:val="001D2614"/>
    <w:rsid w:val="001D2FD5"/>
    <w:rsid w:val="001D3CA5"/>
    <w:rsid w:val="001D3DBF"/>
    <w:rsid w:val="001D4963"/>
    <w:rsid w:val="001D4B5D"/>
    <w:rsid w:val="001D5266"/>
    <w:rsid w:val="001D584D"/>
    <w:rsid w:val="001D6637"/>
    <w:rsid w:val="001D676C"/>
    <w:rsid w:val="001D6A98"/>
    <w:rsid w:val="001D6C9F"/>
    <w:rsid w:val="001D6D78"/>
    <w:rsid w:val="001D6E55"/>
    <w:rsid w:val="001D7A29"/>
    <w:rsid w:val="001E03F8"/>
    <w:rsid w:val="001E0490"/>
    <w:rsid w:val="001E0734"/>
    <w:rsid w:val="001E123E"/>
    <w:rsid w:val="001E1611"/>
    <w:rsid w:val="001E1961"/>
    <w:rsid w:val="001E2053"/>
    <w:rsid w:val="001E2691"/>
    <w:rsid w:val="001E29DD"/>
    <w:rsid w:val="001E374C"/>
    <w:rsid w:val="001E401C"/>
    <w:rsid w:val="001E4670"/>
    <w:rsid w:val="001E4D63"/>
    <w:rsid w:val="001E5446"/>
    <w:rsid w:val="001E5486"/>
    <w:rsid w:val="001E5A2D"/>
    <w:rsid w:val="001E5DBF"/>
    <w:rsid w:val="001E6553"/>
    <w:rsid w:val="001E6672"/>
    <w:rsid w:val="001E6A49"/>
    <w:rsid w:val="001E6D0E"/>
    <w:rsid w:val="001E70EA"/>
    <w:rsid w:val="001E76BF"/>
    <w:rsid w:val="001E7B22"/>
    <w:rsid w:val="001F020E"/>
    <w:rsid w:val="001F061E"/>
    <w:rsid w:val="001F08F9"/>
    <w:rsid w:val="001F0F38"/>
    <w:rsid w:val="001F16E9"/>
    <w:rsid w:val="001F1A05"/>
    <w:rsid w:val="001F1D45"/>
    <w:rsid w:val="001F2060"/>
    <w:rsid w:val="001F2E6E"/>
    <w:rsid w:val="001F42B3"/>
    <w:rsid w:val="001F477A"/>
    <w:rsid w:val="001F5282"/>
    <w:rsid w:val="001F52EF"/>
    <w:rsid w:val="001F5DD9"/>
    <w:rsid w:val="001F6344"/>
    <w:rsid w:val="001F6860"/>
    <w:rsid w:val="001F6ED1"/>
    <w:rsid w:val="001F71C7"/>
    <w:rsid w:val="001F7387"/>
    <w:rsid w:val="001F7868"/>
    <w:rsid w:val="001F7BBF"/>
    <w:rsid w:val="001F7CCE"/>
    <w:rsid w:val="001F7DF0"/>
    <w:rsid w:val="002017E1"/>
    <w:rsid w:val="00201EA1"/>
    <w:rsid w:val="002021CC"/>
    <w:rsid w:val="002026BA"/>
    <w:rsid w:val="002027FF"/>
    <w:rsid w:val="002028F7"/>
    <w:rsid w:val="0020308C"/>
    <w:rsid w:val="00204654"/>
    <w:rsid w:val="00204844"/>
    <w:rsid w:val="002048D5"/>
    <w:rsid w:val="00204FA2"/>
    <w:rsid w:val="0020595C"/>
    <w:rsid w:val="00205DF0"/>
    <w:rsid w:val="00205E5D"/>
    <w:rsid w:val="0020622C"/>
    <w:rsid w:val="00206F2A"/>
    <w:rsid w:val="0021081F"/>
    <w:rsid w:val="00211098"/>
    <w:rsid w:val="002117A1"/>
    <w:rsid w:val="002117E5"/>
    <w:rsid w:val="00212A75"/>
    <w:rsid w:val="00212B72"/>
    <w:rsid w:val="00212C2E"/>
    <w:rsid w:val="00212CBC"/>
    <w:rsid w:val="0021325A"/>
    <w:rsid w:val="00213524"/>
    <w:rsid w:val="00213618"/>
    <w:rsid w:val="00214491"/>
    <w:rsid w:val="0021518C"/>
    <w:rsid w:val="002155E7"/>
    <w:rsid w:val="00215721"/>
    <w:rsid w:val="00215812"/>
    <w:rsid w:val="002158BB"/>
    <w:rsid w:val="00215AC5"/>
    <w:rsid w:val="00215C03"/>
    <w:rsid w:val="00216B3B"/>
    <w:rsid w:val="00216E2D"/>
    <w:rsid w:val="0021785F"/>
    <w:rsid w:val="002179F8"/>
    <w:rsid w:val="002203B0"/>
    <w:rsid w:val="002205A8"/>
    <w:rsid w:val="00220772"/>
    <w:rsid w:val="00220BCA"/>
    <w:rsid w:val="00220DFA"/>
    <w:rsid w:val="00220E66"/>
    <w:rsid w:val="002213BB"/>
    <w:rsid w:val="0022163C"/>
    <w:rsid w:val="00221753"/>
    <w:rsid w:val="00221851"/>
    <w:rsid w:val="002219B6"/>
    <w:rsid w:val="002220D4"/>
    <w:rsid w:val="00222B79"/>
    <w:rsid w:val="00223324"/>
    <w:rsid w:val="00224010"/>
    <w:rsid w:val="002240AF"/>
    <w:rsid w:val="002240C2"/>
    <w:rsid w:val="002242B1"/>
    <w:rsid w:val="0022504A"/>
    <w:rsid w:val="002251AB"/>
    <w:rsid w:val="00225CDC"/>
    <w:rsid w:val="00226043"/>
    <w:rsid w:val="002264E9"/>
    <w:rsid w:val="00226E39"/>
    <w:rsid w:val="00227665"/>
    <w:rsid w:val="00227814"/>
    <w:rsid w:val="00227897"/>
    <w:rsid w:val="002279CA"/>
    <w:rsid w:val="00227B1C"/>
    <w:rsid w:val="002300CA"/>
    <w:rsid w:val="002304BE"/>
    <w:rsid w:val="00230BC2"/>
    <w:rsid w:val="002315E7"/>
    <w:rsid w:val="002337DF"/>
    <w:rsid w:val="00233D88"/>
    <w:rsid w:val="0023525D"/>
    <w:rsid w:val="00235A51"/>
    <w:rsid w:val="00236027"/>
    <w:rsid w:val="002368F8"/>
    <w:rsid w:val="0023753B"/>
    <w:rsid w:val="002379E9"/>
    <w:rsid w:val="0024033C"/>
    <w:rsid w:val="0024060C"/>
    <w:rsid w:val="00240BFE"/>
    <w:rsid w:val="00240F3E"/>
    <w:rsid w:val="00241A38"/>
    <w:rsid w:val="00241BB4"/>
    <w:rsid w:val="002434EF"/>
    <w:rsid w:val="00244915"/>
    <w:rsid w:val="0024508A"/>
    <w:rsid w:val="0024519C"/>
    <w:rsid w:val="00245A60"/>
    <w:rsid w:val="00246189"/>
    <w:rsid w:val="00246C93"/>
    <w:rsid w:val="00246D54"/>
    <w:rsid w:val="00246D85"/>
    <w:rsid w:val="00246F31"/>
    <w:rsid w:val="00247176"/>
    <w:rsid w:val="0024745A"/>
    <w:rsid w:val="002477C1"/>
    <w:rsid w:val="00247C57"/>
    <w:rsid w:val="00250028"/>
    <w:rsid w:val="00250572"/>
    <w:rsid w:val="00251401"/>
    <w:rsid w:val="00251B8B"/>
    <w:rsid w:val="00251DFB"/>
    <w:rsid w:val="00252251"/>
    <w:rsid w:val="0025274E"/>
    <w:rsid w:val="00252A5E"/>
    <w:rsid w:val="00252CA8"/>
    <w:rsid w:val="00253621"/>
    <w:rsid w:val="00253E48"/>
    <w:rsid w:val="002548D4"/>
    <w:rsid w:val="002559FA"/>
    <w:rsid w:val="00255BA5"/>
    <w:rsid w:val="00255DD0"/>
    <w:rsid w:val="002563DD"/>
    <w:rsid w:val="0025681E"/>
    <w:rsid w:val="00256978"/>
    <w:rsid w:val="00256ECA"/>
    <w:rsid w:val="00256FDE"/>
    <w:rsid w:val="00257707"/>
    <w:rsid w:val="00257AAF"/>
    <w:rsid w:val="002602E8"/>
    <w:rsid w:val="00260432"/>
    <w:rsid w:val="002607B6"/>
    <w:rsid w:val="00260956"/>
    <w:rsid w:val="002612AB"/>
    <w:rsid w:val="00262222"/>
    <w:rsid w:val="00262396"/>
    <w:rsid w:val="0026273D"/>
    <w:rsid w:val="002628BD"/>
    <w:rsid w:val="002628FA"/>
    <w:rsid w:val="0026337E"/>
    <w:rsid w:val="0026347C"/>
    <w:rsid w:val="00263720"/>
    <w:rsid w:val="002638D9"/>
    <w:rsid w:val="00263EEA"/>
    <w:rsid w:val="0026414B"/>
    <w:rsid w:val="002643AE"/>
    <w:rsid w:val="00264569"/>
    <w:rsid w:val="00264AAA"/>
    <w:rsid w:val="00264F8D"/>
    <w:rsid w:val="00264FE5"/>
    <w:rsid w:val="00265109"/>
    <w:rsid w:val="0026536D"/>
    <w:rsid w:val="0026602F"/>
    <w:rsid w:val="002672B7"/>
    <w:rsid w:val="00267FB0"/>
    <w:rsid w:val="00270BDB"/>
    <w:rsid w:val="00270EC9"/>
    <w:rsid w:val="002714EC"/>
    <w:rsid w:val="00271586"/>
    <w:rsid w:val="00272029"/>
    <w:rsid w:val="0027209A"/>
    <w:rsid w:val="002722A0"/>
    <w:rsid w:val="00272C1D"/>
    <w:rsid w:val="00273261"/>
    <w:rsid w:val="00273841"/>
    <w:rsid w:val="002749CC"/>
    <w:rsid w:val="00274FAD"/>
    <w:rsid w:val="00274FE5"/>
    <w:rsid w:val="002750B2"/>
    <w:rsid w:val="00275190"/>
    <w:rsid w:val="00275871"/>
    <w:rsid w:val="00275962"/>
    <w:rsid w:val="00275BF4"/>
    <w:rsid w:val="00275D8F"/>
    <w:rsid w:val="00275D95"/>
    <w:rsid w:val="0027681B"/>
    <w:rsid w:val="00276B9E"/>
    <w:rsid w:val="00276C46"/>
    <w:rsid w:val="00277329"/>
    <w:rsid w:val="00277487"/>
    <w:rsid w:val="0027767B"/>
    <w:rsid w:val="002778DD"/>
    <w:rsid w:val="00280AA0"/>
    <w:rsid w:val="00280EA4"/>
    <w:rsid w:val="002812FA"/>
    <w:rsid w:val="00281AA5"/>
    <w:rsid w:val="00281E56"/>
    <w:rsid w:val="00282344"/>
    <w:rsid w:val="002826FF"/>
    <w:rsid w:val="00283A68"/>
    <w:rsid w:val="002843D2"/>
    <w:rsid w:val="002850D0"/>
    <w:rsid w:val="002854D2"/>
    <w:rsid w:val="002857C2"/>
    <w:rsid w:val="00285965"/>
    <w:rsid w:val="002866FE"/>
    <w:rsid w:val="00286F0F"/>
    <w:rsid w:val="002875B5"/>
    <w:rsid w:val="00287862"/>
    <w:rsid w:val="002908A9"/>
    <w:rsid w:val="00290BF3"/>
    <w:rsid w:val="00290DFB"/>
    <w:rsid w:val="00290F97"/>
    <w:rsid w:val="00291091"/>
    <w:rsid w:val="002910B9"/>
    <w:rsid w:val="00291847"/>
    <w:rsid w:val="00291907"/>
    <w:rsid w:val="00291CFD"/>
    <w:rsid w:val="00291EC9"/>
    <w:rsid w:val="002920B1"/>
    <w:rsid w:val="00292E6F"/>
    <w:rsid w:val="0029308B"/>
    <w:rsid w:val="002938D9"/>
    <w:rsid w:val="002939E8"/>
    <w:rsid w:val="00293B22"/>
    <w:rsid w:val="00293E45"/>
    <w:rsid w:val="00293F2A"/>
    <w:rsid w:val="002945ED"/>
    <w:rsid w:val="002948FC"/>
    <w:rsid w:val="00294C6F"/>
    <w:rsid w:val="002951E6"/>
    <w:rsid w:val="00295D9D"/>
    <w:rsid w:val="00295F36"/>
    <w:rsid w:val="00295F8E"/>
    <w:rsid w:val="002977C0"/>
    <w:rsid w:val="002A060F"/>
    <w:rsid w:val="002A0C82"/>
    <w:rsid w:val="002A0FF1"/>
    <w:rsid w:val="002A1E80"/>
    <w:rsid w:val="002A2361"/>
    <w:rsid w:val="002A27A2"/>
    <w:rsid w:val="002A2B78"/>
    <w:rsid w:val="002A2E2C"/>
    <w:rsid w:val="002A3228"/>
    <w:rsid w:val="002A34D4"/>
    <w:rsid w:val="002A369D"/>
    <w:rsid w:val="002A3F74"/>
    <w:rsid w:val="002A41BF"/>
    <w:rsid w:val="002A47E6"/>
    <w:rsid w:val="002A4ECB"/>
    <w:rsid w:val="002A56F1"/>
    <w:rsid w:val="002A5953"/>
    <w:rsid w:val="002A60E8"/>
    <w:rsid w:val="002A60F5"/>
    <w:rsid w:val="002A6420"/>
    <w:rsid w:val="002A6F5D"/>
    <w:rsid w:val="002A7029"/>
    <w:rsid w:val="002A72AD"/>
    <w:rsid w:val="002A73AB"/>
    <w:rsid w:val="002A75F7"/>
    <w:rsid w:val="002A7D18"/>
    <w:rsid w:val="002A7EDE"/>
    <w:rsid w:val="002B0784"/>
    <w:rsid w:val="002B0995"/>
    <w:rsid w:val="002B0DB5"/>
    <w:rsid w:val="002B1AF3"/>
    <w:rsid w:val="002B1D42"/>
    <w:rsid w:val="002B1ECF"/>
    <w:rsid w:val="002B1F2F"/>
    <w:rsid w:val="002B251C"/>
    <w:rsid w:val="002B263B"/>
    <w:rsid w:val="002B30F2"/>
    <w:rsid w:val="002B3A41"/>
    <w:rsid w:val="002B3DB3"/>
    <w:rsid w:val="002B417B"/>
    <w:rsid w:val="002B43C9"/>
    <w:rsid w:val="002B45ED"/>
    <w:rsid w:val="002B5C6F"/>
    <w:rsid w:val="002B5F69"/>
    <w:rsid w:val="002B6415"/>
    <w:rsid w:val="002B68D8"/>
    <w:rsid w:val="002B6DDF"/>
    <w:rsid w:val="002B6ED9"/>
    <w:rsid w:val="002B71D2"/>
    <w:rsid w:val="002B76C5"/>
    <w:rsid w:val="002B7EFD"/>
    <w:rsid w:val="002C0661"/>
    <w:rsid w:val="002C1417"/>
    <w:rsid w:val="002C275D"/>
    <w:rsid w:val="002C2EC0"/>
    <w:rsid w:val="002C33FD"/>
    <w:rsid w:val="002C38B2"/>
    <w:rsid w:val="002C39D3"/>
    <w:rsid w:val="002C3BB4"/>
    <w:rsid w:val="002C3CAC"/>
    <w:rsid w:val="002C3F04"/>
    <w:rsid w:val="002C3FD7"/>
    <w:rsid w:val="002C432B"/>
    <w:rsid w:val="002C470B"/>
    <w:rsid w:val="002C501A"/>
    <w:rsid w:val="002C5730"/>
    <w:rsid w:val="002C5BFC"/>
    <w:rsid w:val="002C6070"/>
    <w:rsid w:val="002C641A"/>
    <w:rsid w:val="002C66F0"/>
    <w:rsid w:val="002C69F6"/>
    <w:rsid w:val="002C7347"/>
    <w:rsid w:val="002D043E"/>
    <w:rsid w:val="002D08F1"/>
    <w:rsid w:val="002D0DD5"/>
    <w:rsid w:val="002D0E35"/>
    <w:rsid w:val="002D1777"/>
    <w:rsid w:val="002D253C"/>
    <w:rsid w:val="002D31C6"/>
    <w:rsid w:val="002D3671"/>
    <w:rsid w:val="002D3812"/>
    <w:rsid w:val="002D4133"/>
    <w:rsid w:val="002D4513"/>
    <w:rsid w:val="002D4E48"/>
    <w:rsid w:val="002D4FF7"/>
    <w:rsid w:val="002D506B"/>
    <w:rsid w:val="002D527E"/>
    <w:rsid w:val="002D5344"/>
    <w:rsid w:val="002D5C8C"/>
    <w:rsid w:val="002D6B7C"/>
    <w:rsid w:val="002D72C2"/>
    <w:rsid w:val="002D74E3"/>
    <w:rsid w:val="002D7B7F"/>
    <w:rsid w:val="002E06C1"/>
    <w:rsid w:val="002E088D"/>
    <w:rsid w:val="002E0A41"/>
    <w:rsid w:val="002E1065"/>
    <w:rsid w:val="002E1601"/>
    <w:rsid w:val="002E16CD"/>
    <w:rsid w:val="002E1BE4"/>
    <w:rsid w:val="002E1DBE"/>
    <w:rsid w:val="002E212A"/>
    <w:rsid w:val="002E22B2"/>
    <w:rsid w:val="002E24B2"/>
    <w:rsid w:val="002E2681"/>
    <w:rsid w:val="002E2833"/>
    <w:rsid w:val="002E2948"/>
    <w:rsid w:val="002E2AB3"/>
    <w:rsid w:val="002E2FC8"/>
    <w:rsid w:val="002E3227"/>
    <w:rsid w:val="002E345C"/>
    <w:rsid w:val="002E3952"/>
    <w:rsid w:val="002E39F2"/>
    <w:rsid w:val="002E5550"/>
    <w:rsid w:val="002E60F9"/>
    <w:rsid w:val="002E62BA"/>
    <w:rsid w:val="002E6A38"/>
    <w:rsid w:val="002E6C97"/>
    <w:rsid w:val="002E6E11"/>
    <w:rsid w:val="002E713B"/>
    <w:rsid w:val="002E723A"/>
    <w:rsid w:val="002E7CB8"/>
    <w:rsid w:val="002E7EC0"/>
    <w:rsid w:val="002F0438"/>
    <w:rsid w:val="002F04F2"/>
    <w:rsid w:val="002F0B3B"/>
    <w:rsid w:val="002F120C"/>
    <w:rsid w:val="002F12B0"/>
    <w:rsid w:val="002F23FD"/>
    <w:rsid w:val="002F242E"/>
    <w:rsid w:val="002F274E"/>
    <w:rsid w:val="002F29A8"/>
    <w:rsid w:val="002F2F19"/>
    <w:rsid w:val="002F3B68"/>
    <w:rsid w:val="002F3BB2"/>
    <w:rsid w:val="002F3CCF"/>
    <w:rsid w:val="002F4217"/>
    <w:rsid w:val="002F44C6"/>
    <w:rsid w:val="002F460D"/>
    <w:rsid w:val="002F4CEA"/>
    <w:rsid w:val="002F645A"/>
    <w:rsid w:val="002F6C30"/>
    <w:rsid w:val="002F7437"/>
    <w:rsid w:val="002F7C32"/>
    <w:rsid w:val="00300534"/>
    <w:rsid w:val="003005D5"/>
    <w:rsid w:val="003008C6"/>
    <w:rsid w:val="00300AE5"/>
    <w:rsid w:val="00300C72"/>
    <w:rsid w:val="0030160F"/>
    <w:rsid w:val="00301ADC"/>
    <w:rsid w:val="0030277A"/>
    <w:rsid w:val="0030291A"/>
    <w:rsid w:val="00302F61"/>
    <w:rsid w:val="00303AD5"/>
    <w:rsid w:val="00303F33"/>
    <w:rsid w:val="003043A9"/>
    <w:rsid w:val="003048F5"/>
    <w:rsid w:val="00305095"/>
    <w:rsid w:val="00305196"/>
    <w:rsid w:val="00305910"/>
    <w:rsid w:val="00305EC7"/>
    <w:rsid w:val="0030706E"/>
    <w:rsid w:val="00307135"/>
    <w:rsid w:val="0030766F"/>
    <w:rsid w:val="00307927"/>
    <w:rsid w:val="00307928"/>
    <w:rsid w:val="00307A18"/>
    <w:rsid w:val="00307A72"/>
    <w:rsid w:val="003104A3"/>
    <w:rsid w:val="00310549"/>
    <w:rsid w:val="00310729"/>
    <w:rsid w:val="003116FF"/>
    <w:rsid w:val="003117D6"/>
    <w:rsid w:val="00311A97"/>
    <w:rsid w:val="003123BA"/>
    <w:rsid w:val="0031256D"/>
    <w:rsid w:val="00312A1F"/>
    <w:rsid w:val="00312A73"/>
    <w:rsid w:val="0031323A"/>
    <w:rsid w:val="0031324F"/>
    <w:rsid w:val="00313260"/>
    <w:rsid w:val="003134BE"/>
    <w:rsid w:val="0031372B"/>
    <w:rsid w:val="00313A9E"/>
    <w:rsid w:val="00313C50"/>
    <w:rsid w:val="00314145"/>
    <w:rsid w:val="003147A9"/>
    <w:rsid w:val="0031522A"/>
    <w:rsid w:val="00315C56"/>
    <w:rsid w:val="00315DD5"/>
    <w:rsid w:val="00316549"/>
    <w:rsid w:val="003167D9"/>
    <w:rsid w:val="0031683F"/>
    <w:rsid w:val="003168A4"/>
    <w:rsid w:val="003168BA"/>
    <w:rsid w:val="00317798"/>
    <w:rsid w:val="0031783B"/>
    <w:rsid w:val="00317A18"/>
    <w:rsid w:val="0032019E"/>
    <w:rsid w:val="003204F9"/>
    <w:rsid w:val="00320543"/>
    <w:rsid w:val="003208DB"/>
    <w:rsid w:val="0032097B"/>
    <w:rsid w:val="00321192"/>
    <w:rsid w:val="00321A4F"/>
    <w:rsid w:val="003220D1"/>
    <w:rsid w:val="00322881"/>
    <w:rsid w:val="00323A25"/>
    <w:rsid w:val="00325793"/>
    <w:rsid w:val="00326180"/>
    <w:rsid w:val="0032692E"/>
    <w:rsid w:val="00330088"/>
    <w:rsid w:val="003309C8"/>
    <w:rsid w:val="00330C47"/>
    <w:rsid w:val="00331156"/>
    <w:rsid w:val="003314A1"/>
    <w:rsid w:val="0033176D"/>
    <w:rsid w:val="00331CA8"/>
    <w:rsid w:val="0033208B"/>
    <w:rsid w:val="00332501"/>
    <w:rsid w:val="00332523"/>
    <w:rsid w:val="00332AD4"/>
    <w:rsid w:val="00332F0B"/>
    <w:rsid w:val="003331DF"/>
    <w:rsid w:val="00333695"/>
    <w:rsid w:val="00333773"/>
    <w:rsid w:val="00334539"/>
    <w:rsid w:val="00334A3D"/>
    <w:rsid w:val="00335245"/>
    <w:rsid w:val="003358A3"/>
    <w:rsid w:val="00335B0E"/>
    <w:rsid w:val="00335D01"/>
    <w:rsid w:val="00335F79"/>
    <w:rsid w:val="0033614A"/>
    <w:rsid w:val="003364B7"/>
    <w:rsid w:val="00336F8B"/>
    <w:rsid w:val="003376D4"/>
    <w:rsid w:val="00337A88"/>
    <w:rsid w:val="00337F31"/>
    <w:rsid w:val="00337F8D"/>
    <w:rsid w:val="00340E8F"/>
    <w:rsid w:val="00342095"/>
    <w:rsid w:val="003420E0"/>
    <w:rsid w:val="0034239C"/>
    <w:rsid w:val="00342545"/>
    <w:rsid w:val="00342573"/>
    <w:rsid w:val="00342608"/>
    <w:rsid w:val="003427A6"/>
    <w:rsid w:val="00342AAB"/>
    <w:rsid w:val="00342B8A"/>
    <w:rsid w:val="00342FC1"/>
    <w:rsid w:val="00343106"/>
    <w:rsid w:val="00343AA2"/>
    <w:rsid w:val="00344099"/>
    <w:rsid w:val="00344553"/>
    <w:rsid w:val="00344C21"/>
    <w:rsid w:val="0034610B"/>
    <w:rsid w:val="003461EE"/>
    <w:rsid w:val="003462C2"/>
    <w:rsid w:val="00346623"/>
    <w:rsid w:val="00346A65"/>
    <w:rsid w:val="00346ABF"/>
    <w:rsid w:val="00346ACB"/>
    <w:rsid w:val="00346C46"/>
    <w:rsid w:val="00346DC3"/>
    <w:rsid w:val="00347089"/>
    <w:rsid w:val="003473BE"/>
    <w:rsid w:val="00347758"/>
    <w:rsid w:val="00347A69"/>
    <w:rsid w:val="00347F51"/>
    <w:rsid w:val="00350B89"/>
    <w:rsid w:val="00350C4E"/>
    <w:rsid w:val="00350C7E"/>
    <w:rsid w:val="00350FE5"/>
    <w:rsid w:val="00351120"/>
    <w:rsid w:val="003516E7"/>
    <w:rsid w:val="00351CB8"/>
    <w:rsid w:val="00352844"/>
    <w:rsid w:val="00352CDB"/>
    <w:rsid w:val="00353776"/>
    <w:rsid w:val="00353D73"/>
    <w:rsid w:val="00354344"/>
    <w:rsid w:val="0035455D"/>
    <w:rsid w:val="00355479"/>
    <w:rsid w:val="00355522"/>
    <w:rsid w:val="00355770"/>
    <w:rsid w:val="00355F3E"/>
    <w:rsid w:val="00356025"/>
    <w:rsid w:val="00356088"/>
    <w:rsid w:val="00356B93"/>
    <w:rsid w:val="0035708A"/>
    <w:rsid w:val="00357ADC"/>
    <w:rsid w:val="00357C18"/>
    <w:rsid w:val="00357C29"/>
    <w:rsid w:val="00360BF9"/>
    <w:rsid w:val="00360CAA"/>
    <w:rsid w:val="00361158"/>
    <w:rsid w:val="00361570"/>
    <w:rsid w:val="003618A3"/>
    <w:rsid w:val="003619EF"/>
    <w:rsid w:val="00361C6D"/>
    <w:rsid w:val="00361D09"/>
    <w:rsid w:val="003625F6"/>
    <w:rsid w:val="00362B1E"/>
    <w:rsid w:val="00362B2B"/>
    <w:rsid w:val="00362F96"/>
    <w:rsid w:val="003632EC"/>
    <w:rsid w:val="003635FD"/>
    <w:rsid w:val="00363EC1"/>
    <w:rsid w:val="0036496F"/>
    <w:rsid w:val="0036530F"/>
    <w:rsid w:val="003657C2"/>
    <w:rsid w:val="003657E5"/>
    <w:rsid w:val="00365A12"/>
    <w:rsid w:val="00366656"/>
    <w:rsid w:val="003669D6"/>
    <w:rsid w:val="00366C0A"/>
    <w:rsid w:val="00370367"/>
    <w:rsid w:val="003704E8"/>
    <w:rsid w:val="00370D42"/>
    <w:rsid w:val="0037100D"/>
    <w:rsid w:val="0037150B"/>
    <w:rsid w:val="00371FB9"/>
    <w:rsid w:val="00372B1B"/>
    <w:rsid w:val="00372DD0"/>
    <w:rsid w:val="003730EC"/>
    <w:rsid w:val="00373172"/>
    <w:rsid w:val="00373B85"/>
    <w:rsid w:val="00373ED9"/>
    <w:rsid w:val="00374532"/>
    <w:rsid w:val="003746E1"/>
    <w:rsid w:val="00374A00"/>
    <w:rsid w:val="003753E0"/>
    <w:rsid w:val="00375B8F"/>
    <w:rsid w:val="00375DE4"/>
    <w:rsid w:val="00375F67"/>
    <w:rsid w:val="003767E9"/>
    <w:rsid w:val="00376DF0"/>
    <w:rsid w:val="0037775A"/>
    <w:rsid w:val="00377CFE"/>
    <w:rsid w:val="00377FC0"/>
    <w:rsid w:val="0038000C"/>
    <w:rsid w:val="0038009C"/>
    <w:rsid w:val="0038088C"/>
    <w:rsid w:val="00380E7A"/>
    <w:rsid w:val="00380F82"/>
    <w:rsid w:val="003814FC"/>
    <w:rsid w:val="00381853"/>
    <w:rsid w:val="003819E6"/>
    <w:rsid w:val="00382145"/>
    <w:rsid w:val="003824F9"/>
    <w:rsid w:val="00382542"/>
    <w:rsid w:val="00382891"/>
    <w:rsid w:val="00382D38"/>
    <w:rsid w:val="00382D4A"/>
    <w:rsid w:val="00383217"/>
    <w:rsid w:val="003832DF"/>
    <w:rsid w:val="00383ADE"/>
    <w:rsid w:val="00383F48"/>
    <w:rsid w:val="003842BF"/>
    <w:rsid w:val="0038443E"/>
    <w:rsid w:val="00384E74"/>
    <w:rsid w:val="003852FB"/>
    <w:rsid w:val="0038585A"/>
    <w:rsid w:val="00385A22"/>
    <w:rsid w:val="00385DBF"/>
    <w:rsid w:val="0038619F"/>
    <w:rsid w:val="003865C3"/>
    <w:rsid w:val="0038681C"/>
    <w:rsid w:val="00386888"/>
    <w:rsid w:val="00386F02"/>
    <w:rsid w:val="003872CC"/>
    <w:rsid w:val="00387301"/>
    <w:rsid w:val="003877DB"/>
    <w:rsid w:val="00387BD5"/>
    <w:rsid w:val="00387CEF"/>
    <w:rsid w:val="003902D2"/>
    <w:rsid w:val="003903CC"/>
    <w:rsid w:val="003903EC"/>
    <w:rsid w:val="00390476"/>
    <w:rsid w:val="00390DFC"/>
    <w:rsid w:val="00391148"/>
    <w:rsid w:val="0039196C"/>
    <w:rsid w:val="00391A47"/>
    <w:rsid w:val="00391AF2"/>
    <w:rsid w:val="00391E33"/>
    <w:rsid w:val="003928A5"/>
    <w:rsid w:val="00392A6C"/>
    <w:rsid w:val="00392E74"/>
    <w:rsid w:val="00393708"/>
    <w:rsid w:val="003940B9"/>
    <w:rsid w:val="00394166"/>
    <w:rsid w:val="0039446F"/>
    <w:rsid w:val="00394638"/>
    <w:rsid w:val="00394D8B"/>
    <w:rsid w:val="00394ECF"/>
    <w:rsid w:val="003955B0"/>
    <w:rsid w:val="003957AE"/>
    <w:rsid w:val="003958DA"/>
    <w:rsid w:val="00396920"/>
    <w:rsid w:val="003969C5"/>
    <w:rsid w:val="003971F1"/>
    <w:rsid w:val="003973E1"/>
    <w:rsid w:val="0039793B"/>
    <w:rsid w:val="00397DB4"/>
    <w:rsid w:val="00397E1E"/>
    <w:rsid w:val="003A0799"/>
    <w:rsid w:val="003A0919"/>
    <w:rsid w:val="003A18D4"/>
    <w:rsid w:val="003A1EB5"/>
    <w:rsid w:val="003A1FFA"/>
    <w:rsid w:val="003A2C76"/>
    <w:rsid w:val="003A2CA7"/>
    <w:rsid w:val="003A2E16"/>
    <w:rsid w:val="003A358D"/>
    <w:rsid w:val="003A3D3F"/>
    <w:rsid w:val="003A3F71"/>
    <w:rsid w:val="003A43C3"/>
    <w:rsid w:val="003A4847"/>
    <w:rsid w:val="003A5745"/>
    <w:rsid w:val="003A5A65"/>
    <w:rsid w:val="003A5F9A"/>
    <w:rsid w:val="003A6772"/>
    <w:rsid w:val="003A6D65"/>
    <w:rsid w:val="003B029E"/>
    <w:rsid w:val="003B061C"/>
    <w:rsid w:val="003B09CC"/>
    <w:rsid w:val="003B1174"/>
    <w:rsid w:val="003B1F03"/>
    <w:rsid w:val="003B20E6"/>
    <w:rsid w:val="003B2633"/>
    <w:rsid w:val="003B2748"/>
    <w:rsid w:val="003B2D88"/>
    <w:rsid w:val="003B2EBA"/>
    <w:rsid w:val="003B3234"/>
    <w:rsid w:val="003B332D"/>
    <w:rsid w:val="003B4788"/>
    <w:rsid w:val="003B4BFF"/>
    <w:rsid w:val="003B4C73"/>
    <w:rsid w:val="003B4FED"/>
    <w:rsid w:val="003B519F"/>
    <w:rsid w:val="003B5B11"/>
    <w:rsid w:val="003B643C"/>
    <w:rsid w:val="003B6B0A"/>
    <w:rsid w:val="003B6E82"/>
    <w:rsid w:val="003B6F47"/>
    <w:rsid w:val="003B6F86"/>
    <w:rsid w:val="003B706B"/>
    <w:rsid w:val="003B746C"/>
    <w:rsid w:val="003B75DB"/>
    <w:rsid w:val="003B7863"/>
    <w:rsid w:val="003C005E"/>
    <w:rsid w:val="003C021D"/>
    <w:rsid w:val="003C0A49"/>
    <w:rsid w:val="003C0F47"/>
    <w:rsid w:val="003C102D"/>
    <w:rsid w:val="003C13B0"/>
    <w:rsid w:val="003C144F"/>
    <w:rsid w:val="003C169B"/>
    <w:rsid w:val="003C170E"/>
    <w:rsid w:val="003C20C9"/>
    <w:rsid w:val="003C2D96"/>
    <w:rsid w:val="003C3594"/>
    <w:rsid w:val="003C3D20"/>
    <w:rsid w:val="003C408A"/>
    <w:rsid w:val="003C42E1"/>
    <w:rsid w:val="003C4E0B"/>
    <w:rsid w:val="003C4EC8"/>
    <w:rsid w:val="003C4FB7"/>
    <w:rsid w:val="003C53CA"/>
    <w:rsid w:val="003C5571"/>
    <w:rsid w:val="003C5889"/>
    <w:rsid w:val="003C656D"/>
    <w:rsid w:val="003C6AC6"/>
    <w:rsid w:val="003C6D7B"/>
    <w:rsid w:val="003C6EB9"/>
    <w:rsid w:val="003C70F4"/>
    <w:rsid w:val="003C7BB5"/>
    <w:rsid w:val="003D0EF1"/>
    <w:rsid w:val="003D0EFB"/>
    <w:rsid w:val="003D0FF7"/>
    <w:rsid w:val="003D1057"/>
    <w:rsid w:val="003D10B6"/>
    <w:rsid w:val="003D13DB"/>
    <w:rsid w:val="003D14FE"/>
    <w:rsid w:val="003D1951"/>
    <w:rsid w:val="003D1C71"/>
    <w:rsid w:val="003D1D9F"/>
    <w:rsid w:val="003D24BD"/>
    <w:rsid w:val="003D3097"/>
    <w:rsid w:val="003D30D9"/>
    <w:rsid w:val="003D31B8"/>
    <w:rsid w:val="003D3268"/>
    <w:rsid w:val="003D3646"/>
    <w:rsid w:val="003D39BF"/>
    <w:rsid w:val="003D3CBE"/>
    <w:rsid w:val="003D4168"/>
    <w:rsid w:val="003D41E5"/>
    <w:rsid w:val="003D4605"/>
    <w:rsid w:val="003D47CC"/>
    <w:rsid w:val="003D4BCF"/>
    <w:rsid w:val="003D4E0C"/>
    <w:rsid w:val="003D5534"/>
    <w:rsid w:val="003D5841"/>
    <w:rsid w:val="003D5B18"/>
    <w:rsid w:val="003D60EA"/>
    <w:rsid w:val="003D6154"/>
    <w:rsid w:val="003D62DD"/>
    <w:rsid w:val="003D6804"/>
    <w:rsid w:val="003D6F6F"/>
    <w:rsid w:val="003D72AF"/>
    <w:rsid w:val="003D7B71"/>
    <w:rsid w:val="003D7EFC"/>
    <w:rsid w:val="003D7F5D"/>
    <w:rsid w:val="003E02F5"/>
    <w:rsid w:val="003E0529"/>
    <w:rsid w:val="003E0B2A"/>
    <w:rsid w:val="003E10BD"/>
    <w:rsid w:val="003E1ADD"/>
    <w:rsid w:val="003E25BC"/>
    <w:rsid w:val="003E326C"/>
    <w:rsid w:val="003E3490"/>
    <w:rsid w:val="003E3680"/>
    <w:rsid w:val="003E4051"/>
    <w:rsid w:val="003E40A9"/>
    <w:rsid w:val="003E433C"/>
    <w:rsid w:val="003E4377"/>
    <w:rsid w:val="003E457D"/>
    <w:rsid w:val="003E5073"/>
    <w:rsid w:val="003E5615"/>
    <w:rsid w:val="003E59F4"/>
    <w:rsid w:val="003E5A18"/>
    <w:rsid w:val="003E63AF"/>
    <w:rsid w:val="003E671B"/>
    <w:rsid w:val="003E6F65"/>
    <w:rsid w:val="003E7031"/>
    <w:rsid w:val="003E704C"/>
    <w:rsid w:val="003E719B"/>
    <w:rsid w:val="003E73E7"/>
    <w:rsid w:val="003E7501"/>
    <w:rsid w:val="003E7676"/>
    <w:rsid w:val="003E7919"/>
    <w:rsid w:val="003E79DF"/>
    <w:rsid w:val="003E7CD6"/>
    <w:rsid w:val="003F0163"/>
    <w:rsid w:val="003F0550"/>
    <w:rsid w:val="003F0DF2"/>
    <w:rsid w:val="003F120E"/>
    <w:rsid w:val="003F155D"/>
    <w:rsid w:val="003F177B"/>
    <w:rsid w:val="003F1DEF"/>
    <w:rsid w:val="003F21BB"/>
    <w:rsid w:val="003F222D"/>
    <w:rsid w:val="003F22C7"/>
    <w:rsid w:val="003F2876"/>
    <w:rsid w:val="003F2A2A"/>
    <w:rsid w:val="003F37E0"/>
    <w:rsid w:val="003F386D"/>
    <w:rsid w:val="003F3B04"/>
    <w:rsid w:val="003F3DDC"/>
    <w:rsid w:val="003F4691"/>
    <w:rsid w:val="003F4A77"/>
    <w:rsid w:val="003F6E55"/>
    <w:rsid w:val="003F76CF"/>
    <w:rsid w:val="003F7AE3"/>
    <w:rsid w:val="003F7E44"/>
    <w:rsid w:val="0040036B"/>
    <w:rsid w:val="00400419"/>
    <w:rsid w:val="00400DDD"/>
    <w:rsid w:val="0040178C"/>
    <w:rsid w:val="004017C2"/>
    <w:rsid w:val="00401893"/>
    <w:rsid w:val="0040194F"/>
    <w:rsid w:val="00401A51"/>
    <w:rsid w:val="00401DD9"/>
    <w:rsid w:val="0040226C"/>
    <w:rsid w:val="004024BE"/>
    <w:rsid w:val="00402785"/>
    <w:rsid w:val="004029F5"/>
    <w:rsid w:val="004036F5"/>
    <w:rsid w:val="00403B88"/>
    <w:rsid w:val="00403C28"/>
    <w:rsid w:val="00403FBA"/>
    <w:rsid w:val="00404BDE"/>
    <w:rsid w:val="00404BE9"/>
    <w:rsid w:val="00404F2C"/>
    <w:rsid w:val="00405145"/>
    <w:rsid w:val="00405356"/>
    <w:rsid w:val="00405B26"/>
    <w:rsid w:val="00406218"/>
    <w:rsid w:val="00406556"/>
    <w:rsid w:val="00406CC7"/>
    <w:rsid w:val="004072B5"/>
    <w:rsid w:val="00407420"/>
    <w:rsid w:val="00407744"/>
    <w:rsid w:val="00407803"/>
    <w:rsid w:val="00410B6D"/>
    <w:rsid w:val="004114A4"/>
    <w:rsid w:val="004115C0"/>
    <w:rsid w:val="0041180B"/>
    <w:rsid w:val="00411AC2"/>
    <w:rsid w:val="0041284A"/>
    <w:rsid w:val="00412C48"/>
    <w:rsid w:val="00413324"/>
    <w:rsid w:val="004134A1"/>
    <w:rsid w:val="004139C2"/>
    <w:rsid w:val="00413A88"/>
    <w:rsid w:val="00414D00"/>
    <w:rsid w:val="00414D39"/>
    <w:rsid w:val="00415980"/>
    <w:rsid w:val="004161E0"/>
    <w:rsid w:val="00416854"/>
    <w:rsid w:val="004170D9"/>
    <w:rsid w:val="004171EC"/>
    <w:rsid w:val="00417A77"/>
    <w:rsid w:val="00420452"/>
    <w:rsid w:val="00420513"/>
    <w:rsid w:val="00420EEF"/>
    <w:rsid w:val="00421795"/>
    <w:rsid w:val="0042184A"/>
    <w:rsid w:val="00421BD9"/>
    <w:rsid w:val="00422789"/>
    <w:rsid w:val="004227FC"/>
    <w:rsid w:val="00422EDA"/>
    <w:rsid w:val="0042379F"/>
    <w:rsid w:val="004242E1"/>
    <w:rsid w:val="004248B3"/>
    <w:rsid w:val="00424BEA"/>
    <w:rsid w:val="00424CB5"/>
    <w:rsid w:val="00425216"/>
    <w:rsid w:val="004257C7"/>
    <w:rsid w:val="00425884"/>
    <w:rsid w:val="004259F2"/>
    <w:rsid w:val="00425B0E"/>
    <w:rsid w:val="00425B55"/>
    <w:rsid w:val="00426074"/>
    <w:rsid w:val="00426429"/>
    <w:rsid w:val="00426561"/>
    <w:rsid w:val="00426909"/>
    <w:rsid w:val="00427FF1"/>
    <w:rsid w:val="00430281"/>
    <w:rsid w:val="004303F5"/>
    <w:rsid w:val="004308A9"/>
    <w:rsid w:val="004308AF"/>
    <w:rsid w:val="00430C5A"/>
    <w:rsid w:val="004310B7"/>
    <w:rsid w:val="004314D7"/>
    <w:rsid w:val="00431A27"/>
    <w:rsid w:val="00431B0E"/>
    <w:rsid w:val="00431B17"/>
    <w:rsid w:val="004323A7"/>
    <w:rsid w:val="00433078"/>
    <w:rsid w:val="00433204"/>
    <w:rsid w:val="00433666"/>
    <w:rsid w:val="00433F61"/>
    <w:rsid w:val="00434188"/>
    <w:rsid w:val="00434320"/>
    <w:rsid w:val="00434366"/>
    <w:rsid w:val="00434B03"/>
    <w:rsid w:val="00434DDD"/>
    <w:rsid w:val="00434F0A"/>
    <w:rsid w:val="0043519B"/>
    <w:rsid w:val="00435316"/>
    <w:rsid w:val="004355DA"/>
    <w:rsid w:val="00436F57"/>
    <w:rsid w:val="004370D3"/>
    <w:rsid w:val="004373AE"/>
    <w:rsid w:val="0043752D"/>
    <w:rsid w:val="004400B0"/>
    <w:rsid w:val="00440B66"/>
    <w:rsid w:val="00440D42"/>
    <w:rsid w:val="00441360"/>
    <w:rsid w:val="00441410"/>
    <w:rsid w:val="004418F3"/>
    <w:rsid w:val="00441A26"/>
    <w:rsid w:val="00441AD5"/>
    <w:rsid w:val="00442131"/>
    <w:rsid w:val="004422FD"/>
    <w:rsid w:val="004424F4"/>
    <w:rsid w:val="0044264F"/>
    <w:rsid w:val="00443798"/>
    <w:rsid w:val="00443FAF"/>
    <w:rsid w:val="004441EB"/>
    <w:rsid w:val="004442D8"/>
    <w:rsid w:val="00444319"/>
    <w:rsid w:val="0044491D"/>
    <w:rsid w:val="00444AD8"/>
    <w:rsid w:val="00444ADA"/>
    <w:rsid w:val="00444FD3"/>
    <w:rsid w:val="00445152"/>
    <w:rsid w:val="00445301"/>
    <w:rsid w:val="004453A9"/>
    <w:rsid w:val="00445437"/>
    <w:rsid w:val="00446126"/>
    <w:rsid w:val="00446702"/>
    <w:rsid w:val="0044693A"/>
    <w:rsid w:val="00446D1B"/>
    <w:rsid w:val="00446D7F"/>
    <w:rsid w:val="00447222"/>
    <w:rsid w:val="00447654"/>
    <w:rsid w:val="00447A44"/>
    <w:rsid w:val="00447B52"/>
    <w:rsid w:val="004502D5"/>
    <w:rsid w:val="00450944"/>
    <w:rsid w:val="00450A4F"/>
    <w:rsid w:val="00450CA0"/>
    <w:rsid w:val="004510B7"/>
    <w:rsid w:val="004510BB"/>
    <w:rsid w:val="004511A3"/>
    <w:rsid w:val="00451727"/>
    <w:rsid w:val="00451A46"/>
    <w:rsid w:val="00451CBE"/>
    <w:rsid w:val="00452430"/>
    <w:rsid w:val="004539BE"/>
    <w:rsid w:val="00453DBF"/>
    <w:rsid w:val="00453E26"/>
    <w:rsid w:val="00453EF0"/>
    <w:rsid w:val="0045410D"/>
    <w:rsid w:val="00454374"/>
    <w:rsid w:val="004547BF"/>
    <w:rsid w:val="00454A95"/>
    <w:rsid w:val="0045503C"/>
    <w:rsid w:val="004550B0"/>
    <w:rsid w:val="00455DCA"/>
    <w:rsid w:val="00455E5E"/>
    <w:rsid w:val="00456179"/>
    <w:rsid w:val="00456A38"/>
    <w:rsid w:val="004607E9"/>
    <w:rsid w:val="004609BA"/>
    <w:rsid w:val="00460C53"/>
    <w:rsid w:val="00460FA7"/>
    <w:rsid w:val="004620A5"/>
    <w:rsid w:val="004621C2"/>
    <w:rsid w:val="00462679"/>
    <w:rsid w:val="00462E1E"/>
    <w:rsid w:val="00463223"/>
    <w:rsid w:val="0046381F"/>
    <w:rsid w:val="00463E78"/>
    <w:rsid w:val="00464CF3"/>
    <w:rsid w:val="00464D22"/>
    <w:rsid w:val="004656A5"/>
    <w:rsid w:val="00465D68"/>
    <w:rsid w:val="00465E9D"/>
    <w:rsid w:val="00465EE8"/>
    <w:rsid w:val="00466193"/>
    <w:rsid w:val="004663A6"/>
    <w:rsid w:val="004663CD"/>
    <w:rsid w:val="00466A5E"/>
    <w:rsid w:val="004670EE"/>
    <w:rsid w:val="00467DA8"/>
    <w:rsid w:val="00470232"/>
    <w:rsid w:val="0047024A"/>
    <w:rsid w:val="004704B2"/>
    <w:rsid w:val="00470BE4"/>
    <w:rsid w:val="00470C66"/>
    <w:rsid w:val="004713E5"/>
    <w:rsid w:val="004716C5"/>
    <w:rsid w:val="00471794"/>
    <w:rsid w:val="0047195F"/>
    <w:rsid w:val="0047206C"/>
    <w:rsid w:val="00472380"/>
    <w:rsid w:val="0047242B"/>
    <w:rsid w:val="004724FA"/>
    <w:rsid w:val="00473280"/>
    <w:rsid w:val="00473904"/>
    <w:rsid w:val="00473FF8"/>
    <w:rsid w:val="00473FFF"/>
    <w:rsid w:val="004742DD"/>
    <w:rsid w:val="0047433E"/>
    <w:rsid w:val="00474465"/>
    <w:rsid w:val="00474A0A"/>
    <w:rsid w:val="00474EFE"/>
    <w:rsid w:val="00474FD3"/>
    <w:rsid w:val="004752D6"/>
    <w:rsid w:val="00475E67"/>
    <w:rsid w:val="00476063"/>
    <w:rsid w:val="004773BE"/>
    <w:rsid w:val="004774B3"/>
    <w:rsid w:val="004775C9"/>
    <w:rsid w:val="00477795"/>
    <w:rsid w:val="004778DF"/>
    <w:rsid w:val="0048005E"/>
    <w:rsid w:val="00480105"/>
    <w:rsid w:val="004804DF"/>
    <w:rsid w:val="0048065F"/>
    <w:rsid w:val="0048071A"/>
    <w:rsid w:val="00480728"/>
    <w:rsid w:val="00480E2E"/>
    <w:rsid w:val="00480E5F"/>
    <w:rsid w:val="0048126F"/>
    <w:rsid w:val="00482896"/>
    <w:rsid w:val="0048296C"/>
    <w:rsid w:val="00482B56"/>
    <w:rsid w:val="0048340F"/>
    <w:rsid w:val="0048341B"/>
    <w:rsid w:val="0048399F"/>
    <w:rsid w:val="00483DD3"/>
    <w:rsid w:val="00484028"/>
    <w:rsid w:val="00485544"/>
    <w:rsid w:val="00485851"/>
    <w:rsid w:val="004860C8"/>
    <w:rsid w:val="00486E59"/>
    <w:rsid w:val="004874FE"/>
    <w:rsid w:val="00490095"/>
    <w:rsid w:val="00490319"/>
    <w:rsid w:val="004905F1"/>
    <w:rsid w:val="004906BD"/>
    <w:rsid w:val="0049087D"/>
    <w:rsid w:val="00490B24"/>
    <w:rsid w:val="00490D10"/>
    <w:rsid w:val="004914BD"/>
    <w:rsid w:val="00491538"/>
    <w:rsid w:val="004916F9"/>
    <w:rsid w:val="00491A7F"/>
    <w:rsid w:val="00492554"/>
    <w:rsid w:val="00493506"/>
    <w:rsid w:val="00493995"/>
    <w:rsid w:val="004939E3"/>
    <w:rsid w:val="004940B3"/>
    <w:rsid w:val="004942D3"/>
    <w:rsid w:val="004947D6"/>
    <w:rsid w:val="00494C76"/>
    <w:rsid w:val="00494D14"/>
    <w:rsid w:val="004952B7"/>
    <w:rsid w:val="0049599D"/>
    <w:rsid w:val="004959AF"/>
    <w:rsid w:val="00495F48"/>
    <w:rsid w:val="00496416"/>
    <w:rsid w:val="004968E4"/>
    <w:rsid w:val="00496FE0"/>
    <w:rsid w:val="0049705F"/>
    <w:rsid w:val="004973F0"/>
    <w:rsid w:val="00497AC8"/>
    <w:rsid w:val="00497C3F"/>
    <w:rsid w:val="00497F01"/>
    <w:rsid w:val="004A031E"/>
    <w:rsid w:val="004A0326"/>
    <w:rsid w:val="004A05F5"/>
    <w:rsid w:val="004A0901"/>
    <w:rsid w:val="004A10B6"/>
    <w:rsid w:val="004A11CC"/>
    <w:rsid w:val="004A1468"/>
    <w:rsid w:val="004A18E9"/>
    <w:rsid w:val="004A190A"/>
    <w:rsid w:val="004A197F"/>
    <w:rsid w:val="004A199C"/>
    <w:rsid w:val="004A1FA1"/>
    <w:rsid w:val="004A2796"/>
    <w:rsid w:val="004A2854"/>
    <w:rsid w:val="004A2F10"/>
    <w:rsid w:val="004A3731"/>
    <w:rsid w:val="004A3A4F"/>
    <w:rsid w:val="004A3F70"/>
    <w:rsid w:val="004A42A2"/>
    <w:rsid w:val="004A44E1"/>
    <w:rsid w:val="004A4BF9"/>
    <w:rsid w:val="004A5542"/>
    <w:rsid w:val="004A5D6C"/>
    <w:rsid w:val="004A6893"/>
    <w:rsid w:val="004A7B75"/>
    <w:rsid w:val="004B006E"/>
    <w:rsid w:val="004B07D0"/>
    <w:rsid w:val="004B0AB2"/>
    <w:rsid w:val="004B0ED8"/>
    <w:rsid w:val="004B165C"/>
    <w:rsid w:val="004B16CB"/>
    <w:rsid w:val="004B2F52"/>
    <w:rsid w:val="004B3179"/>
    <w:rsid w:val="004B3679"/>
    <w:rsid w:val="004B3707"/>
    <w:rsid w:val="004B3862"/>
    <w:rsid w:val="004B39DF"/>
    <w:rsid w:val="004B3E92"/>
    <w:rsid w:val="004B402F"/>
    <w:rsid w:val="004B454B"/>
    <w:rsid w:val="004B4563"/>
    <w:rsid w:val="004B46AD"/>
    <w:rsid w:val="004B48B6"/>
    <w:rsid w:val="004B4A4A"/>
    <w:rsid w:val="004B53D4"/>
    <w:rsid w:val="004B55B3"/>
    <w:rsid w:val="004B56A9"/>
    <w:rsid w:val="004B576E"/>
    <w:rsid w:val="004B5BA4"/>
    <w:rsid w:val="004B6137"/>
    <w:rsid w:val="004B61A4"/>
    <w:rsid w:val="004B6421"/>
    <w:rsid w:val="004B6870"/>
    <w:rsid w:val="004B68BB"/>
    <w:rsid w:val="004B6C81"/>
    <w:rsid w:val="004B6D1F"/>
    <w:rsid w:val="004B6FD9"/>
    <w:rsid w:val="004B73D7"/>
    <w:rsid w:val="004B787B"/>
    <w:rsid w:val="004B78A4"/>
    <w:rsid w:val="004C02CC"/>
    <w:rsid w:val="004C05CA"/>
    <w:rsid w:val="004C079F"/>
    <w:rsid w:val="004C0C91"/>
    <w:rsid w:val="004C0E86"/>
    <w:rsid w:val="004C0F3F"/>
    <w:rsid w:val="004C13C7"/>
    <w:rsid w:val="004C1DEA"/>
    <w:rsid w:val="004C1E30"/>
    <w:rsid w:val="004C254F"/>
    <w:rsid w:val="004C30CF"/>
    <w:rsid w:val="004C3E24"/>
    <w:rsid w:val="004C48AE"/>
    <w:rsid w:val="004C49D2"/>
    <w:rsid w:val="004C4AC7"/>
    <w:rsid w:val="004C5798"/>
    <w:rsid w:val="004C5A2A"/>
    <w:rsid w:val="004C624B"/>
    <w:rsid w:val="004C745B"/>
    <w:rsid w:val="004C77FC"/>
    <w:rsid w:val="004C7906"/>
    <w:rsid w:val="004C799A"/>
    <w:rsid w:val="004C7CC3"/>
    <w:rsid w:val="004D0CB0"/>
    <w:rsid w:val="004D0ED7"/>
    <w:rsid w:val="004D13DF"/>
    <w:rsid w:val="004D1780"/>
    <w:rsid w:val="004D1A74"/>
    <w:rsid w:val="004D23F4"/>
    <w:rsid w:val="004D2A8B"/>
    <w:rsid w:val="004D2AFC"/>
    <w:rsid w:val="004D306B"/>
    <w:rsid w:val="004D3204"/>
    <w:rsid w:val="004D3295"/>
    <w:rsid w:val="004D3466"/>
    <w:rsid w:val="004D3EE4"/>
    <w:rsid w:val="004D41C2"/>
    <w:rsid w:val="004D49B8"/>
    <w:rsid w:val="004D4ACE"/>
    <w:rsid w:val="004D575F"/>
    <w:rsid w:val="004D5AC3"/>
    <w:rsid w:val="004D716F"/>
    <w:rsid w:val="004D7187"/>
    <w:rsid w:val="004D7253"/>
    <w:rsid w:val="004D787A"/>
    <w:rsid w:val="004E0570"/>
    <w:rsid w:val="004E0A62"/>
    <w:rsid w:val="004E20E9"/>
    <w:rsid w:val="004E254D"/>
    <w:rsid w:val="004E2679"/>
    <w:rsid w:val="004E26F6"/>
    <w:rsid w:val="004E2907"/>
    <w:rsid w:val="004E292C"/>
    <w:rsid w:val="004E2D4E"/>
    <w:rsid w:val="004E35F9"/>
    <w:rsid w:val="004E3B9F"/>
    <w:rsid w:val="004E411A"/>
    <w:rsid w:val="004E420D"/>
    <w:rsid w:val="004E42A8"/>
    <w:rsid w:val="004E43C5"/>
    <w:rsid w:val="004E4F4B"/>
    <w:rsid w:val="004E520B"/>
    <w:rsid w:val="004E5C39"/>
    <w:rsid w:val="004E621B"/>
    <w:rsid w:val="004E6559"/>
    <w:rsid w:val="004E695A"/>
    <w:rsid w:val="004E6BBB"/>
    <w:rsid w:val="004E6F0A"/>
    <w:rsid w:val="004E6F69"/>
    <w:rsid w:val="004E7059"/>
    <w:rsid w:val="004E76F7"/>
    <w:rsid w:val="004E7C9E"/>
    <w:rsid w:val="004F00AA"/>
    <w:rsid w:val="004F06C4"/>
    <w:rsid w:val="004F09C2"/>
    <w:rsid w:val="004F0C25"/>
    <w:rsid w:val="004F0D85"/>
    <w:rsid w:val="004F10EB"/>
    <w:rsid w:val="004F1AE9"/>
    <w:rsid w:val="004F1F65"/>
    <w:rsid w:val="004F2631"/>
    <w:rsid w:val="004F2950"/>
    <w:rsid w:val="004F2BAF"/>
    <w:rsid w:val="004F2C6E"/>
    <w:rsid w:val="004F2F51"/>
    <w:rsid w:val="004F2FA6"/>
    <w:rsid w:val="004F3081"/>
    <w:rsid w:val="004F3266"/>
    <w:rsid w:val="004F351D"/>
    <w:rsid w:val="004F3563"/>
    <w:rsid w:val="004F3615"/>
    <w:rsid w:val="004F3A45"/>
    <w:rsid w:val="004F3CCD"/>
    <w:rsid w:val="004F3EB1"/>
    <w:rsid w:val="004F4670"/>
    <w:rsid w:val="004F5284"/>
    <w:rsid w:val="004F54F1"/>
    <w:rsid w:val="004F5C48"/>
    <w:rsid w:val="004F7742"/>
    <w:rsid w:val="004F7950"/>
    <w:rsid w:val="004F7E2E"/>
    <w:rsid w:val="0050042D"/>
    <w:rsid w:val="00500533"/>
    <w:rsid w:val="005006D0"/>
    <w:rsid w:val="00501631"/>
    <w:rsid w:val="005016C9"/>
    <w:rsid w:val="00501946"/>
    <w:rsid w:val="005023A0"/>
    <w:rsid w:val="00502AA3"/>
    <w:rsid w:val="0050435C"/>
    <w:rsid w:val="00505FEE"/>
    <w:rsid w:val="005060A2"/>
    <w:rsid w:val="00507322"/>
    <w:rsid w:val="005078C1"/>
    <w:rsid w:val="00507915"/>
    <w:rsid w:val="005079BC"/>
    <w:rsid w:val="0051014E"/>
    <w:rsid w:val="005106ED"/>
    <w:rsid w:val="00511F07"/>
    <w:rsid w:val="00512135"/>
    <w:rsid w:val="005129C1"/>
    <w:rsid w:val="00512F9E"/>
    <w:rsid w:val="0051306F"/>
    <w:rsid w:val="005134FE"/>
    <w:rsid w:val="005138F0"/>
    <w:rsid w:val="005139DC"/>
    <w:rsid w:val="00513F54"/>
    <w:rsid w:val="005142FA"/>
    <w:rsid w:val="00514DE0"/>
    <w:rsid w:val="005152E5"/>
    <w:rsid w:val="005153A7"/>
    <w:rsid w:val="00515B04"/>
    <w:rsid w:val="00516802"/>
    <w:rsid w:val="00516906"/>
    <w:rsid w:val="00516AD1"/>
    <w:rsid w:val="00517372"/>
    <w:rsid w:val="0051746D"/>
    <w:rsid w:val="0051757A"/>
    <w:rsid w:val="00520976"/>
    <w:rsid w:val="00520AA1"/>
    <w:rsid w:val="00520AD7"/>
    <w:rsid w:val="00520B49"/>
    <w:rsid w:val="005212C7"/>
    <w:rsid w:val="005212D1"/>
    <w:rsid w:val="00521D5E"/>
    <w:rsid w:val="00522C80"/>
    <w:rsid w:val="00522E9A"/>
    <w:rsid w:val="00523639"/>
    <w:rsid w:val="00523787"/>
    <w:rsid w:val="00523BDF"/>
    <w:rsid w:val="00523D05"/>
    <w:rsid w:val="00523DC5"/>
    <w:rsid w:val="00524536"/>
    <w:rsid w:val="00524B8E"/>
    <w:rsid w:val="00524CBB"/>
    <w:rsid w:val="005251BD"/>
    <w:rsid w:val="00525A5A"/>
    <w:rsid w:val="00525D02"/>
    <w:rsid w:val="00526844"/>
    <w:rsid w:val="00526C3F"/>
    <w:rsid w:val="00526DDA"/>
    <w:rsid w:val="005271A7"/>
    <w:rsid w:val="00527740"/>
    <w:rsid w:val="005279DD"/>
    <w:rsid w:val="00527A38"/>
    <w:rsid w:val="00527D0A"/>
    <w:rsid w:val="0053051B"/>
    <w:rsid w:val="0053101F"/>
    <w:rsid w:val="005318B5"/>
    <w:rsid w:val="00531E81"/>
    <w:rsid w:val="00531FA8"/>
    <w:rsid w:val="005326A0"/>
    <w:rsid w:val="00532EFF"/>
    <w:rsid w:val="00533A8E"/>
    <w:rsid w:val="00533BD7"/>
    <w:rsid w:val="00533D4A"/>
    <w:rsid w:val="005345FE"/>
    <w:rsid w:val="00534BC4"/>
    <w:rsid w:val="00535414"/>
    <w:rsid w:val="00535590"/>
    <w:rsid w:val="00535AD1"/>
    <w:rsid w:val="0053627C"/>
    <w:rsid w:val="005365CA"/>
    <w:rsid w:val="00536F90"/>
    <w:rsid w:val="00536FFD"/>
    <w:rsid w:val="00537181"/>
    <w:rsid w:val="00537187"/>
    <w:rsid w:val="00537B62"/>
    <w:rsid w:val="00537BC5"/>
    <w:rsid w:val="005400A6"/>
    <w:rsid w:val="00540667"/>
    <w:rsid w:val="005409FB"/>
    <w:rsid w:val="00540B92"/>
    <w:rsid w:val="0054167E"/>
    <w:rsid w:val="005419D9"/>
    <w:rsid w:val="00541B32"/>
    <w:rsid w:val="00541EB9"/>
    <w:rsid w:val="00541F39"/>
    <w:rsid w:val="00542423"/>
    <w:rsid w:val="005429F6"/>
    <w:rsid w:val="00542B77"/>
    <w:rsid w:val="00542BBB"/>
    <w:rsid w:val="0054317C"/>
    <w:rsid w:val="00543343"/>
    <w:rsid w:val="0054345F"/>
    <w:rsid w:val="00543892"/>
    <w:rsid w:val="00543C79"/>
    <w:rsid w:val="00543E25"/>
    <w:rsid w:val="00544605"/>
    <w:rsid w:val="00545643"/>
    <w:rsid w:val="00546687"/>
    <w:rsid w:val="00546B58"/>
    <w:rsid w:val="0054701A"/>
    <w:rsid w:val="00547596"/>
    <w:rsid w:val="00547654"/>
    <w:rsid w:val="005478B4"/>
    <w:rsid w:val="00547B9F"/>
    <w:rsid w:val="00547D39"/>
    <w:rsid w:val="00547D9F"/>
    <w:rsid w:val="0055097F"/>
    <w:rsid w:val="00550F7C"/>
    <w:rsid w:val="00551C22"/>
    <w:rsid w:val="0055209D"/>
    <w:rsid w:val="005523EF"/>
    <w:rsid w:val="00552B1C"/>
    <w:rsid w:val="0055308E"/>
    <w:rsid w:val="005532C3"/>
    <w:rsid w:val="00553D33"/>
    <w:rsid w:val="00553DFB"/>
    <w:rsid w:val="00553E38"/>
    <w:rsid w:val="0055448E"/>
    <w:rsid w:val="005546D1"/>
    <w:rsid w:val="00554843"/>
    <w:rsid w:val="00554B30"/>
    <w:rsid w:val="00554DE0"/>
    <w:rsid w:val="00554E27"/>
    <w:rsid w:val="00554ED5"/>
    <w:rsid w:val="00555087"/>
    <w:rsid w:val="005556F6"/>
    <w:rsid w:val="005557A5"/>
    <w:rsid w:val="00556F1A"/>
    <w:rsid w:val="00556FDE"/>
    <w:rsid w:val="00557089"/>
    <w:rsid w:val="005574DE"/>
    <w:rsid w:val="005603D2"/>
    <w:rsid w:val="00560FE5"/>
    <w:rsid w:val="005611C6"/>
    <w:rsid w:val="00561442"/>
    <w:rsid w:val="005614AB"/>
    <w:rsid w:val="005615DB"/>
    <w:rsid w:val="00561771"/>
    <w:rsid w:val="00561F8B"/>
    <w:rsid w:val="00562196"/>
    <w:rsid w:val="00562702"/>
    <w:rsid w:val="005628C0"/>
    <w:rsid w:val="005631F6"/>
    <w:rsid w:val="00563E70"/>
    <w:rsid w:val="00565217"/>
    <w:rsid w:val="005655F1"/>
    <w:rsid w:val="00565F6E"/>
    <w:rsid w:val="0056643C"/>
    <w:rsid w:val="005668D1"/>
    <w:rsid w:val="005668FB"/>
    <w:rsid w:val="00566D4E"/>
    <w:rsid w:val="00566FC5"/>
    <w:rsid w:val="005674C8"/>
    <w:rsid w:val="00570359"/>
    <w:rsid w:val="005703C5"/>
    <w:rsid w:val="005709AE"/>
    <w:rsid w:val="00570FB7"/>
    <w:rsid w:val="0057157E"/>
    <w:rsid w:val="00571BD1"/>
    <w:rsid w:val="00571DB3"/>
    <w:rsid w:val="00571E03"/>
    <w:rsid w:val="005722B3"/>
    <w:rsid w:val="0057230C"/>
    <w:rsid w:val="00573265"/>
    <w:rsid w:val="0057400E"/>
    <w:rsid w:val="00574702"/>
    <w:rsid w:val="00574C0E"/>
    <w:rsid w:val="00574F11"/>
    <w:rsid w:val="00574F52"/>
    <w:rsid w:val="00574FCD"/>
    <w:rsid w:val="00575371"/>
    <w:rsid w:val="005753CB"/>
    <w:rsid w:val="00575AE8"/>
    <w:rsid w:val="00576272"/>
    <w:rsid w:val="005769D0"/>
    <w:rsid w:val="00576A2A"/>
    <w:rsid w:val="00576F7C"/>
    <w:rsid w:val="0057726E"/>
    <w:rsid w:val="00577752"/>
    <w:rsid w:val="005777F9"/>
    <w:rsid w:val="00580743"/>
    <w:rsid w:val="00580845"/>
    <w:rsid w:val="00580B40"/>
    <w:rsid w:val="005817F7"/>
    <w:rsid w:val="0058183A"/>
    <w:rsid w:val="00582703"/>
    <w:rsid w:val="00582771"/>
    <w:rsid w:val="00583349"/>
    <w:rsid w:val="00583446"/>
    <w:rsid w:val="00583476"/>
    <w:rsid w:val="0058355E"/>
    <w:rsid w:val="00583656"/>
    <w:rsid w:val="0058428C"/>
    <w:rsid w:val="0058502A"/>
    <w:rsid w:val="00585643"/>
    <w:rsid w:val="0058570B"/>
    <w:rsid w:val="0058605D"/>
    <w:rsid w:val="00586BC4"/>
    <w:rsid w:val="00586E8F"/>
    <w:rsid w:val="0058772C"/>
    <w:rsid w:val="00587DA8"/>
    <w:rsid w:val="00590874"/>
    <w:rsid w:val="005912F0"/>
    <w:rsid w:val="005919D5"/>
    <w:rsid w:val="00592358"/>
    <w:rsid w:val="00592D26"/>
    <w:rsid w:val="00593D9E"/>
    <w:rsid w:val="0059418B"/>
    <w:rsid w:val="00594B07"/>
    <w:rsid w:val="0059513C"/>
    <w:rsid w:val="0059515D"/>
    <w:rsid w:val="0059597B"/>
    <w:rsid w:val="00595A6E"/>
    <w:rsid w:val="00595C25"/>
    <w:rsid w:val="00595CC6"/>
    <w:rsid w:val="0059667F"/>
    <w:rsid w:val="00596979"/>
    <w:rsid w:val="005969AA"/>
    <w:rsid w:val="00596C03"/>
    <w:rsid w:val="00597124"/>
    <w:rsid w:val="0059744C"/>
    <w:rsid w:val="00597B84"/>
    <w:rsid w:val="00597CCD"/>
    <w:rsid w:val="00597F6F"/>
    <w:rsid w:val="00597F94"/>
    <w:rsid w:val="005A04F4"/>
    <w:rsid w:val="005A0534"/>
    <w:rsid w:val="005A0CE5"/>
    <w:rsid w:val="005A10B8"/>
    <w:rsid w:val="005A1760"/>
    <w:rsid w:val="005A19B5"/>
    <w:rsid w:val="005A1F88"/>
    <w:rsid w:val="005A1FE2"/>
    <w:rsid w:val="005A21A2"/>
    <w:rsid w:val="005A21F2"/>
    <w:rsid w:val="005A23A0"/>
    <w:rsid w:val="005A24BB"/>
    <w:rsid w:val="005A253D"/>
    <w:rsid w:val="005A3207"/>
    <w:rsid w:val="005A3CA2"/>
    <w:rsid w:val="005A4324"/>
    <w:rsid w:val="005A5559"/>
    <w:rsid w:val="005A5FB3"/>
    <w:rsid w:val="005A687C"/>
    <w:rsid w:val="005A68B5"/>
    <w:rsid w:val="005A7EF2"/>
    <w:rsid w:val="005B0C86"/>
    <w:rsid w:val="005B1296"/>
    <w:rsid w:val="005B1E1C"/>
    <w:rsid w:val="005B2A6B"/>
    <w:rsid w:val="005B352C"/>
    <w:rsid w:val="005B370F"/>
    <w:rsid w:val="005B3C75"/>
    <w:rsid w:val="005B4340"/>
    <w:rsid w:val="005B4809"/>
    <w:rsid w:val="005B4C50"/>
    <w:rsid w:val="005B5157"/>
    <w:rsid w:val="005B5363"/>
    <w:rsid w:val="005B53EA"/>
    <w:rsid w:val="005B55D7"/>
    <w:rsid w:val="005B5832"/>
    <w:rsid w:val="005B5B04"/>
    <w:rsid w:val="005B647D"/>
    <w:rsid w:val="005B6716"/>
    <w:rsid w:val="005B6E5D"/>
    <w:rsid w:val="005B6FFE"/>
    <w:rsid w:val="005B7003"/>
    <w:rsid w:val="005B7327"/>
    <w:rsid w:val="005B73DE"/>
    <w:rsid w:val="005B7682"/>
    <w:rsid w:val="005C00C5"/>
    <w:rsid w:val="005C0140"/>
    <w:rsid w:val="005C073F"/>
    <w:rsid w:val="005C0772"/>
    <w:rsid w:val="005C0B83"/>
    <w:rsid w:val="005C0D06"/>
    <w:rsid w:val="005C133E"/>
    <w:rsid w:val="005C1539"/>
    <w:rsid w:val="005C1610"/>
    <w:rsid w:val="005C1650"/>
    <w:rsid w:val="005C1A1C"/>
    <w:rsid w:val="005C1E91"/>
    <w:rsid w:val="005C2BB7"/>
    <w:rsid w:val="005C3445"/>
    <w:rsid w:val="005C34F0"/>
    <w:rsid w:val="005C3DCC"/>
    <w:rsid w:val="005C3DDE"/>
    <w:rsid w:val="005C3F9D"/>
    <w:rsid w:val="005C41E1"/>
    <w:rsid w:val="005C4AE3"/>
    <w:rsid w:val="005C4D6E"/>
    <w:rsid w:val="005C50F4"/>
    <w:rsid w:val="005C51B6"/>
    <w:rsid w:val="005C6211"/>
    <w:rsid w:val="005C64AA"/>
    <w:rsid w:val="005C664C"/>
    <w:rsid w:val="005C66E8"/>
    <w:rsid w:val="005C6D80"/>
    <w:rsid w:val="005C6DB2"/>
    <w:rsid w:val="005C7053"/>
    <w:rsid w:val="005C727B"/>
    <w:rsid w:val="005C7440"/>
    <w:rsid w:val="005C75D2"/>
    <w:rsid w:val="005C79E9"/>
    <w:rsid w:val="005C7C02"/>
    <w:rsid w:val="005C7C0D"/>
    <w:rsid w:val="005C7D26"/>
    <w:rsid w:val="005D0444"/>
    <w:rsid w:val="005D0F21"/>
    <w:rsid w:val="005D112C"/>
    <w:rsid w:val="005D18EA"/>
    <w:rsid w:val="005D1A9F"/>
    <w:rsid w:val="005D1CB2"/>
    <w:rsid w:val="005D1FFE"/>
    <w:rsid w:val="005D2676"/>
    <w:rsid w:val="005D2EFF"/>
    <w:rsid w:val="005D38D0"/>
    <w:rsid w:val="005D3E9C"/>
    <w:rsid w:val="005D3FE6"/>
    <w:rsid w:val="005D40A3"/>
    <w:rsid w:val="005D4FF9"/>
    <w:rsid w:val="005D50C6"/>
    <w:rsid w:val="005D53FF"/>
    <w:rsid w:val="005D5734"/>
    <w:rsid w:val="005D5B13"/>
    <w:rsid w:val="005D5B65"/>
    <w:rsid w:val="005D5CEC"/>
    <w:rsid w:val="005D5E0E"/>
    <w:rsid w:val="005D64D8"/>
    <w:rsid w:val="005D66E5"/>
    <w:rsid w:val="005D6D35"/>
    <w:rsid w:val="005D6FB3"/>
    <w:rsid w:val="005D710C"/>
    <w:rsid w:val="005D732C"/>
    <w:rsid w:val="005E0865"/>
    <w:rsid w:val="005E125F"/>
    <w:rsid w:val="005E1D9B"/>
    <w:rsid w:val="005E22A8"/>
    <w:rsid w:val="005E2D8B"/>
    <w:rsid w:val="005E2F9A"/>
    <w:rsid w:val="005E33D1"/>
    <w:rsid w:val="005E3C12"/>
    <w:rsid w:val="005E4217"/>
    <w:rsid w:val="005E4915"/>
    <w:rsid w:val="005E4A8B"/>
    <w:rsid w:val="005E4DCF"/>
    <w:rsid w:val="005E5340"/>
    <w:rsid w:val="005E53C0"/>
    <w:rsid w:val="005E5442"/>
    <w:rsid w:val="005E58A0"/>
    <w:rsid w:val="005E5AF7"/>
    <w:rsid w:val="005E62FE"/>
    <w:rsid w:val="005E64D3"/>
    <w:rsid w:val="005E6528"/>
    <w:rsid w:val="005E65C8"/>
    <w:rsid w:val="005E79C4"/>
    <w:rsid w:val="005E7B4A"/>
    <w:rsid w:val="005E7ED8"/>
    <w:rsid w:val="005F013F"/>
    <w:rsid w:val="005F0700"/>
    <w:rsid w:val="005F0C2E"/>
    <w:rsid w:val="005F1883"/>
    <w:rsid w:val="005F1AE2"/>
    <w:rsid w:val="005F2D6A"/>
    <w:rsid w:val="005F3330"/>
    <w:rsid w:val="005F411F"/>
    <w:rsid w:val="005F44F7"/>
    <w:rsid w:val="005F5EC0"/>
    <w:rsid w:val="005F6206"/>
    <w:rsid w:val="005F63DD"/>
    <w:rsid w:val="005F655F"/>
    <w:rsid w:val="005F6688"/>
    <w:rsid w:val="005F6859"/>
    <w:rsid w:val="005F6E4E"/>
    <w:rsid w:val="005F6EC5"/>
    <w:rsid w:val="005F704D"/>
    <w:rsid w:val="005F738B"/>
    <w:rsid w:val="006010A0"/>
    <w:rsid w:val="0060118D"/>
    <w:rsid w:val="00601DF4"/>
    <w:rsid w:val="006023AD"/>
    <w:rsid w:val="0060246F"/>
    <w:rsid w:val="00602D67"/>
    <w:rsid w:val="00602E1D"/>
    <w:rsid w:val="006031B1"/>
    <w:rsid w:val="006034F2"/>
    <w:rsid w:val="0060364D"/>
    <w:rsid w:val="006047D0"/>
    <w:rsid w:val="00604F8A"/>
    <w:rsid w:val="0060508D"/>
    <w:rsid w:val="006050F3"/>
    <w:rsid w:val="0060521D"/>
    <w:rsid w:val="00605316"/>
    <w:rsid w:val="0060568B"/>
    <w:rsid w:val="0060586F"/>
    <w:rsid w:val="006059E2"/>
    <w:rsid w:val="00606209"/>
    <w:rsid w:val="00606336"/>
    <w:rsid w:val="0060661E"/>
    <w:rsid w:val="0060684A"/>
    <w:rsid w:val="0060744A"/>
    <w:rsid w:val="00607732"/>
    <w:rsid w:val="00607A14"/>
    <w:rsid w:val="006103B8"/>
    <w:rsid w:val="00610605"/>
    <w:rsid w:val="00610615"/>
    <w:rsid w:val="006108E7"/>
    <w:rsid w:val="00610FAE"/>
    <w:rsid w:val="00612138"/>
    <w:rsid w:val="006122CF"/>
    <w:rsid w:val="0061255C"/>
    <w:rsid w:val="00612ED9"/>
    <w:rsid w:val="00613274"/>
    <w:rsid w:val="00613890"/>
    <w:rsid w:val="00613ECB"/>
    <w:rsid w:val="006141A9"/>
    <w:rsid w:val="00614252"/>
    <w:rsid w:val="006149F2"/>
    <w:rsid w:val="00614B3A"/>
    <w:rsid w:val="00614C9C"/>
    <w:rsid w:val="00615248"/>
    <w:rsid w:val="00615287"/>
    <w:rsid w:val="00615512"/>
    <w:rsid w:val="00615829"/>
    <w:rsid w:val="006158E6"/>
    <w:rsid w:val="00615B93"/>
    <w:rsid w:val="00616710"/>
    <w:rsid w:val="0061693E"/>
    <w:rsid w:val="00617114"/>
    <w:rsid w:val="006171B7"/>
    <w:rsid w:val="00617698"/>
    <w:rsid w:val="00617895"/>
    <w:rsid w:val="006178D9"/>
    <w:rsid w:val="00620117"/>
    <w:rsid w:val="006209BB"/>
    <w:rsid w:val="00620A26"/>
    <w:rsid w:val="00620A93"/>
    <w:rsid w:val="00620B1F"/>
    <w:rsid w:val="006211F7"/>
    <w:rsid w:val="00621373"/>
    <w:rsid w:val="006217BB"/>
    <w:rsid w:val="00621E35"/>
    <w:rsid w:val="00621F91"/>
    <w:rsid w:val="00622077"/>
    <w:rsid w:val="006220F8"/>
    <w:rsid w:val="006225A6"/>
    <w:rsid w:val="0062322F"/>
    <w:rsid w:val="00624637"/>
    <w:rsid w:val="00624814"/>
    <w:rsid w:val="006252AD"/>
    <w:rsid w:val="006252D8"/>
    <w:rsid w:val="00625718"/>
    <w:rsid w:val="0062617E"/>
    <w:rsid w:val="0062643C"/>
    <w:rsid w:val="00626488"/>
    <w:rsid w:val="00626AE4"/>
    <w:rsid w:val="00626B2A"/>
    <w:rsid w:val="0062787D"/>
    <w:rsid w:val="006308CD"/>
    <w:rsid w:val="00630A20"/>
    <w:rsid w:val="00631007"/>
    <w:rsid w:val="006311E5"/>
    <w:rsid w:val="0063163C"/>
    <w:rsid w:val="006318BF"/>
    <w:rsid w:val="006320C1"/>
    <w:rsid w:val="00632438"/>
    <w:rsid w:val="00632A60"/>
    <w:rsid w:val="00632BDC"/>
    <w:rsid w:val="00632D86"/>
    <w:rsid w:val="006334B5"/>
    <w:rsid w:val="00633540"/>
    <w:rsid w:val="006336B9"/>
    <w:rsid w:val="006338C8"/>
    <w:rsid w:val="00633B11"/>
    <w:rsid w:val="00633C07"/>
    <w:rsid w:val="00633C30"/>
    <w:rsid w:val="00634281"/>
    <w:rsid w:val="00634BC6"/>
    <w:rsid w:val="006355ED"/>
    <w:rsid w:val="0063588A"/>
    <w:rsid w:val="006361B1"/>
    <w:rsid w:val="0063695C"/>
    <w:rsid w:val="00636DC5"/>
    <w:rsid w:val="0064045E"/>
    <w:rsid w:val="00640D82"/>
    <w:rsid w:val="00640DB3"/>
    <w:rsid w:val="0064100F"/>
    <w:rsid w:val="006412DD"/>
    <w:rsid w:val="00641DC1"/>
    <w:rsid w:val="00641F78"/>
    <w:rsid w:val="006424AE"/>
    <w:rsid w:val="006430AD"/>
    <w:rsid w:val="00643505"/>
    <w:rsid w:val="00644176"/>
    <w:rsid w:val="00644383"/>
    <w:rsid w:val="00644B39"/>
    <w:rsid w:val="00644DD3"/>
    <w:rsid w:val="00645130"/>
    <w:rsid w:val="0064549F"/>
    <w:rsid w:val="00645A90"/>
    <w:rsid w:val="00645B0C"/>
    <w:rsid w:val="00645E29"/>
    <w:rsid w:val="006465CF"/>
    <w:rsid w:val="00646A43"/>
    <w:rsid w:val="00646A9E"/>
    <w:rsid w:val="00646ED2"/>
    <w:rsid w:val="006479B3"/>
    <w:rsid w:val="00647ADC"/>
    <w:rsid w:val="00647D45"/>
    <w:rsid w:val="006507E2"/>
    <w:rsid w:val="00650A7F"/>
    <w:rsid w:val="00650C41"/>
    <w:rsid w:val="00651059"/>
    <w:rsid w:val="00651269"/>
    <w:rsid w:val="006518C9"/>
    <w:rsid w:val="00652006"/>
    <w:rsid w:val="00652147"/>
    <w:rsid w:val="006521B1"/>
    <w:rsid w:val="00652538"/>
    <w:rsid w:val="006527A1"/>
    <w:rsid w:val="00652966"/>
    <w:rsid w:val="006529D9"/>
    <w:rsid w:val="00653405"/>
    <w:rsid w:val="00653DB8"/>
    <w:rsid w:val="00653E3C"/>
    <w:rsid w:val="00653F68"/>
    <w:rsid w:val="0065419F"/>
    <w:rsid w:val="00654BE0"/>
    <w:rsid w:val="00654C42"/>
    <w:rsid w:val="006551DF"/>
    <w:rsid w:val="00655300"/>
    <w:rsid w:val="00655ABC"/>
    <w:rsid w:val="00655F51"/>
    <w:rsid w:val="006569C5"/>
    <w:rsid w:val="00656A42"/>
    <w:rsid w:val="00656C7C"/>
    <w:rsid w:val="0065767C"/>
    <w:rsid w:val="00657C67"/>
    <w:rsid w:val="0066011C"/>
    <w:rsid w:val="00660BF0"/>
    <w:rsid w:val="00660E49"/>
    <w:rsid w:val="00660FE2"/>
    <w:rsid w:val="00661579"/>
    <w:rsid w:val="0066192E"/>
    <w:rsid w:val="00661A7B"/>
    <w:rsid w:val="00661E2C"/>
    <w:rsid w:val="00661F4E"/>
    <w:rsid w:val="00662314"/>
    <w:rsid w:val="006630CE"/>
    <w:rsid w:val="006631A9"/>
    <w:rsid w:val="006635EC"/>
    <w:rsid w:val="006636DD"/>
    <w:rsid w:val="006653C4"/>
    <w:rsid w:val="0066575B"/>
    <w:rsid w:val="006659C9"/>
    <w:rsid w:val="00665F94"/>
    <w:rsid w:val="00666025"/>
    <w:rsid w:val="0066623B"/>
    <w:rsid w:val="00666363"/>
    <w:rsid w:val="006675B5"/>
    <w:rsid w:val="006678DF"/>
    <w:rsid w:val="006679B5"/>
    <w:rsid w:val="0067039A"/>
    <w:rsid w:val="00670518"/>
    <w:rsid w:val="00670788"/>
    <w:rsid w:val="0067175F"/>
    <w:rsid w:val="00671F99"/>
    <w:rsid w:val="0067246D"/>
    <w:rsid w:val="006730B7"/>
    <w:rsid w:val="00673A55"/>
    <w:rsid w:val="00674830"/>
    <w:rsid w:val="00674A24"/>
    <w:rsid w:val="00674B61"/>
    <w:rsid w:val="00675125"/>
    <w:rsid w:val="0067553A"/>
    <w:rsid w:val="00675657"/>
    <w:rsid w:val="00675952"/>
    <w:rsid w:val="00675DD9"/>
    <w:rsid w:val="00675E7F"/>
    <w:rsid w:val="00676ACF"/>
    <w:rsid w:val="00676E6B"/>
    <w:rsid w:val="0067744D"/>
    <w:rsid w:val="00677458"/>
    <w:rsid w:val="00680434"/>
    <w:rsid w:val="006804A1"/>
    <w:rsid w:val="0068073D"/>
    <w:rsid w:val="006807B0"/>
    <w:rsid w:val="006821C9"/>
    <w:rsid w:val="0068225C"/>
    <w:rsid w:val="0068252E"/>
    <w:rsid w:val="00682E12"/>
    <w:rsid w:val="00683022"/>
    <w:rsid w:val="00683447"/>
    <w:rsid w:val="006837D6"/>
    <w:rsid w:val="00683C01"/>
    <w:rsid w:val="00683C4A"/>
    <w:rsid w:val="00684AC9"/>
    <w:rsid w:val="00685333"/>
    <w:rsid w:val="0068555F"/>
    <w:rsid w:val="00685886"/>
    <w:rsid w:val="0068626A"/>
    <w:rsid w:val="00686284"/>
    <w:rsid w:val="006867C6"/>
    <w:rsid w:val="00687173"/>
    <w:rsid w:val="006871E0"/>
    <w:rsid w:val="006872AC"/>
    <w:rsid w:val="00687352"/>
    <w:rsid w:val="00687683"/>
    <w:rsid w:val="00690137"/>
    <w:rsid w:val="006901F1"/>
    <w:rsid w:val="00690342"/>
    <w:rsid w:val="0069048C"/>
    <w:rsid w:val="006904C6"/>
    <w:rsid w:val="006906B5"/>
    <w:rsid w:val="006906D2"/>
    <w:rsid w:val="00690712"/>
    <w:rsid w:val="00690727"/>
    <w:rsid w:val="00690761"/>
    <w:rsid w:val="0069085D"/>
    <w:rsid w:val="00690A18"/>
    <w:rsid w:val="00691011"/>
    <w:rsid w:val="00691015"/>
    <w:rsid w:val="006915B2"/>
    <w:rsid w:val="00691637"/>
    <w:rsid w:val="00691DDD"/>
    <w:rsid w:val="00692111"/>
    <w:rsid w:val="006923AC"/>
    <w:rsid w:val="006931BD"/>
    <w:rsid w:val="00693331"/>
    <w:rsid w:val="00693AD4"/>
    <w:rsid w:val="006946AC"/>
    <w:rsid w:val="006955A1"/>
    <w:rsid w:val="006960BB"/>
    <w:rsid w:val="006962A4"/>
    <w:rsid w:val="00696312"/>
    <w:rsid w:val="006969D3"/>
    <w:rsid w:val="00696C5A"/>
    <w:rsid w:val="00697515"/>
    <w:rsid w:val="00697E17"/>
    <w:rsid w:val="006A05FC"/>
    <w:rsid w:val="006A0C45"/>
    <w:rsid w:val="006A0C99"/>
    <w:rsid w:val="006A1CE2"/>
    <w:rsid w:val="006A22C4"/>
    <w:rsid w:val="006A2774"/>
    <w:rsid w:val="006A285B"/>
    <w:rsid w:val="006A32B5"/>
    <w:rsid w:val="006A3B48"/>
    <w:rsid w:val="006A47BC"/>
    <w:rsid w:val="006A47F6"/>
    <w:rsid w:val="006A4946"/>
    <w:rsid w:val="006A4FFE"/>
    <w:rsid w:val="006A56CD"/>
    <w:rsid w:val="006A5C0F"/>
    <w:rsid w:val="006A6226"/>
    <w:rsid w:val="006A664C"/>
    <w:rsid w:val="006A66F1"/>
    <w:rsid w:val="006A6BA0"/>
    <w:rsid w:val="006A6CE6"/>
    <w:rsid w:val="006A700F"/>
    <w:rsid w:val="006A785E"/>
    <w:rsid w:val="006B0349"/>
    <w:rsid w:val="006B0779"/>
    <w:rsid w:val="006B0D54"/>
    <w:rsid w:val="006B0EE4"/>
    <w:rsid w:val="006B1539"/>
    <w:rsid w:val="006B1C67"/>
    <w:rsid w:val="006B2750"/>
    <w:rsid w:val="006B29C5"/>
    <w:rsid w:val="006B3080"/>
    <w:rsid w:val="006B30BE"/>
    <w:rsid w:val="006B3159"/>
    <w:rsid w:val="006B3424"/>
    <w:rsid w:val="006B3814"/>
    <w:rsid w:val="006B3F6D"/>
    <w:rsid w:val="006B41CB"/>
    <w:rsid w:val="006B436B"/>
    <w:rsid w:val="006B4781"/>
    <w:rsid w:val="006B4B6D"/>
    <w:rsid w:val="006B4F8D"/>
    <w:rsid w:val="006B50DB"/>
    <w:rsid w:val="006B5436"/>
    <w:rsid w:val="006B5867"/>
    <w:rsid w:val="006B5AF7"/>
    <w:rsid w:val="006B61D3"/>
    <w:rsid w:val="006B640E"/>
    <w:rsid w:val="006B68F6"/>
    <w:rsid w:val="006B6EB2"/>
    <w:rsid w:val="006B6EFF"/>
    <w:rsid w:val="006B6FEF"/>
    <w:rsid w:val="006B74B6"/>
    <w:rsid w:val="006B7866"/>
    <w:rsid w:val="006B79A9"/>
    <w:rsid w:val="006C0491"/>
    <w:rsid w:val="006C05C3"/>
    <w:rsid w:val="006C0699"/>
    <w:rsid w:val="006C0F4C"/>
    <w:rsid w:val="006C1661"/>
    <w:rsid w:val="006C1C22"/>
    <w:rsid w:val="006C1CD7"/>
    <w:rsid w:val="006C2095"/>
    <w:rsid w:val="006C216D"/>
    <w:rsid w:val="006C2C76"/>
    <w:rsid w:val="006C3228"/>
    <w:rsid w:val="006C326D"/>
    <w:rsid w:val="006C3433"/>
    <w:rsid w:val="006C3C37"/>
    <w:rsid w:val="006C441F"/>
    <w:rsid w:val="006C4473"/>
    <w:rsid w:val="006C448D"/>
    <w:rsid w:val="006C4A68"/>
    <w:rsid w:val="006C4B13"/>
    <w:rsid w:val="006C4EAF"/>
    <w:rsid w:val="006C4F87"/>
    <w:rsid w:val="006C509A"/>
    <w:rsid w:val="006C5B5E"/>
    <w:rsid w:val="006C5F16"/>
    <w:rsid w:val="006C6337"/>
    <w:rsid w:val="006C69DE"/>
    <w:rsid w:val="006C6ABC"/>
    <w:rsid w:val="006C6B2B"/>
    <w:rsid w:val="006C6BDA"/>
    <w:rsid w:val="006C6CB1"/>
    <w:rsid w:val="006C6D90"/>
    <w:rsid w:val="006C7A84"/>
    <w:rsid w:val="006D029D"/>
    <w:rsid w:val="006D07FC"/>
    <w:rsid w:val="006D1106"/>
    <w:rsid w:val="006D1790"/>
    <w:rsid w:val="006D1C85"/>
    <w:rsid w:val="006D1C9E"/>
    <w:rsid w:val="006D1F26"/>
    <w:rsid w:val="006D1F3A"/>
    <w:rsid w:val="006D1FC7"/>
    <w:rsid w:val="006D1FDE"/>
    <w:rsid w:val="006D229D"/>
    <w:rsid w:val="006D2311"/>
    <w:rsid w:val="006D2471"/>
    <w:rsid w:val="006D25E6"/>
    <w:rsid w:val="006D2661"/>
    <w:rsid w:val="006D2C68"/>
    <w:rsid w:val="006D2FA2"/>
    <w:rsid w:val="006D3152"/>
    <w:rsid w:val="006D36C3"/>
    <w:rsid w:val="006D4205"/>
    <w:rsid w:val="006D4452"/>
    <w:rsid w:val="006D48DA"/>
    <w:rsid w:val="006D48F5"/>
    <w:rsid w:val="006D4DF6"/>
    <w:rsid w:val="006D5EF3"/>
    <w:rsid w:val="006D6355"/>
    <w:rsid w:val="006D6EB6"/>
    <w:rsid w:val="006D6F61"/>
    <w:rsid w:val="006D74EF"/>
    <w:rsid w:val="006D753B"/>
    <w:rsid w:val="006D760E"/>
    <w:rsid w:val="006D7FDB"/>
    <w:rsid w:val="006E0AE9"/>
    <w:rsid w:val="006E0D39"/>
    <w:rsid w:val="006E14F9"/>
    <w:rsid w:val="006E1678"/>
    <w:rsid w:val="006E17A2"/>
    <w:rsid w:val="006E1985"/>
    <w:rsid w:val="006E1F97"/>
    <w:rsid w:val="006E2017"/>
    <w:rsid w:val="006E2075"/>
    <w:rsid w:val="006E27FA"/>
    <w:rsid w:val="006E3231"/>
    <w:rsid w:val="006E33D5"/>
    <w:rsid w:val="006E35AB"/>
    <w:rsid w:val="006E3A60"/>
    <w:rsid w:val="006E3FD7"/>
    <w:rsid w:val="006E4024"/>
    <w:rsid w:val="006E4027"/>
    <w:rsid w:val="006E44A4"/>
    <w:rsid w:val="006E466F"/>
    <w:rsid w:val="006E490B"/>
    <w:rsid w:val="006E4B5C"/>
    <w:rsid w:val="006E4B61"/>
    <w:rsid w:val="006E5094"/>
    <w:rsid w:val="006E50CB"/>
    <w:rsid w:val="006E56DF"/>
    <w:rsid w:val="006E5873"/>
    <w:rsid w:val="006E5928"/>
    <w:rsid w:val="006E5BF7"/>
    <w:rsid w:val="006E5EE7"/>
    <w:rsid w:val="006E629B"/>
    <w:rsid w:val="006E66B8"/>
    <w:rsid w:val="006E673A"/>
    <w:rsid w:val="006E6A3F"/>
    <w:rsid w:val="006E6FBD"/>
    <w:rsid w:val="006E70CA"/>
    <w:rsid w:val="006E7197"/>
    <w:rsid w:val="006E7270"/>
    <w:rsid w:val="006F0449"/>
    <w:rsid w:val="006F04A7"/>
    <w:rsid w:val="006F0C97"/>
    <w:rsid w:val="006F1638"/>
    <w:rsid w:val="006F16E4"/>
    <w:rsid w:val="006F1FB4"/>
    <w:rsid w:val="006F23CE"/>
    <w:rsid w:val="006F253C"/>
    <w:rsid w:val="006F274B"/>
    <w:rsid w:val="006F2899"/>
    <w:rsid w:val="006F2CB9"/>
    <w:rsid w:val="006F3A4A"/>
    <w:rsid w:val="006F3E50"/>
    <w:rsid w:val="006F407B"/>
    <w:rsid w:val="006F455A"/>
    <w:rsid w:val="006F4A32"/>
    <w:rsid w:val="006F5824"/>
    <w:rsid w:val="006F594A"/>
    <w:rsid w:val="006F62FF"/>
    <w:rsid w:val="006F6576"/>
    <w:rsid w:val="006F6C31"/>
    <w:rsid w:val="006F6D26"/>
    <w:rsid w:val="006F7695"/>
    <w:rsid w:val="006F777E"/>
    <w:rsid w:val="00700498"/>
    <w:rsid w:val="00700545"/>
    <w:rsid w:val="00700CB0"/>
    <w:rsid w:val="00700DF6"/>
    <w:rsid w:val="00700F57"/>
    <w:rsid w:val="007012F1"/>
    <w:rsid w:val="0070153F"/>
    <w:rsid w:val="007015C7"/>
    <w:rsid w:val="00702AD8"/>
    <w:rsid w:val="00702FF1"/>
    <w:rsid w:val="0070362B"/>
    <w:rsid w:val="00703A96"/>
    <w:rsid w:val="0070408C"/>
    <w:rsid w:val="00704163"/>
    <w:rsid w:val="007042A6"/>
    <w:rsid w:val="007045A7"/>
    <w:rsid w:val="00704847"/>
    <w:rsid w:val="00704B9A"/>
    <w:rsid w:val="00704D5E"/>
    <w:rsid w:val="00704F53"/>
    <w:rsid w:val="00706DC3"/>
    <w:rsid w:val="007070F9"/>
    <w:rsid w:val="0070724D"/>
    <w:rsid w:val="0070789C"/>
    <w:rsid w:val="00707F24"/>
    <w:rsid w:val="00710076"/>
    <w:rsid w:val="00710D4C"/>
    <w:rsid w:val="00711337"/>
    <w:rsid w:val="00712503"/>
    <w:rsid w:val="00712708"/>
    <w:rsid w:val="00712A7A"/>
    <w:rsid w:val="00712E7B"/>
    <w:rsid w:val="00712E9D"/>
    <w:rsid w:val="00712ED6"/>
    <w:rsid w:val="007132D8"/>
    <w:rsid w:val="007136FB"/>
    <w:rsid w:val="0071373B"/>
    <w:rsid w:val="00713DD6"/>
    <w:rsid w:val="007146A2"/>
    <w:rsid w:val="00714BC7"/>
    <w:rsid w:val="00714C9F"/>
    <w:rsid w:val="00714D55"/>
    <w:rsid w:val="0071523F"/>
    <w:rsid w:val="00715429"/>
    <w:rsid w:val="00715B88"/>
    <w:rsid w:val="00715C73"/>
    <w:rsid w:val="00715D2C"/>
    <w:rsid w:val="00715E23"/>
    <w:rsid w:val="0071600A"/>
    <w:rsid w:val="0071697B"/>
    <w:rsid w:val="00716D03"/>
    <w:rsid w:val="0071728E"/>
    <w:rsid w:val="00717DB8"/>
    <w:rsid w:val="00717FAD"/>
    <w:rsid w:val="00720937"/>
    <w:rsid w:val="00720BAF"/>
    <w:rsid w:val="00720F18"/>
    <w:rsid w:val="0072131A"/>
    <w:rsid w:val="0072133F"/>
    <w:rsid w:val="0072153C"/>
    <w:rsid w:val="0072165E"/>
    <w:rsid w:val="007222EF"/>
    <w:rsid w:val="0072252A"/>
    <w:rsid w:val="0072352A"/>
    <w:rsid w:val="0072361F"/>
    <w:rsid w:val="00723C11"/>
    <w:rsid w:val="00723F4A"/>
    <w:rsid w:val="00724131"/>
    <w:rsid w:val="007247ED"/>
    <w:rsid w:val="00725344"/>
    <w:rsid w:val="007254B1"/>
    <w:rsid w:val="00725710"/>
    <w:rsid w:val="00725788"/>
    <w:rsid w:val="007263A5"/>
    <w:rsid w:val="00726A3C"/>
    <w:rsid w:val="007303BA"/>
    <w:rsid w:val="00730814"/>
    <w:rsid w:val="00730A2E"/>
    <w:rsid w:val="00731466"/>
    <w:rsid w:val="0073154F"/>
    <w:rsid w:val="00731590"/>
    <w:rsid w:val="00732C73"/>
    <w:rsid w:val="00732F37"/>
    <w:rsid w:val="007330E8"/>
    <w:rsid w:val="0073315B"/>
    <w:rsid w:val="00733971"/>
    <w:rsid w:val="0073399A"/>
    <w:rsid w:val="00733AE7"/>
    <w:rsid w:val="00733E17"/>
    <w:rsid w:val="00734AE3"/>
    <w:rsid w:val="007353C9"/>
    <w:rsid w:val="00735CB8"/>
    <w:rsid w:val="0073665F"/>
    <w:rsid w:val="00736770"/>
    <w:rsid w:val="00736968"/>
    <w:rsid w:val="00736A4A"/>
    <w:rsid w:val="00736ADF"/>
    <w:rsid w:val="007377C5"/>
    <w:rsid w:val="00737891"/>
    <w:rsid w:val="00737901"/>
    <w:rsid w:val="00737F92"/>
    <w:rsid w:val="0074004E"/>
    <w:rsid w:val="0074065D"/>
    <w:rsid w:val="0074087E"/>
    <w:rsid w:val="00740A31"/>
    <w:rsid w:val="00740A5B"/>
    <w:rsid w:val="00740F42"/>
    <w:rsid w:val="007411AF"/>
    <w:rsid w:val="00741E57"/>
    <w:rsid w:val="007428C6"/>
    <w:rsid w:val="00742B31"/>
    <w:rsid w:val="0074331D"/>
    <w:rsid w:val="00743490"/>
    <w:rsid w:val="00743864"/>
    <w:rsid w:val="00743D08"/>
    <w:rsid w:val="00743DBB"/>
    <w:rsid w:val="00743E8B"/>
    <w:rsid w:val="00744923"/>
    <w:rsid w:val="00745F1D"/>
    <w:rsid w:val="007466BD"/>
    <w:rsid w:val="00746834"/>
    <w:rsid w:val="00746E28"/>
    <w:rsid w:val="00746E9A"/>
    <w:rsid w:val="00747172"/>
    <w:rsid w:val="007478DC"/>
    <w:rsid w:val="00747A78"/>
    <w:rsid w:val="00747BF5"/>
    <w:rsid w:val="0075043E"/>
    <w:rsid w:val="007508DD"/>
    <w:rsid w:val="00750BCE"/>
    <w:rsid w:val="0075189E"/>
    <w:rsid w:val="007518F1"/>
    <w:rsid w:val="0075196D"/>
    <w:rsid w:val="00751CE2"/>
    <w:rsid w:val="0075231D"/>
    <w:rsid w:val="00752A8A"/>
    <w:rsid w:val="00752DE1"/>
    <w:rsid w:val="0075393F"/>
    <w:rsid w:val="00754240"/>
    <w:rsid w:val="0075493E"/>
    <w:rsid w:val="007551D9"/>
    <w:rsid w:val="00755410"/>
    <w:rsid w:val="00755440"/>
    <w:rsid w:val="00756382"/>
    <w:rsid w:val="007563DF"/>
    <w:rsid w:val="00756C06"/>
    <w:rsid w:val="00757745"/>
    <w:rsid w:val="00757D41"/>
    <w:rsid w:val="00757E98"/>
    <w:rsid w:val="00757E9B"/>
    <w:rsid w:val="0076081C"/>
    <w:rsid w:val="00760E25"/>
    <w:rsid w:val="00760F70"/>
    <w:rsid w:val="007612F9"/>
    <w:rsid w:val="0076144D"/>
    <w:rsid w:val="0076158B"/>
    <w:rsid w:val="00761719"/>
    <w:rsid w:val="0076181E"/>
    <w:rsid w:val="00761D54"/>
    <w:rsid w:val="00762342"/>
    <w:rsid w:val="00762A2D"/>
    <w:rsid w:val="0076334A"/>
    <w:rsid w:val="0076345C"/>
    <w:rsid w:val="0076363F"/>
    <w:rsid w:val="00763A7B"/>
    <w:rsid w:val="00763AE3"/>
    <w:rsid w:val="00764C1A"/>
    <w:rsid w:val="007653F6"/>
    <w:rsid w:val="00765748"/>
    <w:rsid w:val="00765772"/>
    <w:rsid w:val="00765AF1"/>
    <w:rsid w:val="00765BBD"/>
    <w:rsid w:val="00765D49"/>
    <w:rsid w:val="007660BE"/>
    <w:rsid w:val="00766877"/>
    <w:rsid w:val="007668D8"/>
    <w:rsid w:val="007669BF"/>
    <w:rsid w:val="007670F4"/>
    <w:rsid w:val="00767B8A"/>
    <w:rsid w:val="00767E1D"/>
    <w:rsid w:val="007709E7"/>
    <w:rsid w:val="00770B65"/>
    <w:rsid w:val="00770BAD"/>
    <w:rsid w:val="00770FB8"/>
    <w:rsid w:val="00771430"/>
    <w:rsid w:val="007719F0"/>
    <w:rsid w:val="00771B4F"/>
    <w:rsid w:val="007720EA"/>
    <w:rsid w:val="007721FD"/>
    <w:rsid w:val="0077249E"/>
    <w:rsid w:val="00772B28"/>
    <w:rsid w:val="00772C12"/>
    <w:rsid w:val="00772D84"/>
    <w:rsid w:val="0077319B"/>
    <w:rsid w:val="0077412A"/>
    <w:rsid w:val="0077422C"/>
    <w:rsid w:val="00775112"/>
    <w:rsid w:val="00775A0E"/>
    <w:rsid w:val="00775CD2"/>
    <w:rsid w:val="00776179"/>
    <w:rsid w:val="0077628D"/>
    <w:rsid w:val="00776490"/>
    <w:rsid w:val="0077659E"/>
    <w:rsid w:val="007768B9"/>
    <w:rsid w:val="007768D3"/>
    <w:rsid w:val="00776B7B"/>
    <w:rsid w:val="00776E78"/>
    <w:rsid w:val="0077738C"/>
    <w:rsid w:val="00777B4B"/>
    <w:rsid w:val="00777DE8"/>
    <w:rsid w:val="0078015E"/>
    <w:rsid w:val="0078084A"/>
    <w:rsid w:val="0078131A"/>
    <w:rsid w:val="00781337"/>
    <w:rsid w:val="007813C8"/>
    <w:rsid w:val="0078289C"/>
    <w:rsid w:val="00782AA6"/>
    <w:rsid w:val="00782B72"/>
    <w:rsid w:val="00782C04"/>
    <w:rsid w:val="00782C2F"/>
    <w:rsid w:val="00783A82"/>
    <w:rsid w:val="00783B46"/>
    <w:rsid w:val="00784354"/>
    <w:rsid w:val="00784C18"/>
    <w:rsid w:val="00784ECD"/>
    <w:rsid w:val="00785038"/>
    <w:rsid w:val="0078511B"/>
    <w:rsid w:val="00785643"/>
    <w:rsid w:val="00785710"/>
    <w:rsid w:val="00786017"/>
    <w:rsid w:val="00786183"/>
    <w:rsid w:val="00786896"/>
    <w:rsid w:val="00786C32"/>
    <w:rsid w:val="00787383"/>
    <w:rsid w:val="00787490"/>
    <w:rsid w:val="00787922"/>
    <w:rsid w:val="007879B8"/>
    <w:rsid w:val="00787B4C"/>
    <w:rsid w:val="00787DE1"/>
    <w:rsid w:val="00787E54"/>
    <w:rsid w:val="00791567"/>
    <w:rsid w:val="007916EB"/>
    <w:rsid w:val="0079188A"/>
    <w:rsid w:val="00791BEF"/>
    <w:rsid w:val="00792861"/>
    <w:rsid w:val="00792A38"/>
    <w:rsid w:val="00792BB9"/>
    <w:rsid w:val="00792C25"/>
    <w:rsid w:val="00793BD4"/>
    <w:rsid w:val="00794103"/>
    <w:rsid w:val="007944F4"/>
    <w:rsid w:val="00794772"/>
    <w:rsid w:val="00795679"/>
    <w:rsid w:val="0079569F"/>
    <w:rsid w:val="00795B20"/>
    <w:rsid w:val="00795E79"/>
    <w:rsid w:val="00796023"/>
    <w:rsid w:val="00796073"/>
    <w:rsid w:val="0079613B"/>
    <w:rsid w:val="00796626"/>
    <w:rsid w:val="0079668A"/>
    <w:rsid w:val="0079669B"/>
    <w:rsid w:val="00796E24"/>
    <w:rsid w:val="007971C2"/>
    <w:rsid w:val="007973F9"/>
    <w:rsid w:val="007977F6"/>
    <w:rsid w:val="007979AA"/>
    <w:rsid w:val="00797B20"/>
    <w:rsid w:val="00797B3F"/>
    <w:rsid w:val="00797B85"/>
    <w:rsid w:val="007A01FB"/>
    <w:rsid w:val="007A0B8F"/>
    <w:rsid w:val="007A0D03"/>
    <w:rsid w:val="007A1072"/>
    <w:rsid w:val="007A15C6"/>
    <w:rsid w:val="007A17F9"/>
    <w:rsid w:val="007A18DA"/>
    <w:rsid w:val="007A2287"/>
    <w:rsid w:val="007A2374"/>
    <w:rsid w:val="007A238D"/>
    <w:rsid w:val="007A24CA"/>
    <w:rsid w:val="007A24F2"/>
    <w:rsid w:val="007A2FA8"/>
    <w:rsid w:val="007A3530"/>
    <w:rsid w:val="007A3FAE"/>
    <w:rsid w:val="007A425E"/>
    <w:rsid w:val="007A46F3"/>
    <w:rsid w:val="007A4D8C"/>
    <w:rsid w:val="007A5B01"/>
    <w:rsid w:val="007A6097"/>
    <w:rsid w:val="007A640E"/>
    <w:rsid w:val="007A6523"/>
    <w:rsid w:val="007A652A"/>
    <w:rsid w:val="007A6911"/>
    <w:rsid w:val="007A69DF"/>
    <w:rsid w:val="007A6FF3"/>
    <w:rsid w:val="007A7072"/>
    <w:rsid w:val="007A7E20"/>
    <w:rsid w:val="007B0370"/>
    <w:rsid w:val="007B0909"/>
    <w:rsid w:val="007B12C5"/>
    <w:rsid w:val="007B18AC"/>
    <w:rsid w:val="007B1AF8"/>
    <w:rsid w:val="007B1FFA"/>
    <w:rsid w:val="007B2632"/>
    <w:rsid w:val="007B2AA8"/>
    <w:rsid w:val="007B2B71"/>
    <w:rsid w:val="007B2BEE"/>
    <w:rsid w:val="007B2C4A"/>
    <w:rsid w:val="007B2FCD"/>
    <w:rsid w:val="007B3212"/>
    <w:rsid w:val="007B3359"/>
    <w:rsid w:val="007B33CE"/>
    <w:rsid w:val="007B362E"/>
    <w:rsid w:val="007B36A4"/>
    <w:rsid w:val="007B3CEB"/>
    <w:rsid w:val="007B445B"/>
    <w:rsid w:val="007B4D81"/>
    <w:rsid w:val="007B5884"/>
    <w:rsid w:val="007B5E7A"/>
    <w:rsid w:val="007B5F1F"/>
    <w:rsid w:val="007B5F25"/>
    <w:rsid w:val="007B6107"/>
    <w:rsid w:val="007B6454"/>
    <w:rsid w:val="007B683A"/>
    <w:rsid w:val="007B6D57"/>
    <w:rsid w:val="007B709E"/>
    <w:rsid w:val="007B70AD"/>
    <w:rsid w:val="007B7308"/>
    <w:rsid w:val="007B75A4"/>
    <w:rsid w:val="007B777C"/>
    <w:rsid w:val="007B7A3A"/>
    <w:rsid w:val="007C02A7"/>
    <w:rsid w:val="007C03A3"/>
    <w:rsid w:val="007C0CC9"/>
    <w:rsid w:val="007C0E31"/>
    <w:rsid w:val="007C1BD1"/>
    <w:rsid w:val="007C1C41"/>
    <w:rsid w:val="007C1ED6"/>
    <w:rsid w:val="007C1F08"/>
    <w:rsid w:val="007C2538"/>
    <w:rsid w:val="007C2A06"/>
    <w:rsid w:val="007C2B7B"/>
    <w:rsid w:val="007C35DC"/>
    <w:rsid w:val="007C369D"/>
    <w:rsid w:val="007C3998"/>
    <w:rsid w:val="007C42A2"/>
    <w:rsid w:val="007C461B"/>
    <w:rsid w:val="007C4A52"/>
    <w:rsid w:val="007C4C1D"/>
    <w:rsid w:val="007C58E0"/>
    <w:rsid w:val="007C6226"/>
    <w:rsid w:val="007C7133"/>
    <w:rsid w:val="007C715F"/>
    <w:rsid w:val="007C72A6"/>
    <w:rsid w:val="007C7A00"/>
    <w:rsid w:val="007C7B96"/>
    <w:rsid w:val="007C7C21"/>
    <w:rsid w:val="007D0012"/>
    <w:rsid w:val="007D0B4B"/>
    <w:rsid w:val="007D0CDF"/>
    <w:rsid w:val="007D0ED4"/>
    <w:rsid w:val="007D1273"/>
    <w:rsid w:val="007D13C3"/>
    <w:rsid w:val="007D159B"/>
    <w:rsid w:val="007D198E"/>
    <w:rsid w:val="007D1F0A"/>
    <w:rsid w:val="007D1FC1"/>
    <w:rsid w:val="007D207B"/>
    <w:rsid w:val="007D2149"/>
    <w:rsid w:val="007D27FF"/>
    <w:rsid w:val="007D2800"/>
    <w:rsid w:val="007D2DB7"/>
    <w:rsid w:val="007D3690"/>
    <w:rsid w:val="007D3A72"/>
    <w:rsid w:val="007D3CCC"/>
    <w:rsid w:val="007D44F6"/>
    <w:rsid w:val="007D453E"/>
    <w:rsid w:val="007D4852"/>
    <w:rsid w:val="007D5901"/>
    <w:rsid w:val="007D5A61"/>
    <w:rsid w:val="007D5E13"/>
    <w:rsid w:val="007D5F3B"/>
    <w:rsid w:val="007D5F80"/>
    <w:rsid w:val="007D63C6"/>
    <w:rsid w:val="007D6634"/>
    <w:rsid w:val="007D687A"/>
    <w:rsid w:val="007D68F9"/>
    <w:rsid w:val="007D694B"/>
    <w:rsid w:val="007D7069"/>
    <w:rsid w:val="007D70D6"/>
    <w:rsid w:val="007D7BA7"/>
    <w:rsid w:val="007E0169"/>
    <w:rsid w:val="007E02BA"/>
    <w:rsid w:val="007E0744"/>
    <w:rsid w:val="007E0BEB"/>
    <w:rsid w:val="007E16BD"/>
    <w:rsid w:val="007E2045"/>
    <w:rsid w:val="007E20C9"/>
    <w:rsid w:val="007E2F04"/>
    <w:rsid w:val="007E3B1A"/>
    <w:rsid w:val="007E3B51"/>
    <w:rsid w:val="007E4015"/>
    <w:rsid w:val="007E407E"/>
    <w:rsid w:val="007E41D0"/>
    <w:rsid w:val="007E4765"/>
    <w:rsid w:val="007E47E7"/>
    <w:rsid w:val="007E49E7"/>
    <w:rsid w:val="007E4D33"/>
    <w:rsid w:val="007E4E2C"/>
    <w:rsid w:val="007E4FCF"/>
    <w:rsid w:val="007E53DE"/>
    <w:rsid w:val="007E58C4"/>
    <w:rsid w:val="007E5ACE"/>
    <w:rsid w:val="007E5DEC"/>
    <w:rsid w:val="007E642C"/>
    <w:rsid w:val="007E65E3"/>
    <w:rsid w:val="007E6A23"/>
    <w:rsid w:val="007E6C33"/>
    <w:rsid w:val="007E720B"/>
    <w:rsid w:val="007E72CB"/>
    <w:rsid w:val="007E73DC"/>
    <w:rsid w:val="007E7732"/>
    <w:rsid w:val="007E7886"/>
    <w:rsid w:val="007E7F75"/>
    <w:rsid w:val="007F06CD"/>
    <w:rsid w:val="007F0805"/>
    <w:rsid w:val="007F184E"/>
    <w:rsid w:val="007F190D"/>
    <w:rsid w:val="007F1C23"/>
    <w:rsid w:val="007F1D25"/>
    <w:rsid w:val="007F26D3"/>
    <w:rsid w:val="007F2802"/>
    <w:rsid w:val="007F295C"/>
    <w:rsid w:val="007F29C2"/>
    <w:rsid w:val="007F2A15"/>
    <w:rsid w:val="007F327B"/>
    <w:rsid w:val="007F36D2"/>
    <w:rsid w:val="007F36D5"/>
    <w:rsid w:val="007F397B"/>
    <w:rsid w:val="007F3C1B"/>
    <w:rsid w:val="007F3FB0"/>
    <w:rsid w:val="007F41B5"/>
    <w:rsid w:val="007F4302"/>
    <w:rsid w:val="007F4A01"/>
    <w:rsid w:val="007F4F0F"/>
    <w:rsid w:val="007F5615"/>
    <w:rsid w:val="007F56AA"/>
    <w:rsid w:val="007F5B2D"/>
    <w:rsid w:val="007F5C69"/>
    <w:rsid w:val="007F65BE"/>
    <w:rsid w:val="007F6909"/>
    <w:rsid w:val="007F6A96"/>
    <w:rsid w:val="007F6BDB"/>
    <w:rsid w:val="007F6C5A"/>
    <w:rsid w:val="007F75D4"/>
    <w:rsid w:val="007F796D"/>
    <w:rsid w:val="00800152"/>
    <w:rsid w:val="008005AF"/>
    <w:rsid w:val="0080078E"/>
    <w:rsid w:val="008011B4"/>
    <w:rsid w:val="00801C72"/>
    <w:rsid w:val="00801EDC"/>
    <w:rsid w:val="00802176"/>
    <w:rsid w:val="00802402"/>
    <w:rsid w:val="008032F4"/>
    <w:rsid w:val="00803372"/>
    <w:rsid w:val="008034EF"/>
    <w:rsid w:val="00803627"/>
    <w:rsid w:val="0080383C"/>
    <w:rsid w:val="0080422E"/>
    <w:rsid w:val="008045ED"/>
    <w:rsid w:val="00804952"/>
    <w:rsid w:val="0080506B"/>
    <w:rsid w:val="008056AA"/>
    <w:rsid w:val="0080666B"/>
    <w:rsid w:val="008069A1"/>
    <w:rsid w:val="00806B01"/>
    <w:rsid w:val="00806D35"/>
    <w:rsid w:val="00807710"/>
    <w:rsid w:val="008078DC"/>
    <w:rsid w:val="00807B51"/>
    <w:rsid w:val="00807C7B"/>
    <w:rsid w:val="00810568"/>
    <w:rsid w:val="0081060A"/>
    <w:rsid w:val="00810E07"/>
    <w:rsid w:val="008116E2"/>
    <w:rsid w:val="008117C6"/>
    <w:rsid w:val="0081251E"/>
    <w:rsid w:val="00812964"/>
    <w:rsid w:val="00812D58"/>
    <w:rsid w:val="00812D85"/>
    <w:rsid w:val="0081383E"/>
    <w:rsid w:val="00813B08"/>
    <w:rsid w:val="00813D9A"/>
    <w:rsid w:val="008140DB"/>
    <w:rsid w:val="00814AFA"/>
    <w:rsid w:val="00814D4A"/>
    <w:rsid w:val="00814DB6"/>
    <w:rsid w:val="00814DD9"/>
    <w:rsid w:val="00816793"/>
    <w:rsid w:val="008167F5"/>
    <w:rsid w:val="00816D5F"/>
    <w:rsid w:val="008170C3"/>
    <w:rsid w:val="008174D6"/>
    <w:rsid w:val="0082043C"/>
    <w:rsid w:val="00820777"/>
    <w:rsid w:val="00820EBD"/>
    <w:rsid w:val="00821EBC"/>
    <w:rsid w:val="0082209F"/>
    <w:rsid w:val="00822598"/>
    <w:rsid w:val="00822A6D"/>
    <w:rsid w:val="00822B1A"/>
    <w:rsid w:val="00822D76"/>
    <w:rsid w:val="00823095"/>
    <w:rsid w:val="008233B4"/>
    <w:rsid w:val="008238E8"/>
    <w:rsid w:val="00823C9D"/>
    <w:rsid w:val="00824B65"/>
    <w:rsid w:val="008252CE"/>
    <w:rsid w:val="008252EF"/>
    <w:rsid w:val="00825584"/>
    <w:rsid w:val="00825595"/>
    <w:rsid w:val="008257A0"/>
    <w:rsid w:val="00825C79"/>
    <w:rsid w:val="00826568"/>
    <w:rsid w:val="008268FC"/>
    <w:rsid w:val="00826926"/>
    <w:rsid w:val="00826978"/>
    <w:rsid w:val="008269AA"/>
    <w:rsid w:val="00827257"/>
    <w:rsid w:val="0082762A"/>
    <w:rsid w:val="00827DFD"/>
    <w:rsid w:val="00830086"/>
    <w:rsid w:val="008305BD"/>
    <w:rsid w:val="008310C9"/>
    <w:rsid w:val="00831244"/>
    <w:rsid w:val="0083143E"/>
    <w:rsid w:val="00831587"/>
    <w:rsid w:val="00831783"/>
    <w:rsid w:val="00831FE6"/>
    <w:rsid w:val="008324AC"/>
    <w:rsid w:val="00832517"/>
    <w:rsid w:val="0083316E"/>
    <w:rsid w:val="00833502"/>
    <w:rsid w:val="00833C60"/>
    <w:rsid w:val="0083431A"/>
    <w:rsid w:val="008347ED"/>
    <w:rsid w:val="008347F2"/>
    <w:rsid w:val="00835056"/>
    <w:rsid w:val="0083519E"/>
    <w:rsid w:val="00835232"/>
    <w:rsid w:val="00835B23"/>
    <w:rsid w:val="00836A9F"/>
    <w:rsid w:val="00836C30"/>
    <w:rsid w:val="00836D9A"/>
    <w:rsid w:val="00836E6F"/>
    <w:rsid w:val="00836EC5"/>
    <w:rsid w:val="00837238"/>
    <w:rsid w:val="008372E3"/>
    <w:rsid w:val="00837361"/>
    <w:rsid w:val="008373EF"/>
    <w:rsid w:val="00837501"/>
    <w:rsid w:val="00837D11"/>
    <w:rsid w:val="0084001E"/>
    <w:rsid w:val="00840D5C"/>
    <w:rsid w:val="00840DC2"/>
    <w:rsid w:val="0084115E"/>
    <w:rsid w:val="008411A1"/>
    <w:rsid w:val="0084142F"/>
    <w:rsid w:val="00841702"/>
    <w:rsid w:val="00842A7A"/>
    <w:rsid w:val="00842E09"/>
    <w:rsid w:val="0084382A"/>
    <w:rsid w:val="00843A75"/>
    <w:rsid w:val="00843A83"/>
    <w:rsid w:val="00844312"/>
    <w:rsid w:val="0084485B"/>
    <w:rsid w:val="00844B49"/>
    <w:rsid w:val="00844B61"/>
    <w:rsid w:val="008457F1"/>
    <w:rsid w:val="008460C1"/>
    <w:rsid w:val="008468E4"/>
    <w:rsid w:val="00846BED"/>
    <w:rsid w:val="00846BF5"/>
    <w:rsid w:val="00846D98"/>
    <w:rsid w:val="00847196"/>
    <w:rsid w:val="00847369"/>
    <w:rsid w:val="00850002"/>
    <w:rsid w:val="0085015C"/>
    <w:rsid w:val="00850511"/>
    <w:rsid w:val="008505E2"/>
    <w:rsid w:val="00850E0A"/>
    <w:rsid w:val="008511E8"/>
    <w:rsid w:val="00851444"/>
    <w:rsid w:val="008515F1"/>
    <w:rsid w:val="00851AAF"/>
    <w:rsid w:val="0085214F"/>
    <w:rsid w:val="00852308"/>
    <w:rsid w:val="0085334F"/>
    <w:rsid w:val="008537A7"/>
    <w:rsid w:val="00853A07"/>
    <w:rsid w:val="0085444D"/>
    <w:rsid w:val="00854883"/>
    <w:rsid w:val="00854904"/>
    <w:rsid w:val="008553FB"/>
    <w:rsid w:val="00855AB5"/>
    <w:rsid w:val="00855CBE"/>
    <w:rsid w:val="00855CFE"/>
    <w:rsid w:val="00855E3E"/>
    <w:rsid w:val="00855E83"/>
    <w:rsid w:val="00855FF1"/>
    <w:rsid w:val="00857466"/>
    <w:rsid w:val="008578F2"/>
    <w:rsid w:val="0085792E"/>
    <w:rsid w:val="008607DB"/>
    <w:rsid w:val="00860B32"/>
    <w:rsid w:val="00860D44"/>
    <w:rsid w:val="00861018"/>
    <w:rsid w:val="0086151A"/>
    <w:rsid w:val="00861750"/>
    <w:rsid w:val="00861799"/>
    <w:rsid w:val="0086195D"/>
    <w:rsid w:val="008621F9"/>
    <w:rsid w:val="00862637"/>
    <w:rsid w:val="00862D52"/>
    <w:rsid w:val="00862D75"/>
    <w:rsid w:val="00862DCB"/>
    <w:rsid w:val="008633E1"/>
    <w:rsid w:val="00863A68"/>
    <w:rsid w:val="00864473"/>
    <w:rsid w:val="00864C48"/>
    <w:rsid w:val="00865782"/>
    <w:rsid w:val="00865B0C"/>
    <w:rsid w:val="00865D35"/>
    <w:rsid w:val="00865F54"/>
    <w:rsid w:val="00865F86"/>
    <w:rsid w:val="008661FB"/>
    <w:rsid w:val="008663EB"/>
    <w:rsid w:val="00866734"/>
    <w:rsid w:val="00866886"/>
    <w:rsid w:val="00866953"/>
    <w:rsid w:val="00866C54"/>
    <w:rsid w:val="00866E26"/>
    <w:rsid w:val="00867071"/>
    <w:rsid w:val="00867A95"/>
    <w:rsid w:val="00867D4B"/>
    <w:rsid w:val="00871101"/>
    <w:rsid w:val="00871ABC"/>
    <w:rsid w:val="008723F9"/>
    <w:rsid w:val="00872424"/>
    <w:rsid w:val="00872A13"/>
    <w:rsid w:val="00872DA5"/>
    <w:rsid w:val="008732F5"/>
    <w:rsid w:val="008733BD"/>
    <w:rsid w:val="00873C38"/>
    <w:rsid w:val="008743AF"/>
    <w:rsid w:val="00874F60"/>
    <w:rsid w:val="00875196"/>
    <w:rsid w:val="0087585D"/>
    <w:rsid w:val="008759B6"/>
    <w:rsid w:val="00875E0F"/>
    <w:rsid w:val="00876028"/>
    <w:rsid w:val="008761CF"/>
    <w:rsid w:val="00876737"/>
    <w:rsid w:val="00876851"/>
    <w:rsid w:val="00876A0C"/>
    <w:rsid w:val="00877656"/>
    <w:rsid w:val="008778D6"/>
    <w:rsid w:val="00877AE1"/>
    <w:rsid w:val="00877D63"/>
    <w:rsid w:val="008800C5"/>
    <w:rsid w:val="008811DC"/>
    <w:rsid w:val="00881912"/>
    <w:rsid w:val="00881B37"/>
    <w:rsid w:val="00881F6A"/>
    <w:rsid w:val="00882480"/>
    <w:rsid w:val="0088357C"/>
    <w:rsid w:val="00883994"/>
    <w:rsid w:val="00883A73"/>
    <w:rsid w:val="00883B60"/>
    <w:rsid w:val="00883F3E"/>
    <w:rsid w:val="008840C4"/>
    <w:rsid w:val="008840E3"/>
    <w:rsid w:val="0088411E"/>
    <w:rsid w:val="00884176"/>
    <w:rsid w:val="0088480D"/>
    <w:rsid w:val="00884D07"/>
    <w:rsid w:val="00884E33"/>
    <w:rsid w:val="008855AE"/>
    <w:rsid w:val="008856FD"/>
    <w:rsid w:val="00885FBA"/>
    <w:rsid w:val="00886391"/>
    <w:rsid w:val="008863E8"/>
    <w:rsid w:val="008868C8"/>
    <w:rsid w:val="008868CB"/>
    <w:rsid w:val="0088743B"/>
    <w:rsid w:val="008879E5"/>
    <w:rsid w:val="00890106"/>
    <w:rsid w:val="00890DDD"/>
    <w:rsid w:val="008910C0"/>
    <w:rsid w:val="008911D4"/>
    <w:rsid w:val="00891501"/>
    <w:rsid w:val="0089158E"/>
    <w:rsid w:val="00891948"/>
    <w:rsid w:val="00891AC9"/>
    <w:rsid w:val="00891F3D"/>
    <w:rsid w:val="008922E6"/>
    <w:rsid w:val="0089258F"/>
    <w:rsid w:val="0089284B"/>
    <w:rsid w:val="00892BC4"/>
    <w:rsid w:val="00893429"/>
    <w:rsid w:val="00893AF7"/>
    <w:rsid w:val="00893B39"/>
    <w:rsid w:val="00894513"/>
    <w:rsid w:val="00894B61"/>
    <w:rsid w:val="00894D0E"/>
    <w:rsid w:val="008957F6"/>
    <w:rsid w:val="008966B1"/>
    <w:rsid w:val="00896B3D"/>
    <w:rsid w:val="00896BBD"/>
    <w:rsid w:val="00896C09"/>
    <w:rsid w:val="00896C62"/>
    <w:rsid w:val="00896CEF"/>
    <w:rsid w:val="00897A7D"/>
    <w:rsid w:val="00897D20"/>
    <w:rsid w:val="008A0614"/>
    <w:rsid w:val="008A0AB4"/>
    <w:rsid w:val="008A0DE7"/>
    <w:rsid w:val="008A1728"/>
    <w:rsid w:val="008A19E8"/>
    <w:rsid w:val="008A2287"/>
    <w:rsid w:val="008A3485"/>
    <w:rsid w:val="008A41AA"/>
    <w:rsid w:val="008A4567"/>
    <w:rsid w:val="008A471C"/>
    <w:rsid w:val="008A48D9"/>
    <w:rsid w:val="008A4CB7"/>
    <w:rsid w:val="008A535B"/>
    <w:rsid w:val="008A5700"/>
    <w:rsid w:val="008A57F9"/>
    <w:rsid w:val="008A5B0C"/>
    <w:rsid w:val="008A5DFF"/>
    <w:rsid w:val="008A6230"/>
    <w:rsid w:val="008A6479"/>
    <w:rsid w:val="008A6623"/>
    <w:rsid w:val="008A6EB0"/>
    <w:rsid w:val="008A706D"/>
    <w:rsid w:val="008A7160"/>
    <w:rsid w:val="008A788A"/>
    <w:rsid w:val="008A7F95"/>
    <w:rsid w:val="008B09F4"/>
    <w:rsid w:val="008B0B2D"/>
    <w:rsid w:val="008B0DA7"/>
    <w:rsid w:val="008B1103"/>
    <w:rsid w:val="008B161F"/>
    <w:rsid w:val="008B1756"/>
    <w:rsid w:val="008B1DAE"/>
    <w:rsid w:val="008B2118"/>
    <w:rsid w:val="008B2791"/>
    <w:rsid w:val="008B32F3"/>
    <w:rsid w:val="008B3389"/>
    <w:rsid w:val="008B33CA"/>
    <w:rsid w:val="008B3852"/>
    <w:rsid w:val="008B40DD"/>
    <w:rsid w:val="008B4366"/>
    <w:rsid w:val="008B5983"/>
    <w:rsid w:val="008B5FE0"/>
    <w:rsid w:val="008B62AF"/>
    <w:rsid w:val="008B6EAC"/>
    <w:rsid w:val="008B7177"/>
    <w:rsid w:val="008B7C6C"/>
    <w:rsid w:val="008B7DEB"/>
    <w:rsid w:val="008C003B"/>
    <w:rsid w:val="008C00D4"/>
    <w:rsid w:val="008C03B4"/>
    <w:rsid w:val="008C074A"/>
    <w:rsid w:val="008C0B72"/>
    <w:rsid w:val="008C0D27"/>
    <w:rsid w:val="008C0F4C"/>
    <w:rsid w:val="008C178A"/>
    <w:rsid w:val="008C1D41"/>
    <w:rsid w:val="008C2489"/>
    <w:rsid w:val="008C2C3E"/>
    <w:rsid w:val="008C2F2E"/>
    <w:rsid w:val="008C3271"/>
    <w:rsid w:val="008C3B02"/>
    <w:rsid w:val="008C41C5"/>
    <w:rsid w:val="008C449E"/>
    <w:rsid w:val="008C4582"/>
    <w:rsid w:val="008C4724"/>
    <w:rsid w:val="008C4BD9"/>
    <w:rsid w:val="008C556A"/>
    <w:rsid w:val="008C6123"/>
    <w:rsid w:val="008C66B7"/>
    <w:rsid w:val="008C6723"/>
    <w:rsid w:val="008C7002"/>
    <w:rsid w:val="008C733E"/>
    <w:rsid w:val="008C76EA"/>
    <w:rsid w:val="008C7BAB"/>
    <w:rsid w:val="008C7CC0"/>
    <w:rsid w:val="008D02BB"/>
    <w:rsid w:val="008D035B"/>
    <w:rsid w:val="008D07C6"/>
    <w:rsid w:val="008D116D"/>
    <w:rsid w:val="008D1725"/>
    <w:rsid w:val="008D1799"/>
    <w:rsid w:val="008D1963"/>
    <w:rsid w:val="008D1B8E"/>
    <w:rsid w:val="008D1F7C"/>
    <w:rsid w:val="008D2441"/>
    <w:rsid w:val="008D2778"/>
    <w:rsid w:val="008D28FD"/>
    <w:rsid w:val="008D2AFC"/>
    <w:rsid w:val="008D31FF"/>
    <w:rsid w:val="008D3506"/>
    <w:rsid w:val="008D3FF6"/>
    <w:rsid w:val="008D4092"/>
    <w:rsid w:val="008D41C6"/>
    <w:rsid w:val="008D41E1"/>
    <w:rsid w:val="008D42CE"/>
    <w:rsid w:val="008D461F"/>
    <w:rsid w:val="008D465B"/>
    <w:rsid w:val="008D46E0"/>
    <w:rsid w:val="008D5277"/>
    <w:rsid w:val="008D5291"/>
    <w:rsid w:val="008D5525"/>
    <w:rsid w:val="008D5E0D"/>
    <w:rsid w:val="008D6C20"/>
    <w:rsid w:val="008D6C30"/>
    <w:rsid w:val="008D76BD"/>
    <w:rsid w:val="008D7A97"/>
    <w:rsid w:val="008D7DFA"/>
    <w:rsid w:val="008E02F0"/>
    <w:rsid w:val="008E0A82"/>
    <w:rsid w:val="008E0D7C"/>
    <w:rsid w:val="008E15C4"/>
    <w:rsid w:val="008E19AB"/>
    <w:rsid w:val="008E1A4F"/>
    <w:rsid w:val="008E211A"/>
    <w:rsid w:val="008E2137"/>
    <w:rsid w:val="008E272F"/>
    <w:rsid w:val="008E27AE"/>
    <w:rsid w:val="008E2AC6"/>
    <w:rsid w:val="008E2BC8"/>
    <w:rsid w:val="008E31E1"/>
    <w:rsid w:val="008E41F9"/>
    <w:rsid w:val="008E4940"/>
    <w:rsid w:val="008E52F7"/>
    <w:rsid w:val="008E5359"/>
    <w:rsid w:val="008E56D5"/>
    <w:rsid w:val="008E58C2"/>
    <w:rsid w:val="008E5A15"/>
    <w:rsid w:val="008E5FB0"/>
    <w:rsid w:val="008E6097"/>
    <w:rsid w:val="008E62B4"/>
    <w:rsid w:val="008E6DDE"/>
    <w:rsid w:val="008E71CE"/>
    <w:rsid w:val="008E760E"/>
    <w:rsid w:val="008E7A16"/>
    <w:rsid w:val="008F036A"/>
    <w:rsid w:val="008F071E"/>
    <w:rsid w:val="008F0AEE"/>
    <w:rsid w:val="008F0DDC"/>
    <w:rsid w:val="008F11BC"/>
    <w:rsid w:val="008F1447"/>
    <w:rsid w:val="008F18C4"/>
    <w:rsid w:val="008F1ADE"/>
    <w:rsid w:val="008F221D"/>
    <w:rsid w:val="008F23D7"/>
    <w:rsid w:val="008F2849"/>
    <w:rsid w:val="008F28A0"/>
    <w:rsid w:val="008F28ED"/>
    <w:rsid w:val="008F2A97"/>
    <w:rsid w:val="008F2C0C"/>
    <w:rsid w:val="008F2D61"/>
    <w:rsid w:val="008F2F25"/>
    <w:rsid w:val="008F2F77"/>
    <w:rsid w:val="008F315E"/>
    <w:rsid w:val="008F339F"/>
    <w:rsid w:val="008F3E2A"/>
    <w:rsid w:val="008F4175"/>
    <w:rsid w:val="008F443D"/>
    <w:rsid w:val="008F46C8"/>
    <w:rsid w:val="008F46E9"/>
    <w:rsid w:val="008F4783"/>
    <w:rsid w:val="008F4A13"/>
    <w:rsid w:val="008F4F46"/>
    <w:rsid w:val="008F506D"/>
    <w:rsid w:val="008F579F"/>
    <w:rsid w:val="008F5BA0"/>
    <w:rsid w:val="008F5F8F"/>
    <w:rsid w:val="008F6414"/>
    <w:rsid w:val="008F643F"/>
    <w:rsid w:val="008F6E66"/>
    <w:rsid w:val="008F7288"/>
    <w:rsid w:val="008F7561"/>
    <w:rsid w:val="008F7915"/>
    <w:rsid w:val="008F7BDB"/>
    <w:rsid w:val="008F7CCD"/>
    <w:rsid w:val="00900711"/>
    <w:rsid w:val="00900C66"/>
    <w:rsid w:val="009016FE"/>
    <w:rsid w:val="00901914"/>
    <w:rsid w:val="009019CA"/>
    <w:rsid w:val="009019EF"/>
    <w:rsid w:val="00901C29"/>
    <w:rsid w:val="00903145"/>
    <w:rsid w:val="0090328D"/>
    <w:rsid w:val="00903B25"/>
    <w:rsid w:val="009046FB"/>
    <w:rsid w:val="009047D4"/>
    <w:rsid w:val="00904BFD"/>
    <w:rsid w:val="00905585"/>
    <w:rsid w:val="0090558F"/>
    <w:rsid w:val="00905788"/>
    <w:rsid w:val="0090580E"/>
    <w:rsid w:val="00906445"/>
    <w:rsid w:val="00906645"/>
    <w:rsid w:val="0090672B"/>
    <w:rsid w:val="00910248"/>
    <w:rsid w:val="00910560"/>
    <w:rsid w:val="00910569"/>
    <w:rsid w:val="00910617"/>
    <w:rsid w:val="009110E8"/>
    <w:rsid w:val="00911152"/>
    <w:rsid w:val="00911988"/>
    <w:rsid w:val="00911A4D"/>
    <w:rsid w:val="00911AC2"/>
    <w:rsid w:val="00911B71"/>
    <w:rsid w:val="009125F8"/>
    <w:rsid w:val="00912BB1"/>
    <w:rsid w:val="00913A34"/>
    <w:rsid w:val="00915C1B"/>
    <w:rsid w:val="00915E2D"/>
    <w:rsid w:val="0091640C"/>
    <w:rsid w:val="00917125"/>
    <w:rsid w:val="00917A88"/>
    <w:rsid w:val="00917F8C"/>
    <w:rsid w:val="0092134E"/>
    <w:rsid w:val="009213B2"/>
    <w:rsid w:val="009216B5"/>
    <w:rsid w:val="00921985"/>
    <w:rsid w:val="009224C4"/>
    <w:rsid w:val="00923400"/>
    <w:rsid w:val="009235A2"/>
    <w:rsid w:val="00924669"/>
    <w:rsid w:val="00924DF6"/>
    <w:rsid w:val="00924FCA"/>
    <w:rsid w:val="00925074"/>
    <w:rsid w:val="0092513C"/>
    <w:rsid w:val="009253BC"/>
    <w:rsid w:val="0092601A"/>
    <w:rsid w:val="009264FE"/>
    <w:rsid w:val="00926C4A"/>
    <w:rsid w:val="009279E2"/>
    <w:rsid w:val="00927E3B"/>
    <w:rsid w:val="00927EB6"/>
    <w:rsid w:val="00930236"/>
    <w:rsid w:val="00930348"/>
    <w:rsid w:val="0093043C"/>
    <w:rsid w:val="009309B2"/>
    <w:rsid w:val="0093171B"/>
    <w:rsid w:val="0093179F"/>
    <w:rsid w:val="00932597"/>
    <w:rsid w:val="0093296D"/>
    <w:rsid w:val="00932A6D"/>
    <w:rsid w:val="009331B0"/>
    <w:rsid w:val="00933B38"/>
    <w:rsid w:val="00933DE7"/>
    <w:rsid w:val="00934180"/>
    <w:rsid w:val="00934D7F"/>
    <w:rsid w:val="00935714"/>
    <w:rsid w:val="00935806"/>
    <w:rsid w:val="00936408"/>
    <w:rsid w:val="00936B20"/>
    <w:rsid w:val="00936DB5"/>
    <w:rsid w:val="00936FF3"/>
    <w:rsid w:val="00937D78"/>
    <w:rsid w:val="009402F5"/>
    <w:rsid w:val="00940444"/>
    <w:rsid w:val="00940A6B"/>
    <w:rsid w:val="009411A8"/>
    <w:rsid w:val="009412A0"/>
    <w:rsid w:val="00941635"/>
    <w:rsid w:val="009416B2"/>
    <w:rsid w:val="009417E6"/>
    <w:rsid w:val="009417F0"/>
    <w:rsid w:val="009421C7"/>
    <w:rsid w:val="00942721"/>
    <w:rsid w:val="00942763"/>
    <w:rsid w:val="009433A4"/>
    <w:rsid w:val="009438F0"/>
    <w:rsid w:val="009439E4"/>
    <w:rsid w:val="00943E20"/>
    <w:rsid w:val="00943E35"/>
    <w:rsid w:val="00943E6F"/>
    <w:rsid w:val="00943F3F"/>
    <w:rsid w:val="00943F76"/>
    <w:rsid w:val="009440B6"/>
    <w:rsid w:val="00944593"/>
    <w:rsid w:val="00944F72"/>
    <w:rsid w:val="00945062"/>
    <w:rsid w:val="009452C0"/>
    <w:rsid w:val="00945A16"/>
    <w:rsid w:val="00945BE9"/>
    <w:rsid w:val="00946574"/>
    <w:rsid w:val="009465C8"/>
    <w:rsid w:val="00946A9D"/>
    <w:rsid w:val="00946BBF"/>
    <w:rsid w:val="00946FFF"/>
    <w:rsid w:val="00947100"/>
    <w:rsid w:val="00947903"/>
    <w:rsid w:val="009500B1"/>
    <w:rsid w:val="00950201"/>
    <w:rsid w:val="0095055F"/>
    <w:rsid w:val="00950F9D"/>
    <w:rsid w:val="00951505"/>
    <w:rsid w:val="00951755"/>
    <w:rsid w:val="0095208F"/>
    <w:rsid w:val="0095210A"/>
    <w:rsid w:val="00952246"/>
    <w:rsid w:val="009524A8"/>
    <w:rsid w:val="00952505"/>
    <w:rsid w:val="009526E8"/>
    <w:rsid w:val="0095283C"/>
    <w:rsid w:val="00952E22"/>
    <w:rsid w:val="009532D3"/>
    <w:rsid w:val="009536EA"/>
    <w:rsid w:val="009545A8"/>
    <w:rsid w:val="009548A0"/>
    <w:rsid w:val="00954B1E"/>
    <w:rsid w:val="00955EDC"/>
    <w:rsid w:val="00956418"/>
    <w:rsid w:val="009566BA"/>
    <w:rsid w:val="009574CD"/>
    <w:rsid w:val="009575E4"/>
    <w:rsid w:val="00957762"/>
    <w:rsid w:val="00960537"/>
    <w:rsid w:val="009606F2"/>
    <w:rsid w:val="00960CA3"/>
    <w:rsid w:val="00960D3B"/>
    <w:rsid w:val="00961336"/>
    <w:rsid w:val="009617D9"/>
    <w:rsid w:val="00961838"/>
    <w:rsid w:val="009618C5"/>
    <w:rsid w:val="00961CBA"/>
    <w:rsid w:val="00961FCD"/>
    <w:rsid w:val="00962049"/>
    <w:rsid w:val="0096272E"/>
    <w:rsid w:val="00962CD0"/>
    <w:rsid w:val="00962E3A"/>
    <w:rsid w:val="00962ECA"/>
    <w:rsid w:val="00963111"/>
    <w:rsid w:val="00964672"/>
    <w:rsid w:val="00964D81"/>
    <w:rsid w:val="00965209"/>
    <w:rsid w:val="00965620"/>
    <w:rsid w:val="0096569E"/>
    <w:rsid w:val="009656D4"/>
    <w:rsid w:val="00965E27"/>
    <w:rsid w:val="009660BB"/>
    <w:rsid w:val="009662B4"/>
    <w:rsid w:val="009664E1"/>
    <w:rsid w:val="00966564"/>
    <w:rsid w:val="00966663"/>
    <w:rsid w:val="00966FB3"/>
    <w:rsid w:val="00967076"/>
    <w:rsid w:val="00967149"/>
    <w:rsid w:val="009675F6"/>
    <w:rsid w:val="00967F6F"/>
    <w:rsid w:val="009708F5"/>
    <w:rsid w:val="00970A20"/>
    <w:rsid w:val="00971270"/>
    <w:rsid w:val="0097140D"/>
    <w:rsid w:val="009715FE"/>
    <w:rsid w:val="0097176E"/>
    <w:rsid w:val="00971776"/>
    <w:rsid w:val="00971B77"/>
    <w:rsid w:val="00971E85"/>
    <w:rsid w:val="00971E96"/>
    <w:rsid w:val="00972655"/>
    <w:rsid w:val="00972B86"/>
    <w:rsid w:val="00972BD3"/>
    <w:rsid w:val="00972E2C"/>
    <w:rsid w:val="00972E58"/>
    <w:rsid w:val="00972F04"/>
    <w:rsid w:val="00973110"/>
    <w:rsid w:val="009735B0"/>
    <w:rsid w:val="00973CD4"/>
    <w:rsid w:val="00973F50"/>
    <w:rsid w:val="00974003"/>
    <w:rsid w:val="00974178"/>
    <w:rsid w:val="009741D4"/>
    <w:rsid w:val="00974236"/>
    <w:rsid w:val="0097515F"/>
    <w:rsid w:val="00975175"/>
    <w:rsid w:val="00975977"/>
    <w:rsid w:val="00975DDC"/>
    <w:rsid w:val="00976873"/>
    <w:rsid w:val="00976C96"/>
    <w:rsid w:val="00976DFE"/>
    <w:rsid w:val="00976E61"/>
    <w:rsid w:val="00977964"/>
    <w:rsid w:val="00977A5E"/>
    <w:rsid w:val="00977EA8"/>
    <w:rsid w:val="009807FA"/>
    <w:rsid w:val="00980928"/>
    <w:rsid w:val="00980CA5"/>
    <w:rsid w:val="00980CFE"/>
    <w:rsid w:val="00980E73"/>
    <w:rsid w:val="00981418"/>
    <w:rsid w:val="00981E46"/>
    <w:rsid w:val="0098212C"/>
    <w:rsid w:val="00982184"/>
    <w:rsid w:val="009821DF"/>
    <w:rsid w:val="009822B4"/>
    <w:rsid w:val="009823BD"/>
    <w:rsid w:val="00982C15"/>
    <w:rsid w:val="00982D36"/>
    <w:rsid w:val="00982F1E"/>
    <w:rsid w:val="009834C6"/>
    <w:rsid w:val="00983D7F"/>
    <w:rsid w:val="00984086"/>
    <w:rsid w:val="009845AE"/>
    <w:rsid w:val="00984AE9"/>
    <w:rsid w:val="00984E6E"/>
    <w:rsid w:val="00985576"/>
    <w:rsid w:val="009857B0"/>
    <w:rsid w:val="00985801"/>
    <w:rsid w:val="00985A70"/>
    <w:rsid w:val="00985BDA"/>
    <w:rsid w:val="009861B1"/>
    <w:rsid w:val="00986545"/>
    <w:rsid w:val="00986B30"/>
    <w:rsid w:val="00986C94"/>
    <w:rsid w:val="00987A51"/>
    <w:rsid w:val="00987AC6"/>
    <w:rsid w:val="009900DC"/>
    <w:rsid w:val="009901DF"/>
    <w:rsid w:val="00990521"/>
    <w:rsid w:val="0099099F"/>
    <w:rsid w:val="00990C48"/>
    <w:rsid w:val="0099119F"/>
    <w:rsid w:val="0099126E"/>
    <w:rsid w:val="00991782"/>
    <w:rsid w:val="009930B7"/>
    <w:rsid w:val="009931C6"/>
    <w:rsid w:val="0099387A"/>
    <w:rsid w:val="00993BFE"/>
    <w:rsid w:val="00993E6C"/>
    <w:rsid w:val="00994486"/>
    <w:rsid w:val="00994780"/>
    <w:rsid w:val="009949E8"/>
    <w:rsid w:val="00995B19"/>
    <w:rsid w:val="00995C67"/>
    <w:rsid w:val="0099635F"/>
    <w:rsid w:val="00996378"/>
    <w:rsid w:val="0099654C"/>
    <w:rsid w:val="00996930"/>
    <w:rsid w:val="00996E8C"/>
    <w:rsid w:val="00997143"/>
    <w:rsid w:val="009972F3"/>
    <w:rsid w:val="009973AD"/>
    <w:rsid w:val="00997856"/>
    <w:rsid w:val="009A0189"/>
    <w:rsid w:val="009A0AE9"/>
    <w:rsid w:val="009A134A"/>
    <w:rsid w:val="009A1736"/>
    <w:rsid w:val="009A1895"/>
    <w:rsid w:val="009A1A4E"/>
    <w:rsid w:val="009A1FCE"/>
    <w:rsid w:val="009A20AD"/>
    <w:rsid w:val="009A2D65"/>
    <w:rsid w:val="009A2DC8"/>
    <w:rsid w:val="009A372F"/>
    <w:rsid w:val="009A3B6C"/>
    <w:rsid w:val="009A3DAB"/>
    <w:rsid w:val="009A4306"/>
    <w:rsid w:val="009A44F3"/>
    <w:rsid w:val="009A57BE"/>
    <w:rsid w:val="009A5BB2"/>
    <w:rsid w:val="009A5D6D"/>
    <w:rsid w:val="009A5E2C"/>
    <w:rsid w:val="009A701C"/>
    <w:rsid w:val="009A716D"/>
    <w:rsid w:val="009A7402"/>
    <w:rsid w:val="009B0083"/>
    <w:rsid w:val="009B0382"/>
    <w:rsid w:val="009B092B"/>
    <w:rsid w:val="009B13C8"/>
    <w:rsid w:val="009B1637"/>
    <w:rsid w:val="009B1669"/>
    <w:rsid w:val="009B1951"/>
    <w:rsid w:val="009B1CA9"/>
    <w:rsid w:val="009B1F3A"/>
    <w:rsid w:val="009B20B8"/>
    <w:rsid w:val="009B21F6"/>
    <w:rsid w:val="009B2376"/>
    <w:rsid w:val="009B26CA"/>
    <w:rsid w:val="009B2CF2"/>
    <w:rsid w:val="009B2E35"/>
    <w:rsid w:val="009B3352"/>
    <w:rsid w:val="009B378E"/>
    <w:rsid w:val="009B3A23"/>
    <w:rsid w:val="009B3B74"/>
    <w:rsid w:val="009B4524"/>
    <w:rsid w:val="009B46E1"/>
    <w:rsid w:val="009B4AB5"/>
    <w:rsid w:val="009B504F"/>
    <w:rsid w:val="009B5140"/>
    <w:rsid w:val="009B5535"/>
    <w:rsid w:val="009B5598"/>
    <w:rsid w:val="009B5FD7"/>
    <w:rsid w:val="009B6843"/>
    <w:rsid w:val="009B6BCC"/>
    <w:rsid w:val="009B6EB7"/>
    <w:rsid w:val="009B7138"/>
    <w:rsid w:val="009B784D"/>
    <w:rsid w:val="009B7868"/>
    <w:rsid w:val="009B7F07"/>
    <w:rsid w:val="009C008A"/>
    <w:rsid w:val="009C1111"/>
    <w:rsid w:val="009C1365"/>
    <w:rsid w:val="009C1685"/>
    <w:rsid w:val="009C2091"/>
    <w:rsid w:val="009C273B"/>
    <w:rsid w:val="009C2799"/>
    <w:rsid w:val="009C291F"/>
    <w:rsid w:val="009C2D24"/>
    <w:rsid w:val="009C3168"/>
    <w:rsid w:val="009C3205"/>
    <w:rsid w:val="009C3895"/>
    <w:rsid w:val="009C3943"/>
    <w:rsid w:val="009C39DB"/>
    <w:rsid w:val="009C3CA3"/>
    <w:rsid w:val="009C3E4F"/>
    <w:rsid w:val="009C45BA"/>
    <w:rsid w:val="009C4610"/>
    <w:rsid w:val="009C4882"/>
    <w:rsid w:val="009C61C2"/>
    <w:rsid w:val="009C62C1"/>
    <w:rsid w:val="009C6556"/>
    <w:rsid w:val="009C6DAA"/>
    <w:rsid w:val="009C70BD"/>
    <w:rsid w:val="009C71C9"/>
    <w:rsid w:val="009C7376"/>
    <w:rsid w:val="009C7404"/>
    <w:rsid w:val="009C7770"/>
    <w:rsid w:val="009D00F4"/>
    <w:rsid w:val="009D0194"/>
    <w:rsid w:val="009D0AE0"/>
    <w:rsid w:val="009D0B4D"/>
    <w:rsid w:val="009D112E"/>
    <w:rsid w:val="009D1276"/>
    <w:rsid w:val="009D16D4"/>
    <w:rsid w:val="009D1B8B"/>
    <w:rsid w:val="009D2850"/>
    <w:rsid w:val="009D2B32"/>
    <w:rsid w:val="009D3082"/>
    <w:rsid w:val="009D3B77"/>
    <w:rsid w:val="009D3B9F"/>
    <w:rsid w:val="009D3C23"/>
    <w:rsid w:val="009D4047"/>
    <w:rsid w:val="009D4396"/>
    <w:rsid w:val="009D43AA"/>
    <w:rsid w:val="009D43AB"/>
    <w:rsid w:val="009D5425"/>
    <w:rsid w:val="009D598F"/>
    <w:rsid w:val="009D5E55"/>
    <w:rsid w:val="009D723A"/>
    <w:rsid w:val="009D7523"/>
    <w:rsid w:val="009D7660"/>
    <w:rsid w:val="009D7909"/>
    <w:rsid w:val="009D7C28"/>
    <w:rsid w:val="009E00B9"/>
    <w:rsid w:val="009E0127"/>
    <w:rsid w:val="009E04D3"/>
    <w:rsid w:val="009E0A70"/>
    <w:rsid w:val="009E0C6B"/>
    <w:rsid w:val="009E13B6"/>
    <w:rsid w:val="009E1E6C"/>
    <w:rsid w:val="009E2186"/>
    <w:rsid w:val="009E2811"/>
    <w:rsid w:val="009E2B6B"/>
    <w:rsid w:val="009E2FE1"/>
    <w:rsid w:val="009E31B2"/>
    <w:rsid w:val="009E3310"/>
    <w:rsid w:val="009E3441"/>
    <w:rsid w:val="009E3743"/>
    <w:rsid w:val="009E37BB"/>
    <w:rsid w:val="009E3BD5"/>
    <w:rsid w:val="009E43CE"/>
    <w:rsid w:val="009E49A3"/>
    <w:rsid w:val="009E4CC2"/>
    <w:rsid w:val="009E51D5"/>
    <w:rsid w:val="009E5BCF"/>
    <w:rsid w:val="009E6A81"/>
    <w:rsid w:val="009E6AE0"/>
    <w:rsid w:val="009E6B2A"/>
    <w:rsid w:val="009E70FC"/>
    <w:rsid w:val="009E71BD"/>
    <w:rsid w:val="009E7861"/>
    <w:rsid w:val="009E7912"/>
    <w:rsid w:val="009F02C1"/>
    <w:rsid w:val="009F0525"/>
    <w:rsid w:val="009F122A"/>
    <w:rsid w:val="009F1B21"/>
    <w:rsid w:val="009F3258"/>
    <w:rsid w:val="009F3512"/>
    <w:rsid w:val="009F396E"/>
    <w:rsid w:val="009F3E2A"/>
    <w:rsid w:val="009F5868"/>
    <w:rsid w:val="009F5B8C"/>
    <w:rsid w:val="009F61C4"/>
    <w:rsid w:val="009F643C"/>
    <w:rsid w:val="009F6845"/>
    <w:rsid w:val="009F6B41"/>
    <w:rsid w:val="009F6BFE"/>
    <w:rsid w:val="009F6D5A"/>
    <w:rsid w:val="009F7045"/>
    <w:rsid w:val="009F7369"/>
    <w:rsid w:val="009F73FE"/>
    <w:rsid w:val="009F75F1"/>
    <w:rsid w:val="009F7610"/>
    <w:rsid w:val="009F76A5"/>
    <w:rsid w:val="00A0023F"/>
    <w:rsid w:val="00A009C2"/>
    <w:rsid w:val="00A00CC5"/>
    <w:rsid w:val="00A013E8"/>
    <w:rsid w:val="00A01736"/>
    <w:rsid w:val="00A01A7A"/>
    <w:rsid w:val="00A01BD9"/>
    <w:rsid w:val="00A02C9B"/>
    <w:rsid w:val="00A02E43"/>
    <w:rsid w:val="00A03104"/>
    <w:rsid w:val="00A03706"/>
    <w:rsid w:val="00A03D00"/>
    <w:rsid w:val="00A03D12"/>
    <w:rsid w:val="00A03E39"/>
    <w:rsid w:val="00A04354"/>
    <w:rsid w:val="00A045BB"/>
    <w:rsid w:val="00A047D5"/>
    <w:rsid w:val="00A0485F"/>
    <w:rsid w:val="00A04F25"/>
    <w:rsid w:val="00A05414"/>
    <w:rsid w:val="00A054B8"/>
    <w:rsid w:val="00A0568A"/>
    <w:rsid w:val="00A0568E"/>
    <w:rsid w:val="00A05DC3"/>
    <w:rsid w:val="00A05FFE"/>
    <w:rsid w:val="00A066EE"/>
    <w:rsid w:val="00A06865"/>
    <w:rsid w:val="00A07091"/>
    <w:rsid w:val="00A072B6"/>
    <w:rsid w:val="00A104C6"/>
    <w:rsid w:val="00A10649"/>
    <w:rsid w:val="00A10E24"/>
    <w:rsid w:val="00A1212D"/>
    <w:rsid w:val="00A1221F"/>
    <w:rsid w:val="00A12269"/>
    <w:rsid w:val="00A12472"/>
    <w:rsid w:val="00A126E5"/>
    <w:rsid w:val="00A12AAD"/>
    <w:rsid w:val="00A12ABF"/>
    <w:rsid w:val="00A12C4E"/>
    <w:rsid w:val="00A131F4"/>
    <w:rsid w:val="00A13916"/>
    <w:rsid w:val="00A13D11"/>
    <w:rsid w:val="00A13F6B"/>
    <w:rsid w:val="00A1423A"/>
    <w:rsid w:val="00A149D3"/>
    <w:rsid w:val="00A1501F"/>
    <w:rsid w:val="00A15692"/>
    <w:rsid w:val="00A15743"/>
    <w:rsid w:val="00A15A99"/>
    <w:rsid w:val="00A15FB4"/>
    <w:rsid w:val="00A16814"/>
    <w:rsid w:val="00A16A7E"/>
    <w:rsid w:val="00A1777C"/>
    <w:rsid w:val="00A177E1"/>
    <w:rsid w:val="00A17844"/>
    <w:rsid w:val="00A178E3"/>
    <w:rsid w:val="00A17A3B"/>
    <w:rsid w:val="00A200B5"/>
    <w:rsid w:val="00A20784"/>
    <w:rsid w:val="00A21830"/>
    <w:rsid w:val="00A220DD"/>
    <w:rsid w:val="00A228BB"/>
    <w:rsid w:val="00A22B83"/>
    <w:rsid w:val="00A22EC0"/>
    <w:rsid w:val="00A2361E"/>
    <w:rsid w:val="00A23D53"/>
    <w:rsid w:val="00A2432E"/>
    <w:rsid w:val="00A243B0"/>
    <w:rsid w:val="00A24A26"/>
    <w:rsid w:val="00A25411"/>
    <w:rsid w:val="00A2572B"/>
    <w:rsid w:val="00A258FA"/>
    <w:rsid w:val="00A25A08"/>
    <w:rsid w:val="00A25CE3"/>
    <w:rsid w:val="00A25EBA"/>
    <w:rsid w:val="00A26839"/>
    <w:rsid w:val="00A26CE8"/>
    <w:rsid w:val="00A26D0C"/>
    <w:rsid w:val="00A2724D"/>
    <w:rsid w:val="00A273F5"/>
    <w:rsid w:val="00A2756C"/>
    <w:rsid w:val="00A275CA"/>
    <w:rsid w:val="00A275D1"/>
    <w:rsid w:val="00A276AB"/>
    <w:rsid w:val="00A276E5"/>
    <w:rsid w:val="00A27B6A"/>
    <w:rsid w:val="00A305C6"/>
    <w:rsid w:val="00A306E9"/>
    <w:rsid w:val="00A30C3C"/>
    <w:rsid w:val="00A30CA6"/>
    <w:rsid w:val="00A30E2D"/>
    <w:rsid w:val="00A30FFD"/>
    <w:rsid w:val="00A31497"/>
    <w:rsid w:val="00A314E4"/>
    <w:rsid w:val="00A31AD2"/>
    <w:rsid w:val="00A31B25"/>
    <w:rsid w:val="00A32151"/>
    <w:rsid w:val="00A32397"/>
    <w:rsid w:val="00A3244A"/>
    <w:rsid w:val="00A328B3"/>
    <w:rsid w:val="00A342E2"/>
    <w:rsid w:val="00A349DB"/>
    <w:rsid w:val="00A34DBC"/>
    <w:rsid w:val="00A35021"/>
    <w:rsid w:val="00A356FA"/>
    <w:rsid w:val="00A35D81"/>
    <w:rsid w:val="00A35EA0"/>
    <w:rsid w:val="00A360C8"/>
    <w:rsid w:val="00A361E2"/>
    <w:rsid w:val="00A36790"/>
    <w:rsid w:val="00A3687A"/>
    <w:rsid w:val="00A3688A"/>
    <w:rsid w:val="00A36B31"/>
    <w:rsid w:val="00A371D3"/>
    <w:rsid w:val="00A3757A"/>
    <w:rsid w:val="00A37591"/>
    <w:rsid w:val="00A40585"/>
    <w:rsid w:val="00A4098B"/>
    <w:rsid w:val="00A40A87"/>
    <w:rsid w:val="00A40C22"/>
    <w:rsid w:val="00A411E0"/>
    <w:rsid w:val="00A4185B"/>
    <w:rsid w:val="00A420A7"/>
    <w:rsid w:val="00A42142"/>
    <w:rsid w:val="00A42522"/>
    <w:rsid w:val="00A42F0C"/>
    <w:rsid w:val="00A4369B"/>
    <w:rsid w:val="00A4405F"/>
    <w:rsid w:val="00A44840"/>
    <w:rsid w:val="00A44A03"/>
    <w:rsid w:val="00A44A3A"/>
    <w:rsid w:val="00A44D1F"/>
    <w:rsid w:val="00A45388"/>
    <w:rsid w:val="00A45389"/>
    <w:rsid w:val="00A45F6A"/>
    <w:rsid w:val="00A46326"/>
    <w:rsid w:val="00A46378"/>
    <w:rsid w:val="00A465DD"/>
    <w:rsid w:val="00A4697D"/>
    <w:rsid w:val="00A46BDE"/>
    <w:rsid w:val="00A4738A"/>
    <w:rsid w:val="00A47C01"/>
    <w:rsid w:val="00A47D8B"/>
    <w:rsid w:val="00A514AB"/>
    <w:rsid w:val="00A51536"/>
    <w:rsid w:val="00A516DA"/>
    <w:rsid w:val="00A52336"/>
    <w:rsid w:val="00A52A9A"/>
    <w:rsid w:val="00A5317E"/>
    <w:rsid w:val="00A533DB"/>
    <w:rsid w:val="00A543BB"/>
    <w:rsid w:val="00A544B1"/>
    <w:rsid w:val="00A545D9"/>
    <w:rsid w:val="00A54D23"/>
    <w:rsid w:val="00A55150"/>
    <w:rsid w:val="00A55B07"/>
    <w:rsid w:val="00A55E39"/>
    <w:rsid w:val="00A55FE8"/>
    <w:rsid w:val="00A56204"/>
    <w:rsid w:val="00A5664D"/>
    <w:rsid w:val="00A5678D"/>
    <w:rsid w:val="00A56B0F"/>
    <w:rsid w:val="00A56FD8"/>
    <w:rsid w:val="00A573FA"/>
    <w:rsid w:val="00A5743F"/>
    <w:rsid w:val="00A575E2"/>
    <w:rsid w:val="00A57867"/>
    <w:rsid w:val="00A57A5D"/>
    <w:rsid w:val="00A57F15"/>
    <w:rsid w:val="00A60267"/>
    <w:rsid w:val="00A60BA9"/>
    <w:rsid w:val="00A60E15"/>
    <w:rsid w:val="00A614E9"/>
    <w:rsid w:val="00A615E2"/>
    <w:rsid w:val="00A61A04"/>
    <w:rsid w:val="00A61C73"/>
    <w:rsid w:val="00A61E45"/>
    <w:rsid w:val="00A6201B"/>
    <w:rsid w:val="00A62C82"/>
    <w:rsid w:val="00A631F0"/>
    <w:rsid w:val="00A63467"/>
    <w:rsid w:val="00A63AB8"/>
    <w:rsid w:val="00A64283"/>
    <w:rsid w:val="00A647A4"/>
    <w:rsid w:val="00A64CC5"/>
    <w:rsid w:val="00A64D3D"/>
    <w:rsid w:val="00A6524E"/>
    <w:rsid w:val="00A654C6"/>
    <w:rsid w:val="00A65585"/>
    <w:rsid w:val="00A65A54"/>
    <w:rsid w:val="00A65BF3"/>
    <w:rsid w:val="00A6669E"/>
    <w:rsid w:val="00A66B2B"/>
    <w:rsid w:val="00A66B78"/>
    <w:rsid w:val="00A66CE8"/>
    <w:rsid w:val="00A66E3C"/>
    <w:rsid w:val="00A6755A"/>
    <w:rsid w:val="00A67C47"/>
    <w:rsid w:val="00A71232"/>
    <w:rsid w:val="00A71344"/>
    <w:rsid w:val="00A71348"/>
    <w:rsid w:val="00A7174A"/>
    <w:rsid w:val="00A719F7"/>
    <w:rsid w:val="00A71E7E"/>
    <w:rsid w:val="00A725AD"/>
    <w:rsid w:val="00A72751"/>
    <w:rsid w:val="00A73704"/>
    <w:rsid w:val="00A739E3"/>
    <w:rsid w:val="00A73AEC"/>
    <w:rsid w:val="00A73CC6"/>
    <w:rsid w:val="00A73D03"/>
    <w:rsid w:val="00A73D2E"/>
    <w:rsid w:val="00A74304"/>
    <w:rsid w:val="00A7430C"/>
    <w:rsid w:val="00A744E5"/>
    <w:rsid w:val="00A745CD"/>
    <w:rsid w:val="00A7477F"/>
    <w:rsid w:val="00A748E5"/>
    <w:rsid w:val="00A74D79"/>
    <w:rsid w:val="00A750E8"/>
    <w:rsid w:val="00A75858"/>
    <w:rsid w:val="00A7625E"/>
    <w:rsid w:val="00A7634B"/>
    <w:rsid w:val="00A76669"/>
    <w:rsid w:val="00A76C1D"/>
    <w:rsid w:val="00A77437"/>
    <w:rsid w:val="00A77F6B"/>
    <w:rsid w:val="00A80350"/>
    <w:rsid w:val="00A8088A"/>
    <w:rsid w:val="00A80B9C"/>
    <w:rsid w:val="00A80BA5"/>
    <w:rsid w:val="00A80FC5"/>
    <w:rsid w:val="00A813B2"/>
    <w:rsid w:val="00A81AB0"/>
    <w:rsid w:val="00A81B0E"/>
    <w:rsid w:val="00A81E31"/>
    <w:rsid w:val="00A81E49"/>
    <w:rsid w:val="00A823B6"/>
    <w:rsid w:val="00A82479"/>
    <w:rsid w:val="00A829F2"/>
    <w:rsid w:val="00A832BE"/>
    <w:rsid w:val="00A835F6"/>
    <w:rsid w:val="00A837F5"/>
    <w:rsid w:val="00A83EF3"/>
    <w:rsid w:val="00A854CC"/>
    <w:rsid w:val="00A8598A"/>
    <w:rsid w:val="00A859E4"/>
    <w:rsid w:val="00A85A10"/>
    <w:rsid w:val="00A85E40"/>
    <w:rsid w:val="00A86659"/>
    <w:rsid w:val="00A8677E"/>
    <w:rsid w:val="00A86859"/>
    <w:rsid w:val="00A86A5D"/>
    <w:rsid w:val="00A86EBB"/>
    <w:rsid w:val="00A87A28"/>
    <w:rsid w:val="00A87CCA"/>
    <w:rsid w:val="00A87D29"/>
    <w:rsid w:val="00A906C8"/>
    <w:rsid w:val="00A90F26"/>
    <w:rsid w:val="00A90FEF"/>
    <w:rsid w:val="00A911F7"/>
    <w:rsid w:val="00A915BC"/>
    <w:rsid w:val="00A9181C"/>
    <w:rsid w:val="00A91B2D"/>
    <w:rsid w:val="00A92042"/>
    <w:rsid w:val="00A92B57"/>
    <w:rsid w:val="00A9311F"/>
    <w:rsid w:val="00A93367"/>
    <w:rsid w:val="00A93522"/>
    <w:rsid w:val="00A935AC"/>
    <w:rsid w:val="00A938CE"/>
    <w:rsid w:val="00A94F7B"/>
    <w:rsid w:val="00A952C2"/>
    <w:rsid w:val="00A956FD"/>
    <w:rsid w:val="00A957DD"/>
    <w:rsid w:val="00A95C04"/>
    <w:rsid w:val="00A96C50"/>
    <w:rsid w:val="00A9703E"/>
    <w:rsid w:val="00A97CE7"/>
    <w:rsid w:val="00A97F27"/>
    <w:rsid w:val="00AA0288"/>
    <w:rsid w:val="00AA0D81"/>
    <w:rsid w:val="00AA1332"/>
    <w:rsid w:val="00AA17A9"/>
    <w:rsid w:val="00AA1FCE"/>
    <w:rsid w:val="00AA2DE6"/>
    <w:rsid w:val="00AA32D9"/>
    <w:rsid w:val="00AA331E"/>
    <w:rsid w:val="00AA350F"/>
    <w:rsid w:val="00AA36FB"/>
    <w:rsid w:val="00AA41B5"/>
    <w:rsid w:val="00AA43B7"/>
    <w:rsid w:val="00AA46ED"/>
    <w:rsid w:val="00AA4AA6"/>
    <w:rsid w:val="00AA5809"/>
    <w:rsid w:val="00AA622D"/>
    <w:rsid w:val="00AA62C9"/>
    <w:rsid w:val="00AA65E2"/>
    <w:rsid w:val="00AA6A8F"/>
    <w:rsid w:val="00AB05F2"/>
    <w:rsid w:val="00AB098B"/>
    <w:rsid w:val="00AB0DEA"/>
    <w:rsid w:val="00AB1328"/>
    <w:rsid w:val="00AB1FD4"/>
    <w:rsid w:val="00AB25A3"/>
    <w:rsid w:val="00AB2EE9"/>
    <w:rsid w:val="00AB2F69"/>
    <w:rsid w:val="00AB311F"/>
    <w:rsid w:val="00AB342F"/>
    <w:rsid w:val="00AB34D0"/>
    <w:rsid w:val="00AB3E63"/>
    <w:rsid w:val="00AB4038"/>
    <w:rsid w:val="00AB441A"/>
    <w:rsid w:val="00AB45B4"/>
    <w:rsid w:val="00AB4E56"/>
    <w:rsid w:val="00AB54D3"/>
    <w:rsid w:val="00AB55D8"/>
    <w:rsid w:val="00AB55E0"/>
    <w:rsid w:val="00AB59DA"/>
    <w:rsid w:val="00AB5FEF"/>
    <w:rsid w:val="00AB63E8"/>
    <w:rsid w:val="00AB75FE"/>
    <w:rsid w:val="00AB77C1"/>
    <w:rsid w:val="00AB7D69"/>
    <w:rsid w:val="00AC0255"/>
    <w:rsid w:val="00AC1260"/>
    <w:rsid w:val="00AC166D"/>
    <w:rsid w:val="00AC2142"/>
    <w:rsid w:val="00AC2380"/>
    <w:rsid w:val="00AC2E21"/>
    <w:rsid w:val="00AC2ECC"/>
    <w:rsid w:val="00AC30D9"/>
    <w:rsid w:val="00AC3298"/>
    <w:rsid w:val="00AC423B"/>
    <w:rsid w:val="00AC47A9"/>
    <w:rsid w:val="00AC4B3E"/>
    <w:rsid w:val="00AC4CDB"/>
    <w:rsid w:val="00AC4F43"/>
    <w:rsid w:val="00AC54BF"/>
    <w:rsid w:val="00AC6AD5"/>
    <w:rsid w:val="00AC6E20"/>
    <w:rsid w:val="00AC6E98"/>
    <w:rsid w:val="00AC74E0"/>
    <w:rsid w:val="00AC77CC"/>
    <w:rsid w:val="00AD023F"/>
    <w:rsid w:val="00AD05DC"/>
    <w:rsid w:val="00AD0A33"/>
    <w:rsid w:val="00AD2365"/>
    <w:rsid w:val="00AD2884"/>
    <w:rsid w:val="00AD28D6"/>
    <w:rsid w:val="00AD2BBB"/>
    <w:rsid w:val="00AD2D07"/>
    <w:rsid w:val="00AD33F5"/>
    <w:rsid w:val="00AD3724"/>
    <w:rsid w:val="00AD4BA8"/>
    <w:rsid w:val="00AD4E13"/>
    <w:rsid w:val="00AD4F9E"/>
    <w:rsid w:val="00AD5AA8"/>
    <w:rsid w:val="00AD5E17"/>
    <w:rsid w:val="00AD738B"/>
    <w:rsid w:val="00AD747D"/>
    <w:rsid w:val="00AD76B0"/>
    <w:rsid w:val="00AD7FFA"/>
    <w:rsid w:val="00AE012C"/>
    <w:rsid w:val="00AE0364"/>
    <w:rsid w:val="00AE03B5"/>
    <w:rsid w:val="00AE0C89"/>
    <w:rsid w:val="00AE161D"/>
    <w:rsid w:val="00AE185D"/>
    <w:rsid w:val="00AE1B18"/>
    <w:rsid w:val="00AE1E80"/>
    <w:rsid w:val="00AE217D"/>
    <w:rsid w:val="00AE2212"/>
    <w:rsid w:val="00AE27C6"/>
    <w:rsid w:val="00AE2E13"/>
    <w:rsid w:val="00AE2E68"/>
    <w:rsid w:val="00AE376E"/>
    <w:rsid w:val="00AE39C0"/>
    <w:rsid w:val="00AE4353"/>
    <w:rsid w:val="00AE6139"/>
    <w:rsid w:val="00AE64F9"/>
    <w:rsid w:val="00AE659C"/>
    <w:rsid w:val="00AE680F"/>
    <w:rsid w:val="00AE7019"/>
    <w:rsid w:val="00AE701A"/>
    <w:rsid w:val="00AE7376"/>
    <w:rsid w:val="00AE74A2"/>
    <w:rsid w:val="00AE7FF0"/>
    <w:rsid w:val="00AF03C9"/>
    <w:rsid w:val="00AF0C40"/>
    <w:rsid w:val="00AF0EAF"/>
    <w:rsid w:val="00AF10D7"/>
    <w:rsid w:val="00AF13A3"/>
    <w:rsid w:val="00AF14A8"/>
    <w:rsid w:val="00AF1EB2"/>
    <w:rsid w:val="00AF1F7F"/>
    <w:rsid w:val="00AF22F6"/>
    <w:rsid w:val="00AF2383"/>
    <w:rsid w:val="00AF2AEB"/>
    <w:rsid w:val="00AF2D11"/>
    <w:rsid w:val="00AF3543"/>
    <w:rsid w:val="00AF3E70"/>
    <w:rsid w:val="00AF424A"/>
    <w:rsid w:val="00AF47D5"/>
    <w:rsid w:val="00AF50DC"/>
    <w:rsid w:val="00AF52AB"/>
    <w:rsid w:val="00AF57C7"/>
    <w:rsid w:val="00AF6CB1"/>
    <w:rsid w:val="00AF6DBA"/>
    <w:rsid w:val="00AF7877"/>
    <w:rsid w:val="00B004CE"/>
    <w:rsid w:val="00B00C45"/>
    <w:rsid w:val="00B015E9"/>
    <w:rsid w:val="00B01C87"/>
    <w:rsid w:val="00B0207E"/>
    <w:rsid w:val="00B0261A"/>
    <w:rsid w:val="00B029C3"/>
    <w:rsid w:val="00B02E8B"/>
    <w:rsid w:val="00B02FAA"/>
    <w:rsid w:val="00B03479"/>
    <w:rsid w:val="00B0370F"/>
    <w:rsid w:val="00B03C2C"/>
    <w:rsid w:val="00B03C77"/>
    <w:rsid w:val="00B03E83"/>
    <w:rsid w:val="00B03F6C"/>
    <w:rsid w:val="00B042D7"/>
    <w:rsid w:val="00B044DD"/>
    <w:rsid w:val="00B04527"/>
    <w:rsid w:val="00B04B93"/>
    <w:rsid w:val="00B04E6E"/>
    <w:rsid w:val="00B05A1E"/>
    <w:rsid w:val="00B0649D"/>
    <w:rsid w:val="00B06AD8"/>
    <w:rsid w:val="00B06C30"/>
    <w:rsid w:val="00B06F68"/>
    <w:rsid w:val="00B075B1"/>
    <w:rsid w:val="00B07C17"/>
    <w:rsid w:val="00B07E0B"/>
    <w:rsid w:val="00B10486"/>
    <w:rsid w:val="00B1111F"/>
    <w:rsid w:val="00B1164F"/>
    <w:rsid w:val="00B11941"/>
    <w:rsid w:val="00B12BCC"/>
    <w:rsid w:val="00B12E15"/>
    <w:rsid w:val="00B12E39"/>
    <w:rsid w:val="00B12E80"/>
    <w:rsid w:val="00B13446"/>
    <w:rsid w:val="00B138E7"/>
    <w:rsid w:val="00B13966"/>
    <w:rsid w:val="00B13A7A"/>
    <w:rsid w:val="00B13FAD"/>
    <w:rsid w:val="00B1420E"/>
    <w:rsid w:val="00B14D7C"/>
    <w:rsid w:val="00B14F44"/>
    <w:rsid w:val="00B151D1"/>
    <w:rsid w:val="00B15292"/>
    <w:rsid w:val="00B15969"/>
    <w:rsid w:val="00B15E2B"/>
    <w:rsid w:val="00B1647A"/>
    <w:rsid w:val="00B16603"/>
    <w:rsid w:val="00B166E9"/>
    <w:rsid w:val="00B16F70"/>
    <w:rsid w:val="00B16FF0"/>
    <w:rsid w:val="00B1768D"/>
    <w:rsid w:val="00B17F7C"/>
    <w:rsid w:val="00B20E00"/>
    <w:rsid w:val="00B21BBE"/>
    <w:rsid w:val="00B22618"/>
    <w:rsid w:val="00B22669"/>
    <w:rsid w:val="00B22C3B"/>
    <w:rsid w:val="00B22C8D"/>
    <w:rsid w:val="00B23394"/>
    <w:rsid w:val="00B23747"/>
    <w:rsid w:val="00B23866"/>
    <w:rsid w:val="00B23910"/>
    <w:rsid w:val="00B23FB4"/>
    <w:rsid w:val="00B24305"/>
    <w:rsid w:val="00B24313"/>
    <w:rsid w:val="00B2465F"/>
    <w:rsid w:val="00B24859"/>
    <w:rsid w:val="00B2494A"/>
    <w:rsid w:val="00B25B5A"/>
    <w:rsid w:val="00B25B71"/>
    <w:rsid w:val="00B26614"/>
    <w:rsid w:val="00B267E4"/>
    <w:rsid w:val="00B27120"/>
    <w:rsid w:val="00B27D3A"/>
    <w:rsid w:val="00B30738"/>
    <w:rsid w:val="00B30A93"/>
    <w:rsid w:val="00B30ED1"/>
    <w:rsid w:val="00B31481"/>
    <w:rsid w:val="00B3171A"/>
    <w:rsid w:val="00B31D60"/>
    <w:rsid w:val="00B3244C"/>
    <w:rsid w:val="00B32CF9"/>
    <w:rsid w:val="00B32F44"/>
    <w:rsid w:val="00B33CF3"/>
    <w:rsid w:val="00B33FC4"/>
    <w:rsid w:val="00B35076"/>
    <w:rsid w:val="00B3507C"/>
    <w:rsid w:val="00B3512E"/>
    <w:rsid w:val="00B35553"/>
    <w:rsid w:val="00B3580D"/>
    <w:rsid w:val="00B358EC"/>
    <w:rsid w:val="00B35935"/>
    <w:rsid w:val="00B35D1D"/>
    <w:rsid w:val="00B36374"/>
    <w:rsid w:val="00B36715"/>
    <w:rsid w:val="00B36747"/>
    <w:rsid w:val="00B36B7A"/>
    <w:rsid w:val="00B3709D"/>
    <w:rsid w:val="00B37214"/>
    <w:rsid w:val="00B37427"/>
    <w:rsid w:val="00B37A73"/>
    <w:rsid w:val="00B37EE2"/>
    <w:rsid w:val="00B401D1"/>
    <w:rsid w:val="00B403D9"/>
    <w:rsid w:val="00B405F2"/>
    <w:rsid w:val="00B40794"/>
    <w:rsid w:val="00B41173"/>
    <w:rsid w:val="00B4128F"/>
    <w:rsid w:val="00B4137F"/>
    <w:rsid w:val="00B41915"/>
    <w:rsid w:val="00B41952"/>
    <w:rsid w:val="00B41CE4"/>
    <w:rsid w:val="00B41F28"/>
    <w:rsid w:val="00B4243D"/>
    <w:rsid w:val="00B4249A"/>
    <w:rsid w:val="00B42683"/>
    <w:rsid w:val="00B42E91"/>
    <w:rsid w:val="00B4301D"/>
    <w:rsid w:val="00B43A5B"/>
    <w:rsid w:val="00B43C95"/>
    <w:rsid w:val="00B43F75"/>
    <w:rsid w:val="00B4403A"/>
    <w:rsid w:val="00B44446"/>
    <w:rsid w:val="00B448E2"/>
    <w:rsid w:val="00B44A5B"/>
    <w:rsid w:val="00B4523F"/>
    <w:rsid w:val="00B45320"/>
    <w:rsid w:val="00B45E6F"/>
    <w:rsid w:val="00B45FA0"/>
    <w:rsid w:val="00B469DF"/>
    <w:rsid w:val="00B46FD8"/>
    <w:rsid w:val="00B4721D"/>
    <w:rsid w:val="00B473F5"/>
    <w:rsid w:val="00B47AD0"/>
    <w:rsid w:val="00B47BFA"/>
    <w:rsid w:val="00B47FE9"/>
    <w:rsid w:val="00B502A2"/>
    <w:rsid w:val="00B505D9"/>
    <w:rsid w:val="00B508A0"/>
    <w:rsid w:val="00B50F8F"/>
    <w:rsid w:val="00B51F96"/>
    <w:rsid w:val="00B5207F"/>
    <w:rsid w:val="00B52728"/>
    <w:rsid w:val="00B52813"/>
    <w:rsid w:val="00B52AC0"/>
    <w:rsid w:val="00B52B8E"/>
    <w:rsid w:val="00B52CDF"/>
    <w:rsid w:val="00B52DFA"/>
    <w:rsid w:val="00B52E8D"/>
    <w:rsid w:val="00B530AC"/>
    <w:rsid w:val="00B53401"/>
    <w:rsid w:val="00B5377F"/>
    <w:rsid w:val="00B537A6"/>
    <w:rsid w:val="00B53942"/>
    <w:rsid w:val="00B53AF5"/>
    <w:rsid w:val="00B541D0"/>
    <w:rsid w:val="00B542D8"/>
    <w:rsid w:val="00B54FF7"/>
    <w:rsid w:val="00B556BB"/>
    <w:rsid w:val="00B55BC3"/>
    <w:rsid w:val="00B56587"/>
    <w:rsid w:val="00B565EF"/>
    <w:rsid w:val="00B565F1"/>
    <w:rsid w:val="00B567B8"/>
    <w:rsid w:val="00B567C0"/>
    <w:rsid w:val="00B5713F"/>
    <w:rsid w:val="00B577BE"/>
    <w:rsid w:val="00B57D4A"/>
    <w:rsid w:val="00B57ED2"/>
    <w:rsid w:val="00B60C44"/>
    <w:rsid w:val="00B612E4"/>
    <w:rsid w:val="00B6139B"/>
    <w:rsid w:val="00B617E3"/>
    <w:rsid w:val="00B61884"/>
    <w:rsid w:val="00B61AF5"/>
    <w:rsid w:val="00B61EB1"/>
    <w:rsid w:val="00B62028"/>
    <w:rsid w:val="00B620E1"/>
    <w:rsid w:val="00B6220B"/>
    <w:rsid w:val="00B624DB"/>
    <w:rsid w:val="00B62CF5"/>
    <w:rsid w:val="00B63134"/>
    <w:rsid w:val="00B635AE"/>
    <w:rsid w:val="00B63AF8"/>
    <w:rsid w:val="00B63F41"/>
    <w:rsid w:val="00B640F3"/>
    <w:rsid w:val="00B644D2"/>
    <w:rsid w:val="00B6469E"/>
    <w:rsid w:val="00B6488D"/>
    <w:rsid w:val="00B64BE7"/>
    <w:rsid w:val="00B64ED9"/>
    <w:rsid w:val="00B65438"/>
    <w:rsid w:val="00B6556D"/>
    <w:rsid w:val="00B65B61"/>
    <w:rsid w:val="00B65EE9"/>
    <w:rsid w:val="00B6606A"/>
    <w:rsid w:val="00B66290"/>
    <w:rsid w:val="00B66343"/>
    <w:rsid w:val="00B6732A"/>
    <w:rsid w:val="00B6779A"/>
    <w:rsid w:val="00B705FB"/>
    <w:rsid w:val="00B70727"/>
    <w:rsid w:val="00B70DE9"/>
    <w:rsid w:val="00B71312"/>
    <w:rsid w:val="00B718C7"/>
    <w:rsid w:val="00B71D02"/>
    <w:rsid w:val="00B7228C"/>
    <w:rsid w:val="00B728B9"/>
    <w:rsid w:val="00B728C7"/>
    <w:rsid w:val="00B731A1"/>
    <w:rsid w:val="00B73F8C"/>
    <w:rsid w:val="00B74379"/>
    <w:rsid w:val="00B74CBF"/>
    <w:rsid w:val="00B75AAD"/>
    <w:rsid w:val="00B75CE5"/>
    <w:rsid w:val="00B75E78"/>
    <w:rsid w:val="00B7665E"/>
    <w:rsid w:val="00B76B56"/>
    <w:rsid w:val="00B775EC"/>
    <w:rsid w:val="00B77F21"/>
    <w:rsid w:val="00B804C9"/>
    <w:rsid w:val="00B80AB3"/>
    <w:rsid w:val="00B80E37"/>
    <w:rsid w:val="00B810EC"/>
    <w:rsid w:val="00B818F8"/>
    <w:rsid w:val="00B819C2"/>
    <w:rsid w:val="00B81A6A"/>
    <w:rsid w:val="00B81B1C"/>
    <w:rsid w:val="00B81D07"/>
    <w:rsid w:val="00B81E2F"/>
    <w:rsid w:val="00B81F9E"/>
    <w:rsid w:val="00B830ED"/>
    <w:rsid w:val="00B8336B"/>
    <w:rsid w:val="00B833BE"/>
    <w:rsid w:val="00B8357D"/>
    <w:rsid w:val="00B838E5"/>
    <w:rsid w:val="00B838FC"/>
    <w:rsid w:val="00B83A34"/>
    <w:rsid w:val="00B83CBB"/>
    <w:rsid w:val="00B83F4C"/>
    <w:rsid w:val="00B84634"/>
    <w:rsid w:val="00B84693"/>
    <w:rsid w:val="00B849D4"/>
    <w:rsid w:val="00B8502D"/>
    <w:rsid w:val="00B852B5"/>
    <w:rsid w:val="00B85A7C"/>
    <w:rsid w:val="00B85FE7"/>
    <w:rsid w:val="00B862AA"/>
    <w:rsid w:val="00B86A37"/>
    <w:rsid w:val="00B86B0F"/>
    <w:rsid w:val="00B87349"/>
    <w:rsid w:val="00B87824"/>
    <w:rsid w:val="00B9089C"/>
    <w:rsid w:val="00B909AA"/>
    <w:rsid w:val="00B91139"/>
    <w:rsid w:val="00B9130D"/>
    <w:rsid w:val="00B919EE"/>
    <w:rsid w:val="00B9204C"/>
    <w:rsid w:val="00B923E6"/>
    <w:rsid w:val="00B9308E"/>
    <w:rsid w:val="00B93B3F"/>
    <w:rsid w:val="00B93BF1"/>
    <w:rsid w:val="00B940A1"/>
    <w:rsid w:val="00B94582"/>
    <w:rsid w:val="00B9496A"/>
    <w:rsid w:val="00B94ACF"/>
    <w:rsid w:val="00B94E9A"/>
    <w:rsid w:val="00B95561"/>
    <w:rsid w:val="00B95864"/>
    <w:rsid w:val="00B95EBE"/>
    <w:rsid w:val="00B963C9"/>
    <w:rsid w:val="00B9664D"/>
    <w:rsid w:val="00B96F81"/>
    <w:rsid w:val="00B9727E"/>
    <w:rsid w:val="00B978D0"/>
    <w:rsid w:val="00B979E5"/>
    <w:rsid w:val="00B97F46"/>
    <w:rsid w:val="00BA054E"/>
    <w:rsid w:val="00BA07BB"/>
    <w:rsid w:val="00BA09EF"/>
    <w:rsid w:val="00BA0AF9"/>
    <w:rsid w:val="00BA0EFA"/>
    <w:rsid w:val="00BA1607"/>
    <w:rsid w:val="00BA1997"/>
    <w:rsid w:val="00BA1B1E"/>
    <w:rsid w:val="00BA1FE3"/>
    <w:rsid w:val="00BA2813"/>
    <w:rsid w:val="00BA2CE2"/>
    <w:rsid w:val="00BA3971"/>
    <w:rsid w:val="00BA48C5"/>
    <w:rsid w:val="00BA4C52"/>
    <w:rsid w:val="00BA4F61"/>
    <w:rsid w:val="00BA5460"/>
    <w:rsid w:val="00BA5800"/>
    <w:rsid w:val="00BA597E"/>
    <w:rsid w:val="00BA5A57"/>
    <w:rsid w:val="00BA61E8"/>
    <w:rsid w:val="00BA6C6B"/>
    <w:rsid w:val="00BA7637"/>
    <w:rsid w:val="00BA774A"/>
    <w:rsid w:val="00BA7D32"/>
    <w:rsid w:val="00BB0007"/>
    <w:rsid w:val="00BB00DF"/>
    <w:rsid w:val="00BB0250"/>
    <w:rsid w:val="00BB032D"/>
    <w:rsid w:val="00BB0B47"/>
    <w:rsid w:val="00BB0DB5"/>
    <w:rsid w:val="00BB147E"/>
    <w:rsid w:val="00BB1CE4"/>
    <w:rsid w:val="00BB1CED"/>
    <w:rsid w:val="00BB28BB"/>
    <w:rsid w:val="00BB2C71"/>
    <w:rsid w:val="00BB313D"/>
    <w:rsid w:val="00BB3167"/>
    <w:rsid w:val="00BB3F08"/>
    <w:rsid w:val="00BB408F"/>
    <w:rsid w:val="00BB4171"/>
    <w:rsid w:val="00BB43A1"/>
    <w:rsid w:val="00BB46B0"/>
    <w:rsid w:val="00BB55E0"/>
    <w:rsid w:val="00BB5676"/>
    <w:rsid w:val="00BB57FF"/>
    <w:rsid w:val="00BB5814"/>
    <w:rsid w:val="00BB5A92"/>
    <w:rsid w:val="00BB5C1A"/>
    <w:rsid w:val="00BB60EB"/>
    <w:rsid w:val="00BB623F"/>
    <w:rsid w:val="00BB6653"/>
    <w:rsid w:val="00BB6673"/>
    <w:rsid w:val="00BB673E"/>
    <w:rsid w:val="00BB6DA5"/>
    <w:rsid w:val="00BB713B"/>
    <w:rsid w:val="00BB71CF"/>
    <w:rsid w:val="00BB7B21"/>
    <w:rsid w:val="00BB7E19"/>
    <w:rsid w:val="00BB7EE6"/>
    <w:rsid w:val="00BC03D7"/>
    <w:rsid w:val="00BC055F"/>
    <w:rsid w:val="00BC06E9"/>
    <w:rsid w:val="00BC0937"/>
    <w:rsid w:val="00BC0945"/>
    <w:rsid w:val="00BC0DEC"/>
    <w:rsid w:val="00BC0E81"/>
    <w:rsid w:val="00BC1B3F"/>
    <w:rsid w:val="00BC2AF7"/>
    <w:rsid w:val="00BC2B54"/>
    <w:rsid w:val="00BC32B4"/>
    <w:rsid w:val="00BC4221"/>
    <w:rsid w:val="00BC427F"/>
    <w:rsid w:val="00BC4438"/>
    <w:rsid w:val="00BC4440"/>
    <w:rsid w:val="00BC4477"/>
    <w:rsid w:val="00BC4B19"/>
    <w:rsid w:val="00BC4DB9"/>
    <w:rsid w:val="00BC4DD1"/>
    <w:rsid w:val="00BC54C4"/>
    <w:rsid w:val="00BC5807"/>
    <w:rsid w:val="00BC584A"/>
    <w:rsid w:val="00BC5A21"/>
    <w:rsid w:val="00BC6A55"/>
    <w:rsid w:val="00BC734E"/>
    <w:rsid w:val="00BC75B2"/>
    <w:rsid w:val="00BC7F72"/>
    <w:rsid w:val="00BD0097"/>
    <w:rsid w:val="00BD0313"/>
    <w:rsid w:val="00BD03DD"/>
    <w:rsid w:val="00BD1C23"/>
    <w:rsid w:val="00BD1E18"/>
    <w:rsid w:val="00BD243B"/>
    <w:rsid w:val="00BD251D"/>
    <w:rsid w:val="00BD3A85"/>
    <w:rsid w:val="00BD494B"/>
    <w:rsid w:val="00BD4A76"/>
    <w:rsid w:val="00BD4ECA"/>
    <w:rsid w:val="00BD5327"/>
    <w:rsid w:val="00BD59D1"/>
    <w:rsid w:val="00BD63E1"/>
    <w:rsid w:val="00BD64E8"/>
    <w:rsid w:val="00BD6796"/>
    <w:rsid w:val="00BD67C4"/>
    <w:rsid w:val="00BD69C0"/>
    <w:rsid w:val="00BD7CBB"/>
    <w:rsid w:val="00BE0B52"/>
    <w:rsid w:val="00BE0DD7"/>
    <w:rsid w:val="00BE0E1C"/>
    <w:rsid w:val="00BE164B"/>
    <w:rsid w:val="00BE1D51"/>
    <w:rsid w:val="00BE1D90"/>
    <w:rsid w:val="00BE1E3D"/>
    <w:rsid w:val="00BE2220"/>
    <w:rsid w:val="00BE226A"/>
    <w:rsid w:val="00BE2310"/>
    <w:rsid w:val="00BE368D"/>
    <w:rsid w:val="00BE3AD2"/>
    <w:rsid w:val="00BE4025"/>
    <w:rsid w:val="00BE48BE"/>
    <w:rsid w:val="00BE49DC"/>
    <w:rsid w:val="00BE4AFF"/>
    <w:rsid w:val="00BE4B82"/>
    <w:rsid w:val="00BE58F6"/>
    <w:rsid w:val="00BE6541"/>
    <w:rsid w:val="00BE67B3"/>
    <w:rsid w:val="00BE69A0"/>
    <w:rsid w:val="00BE6B6B"/>
    <w:rsid w:val="00BE70C3"/>
    <w:rsid w:val="00BE7339"/>
    <w:rsid w:val="00BE75F1"/>
    <w:rsid w:val="00BF0195"/>
    <w:rsid w:val="00BF0929"/>
    <w:rsid w:val="00BF0EE4"/>
    <w:rsid w:val="00BF11C9"/>
    <w:rsid w:val="00BF202E"/>
    <w:rsid w:val="00BF24EF"/>
    <w:rsid w:val="00BF2B89"/>
    <w:rsid w:val="00BF2EF0"/>
    <w:rsid w:val="00BF31CB"/>
    <w:rsid w:val="00BF326A"/>
    <w:rsid w:val="00BF4322"/>
    <w:rsid w:val="00BF4375"/>
    <w:rsid w:val="00BF4483"/>
    <w:rsid w:val="00BF4E48"/>
    <w:rsid w:val="00BF4E51"/>
    <w:rsid w:val="00BF4EC3"/>
    <w:rsid w:val="00BF4EFC"/>
    <w:rsid w:val="00BF50E4"/>
    <w:rsid w:val="00BF5189"/>
    <w:rsid w:val="00BF52E9"/>
    <w:rsid w:val="00BF55A5"/>
    <w:rsid w:val="00BF59E3"/>
    <w:rsid w:val="00BF602F"/>
    <w:rsid w:val="00BF63E5"/>
    <w:rsid w:val="00BF6465"/>
    <w:rsid w:val="00BF6BB0"/>
    <w:rsid w:val="00BF71D7"/>
    <w:rsid w:val="00BF726E"/>
    <w:rsid w:val="00BF7F6B"/>
    <w:rsid w:val="00C00554"/>
    <w:rsid w:val="00C005DD"/>
    <w:rsid w:val="00C00763"/>
    <w:rsid w:val="00C00B23"/>
    <w:rsid w:val="00C00B45"/>
    <w:rsid w:val="00C00C27"/>
    <w:rsid w:val="00C0101A"/>
    <w:rsid w:val="00C01AB7"/>
    <w:rsid w:val="00C01CD7"/>
    <w:rsid w:val="00C01E5A"/>
    <w:rsid w:val="00C02C7A"/>
    <w:rsid w:val="00C02E38"/>
    <w:rsid w:val="00C031D5"/>
    <w:rsid w:val="00C04B8F"/>
    <w:rsid w:val="00C04B90"/>
    <w:rsid w:val="00C05107"/>
    <w:rsid w:val="00C054E2"/>
    <w:rsid w:val="00C05A84"/>
    <w:rsid w:val="00C05F45"/>
    <w:rsid w:val="00C0673D"/>
    <w:rsid w:val="00C06884"/>
    <w:rsid w:val="00C069CA"/>
    <w:rsid w:val="00C075B5"/>
    <w:rsid w:val="00C0774A"/>
    <w:rsid w:val="00C07A88"/>
    <w:rsid w:val="00C07EEE"/>
    <w:rsid w:val="00C102F1"/>
    <w:rsid w:val="00C1086F"/>
    <w:rsid w:val="00C10F37"/>
    <w:rsid w:val="00C11762"/>
    <w:rsid w:val="00C11C27"/>
    <w:rsid w:val="00C11DD7"/>
    <w:rsid w:val="00C12449"/>
    <w:rsid w:val="00C12DEC"/>
    <w:rsid w:val="00C12FF4"/>
    <w:rsid w:val="00C13083"/>
    <w:rsid w:val="00C136F9"/>
    <w:rsid w:val="00C13C32"/>
    <w:rsid w:val="00C13CE2"/>
    <w:rsid w:val="00C13D8F"/>
    <w:rsid w:val="00C14349"/>
    <w:rsid w:val="00C1435E"/>
    <w:rsid w:val="00C1469D"/>
    <w:rsid w:val="00C14971"/>
    <w:rsid w:val="00C14A7B"/>
    <w:rsid w:val="00C14B91"/>
    <w:rsid w:val="00C155FC"/>
    <w:rsid w:val="00C1560A"/>
    <w:rsid w:val="00C15C8C"/>
    <w:rsid w:val="00C169BA"/>
    <w:rsid w:val="00C16E63"/>
    <w:rsid w:val="00C16FD9"/>
    <w:rsid w:val="00C1746B"/>
    <w:rsid w:val="00C174C0"/>
    <w:rsid w:val="00C175B6"/>
    <w:rsid w:val="00C2039E"/>
    <w:rsid w:val="00C208BF"/>
    <w:rsid w:val="00C20AAD"/>
    <w:rsid w:val="00C20BDD"/>
    <w:rsid w:val="00C20D07"/>
    <w:rsid w:val="00C210B6"/>
    <w:rsid w:val="00C214FE"/>
    <w:rsid w:val="00C21D42"/>
    <w:rsid w:val="00C21F2D"/>
    <w:rsid w:val="00C2207A"/>
    <w:rsid w:val="00C228D6"/>
    <w:rsid w:val="00C22F4C"/>
    <w:rsid w:val="00C22FFC"/>
    <w:rsid w:val="00C230D5"/>
    <w:rsid w:val="00C2330F"/>
    <w:rsid w:val="00C23402"/>
    <w:rsid w:val="00C2355E"/>
    <w:rsid w:val="00C23665"/>
    <w:rsid w:val="00C23700"/>
    <w:rsid w:val="00C23F94"/>
    <w:rsid w:val="00C246DB"/>
    <w:rsid w:val="00C247C9"/>
    <w:rsid w:val="00C248DB"/>
    <w:rsid w:val="00C24DE4"/>
    <w:rsid w:val="00C24E65"/>
    <w:rsid w:val="00C24EEF"/>
    <w:rsid w:val="00C256E5"/>
    <w:rsid w:val="00C26765"/>
    <w:rsid w:val="00C26E20"/>
    <w:rsid w:val="00C27AE6"/>
    <w:rsid w:val="00C27FDC"/>
    <w:rsid w:val="00C30197"/>
    <w:rsid w:val="00C30C15"/>
    <w:rsid w:val="00C30FD5"/>
    <w:rsid w:val="00C31826"/>
    <w:rsid w:val="00C31AA9"/>
    <w:rsid w:val="00C31AD8"/>
    <w:rsid w:val="00C320AB"/>
    <w:rsid w:val="00C32571"/>
    <w:rsid w:val="00C3297A"/>
    <w:rsid w:val="00C32FA5"/>
    <w:rsid w:val="00C33475"/>
    <w:rsid w:val="00C3351C"/>
    <w:rsid w:val="00C335A2"/>
    <w:rsid w:val="00C33BAF"/>
    <w:rsid w:val="00C33C44"/>
    <w:rsid w:val="00C34108"/>
    <w:rsid w:val="00C349CE"/>
    <w:rsid w:val="00C34A72"/>
    <w:rsid w:val="00C34B38"/>
    <w:rsid w:val="00C34FC2"/>
    <w:rsid w:val="00C35A01"/>
    <w:rsid w:val="00C35BB6"/>
    <w:rsid w:val="00C35EBD"/>
    <w:rsid w:val="00C36818"/>
    <w:rsid w:val="00C37041"/>
    <w:rsid w:val="00C37475"/>
    <w:rsid w:val="00C37925"/>
    <w:rsid w:val="00C37BB2"/>
    <w:rsid w:val="00C4016A"/>
    <w:rsid w:val="00C407CC"/>
    <w:rsid w:val="00C40814"/>
    <w:rsid w:val="00C40A1B"/>
    <w:rsid w:val="00C40B4F"/>
    <w:rsid w:val="00C40B87"/>
    <w:rsid w:val="00C41D2A"/>
    <w:rsid w:val="00C41D67"/>
    <w:rsid w:val="00C41E79"/>
    <w:rsid w:val="00C42531"/>
    <w:rsid w:val="00C427B4"/>
    <w:rsid w:val="00C42C59"/>
    <w:rsid w:val="00C43257"/>
    <w:rsid w:val="00C4328A"/>
    <w:rsid w:val="00C43577"/>
    <w:rsid w:val="00C4365D"/>
    <w:rsid w:val="00C43761"/>
    <w:rsid w:val="00C43A60"/>
    <w:rsid w:val="00C43E0F"/>
    <w:rsid w:val="00C44162"/>
    <w:rsid w:val="00C44A2B"/>
    <w:rsid w:val="00C452E4"/>
    <w:rsid w:val="00C453A2"/>
    <w:rsid w:val="00C46002"/>
    <w:rsid w:val="00C460CF"/>
    <w:rsid w:val="00C465F2"/>
    <w:rsid w:val="00C466A5"/>
    <w:rsid w:val="00C468AB"/>
    <w:rsid w:val="00C47A99"/>
    <w:rsid w:val="00C47CC8"/>
    <w:rsid w:val="00C50AF5"/>
    <w:rsid w:val="00C50D71"/>
    <w:rsid w:val="00C512DC"/>
    <w:rsid w:val="00C5140C"/>
    <w:rsid w:val="00C51A00"/>
    <w:rsid w:val="00C51B2E"/>
    <w:rsid w:val="00C51CEF"/>
    <w:rsid w:val="00C523A6"/>
    <w:rsid w:val="00C525D5"/>
    <w:rsid w:val="00C53045"/>
    <w:rsid w:val="00C53C93"/>
    <w:rsid w:val="00C54889"/>
    <w:rsid w:val="00C5523E"/>
    <w:rsid w:val="00C55462"/>
    <w:rsid w:val="00C55FA1"/>
    <w:rsid w:val="00C56158"/>
    <w:rsid w:val="00C561E7"/>
    <w:rsid w:val="00C56A2C"/>
    <w:rsid w:val="00C57207"/>
    <w:rsid w:val="00C57324"/>
    <w:rsid w:val="00C57A64"/>
    <w:rsid w:val="00C600A0"/>
    <w:rsid w:val="00C60293"/>
    <w:rsid w:val="00C60598"/>
    <w:rsid w:val="00C60BFB"/>
    <w:rsid w:val="00C614DD"/>
    <w:rsid w:val="00C61624"/>
    <w:rsid w:val="00C62132"/>
    <w:rsid w:val="00C6258F"/>
    <w:rsid w:val="00C62804"/>
    <w:rsid w:val="00C63882"/>
    <w:rsid w:val="00C63A8F"/>
    <w:rsid w:val="00C6451D"/>
    <w:rsid w:val="00C64821"/>
    <w:rsid w:val="00C64C38"/>
    <w:rsid w:val="00C65208"/>
    <w:rsid w:val="00C653CC"/>
    <w:rsid w:val="00C65547"/>
    <w:rsid w:val="00C65873"/>
    <w:rsid w:val="00C65CDF"/>
    <w:rsid w:val="00C65CF8"/>
    <w:rsid w:val="00C66664"/>
    <w:rsid w:val="00C66A1A"/>
    <w:rsid w:val="00C6703E"/>
    <w:rsid w:val="00C676A7"/>
    <w:rsid w:val="00C67DED"/>
    <w:rsid w:val="00C70560"/>
    <w:rsid w:val="00C70602"/>
    <w:rsid w:val="00C7094C"/>
    <w:rsid w:val="00C70BDA"/>
    <w:rsid w:val="00C70CF4"/>
    <w:rsid w:val="00C7111D"/>
    <w:rsid w:val="00C7124B"/>
    <w:rsid w:val="00C71255"/>
    <w:rsid w:val="00C71529"/>
    <w:rsid w:val="00C715DE"/>
    <w:rsid w:val="00C71CC0"/>
    <w:rsid w:val="00C722F2"/>
    <w:rsid w:val="00C728A3"/>
    <w:rsid w:val="00C72B4E"/>
    <w:rsid w:val="00C73017"/>
    <w:rsid w:val="00C7327D"/>
    <w:rsid w:val="00C73360"/>
    <w:rsid w:val="00C73539"/>
    <w:rsid w:val="00C73A9D"/>
    <w:rsid w:val="00C74037"/>
    <w:rsid w:val="00C741CB"/>
    <w:rsid w:val="00C7433E"/>
    <w:rsid w:val="00C74358"/>
    <w:rsid w:val="00C74510"/>
    <w:rsid w:val="00C74762"/>
    <w:rsid w:val="00C74CF3"/>
    <w:rsid w:val="00C7572B"/>
    <w:rsid w:val="00C75904"/>
    <w:rsid w:val="00C760FA"/>
    <w:rsid w:val="00C764DF"/>
    <w:rsid w:val="00C7691D"/>
    <w:rsid w:val="00C76D06"/>
    <w:rsid w:val="00C76FB6"/>
    <w:rsid w:val="00C77A05"/>
    <w:rsid w:val="00C77AB9"/>
    <w:rsid w:val="00C807FA"/>
    <w:rsid w:val="00C813C0"/>
    <w:rsid w:val="00C8148D"/>
    <w:rsid w:val="00C8150F"/>
    <w:rsid w:val="00C81B0B"/>
    <w:rsid w:val="00C82347"/>
    <w:rsid w:val="00C82394"/>
    <w:rsid w:val="00C82CE9"/>
    <w:rsid w:val="00C82D4E"/>
    <w:rsid w:val="00C82D5D"/>
    <w:rsid w:val="00C833C5"/>
    <w:rsid w:val="00C8350D"/>
    <w:rsid w:val="00C84C26"/>
    <w:rsid w:val="00C84C55"/>
    <w:rsid w:val="00C85C81"/>
    <w:rsid w:val="00C85E98"/>
    <w:rsid w:val="00C867DA"/>
    <w:rsid w:val="00C8770D"/>
    <w:rsid w:val="00C878DB"/>
    <w:rsid w:val="00C87945"/>
    <w:rsid w:val="00C87E9B"/>
    <w:rsid w:val="00C901AB"/>
    <w:rsid w:val="00C901E2"/>
    <w:rsid w:val="00C90581"/>
    <w:rsid w:val="00C908A0"/>
    <w:rsid w:val="00C90E33"/>
    <w:rsid w:val="00C90EC9"/>
    <w:rsid w:val="00C91311"/>
    <w:rsid w:val="00C913E1"/>
    <w:rsid w:val="00C9142E"/>
    <w:rsid w:val="00C91DF4"/>
    <w:rsid w:val="00C91DF7"/>
    <w:rsid w:val="00C921DE"/>
    <w:rsid w:val="00C9255E"/>
    <w:rsid w:val="00C931CA"/>
    <w:rsid w:val="00C93333"/>
    <w:rsid w:val="00C93383"/>
    <w:rsid w:val="00C93623"/>
    <w:rsid w:val="00C93C59"/>
    <w:rsid w:val="00C93DF7"/>
    <w:rsid w:val="00C94000"/>
    <w:rsid w:val="00C94246"/>
    <w:rsid w:val="00C94A26"/>
    <w:rsid w:val="00C95393"/>
    <w:rsid w:val="00C954B2"/>
    <w:rsid w:val="00C95CF3"/>
    <w:rsid w:val="00C96105"/>
    <w:rsid w:val="00C96E34"/>
    <w:rsid w:val="00C96F34"/>
    <w:rsid w:val="00C970C0"/>
    <w:rsid w:val="00C97CAE"/>
    <w:rsid w:val="00CA039B"/>
    <w:rsid w:val="00CA05BB"/>
    <w:rsid w:val="00CA05F5"/>
    <w:rsid w:val="00CA0AFF"/>
    <w:rsid w:val="00CA0F13"/>
    <w:rsid w:val="00CA185F"/>
    <w:rsid w:val="00CA18AB"/>
    <w:rsid w:val="00CA1BB2"/>
    <w:rsid w:val="00CA1C16"/>
    <w:rsid w:val="00CA2023"/>
    <w:rsid w:val="00CA20C2"/>
    <w:rsid w:val="00CA2211"/>
    <w:rsid w:val="00CA2481"/>
    <w:rsid w:val="00CA2725"/>
    <w:rsid w:val="00CA2FAC"/>
    <w:rsid w:val="00CA3183"/>
    <w:rsid w:val="00CA3283"/>
    <w:rsid w:val="00CA3305"/>
    <w:rsid w:val="00CA3588"/>
    <w:rsid w:val="00CA3899"/>
    <w:rsid w:val="00CA42A9"/>
    <w:rsid w:val="00CA4848"/>
    <w:rsid w:val="00CA499F"/>
    <w:rsid w:val="00CA4E22"/>
    <w:rsid w:val="00CA4FC1"/>
    <w:rsid w:val="00CA5558"/>
    <w:rsid w:val="00CA5DDB"/>
    <w:rsid w:val="00CA5EFF"/>
    <w:rsid w:val="00CA65CA"/>
    <w:rsid w:val="00CA664C"/>
    <w:rsid w:val="00CA6A58"/>
    <w:rsid w:val="00CA6BEB"/>
    <w:rsid w:val="00CA6F38"/>
    <w:rsid w:val="00CA6F54"/>
    <w:rsid w:val="00CA7210"/>
    <w:rsid w:val="00CB025D"/>
    <w:rsid w:val="00CB059F"/>
    <w:rsid w:val="00CB0707"/>
    <w:rsid w:val="00CB08AF"/>
    <w:rsid w:val="00CB0918"/>
    <w:rsid w:val="00CB13C8"/>
    <w:rsid w:val="00CB163A"/>
    <w:rsid w:val="00CB1979"/>
    <w:rsid w:val="00CB1BBC"/>
    <w:rsid w:val="00CB1E7C"/>
    <w:rsid w:val="00CB274C"/>
    <w:rsid w:val="00CB2968"/>
    <w:rsid w:val="00CB2C40"/>
    <w:rsid w:val="00CB2E2A"/>
    <w:rsid w:val="00CB2EDC"/>
    <w:rsid w:val="00CB30CD"/>
    <w:rsid w:val="00CB3372"/>
    <w:rsid w:val="00CB37AF"/>
    <w:rsid w:val="00CB471C"/>
    <w:rsid w:val="00CB53CC"/>
    <w:rsid w:val="00CB5BF1"/>
    <w:rsid w:val="00CB69B4"/>
    <w:rsid w:val="00CB6DDF"/>
    <w:rsid w:val="00CB6E8F"/>
    <w:rsid w:val="00CB72BD"/>
    <w:rsid w:val="00CB7B48"/>
    <w:rsid w:val="00CC01F4"/>
    <w:rsid w:val="00CC0C63"/>
    <w:rsid w:val="00CC0FE9"/>
    <w:rsid w:val="00CC137F"/>
    <w:rsid w:val="00CC18CD"/>
    <w:rsid w:val="00CC1BCB"/>
    <w:rsid w:val="00CC24D8"/>
    <w:rsid w:val="00CC2FF8"/>
    <w:rsid w:val="00CC3AB2"/>
    <w:rsid w:val="00CC432F"/>
    <w:rsid w:val="00CC4D01"/>
    <w:rsid w:val="00CC4EA2"/>
    <w:rsid w:val="00CC4F5A"/>
    <w:rsid w:val="00CC53D6"/>
    <w:rsid w:val="00CC56B6"/>
    <w:rsid w:val="00CC60FA"/>
    <w:rsid w:val="00CC6381"/>
    <w:rsid w:val="00CC673B"/>
    <w:rsid w:val="00CC711E"/>
    <w:rsid w:val="00CC7682"/>
    <w:rsid w:val="00CC775E"/>
    <w:rsid w:val="00CC7AD0"/>
    <w:rsid w:val="00CC7F90"/>
    <w:rsid w:val="00CD014A"/>
    <w:rsid w:val="00CD0255"/>
    <w:rsid w:val="00CD07AA"/>
    <w:rsid w:val="00CD0A81"/>
    <w:rsid w:val="00CD0C2B"/>
    <w:rsid w:val="00CD1D79"/>
    <w:rsid w:val="00CD1E3A"/>
    <w:rsid w:val="00CD20DC"/>
    <w:rsid w:val="00CD36C7"/>
    <w:rsid w:val="00CD372C"/>
    <w:rsid w:val="00CD3843"/>
    <w:rsid w:val="00CD3E47"/>
    <w:rsid w:val="00CD4207"/>
    <w:rsid w:val="00CD4738"/>
    <w:rsid w:val="00CD4B1A"/>
    <w:rsid w:val="00CD5141"/>
    <w:rsid w:val="00CD56CC"/>
    <w:rsid w:val="00CD5ECC"/>
    <w:rsid w:val="00CD6918"/>
    <w:rsid w:val="00CD6A7A"/>
    <w:rsid w:val="00CD6AFF"/>
    <w:rsid w:val="00CD727F"/>
    <w:rsid w:val="00CD76AE"/>
    <w:rsid w:val="00CD79C6"/>
    <w:rsid w:val="00CD7C4B"/>
    <w:rsid w:val="00CD7D0E"/>
    <w:rsid w:val="00CD7FF3"/>
    <w:rsid w:val="00CE0CE0"/>
    <w:rsid w:val="00CE138A"/>
    <w:rsid w:val="00CE14B5"/>
    <w:rsid w:val="00CE1609"/>
    <w:rsid w:val="00CE192C"/>
    <w:rsid w:val="00CE1B19"/>
    <w:rsid w:val="00CE2019"/>
    <w:rsid w:val="00CE2261"/>
    <w:rsid w:val="00CE2A00"/>
    <w:rsid w:val="00CE2FC9"/>
    <w:rsid w:val="00CE3E18"/>
    <w:rsid w:val="00CE4EDC"/>
    <w:rsid w:val="00CE5171"/>
    <w:rsid w:val="00CE5FE5"/>
    <w:rsid w:val="00CE60A8"/>
    <w:rsid w:val="00CE621A"/>
    <w:rsid w:val="00CE63BC"/>
    <w:rsid w:val="00CE692B"/>
    <w:rsid w:val="00CE6E91"/>
    <w:rsid w:val="00CE7010"/>
    <w:rsid w:val="00CE73F4"/>
    <w:rsid w:val="00CE748F"/>
    <w:rsid w:val="00CE7833"/>
    <w:rsid w:val="00CF0039"/>
    <w:rsid w:val="00CF0219"/>
    <w:rsid w:val="00CF085D"/>
    <w:rsid w:val="00CF0B4E"/>
    <w:rsid w:val="00CF0BD1"/>
    <w:rsid w:val="00CF0F66"/>
    <w:rsid w:val="00CF0FDF"/>
    <w:rsid w:val="00CF151B"/>
    <w:rsid w:val="00CF1663"/>
    <w:rsid w:val="00CF172F"/>
    <w:rsid w:val="00CF2A09"/>
    <w:rsid w:val="00CF36DD"/>
    <w:rsid w:val="00CF42B4"/>
    <w:rsid w:val="00CF509B"/>
    <w:rsid w:val="00CF5364"/>
    <w:rsid w:val="00CF5B23"/>
    <w:rsid w:val="00CF5DF8"/>
    <w:rsid w:val="00CF61FE"/>
    <w:rsid w:val="00CF655F"/>
    <w:rsid w:val="00CF6AD3"/>
    <w:rsid w:val="00CF7561"/>
    <w:rsid w:val="00CF7585"/>
    <w:rsid w:val="00D0051D"/>
    <w:rsid w:val="00D017E8"/>
    <w:rsid w:val="00D01A27"/>
    <w:rsid w:val="00D01CB1"/>
    <w:rsid w:val="00D039EA"/>
    <w:rsid w:val="00D03ACC"/>
    <w:rsid w:val="00D0423F"/>
    <w:rsid w:val="00D0479C"/>
    <w:rsid w:val="00D04CE8"/>
    <w:rsid w:val="00D058A1"/>
    <w:rsid w:val="00D05CD0"/>
    <w:rsid w:val="00D060A2"/>
    <w:rsid w:val="00D06D7E"/>
    <w:rsid w:val="00D077BB"/>
    <w:rsid w:val="00D077CE"/>
    <w:rsid w:val="00D07ADD"/>
    <w:rsid w:val="00D07CEF"/>
    <w:rsid w:val="00D07FFA"/>
    <w:rsid w:val="00D10325"/>
    <w:rsid w:val="00D108E7"/>
    <w:rsid w:val="00D10D1E"/>
    <w:rsid w:val="00D129DF"/>
    <w:rsid w:val="00D143C1"/>
    <w:rsid w:val="00D14475"/>
    <w:rsid w:val="00D147BA"/>
    <w:rsid w:val="00D14927"/>
    <w:rsid w:val="00D14CAA"/>
    <w:rsid w:val="00D14D6F"/>
    <w:rsid w:val="00D156A4"/>
    <w:rsid w:val="00D15703"/>
    <w:rsid w:val="00D15BE1"/>
    <w:rsid w:val="00D15E0D"/>
    <w:rsid w:val="00D160D7"/>
    <w:rsid w:val="00D1694B"/>
    <w:rsid w:val="00D1715E"/>
    <w:rsid w:val="00D179FD"/>
    <w:rsid w:val="00D20291"/>
    <w:rsid w:val="00D204C7"/>
    <w:rsid w:val="00D20678"/>
    <w:rsid w:val="00D20B18"/>
    <w:rsid w:val="00D20CD6"/>
    <w:rsid w:val="00D20E9D"/>
    <w:rsid w:val="00D2110C"/>
    <w:rsid w:val="00D213C8"/>
    <w:rsid w:val="00D2144B"/>
    <w:rsid w:val="00D218CC"/>
    <w:rsid w:val="00D221B0"/>
    <w:rsid w:val="00D224E1"/>
    <w:rsid w:val="00D22719"/>
    <w:rsid w:val="00D22C15"/>
    <w:rsid w:val="00D22F35"/>
    <w:rsid w:val="00D232A1"/>
    <w:rsid w:val="00D237D3"/>
    <w:rsid w:val="00D24127"/>
    <w:rsid w:val="00D24545"/>
    <w:rsid w:val="00D24C9C"/>
    <w:rsid w:val="00D24DC0"/>
    <w:rsid w:val="00D254E4"/>
    <w:rsid w:val="00D25AA0"/>
    <w:rsid w:val="00D25AB4"/>
    <w:rsid w:val="00D25BC8"/>
    <w:rsid w:val="00D25C48"/>
    <w:rsid w:val="00D25E7E"/>
    <w:rsid w:val="00D26050"/>
    <w:rsid w:val="00D2629D"/>
    <w:rsid w:val="00D263A1"/>
    <w:rsid w:val="00D26BAD"/>
    <w:rsid w:val="00D26BDF"/>
    <w:rsid w:val="00D26D0F"/>
    <w:rsid w:val="00D30008"/>
    <w:rsid w:val="00D305AC"/>
    <w:rsid w:val="00D30733"/>
    <w:rsid w:val="00D31D8D"/>
    <w:rsid w:val="00D32DFB"/>
    <w:rsid w:val="00D3335F"/>
    <w:rsid w:val="00D33BA6"/>
    <w:rsid w:val="00D34339"/>
    <w:rsid w:val="00D349A1"/>
    <w:rsid w:val="00D34AA0"/>
    <w:rsid w:val="00D35262"/>
    <w:rsid w:val="00D353BF"/>
    <w:rsid w:val="00D36A60"/>
    <w:rsid w:val="00D36F61"/>
    <w:rsid w:val="00D36FE6"/>
    <w:rsid w:val="00D379CD"/>
    <w:rsid w:val="00D37A7F"/>
    <w:rsid w:val="00D37D5A"/>
    <w:rsid w:val="00D37EB1"/>
    <w:rsid w:val="00D402AE"/>
    <w:rsid w:val="00D407E8"/>
    <w:rsid w:val="00D407F7"/>
    <w:rsid w:val="00D40B00"/>
    <w:rsid w:val="00D40C47"/>
    <w:rsid w:val="00D415E9"/>
    <w:rsid w:val="00D41BBE"/>
    <w:rsid w:val="00D42B59"/>
    <w:rsid w:val="00D42C64"/>
    <w:rsid w:val="00D4382B"/>
    <w:rsid w:val="00D43CD2"/>
    <w:rsid w:val="00D43F3D"/>
    <w:rsid w:val="00D44076"/>
    <w:rsid w:val="00D4429D"/>
    <w:rsid w:val="00D4439E"/>
    <w:rsid w:val="00D44A42"/>
    <w:rsid w:val="00D44DD7"/>
    <w:rsid w:val="00D45218"/>
    <w:rsid w:val="00D4543A"/>
    <w:rsid w:val="00D45B9A"/>
    <w:rsid w:val="00D461F0"/>
    <w:rsid w:val="00D4685E"/>
    <w:rsid w:val="00D47323"/>
    <w:rsid w:val="00D47493"/>
    <w:rsid w:val="00D47949"/>
    <w:rsid w:val="00D47B21"/>
    <w:rsid w:val="00D50087"/>
    <w:rsid w:val="00D5033E"/>
    <w:rsid w:val="00D50595"/>
    <w:rsid w:val="00D5118B"/>
    <w:rsid w:val="00D5163C"/>
    <w:rsid w:val="00D51BB9"/>
    <w:rsid w:val="00D52B33"/>
    <w:rsid w:val="00D534E3"/>
    <w:rsid w:val="00D5356C"/>
    <w:rsid w:val="00D5465C"/>
    <w:rsid w:val="00D5618A"/>
    <w:rsid w:val="00D57813"/>
    <w:rsid w:val="00D609B1"/>
    <w:rsid w:val="00D6120E"/>
    <w:rsid w:val="00D61321"/>
    <w:rsid w:val="00D61B5B"/>
    <w:rsid w:val="00D61E00"/>
    <w:rsid w:val="00D61F2A"/>
    <w:rsid w:val="00D63710"/>
    <w:rsid w:val="00D63847"/>
    <w:rsid w:val="00D63E36"/>
    <w:rsid w:val="00D64418"/>
    <w:rsid w:val="00D6496E"/>
    <w:rsid w:val="00D64980"/>
    <w:rsid w:val="00D64ADC"/>
    <w:rsid w:val="00D651C5"/>
    <w:rsid w:val="00D6522C"/>
    <w:rsid w:val="00D658DF"/>
    <w:rsid w:val="00D66630"/>
    <w:rsid w:val="00D667D0"/>
    <w:rsid w:val="00D670D1"/>
    <w:rsid w:val="00D6786B"/>
    <w:rsid w:val="00D6790D"/>
    <w:rsid w:val="00D67EA0"/>
    <w:rsid w:val="00D7120C"/>
    <w:rsid w:val="00D71264"/>
    <w:rsid w:val="00D71CE1"/>
    <w:rsid w:val="00D71E8F"/>
    <w:rsid w:val="00D71EE6"/>
    <w:rsid w:val="00D71F30"/>
    <w:rsid w:val="00D71F67"/>
    <w:rsid w:val="00D71FAC"/>
    <w:rsid w:val="00D71FD2"/>
    <w:rsid w:val="00D72031"/>
    <w:rsid w:val="00D72252"/>
    <w:rsid w:val="00D72BC8"/>
    <w:rsid w:val="00D72DF2"/>
    <w:rsid w:val="00D73783"/>
    <w:rsid w:val="00D73D4C"/>
    <w:rsid w:val="00D73E9F"/>
    <w:rsid w:val="00D74505"/>
    <w:rsid w:val="00D74595"/>
    <w:rsid w:val="00D74BF7"/>
    <w:rsid w:val="00D75127"/>
    <w:rsid w:val="00D75598"/>
    <w:rsid w:val="00D760BB"/>
    <w:rsid w:val="00D76A45"/>
    <w:rsid w:val="00D77516"/>
    <w:rsid w:val="00D77BE0"/>
    <w:rsid w:val="00D80E70"/>
    <w:rsid w:val="00D81415"/>
    <w:rsid w:val="00D8176C"/>
    <w:rsid w:val="00D8190D"/>
    <w:rsid w:val="00D82230"/>
    <w:rsid w:val="00D82964"/>
    <w:rsid w:val="00D82A88"/>
    <w:rsid w:val="00D82DAD"/>
    <w:rsid w:val="00D8323D"/>
    <w:rsid w:val="00D83FEE"/>
    <w:rsid w:val="00D84C18"/>
    <w:rsid w:val="00D84F73"/>
    <w:rsid w:val="00D859D0"/>
    <w:rsid w:val="00D85DDA"/>
    <w:rsid w:val="00D8604A"/>
    <w:rsid w:val="00D867A7"/>
    <w:rsid w:val="00D86C20"/>
    <w:rsid w:val="00D87A4A"/>
    <w:rsid w:val="00D87ACF"/>
    <w:rsid w:val="00D87D77"/>
    <w:rsid w:val="00D90D20"/>
    <w:rsid w:val="00D90E78"/>
    <w:rsid w:val="00D90F56"/>
    <w:rsid w:val="00D91614"/>
    <w:rsid w:val="00D9230D"/>
    <w:rsid w:val="00D926C9"/>
    <w:rsid w:val="00D92E45"/>
    <w:rsid w:val="00D92FA0"/>
    <w:rsid w:val="00D93105"/>
    <w:rsid w:val="00D93273"/>
    <w:rsid w:val="00D937F1"/>
    <w:rsid w:val="00D93DA1"/>
    <w:rsid w:val="00D941C8"/>
    <w:rsid w:val="00D9437C"/>
    <w:rsid w:val="00D94CDD"/>
    <w:rsid w:val="00D94DA0"/>
    <w:rsid w:val="00D94F57"/>
    <w:rsid w:val="00D95554"/>
    <w:rsid w:val="00D96580"/>
    <w:rsid w:val="00D96589"/>
    <w:rsid w:val="00D96F65"/>
    <w:rsid w:val="00D97499"/>
    <w:rsid w:val="00D9794E"/>
    <w:rsid w:val="00D97FDF"/>
    <w:rsid w:val="00DA00DA"/>
    <w:rsid w:val="00DA0451"/>
    <w:rsid w:val="00DA06B1"/>
    <w:rsid w:val="00DA281E"/>
    <w:rsid w:val="00DA37EC"/>
    <w:rsid w:val="00DA387E"/>
    <w:rsid w:val="00DA38E2"/>
    <w:rsid w:val="00DA4C23"/>
    <w:rsid w:val="00DA5935"/>
    <w:rsid w:val="00DA5D02"/>
    <w:rsid w:val="00DA5D68"/>
    <w:rsid w:val="00DA6145"/>
    <w:rsid w:val="00DA640D"/>
    <w:rsid w:val="00DA641C"/>
    <w:rsid w:val="00DA6659"/>
    <w:rsid w:val="00DA6930"/>
    <w:rsid w:val="00DA6D58"/>
    <w:rsid w:val="00DA6E84"/>
    <w:rsid w:val="00DA7A38"/>
    <w:rsid w:val="00DA7B32"/>
    <w:rsid w:val="00DB014B"/>
    <w:rsid w:val="00DB04B3"/>
    <w:rsid w:val="00DB0EF2"/>
    <w:rsid w:val="00DB1553"/>
    <w:rsid w:val="00DB16D9"/>
    <w:rsid w:val="00DB1B94"/>
    <w:rsid w:val="00DB1F86"/>
    <w:rsid w:val="00DB218B"/>
    <w:rsid w:val="00DB243C"/>
    <w:rsid w:val="00DB2B2C"/>
    <w:rsid w:val="00DB2D67"/>
    <w:rsid w:val="00DB317B"/>
    <w:rsid w:val="00DB367E"/>
    <w:rsid w:val="00DB3805"/>
    <w:rsid w:val="00DB3826"/>
    <w:rsid w:val="00DB47F1"/>
    <w:rsid w:val="00DB4819"/>
    <w:rsid w:val="00DB4ACF"/>
    <w:rsid w:val="00DB4BAC"/>
    <w:rsid w:val="00DB4C14"/>
    <w:rsid w:val="00DB4F3F"/>
    <w:rsid w:val="00DB52E5"/>
    <w:rsid w:val="00DB55A2"/>
    <w:rsid w:val="00DB585C"/>
    <w:rsid w:val="00DB5930"/>
    <w:rsid w:val="00DB5E98"/>
    <w:rsid w:val="00DB686B"/>
    <w:rsid w:val="00DB6ED1"/>
    <w:rsid w:val="00DB6FE5"/>
    <w:rsid w:val="00DB716D"/>
    <w:rsid w:val="00DB7453"/>
    <w:rsid w:val="00DC0FB0"/>
    <w:rsid w:val="00DC1D9D"/>
    <w:rsid w:val="00DC222D"/>
    <w:rsid w:val="00DC2348"/>
    <w:rsid w:val="00DC2970"/>
    <w:rsid w:val="00DC2C8F"/>
    <w:rsid w:val="00DC2CE0"/>
    <w:rsid w:val="00DC370E"/>
    <w:rsid w:val="00DC3FD3"/>
    <w:rsid w:val="00DC40DE"/>
    <w:rsid w:val="00DC4A99"/>
    <w:rsid w:val="00DC4AA6"/>
    <w:rsid w:val="00DC4FEC"/>
    <w:rsid w:val="00DC5267"/>
    <w:rsid w:val="00DC63C9"/>
    <w:rsid w:val="00DC63EC"/>
    <w:rsid w:val="00DC6477"/>
    <w:rsid w:val="00DC6795"/>
    <w:rsid w:val="00DC6B54"/>
    <w:rsid w:val="00DC7334"/>
    <w:rsid w:val="00DC78D0"/>
    <w:rsid w:val="00DC7CCF"/>
    <w:rsid w:val="00DD05A5"/>
    <w:rsid w:val="00DD0A88"/>
    <w:rsid w:val="00DD1A2D"/>
    <w:rsid w:val="00DD220A"/>
    <w:rsid w:val="00DD2C61"/>
    <w:rsid w:val="00DD3837"/>
    <w:rsid w:val="00DD3CA1"/>
    <w:rsid w:val="00DD4346"/>
    <w:rsid w:val="00DD439A"/>
    <w:rsid w:val="00DD48BE"/>
    <w:rsid w:val="00DD49FE"/>
    <w:rsid w:val="00DD4E16"/>
    <w:rsid w:val="00DD50A0"/>
    <w:rsid w:val="00DD57DE"/>
    <w:rsid w:val="00DD5945"/>
    <w:rsid w:val="00DD6BE3"/>
    <w:rsid w:val="00DD77C9"/>
    <w:rsid w:val="00DD78A4"/>
    <w:rsid w:val="00DD7917"/>
    <w:rsid w:val="00DD7D65"/>
    <w:rsid w:val="00DD7E30"/>
    <w:rsid w:val="00DE0014"/>
    <w:rsid w:val="00DE04D9"/>
    <w:rsid w:val="00DE093F"/>
    <w:rsid w:val="00DE099C"/>
    <w:rsid w:val="00DE1AF8"/>
    <w:rsid w:val="00DE2505"/>
    <w:rsid w:val="00DE2CAB"/>
    <w:rsid w:val="00DE2EEF"/>
    <w:rsid w:val="00DE310A"/>
    <w:rsid w:val="00DE4003"/>
    <w:rsid w:val="00DE42CF"/>
    <w:rsid w:val="00DE4869"/>
    <w:rsid w:val="00DE4B32"/>
    <w:rsid w:val="00DE52D7"/>
    <w:rsid w:val="00DE572A"/>
    <w:rsid w:val="00DE5734"/>
    <w:rsid w:val="00DE5CBA"/>
    <w:rsid w:val="00DE648A"/>
    <w:rsid w:val="00DE6691"/>
    <w:rsid w:val="00DE70AE"/>
    <w:rsid w:val="00DE7936"/>
    <w:rsid w:val="00DE7E97"/>
    <w:rsid w:val="00DF03E6"/>
    <w:rsid w:val="00DF046C"/>
    <w:rsid w:val="00DF0937"/>
    <w:rsid w:val="00DF0E06"/>
    <w:rsid w:val="00DF1C3A"/>
    <w:rsid w:val="00DF1C41"/>
    <w:rsid w:val="00DF1E56"/>
    <w:rsid w:val="00DF1E62"/>
    <w:rsid w:val="00DF1FA9"/>
    <w:rsid w:val="00DF21BC"/>
    <w:rsid w:val="00DF29A6"/>
    <w:rsid w:val="00DF2B8A"/>
    <w:rsid w:val="00DF33A2"/>
    <w:rsid w:val="00DF348C"/>
    <w:rsid w:val="00DF3B34"/>
    <w:rsid w:val="00DF4843"/>
    <w:rsid w:val="00DF4852"/>
    <w:rsid w:val="00DF5B01"/>
    <w:rsid w:val="00DF66CA"/>
    <w:rsid w:val="00DF6963"/>
    <w:rsid w:val="00DF6F76"/>
    <w:rsid w:val="00DF700F"/>
    <w:rsid w:val="00DF77FC"/>
    <w:rsid w:val="00DF7AAF"/>
    <w:rsid w:val="00DF7BE8"/>
    <w:rsid w:val="00E0043A"/>
    <w:rsid w:val="00E009B5"/>
    <w:rsid w:val="00E00DCE"/>
    <w:rsid w:val="00E0113C"/>
    <w:rsid w:val="00E014E3"/>
    <w:rsid w:val="00E02D75"/>
    <w:rsid w:val="00E034CF"/>
    <w:rsid w:val="00E03548"/>
    <w:rsid w:val="00E046A4"/>
    <w:rsid w:val="00E04CCA"/>
    <w:rsid w:val="00E0565C"/>
    <w:rsid w:val="00E058A6"/>
    <w:rsid w:val="00E058B5"/>
    <w:rsid w:val="00E05FB6"/>
    <w:rsid w:val="00E06036"/>
    <w:rsid w:val="00E06177"/>
    <w:rsid w:val="00E067E2"/>
    <w:rsid w:val="00E06D24"/>
    <w:rsid w:val="00E076F4"/>
    <w:rsid w:val="00E078E3"/>
    <w:rsid w:val="00E07B03"/>
    <w:rsid w:val="00E07D3F"/>
    <w:rsid w:val="00E07D8F"/>
    <w:rsid w:val="00E1075B"/>
    <w:rsid w:val="00E10AA2"/>
    <w:rsid w:val="00E10BEC"/>
    <w:rsid w:val="00E10C4C"/>
    <w:rsid w:val="00E10E65"/>
    <w:rsid w:val="00E10F6B"/>
    <w:rsid w:val="00E1105D"/>
    <w:rsid w:val="00E112F3"/>
    <w:rsid w:val="00E11BC6"/>
    <w:rsid w:val="00E11FE2"/>
    <w:rsid w:val="00E12478"/>
    <w:rsid w:val="00E125D6"/>
    <w:rsid w:val="00E1274D"/>
    <w:rsid w:val="00E12AC9"/>
    <w:rsid w:val="00E137BB"/>
    <w:rsid w:val="00E14FC1"/>
    <w:rsid w:val="00E1514A"/>
    <w:rsid w:val="00E15186"/>
    <w:rsid w:val="00E153D4"/>
    <w:rsid w:val="00E15B7D"/>
    <w:rsid w:val="00E15ECE"/>
    <w:rsid w:val="00E161EC"/>
    <w:rsid w:val="00E16B87"/>
    <w:rsid w:val="00E16DFB"/>
    <w:rsid w:val="00E179DB"/>
    <w:rsid w:val="00E17BE6"/>
    <w:rsid w:val="00E17DAC"/>
    <w:rsid w:val="00E17EF7"/>
    <w:rsid w:val="00E20785"/>
    <w:rsid w:val="00E20AFD"/>
    <w:rsid w:val="00E20F4D"/>
    <w:rsid w:val="00E2156A"/>
    <w:rsid w:val="00E2190C"/>
    <w:rsid w:val="00E21BE7"/>
    <w:rsid w:val="00E21F04"/>
    <w:rsid w:val="00E221CE"/>
    <w:rsid w:val="00E2264B"/>
    <w:rsid w:val="00E2265B"/>
    <w:rsid w:val="00E2336B"/>
    <w:rsid w:val="00E23DE2"/>
    <w:rsid w:val="00E243DC"/>
    <w:rsid w:val="00E2441F"/>
    <w:rsid w:val="00E24423"/>
    <w:rsid w:val="00E24929"/>
    <w:rsid w:val="00E24C54"/>
    <w:rsid w:val="00E24F42"/>
    <w:rsid w:val="00E2544D"/>
    <w:rsid w:val="00E25D90"/>
    <w:rsid w:val="00E25F81"/>
    <w:rsid w:val="00E26005"/>
    <w:rsid w:val="00E2606A"/>
    <w:rsid w:val="00E2609B"/>
    <w:rsid w:val="00E260F7"/>
    <w:rsid w:val="00E26B9C"/>
    <w:rsid w:val="00E27B29"/>
    <w:rsid w:val="00E27CAF"/>
    <w:rsid w:val="00E27E6A"/>
    <w:rsid w:val="00E30647"/>
    <w:rsid w:val="00E30BDE"/>
    <w:rsid w:val="00E30BE2"/>
    <w:rsid w:val="00E30C34"/>
    <w:rsid w:val="00E31473"/>
    <w:rsid w:val="00E32093"/>
    <w:rsid w:val="00E320AA"/>
    <w:rsid w:val="00E322B9"/>
    <w:rsid w:val="00E3295D"/>
    <w:rsid w:val="00E32C9C"/>
    <w:rsid w:val="00E32CFE"/>
    <w:rsid w:val="00E32D2E"/>
    <w:rsid w:val="00E33A2E"/>
    <w:rsid w:val="00E33BDA"/>
    <w:rsid w:val="00E34131"/>
    <w:rsid w:val="00E342A5"/>
    <w:rsid w:val="00E3433B"/>
    <w:rsid w:val="00E3467F"/>
    <w:rsid w:val="00E349F8"/>
    <w:rsid w:val="00E35D4D"/>
    <w:rsid w:val="00E35D60"/>
    <w:rsid w:val="00E362B3"/>
    <w:rsid w:val="00E367FC"/>
    <w:rsid w:val="00E368EC"/>
    <w:rsid w:val="00E36F7C"/>
    <w:rsid w:val="00E372D2"/>
    <w:rsid w:val="00E376BA"/>
    <w:rsid w:val="00E378D7"/>
    <w:rsid w:val="00E37A41"/>
    <w:rsid w:val="00E4112C"/>
    <w:rsid w:val="00E4141F"/>
    <w:rsid w:val="00E416CA"/>
    <w:rsid w:val="00E42325"/>
    <w:rsid w:val="00E425E6"/>
    <w:rsid w:val="00E42CAC"/>
    <w:rsid w:val="00E43444"/>
    <w:rsid w:val="00E43B81"/>
    <w:rsid w:val="00E43DA9"/>
    <w:rsid w:val="00E44881"/>
    <w:rsid w:val="00E448B8"/>
    <w:rsid w:val="00E45846"/>
    <w:rsid w:val="00E45B14"/>
    <w:rsid w:val="00E4677F"/>
    <w:rsid w:val="00E4710E"/>
    <w:rsid w:val="00E4714E"/>
    <w:rsid w:val="00E4750C"/>
    <w:rsid w:val="00E4777E"/>
    <w:rsid w:val="00E50789"/>
    <w:rsid w:val="00E50891"/>
    <w:rsid w:val="00E50C7C"/>
    <w:rsid w:val="00E50EE7"/>
    <w:rsid w:val="00E512EC"/>
    <w:rsid w:val="00E51817"/>
    <w:rsid w:val="00E51954"/>
    <w:rsid w:val="00E51D96"/>
    <w:rsid w:val="00E5225A"/>
    <w:rsid w:val="00E5271C"/>
    <w:rsid w:val="00E52A71"/>
    <w:rsid w:val="00E52CEC"/>
    <w:rsid w:val="00E52D82"/>
    <w:rsid w:val="00E53800"/>
    <w:rsid w:val="00E5425E"/>
    <w:rsid w:val="00E54612"/>
    <w:rsid w:val="00E547EF"/>
    <w:rsid w:val="00E54FB1"/>
    <w:rsid w:val="00E55053"/>
    <w:rsid w:val="00E55920"/>
    <w:rsid w:val="00E55C59"/>
    <w:rsid w:val="00E55C91"/>
    <w:rsid w:val="00E55FE5"/>
    <w:rsid w:val="00E5608B"/>
    <w:rsid w:val="00E570CE"/>
    <w:rsid w:val="00E57486"/>
    <w:rsid w:val="00E575C1"/>
    <w:rsid w:val="00E57E98"/>
    <w:rsid w:val="00E57ED8"/>
    <w:rsid w:val="00E603D4"/>
    <w:rsid w:val="00E60949"/>
    <w:rsid w:val="00E60B09"/>
    <w:rsid w:val="00E611BF"/>
    <w:rsid w:val="00E611F6"/>
    <w:rsid w:val="00E62653"/>
    <w:rsid w:val="00E62887"/>
    <w:rsid w:val="00E62DFF"/>
    <w:rsid w:val="00E6372A"/>
    <w:rsid w:val="00E63A63"/>
    <w:rsid w:val="00E641D6"/>
    <w:rsid w:val="00E6424D"/>
    <w:rsid w:val="00E6485A"/>
    <w:rsid w:val="00E64F7B"/>
    <w:rsid w:val="00E653AF"/>
    <w:rsid w:val="00E656F0"/>
    <w:rsid w:val="00E65A61"/>
    <w:rsid w:val="00E65E1B"/>
    <w:rsid w:val="00E6654E"/>
    <w:rsid w:val="00E66D68"/>
    <w:rsid w:val="00E677BF"/>
    <w:rsid w:val="00E6794E"/>
    <w:rsid w:val="00E70075"/>
    <w:rsid w:val="00E70C75"/>
    <w:rsid w:val="00E70D15"/>
    <w:rsid w:val="00E715B7"/>
    <w:rsid w:val="00E718B7"/>
    <w:rsid w:val="00E71BE0"/>
    <w:rsid w:val="00E71FC4"/>
    <w:rsid w:val="00E720E2"/>
    <w:rsid w:val="00E72928"/>
    <w:rsid w:val="00E736B9"/>
    <w:rsid w:val="00E74340"/>
    <w:rsid w:val="00E74481"/>
    <w:rsid w:val="00E74529"/>
    <w:rsid w:val="00E74C67"/>
    <w:rsid w:val="00E75091"/>
    <w:rsid w:val="00E75774"/>
    <w:rsid w:val="00E75C37"/>
    <w:rsid w:val="00E75D1A"/>
    <w:rsid w:val="00E76C94"/>
    <w:rsid w:val="00E76DE9"/>
    <w:rsid w:val="00E773C3"/>
    <w:rsid w:val="00E77ACF"/>
    <w:rsid w:val="00E801C6"/>
    <w:rsid w:val="00E80415"/>
    <w:rsid w:val="00E805F9"/>
    <w:rsid w:val="00E80B2B"/>
    <w:rsid w:val="00E81CCE"/>
    <w:rsid w:val="00E81DCF"/>
    <w:rsid w:val="00E81FBA"/>
    <w:rsid w:val="00E828D7"/>
    <w:rsid w:val="00E82F15"/>
    <w:rsid w:val="00E8323B"/>
    <w:rsid w:val="00E8338E"/>
    <w:rsid w:val="00E8375D"/>
    <w:rsid w:val="00E83827"/>
    <w:rsid w:val="00E83CFA"/>
    <w:rsid w:val="00E83D25"/>
    <w:rsid w:val="00E83FB5"/>
    <w:rsid w:val="00E8402F"/>
    <w:rsid w:val="00E841D5"/>
    <w:rsid w:val="00E842CE"/>
    <w:rsid w:val="00E84337"/>
    <w:rsid w:val="00E850CE"/>
    <w:rsid w:val="00E85333"/>
    <w:rsid w:val="00E85A4A"/>
    <w:rsid w:val="00E85ADD"/>
    <w:rsid w:val="00E86363"/>
    <w:rsid w:val="00E86879"/>
    <w:rsid w:val="00E86DE8"/>
    <w:rsid w:val="00E8714F"/>
    <w:rsid w:val="00E87549"/>
    <w:rsid w:val="00E87821"/>
    <w:rsid w:val="00E87CAD"/>
    <w:rsid w:val="00E87EF3"/>
    <w:rsid w:val="00E902F8"/>
    <w:rsid w:val="00E90439"/>
    <w:rsid w:val="00E90E77"/>
    <w:rsid w:val="00E911F4"/>
    <w:rsid w:val="00E9129D"/>
    <w:rsid w:val="00E91313"/>
    <w:rsid w:val="00E91480"/>
    <w:rsid w:val="00E914F3"/>
    <w:rsid w:val="00E917CE"/>
    <w:rsid w:val="00E91F7C"/>
    <w:rsid w:val="00E921AA"/>
    <w:rsid w:val="00E92757"/>
    <w:rsid w:val="00E928CE"/>
    <w:rsid w:val="00E92AF9"/>
    <w:rsid w:val="00E92CAF"/>
    <w:rsid w:val="00E9348A"/>
    <w:rsid w:val="00E934B6"/>
    <w:rsid w:val="00E935D0"/>
    <w:rsid w:val="00E93BF6"/>
    <w:rsid w:val="00E94483"/>
    <w:rsid w:val="00E94640"/>
    <w:rsid w:val="00E94911"/>
    <w:rsid w:val="00E949D0"/>
    <w:rsid w:val="00E953DF"/>
    <w:rsid w:val="00E953F1"/>
    <w:rsid w:val="00E95DEC"/>
    <w:rsid w:val="00E960D6"/>
    <w:rsid w:val="00E963B4"/>
    <w:rsid w:val="00E96E0E"/>
    <w:rsid w:val="00E979A7"/>
    <w:rsid w:val="00EA00FB"/>
    <w:rsid w:val="00EA044E"/>
    <w:rsid w:val="00EA046A"/>
    <w:rsid w:val="00EA0A4A"/>
    <w:rsid w:val="00EA1699"/>
    <w:rsid w:val="00EA1A83"/>
    <w:rsid w:val="00EA1B64"/>
    <w:rsid w:val="00EA1C33"/>
    <w:rsid w:val="00EA1E2D"/>
    <w:rsid w:val="00EA22D1"/>
    <w:rsid w:val="00EA22D4"/>
    <w:rsid w:val="00EA233D"/>
    <w:rsid w:val="00EA2559"/>
    <w:rsid w:val="00EA2729"/>
    <w:rsid w:val="00EA283A"/>
    <w:rsid w:val="00EA2EDF"/>
    <w:rsid w:val="00EA2FD5"/>
    <w:rsid w:val="00EA3213"/>
    <w:rsid w:val="00EA3DDC"/>
    <w:rsid w:val="00EA420E"/>
    <w:rsid w:val="00EA4333"/>
    <w:rsid w:val="00EA4FC4"/>
    <w:rsid w:val="00EA5B05"/>
    <w:rsid w:val="00EA5BD9"/>
    <w:rsid w:val="00EA5E32"/>
    <w:rsid w:val="00EA5FFE"/>
    <w:rsid w:val="00EA6040"/>
    <w:rsid w:val="00EA62BC"/>
    <w:rsid w:val="00EA68CC"/>
    <w:rsid w:val="00EA6D98"/>
    <w:rsid w:val="00EA6F18"/>
    <w:rsid w:val="00EA70F9"/>
    <w:rsid w:val="00EA7BC5"/>
    <w:rsid w:val="00EB0798"/>
    <w:rsid w:val="00EB0B26"/>
    <w:rsid w:val="00EB1BFD"/>
    <w:rsid w:val="00EB20EC"/>
    <w:rsid w:val="00EB256E"/>
    <w:rsid w:val="00EB2CEE"/>
    <w:rsid w:val="00EB2D6E"/>
    <w:rsid w:val="00EB319A"/>
    <w:rsid w:val="00EB3CFA"/>
    <w:rsid w:val="00EB4312"/>
    <w:rsid w:val="00EB43F8"/>
    <w:rsid w:val="00EB4A07"/>
    <w:rsid w:val="00EB4BDA"/>
    <w:rsid w:val="00EB4E2C"/>
    <w:rsid w:val="00EB4FF1"/>
    <w:rsid w:val="00EB5488"/>
    <w:rsid w:val="00EB55C5"/>
    <w:rsid w:val="00EB5F75"/>
    <w:rsid w:val="00EB62F8"/>
    <w:rsid w:val="00EB6B71"/>
    <w:rsid w:val="00EB6B90"/>
    <w:rsid w:val="00EB6C74"/>
    <w:rsid w:val="00EB6D51"/>
    <w:rsid w:val="00EB6DAA"/>
    <w:rsid w:val="00EB6E24"/>
    <w:rsid w:val="00EB6F07"/>
    <w:rsid w:val="00EB70FD"/>
    <w:rsid w:val="00EB7711"/>
    <w:rsid w:val="00EB7843"/>
    <w:rsid w:val="00EB7B94"/>
    <w:rsid w:val="00EB7D64"/>
    <w:rsid w:val="00EB7DD3"/>
    <w:rsid w:val="00EB7F93"/>
    <w:rsid w:val="00EC04A1"/>
    <w:rsid w:val="00EC0670"/>
    <w:rsid w:val="00EC0BD6"/>
    <w:rsid w:val="00EC0DB5"/>
    <w:rsid w:val="00EC0E35"/>
    <w:rsid w:val="00EC0E71"/>
    <w:rsid w:val="00EC1F31"/>
    <w:rsid w:val="00EC1FCB"/>
    <w:rsid w:val="00EC2C13"/>
    <w:rsid w:val="00EC2F57"/>
    <w:rsid w:val="00EC3AEA"/>
    <w:rsid w:val="00EC3B42"/>
    <w:rsid w:val="00EC3C96"/>
    <w:rsid w:val="00EC41B3"/>
    <w:rsid w:val="00EC42C6"/>
    <w:rsid w:val="00EC43A2"/>
    <w:rsid w:val="00EC5786"/>
    <w:rsid w:val="00EC5E48"/>
    <w:rsid w:val="00EC62DF"/>
    <w:rsid w:val="00EC637F"/>
    <w:rsid w:val="00EC6497"/>
    <w:rsid w:val="00EC6A03"/>
    <w:rsid w:val="00EC7149"/>
    <w:rsid w:val="00EC771F"/>
    <w:rsid w:val="00EC7A3E"/>
    <w:rsid w:val="00ED0513"/>
    <w:rsid w:val="00ED0E80"/>
    <w:rsid w:val="00ED19DB"/>
    <w:rsid w:val="00ED21D3"/>
    <w:rsid w:val="00ED246D"/>
    <w:rsid w:val="00ED37C0"/>
    <w:rsid w:val="00ED41DA"/>
    <w:rsid w:val="00ED43EF"/>
    <w:rsid w:val="00ED4DFA"/>
    <w:rsid w:val="00ED504C"/>
    <w:rsid w:val="00ED5958"/>
    <w:rsid w:val="00ED5A15"/>
    <w:rsid w:val="00ED5A32"/>
    <w:rsid w:val="00ED5BF8"/>
    <w:rsid w:val="00ED5DC8"/>
    <w:rsid w:val="00ED621C"/>
    <w:rsid w:val="00ED6689"/>
    <w:rsid w:val="00ED69AC"/>
    <w:rsid w:val="00ED6D35"/>
    <w:rsid w:val="00ED6D4B"/>
    <w:rsid w:val="00ED71E8"/>
    <w:rsid w:val="00ED78D8"/>
    <w:rsid w:val="00ED7A00"/>
    <w:rsid w:val="00ED7B70"/>
    <w:rsid w:val="00EE00F7"/>
    <w:rsid w:val="00EE0196"/>
    <w:rsid w:val="00EE08F9"/>
    <w:rsid w:val="00EE09D3"/>
    <w:rsid w:val="00EE0D95"/>
    <w:rsid w:val="00EE0F4A"/>
    <w:rsid w:val="00EE10D5"/>
    <w:rsid w:val="00EE2370"/>
    <w:rsid w:val="00EE2458"/>
    <w:rsid w:val="00EE2CD0"/>
    <w:rsid w:val="00EE2D61"/>
    <w:rsid w:val="00EE2F0B"/>
    <w:rsid w:val="00EE3B5C"/>
    <w:rsid w:val="00EE3E7B"/>
    <w:rsid w:val="00EE3E87"/>
    <w:rsid w:val="00EE3F74"/>
    <w:rsid w:val="00EE46AA"/>
    <w:rsid w:val="00EE47FB"/>
    <w:rsid w:val="00EE78AC"/>
    <w:rsid w:val="00EE7C47"/>
    <w:rsid w:val="00EF0506"/>
    <w:rsid w:val="00EF0E8A"/>
    <w:rsid w:val="00EF0EAA"/>
    <w:rsid w:val="00EF1DC8"/>
    <w:rsid w:val="00EF200B"/>
    <w:rsid w:val="00EF241F"/>
    <w:rsid w:val="00EF31D3"/>
    <w:rsid w:val="00EF3945"/>
    <w:rsid w:val="00EF3B78"/>
    <w:rsid w:val="00EF49DC"/>
    <w:rsid w:val="00EF4B17"/>
    <w:rsid w:val="00EF515E"/>
    <w:rsid w:val="00EF5500"/>
    <w:rsid w:val="00EF5516"/>
    <w:rsid w:val="00EF5CDD"/>
    <w:rsid w:val="00EF60EC"/>
    <w:rsid w:val="00EF6C8A"/>
    <w:rsid w:val="00EF73CC"/>
    <w:rsid w:val="00F00763"/>
    <w:rsid w:val="00F00B45"/>
    <w:rsid w:val="00F00DB4"/>
    <w:rsid w:val="00F014AC"/>
    <w:rsid w:val="00F01B39"/>
    <w:rsid w:val="00F01EDC"/>
    <w:rsid w:val="00F0206E"/>
    <w:rsid w:val="00F0208A"/>
    <w:rsid w:val="00F022F9"/>
    <w:rsid w:val="00F023BB"/>
    <w:rsid w:val="00F02436"/>
    <w:rsid w:val="00F02E4F"/>
    <w:rsid w:val="00F02F98"/>
    <w:rsid w:val="00F030DB"/>
    <w:rsid w:val="00F03611"/>
    <w:rsid w:val="00F04487"/>
    <w:rsid w:val="00F05025"/>
    <w:rsid w:val="00F0589E"/>
    <w:rsid w:val="00F05FA9"/>
    <w:rsid w:val="00F06060"/>
    <w:rsid w:val="00F064CA"/>
    <w:rsid w:val="00F069AB"/>
    <w:rsid w:val="00F06BBF"/>
    <w:rsid w:val="00F06C84"/>
    <w:rsid w:val="00F06D99"/>
    <w:rsid w:val="00F06E73"/>
    <w:rsid w:val="00F07336"/>
    <w:rsid w:val="00F07C67"/>
    <w:rsid w:val="00F07F75"/>
    <w:rsid w:val="00F07F7E"/>
    <w:rsid w:val="00F1005F"/>
    <w:rsid w:val="00F10341"/>
    <w:rsid w:val="00F1053C"/>
    <w:rsid w:val="00F11909"/>
    <w:rsid w:val="00F11B0E"/>
    <w:rsid w:val="00F125D1"/>
    <w:rsid w:val="00F13761"/>
    <w:rsid w:val="00F13D8A"/>
    <w:rsid w:val="00F13DC8"/>
    <w:rsid w:val="00F13FE5"/>
    <w:rsid w:val="00F149CB"/>
    <w:rsid w:val="00F149EE"/>
    <w:rsid w:val="00F14F59"/>
    <w:rsid w:val="00F15D42"/>
    <w:rsid w:val="00F166A0"/>
    <w:rsid w:val="00F17041"/>
    <w:rsid w:val="00F17625"/>
    <w:rsid w:val="00F17839"/>
    <w:rsid w:val="00F17C4E"/>
    <w:rsid w:val="00F17E7E"/>
    <w:rsid w:val="00F20064"/>
    <w:rsid w:val="00F209AE"/>
    <w:rsid w:val="00F20FC8"/>
    <w:rsid w:val="00F21293"/>
    <w:rsid w:val="00F22138"/>
    <w:rsid w:val="00F2218F"/>
    <w:rsid w:val="00F22297"/>
    <w:rsid w:val="00F22571"/>
    <w:rsid w:val="00F22B02"/>
    <w:rsid w:val="00F22CF8"/>
    <w:rsid w:val="00F23058"/>
    <w:rsid w:val="00F2363F"/>
    <w:rsid w:val="00F23EAB"/>
    <w:rsid w:val="00F25310"/>
    <w:rsid w:val="00F25311"/>
    <w:rsid w:val="00F25B2F"/>
    <w:rsid w:val="00F262F2"/>
    <w:rsid w:val="00F26654"/>
    <w:rsid w:val="00F27599"/>
    <w:rsid w:val="00F276DB"/>
    <w:rsid w:val="00F27CD7"/>
    <w:rsid w:val="00F30EAE"/>
    <w:rsid w:val="00F31C25"/>
    <w:rsid w:val="00F31C66"/>
    <w:rsid w:val="00F320F6"/>
    <w:rsid w:val="00F323C3"/>
    <w:rsid w:val="00F3279D"/>
    <w:rsid w:val="00F33275"/>
    <w:rsid w:val="00F33E13"/>
    <w:rsid w:val="00F34CD1"/>
    <w:rsid w:val="00F34D9B"/>
    <w:rsid w:val="00F358EE"/>
    <w:rsid w:val="00F35F47"/>
    <w:rsid w:val="00F3608A"/>
    <w:rsid w:val="00F36481"/>
    <w:rsid w:val="00F36BCA"/>
    <w:rsid w:val="00F36E45"/>
    <w:rsid w:val="00F36FC5"/>
    <w:rsid w:val="00F37441"/>
    <w:rsid w:val="00F37492"/>
    <w:rsid w:val="00F3762D"/>
    <w:rsid w:val="00F40106"/>
    <w:rsid w:val="00F403FC"/>
    <w:rsid w:val="00F409C0"/>
    <w:rsid w:val="00F41428"/>
    <w:rsid w:val="00F430CE"/>
    <w:rsid w:val="00F43168"/>
    <w:rsid w:val="00F43398"/>
    <w:rsid w:val="00F43FD5"/>
    <w:rsid w:val="00F4402E"/>
    <w:rsid w:val="00F454AC"/>
    <w:rsid w:val="00F455CC"/>
    <w:rsid w:val="00F45704"/>
    <w:rsid w:val="00F458A2"/>
    <w:rsid w:val="00F45ACA"/>
    <w:rsid w:val="00F45F64"/>
    <w:rsid w:val="00F46103"/>
    <w:rsid w:val="00F467BA"/>
    <w:rsid w:val="00F471B9"/>
    <w:rsid w:val="00F473E6"/>
    <w:rsid w:val="00F47612"/>
    <w:rsid w:val="00F5059D"/>
    <w:rsid w:val="00F506B2"/>
    <w:rsid w:val="00F50807"/>
    <w:rsid w:val="00F50F7F"/>
    <w:rsid w:val="00F5133B"/>
    <w:rsid w:val="00F5197D"/>
    <w:rsid w:val="00F51E9A"/>
    <w:rsid w:val="00F51F72"/>
    <w:rsid w:val="00F520DD"/>
    <w:rsid w:val="00F52FA4"/>
    <w:rsid w:val="00F5324C"/>
    <w:rsid w:val="00F53288"/>
    <w:rsid w:val="00F539FF"/>
    <w:rsid w:val="00F53C02"/>
    <w:rsid w:val="00F549C5"/>
    <w:rsid w:val="00F54DA9"/>
    <w:rsid w:val="00F550F0"/>
    <w:rsid w:val="00F55271"/>
    <w:rsid w:val="00F55EFF"/>
    <w:rsid w:val="00F560C1"/>
    <w:rsid w:val="00F562D8"/>
    <w:rsid w:val="00F566E9"/>
    <w:rsid w:val="00F56F09"/>
    <w:rsid w:val="00F5705F"/>
    <w:rsid w:val="00F57CCC"/>
    <w:rsid w:val="00F57F91"/>
    <w:rsid w:val="00F604EC"/>
    <w:rsid w:val="00F60DF2"/>
    <w:rsid w:val="00F6125E"/>
    <w:rsid w:val="00F615E2"/>
    <w:rsid w:val="00F616F8"/>
    <w:rsid w:val="00F618FE"/>
    <w:rsid w:val="00F62092"/>
    <w:rsid w:val="00F6268C"/>
    <w:rsid w:val="00F627BF"/>
    <w:rsid w:val="00F62C93"/>
    <w:rsid w:val="00F62F8B"/>
    <w:rsid w:val="00F63528"/>
    <w:rsid w:val="00F6352B"/>
    <w:rsid w:val="00F6471B"/>
    <w:rsid w:val="00F649E6"/>
    <w:rsid w:val="00F64CF0"/>
    <w:rsid w:val="00F64D00"/>
    <w:rsid w:val="00F65B54"/>
    <w:rsid w:val="00F65B8F"/>
    <w:rsid w:val="00F65BE9"/>
    <w:rsid w:val="00F66215"/>
    <w:rsid w:val="00F66329"/>
    <w:rsid w:val="00F6636C"/>
    <w:rsid w:val="00F66464"/>
    <w:rsid w:val="00F669A5"/>
    <w:rsid w:val="00F6724F"/>
    <w:rsid w:val="00F677AB"/>
    <w:rsid w:val="00F67CDD"/>
    <w:rsid w:val="00F67D9B"/>
    <w:rsid w:val="00F67DA1"/>
    <w:rsid w:val="00F701AC"/>
    <w:rsid w:val="00F70A31"/>
    <w:rsid w:val="00F70B5E"/>
    <w:rsid w:val="00F70D20"/>
    <w:rsid w:val="00F72042"/>
    <w:rsid w:val="00F72312"/>
    <w:rsid w:val="00F725D6"/>
    <w:rsid w:val="00F72667"/>
    <w:rsid w:val="00F72851"/>
    <w:rsid w:val="00F72A80"/>
    <w:rsid w:val="00F72B35"/>
    <w:rsid w:val="00F72BFF"/>
    <w:rsid w:val="00F734D1"/>
    <w:rsid w:val="00F7379A"/>
    <w:rsid w:val="00F738DC"/>
    <w:rsid w:val="00F73D87"/>
    <w:rsid w:val="00F74058"/>
    <w:rsid w:val="00F74331"/>
    <w:rsid w:val="00F74413"/>
    <w:rsid w:val="00F745A2"/>
    <w:rsid w:val="00F74C18"/>
    <w:rsid w:val="00F74C3C"/>
    <w:rsid w:val="00F74EF5"/>
    <w:rsid w:val="00F76282"/>
    <w:rsid w:val="00F76A75"/>
    <w:rsid w:val="00F76CCB"/>
    <w:rsid w:val="00F76D36"/>
    <w:rsid w:val="00F76D47"/>
    <w:rsid w:val="00F7712D"/>
    <w:rsid w:val="00F77184"/>
    <w:rsid w:val="00F77274"/>
    <w:rsid w:val="00F77569"/>
    <w:rsid w:val="00F77E67"/>
    <w:rsid w:val="00F80445"/>
    <w:rsid w:val="00F8045C"/>
    <w:rsid w:val="00F80468"/>
    <w:rsid w:val="00F80502"/>
    <w:rsid w:val="00F80533"/>
    <w:rsid w:val="00F807A7"/>
    <w:rsid w:val="00F814F1"/>
    <w:rsid w:val="00F81B4D"/>
    <w:rsid w:val="00F81F83"/>
    <w:rsid w:val="00F822D8"/>
    <w:rsid w:val="00F82C60"/>
    <w:rsid w:val="00F82CC1"/>
    <w:rsid w:val="00F83121"/>
    <w:rsid w:val="00F83161"/>
    <w:rsid w:val="00F84717"/>
    <w:rsid w:val="00F851B9"/>
    <w:rsid w:val="00F854FB"/>
    <w:rsid w:val="00F8550D"/>
    <w:rsid w:val="00F858D2"/>
    <w:rsid w:val="00F85FAF"/>
    <w:rsid w:val="00F86D2B"/>
    <w:rsid w:val="00F86F1C"/>
    <w:rsid w:val="00F87089"/>
    <w:rsid w:val="00F90014"/>
    <w:rsid w:val="00F90A4C"/>
    <w:rsid w:val="00F9141E"/>
    <w:rsid w:val="00F91620"/>
    <w:rsid w:val="00F917B4"/>
    <w:rsid w:val="00F919FA"/>
    <w:rsid w:val="00F926AC"/>
    <w:rsid w:val="00F92A0E"/>
    <w:rsid w:val="00F92EFF"/>
    <w:rsid w:val="00F92FAE"/>
    <w:rsid w:val="00F931E4"/>
    <w:rsid w:val="00F938A7"/>
    <w:rsid w:val="00F952ED"/>
    <w:rsid w:val="00F954F8"/>
    <w:rsid w:val="00F95941"/>
    <w:rsid w:val="00F9615F"/>
    <w:rsid w:val="00F96B35"/>
    <w:rsid w:val="00F97137"/>
    <w:rsid w:val="00F97456"/>
    <w:rsid w:val="00F977CA"/>
    <w:rsid w:val="00F97B25"/>
    <w:rsid w:val="00F97B50"/>
    <w:rsid w:val="00F97C17"/>
    <w:rsid w:val="00FA008F"/>
    <w:rsid w:val="00FA0182"/>
    <w:rsid w:val="00FA019F"/>
    <w:rsid w:val="00FA0E40"/>
    <w:rsid w:val="00FA1141"/>
    <w:rsid w:val="00FA1A15"/>
    <w:rsid w:val="00FA1E6F"/>
    <w:rsid w:val="00FA1EEA"/>
    <w:rsid w:val="00FA221A"/>
    <w:rsid w:val="00FA2330"/>
    <w:rsid w:val="00FA2454"/>
    <w:rsid w:val="00FA24C6"/>
    <w:rsid w:val="00FA254E"/>
    <w:rsid w:val="00FA2957"/>
    <w:rsid w:val="00FA2C6D"/>
    <w:rsid w:val="00FA3750"/>
    <w:rsid w:val="00FA39E9"/>
    <w:rsid w:val="00FA3EC5"/>
    <w:rsid w:val="00FA4349"/>
    <w:rsid w:val="00FA43EA"/>
    <w:rsid w:val="00FA448B"/>
    <w:rsid w:val="00FA45EA"/>
    <w:rsid w:val="00FA48C3"/>
    <w:rsid w:val="00FA4D86"/>
    <w:rsid w:val="00FA54B4"/>
    <w:rsid w:val="00FA578E"/>
    <w:rsid w:val="00FA5C49"/>
    <w:rsid w:val="00FA66F1"/>
    <w:rsid w:val="00FA6BE4"/>
    <w:rsid w:val="00FA786A"/>
    <w:rsid w:val="00FB026B"/>
    <w:rsid w:val="00FB047A"/>
    <w:rsid w:val="00FB1278"/>
    <w:rsid w:val="00FB140A"/>
    <w:rsid w:val="00FB1451"/>
    <w:rsid w:val="00FB2276"/>
    <w:rsid w:val="00FB23C9"/>
    <w:rsid w:val="00FB2C2B"/>
    <w:rsid w:val="00FB2E6B"/>
    <w:rsid w:val="00FB3484"/>
    <w:rsid w:val="00FB3D27"/>
    <w:rsid w:val="00FB4269"/>
    <w:rsid w:val="00FB4B61"/>
    <w:rsid w:val="00FB4BC4"/>
    <w:rsid w:val="00FB57C4"/>
    <w:rsid w:val="00FB5FF3"/>
    <w:rsid w:val="00FB6EF4"/>
    <w:rsid w:val="00FB6FD1"/>
    <w:rsid w:val="00FB72C1"/>
    <w:rsid w:val="00FB7356"/>
    <w:rsid w:val="00FB7D32"/>
    <w:rsid w:val="00FB7DDE"/>
    <w:rsid w:val="00FC01A1"/>
    <w:rsid w:val="00FC07FC"/>
    <w:rsid w:val="00FC0C34"/>
    <w:rsid w:val="00FC1454"/>
    <w:rsid w:val="00FC14DF"/>
    <w:rsid w:val="00FC156D"/>
    <w:rsid w:val="00FC1B69"/>
    <w:rsid w:val="00FC1C00"/>
    <w:rsid w:val="00FC1C7A"/>
    <w:rsid w:val="00FC2572"/>
    <w:rsid w:val="00FC27A8"/>
    <w:rsid w:val="00FC28D0"/>
    <w:rsid w:val="00FC2C70"/>
    <w:rsid w:val="00FC2EB4"/>
    <w:rsid w:val="00FC3712"/>
    <w:rsid w:val="00FC3E32"/>
    <w:rsid w:val="00FC46EE"/>
    <w:rsid w:val="00FC47C7"/>
    <w:rsid w:val="00FC4BB1"/>
    <w:rsid w:val="00FC4C0B"/>
    <w:rsid w:val="00FC5221"/>
    <w:rsid w:val="00FC5352"/>
    <w:rsid w:val="00FC5757"/>
    <w:rsid w:val="00FC5A53"/>
    <w:rsid w:val="00FC5AD1"/>
    <w:rsid w:val="00FC5E1B"/>
    <w:rsid w:val="00FC5EF4"/>
    <w:rsid w:val="00FC6030"/>
    <w:rsid w:val="00FC63E9"/>
    <w:rsid w:val="00FC65E2"/>
    <w:rsid w:val="00FC69B5"/>
    <w:rsid w:val="00FC6B5E"/>
    <w:rsid w:val="00FC6C38"/>
    <w:rsid w:val="00FC6FEF"/>
    <w:rsid w:val="00FC7226"/>
    <w:rsid w:val="00FC73CE"/>
    <w:rsid w:val="00FC7BA9"/>
    <w:rsid w:val="00FC7CBE"/>
    <w:rsid w:val="00FD09D8"/>
    <w:rsid w:val="00FD0A86"/>
    <w:rsid w:val="00FD0F90"/>
    <w:rsid w:val="00FD0FBF"/>
    <w:rsid w:val="00FD1046"/>
    <w:rsid w:val="00FD1066"/>
    <w:rsid w:val="00FD15AA"/>
    <w:rsid w:val="00FD2506"/>
    <w:rsid w:val="00FD2977"/>
    <w:rsid w:val="00FD2A55"/>
    <w:rsid w:val="00FD2F5D"/>
    <w:rsid w:val="00FD31E1"/>
    <w:rsid w:val="00FD3293"/>
    <w:rsid w:val="00FD337F"/>
    <w:rsid w:val="00FD343E"/>
    <w:rsid w:val="00FD3811"/>
    <w:rsid w:val="00FD3813"/>
    <w:rsid w:val="00FD3873"/>
    <w:rsid w:val="00FD418E"/>
    <w:rsid w:val="00FD4950"/>
    <w:rsid w:val="00FD4AEF"/>
    <w:rsid w:val="00FD4CFD"/>
    <w:rsid w:val="00FD5118"/>
    <w:rsid w:val="00FD5F30"/>
    <w:rsid w:val="00FD6602"/>
    <w:rsid w:val="00FD68A9"/>
    <w:rsid w:val="00FD68C3"/>
    <w:rsid w:val="00FD68FC"/>
    <w:rsid w:val="00FD6A22"/>
    <w:rsid w:val="00FD7093"/>
    <w:rsid w:val="00FD71A5"/>
    <w:rsid w:val="00FD72AD"/>
    <w:rsid w:val="00FD7879"/>
    <w:rsid w:val="00FE0009"/>
    <w:rsid w:val="00FE05C3"/>
    <w:rsid w:val="00FE07B3"/>
    <w:rsid w:val="00FE0D75"/>
    <w:rsid w:val="00FE0F4C"/>
    <w:rsid w:val="00FE1097"/>
    <w:rsid w:val="00FE11C3"/>
    <w:rsid w:val="00FE135B"/>
    <w:rsid w:val="00FE15E3"/>
    <w:rsid w:val="00FE18AF"/>
    <w:rsid w:val="00FE1D19"/>
    <w:rsid w:val="00FE2A6E"/>
    <w:rsid w:val="00FE2DFE"/>
    <w:rsid w:val="00FE2EDA"/>
    <w:rsid w:val="00FE2F29"/>
    <w:rsid w:val="00FE3ED8"/>
    <w:rsid w:val="00FE4D4A"/>
    <w:rsid w:val="00FE540E"/>
    <w:rsid w:val="00FE5AA4"/>
    <w:rsid w:val="00FE5F5A"/>
    <w:rsid w:val="00FE611A"/>
    <w:rsid w:val="00FE6B14"/>
    <w:rsid w:val="00FE6CA4"/>
    <w:rsid w:val="00FE700E"/>
    <w:rsid w:val="00FE7786"/>
    <w:rsid w:val="00FE7F17"/>
    <w:rsid w:val="00FE7F27"/>
    <w:rsid w:val="00FF00DA"/>
    <w:rsid w:val="00FF0124"/>
    <w:rsid w:val="00FF0503"/>
    <w:rsid w:val="00FF0737"/>
    <w:rsid w:val="00FF0D5E"/>
    <w:rsid w:val="00FF144F"/>
    <w:rsid w:val="00FF1610"/>
    <w:rsid w:val="00FF16D1"/>
    <w:rsid w:val="00FF18DC"/>
    <w:rsid w:val="00FF1BC3"/>
    <w:rsid w:val="00FF1CD2"/>
    <w:rsid w:val="00FF1D5C"/>
    <w:rsid w:val="00FF2219"/>
    <w:rsid w:val="00FF2779"/>
    <w:rsid w:val="00FF278F"/>
    <w:rsid w:val="00FF2860"/>
    <w:rsid w:val="00FF289B"/>
    <w:rsid w:val="00FF2AF0"/>
    <w:rsid w:val="00FF2EE0"/>
    <w:rsid w:val="00FF30EC"/>
    <w:rsid w:val="00FF3740"/>
    <w:rsid w:val="00FF3AEC"/>
    <w:rsid w:val="00FF3B69"/>
    <w:rsid w:val="00FF3EBA"/>
    <w:rsid w:val="00FF4060"/>
    <w:rsid w:val="00FF444B"/>
    <w:rsid w:val="00FF45B5"/>
    <w:rsid w:val="00FF46FA"/>
    <w:rsid w:val="00FF478E"/>
    <w:rsid w:val="00FF4F0B"/>
    <w:rsid w:val="00FF5D17"/>
    <w:rsid w:val="00FF5D59"/>
    <w:rsid w:val="00FF6191"/>
    <w:rsid w:val="00FF690A"/>
    <w:rsid w:val="00FF6A1F"/>
    <w:rsid w:val="00FF6ADD"/>
    <w:rsid w:val="00FF6E6A"/>
    <w:rsid w:val="00FF6F17"/>
    <w:rsid w:val="00FF72B7"/>
    <w:rsid w:val="0153428B"/>
    <w:rsid w:val="01C51A56"/>
    <w:rsid w:val="04AC4294"/>
    <w:rsid w:val="0B0A6389"/>
    <w:rsid w:val="0C98EE4B"/>
    <w:rsid w:val="13CF25B3"/>
    <w:rsid w:val="14D53350"/>
    <w:rsid w:val="152E7632"/>
    <w:rsid w:val="1B4E8EE5"/>
    <w:rsid w:val="1C4A1FFE"/>
    <w:rsid w:val="266D1EDF"/>
    <w:rsid w:val="2770D51C"/>
    <w:rsid w:val="28C7FCF6"/>
    <w:rsid w:val="2AE05695"/>
    <w:rsid w:val="2B7FAB11"/>
    <w:rsid w:val="2C3A4BE2"/>
    <w:rsid w:val="329AC092"/>
    <w:rsid w:val="3AC2F519"/>
    <w:rsid w:val="3CDB099B"/>
    <w:rsid w:val="3CF2A199"/>
    <w:rsid w:val="43FFAC8D"/>
    <w:rsid w:val="46C497F1"/>
    <w:rsid w:val="4DD39E8A"/>
    <w:rsid w:val="51CB5C52"/>
    <w:rsid w:val="51EE3AC4"/>
    <w:rsid w:val="613CC0BE"/>
    <w:rsid w:val="65C9D0B4"/>
    <w:rsid w:val="6C812C38"/>
    <w:rsid w:val="6D7086FF"/>
    <w:rsid w:val="7701B32D"/>
    <w:rsid w:val="7F7D9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56EE"/>
  <w15:docId w15:val="{F24B7818-100A-4D9E-9B3B-EF805C1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009"/>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034310"/>
    <w:pPr>
      <w:keepNext/>
      <w:numPr>
        <w:numId w:val="49"/>
      </w:numPr>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rsid w:val="001D20C2"/>
    <w:pPr>
      <w:keepNext/>
      <w:widowControl w:val="0"/>
      <w:numPr>
        <w:numId w:val="52"/>
      </w:numPr>
      <w:pBdr>
        <w:bottom w:val="single" w:sz="4" w:space="4" w:color="00ABE6"/>
      </w:pBdr>
      <w:spacing w:before="240" w:after="100"/>
      <w:ind w:left="357" w:hanging="357"/>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E2606A"/>
    <w:pPr>
      <w:numPr>
        <w:ilvl w:val="2"/>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034310"/>
    <w:pPr>
      <w:numPr>
        <w:ilvl w:val="3"/>
      </w:numPr>
      <w:outlineLvl w:val="3"/>
    </w:pPr>
    <w:rPr>
      <w:sz w:val="25"/>
    </w:rPr>
  </w:style>
  <w:style w:type="paragraph" w:styleId="Heading5">
    <w:name w:val="heading 5"/>
    <w:basedOn w:val="Heading4"/>
    <w:next w:val="BodyText"/>
    <w:link w:val="Heading5Char"/>
    <w:qFormat/>
    <w:rsid w:val="00034310"/>
    <w:pPr>
      <w:numPr>
        <w:ilvl w:val="4"/>
      </w:numPr>
      <w:spacing w:after="60" w:line="320" w:lineRule="exact"/>
      <w:outlineLvl w:val="4"/>
    </w:pPr>
    <w:rPr>
      <w:b w:val="0"/>
      <w:i/>
      <w:sz w:val="24"/>
    </w:rPr>
  </w:style>
  <w:style w:type="paragraph" w:styleId="Heading6">
    <w:name w:val="heading 6"/>
    <w:basedOn w:val="Heading1"/>
    <w:next w:val="Normal"/>
    <w:link w:val="Heading6Char"/>
    <w:qFormat/>
    <w:rsid w:val="00034310"/>
    <w:pPr>
      <w:numPr>
        <w:ilvl w:val="5"/>
      </w:num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034310"/>
    <w:pPr>
      <w:numPr>
        <w:ilvl w:val="6"/>
      </w:numPr>
      <w:spacing w:before="120"/>
      <w:jc w:val="both"/>
      <w:outlineLvl w:val="6"/>
    </w:pPr>
    <w:rPr>
      <w:i w:val="0"/>
      <w:sz w:val="23"/>
    </w:rPr>
  </w:style>
  <w:style w:type="paragraph" w:styleId="Heading8">
    <w:name w:val="heading 8"/>
    <w:basedOn w:val="Heading7"/>
    <w:next w:val="Normal"/>
    <w:link w:val="Heading8Char"/>
    <w:qFormat/>
    <w:rsid w:val="00034310"/>
    <w:pPr>
      <w:numPr>
        <w:ilvl w:val="7"/>
      </w:numPr>
      <w:outlineLvl w:val="7"/>
    </w:pPr>
    <w:rPr>
      <w:i/>
    </w:rPr>
  </w:style>
  <w:style w:type="paragraph" w:styleId="Heading9">
    <w:name w:val="heading 9"/>
    <w:basedOn w:val="Heading8"/>
    <w:next w:val="Normal"/>
    <w:link w:val="Heading9Char"/>
    <w:qFormat/>
    <w:rsid w:val="00034310"/>
    <w:pPr>
      <w:numPr>
        <w:ilvl w:val="8"/>
      </w:num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310"/>
    <w:rPr>
      <w:rFonts w:ascii="Arial" w:eastAsia="Times New Roman" w:hAnsi="Arial" w:cs="Times New Roman"/>
      <w:caps/>
      <w:color w:val="1D3278"/>
      <w:kern w:val="28"/>
      <w:sz w:val="40"/>
      <w:szCs w:val="36"/>
    </w:rPr>
  </w:style>
  <w:style w:type="paragraph" w:styleId="BalloonText">
    <w:name w:val="Balloon Text"/>
    <w:basedOn w:val="Normal"/>
    <w:link w:val="BalloonTextChar"/>
    <w:rsid w:val="00034310"/>
    <w:rPr>
      <w:rFonts w:ascii="Tahoma" w:hAnsi="Tahoma" w:cs="Tahoma"/>
      <w:sz w:val="16"/>
      <w:szCs w:val="16"/>
    </w:rPr>
  </w:style>
  <w:style w:type="character" w:customStyle="1" w:styleId="BalloonTextChar">
    <w:name w:val="Balloon Text Char"/>
    <w:link w:val="BalloonText"/>
    <w:rsid w:val="00034310"/>
    <w:rPr>
      <w:rFonts w:ascii="Tahoma" w:eastAsia="Times New Roman" w:hAnsi="Tahoma" w:cs="Tahoma"/>
      <w:sz w:val="16"/>
      <w:szCs w:val="16"/>
      <w:lang w:val="en-US"/>
    </w:rPr>
  </w:style>
  <w:style w:type="paragraph" w:styleId="BodyText">
    <w:name w:val="Body Text"/>
    <w:link w:val="BodyTextChar"/>
    <w:autoRedefine/>
    <w:rsid w:val="005F3330"/>
    <w:pPr>
      <w:spacing w:before="160" w:after="100" w:line="240" w:lineRule="atLeast"/>
    </w:pPr>
    <w:rPr>
      <w:rFonts w:ascii="Arial" w:hAnsi="Arial" w:cs="Arial"/>
      <w:noProof/>
      <w:sz w:val="23"/>
      <w:szCs w:val="23"/>
      <w:lang w:eastAsia="x-none"/>
    </w:rPr>
  </w:style>
  <w:style w:type="character" w:customStyle="1" w:styleId="BodyTextChar">
    <w:name w:val="Body Text Char"/>
    <w:basedOn w:val="DefaultParagraphFont"/>
    <w:link w:val="BodyText"/>
    <w:rsid w:val="005F3330"/>
    <w:rPr>
      <w:rFonts w:ascii="Arial" w:hAnsi="Arial" w:cs="Arial"/>
      <w:noProof/>
      <w:sz w:val="23"/>
      <w:szCs w:val="23"/>
      <w:lang w:eastAsia="x-none"/>
    </w:rPr>
  </w:style>
  <w:style w:type="paragraph" w:customStyle="1" w:styleId="BodyText-Box">
    <w:name w:val="Body Text - Box"/>
    <w:basedOn w:val="BodyText"/>
    <w:autoRedefine/>
    <w:rsid w:val="00034310"/>
    <w:pPr>
      <w:tabs>
        <w:tab w:val="left" w:pos="567"/>
      </w:tabs>
      <w:spacing w:before="120" w:after="120" w:line="240" w:lineRule="auto"/>
      <w:ind w:right="-143"/>
    </w:pPr>
    <w:rPr>
      <w:rFonts w:ascii="Times New Roman" w:hAnsi="Times New Roman"/>
      <w:sz w:val="21"/>
      <w:szCs w:val="21"/>
      <w:lang w:eastAsia="en-AU"/>
    </w:rPr>
  </w:style>
  <w:style w:type="paragraph" w:customStyle="1" w:styleId="BodyTextBox">
    <w:name w:val="Body Text Box"/>
    <w:basedOn w:val="Normal"/>
    <w:link w:val="BodyTextBoxChar"/>
    <w:autoRedefine/>
    <w:rsid w:val="0080078E"/>
    <w:pPr>
      <w:spacing w:before="100" w:after="60" w:line="240" w:lineRule="atLeast"/>
    </w:pPr>
    <w:rPr>
      <w:rFonts w:ascii="Arial" w:eastAsiaTheme="minorHAnsi" w:hAnsi="Arial" w:cs="Arial"/>
      <w:noProof/>
      <w:color w:val="0A7CB9"/>
      <w:sz w:val="22"/>
      <w:szCs w:val="22"/>
    </w:rPr>
  </w:style>
  <w:style w:type="paragraph" w:customStyle="1" w:styleId="ObjectHeading">
    <w:name w:val="Object Heading"/>
    <w:basedOn w:val="Heading3"/>
    <w:next w:val="Normal"/>
    <w:rsid w:val="00034310"/>
    <w:pPr>
      <w:numPr>
        <w:ilvl w:val="0"/>
        <w:numId w:val="0"/>
      </w:numPr>
      <w:tabs>
        <w:tab w:val="left" w:pos="1418"/>
      </w:tabs>
      <w:ind w:left="1418" w:hanging="1418"/>
    </w:pPr>
    <w:rPr>
      <w:kern w:val="0"/>
    </w:rPr>
  </w:style>
  <w:style w:type="paragraph" w:customStyle="1" w:styleId="Box51BoxHeading">
    <w:name w:val="Box 5.1 Box Heading"/>
    <w:basedOn w:val="ObjectHeading"/>
    <w:autoRedefine/>
    <w:rsid w:val="002A0C82"/>
    <w:pPr>
      <w:keepNext w:val="0"/>
      <w:framePr w:wrap="around" w:vAnchor="text" w:hAnchor="text" w:y="1"/>
      <w:numPr>
        <w:numId w:val="48"/>
      </w:numPr>
      <w:tabs>
        <w:tab w:val="clear" w:pos="1418"/>
        <w:tab w:val="left" w:pos="1163"/>
      </w:tabs>
      <w:spacing w:before="80" w:after="60"/>
    </w:pPr>
    <w:rPr>
      <w:rFonts w:cs="Arial"/>
      <w:sz w:val="23"/>
      <w:szCs w:val="20"/>
    </w:rPr>
  </w:style>
  <w:style w:type="paragraph" w:customStyle="1" w:styleId="Bullet1">
    <w:name w:val="Bullet 1"/>
    <w:basedOn w:val="BodyText"/>
    <w:link w:val="Bullet1Char"/>
    <w:autoRedefine/>
    <w:qFormat/>
    <w:rsid w:val="0067744D"/>
    <w:pPr>
      <w:numPr>
        <w:numId w:val="30"/>
      </w:numPr>
      <w:spacing w:before="120" w:after="80"/>
      <w:ind w:left="357" w:hanging="357"/>
    </w:pPr>
    <w:rPr>
      <w:rFonts w:eastAsia="Times New Roman"/>
      <w:noProof w:val="0"/>
      <w:szCs w:val="20"/>
      <w:lang w:eastAsia="en-US"/>
    </w:rPr>
  </w:style>
  <w:style w:type="character" w:customStyle="1" w:styleId="Heading2Char">
    <w:name w:val="Heading 2 Char"/>
    <w:link w:val="Heading2"/>
    <w:rsid w:val="001D20C2"/>
    <w:rPr>
      <w:rFonts w:ascii="Arial Bold" w:eastAsia="Times New Roman" w:hAnsi="Arial Bold" w:cs="Times New Roman"/>
      <w:b/>
      <w:color w:val="00ABE6"/>
      <w:kern w:val="28"/>
      <w:sz w:val="28"/>
      <w:szCs w:val="36"/>
    </w:rPr>
  </w:style>
  <w:style w:type="character" w:customStyle="1" w:styleId="Bullet1Char">
    <w:name w:val="Bullet 1 Char"/>
    <w:link w:val="Bullet1"/>
    <w:rsid w:val="0067744D"/>
    <w:rPr>
      <w:rFonts w:ascii="Arial" w:eastAsia="Times New Roman" w:hAnsi="Arial" w:cs="Arial"/>
      <w:sz w:val="23"/>
      <w:szCs w:val="20"/>
    </w:rPr>
  </w:style>
  <w:style w:type="paragraph" w:customStyle="1" w:styleId="Bullet1inabox">
    <w:name w:val="Bullet 1 in a box"/>
    <w:basedOn w:val="Bullet1"/>
    <w:autoRedefine/>
    <w:rsid w:val="005D1CB2"/>
    <w:pPr>
      <w:numPr>
        <w:numId w:val="37"/>
      </w:numPr>
      <w:ind w:left="357" w:hanging="357"/>
    </w:pPr>
    <w:rPr>
      <w:rFonts w:cs="Times New Roman"/>
      <w:color w:val="0A7CB9"/>
    </w:rPr>
  </w:style>
  <w:style w:type="paragraph" w:customStyle="1" w:styleId="Bullet1Paragraph">
    <w:name w:val="Bullet 1 Paragraph"/>
    <w:basedOn w:val="Normal"/>
    <w:rsid w:val="00034310"/>
    <w:pPr>
      <w:ind w:left="425"/>
    </w:pPr>
  </w:style>
  <w:style w:type="paragraph" w:customStyle="1" w:styleId="Bullet2">
    <w:name w:val="Bullet 2"/>
    <w:basedOn w:val="Bullet1"/>
    <w:rsid w:val="00034310"/>
    <w:pPr>
      <w:numPr>
        <w:numId w:val="4"/>
      </w:numPr>
      <w:tabs>
        <w:tab w:val="clear" w:pos="785"/>
        <w:tab w:val="left" w:pos="851"/>
      </w:tabs>
    </w:pPr>
  </w:style>
  <w:style w:type="paragraph" w:customStyle="1" w:styleId="Bullet2innumberedlist">
    <w:name w:val="Bullet 2 in numbered list"/>
    <w:basedOn w:val="Bullet2"/>
    <w:rsid w:val="00034310"/>
    <w:pPr>
      <w:numPr>
        <w:numId w:val="0"/>
      </w:numPr>
      <w:tabs>
        <w:tab w:val="num" w:pos="851"/>
      </w:tabs>
      <w:spacing w:after="0"/>
      <w:ind w:left="851" w:hanging="426"/>
    </w:pPr>
  </w:style>
  <w:style w:type="paragraph" w:customStyle="1" w:styleId="Bullet2Paragraph">
    <w:name w:val="Bullet 2 Paragraph"/>
    <w:basedOn w:val="Bullet1Paragraph"/>
    <w:rsid w:val="00034310"/>
    <w:pPr>
      <w:ind w:left="851"/>
    </w:pPr>
  </w:style>
  <w:style w:type="paragraph" w:customStyle="1" w:styleId="Bullet3">
    <w:name w:val="Bullet 3"/>
    <w:basedOn w:val="Bullet2"/>
    <w:rsid w:val="00034310"/>
    <w:pPr>
      <w:numPr>
        <w:numId w:val="5"/>
      </w:numPr>
    </w:pPr>
  </w:style>
  <w:style w:type="character" w:customStyle="1" w:styleId="Heading3Char">
    <w:name w:val="Heading 3 Char"/>
    <w:link w:val="Heading3"/>
    <w:rsid w:val="00E2606A"/>
    <w:rPr>
      <w:rFonts w:ascii="Arial Bold" w:eastAsia="Times New Roman" w:hAnsi="Arial Bold" w:cs="Times New Roman"/>
      <w:b/>
      <w:kern w:val="28"/>
      <w:sz w:val="26"/>
      <w:szCs w:val="36"/>
    </w:rPr>
  </w:style>
  <w:style w:type="character" w:customStyle="1" w:styleId="Heading4Char">
    <w:name w:val="Heading 4 Char"/>
    <w:link w:val="Heading4"/>
    <w:rsid w:val="00034310"/>
    <w:rPr>
      <w:rFonts w:ascii="Arial Bold" w:eastAsia="Times New Roman" w:hAnsi="Arial Bold" w:cs="Times New Roman"/>
      <w:b/>
      <w:kern w:val="28"/>
      <w:sz w:val="25"/>
      <w:szCs w:val="36"/>
    </w:rPr>
  </w:style>
  <w:style w:type="paragraph" w:customStyle="1" w:styleId="Bullet3Paragraph">
    <w:name w:val="Bullet 3 Paragraph"/>
    <w:basedOn w:val="Bullet2Paragraph"/>
    <w:rsid w:val="00034310"/>
    <w:pPr>
      <w:ind w:left="1276"/>
    </w:pPr>
  </w:style>
  <w:style w:type="paragraph" w:customStyle="1" w:styleId="Bullet4">
    <w:name w:val="Bullet 4"/>
    <w:basedOn w:val="Bullet3"/>
    <w:rsid w:val="00034310"/>
    <w:pPr>
      <w:numPr>
        <w:numId w:val="6"/>
      </w:numPr>
    </w:pPr>
  </w:style>
  <w:style w:type="paragraph" w:customStyle="1" w:styleId="Bullet4Paragraph">
    <w:name w:val="Bullet 4 Paragraph"/>
    <w:basedOn w:val="Bullet3Paragraph"/>
    <w:rsid w:val="00034310"/>
    <w:pPr>
      <w:ind w:left="1701"/>
    </w:pPr>
  </w:style>
  <w:style w:type="paragraph" w:customStyle="1" w:styleId="ChapterHeadingStyle">
    <w:name w:val="Chapter Heading Style"/>
    <w:basedOn w:val="Normal"/>
    <w:rsid w:val="00034310"/>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Heading">
    <w:name w:val="Chart Heading"/>
    <w:basedOn w:val="Normal"/>
    <w:autoRedefine/>
    <w:rsid w:val="00034310"/>
    <w:pPr>
      <w:keepNext/>
      <w:widowControl w:val="0"/>
      <w:spacing w:before="240" w:after="120"/>
    </w:pPr>
    <w:rPr>
      <w:rFonts w:ascii="Arial" w:hAnsi="Arial"/>
      <w:b/>
      <w:sz w:val="24"/>
    </w:rPr>
  </w:style>
  <w:style w:type="character" w:styleId="EndnoteReference">
    <w:name w:val="endnote reference"/>
    <w:semiHidden/>
    <w:rsid w:val="00034310"/>
    <w:rPr>
      <w:i/>
      <w:sz w:val="16"/>
      <w:vertAlign w:val="superscript"/>
    </w:rPr>
  </w:style>
  <w:style w:type="paragraph" w:styleId="Footer">
    <w:name w:val="footer"/>
    <w:basedOn w:val="Normal"/>
    <w:link w:val="FooterChar"/>
    <w:rsid w:val="00034310"/>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034310"/>
    <w:rPr>
      <w:rFonts w:ascii="Arial" w:eastAsia="Times New Roman" w:hAnsi="Arial" w:cs="Times New Roman"/>
      <w:sz w:val="18"/>
      <w:szCs w:val="20"/>
      <w:lang w:val="en-US"/>
    </w:rPr>
  </w:style>
  <w:style w:type="character" w:styleId="FootnoteReference">
    <w:name w:val="footnote reference"/>
    <w:semiHidden/>
    <w:rsid w:val="00034310"/>
    <w:rPr>
      <w:vertAlign w:val="superscript"/>
    </w:rPr>
  </w:style>
  <w:style w:type="paragraph" w:styleId="FootnoteText">
    <w:name w:val="footnote text"/>
    <w:basedOn w:val="Normal"/>
    <w:link w:val="FootnoteTextChar"/>
    <w:semiHidden/>
    <w:rsid w:val="00034310"/>
    <w:pPr>
      <w:spacing w:before="80" w:after="80"/>
      <w:ind w:left="709" w:hanging="142"/>
    </w:pPr>
    <w:rPr>
      <w:i/>
      <w:sz w:val="16"/>
    </w:rPr>
  </w:style>
  <w:style w:type="character" w:customStyle="1" w:styleId="FootnoteTextChar">
    <w:name w:val="Footnote Text Char"/>
    <w:basedOn w:val="DefaultParagraphFont"/>
    <w:link w:val="FootnoteText"/>
    <w:semiHidden/>
    <w:rsid w:val="00034310"/>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034310"/>
    <w:pPr>
      <w:tabs>
        <w:tab w:val="center" w:pos="4153"/>
        <w:tab w:val="right" w:pos="8306"/>
      </w:tabs>
    </w:pPr>
  </w:style>
  <w:style w:type="character" w:customStyle="1" w:styleId="HeaderChar">
    <w:name w:val="Header Char"/>
    <w:basedOn w:val="DefaultParagraphFont"/>
    <w:link w:val="Header"/>
    <w:uiPriority w:val="99"/>
    <w:rsid w:val="00034310"/>
    <w:rPr>
      <w:rFonts w:ascii="Times New Roman" w:eastAsia="Times New Roman" w:hAnsi="Times New Roman" w:cs="Times New Roman"/>
      <w:sz w:val="20"/>
      <w:szCs w:val="20"/>
      <w:lang w:val="en-US"/>
    </w:rPr>
  </w:style>
  <w:style w:type="paragraph" w:customStyle="1" w:styleId="Heading1BP2">
    <w:name w:val="Heading 1 BP2"/>
    <w:rsid w:val="00034310"/>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rsid w:val="00034310"/>
    <w:pPr>
      <w:numPr>
        <w:numId w:val="7"/>
      </w:numPr>
      <w:spacing w:line="360" w:lineRule="auto"/>
    </w:pPr>
    <w:rPr>
      <w:rFonts w:ascii="Arial" w:hAnsi="Arial"/>
      <w:sz w:val="28"/>
    </w:rPr>
  </w:style>
  <w:style w:type="paragraph" w:styleId="NoSpacing">
    <w:name w:val="No Spacing"/>
    <w:basedOn w:val="Normal"/>
    <w:link w:val="NoSpacingChar"/>
    <w:qFormat/>
    <w:rsid w:val="00034310"/>
  </w:style>
  <w:style w:type="character" w:customStyle="1" w:styleId="NoSpacingChar">
    <w:name w:val="No Spacing Char"/>
    <w:link w:val="NoSpacing"/>
    <w:rsid w:val="00034310"/>
    <w:rPr>
      <w:rFonts w:ascii="Times New Roman" w:eastAsia="Times New Roman" w:hAnsi="Times New Roman" w:cs="Times New Roman"/>
      <w:sz w:val="20"/>
      <w:szCs w:val="20"/>
      <w:lang w:val="en-US"/>
    </w:rPr>
  </w:style>
  <w:style w:type="paragraph" w:customStyle="1" w:styleId="Object">
    <w:name w:val="Object"/>
    <w:basedOn w:val="Normal"/>
    <w:next w:val="Normal"/>
    <w:rsid w:val="00034310"/>
    <w:pPr>
      <w:jc w:val="center"/>
    </w:pPr>
  </w:style>
  <w:style w:type="paragraph" w:customStyle="1" w:styleId="ObjectFootnote">
    <w:name w:val="Object Footnote"/>
    <w:basedOn w:val="Object"/>
    <w:next w:val="Normal"/>
    <w:rsid w:val="00034310"/>
    <w:pPr>
      <w:spacing w:after="60"/>
    </w:pPr>
    <w:rPr>
      <w:i/>
      <w:sz w:val="14"/>
    </w:rPr>
  </w:style>
  <w:style w:type="character" w:customStyle="1" w:styleId="Heading5Char">
    <w:name w:val="Heading 5 Char"/>
    <w:link w:val="Heading5"/>
    <w:rsid w:val="00034310"/>
    <w:rPr>
      <w:rFonts w:ascii="Arial Bold" w:eastAsia="Times New Roman" w:hAnsi="Arial Bold" w:cs="Times New Roman"/>
      <w:i/>
      <w:kern w:val="28"/>
      <w:sz w:val="24"/>
      <w:szCs w:val="36"/>
    </w:rPr>
  </w:style>
  <w:style w:type="character" w:customStyle="1" w:styleId="Heading6Char">
    <w:name w:val="Heading 6 Char"/>
    <w:link w:val="Heading6"/>
    <w:rsid w:val="00034310"/>
    <w:rPr>
      <w:rFonts w:ascii="Times New Roman" w:eastAsia="Times New Roman" w:hAnsi="Times New Roman" w:cs="Times New Roman"/>
      <w:b/>
      <w:i/>
      <w:color w:val="1D3278"/>
      <w:sz w:val="24"/>
      <w:szCs w:val="36"/>
    </w:rPr>
  </w:style>
  <w:style w:type="character" w:customStyle="1" w:styleId="Heading7Char">
    <w:name w:val="Heading 7 Char"/>
    <w:link w:val="Heading7"/>
    <w:rsid w:val="00034310"/>
    <w:rPr>
      <w:rFonts w:ascii="Arial Bold" w:eastAsia="Times New Roman" w:hAnsi="Arial Bold" w:cs="Times New Roman"/>
      <w:kern w:val="28"/>
      <w:sz w:val="23"/>
      <w:szCs w:val="36"/>
    </w:rPr>
  </w:style>
  <w:style w:type="character" w:customStyle="1" w:styleId="Heading8Char">
    <w:name w:val="Heading 8 Char"/>
    <w:link w:val="Heading8"/>
    <w:rsid w:val="00034310"/>
    <w:rPr>
      <w:rFonts w:ascii="Arial Bold" w:eastAsia="Times New Roman" w:hAnsi="Arial Bold" w:cs="Times New Roman"/>
      <w:i/>
      <w:kern w:val="28"/>
      <w:sz w:val="23"/>
      <w:szCs w:val="36"/>
    </w:rPr>
  </w:style>
  <w:style w:type="character" w:customStyle="1" w:styleId="Heading9Char">
    <w:name w:val="Heading 9 Char"/>
    <w:link w:val="Heading9"/>
    <w:rsid w:val="00034310"/>
    <w:rPr>
      <w:rFonts w:ascii="Arial Bold" w:eastAsia="Times New Roman" w:hAnsi="Arial Bold" w:cs="Times New Roman"/>
      <w:kern w:val="28"/>
      <w:sz w:val="23"/>
      <w:szCs w:val="36"/>
    </w:rPr>
  </w:style>
  <w:style w:type="paragraph" w:customStyle="1" w:styleId="ObjectFootnotelettered">
    <w:name w:val="Object Footnote lettered"/>
    <w:basedOn w:val="ObjectFootnote"/>
    <w:rsid w:val="00034310"/>
    <w:pPr>
      <w:tabs>
        <w:tab w:val="left" w:pos="709"/>
      </w:tabs>
      <w:ind w:left="426"/>
      <w:jc w:val="left"/>
    </w:pPr>
  </w:style>
  <w:style w:type="paragraph" w:customStyle="1" w:styleId="ObjectFootnoteleft">
    <w:name w:val="Object Footnote left"/>
    <w:basedOn w:val="ObjectFootnotelettered"/>
    <w:rsid w:val="00034310"/>
    <w:pPr>
      <w:ind w:left="709" w:hanging="283"/>
    </w:pPr>
  </w:style>
  <w:style w:type="character" w:styleId="PageNumber">
    <w:name w:val="page number"/>
    <w:basedOn w:val="DefaultParagraphFont"/>
    <w:rsid w:val="00034310"/>
  </w:style>
  <w:style w:type="paragraph" w:customStyle="1" w:styleId="Style211HeadingBold">
    <w:name w:val="Style 2.1.1 Heading + Bold"/>
    <w:basedOn w:val="Normal"/>
    <w:rsid w:val="00034310"/>
    <w:rPr>
      <w:b/>
      <w:bCs/>
      <w:i/>
      <w:iCs/>
    </w:rPr>
  </w:style>
  <w:style w:type="paragraph" w:customStyle="1" w:styleId="StyleBoxHeadingLeft0Firstline0">
    <w:name w:val="Style Box Heading + Left:  0&quot; First line:  0&quot;"/>
    <w:basedOn w:val="Box51BoxHeading"/>
    <w:autoRedefine/>
    <w:rsid w:val="00034310"/>
    <w:pPr>
      <w:keepLines/>
      <w:framePr w:wrap="around"/>
      <w:widowControl/>
      <w:tabs>
        <w:tab w:val="left" w:pos="567"/>
        <w:tab w:val="num" w:pos="1276"/>
      </w:tabs>
      <w:spacing w:before="120" w:after="120"/>
      <w:outlineLvl w:val="9"/>
    </w:pPr>
    <w:rPr>
      <w:bCs/>
      <w:color w:val="000000"/>
      <w:lang w:eastAsia="en-AU"/>
    </w:rPr>
  </w:style>
  <w:style w:type="paragraph" w:customStyle="1" w:styleId="StyleName">
    <w:name w:val="Style Name"/>
    <w:basedOn w:val="Normal"/>
    <w:rsid w:val="00034310"/>
    <w:pPr>
      <w:ind w:left="851" w:hanging="851"/>
      <w:jc w:val="center"/>
    </w:pPr>
    <w:rPr>
      <w:rFonts w:ascii="Arial" w:hAnsi="Arial"/>
      <w:b/>
      <w:i/>
      <w:color w:val="000000"/>
      <w:sz w:val="24"/>
      <w:lang w:val="en-GB" w:eastAsia="en-AU"/>
    </w:rPr>
  </w:style>
  <w:style w:type="paragraph" w:customStyle="1" w:styleId="TableFootnote">
    <w:name w:val="Table Footnote"/>
    <w:basedOn w:val="Normal"/>
    <w:rsid w:val="00034310"/>
    <w:pPr>
      <w:spacing w:before="60" w:after="60"/>
      <w:ind w:left="284"/>
    </w:pPr>
    <w:rPr>
      <w:rFonts w:ascii="Arial" w:hAnsi="Arial"/>
      <w:i/>
      <w:sz w:val="14"/>
    </w:rPr>
  </w:style>
  <w:style w:type="table" w:styleId="TableGrid">
    <w:name w:val="Table Grid"/>
    <w:basedOn w:val="TableNormal"/>
    <w:rsid w:val="0003431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3DF"/>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A7174A"/>
    <w:rPr>
      <w:sz w:val="16"/>
      <w:szCs w:val="16"/>
    </w:rPr>
  </w:style>
  <w:style w:type="paragraph" w:styleId="CommentText">
    <w:name w:val="annotation text"/>
    <w:basedOn w:val="Normal"/>
    <w:link w:val="CommentTextChar"/>
    <w:uiPriority w:val="99"/>
    <w:semiHidden/>
    <w:unhideWhenUsed/>
    <w:rsid w:val="00A7174A"/>
  </w:style>
  <w:style w:type="character" w:customStyle="1" w:styleId="CommentTextChar">
    <w:name w:val="Comment Text Char"/>
    <w:basedOn w:val="DefaultParagraphFont"/>
    <w:link w:val="CommentText"/>
    <w:uiPriority w:val="99"/>
    <w:semiHidden/>
    <w:rsid w:val="00A717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174A"/>
    <w:rPr>
      <w:b/>
      <w:bCs/>
    </w:rPr>
  </w:style>
  <w:style w:type="character" w:customStyle="1" w:styleId="CommentSubjectChar">
    <w:name w:val="Comment Subject Char"/>
    <w:basedOn w:val="CommentTextChar"/>
    <w:link w:val="CommentSubject"/>
    <w:uiPriority w:val="99"/>
    <w:semiHidden/>
    <w:rsid w:val="00A7174A"/>
    <w:rPr>
      <w:rFonts w:ascii="Times New Roman" w:eastAsia="Times New Roman" w:hAnsi="Times New Roman" w:cs="Times New Roman"/>
      <w:b/>
      <w:bCs/>
      <w:sz w:val="20"/>
      <w:szCs w:val="20"/>
      <w:lang w:val="en-US"/>
    </w:rPr>
  </w:style>
  <w:style w:type="paragraph" w:customStyle="1" w:styleId="Bulletrecommendtext">
    <w:name w:val="Bullet recommend text"/>
    <w:basedOn w:val="Normal"/>
    <w:qFormat/>
    <w:rsid w:val="00641DC1"/>
    <w:pPr>
      <w:numPr>
        <w:numId w:val="12"/>
      </w:numPr>
      <w:spacing w:before="80" w:line="280" w:lineRule="exact"/>
    </w:pPr>
    <w:rPr>
      <w:rFonts w:ascii="Garamond" w:hAnsi="Garamond"/>
      <w:sz w:val="24"/>
      <w:lang w:eastAsia="x-none"/>
    </w:rPr>
  </w:style>
  <w:style w:type="paragraph" w:customStyle="1" w:styleId="Default">
    <w:name w:val="Default"/>
    <w:basedOn w:val="Normal"/>
    <w:rsid w:val="00AB54D3"/>
    <w:pPr>
      <w:autoSpaceDE w:val="0"/>
      <w:autoSpaceDN w:val="0"/>
    </w:pPr>
    <w:rPr>
      <w:rFonts w:ascii="Arial" w:eastAsiaTheme="minorHAnsi" w:hAnsi="Arial" w:cs="Arial"/>
      <w:color w:val="000000"/>
      <w:sz w:val="24"/>
      <w:szCs w:val="24"/>
    </w:rPr>
  </w:style>
  <w:style w:type="character" w:customStyle="1" w:styleId="BodyTextBoxChar">
    <w:name w:val="Body Text Box Char"/>
    <w:link w:val="BodyTextBox"/>
    <w:rsid w:val="0080078E"/>
    <w:rPr>
      <w:rFonts w:ascii="Arial" w:hAnsi="Arial" w:cs="Arial"/>
      <w:noProof/>
      <w:color w:val="0A7CB9"/>
    </w:rPr>
  </w:style>
  <w:style w:type="paragraph" w:styleId="ListParagraph">
    <w:name w:val="List Paragraph"/>
    <w:basedOn w:val="Normal"/>
    <w:uiPriority w:val="34"/>
    <w:qFormat/>
    <w:rsid w:val="00411AC2"/>
    <w:pPr>
      <w:ind w:left="720"/>
      <w:contextualSpacing/>
    </w:pPr>
  </w:style>
  <w:style w:type="paragraph" w:customStyle="1" w:styleId="paragraph">
    <w:name w:val="paragraph"/>
    <w:basedOn w:val="Normal"/>
    <w:rsid w:val="003F0163"/>
    <w:pPr>
      <w:spacing w:before="100" w:beforeAutospacing="1" w:after="100" w:afterAutospacing="1"/>
    </w:pPr>
    <w:rPr>
      <w:sz w:val="24"/>
      <w:szCs w:val="24"/>
      <w:lang w:eastAsia="en-AU"/>
    </w:rPr>
  </w:style>
  <w:style w:type="character" w:customStyle="1" w:styleId="normaltextrun">
    <w:name w:val="normaltextrun"/>
    <w:basedOn w:val="DefaultParagraphFont"/>
    <w:rsid w:val="003F0163"/>
  </w:style>
  <w:style w:type="character" w:customStyle="1" w:styleId="eop">
    <w:name w:val="eop"/>
    <w:basedOn w:val="DefaultParagraphFont"/>
    <w:rsid w:val="003F0163"/>
  </w:style>
  <w:style w:type="paragraph" w:customStyle="1" w:styleId="Source">
    <w:name w:val="Source"/>
    <w:basedOn w:val="Normal"/>
    <w:qFormat/>
    <w:rsid w:val="000C0534"/>
    <w:pPr>
      <w:widowControl w:val="0"/>
      <w:spacing w:before="120"/>
    </w:pPr>
    <w:rPr>
      <w:rFonts w:ascii="Arial" w:hAnsi="Arial" w:cs="Arial"/>
      <w:i/>
      <w:noProof/>
      <w:color w:val="4F4F4F"/>
      <w:sz w:val="17"/>
      <w:szCs w:val="17"/>
      <w:lang w:eastAsia="en-AU"/>
    </w:rPr>
  </w:style>
  <w:style w:type="paragraph" w:customStyle="1" w:styleId="Chart41">
    <w:name w:val="Chart 4.1"/>
    <w:basedOn w:val="Normal"/>
    <w:next w:val="Normal"/>
    <w:rsid w:val="003461EE"/>
    <w:pPr>
      <w:keepLines/>
      <w:numPr>
        <w:numId w:val="46"/>
      </w:numPr>
      <w:tabs>
        <w:tab w:val="left" w:pos="1304"/>
      </w:tabs>
      <w:spacing w:before="240" w:after="120"/>
      <w:ind w:left="357" w:hanging="357"/>
    </w:pPr>
    <w:rPr>
      <w:rFonts w:ascii="Arial" w:hAnsi="Arial"/>
      <w:i/>
      <w:color w:val="4F4F4F"/>
      <w:sz w:val="22"/>
    </w:rPr>
  </w:style>
  <w:style w:type="paragraph" w:customStyle="1" w:styleId="Table4X">
    <w:name w:val="Table 4.X"/>
    <w:basedOn w:val="Normal"/>
    <w:rsid w:val="007E5DEC"/>
    <w:pPr>
      <w:widowControl w:val="0"/>
      <w:numPr>
        <w:numId w:val="45"/>
      </w:numPr>
      <w:tabs>
        <w:tab w:val="left" w:pos="1134"/>
      </w:tabs>
      <w:spacing w:before="240" w:after="120"/>
    </w:pPr>
    <w:rPr>
      <w:rFonts w:ascii="Arial" w:hAnsi="Arial"/>
      <w:bCs/>
      <w:i/>
      <w:color w:val="4F4F4F"/>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5899">
      <w:bodyDiv w:val="1"/>
      <w:marLeft w:val="0"/>
      <w:marRight w:val="0"/>
      <w:marTop w:val="0"/>
      <w:marBottom w:val="0"/>
      <w:divBdr>
        <w:top w:val="none" w:sz="0" w:space="0" w:color="auto"/>
        <w:left w:val="none" w:sz="0" w:space="0" w:color="auto"/>
        <w:bottom w:val="none" w:sz="0" w:space="0" w:color="auto"/>
        <w:right w:val="none" w:sz="0" w:space="0" w:color="auto"/>
      </w:divBdr>
    </w:div>
    <w:div w:id="188839221">
      <w:bodyDiv w:val="1"/>
      <w:marLeft w:val="0"/>
      <w:marRight w:val="0"/>
      <w:marTop w:val="0"/>
      <w:marBottom w:val="0"/>
      <w:divBdr>
        <w:top w:val="none" w:sz="0" w:space="0" w:color="auto"/>
        <w:left w:val="none" w:sz="0" w:space="0" w:color="auto"/>
        <w:bottom w:val="none" w:sz="0" w:space="0" w:color="auto"/>
        <w:right w:val="none" w:sz="0" w:space="0" w:color="auto"/>
      </w:divBdr>
    </w:div>
    <w:div w:id="196311442">
      <w:bodyDiv w:val="1"/>
      <w:marLeft w:val="0"/>
      <w:marRight w:val="0"/>
      <w:marTop w:val="0"/>
      <w:marBottom w:val="0"/>
      <w:divBdr>
        <w:top w:val="none" w:sz="0" w:space="0" w:color="auto"/>
        <w:left w:val="none" w:sz="0" w:space="0" w:color="auto"/>
        <w:bottom w:val="none" w:sz="0" w:space="0" w:color="auto"/>
        <w:right w:val="none" w:sz="0" w:space="0" w:color="auto"/>
      </w:divBdr>
    </w:div>
    <w:div w:id="337385828">
      <w:bodyDiv w:val="1"/>
      <w:marLeft w:val="0"/>
      <w:marRight w:val="0"/>
      <w:marTop w:val="0"/>
      <w:marBottom w:val="0"/>
      <w:divBdr>
        <w:top w:val="none" w:sz="0" w:space="0" w:color="auto"/>
        <w:left w:val="none" w:sz="0" w:space="0" w:color="auto"/>
        <w:bottom w:val="none" w:sz="0" w:space="0" w:color="auto"/>
        <w:right w:val="none" w:sz="0" w:space="0" w:color="auto"/>
      </w:divBdr>
    </w:div>
    <w:div w:id="348487263">
      <w:bodyDiv w:val="1"/>
      <w:marLeft w:val="0"/>
      <w:marRight w:val="0"/>
      <w:marTop w:val="0"/>
      <w:marBottom w:val="0"/>
      <w:divBdr>
        <w:top w:val="none" w:sz="0" w:space="0" w:color="auto"/>
        <w:left w:val="none" w:sz="0" w:space="0" w:color="auto"/>
        <w:bottom w:val="none" w:sz="0" w:space="0" w:color="auto"/>
        <w:right w:val="none" w:sz="0" w:space="0" w:color="auto"/>
      </w:divBdr>
    </w:div>
    <w:div w:id="359014862">
      <w:bodyDiv w:val="1"/>
      <w:marLeft w:val="0"/>
      <w:marRight w:val="0"/>
      <w:marTop w:val="0"/>
      <w:marBottom w:val="0"/>
      <w:divBdr>
        <w:top w:val="none" w:sz="0" w:space="0" w:color="auto"/>
        <w:left w:val="none" w:sz="0" w:space="0" w:color="auto"/>
        <w:bottom w:val="none" w:sz="0" w:space="0" w:color="auto"/>
        <w:right w:val="none" w:sz="0" w:space="0" w:color="auto"/>
      </w:divBdr>
    </w:div>
    <w:div w:id="424495675">
      <w:bodyDiv w:val="1"/>
      <w:marLeft w:val="0"/>
      <w:marRight w:val="0"/>
      <w:marTop w:val="0"/>
      <w:marBottom w:val="0"/>
      <w:divBdr>
        <w:top w:val="none" w:sz="0" w:space="0" w:color="auto"/>
        <w:left w:val="none" w:sz="0" w:space="0" w:color="auto"/>
        <w:bottom w:val="none" w:sz="0" w:space="0" w:color="auto"/>
        <w:right w:val="none" w:sz="0" w:space="0" w:color="auto"/>
      </w:divBdr>
    </w:div>
    <w:div w:id="457916200">
      <w:bodyDiv w:val="1"/>
      <w:marLeft w:val="0"/>
      <w:marRight w:val="0"/>
      <w:marTop w:val="0"/>
      <w:marBottom w:val="0"/>
      <w:divBdr>
        <w:top w:val="none" w:sz="0" w:space="0" w:color="auto"/>
        <w:left w:val="none" w:sz="0" w:space="0" w:color="auto"/>
        <w:bottom w:val="none" w:sz="0" w:space="0" w:color="auto"/>
        <w:right w:val="none" w:sz="0" w:space="0" w:color="auto"/>
      </w:divBdr>
    </w:div>
    <w:div w:id="625501537">
      <w:bodyDiv w:val="1"/>
      <w:marLeft w:val="0"/>
      <w:marRight w:val="0"/>
      <w:marTop w:val="0"/>
      <w:marBottom w:val="0"/>
      <w:divBdr>
        <w:top w:val="none" w:sz="0" w:space="0" w:color="auto"/>
        <w:left w:val="none" w:sz="0" w:space="0" w:color="auto"/>
        <w:bottom w:val="none" w:sz="0" w:space="0" w:color="auto"/>
        <w:right w:val="none" w:sz="0" w:space="0" w:color="auto"/>
      </w:divBdr>
    </w:div>
    <w:div w:id="646277460">
      <w:bodyDiv w:val="1"/>
      <w:marLeft w:val="0"/>
      <w:marRight w:val="0"/>
      <w:marTop w:val="0"/>
      <w:marBottom w:val="0"/>
      <w:divBdr>
        <w:top w:val="none" w:sz="0" w:space="0" w:color="auto"/>
        <w:left w:val="none" w:sz="0" w:space="0" w:color="auto"/>
        <w:bottom w:val="none" w:sz="0" w:space="0" w:color="auto"/>
        <w:right w:val="none" w:sz="0" w:space="0" w:color="auto"/>
      </w:divBdr>
      <w:divsChild>
        <w:div w:id="636689790">
          <w:marLeft w:val="0"/>
          <w:marRight w:val="0"/>
          <w:marTop w:val="0"/>
          <w:marBottom w:val="0"/>
          <w:divBdr>
            <w:top w:val="none" w:sz="0" w:space="0" w:color="auto"/>
            <w:left w:val="none" w:sz="0" w:space="0" w:color="auto"/>
            <w:bottom w:val="none" w:sz="0" w:space="0" w:color="auto"/>
            <w:right w:val="none" w:sz="0" w:space="0" w:color="auto"/>
          </w:divBdr>
        </w:div>
        <w:div w:id="1818692509">
          <w:marLeft w:val="0"/>
          <w:marRight w:val="0"/>
          <w:marTop w:val="0"/>
          <w:marBottom w:val="0"/>
          <w:divBdr>
            <w:top w:val="none" w:sz="0" w:space="0" w:color="auto"/>
            <w:left w:val="none" w:sz="0" w:space="0" w:color="auto"/>
            <w:bottom w:val="none" w:sz="0" w:space="0" w:color="auto"/>
            <w:right w:val="none" w:sz="0" w:space="0" w:color="auto"/>
          </w:divBdr>
        </w:div>
        <w:div w:id="91439188">
          <w:marLeft w:val="0"/>
          <w:marRight w:val="0"/>
          <w:marTop w:val="0"/>
          <w:marBottom w:val="0"/>
          <w:divBdr>
            <w:top w:val="none" w:sz="0" w:space="0" w:color="auto"/>
            <w:left w:val="none" w:sz="0" w:space="0" w:color="auto"/>
            <w:bottom w:val="none" w:sz="0" w:space="0" w:color="auto"/>
            <w:right w:val="none" w:sz="0" w:space="0" w:color="auto"/>
          </w:divBdr>
        </w:div>
        <w:div w:id="32926415">
          <w:marLeft w:val="0"/>
          <w:marRight w:val="0"/>
          <w:marTop w:val="0"/>
          <w:marBottom w:val="0"/>
          <w:divBdr>
            <w:top w:val="none" w:sz="0" w:space="0" w:color="auto"/>
            <w:left w:val="none" w:sz="0" w:space="0" w:color="auto"/>
            <w:bottom w:val="none" w:sz="0" w:space="0" w:color="auto"/>
            <w:right w:val="none" w:sz="0" w:space="0" w:color="auto"/>
          </w:divBdr>
        </w:div>
        <w:div w:id="34668742">
          <w:marLeft w:val="0"/>
          <w:marRight w:val="0"/>
          <w:marTop w:val="0"/>
          <w:marBottom w:val="0"/>
          <w:divBdr>
            <w:top w:val="none" w:sz="0" w:space="0" w:color="auto"/>
            <w:left w:val="none" w:sz="0" w:space="0" w:color="auto"/>
            <w:bottom w:val="none" w:sz="0" w:space="0" w:color="auto"/>
            <w:right w:val="none" w:sz="0" w:space="0" w:color="auto"/>
          </w:divBdr>
        </w:div>
        <w:div w:id="582572295">
          <w:marLeft w:val="0"/>
          <w:marRight w:val="0"/>
          <w:marTop w:val="0"/>
          <w:marBottom w:val="0"/>
          <w:divBdr>
            <w:top w:val="none" w:sz="0" w:space="0" w:color="auto"/>
            <w:left w:val="none" w:sz="0" w:space="0" w:color="auto"/>
            <w:bottom w:val="none" w:sz="0" w:space="0" w:color="auto"/>
            <w:right w:val="none" w:sz="0" w:space="0" w:color="auto"/>
          </w:divBdr>
          <w:divsChild>
            <w:div w:id="1656832055">
              <w:marLeft w:val="0"/>
              <w:marRight w:val="0"/>
              <w:marTop w:val="30"/>
              <w:marBottom w:val="30"/>
              <w:divBdr>
                <w:top w:val="none" w:sz="0" w:space="0" w:color="auto"/>
                <w:left w:val="none" w:sz="0" w:space="0" w:color="auto"/>
                <w:bottom w:val="none" w:sz="0" w:space="0" w:color="auto"/>
                <w:right w:val="none" w:sz="0" w:space="0" w:color="auto"/>
              </w:divBdr>
              <w:divsChild>
                <w:div w:id="476726570">
                  <w:marLeft w:val="0"/>
                  <w:marRight w:val="0"/>
                  <w:marTop w:val="0"/>
                  <w:marBottom w:val="0"/>
                  <w:divBdr>
                    <w:top w:val="none" w:sz="0" w:space="0" w:color="auto"/>
                    <w:left w:val="none" w:sz="0" w:space="0" w:color="auto"/>
                    <w:bottom w:val="none" w:sz="0" w:space="0" w:color="auto"/>
                    <w:right w:val="none" w:sz="0" w:space="0" w:color="auto"/>
                  </w:divBdr>
                  <w:divsChild>
                    <w:div w:id="763644470">
                      <w:marLeft w:val="0"/>
                      <w:marRight w:val="0"/>
                      <w:marTop w:val="0"/>
                      <w:marBottom w:val="0"/>
                      <w:divBdr>
                        <w:top w:val="none" w:sz="0" w:space="0" w:color="auto"/>
                        <w:left w:val="none" w:sz="0" w:space="0" w:color="auto"/>
                        <w:bottom w:val="none" w:sz="0" w:space="0" w:color="auto"/>
                        <w:right w:val="none" w:sz="0" w:space="0" w:color="auto"/>
                      </w:divBdr>
                    </w:div>
                  </w:divsChild>
                </w:div>
                <w:div w:id="1138645757">
                  <w:marLeft w:val="0"/>
                  <w:marRight w:val="0"/>
                  <w:marTop w:val="0"/>
                  <w:marBottom w:val="0"/>
                  <w:divBdr>
                    <w:top w:val="none" w:sz="0" w:space="0" w:color="auto"/>
                    <w:left w:val="none" w:sz="0" w:space="0" w:color="auto"/>
                    <w:bottom w:val="none" w:sz="0" w:space="0" w:color="auto"/>
                    <w:right w:val="none" w:sz="0" w:space="0" w:color="auto"/>
                  </w:divBdr>
                  <w:divsChild>
                    <w:div w:id="117723060">
                      <w:marLeft w:val="0"/>
                      <w:marRight w:val="0"/>
                      <w:marTop w:val="0"/>
                      <w:marBottom w:val="0"/>
                      <w:divBdr>
                        <w:top w:val="none" w:sz="0" w:space="0" w:color="auto"/>
                        <w:left w:val="none" w:sz="0" w:space="0" w:color="auto"/>
                        <w:bottom w:val="none" w:sz="0" w:space="0" w:color="auto"/>
                        <w:right w:val="none" w:sz="0" w:space="0" w:color="auto"/>
                      </w:divBdr>
                    </w:div>
                  </w:divsChild>
                </w:div>
                <w:div w:id="172380115">
                  <w:marLeft w:val="0"/>
                  <w:marRight w:val="0"/>
                  <w:marTop w:val="0"/>
                  <w:marBottom w:val="0"/>
                  <w:divBdr>
                    <w:top w:val="none" w:sz="0" w:space="0" w:color="auto"/>
                    <w:left w:val="none" w:sz="0" w:space="0" w:color="auto"/>
                    <w:bottom w:val="none" w:sz="0" w:space="0" w:color="auto"/>
                    <w:right w:val="none" w:sz="0" w:space="0" w:color="auto"/>
                  </w:divBdr>
                  <w:divsChild>
                    <w:div w:id="1093167048">
                      <w:marLeft w:val="0"/>
                      <w:marRight w:val="0"/>
                      <w:marTop w:val="0"/>
                      <w:marBottom w:val="0"/>
                      <w:divBdr>
                        <w:top w:val="none" w:sz="0" w:space="0" w:color="auto"/>
                        <w:left w:val="none" w:sz="0" w:space="0" w:color="auto"/>
                        <w:bottom w:val="none" w:sz="0" w:space="0" w:color="auto"/>
                        <w:right w:val="none" w:sz="0" w:space="0" w:color="auto"/>
                      </w:divBdr>
                    </w:div>
                  </w:divsChild>
                </w:div>
                <w:div w:id="1109736238">
                  <w:marLeft w:val="0"/>
                  <w:marRight w:val="0"/>
                  <w:marTop w:val="0"/>
                  <w:marBottom w:val="0"/>
                  <w:divBdr>
                    <w:top w:val="none" w:sz="0" w:space="0" w:color="auto"/>
                    <w:left w:val="none" w:sz="0" w:space="0" w:color="auto"/>
                    <w:bottom w:val="none" w:sz="0" w:space="0" w:color="auto"/>
                    <w:right w:val="none" w:sz="0" w:space="0" w:color="auto"/>
                  </w:divBdr>
                  <w:divsChild>
                    <w:div w:id="2132891929">
                      <w:marLeft w:val="0"/>
                      <w:marRight w:val="0"/>
                      <w:marTop w:val="0"/>
                      <w:marBottom w:val="0"/>
                      <w:divBdr>
                        <w:top w:val="none" w:sz="0" w:space="0" w:color="auto"/>
                        <w:left w:val="none" w:sz="0" w:space="0" w:color="auto"/>
                        <w:bottom w:val="none" w:sz="0" w:space="0" w:color="auto"/>
                        <w:right w:val="none" w:sz="0" w:space="0" w:color="auto"/>
                      </w:divBdr>
                    </w:div>
                  </w:divsChild>
                </w:div>
                <w:div w:id="176505698">
                  <w:marLeft w:val="0"/>
                  <w:marRight w:val="0"/>
                  <w:marTop w:val="0"/>
                  <w:marBottom w:val="0"/>
                  <w:divBdr>
                    <w:top w:val="none" w:sz="0" w:space="0" w:color="auto"/>
                    <w:left w:val="none" w:sz="0" w:space="0" w:color="auto"/>
                    <w:bottom w:val="none" w:sz="0" w:space="0" w:color="auto"/>
                    <w:right w:val="none" w:sz="0" w:space="0" w:color="auto"/>
                  </w:divBdr>
                  <w:divsChild>
                    <w:div w:id="1853717610">
                      <w:marLeft w:val="0"/>
                      <w:marRight w:val="0"/>
                      <w:marTop w:val="0"/>
                      <w:marBottom w:val="0"/>
                      <w:divBdr>
                        <w:top w:val="none" w:sz="0" w:space="0" w:color="auto"/>
                        <w:left w:val="none" w:sz="0" w:space="0" w:color="auto"/>
                        <w:bottom w:val="none" w:sz="0" w:space="0" w:color="auto"/>
                        <w:right w:val="none" w:sz="0" w:space="0" w:color="auto"/>
                      </w:divBdr>
                    </w:div>
                  </w:divsChild>
                </w:div>
                <w:div w:id="1636255876">
                  <w:marLeft w:val="0"/>
                  <w:marRight w:val="0"/>
                  <w:marTop w:val="0"/>
                  <w:marBottom w:val="0"/>
                  <w:divBdr>
                    <w:top w:val="none" w:sz="0" w:space="0" w:color="auto"/>
                    <w:left w:val="none" w:sz="0" w:space="0" w:color="auto"/>
                    <w:bottom w:val="none" w:sz="0" w:space="0" w:color="auto"/>
                    <w:right w:val="none" w:sz="0" w:space="0" w:color="auto"/>
                  </w:divBdr>
                  <w:divsChild>
                    <w:div w:id="846359365">
                      <w:marLeft w:val="0"/>
                      <w:marRight w:val="0"/>
                      <w:marTop w:val="0"/>
                      <w:marBottom w:val="0"/>
                      <w:divBdr>
                        <w:top w:val="none" w:sz="0" w:space="0" w:color="auto"/>
                        <w:left w:val="none" w:sz="0" w:space="0" w:color="auto"/>
                        <w:bottom w:val="none" w:sz="0" w:space="0" w:color="auto"/>
                        <w:right w:val="none" w:sz="0" w:space="0" w:color="auto"/>
                      </w:divBdr>
                    </w:div>
                  </w:divsChild>
                </w:div>
                <w:div w:id="1299190468">
                  <w:marLeft w:val="0"/>
                  <w:marRight w:val="0"/>
                  <w:marTop w:val="0"/>
                  <w:marBottom w:val="0"/>
                  <w:divBdr>
                    <w:top w:val="none" w:sz="0" w:space="0" w:color="auto"/>
                    <w:left w:val="none" w:sz="0" w:space="0" w:color="auto"/>
                    <w:bottom w:val="none" w:sz="0" w:space="0" w:color="auto"/>
                    <w:right w:val="none" w:sz="0" w:space="0" w:color="auto"/>
                  </w:divBdr>
                  <w:divsChild>
                    <w:div w:id="2124811370">
                      <w:marLeft w:val="0"/>
                      <w:marRight w:val="0"/>
                      <w:marTop w:val="0"/>
                      <w:marBottom w:val="0"/>
                      <w:divBdr>
                        <w:top w:val="none" w:sz="0" w:space="0" w:color="auto"/>
                        <w:left w:val="none" w:sz="0" w:space="0" w:color="auto"/>
                        <w:bottom w:val="none" w:sz="0" w:space="0" w:color="auto"/>
                        <w:right w:val="none" w:sz="0" w:space="0" w:color="auto"/>
                      </w:divBdr>
                    </w:div>
                  </w:divsChild>
                </w:div>
                <w:div w:id="60830880">
                  <w:marLeft w:val="0"/>
                  <w:marRight w:val="0"/>
                  <w:marTop w:val="0"/>
                  <w:marBottom w:val="0"/>
                  <w:divBdr>
                    <w:top w:val="none" w:sz="0" w:space="0" w:color="auto"/>
                    <w:left w:val="none" w:sz="0" w:space="0" w:color="auto"/>
                    <w:bottom w:val="none" w:sz="0" w:space="0" w:color="auto"/>
                    <w:right w:val="none" w:sz="0" w:space="0" w:color="auto"/>
                  </w:divBdr>
                  <w:divsChild>
                    <w:div w:id="2022927167">
                      <w:marLeft w:val="0"/>
                      <w:marRight w:val="0"/>
                      <w:marTop w:val="0"/>
                      <w:marBottom w:val="0"/>
                      <w:divBdr>
                        <w:top w:val="none" w:sz="0" w:space="0" w:color="auto"/>
                        <w:left w:val="none" w:sz="0" w:space="0" w:color="auto"/>
                        <w:bottom w:val="none" w:sz="0" w:space="0" w:color="auto"/>
                        <w:right w:val="none" w:sz="0" w:space="0" w:color="auto"/>
                      </w:divBdr>
                    </w:div>
                  </w:divsChild>
                </w:div>
                <w:div w:id="482502245">
                  <w:marLeft w:val="0"/>
                  <w:marRight w:val="0"/>
                  <w:marTop w:val="0"/>
                  <w:marBottom w:val="0"/>
                  <w:divBdr>
                    <w:top w:val="none" w:sz="0" w:space="0" w:color="auto"/>
                    <w:left w:val="none" w:sz="0" w:space="0" w:color="auto"/>
                    <w:bottom w:val="none" w:sz="0" w:space="0" w:color="auto"/>
                    <w:right w:val="none" w:sz="0" w:space="0" w:color="auto"/>
                  </w:divBdr>
                  <w:divsChild>
                    <w:div w:id="1995991915">
                      <w:marLeft w:val="0"/>
                      <w:marRight w:val="0"/>
                      <w:marTop w:val="0"/>
                      <w:marBottom w:val="0"/>
                      <w:divBdr>
                        <w:top w:val="none" w:sz="0" w:space="0" w:color="auto"/>
                        <w:left w:val="none" w:sz="0" w:space="0" w:color="auto"/>
                        <w:bottom w:val="none" w:sz="0" w:space="0" w:color="auto"/>
                        <w:right w:val="none" w:sz="0" w:space="0" w:color="auto"/>
                      </w:divBdr>
                    </w:div>
                  </w:divsChild>
                </w:div>
                <w:div w:id="101152781">
                  <w:marLeft w:val="0"/>
                  <w:marRight w:val="0"/>
                  <w:marTop w:val="0"/>
                  <w:marBottom w:val="0"/>
                  <w:divBdr>
                    <w:top w:val="none" w:sz="0" w:space="0" w:color="auto"/>
                    <w:left w:val="none" w:sz="0" w:space="0" w:color="auto"/>
                    <w:bottom w:val="none" w:sz="0" w:space="0" w:color="auto"/>
                    <w:right w:val="none" w:sz="0" w:space="0" w:color="auto"/>
                  </w:divBdr>
                  <w:divsChild>
                    <w:div w:id="1303658771">
                      <w:marLeft w:val="0"/>
                      <w:marRight w:val="0"/>
                      <w:marTop w:val="0"/>
                      <w:marBottom w:val="0"/>
                      <w:divBdr>
                        <w:top w:val="none" w:sz="0" w:space="0" w:color="auto"/>
                        <w:left w:val="none" w:sz="0" w:space="0" w:color="auto"/>
                        <w:bottom w:val="none" w:sz="0" w:space="0" w:color="auto"/>
                        <w:right w:val="none" w:sz="0" w:space="0" w:color="auto"/>
                      </w:divBdr>
                    </w:div>
                  </w:divsChild>
                </w:div>
                <w:div w:id="196432545">
                  <w:marLeft w:val="0"/>
                  <w:marRight w:val="0"/>
                  <w:marTop w:val="0"/>
                  <w:marBottom w:val="0"/>
                  <w:divBdr>
                    <w:top w:val="none" w:sz="0" w:space="0" w:color="auto"/>
                    <w:left w:val="none" w:sz="0" w:space="0" w:color="auto"/>
                    <w:bottom w:val="none" w:sz="0" w:space="0" w:color="auto"/>
                    <w:right w:val="none" w:sz="0" w:space="0" w:color="auto"/>
                  </w:divBdr>
                  <w:divsChild>
                    <w:div w:id="824513527">
                      <w:marLeft w:val="0"/>
                      <w:marRight w:val="0"/>
                      <w:marTop w:val="0"/>
                      <w:marBottom w:val="0"/>
                      <w:divBdr>
                        <w:top w:val="none" w:sz="0" w:space="0" w:color="auto"/>
                        <w:left w:val="none" w:sz="0" w:space="0" w:color="auto"/>
                        <w:bottom w:val="none" w:sz="0" w:space="0" w:color="auto"/>
                        <w:right w:val="none" w:sz="0" w:space="0" w:color="auto"/>
                      </w:divBdr>
                    </w:div>
                  </w:divsChild>
                </w:div>
                <w:div w:id="1937787691">
                  <w:marLeft w:val="0"/>
                  <w:marRight w:val="0"/>
                  <w:marTop w:val="0"/>
                  <w:marBottom w:val="0"/>
                  <w:divBdr>
                    <w:top w:val="none" w:sz="0" w:space="0" w:color="auto"/>
                    <w:left w:val="none" w:sz="0" w:space="0" w:color="auto"/>
                    <w:bottom w:val="none" w:sz="0" w:space="0" w:color="auto"/>
                    <w:right w:val="none" w:sz="0" w:space="0" w:color="auto"/>
                  </w:divBdr>
                  <w:divsChild>
                    <w:div w:id="277030477">
                      <w:marLeft w:val="0"/>
                      <w:marRight w:val="0"/>
                      <w:marTop w:val="0"/>
                      <w:marBottom w:val="0"/>
                      <w:divBdr>
                        <w:top w:val="none" w:sz="0" w:space="0" w:color="auto"/>
                        <w:left w:val="none" w:sz="0" w:space="0" w:color="auto"/>
                        <w:bottom w:val="none" w:sz="0" w:space="0" w:color="auto"/>
                        <w:right w:val="none" w:sz="0" w:space="0" w:color="auto"/>
                      </w:divBdr>
                    </w:div>
                  </w:divsChild>
                </w:div>
                <w:div w:id="1323778389">
                  <w:marLeft w:val="0"/>
                  <w:marRight w:val="0"/>
                  <w:marTop w:val="0"/>
                  <w:marBottom w:val="0"/>
                  <w:divBdr>
                    <w:top w:val="none" w:sz="0" w:space="0" w:color="auto"/>
                    <w:left w:val="none" w:sz="0" w:space="0" w:color="auto"/>
                    <w:bottom w:val="none" w:sz="0" w:space="0" w:color="auto"/>
                    <w:right w:val="none" w:sz="0" w:space="0" w:color="auto"/>
                  </w:divBdr>
                  <w:divsChild>
                    <w:div w:id="1288315862">
                      <w:marLeft w:val="0"/>
                      <w:marRight w:val="0"/>
                      <w:marTop w:val="0"/>
                      <w:marBottom w:val="0"/>
                      <w:divBdr>
                        <w:top w:val="none" w:sz="0" w:space="0" w:color="auto"/>
                        <w:left w:val="none" w:sz="0" w:space="0" w:color="auto"/>
                        <w:bottom w:val="none" w:sz="0" w:space="0" w:color="auto"/>
                        <w:right w:val="none" w:sz="0" w:space="0" w:color="auto"/>
                      </w:divBdr>
                    </w:div>
                  </w:divsChild>
                </w:div>
                <w:div w:id="1974868700">
                  <w:marLeft w:val="0"/>
                  <w:marRight w:val="0"/>
                  <w:marTop w:val="0"/>
                  <w:marBottom w:val="0"/>
                  <w:divBdr>
                    <w:top w:val="none" w:sz="0" w:space="0" w:color="auto"/>
                    <w:left w:val="none" w:sz="0" w:space="0" w:color="auto"/>
                    <w:bottom w:val="none" w:sz="0" w:space="0" w:color="auto"/>
                    <w:right w:val="none" w:sz="0" w:space="0" w:color="auto"/>
                  </w:divBdr>
                  <w:divsChild>
                    <w:div w:id="1942369684">
                      <w:marLeft w:val="0"/>
                      <w:marRight w:val="0"/>
                      <w:marTop w:val="0"/>
                      <w:marBottom w:val="0"/>
                      <w:divBdr>
                        <w:top w:val="none" w:sz="0" w:space="0" w:color="auto"/>
                        <w:left w:val="none" w:sz="0" w:space="0" w:color="auto"/>
                        <w:bottom w:val="none" w:sz="0" w:space="0" w:color="auto"/>
                        <w:right w:val="none" w:sz="0" w:space="0" w:color="auto"/>
                      </w:divBdr>
                    </w:div>
                  </w:divsChild>
                </w:div>
                <w:div w:id="743526598">
                  <w:marLeft w:val="0"/>
                  <w:marRight w:val="0"/>
                  <w:marTop w:val="0"/>
                  <w:marBottom w:val="0"/>
                  <w:divBdr>
                    <w:top w:val="none" w:sz="0" w:space="0" w:color="auto"/>
                    <w:left w:val="none" w:sz="0" w:space="0" w:color="auto"/>
                    <w:bottom w:val="none" w:sz="0" w:space="0" w:color="auto"/>
                    <w:right w:val="none" w:sz="0" w:space="0" w:color="auto"/>
                  </w:divBdr>
                  <w:divsChild>
                    <w:div w:id="1754743557">
                      <w:marLeft w:val="0"/>
                      <w:marRight w:val="0"/>
                      <w:marTop w:val="0"/>
                      <w:marBottom w:val="0"/>
                      <w:divBdr>
                        <w:top w:val="none" w:sz="0" w:space="0" w:color="auto"/>
                        <w:left w:val="none" w:sz="0" w:space="0" w:color="auto"/>
                        <w:bottom w:val="none" w:sz="0" w:space="0" w:color="auto"/>
                        <w:right w:val="none" w:sz="0" w:space="0" w:color="auto"/>
                      </w:divBdr>
                    </w:div>
                  </w:divsChild>
                </w:div>
                <w:div w:id="1612474703">
                  <w:marLeft w:val="0"/>
                  <w:marRight w:val="0"/>
                  <w:marTop w:val="0"/>
                  <w:marBottom w:val="0"/>
                  <w:divBdr>
                    <w:top w:val="none" w:sz="0" w:space="0" w:color="auto"/>
                    <w:left w:val="none" w:sz="0" w:space="0" w:color="auto"/>
                    <w:bottom w:val="none" w:sz="0" w:space="0" w:color="auto"/>
                    <w:right w:val="none" w:sz="0" w:space="0" w:color="auto"/>
                  </w:divBdr>
                  <w:divsChild>
                    <w:div w:id="1458642248">
                      <w:marLeft w:val="0"/>
                      <w:marRight w:val="0"/>
                      <w:marTop w:val="0"/>
                      <w:marBottom w:val="0"/>
                      <w:divBdr>
                        <w:top w:val="none" w:sz="0" w:space="0" w:color="auto"/>
                        <w:left w:val="none" w:sz="0" w:space="0" w:color="auto"/>
                        <w:bottom w:val="none" w:sz="0" w:space="0" w:color="auto"/>
                        <w:right w:val="none" w:sz="0" w:space="0" w:color="auto"/>
                      </w:divBdr>
                    </w:div>
                  </w:divsChild>
                </w:div>
                <w:div w:id="2132630090">
                  <w:marLeft w:val="0"/>
                  <w:marRight w:val="0"/>
                  <w:marTop w:val="0"/>
                  <w:marBottom w:val="0"/>
                  <w:divBdr>
                    <w:top w:val="none" w:sz="0" w:space="0" w:color="auto"/>
                    <w:left w:val="none" w:sz="0" w:space="0" w:color="auto"/>
                    <w:bottom w:val="none" w:sz="0" w:space="0" w:color="auto"/>
                    <w:right w:val="none" w:sz="0" w:space="0" w:color="auto"/>
                  </w:divBdr>
                  <w:divsChild>
                    <w:div w:id="559709763">
                      <w:marLeft w:val="0"/>
                      <w:marRight w:val="0"/>
                      <w:marTop w:val="0"/>
                      <w:marBottom w:val="0"/>
                      <w:divBdr>
                        <w:top w:val="none" w:sz="0" w:space="0" w:color="auto"/>
                        <w:left w:val="none" w:sz="0" w:space="0" w:color="auto"/>
                        <w:bottom w:val="none" w:sz="0" w:space="0" w:color="auto"/>
                        <w:right w:val="none" w:sz="0" w:space="0" w:color="auto"/>
                      </w:divBdr>
                    </w:div>
                  </w:divsChild>
                </w:div>
                <w:div w:id="1488132420">
                  <w:marLeft w:val="0"/>
                  <w:marRight w:val="0"/>
                  <w:marTop w:val="0"/>
                  <w:marBottom w:val="0"/>
                  <w:divBdr>
                    <w:top w:val="none" w:sz="0" w:space="0" w:color="auto"/>
                    <w:left w:val="none" w:sz="0" w:space="0" w:color="auto"/>
                    <w:bottom w:val="none" w:sz="0" w:space="0" w:color="auto"/>
                    <w:right w:val="none" w:sz="0" w:space="0" w:color="auto"/>
                  </w:divBdr>
                  <w:divsChild>
                    <w:div w:id="1526481673">
                      <w:marLeft w:val="0"/>
                      <w:marRight w:val="0"/>
                      <w:marTop w:val="0"/>
                      <w:marBottom w:val="0"/>
                      <w:divBdr>
                        <w:top w:val="none" w:sz="0" w:space="0" w:color="auto"/>
                        <w:left w:val="none" w:sz="0" w:space="0" w:color="auto"/>
                        <w:bottom w:val="none" w:sz="0" w:space="0" w:color="auto"/>
                        <w:right w:val="none" w:sz="0" w:space="0" w:color="auto"/>
                      </w:divBdr>
                    </w:div>
                  </w:divsChild>
                </w:div>
                <w:div w:id="113838210">
                  <w:marLeft w:val="0"/>
                  <w:marRight w:val="0"/>
                  <w:marTop w:val="0"/>
                  <w:marBottom w:val="0"/>
                  <w:divBdr>
                    <w:top w:val="none" w:sz="0" w:space="0" w:color="auto"/>
                    <w:left w:val="none" w:sz="0" w:space="0" w:color="auto"/>
                    <w:bottom w:val="none" w:sz="0" w:space="0" w:color="auto"/>
                    <w:right w:val="none" w:sz="0" w:space="0" w:color="auto"/>
                  </w:divBdr>
                  <w:divsChild>
                    <w:div w:id="1157300514">
                      <w:marLeft w:val="0"/>
                      <w:marRight w:val="0"/>
                      <w:marTop w:val="0"/>
                      <w:marBottom w:val="0"/>
                      <w:divBdr>
                        <w:top w:val="none" w:sz="0" w:space="0" w:color="auto"/>
                        <w:left w:val="none" w:sz="0" w:space="0" w:color="auto"/>
                        <w:bottom w:val="none" w:sz="0" w:space="0" w:color="auto"/>
                        <w:right w:val="none" w:sz="0" w:space="0" w:color="auto"/>
                      </w:divBdr>
                    </w:div>
                  </w:divsChild>
                </w:div>
                <w:div w:id="28267257">
                  <w:marLeft w:val="0"/>
                  <w:marRight w:val="0"/>
                  <w:marTop w:val="0"/>
                  <w:marBottom w:val="0"/>
                  <w:divBdr>
                    <w:top w:val="none" w:sz="0" w:space="0" w:color="auto"/>
                    <w:left w:val="none" w:sz="0" w:space="0" w:color="auto"/>
                    <w:bottom w:val="none" w:sz="0" w:space="0" w:color="auto"/>
                    <w:right w:val="none" w:sz="0" w:space="0" w:color="auto"/>
                  </w:divBdr>
                  <w:divsChild>
                    <w:div w:id="1831482505">
                      <w:marLeft w:val="0"/>
                      <w:marRight w:val="0"/>
                      <w:marTop w:val="0"/>
                      <w:marBottom w:val="0"/>
                      <w:divBdr>
                        <w:top w:val="none" w:sz="0" w:space="0" w:color="auto"/>
                        <w:left w:val="none" w:sz="0" w:space="0" w:color="auto"/>
                        <w:bottom w:val="none" w:sz="0" w:space="0" w:color="auto"/>
                        <w:right w:val="none" w:sz="0" w:space="0" w:color="auto"/>
                      </w:divBdr>
                    </w:div>
                  </w:divsChild>
                </w:div>
                <w:div w:id="1495687825">
                  <w:marLeft w:val="0"/>
                  <w:marRight w:val="0"/>
                  <w:marTop w:val="0"/>
                  <w:marBottom w:val="0"/>
                  <w:divBdr>
                    <w:top w:val="none" w:sz="0" w:space="0" w:color="auto"/>
                    <w:left w:val="none" w:sz="0" w:space="0" w:color="auto"/>
                    <w:bottom w:val="none" w:sz="0" w:space="0" w:color="auto"/>
                    <w:right w:val="none" w:sz="0" w:space="0" w:color="auto"/>
                  </w:divBdr>
                  <w:divsChild>
                    <w:div w:id="1249270486">
                      <w:marLeft w:val="0"/>
                      <w:marRight w:val="0"/>
                      <w:marTop w:val="0"/>
                      <w:marBottom w:val="0"/>
                      <w:divBdr>
                        <w:top w:val="none" w:sz="0" w:space="0" w:color="auto"/>
                        <w:left w:val="none" w:sz="0" w:space="0" w:color="auto"/>
                        <w:bottom w:val="none" w:sz="0" w:space="0" w:color="auto"/>
                        <w:right w:val="none" w:sz="0" w:space="0" w:color="auto"/>
                      </w:divBdr>
                    </w:div>
                  </w:divsChild>
                </w:div>
                <w:div w:id="560748210">
                  <w:marLeft w:val="0"/>
                  <w:marRight w:val="0"/>
                  <w:marTop w:val="0"/>
                  <w:marBottom w:val="0"/>
                  <w:divBdr>
                    <w:top w:val="none" w:sz="0" w:space="0" w:color="auto"/>
                    <w:left w:val="none" w:sz="0" w:space="0" w:color="auto"/>
                    <w:bottom w:val="none" w:sz="0" w:space="0" w:color="auto"/>
                    <w:right w:val="none" w:sz="0" w:space="0" w:color="auto"/>
                  </w:divBdr>
                  <w:divsChild>
                    <w:div w:id="1964337490">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2137673561">
                      <w:marLeft w:val="0"/>
                      <w:marRight w:val="0"/>
                      <w:marTop w:val="0"/>
                      <w:marBottom w:val="0"/>
                      <w:divBdr>
                        <w:top w:val="none" w:sz="0" w:space="0" w:color="auto"/>
                        <w:left w:val="none" w:sz="0" w:space="0" w:color="auto"/>
                        <w:bottom w:val="none" w:sz="0" w:space="0" w:color="auto"/>
                        <w:right w:val="none" w:sz="0" w:space="0" w:color="auto"/>
                      </w:divBdr>
                    </w:div>
                  </w:divsChild>
                </w:div>
                <w:div w:id="1362709194">
                  <w:marLeft w:val="0"/>
                  <w:marRight w:val="0"/>
                  <w:marTop w:val="0"/>
                  <w:marBottom w:val="0"/>
                  <w:divBdr>
                    <w:top w:val="none" w:sz="0" w:space="0" w:color="auto"/>
                    <w:left w:val="none" w:sz="0" w:space="0" w:color="auto"/>
                    <w:bottom w:val="none" w:sz="0" w:space="0" w:color="auto"/>
                    <w:right w:val="none" w:sz="0" w:space="0" w:color="auto"/>
                  </w:divBdr>
                  <w:divsChild>
                    <w:div w:id="1383943038">
                      <w:marLeft w:val="0"/>
                      <w:marRight w:val="0"/>
                      <w:marTop w:val="0"/>
                      <w:marBottom w:val="0"/>
                      <w:divBdr>
                        <w:top w:val="none" w:sz="0" w:space="0" w:color="auto"/>
                        <w:left w:val="none" w:sz="0" w:space="0" w:color="auto"/>
                        <w:bottom w:val="none" w:sz="0" w:space="0" w:color="auto"/>
                        <w:right w:val="none" w:sz="0" w:space="0" w:color="auto"/>
                      </w:divBdr>
                    </w:div>
                  </w:divsChild>
                </w:div>
                <w:div w:id="1716998564">
                  <w:marLeft w:val="0"/>
                  <w:marRight w:val="0"/>
                  <w:marTop w:val="0"/>
                  <w:marBottom w:val="0"/>
                  <w:divBdr>
                    <w:top w:val="none" w:sz="0" w:space="0" w:color="auto"/>
                    <w:left w:val="none" w:sz="0" w:space="0" w:color="auto"/>
                    <w:bottom w:val="none" w:sz="0" w:space="0" w:color="auto"/>
                    <w:right w:val="none" w:sz="0" w:space="0" w:color="auto"/>
                  </w:divBdr>
                  <w:divsChild>
                    <w:div w:id="850487516">
                      <w:marLeft w:val="0"/>
                      <w:marRight w:val="0"/>
                      <w:marTop w:val="0"/>
                      <w:marBottom w:val="0"/>
                      <w:divBdr>
                        <w:top w:val="none" w:sz="0" w:space="0" w:color="auto"/>
                        <w:left w:val="none" w:sz="0" w:space="0" w:color="auto"/>
                        <w:bottom w:val="none" w:sz="0" w:space="0" w:color="auto"/>
                        <w:right w:val="none" w:sz="0" w:space="0" w:color="auto"/>
                      </w:divBdr>
                    </w:div>
                  </w:divsChild>
                </w:div>
                <w:div w:id="542910679">
                  <w:marLeft w:val="0"/>
                  <w:marRight w:val="0"/>
                  <w:marTop w:val="0"/>
                  <w:marBottom w:val="0"/>
                  <w:divBdr>
                    <w:top w:val="none" w:sz="0" w:space="0" w:color="auto"/>
                    <w:left w:val="none" w:sz="0" w:space="0" w:color="auto"/>
                    <w:bottom w:val="none" w:sz="0" w:space="0" w:color="auto"/>
                    <w:right w:val="none" w:sz="0" w:space="0" w:color="auto"/>
                  </w:divBdr>
                  <w:divsChild>
                    <w:div w:id="831945644">
                      <w:marLeft w:val="0"/>
                      <w:marRight w:val="0"/>
                      <w:marTop w:val="0"/>
                      <w:marBottom w:val="0"/>
                      <w:divBdr>
                        <w:top w:val="none" w:sz="0" w:space="0" w:color="auto"/>
                        <w:left w:val="none" w:sz="0" w:space="0" w:color="auto"/>
                        <w:bottom w:val="none" w:sz="0" w:space="0" w:color="auto"/>
                        <w:right w:val="none" w:sz="0" w:space="0" w:color="auto"/>
                      </w:divBdr>
                    </w:div>
                  </w:divsChild>
                </w:div>
                <w:div w:id="223104569">
                  <w:marLeft w:val="0"/>
                  <w:marRight w:val="0"/>
                  <w:marTop w:val="0"/>
                  <w:marBottom w:val="0"/>
                  <w:divBdr>
                    <w:top w:val="none" w:sz="0" w:space="0" w:color="auto"/>
                    <w:left w:val="none" w:sz="0" w:space="0" w:color="auto"/>
                    <w:bottom w:val="none" w:sz="0" w:space="0" w:color="auto"/>
                    <w:right w:val="none" w:sz="0" w:space="0" w:color="auto"/>
                  </w:divBdr>
                  <w:divsChild>
                    <w:div w:id="1188182864">
                      <w:marLeft w:val="0"/>
                      <w:marRight w:val="0"/>
                      <w:marTop w:val="0"/>
                      <w:marBottom w:val="0"/>
                      <w:divBdr>
                        <w:top w:val="none" w:sz="0" w:space="0" w:color="auto"/>
                        <w:left w:val="none" w:sz="0" w:space="0" w:color="auto"/>
                        <w:bottom w:val="none" w:sz="0" w:space="0" w:color="auto"/>
                        <w:right w:val="none" w:sz="0" w:space="0" w:color="auto"/>
                      </w:divBdr>
                    </w:div>
                  </w:divsChild>
                </w:div>
                <w:div w:id="2114350708">
                  <w:marLeft w:val="0"/>
                  <w:marRight w:val="0"/>
                  <w:marTop w:val="0"/>
                  <w:marBottom w:val="0"/>
                  <w:divBdr>
                    <w:top w:val="none" w:sz="0" w:space="0" w:color="auto"/>
                    <w:left w:val="none" w:sz="0" w:space="0" w:color="auto"/>
                    <w:bottom w:val="none" w:sz="0" w:space="0" w:color="auto"/>
                    <w:right w:val="none" w:sz="0" w:space="0" w:color="auto"/>
                  </w:divBdr>
                  <w:divsChild>
                    <w:div w:id="1897469653">
                      <w:marLeft w:val="0"/>
                      <w:marRight w:val="0"/>
                      <w:marTop w:val="0"/>
                      <w:marBottom w:val="0"/>
                      <w:divBdr>
                        <w:top w:val="none" w:sz="0" w:space="0" w:color="auto"/>
                        <w:left w:val="none" w:sz="0" w:space="0" w:color="auto"/>
                        <w:bottom w:val="none" w:sz="0" w:space="0" w:color="auto"/>
                        <w:right w:val="none" w:sz="0" w:space="0" w:color="auto"/>
                      </w:divBdr>
                    </w:div>
                  </w:divsChild>
                </w:div>
                <w:div w:id="549263393">
                  <w:marLeft w:val="0"/>
                  <w:marRight w:val="0"/>
                  <w:marTop w:val="0"/>
                  <w:marBottom w:val="0"/>
                  <w:divBdr>
                    <w:top w:val="none" w:sz="0" w:space="0" w:color="auto"/>
                    <w:left w:val="none" w:sz="0" w:space="0" w:color="auto"/>
                    <w:bottom w:val="none" w:sz="0" w:space="0" w:color="auto"/>
                    <w:right w:val="none" w:sz="0" w:space="0" w:color="auto"/>
                  </w:divBdr>
                  <w:divsChild>
                    <w:div w:id="2080865119">
                      <w:marLeft w:val="0"/>
                      <w:marRight w:val="0"/>
                      <w:marTop w:val="0"/>
                      <w:marBottom w:val="0"/>
                      <w:divBdr>
                        <w:top w:val="none" w:sz="0" w:space="0" w:color="auto"/>
                        <w:left w:val="none" w:sz="0" w:space="0" w:color="auto"/>
                        <w:bottom w:val="none" w:sz="0" w:space="0" w:color="auto"/>
                        <w:right w:val="none" w:sz="0" w:space="0" w:color="auto"/>
                      </w:divBdr>
                    </w:div>
                  </w:divsChild>
                </w:div>
                <w:div w:id="4673642">
                  <w:marLeft w:val="0"/>
                  <w:marRight w:val="0"/>
                  <w:marTop w:val="0"/>
                  <w:marBottom w:val="0"/>
                  <w:divBdr>
                    <w:top w:val="none" w:sz="0" w:space="0" w:color="auto"/>
                    <w:left w:val="none" w:sz="0" w:space="0" w:color="auto"/>
                    <w:bottom w:val="none" w:sz="0" w:space="0" w:color="auto"/>
                    <w:right w:val="none" w:sz="0" w:space="0" w:color="auto"/>
                  </w:divBdr>
                  <w:divsChild>
                    <w:div w:id="997267551">
                      <w:marLeft w:val="0"/>
                      <w:marRight w:val="0"/>
                      <w:marTop w:val="0"/>
                      <w:marBottom w:val="0"/>
                      <w:divBdr>
                        <w:top w:val="none" w:sz="0" w:space="0" w:color="auto"/>
                        <w:left w:val="none" w:sz="0" w:space="0" w:color="auto"/>
                        <w:bottom w:val="none" w:sz="0" w:space="0" w:color="auto"/>
                        <w:right w:val="none" w:sz="0" w:space="0" w:color="auto"/>
                      </w:divBdr>
                    </w:div>
                  </w:divsChild>
                </w:div>
                <w:div w:id="1899586487">
                  <w:marLeft w:val="0"/>
                  <w:marRight w:val="0"/>
                  <w:marTop w:val="0"/>
                  <w:marBottom w:val="0"/>
                  <w:divBdr>
                    <w:top w:val="none" w:sz="0" w:space="0" w:color="auto"/>
                    <w:left w:val="none" w:sz="0" w:space="0" w:color="auto"/>
                    <w:bottom w:val="none" w:sz="0" w:space="0" w:color="auto"/>
                    <w:right w:val="none" w:sz="0" w:space="0" w:color="auto"/>
                  </w:divBdr>
                  <w:divsChild>
                    <w:div w:id="238444036">
                      <w:marLeft w:val="0"/>
                      <w:marRight w:val="0"/>
                      <w:marTop w:val="0"/>
                      <w:marBottom w:val="0"/>
                      <w:divBdr>
                        <w:top w:val="none" w:sz="0" w:space="0" w:color="auto"/>
                        <w:left w:val="none" w:sz="0" w:space="0" w:color="auto"/>
                        <w:bottom w:val="none" w:sz="0" w:space="0" w:color="auto"/>
                        <w:right w:val="none" w:sz="0" w:space="0" w:color="auto"/>
                      </w:divBdr>
                    </w:div>
                  </w:divsChild>
                </w:div>
                <w:div w:id="616522587">
                  <w:marLeft w:val="0"/>
                  <w:marRight w:val="0"/>
                  <w:marTop w:val="0"/>
                  <w:marBottom w:val="0"/>
                  <w:divBdr>
                    <w:top w:val="none" w:sz="0" w:space="0" w:color="auto"/>
                    <w:left w:val="none" w:sz="0" w:space="0" w:color="auto"/>
                    <w:bottom w:val="none" w:sz="0" w:space="0" w:color="auto"/>
                    <w:right w:val="none" w:sz="0" w:space="0" w:color="auto"/>
                  </w:divBdr>
                  <w:divsChild>
                    <w:div w:id="2056158524">
                      <w:marLeft w:val="0"/>
                      <w:marRight w:val="0"/>
                      <w:marTop w:val="0"/>
                      <w:marBottom w:val="0"/>
                      <w:divBdr>
                        <w:top w:val="none" w:sz="0" w:space="0" w:color="auto"/>
                        <w:left w:val="none" w:sz="0" w:space="0" w:color="auto"/>
                        <w:bottom w:val="none" w:sz="0" w:space="0" w:color="auto"/>
                        <w:right w:val="none" w:sz="0" w:space="0" w:color="auto"/>
                      </w:divBdr>
                    </w:div>
                  </w:divsChild>
                </w:div>
                <w:div w:id="1313438761">
                  <w:marLeft w:val="0"/>
                  <w:marRight w:val="0"/>
                  <w:marTop w:val="0"/>
                  <w:marBottom w:val="0"/>
                  <w:divBdr>
                    <w:top w:val="none" w:sz="0" w:space="0" w:color="auto"/>
                    <w:left w:val="none" w:sz="0" w:space="0" w:color="auto"/>
                    <w:bottom w:val="none" w:sz="0" w:space="0" w:color="auto"/>
                    <w:right w:val="none" w:sz="0" w:space="0" w:color="auto"/>
                  </w:divBdr>
                  <w:divsChild>
                    <w:div w:id="1296332653">
                      <w:marLeft w:val="0"/>
                      <w:marRight w:val="0"/>
                      <w:marTop w:val="0"/>
                      <w:marBottom w:val="0"/>
                      <w:divBdr>
                        <w:top w:val="none" w:sz="0" w:space="0" w:color="auto"/>
                        <w:left w:val="none" w:sz="0" w:space="0" w:color="auto"/>
                        <w:bottom w:val="none" w:sz="0" w:space="0" w:color="auto"/>
                        <w:right w:val="none" w:sz="0" w:space="0" w:color="auto"/>
                      </w:divBdr>
                    </w:div>
                  </w:divsChild>
                </w:div>
                <w:div w:id="191115721">
                  <w:marLeft w:val="0"/>
                  <w:marRight w:val="0"/>
                  <w:marTop w:val="0"/>
                  <w:marBottom w:val="0"/>
                  <w:divBdr>
                    <w:top w:val="none" w:sz="0" w:space="0" w:color="auto"/>
                    <w:left w:val="none" w:sz="0" w:space="0" w:color="auto"/>
                    <w:bottom w:val="none" w:sz="0" w:space="0" w:color="auto"/>
                    <w:right w:val="none" w:sz="0" w:space="0" w:color="auto"/>
                  </w:divBdr>
                  <w:divsChild>
                    <w:div w:id="1847551310">
                      <w:marLeft w:val="0"/>
                      <w:marRight w:val="0"/>
                      <w:marTop w:val="0"/>
                      <w:marBottom w:val="0"/>
                      <w:divBdr>
                        <w:top w:val="none" w:sz="0" w:space="0" w:color="auto"/>
                        <w:left w:val="none" w:sz="0" w:space="0" w:color="auto"/>
                        <w:bottom w:val="none" w:sz="0" w:space="0" w:color="auto"/>
                        <w:right w:val="none" w:sz="0" w:space="0" w:color="auto"/>
                      </w:divBdr>
                    </w:div>
                  </w:divsChild>
                </w:div>
                <w:div w:id="754977748">
                  <w:marLeft w:val="0"/>
                  <w:marRight w:val="0"/>
                  <w:marTop w:val="0"/>
                  <w:marBottom w:val="0"/>
                  <w:divBdr>
                    <w:top w:val="none" w:sz="0" w:space="0" w:color="auto"/>
                    <w:left w:val="none" w:sz="0" w:space="0" w:color="auto"/>
                    <w:bottom w:val="none" w:sz="0" w:space="0" w:color="auto"/>
                    <w:right w:val="none" w:sz="0" w:space="0" w:color="auto"/>
                  </w:divBdr>
                  <w:divsChild>
                    <w:div w:id="10382515">
                      <w:marLeft w:val="0"/>
                      <w:marRight w:val="0"/>
                      <w:marTop w:val="0"/>
                      <w:marBottom w:val="0"/>
                      <w:divBdr>
                        <w:top w:val="none" w:sz="0" w:space="0" w:color="auto"/>
                        <w:left w:val="none" w:sz="0" w:space="0" w:color="auto"/>
                        <w:bottom w:val="none" w:sz="0" w:space="0" w:color="auto"/>
                        <w:right w:val="none" w:sz="0" w:space="0" w:color="auto"/>
                      </w:divBdr>
                    </w:div>
                  </w:divsChild>
                </w:div>
                <w:div w:id="710346833">
                  <w:marLeft w:val="0"/>
                  <w:marRight w:val="0"/>
                  <w:marTop w:val="0"/>
                  <w:marBottom w:val="0"/>
                  <w:divBdr>
                    <w:top w:val="none" w:sz="0" w:space="0" w:color="auto"/>
                    <w:left w:val="none" w:sz="0" w:space="0" w:color="auto"/>
                    <w:bottom w:val="none" w:sz="0" w:space="0" w:color="auto"/>
                    <w:right w:val="none" w:sz="0" w:space="0" w:color="auto"/>
                  </w:divBdr>
                  <w:divsChild>
                    <w:div w:id="1623223565">
                      <w:marLeft w:val="0"/>
                      <w:marRight w:val="0"/>
                      <w:marTop w:val="0"/>
                      <w:marBottom w:val="0"/>
                      <w:divBdr>
                        <w:top w:val="none" w:sz="0" w:space="0" w:color="auto"/>
                        <w:left w:val="none" w:sz="0" w:space="0" w:color="auto"/>
                        <w:bottom w:val="none" w:sz="0" w:space="0" w:color="auto"/>
                        <w:right w:val="none" w:sz="0" w:space="0" w:color="auto"/>
                      </w:divBdr>
                    </w:div>
                  </w:divsChild>
                </w:div>
                <w:div w:id="359356617">
                  <w:marLeft w:val="0"/>
                  <w:marRight w:val="0"/>
                  <w:marTop w:val="0"/>
                  <w:marBottom w:val="0"/>
                  <w:divBdr>
                    <w:top w:val="none" w:sz="0" w:space="0" w:color="auto"/>
                    <w:left w:val="none" w:sz="0" w:space="0" w:color="auto"/>
                    <w:bottom w:val="none" w:sz="0" w:space="0" w:color="auto"/>
                    <w:right w:val="none" w:sz="0" w:space="0" w:color="auto"/>
                  </w:divBdr>
                  <w:divsChild>
                    <w:div w:id="253173169">
                      <w:marLeft w:val="0"/>
                      <w:marRight w:val="0"/>
                      <w:marTop w:val="0"/>
                      <w:marBottom w:val="0"/>
                      <w:divBdr>
                        <w:top w:val="none" w:sz="0" w:space="0" w:color="auto"/>
                        <w:left w:val="none" w:sz="0" w:space="0" w:color="auto"/>
                        <w:bottom w:val="none" w:sz="0" w:space="0" w:color="auto"/>
                        <w:right w:val="none" w:sz="0" w:space="0" w:color="auto"/>
                      </w:divBdr>
                    </w:div>
                  </w:divsChild>
                </w:div>
                <w:div w:id="807892856">
                  <w:marLeft w:val="0"/>
                  <w:marRight w:val="0"/>
                  <w:marTop w:val="0"/>
                  <w:marBottom w:val="0"/>
                  <w:divBdr>
                    <w:top w:val="none" w:sz="0" w:space="0" w:color="auto"/>
                    <w:left w:val="none" w:sz="0" w:space="0" w:color="auto"/>
                    <w:bottom w:val="none" w:sz="0" w:space="0" w:color="auto"/>
                    <w:right w:val="none" w:sz="0" w:space="0" w:color="auto"/>
                  </w:divBdr>
                  <w:divsChild>
                    <w:div w:id="648945737">
                      <w:marLeft w:val="0"/>
                      <w:marRight w:val="0"/>
                      <w:marTop w:val="0"/>
                      <w:marBottom w:val="0"/>
                      <w:divBdr>
                        <w:top w:val="none" w:sz="0" w:space="0" w:color="auto"/>
                        <w:left w:val="none" w:sz="0" w:space="0" w:color="auto"/>
                        <w:bottom w:val="none" w:sz="0" w:space="0" w:color="auto"/>
                        <w:right w:val="none" w:sz="0" w:space="0" w:color="auto"/>
                      </w:divBdr>
                    </w:div>
                  </w:divsChild>
                </w:div>
                <w:div w:id="804665672">
                  <w:marLeft w:val="0"/>
                  <w:marRight w:val="0"/>
                  <w:marTop w:val="0"/>
                  <w:marBottom w:val="0"/>
                  <w:divBdr>
                    <w:top w:val="none" w:sz="0" w:space="0" w:color="auto"/>
                    <w:left w:val="none" w:sz="0" w:space="0" w:color="auto"/>
                    <w:bottom w:val="none" w:sz="0" w:space="0" w:color="auto"/>
                    <w:right w:val="none" w:sz="0" w:space="0" w:color="auto"/>
                  </w:divBdr>
                  <w:divsChild>
                    <w:div w:id="1359622432">
                      <w:marLeft w:val="0"/>
                      <w:marRight w:val="0"/>
                      <w:marTop w:val="0"/>
                      <w:marBottom w:val="0"/>
                      <w:divBdr>
                        <w:top w:val="none" w:sz="0" w:space="0" w:color="auto"/>
                        <w:left w:val="none" w:sz="0" w:space="0" w:color="auto"/>
                        <w:bottom w:val="none" w:sz="0" w:space="0" w:color="auto"/>
                        <w:right w:val="none" w:sz="0" w:space="0" w:color="auto"/>
                      </w:divBdr>
                    </w:div>
                  </w:divsChild>
                </w:div>
                <w:div w:id="2134520711">
                  <w:marLeft w:val="0"/>
                  <w:marRight w:val="0"/>
                  <w:marTop w:val="0"/>
                  <w:marBottom w:val="0"/>
                  <w:divBdr>
                    <w:top w:val="none" w:sz="0" w:space="0" w:color="auto"/>
                    <w:left w:val="none" w:sz="0" w:space="0" w:color="auto"/>
                    <w:bottom w:val="none" w:sz="0" w:space="0" w:color="auto"/>
                    <w:right w:val="none" w:sz="0" w:space="0" w:color="auto"/>
                  </w:divBdr>
                  <w:divsChild>
                    <w:div w:id="501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9063">
          <w:marLeft w:val="0"/>
          <w:marRight w:val="0"/>
          <w:marTop w:val="0"/>
          <w:marBottom w:val="0"/>
          <w:divBdr>
            <w:top w:val="none" w:sz="0" w:space="0" w:color="auto"/>
            <w:left w:val="none" w:sz="0" w:space="0" w:color="auto"/>
            <w:bottom w:val="none" w:sz="0" w:space="0" w:color="auto"/>
            <w:right w:val="none" w:sz="0" w:space="0" w:color="auto"/>
          </w:divBdr>
        </w:div>
        <w:div w:id="187108851">
          <w:marLeft w:val="0"/>
          <w:marRight w:val="0"/>
          <w:marTop w:val="0"/>
          <w:marBottom w:val="0"/>
          <w:divBdr>
            <w:top w:val="none" w:sz="0" w:space="0" w:color="auto"/>
            <w:left w:val="none" w:sz="0" w:space="0" w:color="auto"/>
            <w:bottom w:val="none" w:sz="0" w:space="0" w:color="auto"/>
            <w:right w:val="none" w:sz="0" w:space="0" w:color="auto"/>
          </w:divBdr>
        </w:div>
      </w:divsChild>
    </w:div>
    <w:div w:id="816268510">
      <w:bodyDiv w:val="1"/>
      <w:marLeft w:val="0"/>
      <w:marRight w:val="0"/>
      <w:marTop w:val="0"/>
      <w:marBottom w:val="0"/>
      <w:divBdr>
        <w:top w:val="none" w:sz="0" w:space="0" w:color="auto"/>
        <w:left w:val="none" w:sz="0" w:space="0" w:color="auto"/>
        <w:bottom w:val="none" w:sz="0" w:space="0" w:color="auto"/>
        <w:right w:val="none" w:sz="0" w:space="0" w:color="auto"/>
      </w:divBdr>
    </w:div>
    <w:div w:id="829370602">
      <w:bodyDiv w:val="1"/>
      <w:marLeft w:val="0"/>
      <w:marRight w:val="0"/>
      <w:marTop w:val="0"/>
      <w:marBottom w:val="0"/>
      <w:divBdr>
        <w:top w:val="none" w:sz="0" w:space="0" w:color="auto"/>
        <w:left w:val="none" w:sz="0" w:space="0" w:color="auto"/>
        <w:bottom w:val="none" w:sz="0" w:space="0" w:color="auto"/>
        <w:right w:val="none" w:sz="0" w:space="0" w:color="auto"/>
      </w:divBdr>
    </w:div>
    <w:div w:id="831142461">
      <w:bodyDiv w:val="1"/>
      <w:marLeft w:val="0"/>
      <w:marRight w:val="0"/>
      <w:marTop w:val="0"/>
      <w:marBottom w:val="0"/>
      <w:divBdr>
        <w:top w:val="none" w:sz="0" w:space="0" w:color="auto"/>
        <w:left w:val="none" w:sz="0" w:space="0" w:color="auto"/>
        <w:bottom w:val="none" w:sz="0" w:space="0" w:color="auto"/>
        <w:right w:val="none" w:sz="0" w:space="0" w:color="auto"/>
      </w:divBdr>
    </w:div>
    <w:div w:id="832258707">
      <w:bodyDiv w:val="1"/>
      <w:marLeft w:val="0"/>
      <w:marRight w:val="0"/>
      <w:marTop w:val="0"/>
      <w:marBottom w:val="0"/>
      <w:divBdr>
        <w:top w:val="none" w:sz="0" w:space="0" w:color="auto"/>
        <w:left w:val="none" w:sz="0" w:space="0" w:color="auto"/>
        <w:bottom w:val="none" w:sz="0" w:space="0" w:color="auto"/>
        <w:right w:val="none" w:sz="0" w:space="0" w:color="auto"/>
      </w:divBdr>
    </w:div>
    <w:div w:id="933785297">
      <w:bodyDiv w:val="1"/>
      <w:marLeft w:val="0"/>
      <w:marRight w:val="0"/>
      <w:marTop w:val="0"/>
      <w:marBottom w:val="0"/>
      <w:divBdr>
        <w:top w:val="none" w:sz="0" w:space="0" w:color="auto"/>
        <w:left w:val="none" w:sz="0" w:space="0" w:color="auto"/>
        <w:bottom w:val="none" w:sz="0" w:space="0" w:color="auto"/>
        <w:right w:val="none" w:sz="0" w:space="0" w:color="auto"/>
      </w:divBdr>
    </w:div>
    <w:div w:id="961957586">
      <w:bodyDiv w:val="1"/>
      <w:marLeft w:val="0"/>
      <w:marRight w:val="0"/>
      <w:marTop w:val="0"/>
      <w:marBottom w:val="0"/>
      <w:divBdr>
        <w:top w:val="none" w:sz="0" w:space="0" w:color="auto"/>
        <w:left w:val="none" w:sz="0" w:space="0" w:color="auto"/>
        <w:bottom w:val="none" w:sz="0" w:space="0" w:color="auto"/>
        <w:right w:val="none" w:sz="0" w:space="0" w:color="auto"/>
      </w:divBdr>
    </w:div>
    <w:div w:id="1013799651">
      <w:bodyDiv w:val="1"/>
      <w:marLeft w:val="0"/>
      <w:marRight w:val="0"/>
      <w:marTop w:val="0"/>
      <w:marBottom w:val="0"/>
      <w:divBdr>
        <w:top w:val="none" w:sz="0" w:space="0" w:color="auto"/>
        <w:left w:val="none" w:sz="0" w:space="0" w:color="auto"/>
        <w:bottom w:val="none" w:sz="0" w:space="0" w:color="auto"/>
        <w:right w:val="none" w:sz="0" w:space="0" w:color="auto"/>
      </w:divBdr>
    </w:div>
    <w:div w:id="1094520987">
      <w:bodyDiv w:val="1"/>
      <w:marLeft w:val="0"/>
      <w:marRight w:val="0"/>
      <w:marTop w:val="0"/>
      <w:marBottom w:val="0"/>
      <w:divBdr>
        <w:top w:val="none" w:sz="0" w:space="0" w:color="auto"/>
        <w:left w:val="none" w:sz="0" w:space="0" w:color="auto"/>
        <w:bottom w:val="none" w:sz="0" w:space="0" w:color="auto"/>
        <w:right w:val="none" w:sz="0" w:space="0" w:color="auto"/>
      </w:divBdr>
    </w:div>
    <w:div w:id="1155994105">
      <w:bodyDiv w:val="1"/>
      <w:marLeft w:val="0"/>
      <w:marRight w:val="0"/>
      <w:marTop w:val="0"/>
      <w:marBottom w:val="0"/>
      <w:divBdr>
        <w:top w:val="none" w:sz="0" w:space="0" w:color="auto"/>
        <w:left w:val="none" w:sz="0" w:space="0" w:color="auto"/>
        <w:bottom w:val="none" w:sz="0" w:space="0" w:color="auto"/>
        <w:right w:val="none" w:sz="0" w:space="0" w:color="auto"/>
      </w:divBdr>
    </w:div>
    <w:div w:id="1279994225">
      <w:bodyDiv w:val="1"/>
      <w:marLeft w:val="0"/>
      <w:marRight w:val="0"/>
      <w:marTop w:val="0"/>
      <w:marBottom w:val="0"/>
      <w:divBdr>
        <w:top w:val="none" w:sz="0" w:space="0" w:color="auto"/>
        <w:left w:val="none" w:sz="0" w:space="0" w:color="auto"/>
        <w:bottom w:val="none" w:sz="0" w:space="0" w:color="auto"/>
        <w:right w:val="none" w:sz="0" w:space="0" w:color="auto"/>
      </w:divBdr>
    </w:div>
    <w:div w:id="1323653869">
      <w:bodyDiv w:val="1"/>
      <w:marLeft w:val="0"/>
      <w:marRight w:val="0"/>
      <w:marTop w:val="0"/>
      <w:marBottom w:val="0"/>
      <w:divBdr>
        <w:top w:val="none" w:sz="0" w:space="0" w:color="auto"/>
        <w:left w:val="none" w:sz="0" w:space="0" w:color="auto"/>
        <w:bottom w:val="none" w:sz="0" w:space="0" w:color="auto"/>
        <w:right w:val="none" w:sz="0" w:space="0" w:color="auto"/>
      </w:divBdr>
    </w:div>
    <w:div w:id="1333097640">
      <w:bodyDiv w:val="1"/>
      <w:marLeft w:val="0"/>
      <w:marRight w:val="0"/>
      <w:marTop w:val="0"/>
      <w:marBottom w:val="0"/>
      <w:divBdr>
        <w:top w:val="none" w:sz="0" w:space="0" w:color="auto"/>
        <w:left w:val="none" w:sz="0" w:space="0" w:color="auto"/>
        <w:bottom w:val="none" w:sz="0" w:space="0" w:color="auto"/>
        <w:right w:val="none" w:sz="0" w:space="0" w:color="auto"/>
      </w:divBdr>
    </w:div>
    <w:div w:id="1403527597">
      <w:bodyDiv w:val="1"/>
      <w:marLeft w:val="0"/>
      <w:marRight w:val="0"/>
      <w:marTop w:val="0"/>
      <w:marBottom w:val="0"/>
      <w:divBdr>
        <w:top w:val="none" w:sz="0" w:space="0" w:color="auto"/>
        <w:left w:val="none" w:sz="0" w:space="0" w:color="auto"/>
        <w:bottom w:val="none" w:sz="0" w:space="0" w:color="auto"/>
        <w:right w:val="none" w:sz="0" w:space="0" w:color="auto"/>
      </w:divBdr>
    </w:div>
    <w:div w:id="1408726400">
      <w:bodyDiv w:val="1"/>
      <w:marLeft w:val="0"/>
      <w:marRight w:val="0"/>
      <w:marTop w:val="0"/>
      <w:marBottom w:val="0"/>
      <w:divBdr>
        <w:top w:val="none" w:sz="0" w:space="0" w:color="auto"/>
        <w:left w:val="none" w:sz="0" w:space="0" w:color="auto"/>
        <w:bottom w:val="none" w:sz="0" w:space="0" w:color="auto"/>
        <w:right w:val="none" w:sz="0" w:space="0" w:color="auto"/>
      </w:divBdr>
    </w:div>
    <w:div w:id="1452628734">
      <w:bodyDiv w:val="1"/>
      <w:marLeft w:val="0"/>
      <w:marRight w:val="0"/>
      <w:marTop w:val="0"/>
      <w:marBottom w:val="0"/>
      <w:divBdr>
        <w:top w:val="none" w:sz="0" w:space="0" w:color="auto"/>
        <w:left w:val="none" w:sz="0" w:space="0" w:color="auto"/>
        <w:bottom w:val="none" w:sz="0" w:space="0" w:color="auto"/>
        <w:right w:val="none" w:sz="0" w:space="0" w:color="auto"/>
      </w:divBdr>
    </w:div>
    <w:div w:id="1479684776">
      <w:bodyDiv w:val="1"/>
      <w:marLeft w:val="0"/>
      <w:marRight w:val="0"/>
      <w:marTop w:val="0"/>
      <w:marBottom w:val="0"/>
      <w:divBdr>
        <w:top w:val="none" w:sz="0" w:space="0" w:color="auto"/>
        <w:left w:val="none" w:sz="0" w:space="0" w:color="auto"/>
        <w:bottom w:val="none" w:sz="0" w:space="0" w:color="auto"/>
        <w:right w:val="none" w:sz="0" w:space="0" w:color="auto"/>
      </w:divBdr>
    </w:div>
    <w:div w:id="1528906625">
      <w:bodyDiv w:val="1"/>
      <w:marLeft w:val="0"/>
      <w:marRight w:val="0"/>
      <w:marTop w:val="0"/>
      <w:marBottom w:val="0"/>
      <w:divBdr>
        <w:top w:val="none" w:sz="0" w:space="0" w:color="auto"/>
        <w:left w:val="none" w:sz="0" w:space="0" w:color="auto"/>
        <w:bottom w:val="none" w:sz="0" w:space="0" w:color="auto"/>
        <w:right w:val="none" w:sz="0" w:space="0" w:color="auto"/>
      </w:divBdr>
    </w:div>
    <w:div w:id="1540514017">
      <w:bodyDiv w:val="1"/>
      <w:marLeft w:val="0"/>
      <w:marRight w:val="0"/>
      <w:marTop w:val="0"/>
      <w:marBottom w:val="0"/>
      <w:divBdr>
        <w:top w:val="none" w:sz="0" w:space="0" w:color="auto"/>
        <w:left w:val="none" w:sz="0" w:space="0" w:color="auto"/>
        <w:bottom w:val="none" w:sz="0" w:space="0" w:color="auto"/>
        <w:right w:val="none" w:sz="0" w:space="0" w:color="auto"/>
      </w:divBdr>
    </w:div>
    <w:div w:id="1570847374">
      <w:bodyDiv w:val="1"/>
      <w:marLeft w:val="0"/>
      <w:marRight w:val="0"/>
      <w:marTop w:val="0"/>
      <w:marBottom w:val="0"/>
      <w:divBdr>
        <w:top w:val="none" w:sz="0" w:space="0" w:color="auto"/>
        <w:left w:val="none" w:sz="0" w:space="0" w:color="auto"/>
        <w:bottom w:val="none" w:sz="0" w:space="0" w:color="auto"/>
        <w:right w:val="none" w:sz="0" w:space="0" w:color="auto"/>
      </w:divBdr>
    </w:div>
    <w:div w:id="1631783030">
      <w:bodyDiv w:val="1"/>
      <w:marLeft w:val="0"/>
      <w:marRight w:val="0"/>
      <w:marTop w:val="0"/>
      <w:marBottom w:val="0"/>
      <w:divBdr>
        <w:top w:val="none" w:sz="0" w:space="0" w:color="auto"/>
        <w:left w:val="none" w:sz="0" w:space="0" w:color="auto"/>
        <w:bottom w:val="none" w:sz="0" w:space="0" w:color="auto"/>
        <w:right w:val="none" w:sz="0" w:space="0" w:color="auto"/>
      </w:divBdr>
    </w:div>
    <w:div w:id="1673028464">
      <w:bodyDiv w:val="1"/>
      <w:marLeft w:val="0"/>
      <w:marRight w:val="0"/>
      <w:marTop w:val="0"/>
      <w:marBottom w:val="0"/>
      <w:divBdr>
        <w:top w:val="none" w:sz="0" w:space="0" w:color="auto"/>
        <w:left w:val="none" w:sz="0" w:space="0" w:color="auto"/>
        <w:bottom w:val="none" w:sz="0" w:space="0" w:color="auto"/>
        <w:right w:val="none" w:sz="0" w:space="0" w:color="auto"/>
      </w:divBdr>
    </w:div>
    <w:div w:id="1704480697">
      <w:bodyDiv w:val="1"/>
      <w:marLeft w:val="0"/>
      <w:marRight w:val="0"/>
      <w:marTop w:val="0"/>
      <w:marBottom w:val="0"/>
      <w:divBdr>
        <w:top w:val="none" w:sz="0" w:space="0" w:color="auto"/>
        <w:left w:val="none" w:sz="0" w:space="0" w:color="auto"/>
        <w:bottom w:val="none" w:sz="0" w:space="0" w:color="auto"/>
        <w:right w:val="none" w:sz="0" w:space="0" w:color="auto"/>
      </w:divBdr>
    </w:div>
    <w:div w:id="1717464353">
      <w:bodyDiv w:val="1"/>
      <w:marLeft w:val="0"/>
      <w:marRight w:val="0"/>
      <w:marTop w:val="0"/>
      <w:marBottom w:val="0"/>
      <w:divBdr>
        <w:top w:val="none" w:sz="0" w:space="0" w:color="auto"/>
        <w:left w:val="none" w:sz="0" w:space="0" w:color="auto"/>
        <w:bottom w:val="none" w:sz="0" w:space="0" w:color="auto"/>
        <w:right w:val="none" w:sz="0" w:space="0" w:color="auto"/>
      </w:divBdr>
    </w:div>
    <w:div w:id="1787197211">
      <w:bodyDiv w:val="1"/>
      <w:marLeft w:val="0"/>
      <w:marRight w:val="0"/>
      <w:marTop w:val="0"/>
      <w:marBottom w:val="0"/>
      <w:divBdr>
        <w:top w:val="none" w:sz="0" w:space="0" w:color="auto"/>
        <w:left w:val="none" w:sz="0" w:space="0" w:color="auto"/>
        <w:bottom w:val="none" w:sz="0" w:space="0" w:color="auto"/>
        <w:right w:val="none" w:sz="0" w:space="0" w:color="auto"/>
      </w:divBdr>
    </w:div>
    <w:div w:id="1823034460">
      <w:bodyDiv w:val="1"/>
      <w:marLeft w:val="0"/>
      <w:marRight w:val="0"/>
      <w:marTop w:val="0"/>
      <w:marBottom w:val="0"/>
      <w:divBdr>
        <w:top w:val="none" w:sz="0" w:space="0" w:color="auto"/>
        <w:left w:val="none" w:sz="0" w:space="0" w:color="auto"/>
        <w:bottom w:val="none" w:sz="0" w:space="0" w:color="auto"/>
        <w:right w:val="none" w:sz="0" w:space="0" w:color="auto"/>
      </w:divBdr>
    </w:div>
    <w:div w:id="1881739686">
      <w:bodyDiv w:val="1"/>
      <w:marLeft w:val="0"/>
      <w:marRight w:val="0"/>
      <w:marTop w:val="0"/>
      <w:marBottom w:val="0"/>
      <w:divBdr>
        <w:top w:val="none" w:sz="0" w:space="0" w:color="auto"/>
        <w:left w:val="none" w:sz="0" w:space="0" w:color="auto"/>
        <w:bottom w:val="none" w:sz="0" w:space="0" w:color="auto"/>
        <w:right w:val="none" w:sz="0" w:space="0" w:color="auto"/>
      </w:divBdr>
    </w:div>
    <w:div w:id="1901134036">
      <w:bodyDiv w:val="1"/>
      <w:marLeft w:val="0"/>
      <w:marRight w:val="0"/>
      <w:marTop w:val="0"/>
      <w:marBottom w:val="0"/>
      <w:divBdr>
        <w:top w:val="none" w:sz="0" w:space="0" w:color="auto"/>
        <w:left w:val="none" w:sz="0" w:space="0" w:color="auto"/>
        <w:bottom w:val="none" w:sz="0" w:space="0" w:color="auto"/>
        <w:right w:val="none" w:sz="0" w:space="0" w:color="auto"/>
      </w:divBdr>
    </w:div>
    <w:div w:id="1953121625">
      <w:bodyDiv w:val="1"/>
      <w:marLeft w:val="0"/>
      <w:marRight w:val="0"/>
      <w:marTop w:val="0"/>
      <w:marBottom w:val="0"/>
      <w:divBdr>
        <w:top w:val="none" w:sz="0" w:space="0" w:color="auto"/>
        <w:left w:val="none" w:sz="0" w:space="0" w:color="auto"/>
        <w:bottom w:val="none" w:sz="0" w:space="0" w:color="auto"/>
        <w:right w:val="none" w:sz="0" w:space="0" w:color="auto"/>
      </w:divBdr>
    </w:div>
    <w:div w:id="1970698239">
      <w:bodyDiv w:val="1"/>
      <w:marLeft w:val="0"/>
      <w:marRight w:val="0"/>
      <w:marTop w:val="0"/>
      <w:marBottom w:val="0"/>
      <w:divBdr>
        <w:top w:val="none" w:sz="0" w:space="0" w:color="auto"/>
        <w:left w:val="none" w:sz="0" w:space="0" w:color="auto"/>
        <w:bottom w:val="none" w:sz="0" w:space="0" w:color="auto"/>
        <w:right w:val="none" w:sz="0" w:space="0" w:color="auto"/>
      </w:divBdr>
    </w:div>
    <w:div w:id="20674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Sam Walker (Treasury)</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1" ma:contentTypeDescription="Create a new document." ma:contentTypeScope="" ma:versionID="09dc3bd8f1f17fedb8a1949fc26bace1">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b368971463d79661f3ec0885fa2b6f01"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A7DF-DC8D-4ADD-90B3-8FD70EAD7BF2}">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E16CD6C8-C5B5-4ECF-9796-D518D4C302D1}">
  <ds:schemaRefs>
    <ds:schemaRef ds:uri="http://schemas.microsoft.com/sharepoint/v3/contenttype/forms"/>
  </ds:schemaRefs>
</ds:datastoreItem>
</file>

<file path=customXml/itemProps3.xml><?xml version="1.0" encoding="utf-8"?>
<ds:datastoreItem xmlns:ds="http://schemas.openxmlformats.org/officeDocument/2006/customXml" ds:itemID="{0216732D-3B5E-44D8-BBF7-50377EE0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B6973-B19A-4D7C-8242-548DAC6E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17</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2019-20 Budget Paper No. 1 - Budget Statement - Revenue</vt:lpstr>
    </vt:vector>
  </TitlesOfParts>
  <Company>ServiceFirst</Company>
  <LinksUpToDate>false</LinksUpToDate>
  <CharactersWithSpaces>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Paper No. 1 - Budget Statement - Chapter 4 - Revenue</dc:title>
  <dc:subject/>
  <dc:creator>The Treasury</dc:creator>
  <cp:keywords/>
  <dc:description/>
  <cp:lastModifiedBy>Eliza Souter</cp:lastModifiedBy>
  <cp:revision>2772</cp:revision>
  <cp:lastPrinted>2019-06-15T03:38:00Z</cp:lastPrinted>
  <dcterms:created xsi:type="dcterms:W3CDTF">2018-06-13T12:30:00Z</dcterms:created>
  <dcterms:modified xsi:type="dcterms:W3CDTF">2019-06-16T02:05:00Z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A3579467</vt:lpwstr>
  </property>
  <property fmtid="{D5CDD505-2E9C-101B-9397-08002B2CF9AE}" pid="4" name="Objective-Title">
    <vt:lpwstr>Attach A 2017-18 Budget structure</vt:lpwstr>
  </property>
  <property fmtid="{D5CDD505-2E9C-101B-9397-08002B2CF9AE}" pid="5" name="Objective-Comment">
    <vt:lpwstr/>
  </property>
  <property fmtid="{D5CDD505-2E9C-101B-9397-08002B2CF9AE}" pid="6" name="Objective-CreationStamp">
    <vt:filetime>2017-03-27T03:59:36Z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lpwstr/>
  </property>
  <property fmtid="{D5CDD505-2E9C-101B-9397-08002B2CF9AE}" pid="10" name="Objective-ModificationStamp">
    <vt:filetime>2017-03-27T04:25:52Z</vt:filetime>
  </property>
  <property fmtid="{D5CDD505-2E9C-101B-9397-08002B2CF9AE}" pid="11" name="Objective-Owner">
    <vt:lpwstr>Nathan Pringle</vt:lpwstr>
  </property>
  <property fmtid="{D5CDD505-2E9C-101B-9397-08002B2CF9AE}" pid="12" name="Objective-Path">
    <vt:lpwstr>Objective Global Folder:1. Treasury:1. Information Management Structure (TR):CORPORATE GROUP:Executive &amp; Ministerial Services (EMS):Advice &amp; Representations:Briefings &amp; Submissions (Workflow Case Files):Internally Initiated Briefs - Fiscal &amp; Economic Grou</vt:lpwstr>
  </property>
  <property fmtid="{D5CDD505-2E9C-101B-9397-08002B2CF9AE}" pid="13" name="Objective-Parent">
    <vt:lpwstr>2017-18 Budget Structure - P17/1484</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AuthorIds_UIVersion_1024">
    <vt:lpwstr>6</vt:lpwstr>
  </property>
</Properties>
</file>