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24AB5" w14:textId="7A4C65BA" w:rsidR="00C36541" w:rsidRPr="00660EF9" w:rsidRDefault="00170684" w:rsidP="001344DD">
      <w:pPr>
        <w:pStyle w:val="Heading1"/>
        <w:keepNext w:val="0"/>
        <w:spacing w:before="480" w:after="480"/>
        <w:ind w:left="709" w:hanging="709"/>
      </w:pPr>
      <w:r>
        <w:t>6</w:t>
      </w:r>
      <w:r w:rsidR="00C36541" w:rsidRPr="00660EF9">
        <w:t>.</w:t>
      </w:r>
      <w:r w:rsidR="00C36541" w:rsidRPr="00660EF9">
        <w:tab/>
        <w:t>Managing the State’s Assets and Liabilities</w:t>
      </w:r>
    </w:p>
    <w:p w14:paraId="36732B2C" w14:textId="54E4866B" w:rsidR="00D83A15" w:rsidRDefault="00D83A15" w:rsidP="00D83A1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pct5" w:color="auto" w:fill="auto"/>
        <w:tblLook w:val="04A0" w:firstRow="1" w:lastRow="0" w:firstColumn="1" w:lastColumn="0" w:noHBand="0" w:noVBand="1"/>
      </w:tblPr>
      <w:tblGrid>
        <w:gridCol w:w="9854"/>
      </w:tblGrid>
      <w:tr w:rsidR="000D1820" w14:paraId="2870DE95" w14:textId="77777777" w:rsidTr="008A1982">
        <w:trPr>
          <w:trHeight w:val="6251"/>
        </w:trPr>
        <w:tc>
          <w:tcPr>
            <w:tcW w:w="9854" w:type="dxa"/>
            <w:shd w:val="pct5" w:color="auto" w:fill="auto"/>
          </w:tcPr>
          <w:p w14:paraId="75874061" w14:textId="4E524B7B" w:rsidR="000D1820" w:rsidRDefault="000D1820" w:rsidP="00EA3F77">
            <w:pPr>
              <w:pStyle w:val="Bullet1inabox"/>
            </w:pPr>
            <w:r>
              <w:t>The State’s balance sheet remains strong</w:t>
            </w:r>
            <w:r w:rsidR="002A615A">
              <w:t>,</w:t>
            </w:r>
            <w:r>
              <w:t xml:space="preserve"> with</w:t>
            </w:r>
            <w:r w:rsidR="00F46D57">
              <w:t xml:space="preserve"> </w:t>
            </w:r>
            <w:r>
              <w:t>n</w:t>
            </w:r>
            <w:r w:rsidRPr="007259AD">
              <w:t xml:space="preserve">et debt </w:t>
            </w:r>
            <w:r>
              <w:t>projected</w:t>
            </w:r>
            <w:r w:rsidRPr="007259AD">
              <w:t xml:space="preserve"> to be negative</w:t>
            </w:r>
            <w:r>
              <w:t xml:space="preserve"> for the fourth consecutive year</w:t>
            </w:r>
            <w:r w:rsidR="00FF21FA">
              <w:t xml:space="preserve"> (</w:t>
            </w:r>
            <w:r w:rsidRPr="007259AD">
              <w:t xml:space="preserve">negative </w:t>
            </w:r>
            <w:r w:rsidRPr="006764A7">
              <w:t>$</w:t>
            </w:r>
            <w:r w:rsidR="00794B6A" w:rsidRPr="006764A7">
              <w:t>8</w:t>
            </w:r>
            <w:r w:rsidR="00794B6A" w:rsidRPr="00EA3F77">
              <w:t>.8</w:t>
            </w:r>
            <w:r w:rsidRPr="007259AD">
              <w:t xml:space="preserve"> </w:t>
            </w:r>
            <w:r>
              <w:t>billion</w:t>
            </w:r>
            <w:r w:rsidR="008310FC">
              <w:t xml:space="preserve"> as</w:t>
            </w:r>
            <w:r>
              <w:t xml:space="preserve"> </w:t>
            </w:r>
            <w:r w:rsidRPr="007259AD">
              <w:t>at June 201</w:t>
            </w:r>
            <w:r>
              <w:t>9</w:t>
            </w:r>
            <w:r w:rsidR="00FF21FA">
              <w:t xml:space="preserve">). This is </w:t>
            </w:r>
            <w:r w:rsidR="00FD22AF">
              <w:t xml:space="preserve">the </w:t>
            </w:r>
            <w:r>
              <w:t xml:space="preserve">lowest of all </w:t>
            </w:r>
            <w:r w:rsidR="00FF21FA">
              <w:t>S</w:t>
            </w:r>
            <w:r w:rsidRPr="007259AD">
              <w:t>tates</w:t>
            </w:r>
            <w:r>
              <w:t xml:space="preserve"> and </w:t>
            </w:r>
            <w:r w:rsidR="00FF21FA">
              <w:t>T</w:t>
            </w:r>
            <w:r w:rsidRPr="000D1820">
              <w:t>erritories</w:t>
            </w:r>
            <w:r>
              <w:t xml:space="preserve"> across Australia</w:t>
            </w:r>
            <w:r w:rsidRPr="002B173A">
              <w:t>.</w:t>
            </w:r>
          </w:p>
          <w:p w14:paraId="60D24F24" w14:textId="793A64AB" w:rsidR="00825015" w:rsidRDefault="00825015" w:rsidP="00EA3F77">
            <w:pPr>
              <w:pStyle w:val="Bullet1inabox"/>
            </w:pPr>
            <w:r w:rsidRPr="006B04AA">
              <w:t>New South Wales</w:t>
            </w:r>
            <w:r>
              <w:t>’</w:t>
            </w:r>
            <w:r w:rsidRPr="006B04AA">
              <w:t xml:space="preserve"> </w:t>
            </w:r>
            <w:r>
              <w:t>net worth surpassed</w:t>
            </w:r>
            <w:r w:rsidRPr="006B04AA">
              <w:t xml:space="preserve"> a quarter of a trillion dollars</w:t>
            </w:r>
            <w:r>
              <w:t xml:space="preserve"> in June 2018 and is</w:t>
            </w:r>
            <w:r w:rsidRPr="006B04AA">
              <w:t xml:space="preserve"> expected to </w:t>
            </w:r>
            <w:r w:rsidRPr="006A5A3E">
              <w:t>reach $</w:t>
            </w:r>
            <w:r w:rsidR="006A5A3E" w:rsidRPr="006A5A3E">
              <w:t>311</w:t>
            </w:r>
            <w:r w:rsidR="005B1739" w:rsidRPr="006A5A3E">
              <w:t>.</w:t>
            </w:r>
            <w:r w:rsidR="006A5A3E" w:rsidRPr="00442735">
              <w:t>0</w:t>
            </w:r>
            <w:r w:rsidRPr="006A5A3E">
              <w:t> billion</w:t>
            </w:r>
            <w:r w:rsidRPr="001C1FC1">
              <w:t xml:space="preserve"> by June 202</w:t>
            </w:r>
            <w:r>
              <w:t>3</w:t>
            </w:r>
            <w:r w:rsidR="00AF7FA1">
              <w:t xml:space="preserve"> – the largest </w:t>
            </w:r>
            <w:r w:rsidR="00236BA6">
              <w:t>among</w:t>
            </w:r>
            <w:r w:rsidR="00AF7FA1">
              <w:t xml:space="preserve"> all States and Territories by a </w:t>
            </w:r>
            <w:r w:rsidR="00236BA6">
              <w:t>significant</w:t>
            </w:r>
            <w:r w:rsidR="00AF7FA1">
              <w:t xml:space="preserve"> margin</w:t>
            </w:r>
            <w:r w:rsidR="00164B92">
              <w:t>.</w:t>
            </w:r>
            <w:r>
              <w:t xml:space="preserve"> </w:t>
            </w:r>
          </w:p>
          <w:p w14:paraId="60BDC458" w14:textId="5034ED21" w:rsidR="000D1820" w:rsidRPr="006B04AA" w:rsidRDefault="000D1820" w:rsidP="00EA3F77">
            <w:pPr>
              <w:pStyle w:val="Bullet1inabox"/>
            </w:pPr>
            <w:r>
              <w:t>N</w:t>
            </w:r>
            <w:r w:rsidR="00047FEA">
              <w:t xml:space="preserve">ew </w:t>
            </w:r>
            <w:r>
              <w:t>S</w:t>
            </w:r>
            <w:r w:rsidR="00047FEA">
              <w:t xml:space="preserve">outh </w:t>
            </w:r>
            <w:r>
              <w:t>W</w:t>
            </w:r>
            <w:r w:rsidR="00047FEA">
              <w:t>ales</w:t>
            </w:r>
            <w:r>
              <w:t xml:space="preserve"> is the only Australian state with a dedicated debt retirement fund, the NSW Generations Fund, which </w:t>
            </w:r>
            <w:r w:rsidR="00825015">
              <w:t xml:space="preserve">has </w:t>
            </w:r>
            <w:r>
              <w:t xml:space="preserve">delivered </w:t>
            </w:r>
            <w:r w:rsidRPr="00BC417B">
              <w:t xml:space="preserve">returns of </w:t>
            </w:r>
            <w:r w:rsidRPr="00EA3F77">
              <w:t>8.5</w:t>
            </w:r>
            <w:r w:rsidRPr="00BC417B">
              <w:t xml:space="preserve"> per</w:t>
            </w:r>
            <w:r>
              <w:t xml:space="preserve"> cent since </w:t>
            </w:r>
            <w:r w:rsidR="00EA3F77">
              <w:t xml:space="preserve">its </w:t>
            </w:r>
            <w:r>
              <w:t>inception</w:t>
            </w:r>
            <w:r w:rsidR="00D4120F">
              <w:t xml:space="preserve"> </w:t>
            </w:r>
            <w:r w:rsidR="00EA3F77">
              <w:t>in</w:t>
            </w:r>
            <w:r w:rsidR="00046720">
              <w:t xml:space="preserve"> </w:t>
            </w:r>
            <w:r w:rsidR="00BF6146">
              <w:t>November</w:t>
            </w:r>
            <w:r w:rsidR="00046720">
              <w:t xml:space="preserve"> 2018 </w:t>
            </w:r>
            <w:r w:rsidR="00D4120F">
              <w:t>with</w:t>
            </w:r>
            <w:r>
              <w:t xml:space="preserve"> a balance </w:t>
            </w:r>
            <w:r w:rsidRPr="00BC417B">
              <w:t>of $</w:t>
            </w:r>
            <w:r w:rsidRPr="00EA3F77">
              <w:t>10.8</w:t>
            </w:r>
            <w:r w:rsidR="0031340F" w:rsidRPr="00EA3F77">
              <w:t> </w:t>
            </w:r>
            <w:r w:rsidRPr="00BC417B">
              <w:t>billion</w:t>
            </w:r>
            <w:r>
              <w:t xml:space="preserve"> at April 2019.</w:t>
            </w:r>
          </w:p>
          <w:p w14:paraId="6B224E97" w14:textId="12AE0CF5" w:rsidR="000D1820" w:rsidRDefault="00825015" w:rsidP="00EA3F77">
            <w:pPr>
              <w:pStyle w:val="Bullet1inabox"/>
            </w:pPr>
            <w:r>
              <w:t>The Government also has $18.</w:t>
            </w:r>
            <w:r w:rsidR="00CE0B49">
              <w:t>1</w:t>
            </w:r>
            <w:r>
              <w:t xml:space="preserve"> billion invested in the New South Wales Infrastructure Future Fund</w:t>
            </w:r>
            <w:r w:rsidR="00C702E7">
              <w:t xml:space="preserve">, which </w:t>
            </w:r>
            <w:r w:rsidR="006E7C04">
              <w:t xml:space="preserve">enables the </w:t>
            </w:r>
            <w:r w:rsidR="00311EE4">
              <w:t>G</w:t>
            </w:r>
            <w:r w:rsidR="006E7C04">
              <w:t xml:space="preserve">overnment to get more </w:t>
            </w:r>
            <w:r w:rsidR="00311EE4">
              <w:t>from</w:t>
            </w:r>
            <w:r w:rsidR="006E7C04">
              <w:t xml:space="preserve"> its asset recycling proceeds by investing them until they are required. </w:t>
            </w:r>
            <w:r>
              <w:t xml:space="preserve">The </w:t>
            </w:r>
            <w:r w:rsidR="009D1A94">
              <w:t xml:space="preserve">Fund </w:t>
            </w:r>
            <w:r>
              <w:t xml:space="preserve">has delivered </w:t>
            </w:r>
            <w:r w:rsidR="000D1820" w:rsidRPr="00BC417B">
              <w:t xml:space="preserve">returns of </w:t>
            </w:r>
            <w:r w:rsidR="000D1820" w:rsidRPr="00EA3F77">
              <w:t>4.6</w:t>
            </w:r>
            <w:r w:rsidR="00D34CDA">
              <w:t> </w:t>
            </w:r>
            <w:r w:rsidR="000D1820" w:rsidRPr="00BC417B">
              <w:t xml:space="preserve">per cent for </w:t>
            </w:r>
            <w:r w:rsidR="00AF7FA1" w:rsidRPr="00BC417B">
              <w:t xml:space="preserve">the </w:t>
            </w:r>
            <w:r w:rsidR="000D1820" w:rsidRPr="00BC417B">
              <w:t xml:space="preserve">10 months to April 2019. The Government made </w:t>
            </w:r>
            <w:r w:rsidRPr="00BC417B">
              <w:t>its</w:t>
            </w:r>
            <w:r w:rsidR="000D1820" w:rsidRPr="00BC417B">
              <w:t xml:space="preserve"> first drawdown of </w:t>
            </w:r>
            <w:r w:rsidR="000D1820" w:rsidRPr="00794B6A">
              <w:t>$</w:t>
            </w:r>
            <w:r w:rsidR="000D1820" w:rsidRPr="00EA3F77">
              <w:t>2.3</w:t>
            </w:r>
            <w:r w:rsidR="00D34CDA">
              <w:t> </w:t>
            </w:r>
            <w:r w:rsidR="000D1820" w:rsidRPr="00BC417B">
              <w:t>billion in</w:t>
            </w:r>
            <w:r w:rsidR="000D1820">
              <w:t xml:space="preserve"> 2018-19 to fund Restart NSW infrastructure projects.</w:t>
            </w:r>
          </w:p>
          <w:p w14:paraId="1E2DE2E8" w14:textId="3A33CC53" w:rsidR="000D1820" w:rsidRDefault="002A3AA2" w:rsidP="00EA3F77">
            <w:pPr>
              <w:pStyle w:val="Bullet1inabox"/>
            </w:pPr>
            <w:r>
              <w:t>As the Government continues its record infrastructure program, n</w:t>
            </w:r>
            <w:r w:rsidR="000D1820" w:rsidRPr="007259AD">
              <w:t>on</w:t>
            </w:r>
            <w:r w:rsidR="000D1820" w:rsidRPr="007259AD">
              <w:noBreakHyphen/>
              <w:t xml:space="preserve">financial assets are projected to </w:t>
            </w:r>
            <w:r w:rsidR="000D1820" w:rsidRPr="006764A7">
              <w:t>grow to $</w:t>
            </w:r>
            <w:r w:rsidR="00160D97">
              <w:t>289.5</w:t>
            </w:r>
            <w:r w:rsidR="000D1820" w:rsidRPr="006764A7">
              <w:t xml:space="preserve"> billion</w:t>
            </w:r>
            <w:r w:rsidR="000D1820" w:rsidRPr="007259AD">
              <w:t xml:space="preserve"> </w:t>
            </w:r>
            <w:r w:rsidR="000D1820">
              <w:t>by June 2023</w:t>
            </w:r>
            <w:r w:rsidR="00922FDB">
              <w:t xml:space="preserve">. This has been </w:t>
            </w:r>
            <w:r w:rsidR="00825015">
              <w:t xml:space="preserve">funded </w:t>
            </w:r>
            <w:r w:rsidR="00366334">
              <w:t>through</w:t>
            </w:r>
            <w:r w:rsidR="00825015">
              <w:t xml:space="preserve"> </w:t>
            </w:r>
            <w:r w:rsidR="00922FDB">
              <w:t xml:space="preserve">a mix of </w:t>
            </w:r>
            <w:r w:rsidR="00825015">
              <w:t>budget surpluses,</w:t>
            </w:r>
            <w:r w:rsidR="000D1820" w:rsidRPr="007259AD">
              <w:t xml:space="preserve"> </w:t>
            </w:r>
            <w:r w:rsidR="00922FDB">
              <w:t>asset recycling proceeds</w:t>
            </w:r>
            <w:r w:rsidR="000D1820" w:rsidRPr="007259AD">
              <w:t xml:space="preserve"> and m</w:t>
            </w:r>
            <w:r w:rsidR="00922FDB">
              <w:t xml:space="preserve">anageable </w:t>
            </w:r>
            <w:r w:rsidR="000D1820">
              <w:t xml:space="preserve">levels of </w:t>
            </w:r>
            <w:r w:rsidR="000D1820" w:rsidRPr="007259AD">
              <w:t>borrowing.</w:t>
            </w:r>
          </w:p>
          <w:p w14:paraId="4A72F1AC" w14:textId="649061E8" w:rsidR="000D1820" w:rsidRDefault="000D1820" w:rsidP="00EA3F77">
            <w:pPr>
              <w:pStyle w:val="Bullet1inabox"/>
            </w:pPr>
            <w:r>
              <w:t xml:space="preserve">This </w:t>
            </w:r>
            <w:r w:rsidRPr="006B04AA">
              <w:t>Budget</w:t>
            </w:r>
            <w:r>
              <w:t xml:space="preserve"> builds on the </w:t>
            </w:r>
            <w:r w:rsidRPr="006B04AA">
              <w:t xml:space="preserve">Government’s </w:t>
            </w:r>
            <w:r>
              <w:t xml:space="preserve">balance sheet </w:t>
            </w:r>
            <w:r w:rsidRPr="006B04AA">
              <w:t>reform</w:t>
            </w:r>
            <w:r>
              <w:t xml:space="preserve"> agenda </w:t>
            </w:r>
            <w:r w:rsidR="008E3445">
              <w:t xml:space="preserve">to </w:t>
            </w:r>
            <w:r>
              <w:t xml:space="preserve">continue </w:t>
            </w:r>
            <w:r w:rsidRPr="006B04AA">
              <w:t>support</w:t>
            </w:r>
            <w:r>
              <w:t>ing</w:t>
            </w:r>
            <w:r w:rsidRPr="006B04AA">
              <w:t xml:space="preserve"> the State’s triple-A credit rating</w:t>
            </w:r>
            <w:r>
              <w:t xml:space="preserve"> and further optimise the use</w:t>
            </w:r>
            <w:r w:rsidR="006B34CF">
              <w:t xml:space="preserve"> and mix</w:t>
            </w:r>
            <w:r>
              <w:t xml:space="preserve"> of State assets and liabilities</w:t>
            </w:r>
            <w:r w:rsidRPr="006B04AA">
              <w:t>.</w:t>
            </w:r>
          </w:p>
        </w:tc>
      </w:tr>
    </w:tbl>
    <w:p w14:paraId="5E05A970" w14:textId="77777777" w:rsidR="000D1820" w:rsidRDefault="000D1820" w:rsidP="00D83A15"/>
    <w:p w14:paraId="7B4C055B" w14:textId="77777777" w:rsidR="00C36541" w:rsidRPr="00E9516C" w:rsidRDefault="00834C49" w:rsidP="00852446">
      <w:pPr>
        <w:pStyle w:val="Heading2"/>
      </w:pPr>
      <w:r>
        <w:t>Reforming the State’s balance sheet</w:t>
      </w:r>
    </w:p>
    <w:p w14:paraId="303F7327" w14:textId="6515D578" w:rsidR="00946ABE" w:rsidRDefault="003C7255" w:rsidP="00F42F0C">
      <w:pPr>
        <w:pStyle w:val="BodyText"/>
      </w:pPr>
      <w:r>
        <w:t>The Government is continuing its strategy of balance sheet reform, f</w:t>
      </w:r>
      <w:r w:rsidR="00343D5F">
        <w:t>ollowing the success</w:t>
      </w:r>
      <w:r>
        <w:t>ful creation</w:t>
      </w:r>
      <w:r w:rsidR="00343D5F">
        <w:t xml:space="preserve"> of</w:t>
      </w:r>
      <w:r w:rsidR="00767307">
        <w:t xml:space="preserve"> specific </w:t>
      </w:r>
      <w:r w:rsidR="00C85491">
        <w:t xml:space="preserve">purpose </w:t>
      </w:r>
      <w:r w:rsidR="00767307">
        <w:t xml:space="preserve">funds such as </w:t>
      </w:r>
      <w:r w:rsidR="00343D5F">
        <w:t xml:space="preserve">the </w:t>
      </w:r>
      <w:r w:rsidR="009D1A94">
        <w:t>NSW Generations Fund (</w:t>
      </w:r>
      <w:r>
        <w:t>NGF</w:t>
      </w:r>
      <w:r w:rsidR="009D1A94">
        <w:t>)</w:t>
      </w:r>
      <w:r w:rsidR="00343D5F">
        <w:t xml:space="preserve">, </w:t>
      </w:r>
      <w:r w:rsidR="00EE252C">
        <w:t xml:space="preserve">the </w:t>
      </w:r>
      <w:r w:rsidR="009D1A94">
        <w:t>NSW Infrastructure Future Fund (</w:t>
      </w:r>
      <w:r>
        <w:t>NIFF</w:t>
      </w:r>
      <w:r w:rsidR="009D1A94">
        <w:t>)</w:t>
      </w:r>
      <w:r w:rsidR="00EE252C">
        <w:t xml:space="preserve"> </w:t>
      </w:r>
      <w:r w:rsidR="00343D5F">
        <w:t xml:space="preserve">and </w:t>
      </w:r>
      <w:r w:rsidR="00EE252C">
        <w:t xml:space="preserve">the </w:t>
      </w:r>
      <w:r w:rsidR="00343D5F">
        <w:t>Social Affordable Housing Fund</w:t>
      </w:r>
      <w:r>
        <w:t xml:space="preserve"> (SAHF). </w:t>
      </w:r>
      <w:r w:rsidR="007D22F2">
        <w:t>These reforms of the State’s financial assets are</w:t>
      </w:r>
      <w:r w:rsidR="003A0D4B">
        <w:t xml:space="preserve"> complemented by </w:t>
      </w:r>
      <w:r w:rsidR="0013375C">
        <w:t xml:space="preserve">further improvements in the </w:t>
      </w:r>
      <w:r w:rsidR="00F36EEA">
        <w:t>manage</w:t>
      </w:r>
      <w:r w:rsidR="0013375C">
        <w:t>ment of</w:t>
      </w:r>
      <w:r w:rsidR="00F36EEA">
        <w:t xml:space="preserve"> the State’s borrowings</w:t>
      </w:r>
      <w:r w:rsidR="00737525">
        <w:t>,</w:t>
      </w:r>
      <w:r w:rsidR="00F36EEA">
        <w:t xml:space="preserve"> </w:t>
      </w:r>
      <w:r w:rsidR="00015CAB">
        <w:t>cash balances</w:t>
      </w:r>
      <w:r w:rsidR="00737525">
        <w:t xml:space="preserve"> and associated financial risks</w:t>
      </w:r>
      <w:r w:rsidR="00015CAB">
        <w:t xml:space="preserve">. </w:t>
      </w:r>
      <w:r w:rsidR="003A21CB">
        <w:t>The Government’s reform agenda aims to</w:t>
      </w:r>
      <w:r>
        <w:t xml:space="preserve"> increase </w:t>
      </w:r>
      <w:r w:rsidR="00060865">
        <w:t xml:space="preserve">balance sheet </w:t>
      </w:r>
      <w:r w:rsidR="00060865" w:rsidRPr="00280821">
        <w:t>resilience</w:t>
      </w:r>
      <w:r w:rsidR="003A0BD7">
        <w:t>,</w:t>
      </w:r>
      <w:r w:rsidR="00060865">
        <w:t xml:space="preserve"> </w:t>
      </w:r>
      <w:r w:rsidR="00135AE0">
        <w:t xml:space="preserve">further improve </w:t>
      </w:r>
      <w:r w:rsidR="00060865">
        <w:t>financial risk</w:t>
      </w:r>
      <w:r w:rsidR="00091278">
        <w:t xml:space="preserve"> management</w:t>
      </w:r>
      <w:r w:rsidR="00ED1DEE">
        <w:t xml:space="preserve"> and</w:t>
      </w:r>
      <w:r w:rsidR="00135AE0">
        <w:t xml:space="preserve"> ensure New South Wales remains well positioned into the future.</w:t>
      </w:r>
      <w:r w:rsidR="005159E9">
        <w:t xml:space="preserve"> </w:t>
      </w:r>
      <w:r w:rsidR="008D706B">
        <w:t>Key balance sheet reforms</w:t>
      </w:r>
      <w:r w:rsidR="000F1407">
        <w:t xml:space="preserve"> include</w:t>
      </w:r>
      <w:r w:rsidR="00453B8D">
        <w:t xml:space="preserve">: </w:t>
      </w:r>
    </w:p>
    <w:p w14:paraId="7DCA1729" w14:textId="79E32556" w:rsidR="00C10B2C" w:rsidRPr="00DA5C1B" w:rsidRDefault="000F1407" w:rsidP="00F42F0C">
      <w:pPr>
        <w:pStyle w:val="Bullet1"/>
      </w:pPr>
      <w:r>
        <w:t xml:space="preserve">diversification of </w:t>
      </w:r>
      <w:r w:rsidR="000B52D5">
        <w:t>funding sources</w:t>
      </w:r>
      <w:r w:rsidR="007A1FEC">
        <w:t>. T</w:t>
      </w:r>
      <w:r w:rsidR="000B52D5">
        <w:t xml:space="preserve">he Government </w:t>
      </w:r>
      <w:r w:rsidR="007A1FEC">
        <w:t xml:space="preserve">issued its </w:t>
      </w:r>
      <w:r w:rsidR="007E4964">
        <w:t>first</w:t>
      </w:r>
      <w:r w:rsidR="00C10B2C">
        <w:t xml:space="preserve"> green bond </w:t>
      </w:r>
      <w:r w:rsidR="00C10B2C" w:rsidRPr="00F46D57">
        <w:t>in November</w:t>
      </w:r>
      <w:r w:rsidR="00386230">
        <w:t> </w:t>
      </w:r>
      <w:r w:rsidR="00C10B2C" w:rsidRPr="00F46D57">
        <w:t>2018 rais</w:t>
      </w:r>
      <w:r w:rsidR="005D3028">
        <w:t>ing</w:t>
      </w:r>
      <w:r w:rsidR="00C10B2C">
        <w:t xml:space="preserve"> $1.8 billion in funding. This </w:t>
      </w:r>
      <w:r w:rsidR="007E580A">
        <w:t xml:space="preserve">was the largest green bond issuance in Australia, providing </w:t>
      </w:r>
      <w:r w:rsidR="00E50E70">
        <w:t xml:space="preserve">funding towards </w:t>
      </w:r>
      <w:r w:rsidR="00C10B2C">
        <w:t xml:space="preserve">projects such as Sydney Water’s </w:t>
      </w:r>
      <w:r w:rsidR="00C10B2C" w:rsidRPr="00BC4BB1">
        <w:t>Lower South Creek Treatment Program</w:t>
      </w:r>
    </w:p>
    <w:p w14:paraId="34E548C4" w14:textId="09340BD5" w:rsidR="00D07AAC" w:rsidRDefault="005E3616" w:rsidP="00F42F0C">
      <w:pPr>
        <w:pStyle w:val="Bullet1"/>
      </w:pPr>
      <w:r>
        <w:t>i</w:t>
      </w:r>
      <w:r w:rsidR="00ED1DEE">
        <w:t>mplementing</w:t>
      </w:r>
      <w:r w:rsidR="00433C2A">
        <w:t xml:space="preserve"> a new </w:t>
      </w:r>
      <w:r w:rsidR="00F75E01">
        <w:t>whole</w:t>
      </w:r>
      <w:r w:rsidR="00ED1DEE">
        <w:t>-</w:t>
      </w:r>
      <w:r w:rsidR="00F75E01">
        <w:t>o</w:t>
      </w:r>
      <w:r w:rsidR="00BD1111">
        <w:t>f</w:t>
      </w:r>
      <w:r w:rsidR="00ED1DEE">
        <w:t>-</w:t>
      </w:r>
      <w:r w:rsidR="00F75E01">
        <w:t xml:space="preserve">government </w:t>
      </w:r>
      <w:r w:rsidR="006A22AB">
        <w:t>cash management policy</w:t>
      </w:r>
      <w:r w:rsidR="00D07AAC" w:rsidRPr="00C53088">
        <w:t>,</w:t>
      </w:r>
      <w:r w:rsidR="00F75E01">
        <w:t xml:space="preserve"> </w:t>
      </w:r>
      <w:r w:rsidR="00037197">
        <w:t xml:space="preserve">which </w:t>
      </w:r>
      <w:r w:rsidR="00F75E01">
        <w:t>compl</w:t>
      </w:r>
      <w:r w:rsidR="002630DF">
        <w:t>e</w:t>
      </w:r>
      <w:r w:rsidR="00F75E01">
        <w:t>ment</w:t>
      </w:r>
      <w:r w:rsidR="00037197">
        <w:t>s</w:t>
      </w:r>
      <w:r w:rsidR="00D07AAC" w:rsidRPr="00C53088">
        <w:t xml:space="preserve"> </w:t>
      </w:r>
      <w:r w:rsidR="00F75E01">
        <w:t>the</w:t>
      </w:r>
      <w:r w:rsidR="00662C79" w:rsidRPr="00C53088">
        <w:t xml:space="preserve"> </w:t>
      </w:r>
      <w:r w:rsidR="000A2F7D">
        <w:t>whole</w:t>
      </w:r>
      <w:r w:rsidR="00EC5FDD">
        <w:t>-</w:t>
      </w:r>
      <w:r w:rsidR="00ED1DEE">
        <w:t>o</w:t>
      </w:r>
      <w:r w:rsidR="000A2F7D">
        <w:t>f</w:t>
      </w:r>
      <w:r w:rsidR="00EC5FDD">
        <w:t>-</w:t>
      </w:r>
      <w:r w:rsidR="004F469B">
        <w:t>g</w:t>
      </w:r>
      <w:r w:rsidR="000A2F7D">
        <w:t xml:space="preserve">overnment </w:t>
      </w:r>
      <w:r w:rsidR="00B15539">
        <w:t>f</w:t>
      </w:r>
      <w:r w:rsidR="000A2F7D">
        <w:t xml:space="preserve">oreign </w:t>
      </w:r>
      <w:r w:rsidR="00B15539">
        <w:t>e</w:t>
      </w:r>
      <w:r w:rsidR="000A2F7D">
        <w:t xml:space="preserve">xchange </w:t>
      </w:r>
      <w:r w:rsidR="001C7F7D">
        <w:t>r</w:t>
      </w:r>
      <w:r w:rsidR="000A2F7D">
        <w:t xml:space="preserve">isk </w:t>
      </w:r>
      <w:r w:rsidR="00FD0085">
        <w:t xml:space="preserve">management </w:t>
      </w:r>
      <w:r w:rsidR="001C7F7D">
        <w:t>p</w:t>
      </w:r>
      <w:r w:rsidR="000A2F7D">
        <w:t xml:space="preserve">olicy </w:t>
      </w:r>
    </w:p>
    <w:p w14:paraId="346676D4" w14:textId="77777777" w:rsidR="001344DD" w:rsidRDefault="001344DD">
      <w:pPr>
        <w:spacing w:after="200" w:line="276" w:lineRule="auto"/>
        <w:rPr>
          <w:rFonts w:ascii="Arial" w:hAnsi="Arial" w:cs="Arial"/>
          <w:sz w:val="23"/>
          <w:lang w:val="en-AU"/>
        </w:rPr>
      </w:pPr>
      <w:r>
        <w:br w:type="page"/>
      </w:r>
    </w:p>
    <w:p w14:paraId="7F33AAEB" w14:textId="111A2E14" w:rsidR="000D1820" w:rsidRDefault="00601862" w:rsidP="00F42F0C">
      <w:pPr>
        <w:pStyle w:val="Bullet1"/>
      </w:pPr>
      <w:r>
        <w:lastRenderedPageBreak/>
        <w:t>e</w:t>
      </w:r>
      <w:r w:rsidR="00DA5C1B">
        <w:t>nact</w:t>
      </w:r>
      <w:r w:rsidR="00EC5FDD">
        <w:t>ing</w:t>
      </w:r>
      <w:r w:rsidR="00DA5C1B">
        <w:t xml:space="preserve"> the </w:t>
      </w:r>
      <w:r w:rsidR="00DA5C1B" w:rsidRPr="29DE1EA3">
        <w:rPr>
          <w:i/>
        </w:rPr>
        <w:t>Government Sector Finance Act 2018</w:t>
      </w:r>
      <w:r w:rsidR="00DA5C1B">
        <w:t xml:space="preserve"> </w:t>
      </w:r>
      <w:r w:rsidR="00F665B8">
        <w:t xml:space="preserve">which </w:t>
      </w:r>
      <w:r w:rsidR="00DA5C1B">
        <w:t>support</w:t>
      </w:r>
      <w:r w:rsidR="00F665B8">
        <w:t xml:space="preserve">s balance sheet reforms, </w:t>
      </w:r>
      <w:r w:rsidR="00B90D5B">
        <w:t xml:space="preserve">including </w:t>
      </w:r>
      <w:r w:rsidR="00256674">
        <w:t xml:space="preserve">a </w:t>
      </w:r>
      <w:r w:rsidR="00DA5C1B">
        <w:t xml:space="preserve">centralised </w:t>
      </w:r>
      <w:r w:rsidR="00256674">
        <w:t xml:space="preserve">approach to </w:t>
      </w:r>
      <w:r w:rsidR="00DA5C1B">
        <w:t xml:space="preserve">cash management. </w:t>
      </w:r>
      <w:r w:rsidR="008377F9">
        <w:t xml:space="preserve">Building on $3.6 billion in cash centralised to date, </w:t>
      </w:r>
      <w:r w:rsidR="00DA5C1B">
        <w:t xml:space="preserve">Treasury </w:t>
      </w:r>
      <w:r w:rsidR="008377F9">
        <w:t xml:space="preserve">aims to establish a </w:t>
      </w:r>
      <w:r w:rsidR="00DA5C1B">
        <w:t>new cash management framework in 2019</w:t>
      </w:r>
      <w:r w:rsidR="329DF6F8">
        <w:t>-20</w:t>
      </w:r>
      <w:r w:rsidR="00DA5C1B">
        <w:t xml:space="preserve"> to facilitate </w:t>
      </w:r>
      <w:r w:rsidR="008377F9">
        <w:t xml:space="preserve">further </w:t>
      </w:r>
      <w:r w:rsidR="00DA5C1B">
        <w:t xml:space="preserve">cash management reform </w:t>
      </w:r>
    </w:p>
    <w:p w14:paraId="0DAB3DBC" w14:textId="7F87DE9A" w:rsidR="009F039E" w:rsidRPr="009F039E" w:rsidRDefault="00DF7FC9" w:rsidP="00F42F0C">
      <w:pPr>
        <w:pStyle w:val="Bullet1"/>
      </w:pPr>
      <w:r>
        <w:t>e</w:t>
      </w:r>
      <w:r w:rsidR="00ED1DEE">
        <w:t xml:space="preserve">ntering </w:t>
      </w:r>
      <w:r w:rsidR="00DD7A17">
        <w:t xml:space="preserve">into a multi-provider </w:t>
      </w:r>
      <w:r w:rsidR="00ED1DEE" w:rsidRPr="005D2CBE">
        <w:t>banking services</w:t>
      </w:r>
      <w:r w:rsidR="00ED1DEE">
        <w:t xml:space="preserve"> </w:t>
      </w:r>
      <w:r w:rsidR="00DD7A17">
        <w:t xml:space="preserve">contract </w:t>
      </w:r>
      <w:r w:rsidR="00DF4D97">
        <w:t xml:space="preserve">that </w:t>
      </w:r>
      <w:r w:rsidR="009F039E" w:rsidRPr="009F039E">
        <w:t>cover</w:t>
      </w:r>
      <w:r w:rsidR="00DF4D97">
        <w:t>s</w:t>
      </w:r>
      <w:r w:rsidR="009F039E" w:rsidRPr="009F039E">
        <w:t xml:space="preserve"> all Government transactions including payments, receipts, cross-border banking and purchasing cards.</w:t>
      </w:r>
    </w:p>
    <w:p w14:paraId="55AF20AB" w14:textId="6E5786AE" w:rsidR="00FA5650" w:rsidRDefault="00FA5650" w:rsidP="007E23BE">
      <w:pPr>
        <w:pStyle w:val="Heading3"/>
        <w:keepNext w:val="0"/>
      </w:pPr>
      <w:r>
        <w:t>Overview of key changes</w:t>
      </w:r>
      <w:r w:rsidR="00B825FD">
        <w:t xml:space="preserve"> </w:t>
      </w:r>
      <w:r>
        <w:t xml:space="preserve">since </w:t>
      </w:r>
      <w:r w:rsidR="00E833C9">
        <w:t xml:space="preserve">the </w:t>
      </w:r>
      <w:r>
        <w:t>201</w:t>
      </w:r>
      <w:r w:rsidR="00114B16">
        <w:t>9</w:t>
      </w:r>
      <w:r>
        <w:t xml:space="preserve"> </w:t>
      </w:r>
      <w:r w:rsidR="00970CB4">
        <w:t>Pre-election Budget Update</w:t>
      </w:r>
    </w:p>
    <w:p w14:paraId="45568796" w14:textId="605228FA" w:rsidR="00B825FD" w:rsidRPr="00F53119" w:rsidRDefault="002630DF" w:rsidP="00F42F0C">
      <w:pPr>
        <w:pStyle w:val="BodyText"/>
      </w:pPr>
      <w:r>
        <w:t>Key balance sheet movements si</w:t>
      </w:r>
      <w:r w:rsidR="004337B1">
        <w:t>nce t</w:t>
      </w:r>
      <w:r w:rsidR="00B825FD" w:rsidRPr="00F53119">
        <w:t>he 201</w:t>
      </w:r>
      <w:r w:rsidR="00114B16">
        <w:t>9</w:t>
      </w:r>
      <w:r w:rsidR="00B825FD" w:rsidRPr="00F53119">
        <w:t xml:space="preserve"> </w:t>
      </w:r>
      <w:r w:rsidR="006F61ED">
        <w:t>Pre-election Budget Update</w:t>
      </w:r>
      <w:r w:rsidR="008E24ED" w:rsidRPr="00F53119">
        <w:t xml:space="preserve"> </w:t>
      </w:r>
      <w:r w:rsidR="001C7F7D">
        <w:t xml:space="preserve">(see Table </w:t>
      </w:r>
      <w:r w:rsidR="00C85F94">
        <w:t>6</w:t>
      </w:r>
      <w:r w:rsidR="001C7F7D">
        <w:t>.1</w:t>
      </w:r>
      <w:r>
        <w:t>)</w:t>
      </w:r>
      <w:r w:rsidR="00B825FD" w:rsidRPr="00F53119">
        <w:t xml:space="preserve"> includ</w:t>
      </w:r>
      <w:r w:rsidR="001C7F7D">
        <w:t>e</w:t>
      </w:r>
      <w:r w:rsidR="00B825FD" w:rsidRPr="00F53119">
        <w:t>:</w:t>
      </w:r>
    </w:p>
    <w:p w14:paraId="0D801F32" w14:textId="17F838BF" w:rsidR="00443BAC" w:rsidRPr="002D0F49" w:rsidRDefault="004337B1" w:rsidP="00F42F0C">
      <w:pPr>
        <w:pStyle w:val="Bullet1"/>
      </w:pPr>
      <w:r w:rsidRPr="00E62028">
        <w:t>a</w:t>
      </w:r>
      <w:r w:rsidR="003D14D5" w:rsidRPr="00E62028">
        <w:t xml:space="preserve"> </w:t>
      </w:r>
      <w:r w:rsidR="0001186A" w:rsidRPr="00EA3F77">
        <w:t>de</w:t>
      </w:r>
      <w:r w:rsidR="004F0964" w:rsidRPr="00EA3F77">
        <w:t>crease</w:t>
      </w:r>
      <w:r w:rsidR="004F0964" w:rsidRPr="00E62028">
        <w:t xml:space="preserve"> in</w:t>
      </w:r>
      <w:r w:rsidR="004F0964" w:rsidRPr="00F53119">
        <w:t xml:space="preserve"> </w:t>
      </w:r>
      <w:r w:rsidR="00CB116F">
        <w:t xml:space="preserve">estimated </w:t>
      </w:r>
      <w:r w:rsidR="004F0964" w:rsidRPr="00F53119">
        <w:t>net</w:t>
      </w:r>
      <w:r w:rsidR="00443BAC" w:rsidRPr="00F53119">
        <w:t xml:space="preserve"> debt</w:t>
      </w:r>
      <w:r w:rsidR="004F0964" w:rsidRPr="00F53119">
        <w:t xml:space="preserve"> </w:t>
      </w:r>
      <w:r w:rsidR="004C0736">
        <w:t xml:space="preserve">as </w:t>
      </w:r>
      <w:r w:rsidR="00CB116F">
        <w:t>at June 201</w:t>
      </w:r>
      <w:r w:rsidR="00114B16">
        <w:t>9</w:t>
      </w:r>
      <w:r w:rsidR="00CB116F">
        <w:t xml:space="preserve"> </w:t>
      </w:r>
      <w:r w:rsidR="004F0964" w:rsidRPr="001C1FC1">
        <w:t>fr</w:t>
      </w:r>
      <w:r w:rsidR="00F53119" w:rsidRPr="001C1FC1">
        <w:t xml:space="preserve">om </w:t>
      </w:r>
      <w:r w:rsidR="00F53119" w:rsidRPr="000D5104">
        <w:t xml:space="preserve">negative </w:t>
      </w:r>
      <w:r w:rsidR="004F0964" w:rsidRPr="000D5104">
        <w:t>$</w:t>
      </w:r>
      <w:r w:rsidR="00134EE4" w:rsidRPr="00EA3F77">
        <w:t>8.0</w:t>
      </w:r>
      <w:r w:rsidR="004F0964" w:rsidRPr="000D5104">
        <w:t xml:space="preserve"> billion</w:t>
      </w:r>
      <w:r w:rsidR="007E23BE">
        <w:t xml:space="preserve"> at the 201</w:t>
      </w:r>
      <w:r w:rsidR="00114B16">
        <w:t>9</w:t>
      </w:r>
      <w:r w:rsidR="007E23BE">
        <w:t> </w:t>
      </w:r>
      <w:r w:rsidR="006F61ED">
        <w:t>Pre</w:t>
      </w:r>
      <w:r w:rsidR="004462AC">
        <w:noBreakHyphen/>
      </w:r>
      <w:r w:rsidR="006F61ED">
        <w:t>election Budget Update</w:t>
      </w:r>
      <w:r w:rsidR="004F0964" w:rsidRPr="001C1FC1">
        <w:t xml:space="preserve"> to </w:t>
      </w:r>
      <w:r w:rsidR="00F53119" w:rsidRPr="007E23BE">
        <w:t>neg</w:t>
      </w:r>
      <w:r w:rsidR="00F53119" w:rsidRPr="00F95FC1">
        <w:t>ative $</w:t>
      </w:r>
      <w:r w:rsidR="00F95FC1" w:rsidRPr="00EA3F77">
        <w:t>8.8</w:t>
      </w:r>
      <w:r w:rsidR="00F53119" w:rsidRPr="00F95FC1">
        <w:t xml:space="preserve"> billion</w:t>
      </w:r>
      <w:r w:rsidR="002E61F4">
        <w:t xml:space="preserve">. This has </w:t>
      </w:r>
      <w:r w:rsidR="002E61F4" w:rsidRPr="002D0F49">
        <w:t>been</w:t>
      </w:r>
      <w:r w:rsidR="00795279" w:rsidRPr="002D0F49">
        <w:t xml:space="preserve"> </w:t>
      </w:r>
      <w:r w:rsidRPr="002D0F49">
        <w:t xml:space="preserve">driven </w:t>
      </w:r>
      <w:r w:rsidR="004F0964" w:rsidRPr="002D0F49">
        <w:t xml:space="preserve">by </w:t>
      </w:r>
      <w:r w:rsidR="007F4082" w:rsidRPr="00EA3F77">
        <w:t>better than anticipated market returns</w:t>
      </w:r>
    </w:p>
    <w:p w14:paraId="3A851790" w14:textId="766750A0" w:rsidR="00FA5650" w:rsidRPr="00F53119" w:rsidRDefault="004337B1" w:rsidP="00F42F0C">
      <w:pPr>
        <w:pStyle w:val="Bullet1"/>
      </w:pPr>
      <w:r>
        <w:t>a</w:t>
      </w:r>
      <w:r w:rsidR="004F0964" w:rsidRPr="00F53119">
        <w:t xml:space="preserve"> </w:t>
      </w:r>
      <w:r w:rsidR="00CA6189" w:rsidRPr="00235B18">
        <w:t>de</w:t>
      </w:r>
      <w:r w:rsidR="004F0964" w:rsidRPr="00235B18">
        <w:t>crease</w:t>
      </w:r>
      <w:r w:rsidR="004F0964" w:rsidRPr="00F53119">
        <w:t xml:space="preserve"> in </w:t>
      </w:r>
      <w:r w:rsidR="00CB116F">
        <w:t xml:space="preserve">estimated </w:t>
      </w:r>
      <w:r w:rsidR="004F0964" w:rsidRPr="00F53119">
        <w:t>net worth</w:t>
      </w:r>
      <w:r w:rsidR="006A28A5" w:rsidRPr="00F53119">
        <w:t xml:space="preserve"> </w:t>
      </w:r>
      <w:r w:rsidR="004C0736">
        <w:t xml:space="preserve">as </w:t>
      </w:r>
      <w:r w:rsidR="00CB116F">
        <w:t xml:space="preserve">at </w:t>
      </w:r>
      <w:r w:rsidR="00CB116F" w:rsidRPr="001C1FC1">
        <w:t>June 201</w:t>
      </w:r>
      <w:r w:rsidR="00114B16">
        <w:t>9</w:t>
      </w:r>
      <w:r w:rsidR="00CB116F" w:rsidRPr="001C1FC1">
        <w:t xml:space="preserve"> </w:t>
      </w:r>
      <w:r w:rsidR="006A28A5" w:rsidRPr="002D0F49">
        <w:t>from $</w:t>
      </w:r>
      <w:r w:rsidR="00134EE4" w:rsidRPr="00EA3F77">
        <w:t>270.7</w:t>
      </w:r>
      <w:r w:rsidR="006A28A5" w:rsidRPr="000D5104">
        <w:t xml:space="preserve"> billion</w:t>
      </w:r>
      <w:r w:rsidR="006A28A5" w:rsidRPr="001C1FC1">
        <w:t xml:space="preserve"> at the 201</w:t>
      </w:r>
      <w:r w:rsidR="00114B16">
        <w:t>9</w:t>
      </w:r>
      <w:r w:rsidR="006A28A5" w:rsidRPr="001C1FC1">
        <w:t xml:space="preserve"> </w:t>
      </w:r>
      <w:r w:rsidR="006F61ED">
        <w:t>Pre</w:t>
      </w:r>
      <w:r w:rsidR="006C6E02">
        <w:noBreakHyphen/>
      </w:r>
      <w:r w:rsidR="006F61ED">
        <w:t>election Budget Update</w:t>
      </w:r>
      <w:r w:rsidR="006A28A5" w:rsidRPr="001C1FC1">
        <w:t xml:space="preserve"> to an </w:t>
      </w:r>
      <w:r w:rsidR="006A28A5" w:rsidRPr="00BD06A7">
        <w:t xml:space="preserve">estimated </w:t>
      </w:r>
      <w:r w:rsidR="0068335A" w:rsidRPr="00BD06A7">
        <w:t>$</w:t>
      </w:r>
      <w:r w:rsidR="004E5601" w:rsidRPr="00EA3F77">
        <w:t>26</w:t>
      </w:r>
      <w:r w:rsidR="00F83FE8" w:rsidRPr="00EA3F77">
        <w:t>2</w:t>
      </w:r>
      <w:r w:rsidR="004E5601" w:rsidRPr="00EA3F77">
        <w:t>.</w:t>
      </w:r>
      <w:r w:rsidR="00F83FE8" w:rsidRPr="00EA3F77">
        <w:t>0</w:t>
      </w:r>
      <w:r w:rsidR="0068335A" w:rsidRPr="00BD06A7">
        <w:t xml:space="preserve"> billion</w:t>
      </w:r>
      <w:r w:rsidR="0068335A" w:rsidRPr="001C1FC1">
        <w:t xml:space="preserve"> </w:t>
      </w:r>
      <w:r w:rsidR="00CB116F" w:rsidRPr="001C1FC1">
        <w:t xml:space="preserve">in this </w:t>
      </w:r>
      <w:r w:rsidR="00EE13F1">
        <w:t>b</w:t>
      </w:r>
      <w:r w:rsidR="00CB116F" w:rsidRPr="001C1FC1">
        <w:t>udget</w:t>
      </w:r>
      <w:r w:rsidR="00EE13F1">
        <w:t>. This reduction</w:t>
      </w:r>
      <w:r w:rsidR="00315F70">
        <w:t xml:space="preserve"> is </w:t>
      </w:r>
      <w:r w:rsidR="00BA613C">
        <w:t xml:space="preserve">primarily </w:t>
      </w:r>
      <w:r w:rsidR="00315F70">
        <w:t>due</w:t>
      </w:r>
      <w:r w:rsidR="00477E3B">
        <w:t xml:space="preserve"> </w:t>
      </w:r>
      <w:r w:rsidR="00315F70">
        <w:t>to</w:t>
      </w:r>
      <w:r w:rsidR="0068335A" w:rsidRPr="00F53119">
        <w:t xml:space="preserve"> </w:t>
      </w:r>
      <w:r w:rsidR="00CA6189">
        <w:t>an increase in</w:t>
      </w:r>
      <w:r w:rsidR="000A45DE">
        <w:t xml:space="preserve"> the valuation of </w:t>
      </w:r>
      <w:r w:rsidR="00A36058">
        <w:t xml:space="preserve">unfunded </w:t>
      </w:r>
      <w:r w:rsidR="005D0B09">
        <w:t xml:space="preserve">defined benefit </w:t>
      </w:r>
      <w:r w:rsidR="00CA6189">
        <w:t xml:space="preserve">superannuation </w:t>
      </w:r>
      <w:r w:rsidR="0068335A" w:rsidRPr="00F53119">
        <w:t>liabilities</w:t>
      </w:r>
      <w:r w:rsidR="00CE4D78">
        <w:t xml:space="preserve"> </w:t>
      </w:r>
      <w:r w:rsidR="005727FC">
        <w:t xml:space="preserve">resulting </w:t>
      </w:r>
      <w:r w:rsidR="00315F70">
        <w:t>from a lower</w:t>
      </w:r>
      <w:r w:rsidR="00EE13F1">
        <w:t xml:space="preserve"> Commonwealth Bond rate (which is used to </w:t>
      </w:r>
      <w:r w:rsidR="00E90F67">
        <w:t>discount the</w:t>
      </w:r>
      <w:r w:rsidR="00672036">
        <w:t xml:space="preserve">se </w:t>
      </w:r>
      <w:r w:rsidR="00E90F67">
        <w:t xml:space="preserve">liabilities </w:t>
      </w:r>
      <w:r w:rsidR="00E90F67" w:rsidRPr="001F7876">
        <w:t xml:space="preserve">under </w:t>
      </w:r>
      <w:r w:rsidR="00CE4D78" w:rsidRPr="001F7876">
        <w:t xml:space="preserve">AASB 119 </w:t>
      </w:r>
      <w:r w:rsidR="00CE4D78" w:rsidRPr="00EA3F77">
        <w:rPr>
          <w:i/>
        </w:rPr>
        <w:t>E</w:t>
      </w:r>
      <w:r w:rsidR="00933C37" w:rsidRPr="00EA3F77">
        <w:rPr>
          <w:i/>
        </w:rPr>
        <w:t>mployee Benefits</w:t>
      </w:r>
      <w:r w:rsidR="00E90F67">
        <w:t>)</w:t>
      </w:r>
      <w:r w:rsidR="00E0242B">
        <w:t xml:space="preserve">. By </w:t>
      </w:r>
      <w:r w:rsidR="0065651B">
        <w:t xml:space="preserve">June 2023, </w:t>
      </w:r>
      <w:r w:rsidR="005B6C14">
        <w:t>the superannuation liabilities</w:t>
      </w:r>
      <w:r w:rsidR="005D0DA4">
        <w:t xml:space="preserve"> </w:t>
      </w:r>
      <w:r w:rsidR="006A255B">
        <w:t xml:space="preserve">are projected to </w:t>
      </w:r>
      <w:r w:rsidR="005D0DA4">
        <w:t>reduce</w:t>
      </w:r>
      <w:r w:rsidR="00811FAC">
        <w:t xml:space="preserve"> to </w:t>
      </w:r>
      <w:r w:rsidR="005B48AB">
        <w:t>$40.9 billion</w:t>
      </w:r>
      <w:r w:rsidR="002077B5">
        <w:t xml:space="preserve"> </w:t>
      </w:r>
      <w:r w:rsidR="00FD5755">
        <w:t>(</w:t>
      </w:r>
      <w:r w:rsidR="002E3219">
        <w:t>s</w:t>
      </w:r>
      <w:r w:rsidR="00AB6F75">
        <w:t xml:space="preserve">ee Box </w:t>
      </w:r>
      <w:r w:rsidR="00C85F94">
        <w:t>6</w:t>
      </w:r>
      <w:r w:rsidR="00AB6F75">
        <w:t>.4</w:t>
      </w:r>
      <w:r w:rsidR="000A45DE">
        <w:t xml:space="preserve"> for more detail</w:t>
      </w:r>
      <w:r w:rsidR="00B153D1">
        <w:t>s</w:t>
      </w:r>
      <w:r w:rsidR="00FD5755">
        <w:t>)</w:t>
      </w:r>
      <w:r w:rsidR="00763CC8">
        <w:t>.</w:t>
      </w:r>
    </w:p>
    <w:p w14:paraId="72CD61C6" w14:textId="3D3EC649" w:rsidR="0080388D" w:rsidRPr="00EA3F77" w:rsidRDefault="0080388D" w:rsidP="005F4C03">
      <w:pPr>
        <w:pStyle w:val="Table7X"/>
        <w:tabs>
          <w:tab w:val="clear" w:pos="1134"/>
        </w:tabs>
        <w:ind w:left="1304" w:hanging="1304"/>
      </w:pPr>
      <w:r w:rsidRPr="00B11A17">
        <w:t xml:space="preserve">Key balance sheet aggregates of the </w:t>
      </w:r>
      <w:r w:rsidR="004B1393">
        <w:t>general government sector</w:t>
      </w:r>
    </w:p>
    <w:p w14:paraId="4439B88E" w14:textId="6597655E" w:rsidR="00206D7B" w:rsidRPr="00EA3F77" w:rsidRDefault="00D31CBA" w:rsidP="008049FC">
      <w:pPr>
        <w:rPr>
          <w:i/>
        </w:rPr>
      </w:pPr>
      <w:r w:rsidRPr="00D31CBA">
        <w:rPr>
          <w:noProof/>
        </w:rPr>
        <w:drawing>
          <wp:inline distT="0" distB="0" distL="0" distR="0" wp14:anchorId="511CCF55" wp14:editId="751C0017">
            <wp:extent cx="6120130" cy="1426679"/>
            <wp:effectExtent l="0" t="0" r="0" b="2540"/>
            <wp:docPr id="5" name="Picture 5" descr="Table 6.1: Key balance sheet aggregates of the general government sec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426679"/>
                    </a:xfrm>
                    <a:prstGeom prst="rect">
                      <a:avLst/>
                    </a:prstGeom>
                    <a:noFill/>
                    <a:ln>
                      <a:noFill/>
                    </a:ln>
                  </pic:spPr>
                </pic:pic>
              </a:graphicData>
            </a:graphic>
          </wp:inline>
        </w:drawing>
      </w:r>
    </w:p>
    <w:p w14:paraId="36C4493F" w14:textId="77777777" w:rsidR="008049FC" w:rsidRPr="008049FC" w:rsidRDefault="008049FC" w:rsidP="008049FC">
      <w:pPr>
        <w:rPr>
          <w:rFonts w:ascii="Arial" w:hAnsi="Arial" w:cs="Arial"/>
          <w:sz w:val="6"/>
          <w:szCs w:val="6"/>
        </w:rPr>
      </w:pPr>
    </w:p>
    <w:p w14:paraId="413C3218" w14:textId="7791FDD8" w:rsidR="00A25090" w:rsidRPr="005F4C03" w:rsidRDefault="002C2EF9" w:rsidP="008049FC">
      <w:pPr>
        <w:pStyle w:val="Table7X"/>
        <w:numPr>
          <w:ilvl w:val="0"/>
          <w:numId w:val="33"/>
        </w:numPr>
        <w:spacing w:before="0"/>
        <w:ind w:left="357" w:hanging="357"/>
        <w:rPr>
          <w:i w:val="0"/>
          <w:color w:val="000000" w:themeColor="text1"/>
          <w:sz w:val="17"/>
          <w:szCs w:val="17"/>
        </w:rPr>
      </w:pPr>
      <w:r w:rsidRPr="005F4C03">
        <w:rPr>
          <w:i w:val="0"/>
          <w:color w:val="000000" w:themeColor="text1"/>
          <w:sz w:val="17"/>
          <w:szCs w:val="17"/>
        </w:rPr>
        <w:t>Gross State Product</w:t>
      </w:r>
      <w:r w:rsidR="001F7876" w:rsidRPr="005F4C03">
        <w:rPr>
          <w:i w:val="0"/>
          <w:color w:val="000000" w:themeColor="text1"/>
          <w:sz w:val="17"/>
          <w:szCs w:val="17"/>
        </w:rPr>
        <w:t xml:space="preserve"> (GSP) for NSW</w:t>
      </w:r>
      <w:r w:rsidRPr="005F4C03">
        <w:rPr>
          <w:i w:val="0"/>
          <w:color w:val="000000" w:themeColor="text1"/>
          <w:sz w:val="17"/>
          <w:szCs w:val="17"/>
        </w:rPr>
        <w:t xml:space="preserve"> from 2018-19 to 2022-23 is forecast by NSW Treasury</w:t>
      </w:r>
    </w:p>
    <w:p w14:paraId="7C4A1A69" w14:textId="2310283A" w:rsidR="00C36541" w:rsidRDefault="00726149" w:rsidP="00852446">
      <w:pPr>
        <w:pStyle w:val="Heading2"/>
      </w:pPr>
      <w:r>
        <w:t>N</w:t>
      </w:r>
      <w:r w:rsidR="00D412AB">
        <w:t xml:space="preserve">et debt </w:t>
      </w:r>
      <w:r w:rsidR="009A6064">
        <w:t xml:space="preserve">remains low despite </w:t>
      </w:r>
      <w:r w:rsidR="004E5601">
        <w:t xml:space="preserve">changing </w:t>
      </w:r>
      <w:r w:rsidR="009A6064">
        <w:t>accounting standard</w:t>
      </w:r>
      <w:r w:rsidR="004E5601">
        <w:t>s</w:t>
      </w:r>
    </w:p>
    <w:p w14:paraId="29F49D0B" w14:textId="324E641E" w:rsidR="00180EE9" w:rsidRDefault="00F11F82" w:rsidP="00F42F0C">
      <w:pPr>
        <w:pStyle w:val="BodyText"/>
      </w:pPr>
      <w:r w:rsidRPr="008E24ED">
        <w:t xml:space="preserve">New South </w:t>
      </w:r>
      <w:r w:rsidRPr="00F53119">
        <w:t>Wales’</w:t>
      </w:r>
      <w:r w:rsidR="00B00B1C" w:rsidRPr="00F53119">
        <w:t xml:space="preserve"> </w:t>
      </w:r>
      <w:r w:rsidR="00FC2ECD">
        <w:t>g</w:t>
      </w:r>
      <w:r w:rsidR="00405A63">
        <w:t xml:space="preserve">eneral </w:t>
      </w:r>
      <w:r w:rsidR="00FC2ECD">
        <w:t>g</w:t>
      </w:r>
      <w:r w:rsidR="00405A63">
        <w:t xml:space="preserve">overnment </w:t>
      </w:r>
      <w:r w:rsidR="00B00B1C" w:rsidRPr="00F53119">
        <w:t>net debt remain</w:t>
      </w:r>
      <w:r w:rsidR="00D32D37" w:rsidRPr="00F53119">
        <w:t>s</w:t>
      </w:r>
      <w:r w:rsidR="00B00B1C" w:rsidRPr="00F53119">
        <w:t xml:space="preserve"> </w:t>
      </w:r>
      <w:r w:rsidR="003C76A7">
        <w:t xml:space="preserve">the </w:t>
      </w:r>
      <w:r w:rsidR="00B00B1C" w:rsidRPr="00F53119">
        <w:t>low</w:t>
      </w:r>
      <w:r w:rsidR="00B5006C">
        <w:t>est of all States and Territories</w:t>
      </w:r>
      <w:r w:rsidR="00FC2ECD">
        <w:t xml:space="preserve">. </w:t>
      </w:r>
      <w:r w:rsidR="00B5006C">
        <w:t xml:space="preserve">This is due to the Government’s </w:t>
      </w:r>
      <w:r w:rsidR="001C7F7D">
        <w:t xml:space="preserve">successful </w:t>
      </w:r>
      <w:r w:rsidR="005F5921" w:rsidRPr="000F2914">
        <w:t xml:space="preserve">asset recycling </w:t>
      </w:r>
      <w:r w:rsidR="009371C3">
        <w:t>program</w:t>
      </w:r>
      <w:r w:rsidR="00135AE0">
        <w:t xml:space="preserve"> and strong fiscal management</w:t>
      </w:r>
      <w:r w:rsidR="005D2CBE">
        <w:t>.</w:t>
      </w:r>
      <w:r w:rsidR="00135AE0">
        <w:t xml:space="preserve"> Changes in accounting standards </w:t>
      </w:r>
      <w:r w:rsidR="00084955">
        <w:t>relating to leases</w:t>
      </w:r>
      <w:r w:rsidR="00E97228">
        <w:t xml:space="preserve"> </w:t>
      </w:r>
      <w:r w:rsidR="00FF7939">
        <w:t xml:space="preserve">will </w:t>
      </w:r>
      <w:r w:rsidR="00F06206">
        <w:t xml:space="preserve">result in a one-off </w:t>
      </w:r>
      <w:r w:rsidR="00E97228">
        <w:t xml:space="preserve">increase </w:t>
      </w:r>
      <w:r w:rsidR="000067CC">
        <w:t xml:space="preserve">in </w:t>
      </w:r>
      <w:r w:rsidR="00E97228">
        <w:t xml:space="preserve">the </w:t>
      </w:r>
      <w:r w:rsidR="00751F42">
        <w:t>S</w:t>
      </w:r>
      <w:r w:rsidR="00E97228">
        <w:t xml:space="preserve">tate’s </w:t>
      </w:r>
      <w:r w:rsidR="005162D1">
        <w:t xml:space="preserve">reported </w:t>
      </w:r>
      <w:r w:rsidR="00E97228">
        <w:t>borrowings and net debt</w:t>
      </w:r>
      <w:r w:rsidR="00F2656D">
        <w:t xml:space="preserve">. However, these are reporting changes and </w:t>
      </w:r>
      <w:r w:rsidR="00FF7939">
        <w:t>do not reflect an underlying change in the State’s fiscal position</w:t>
      </w:r>
      <w:r w:rsidR="00BC1F27">
        <w:t xml:space="preserve"> (see Box </w:t>
      </w:r>
      <w:r w:rsidR="00C85F94">
        <w:t>6</w:t>
      </w:r>
      <w:r w:rsidR="00BC1F27">
        <w:t>.</w:t>
      </w:r>
      <w:r w:rsidR="008A1982">
        <w:t>3</w:t>
      </w:r>
      <w:r w:rsidR="00BC1F27">
        <w:t>).</w:t>
      </w:r>
      <w:r w:rsidR="005D2CBE">
        <w:t xml:space="preserve"> </w:t>
      </w:r>
    </w:p>
    <w:p w14:paraId="169ED1F8" w14:textId="7018FB6E" w:rsidR="00BC1F27" w:rsidRDefault="00D05A81" w:rsidP="00EA3F77">
      <w:pPr>
        <w:pStyle w:val="BodyText"/>
      </w:pPr>
      <w:r w:rsidRPr="00D05A81">
        <w:t xml:space="preserve">Net debt is projected to </w:t>
      </w:r>
      <w:r w:rsidR="00A35DF7">
        <w:t>grow</w:t>
      </w:r>
      <w:r w:rsidRPr="00EA3F77">
        <w:t xml:space="preserve"> as asset recycling proceeds (which are</w:t>
      </w:r>
      <w:r w:rsidR="005F58B6" w:rsidRPr="00EA3F77">
        <w:t xml:space="preserve"> recognised as</w:t>
      </w:r>
      <w:r w:rsidRPr="00EA3F77">
        <w:t xml:space="preserve"> financial</w:t>
      </w:r>
      <w:r w:rsidRPr="00D05A81">
        <w:t xml:space="preserve"> assets on the State’s balance sheet) are invested in the State’s record infrastructure program. The program is also being funded by budget surpluses and manageable increases in borrowings.</w:t>
      </w:r>
    </w:p>
    <w:p w14:paraId="791D3890" w14:textId="77777777" w:rsidR="006F41A6" w:rsidRDefault="006F41A6" w:rsidP="00EA3F77">
      <w:pPr>
        <w:pStyle w:val="BodyText"/>
      </w:pPr>
      <w:r w:rsidRPr="00EA3F77">
        <w:br w:type="page"/>
      </w:r>
    </w:p>
    <w:tbl>
      <w:tblPr>
        <w:tblW w:w="9639" w:type="dxa"/>
        <w:tblInd w:w="108" w:type="dxa"/>
        <w:shd w:val="pct5" w:color="auto" w:fill="auto"/>
        <w:tblLayout w:type="fixed"/>
        <w:tblLook w:val="04A0" w:firstRow="1" w:lastRow="0" w:firstColumn="1" w:lastColumn="0" w:noHBand="0" w:noVBand="1"/>
        <w:tblCaption w:val="Box 6.1: Whole-of-Government balance sheet management strategy "/>
        <w:tblDescription w:val="Box 6.1: Whole-of-Government balance sheet management strategy "/>
      </w:tblPr>
      <w:tblGrid>
        <w:gridCol w:w="9639"/>
      </w:tblGrid>
      <w:tr w:rsidR="00AC753C" w14:paraId="59030A26" w14:textId="77777777" w:rsidTr="00AC753C">
        <w:trPr>
          <w:trHeight w:val="5437"/>
        </w:trPr>
        <w:tc>
          <w:tcPr>
            <w:tcW w:w="9639" w:type="dxa"/>
            <w:shd w:val="pct5" w:color="auto" w:fill="auto"/>
            <w:hideMark/>
          </w:tcPr>
          <w:p w14:paraId="316F2425" w14:textId="77777777" w:rsidR="00AC753C" w:rsidRPr="00B8718C" w:rsidRDefault="00AC753C" w:rsidP="00AC753C">
            <w:pPr>
              <w:pStyle w:val="Box61BoxHeading"/>
            </w:pPr>
            <w:r>
              <w:lastRenderedPageBreak/>
              <w:t xml:space="preserve">Whole-of-Government balance sheet management strategy </w:t>
            </w:r>
          </w:p>
          <w:p w14:paraId="0FCA5D30" w14:textId="77777777" w:rsidR="00AC753C" w:rsidRPr="007E4A00" w:rsidRDefault="00AC753C" w:rsidP="00AC753C">
            <w:pPr>
              <w:spacing w:before="120"/>
              <w:rPr>
                <w:rFonts w:ascii="Arial" w:hAnsi="Arial" w:cs="Arial"/>
                <w:b/>
                <w:color w:val="0A7CB9"/>
                <w:sz w:val="23"/>
                <w:szCs w:val="23"/>
              </w:rPr>
            </w:pPr>
            <w:r w:rsidRPr="007E4A00">
              <w:rPr>
                <w:rFonts w:ascii="Arial" w:hAnsi="Arial" w:cs="Arial"/>
                <w:b/>
                <w:color w:val="0A7CB9"/>
                <w:sz w:val="23"/>
                <w:szCs w:val="23"/>
              </w:rPr>
              <w:t xml:space="preserve">NSW Generations Fund (NGF) </w:t>
            </w:r>
          </w:p>
          <w:p w14:paraId="6165A153" w14:textId="14D2AFF2" w:rsidR="00AC753C" w:rsidRDefault="00AC753C" w:rsidP="009E5836">
            <w:pPr>
              <w:pStyle w:val="BodyTextBox"/>
            </w:pPr>
            <w:r w:rsidRPr="00675DCD">
              <w:t>The N</w:t>
            </w:r>
            <w:r>
              <w:t xml:space="preserve">GF </w:t>
            </w:r>
            <w:r w:rsidRPr="00675DCD">
              <w:t>w</w:t>
            </w:r>
            <w:r>
              <w:t>as</w:t>
            </w:r>
            <w:r w:rsidRPr="00675DCD">
              <w:t xml:space="preserve"> established in </w:t>
            </w:r>
            <w:r>
              <w:t xml:space="preserve">late </w:t>
            </w:r>
            <w:r w:rsidRPr="00675DCD">
              <w:t xml:space="preserve">2018 </w:t>
            </w:r>
            <w:r>
              <w:t>as a $10 billion sovereign wealth fund to help maintain debt at sustainable levels. The NGF had a balance of approximately $10.8 billion as at 30 April 2019, performing well above expectation since its establishment in November 2018. The total</w:t>
            </w:r>
            <w:r w:rsidRPr="00675DCD">
              <w:t xml:space="preserve"> NGF </w:t>
            </w:r>
            <w:r>
              <w:t xml:space="preserve">balance is treated as an offset to the State’s gross debt by Moody’s and S&amp;P Global in their credit rating assessments. Therefore, the NGF plays an important role in </w:t>
            </w:r>
            <w:r w:rsidRPr="00675DCD">
              <w:t>support</w:t>
            </w:r>
            <w:r>
              <w:t>ing</w:t>
            </w:r>
            <w:r w:rsidRPr="00675DCD">
              <w:t xml:space="preserve"> the State’s triple-A credit rating</w:t>
            </w:r>
            <w:r>
              <w:t xml:space="preserve"> and sustainable debt position. The funds held in the NGF grow as returns are generated. The growth in the value of the fund is also used to offset debt and has a compounding effect over time</w:t>
            </w:r>
            <w:r w:rsidRPr="00675DCD">
              <w:t>.</w:t>
            </w:r>
            <w:r>
              <w:t xml:space="preserve"> In this way, the NGF is a highly effective balance sheet management tool, reducing debt balances over a time.</w:t>
            </w:r>
          </w:p>
          <w:p w14:paraId="55705DF8" w14:textId="77777777" w:rsidR="00AC753C" w:rsidRPr="007E4A00" w:rsidRDefault="00AC753C" w:rsidP="00AC753C">
            <w:pPr>
              <w:spacing w:before="120"/>
              <w:rPr>
                <w:rFonts w:ascii="Arial" w:hAnsi="Arial" w:cs="Arial"/>
                <w:b/>
                <w:color w:val="0A7CB9"/>
                <w:sz w:val="23"/>
                <w:szCs w:val="23"/>
              </w:rPr>
            </w:pPr>
            <w:r w:rsidRPr="007E4A00">
              <w:rPr>
                <w:rFonts w:ascii="Arial" w:hAnsi="Arial" w:cs="Arial"/>
                <w:b/>
                <w:color w:val="0A7CB9"/>
                <w:sz w:val="23"/>
                <w:szCs w:val="23"/>
              </w:rPr>
              <w:t xml:space="preserve">NSW Infrastructure Future Fund (NIFF) </w:t>
            </w:r>
          </w:p>
          <w:p w14:paraId="52D1CF1B" w14:textId="2719E3D4" w:rsidR="00AC753C" w:rsidRDefault="00AC753C" w:rsidP="009E5836">
            <w:pPr>
              <w:pStyle w:val="BodyTextBox"/>
            </w:pPr>
            <w:r w:rsidRPr="00A61045">
              <w:t xml:space="preserve">The </w:t>
            </w:r>
            <w:r>
              <w:t xml:space="preserve">NSW </w:t>
            </w:r>
            <w:r w:rsidRPr="00A61045">
              <w:t xml:space="preserve">Government </w:t>
            </w:r>
            <w:r>
              <w:t xml:space="preserve">established the </w:t>
            </w:r>
            <w:r w:rsidRPr="00A61045">
              <w:t>NIFF in</w:t>
            </w:r>
            <w:r>
              <w:t xml:space="preserve"> December</w:t>
            </w:r>
            <w:r w:rsidRPr="00A61045">
              <w:t xml:space="preserve"> 2016</w:t>
            </w:r>
            <w:r>
              <w:t xml:space="preserve"> as a vehicle to invest the net proceeds from its successful asset recycling program. </w:t>
            </w:r>
          </w:p>
          <w:p w14:paraId="56031ABF" w14:textId="77777777" w:rsidR="00AC753C" w:rsidRPr="0002719B" w:rsidRDefault="00AC753C" w:rsidP="009E5836">
            <w:pPr>
              <w:pStyle w:val="BodyTextBox"/>
            </w:pPr>
            <w:r w:rsidRPr="006B688B">
              <w:t>The NIFF</w:t>
            </w:r>
            <w:r>
              <w:t xml:space="preserve"> </w:t>
            </w:r>
            <w:r w:rsidRPr="0002719B">
              <w:t xml:space="preserve">generated a return of 4.6 per cent for </w:t>
            </w:r>
            <w:r>
              <w:t xml:space="preserve">the </w:t>
            </w:r>
            <w:r w:rsidRPr="0002719B">
              <w:t>10 months from July 2018 and had a balance of approximately $</w:t>
            </w:r>
            <w:r w:rsidRPr="00EA3F77">
              <w:t>18.1</w:t>
            </w:r>
            <w:r w:rsidRPr="0002719B">
              <w:t xml:space="preserve"> billion as at 30 April 2019. </w:t>
            </w:r>
          </w:p>
          <w:p w14:paraId="5025E65B" w14:textId="7E84CB1C" w:rsidR="00AC753C" w:rsidRPr="00B26F44" w:rsidRDefault="00AC753C" w:rsidP="009E5836">
            <w:pPr>
              <w:pStyle w:val="BodyTextBox"/>
            </w:pPr>
            <w:r w:rsidRPr="00BC417B">
              <w:t xml:space="preserve">Investments within the NIFF are </w:t>
            </w:r>
            <w:r w:rsidRPr="00EA3F77">
              <w:t>aligned to the required spending profile of Restart NSW infrastructure projects. $2.3</w:t>
            </w:r>
            <w:r w:rsidRPr="00BC417B">
              <w:t xml:space="preserve"> billion</w:t>
            </w:r>
            <w:r>
              <w:t xml:space="preserve"> was drawn from the NIFF during 2018-19 to fund </w:t>
            </w:r>
            <w:r w:rsidRPr="00B26F44">
              <w:t>Restart</w:t>
            </w:r>
            <w:r>
              <w:t xml:space="preserve"> NSW</w:t>
            </w:r>
            <w:r w:rsidRPr="00B26F44">
              <w:t xml:space="preserve"> projects (see </w:t>
            </w:r>
            <w:r>
              <w:t xml:space="preserve">Budget </w:t>
            </w:r>
            <w:r w:rsidR="008A1982">
              <w:t>P</w:t>
            </w:r>
            <w:r>
              <w:t>aper No.</w:t>
            </w:r>
            <w:r w:rsidR="008A1982">
              <w:t xml:space="preserve"> </w:t>
            </w:r>
            <w:r>
              <w:t>2</w:t>
            </w:r>
            <w:r w:rsidRPr="00B26F44">
              <w:t xml:space="preserve"> </w:t>
            </w:r>
            <w:r w:rsidRPr="00B26F44">
              <w:rPr>
                <w:i/>
              </w:rPr>
              <w:t>Infrastructure Statement</w:t>
            </w:r>
            <w:r w:rsidRPr="00B26F44">
              <w:t>).</w:t>
            </w:r>
          </w:p>
        </w:tc>
      </w:tr>
    </w:tbl>
    <w:p w14:paraId="64A92C85" w14:textId="77777777" w:rsidR="00AC753C" w:rsidRDefault="00AC753C" w:rsidP="005D1F35"/>
    <w:p w14:paraId="32799DE8" w14:textId="398FA857" w:rsidR="00821238" w:rsidRDefault="00D96297" w:rsidP="00EA3F77">
      <w:pPr>
        <w:pStyle w:val="BodyText"/>
      </w:pPr>
      <w:r>
        <w:t>F</w:t>
      </w:r>
      <w:r w:rsidR="00E353E8">
        <w:t xml:space="preserve">inancial </w:t>
      </w:r>
      <w:r w:rsidR="00E353E8" w:rsidRPr="004C265D">
        <w:t>assets</w:t>
      </w:r>
      <w:r w:rsidR="004C265D">
        <w:t xml:space="preserve"> </w:t>
      </w:r>
      <w:r w:rsidRPr="004C265D">
        <w:t xml:space="preserve">included in </w:t>
      </w:r>
      <w:r w:rsidR="004C265D">
        <w:t xml:space="preserve">the calculation </w:t>
      </w:r>
      <w:r w:rsidR="004C265D" w:rsidRPr="001C1FC1">
        <w:t xml:space="preserve">of </w:t>
      </w:r>
      <w:r w:rsidRPr="001C1FC1">
        <w:t>net debt</w:t>
      </w:r>
      <w:r w:rsidR="009D2999" w:rsidRPr="001C1FC1">
        <w:rPr>
          <w:rStyle w:val="FootnoteReference"/>
        </w:rPr>
        <w:footnoteReference w:id="2"/>
      </w:r>
      <w:r w:rsidR="001673C4" w:rsidRPr="001C1FC1">
        <w:t xml:space="preserve"> </w:t>
      </w:r>
      <w:r w:rsidR="00E353E8" w:rsidRPr="001C1FC1">
        <w:t xml:space="preserve">are </w:t>
      </w:r>
      <w:r w:rsidR="008F7016" w:rsidRPr="001C1FC1">
        <w:t xml:space="preserve">projected </w:t>
      </w:r>
      <w:r w:rsidR="00E353E8" w:rsidRPr="001C1FC1">
        <w:t xml:space="preserve">to </w:t>
      </w:r>
      <w:r w:rsidR="00E353E8" w:rsidRPr="00FD1A74">
        <w:t>be $</w:t>
      </w:r>
      <w:r w:rsidR="00FD1A74" w:rsidRPr="00EA3F77">
        <w:t>46.8</w:t>
      </w:r>
      <w:r w:rsidR="004710D7" w:rsidRPr="00FD1A74">
        <w:t> </w:t>
      </w:r>
      <w:r w:rsidR="00E353E8" w:rsidRPr="00FD1A74">
        <w:t>billion</w:t>
      </w:r>
      <w:r w:rsidR="00E353E8" w:rsidRPr="007E23BE">
        <w:t xml:space="preserve"> at June 201</w:t>
      </w:r>
      <w:r w:rsidR="00BC50AB">
        <w:t>9</w:t>
      </w:r>
      <w:r w:rsidR="00122597" w:rsidRPr="001C1FC1">
        <w:t xml:space="preserve"> (see Chart </w:t>
      </w:r>
      <w:r w:rsidR="008A66C0">
        <w:t>6</w:t>
      </w:r>
      <w:r w:rsidR="00122597" w:rsidRPr="001C1FC1">
        <w:t>.</w:t>
      </w:r>
      <w:r w:rsidR="008A1982">
        <w:t>1</w:t>
      </w:r>
      <w:r w:rsidR="00A915B6" w:rsidRPr="001C1FC1">
        <w:t>)</w:t>
      </w:r>
      <w:r w:rsidR="005F364C" w:rsidRPr="001C1FC1">
        <w:t xml:space="preserve">. </w:t>
      </w:r>
      <w:r w:rsidR="0072655C">
        <w:t>The</w:t>
      </w:r>
      <w:r w:rsidR="00842578">
        <w:t>se</w:t>
      </w:r>
      <w:r w:rsidR="0072655C">
        <w:t xml:space="preserve"> </w:t>
      </w:r>
      <w:r w:rsidR="00E97228">
        <w:t xml:space="preserve">assets primarily </w:t>
      </w:r>
      <w:r w:rsidR="00E812B2">
        <w:t>consist</w:t>
      </w:r>
      <w:r w:rsidR="00E97228">
        <w:t xml:space="preserve"> of </w:t>
      </w:r>
      <w:r w:rsidR="008A15DC">
        <w:t xml:space="preserve">the </w:t>
      </w:r>
      <w:r w:rsidR="00E97228">
        <w:t>NIFF, NGF</w:t>
      </w:r>
      <w:r w:rsidR="003D51D0">
        <w:t xml:space="preserve">, </w:t>
      </w:r>
      <w:r w:rsidR="00E97228">
        <w:t>SAHF</w:t>
      </w:r>
      <w:r w:rsidR="003D51D0">
        <w:t xml:space="preserve"> and the Treasury Managed Fund (the Government’s self</w:t>
      </w:r>
      <w:r w:rsidR="00FA0346">
        <w:t>-</w:t>
      </w:r>
      <w:r w:rsidR="003D51D0">
        <w:t xml:space="preserve">insurance </w:t>
      </w:r>
      <w:r w:rsidR="00993741">
        <w:t>fund</w:t>
      </w:r>
      <w:r w:rsidR="003D51D0">
        <w:t>)</w:t>
      </w:r>
      <w:r w:rsidR="00E97228">
        <w:t xml:space="preserve">. </w:t>
      </w:r>
      <w:r w:rsidR="000169BB">
        <w:t xml:space="preserve">Balances held in the NIFF are </w:t>
      </w:r>
      <w:r w:rsidR="00AA1040">
        <w:t>projected</w:t>
      </w:r>
      <w:r w:rsidR="000169BB">
        <w:t xml:space="preserve"> to fall </w:t>
      </w:r>
      <w:r w:rsidR="001673C4" w:rsidRPr="001C1FC1">
        <w:t>to</w:t>
      </w:r>
      <w:r w:rsidR="00E353E8" w:rsidRPr="001C1FC1">
        <w:t xml:space="preserve"> </w:t>
      </w:r>
      <w:r w:rsidR="004C265D" w:rsidRPr="007E23BE">
        <w:t>$</w:t>
      </w:r>
      <w:r w:rsidR="00570D93" w:rsidRPr="00EA3F77">
        <w:t>6.</w:t>
      </w:r>
      <w:r w:rsidR="00DD6119">
        <w:t>7</w:t>
      </w:r>
      <w:r w:rsidR="004710D7" w:rsidRPr="007E23BE">
        <w:t> </w:t>
      </w:r>
      <w:r w:rsidR="00E353E8" w:rsidRPr="007E23BE">
        <w:t xml:space="preserve">billion </w:t>
      </w:r>
      <w:r w:rsidR="000169BB">
        <w:t xml:space="preserve">over the forward estimates in line with scheduled drawdowns for infrastructure projects. Funds held in the NGF are forecast to increase </w:t>
      </w:r>
      <w:r w:rsidR="007D5D24">
        <w:t xml:space="preserve">to </w:t>
      </w:r>
      <w:r w:rsidR="00CE64D1" w:rsidRPr="007C31C8">
        <w:t>$</w:t>
      </w:r>
      <w:r w:rsidR="00DD6119">
        <w:t>16.5</w:t>
      </w:r>
      <w:r w:rsidR="00CE64D1">
        <w:t xml:space="preserve"> billion over the forward estimates in line with projected investment returns</w:t>
      </w:r>
      <w:r w:rsidR="00DF01D5">
        <w:t xml:space="preserve"> (</w:t>
      </w:r>
      <w:r w:rsidR="00891C1C">
        <w:t xml:space="preserve">see Box </w:t>
      </w:r>
      <w:r w:rsidR="008A66C0">
        <w:t>6</w:t>
      </w:r>
      <w:r w:rsidR="00891C1C">
        <w:t>.</w:t>
      </w:r>
      <w:r w:rsidR="008A1982">
        <w:t>1</w:t>
      </w:r>
      <w:r w:rsidR="00891C1C">
        <w:t xml:space="preserve">). </w:t>
      </w:r>
    </w:p>
    <w:p w14:paraId="051459D9" w14:textId="2E468D92" w:rsidR="00AC753C" w:rsidRDefault="00AC753C" w:rsidP="00AC753C">
      <w:pPr>
        <w:pStyle w:val="Chart6X"/>
      </w:pPr>
      <w:r>
        <w:t xml:space="preserve">General </w:t>
      </w:r>
      <w:r w:rsidR="008A1982">
        <w:t>g</w:t>
      </w:r>
      <w:r>
        <w:t xml:space="preserve">overnment </w:t>
      </w:r>
      <w:r w:rsidR="008A1982">
        <w:t>s</w:t>
      </w:r>
      <w:r>
        <w:t xml:space="preserve">ector net debt </w:t>
      </w:r>
    </w:p>
    <w:p w14:paraId="78C7903A" w14:textId="77777777" w:rsidR="00AC753C" w:rsidRDefault="00AC753C" w:rsidP="00AC753C">
      <w:pPr>
        <w:spacing w:after="200" w:line="276" w:lineRule="auto"/>
        <w:rPr>
          <w:lang w:eastAsia="en-AU"/>
        </w:rPr>
      </w:pPr>
      <w:r w:rsidRPr="00D90171">
        <w:rPr>
          <w:noProof/>
        </w:rPr>
        <w:drawing>
          <wp:inline distT="0" distB="0" distL="0" distR="0" wp14:anchorId="1AF4FC54" wp14:editId="69A73FDA">
            <wp:extent cx="6120130" cy="3138163"/>
            <wp:effectExtent l="0" t="0" r="0" b="5715"/>
            <wp:docPr id="12" name="Picture 12" descr="Chart 6.1: General government sector net deb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138163"/>
                    </a:xfrm>
                    <a:prstGeom prst="rect">
                      <a:avLst/>
                    </a:prstGeom>
                    <a:noFill/>
                    <a:ln>
                      <a:noFill/>
                    </a:ln>
                  </pic:spPr>
                </pic:pic>
              </a:graphicData>
            </a:graphic>
          </wp:inline>
        </w:drawing>
      </w:r>
    </w:p>
    <w:p w14:paraId="70373C20" w14:textId="77777777" w:rsidR="001344DD" w:rsidRDefault="001344DD" w:rsidP="001344DD"/>
    <w:p w14:paraId="1A04455D" w14:textId="340D35C9" w:rsidR="003444EB" w:rsidRDefault="00D96297" w:rsidP="00F42F0C">
      <w:pPr>
        <w:pStyle w:val="BodyText"/>
      </w:pPr>
      <w:r>
        <w:lastRenderedPageBreak/>
        <w:t>L</w:t>
      </w:r>
      <w:r w:rsidR="00E353E8">
        <w:t xml:space="preserve">iabilities </w:t>
      </w:r>
      <w:r w:rsidRPr="004C265D">
        <w:t xml:space="preserve">included </w:t>
      </w:r>
      <w:r w:rsidR="004C265D" w:rsidRPr="004C265D">
        <w:t xml:space="preserve">in </w:t>
      </w:r>
      <w:r w:rsidR="004C265D">
        <w:t xml:space="preserve">the </w:t>
      </w:r>
      <w:r w:rsidR="004C265D" w:rsidRPr="001C1FC1">
        <w:t>calculation of net debt</w:t>
      </w:r>
      <w:r w:rsidR="00EE4B23" w:rsidRPr="001C1FC1">
        <w:rPr>
          <w:rStyle w:val="FootnoteReference"/>
        </w:rPr>
        <w:footnoteReference w:id="3"/>
      </w:r>
      <w:r w:rsidR="00EE4B23" w:rsidRPr="001C1FC1">
        <w:t xml:space="preserve"> </w:t>
      </w:r>
      <w:r w:rsidR="00891C1C" w:rsidRPr="001C1FC1">
        <w:t xml:space="preserve">are projected </w:t>
      </w:r>
      <w:r w:rsidR="00891C1C" w:rsidRPr="00190E7F">
        <w:t xml:space="preserve">to </w:t>
      </w:r>
      <w:r w:rsidR="00891C1C" w:rsidRPr="00BB5713">
        <w:t xml:space="preserve">be </w:t>
      </w:r>
      <w:r w:rsidR="007E23BE" w:rsidRPr="00BB5713">
        <w:t>$</w:t>
      </w:r>
      <w:r w:rsidR="00BB5713" w:rsidRPr="00442735">
        <w:t>38.0</w:t>
      </w:r>
      <w:r w:rsidR="007E23BE" w:rsidRPr="00BB5713">
        <w:t> </w:t>
      </w:r>
      <w:r w:rsidR="00891C1C" w:rsidRPr="00BB5713">
        <w:t>billion</w:t>
      </w:r>
      <w:r w:rsidR="00891C1C" w:rsidRPr="007E23BE">
        <w:t xml:space="preserve"> at June 201</w:t>
      </w:r>
      <w:r w:rsidR="00F025EA">
        <w:t>9</w:t>
      </w:r>
      <w:r w:rsidR="005C68C2">
        <w:t xml:space="preserve"> </w:t>
      </w:r>
      <w:r w:rsidR="005C68C2" w:rsidRPr="001C1FC1">
        <w:t xml:space="preserve">(see </w:t>
      </w:r>
      <w:r w:rsidR="008A1982">
        <w:t>C</w:t>
      </w:r>
      <w:r w:rsidR="005C68C2">
        <w:t>hart</w:t>
      </w:r>
      <w:r w:rsidR="005C68C2" w:rsidRPr="001C1FC1">
        <w:t xml:space="preserve"> </w:t>
      </w:r>
      <w:r w:rsidR="008A66C0">
        <w:t>6</w:t>
      </w:r>
      <w:r w:rsidR="005C68C2" w:rsidRPr="001C1FC1">
        <w:t>.</w:t>
      </w:r>
      <w:r w:rsidR="008A1982">
        <w:t>1</w:t>
      </w:r>
      <w:r w:rsidR="005C68C2" w:rsidRPr="001C1FC1">
        <w:t>)</w:t>
      </w:r>
      <w:r w:rsidR="00891C1C" w:rsidRPr="001C1FC1">
        <w:t xml:space="preserve">, </w:t>
      </w:r>
      <w:r w:rsidR="00C63D46" w:rsidRPr="001C1FC1">
        <w:t xml:space="preserve">broadly </w:t>
      </w:r>
      <w:r w:rsidR="00891C1C" w:rsidRPr="001C1FC1">
        <w:t xml:space="preserve">in line with </w:t>
      </w:r>
      <w:r w:rsidR="00C63D46" w:rsidRPr="001C1FC1">
        <w:t>201</w:t>
      </w:r>
      <w:r w:rsidR="00F025EA">
        <w:t>9</w:t>
      </w:r>
      <w:r w:rsidR="00C63D46" w:rsidRPr="001C1FC1">
        <w:t xml:space="preserve"> </w:t>
      </w:r>
      <w:r w:rsidR="006F61ED">
        <w:t>Pre-election Budget Update</w:t>
      </w:r>
      <w:r w:rsidR="00A520C5" w:rsidRPr="001C1FC1">
        <w:t xml:space="preserve"> </w:t>
      </w:r>
      <w:r w:rsidR="00891C1C" w:rsidRPr="001C1FC1">
        <w:t xml:space="preserve">estimates. </w:t>
      </w:r>
      <w:r w:rsidR="006952B3" w:rsidRPr="001C1FC1">
        <w:t>Over the four years to June 202</w:t>
      </w:r>
      <w:r w:rsidR="00F025EA">
        <w:t>3</w:t>
      </w:r>
      <w:r w:rsidR="005A5A36">
        <w:t>,</w:t>
      </w:r>
      <w:r w:rsidR="006952B3" w:rsidRPr="001C1FC1">
        <w:t xml:space="preserve"> these liabilities </w:t>
      </w:r>
      <w:r w:rsidR="00A520C5" w:rsidRPr="001C1FC1">
        <w:t xml:space="preserve">are </w:t>
      </w:r>
      <w:r w:rsidR="006952B3" w:rsidRPr="001C1FC1">
        <w:t>projected</w:t>
      </w:r>
      <w:r w:rsidR="00A520C5" w:rsidRPr="001C1FC1">
        <w:t xml:space="preserve"> to increase </w:t>
      </w:r>
      <w:r w:rsidR="00C91688" w:rsidRPr="00347543">
        <w:t>to $</w:t>
      </w:r>
      <w:r w:rsidR="00B028BE">
        <w:t>73.9</w:t>
      </w:r>
      <w:r w:rsidR="00C91688" w:rsidRPr="00347543">
        <w:t xml:space="preserve"> billion</w:t>
      </w:r>
      <w:r w:rsidR="009F61E5" w:rsidRPr="001C1FC1">
        <w:t xml:space="preserve"> driven by</w:t>
      </w:r>
      <w:r w:rsidR="00D2690D">
        <w:t xml:space="preserve"> the adoption of AASB 16</w:t>
      </w:r>
      <w:r w:rsidR="009F61E5" w:rsidRPr="001C1FC1">
        <w:t xml:space="preserve"> </w:t>
      </w:r>
      <w:r w:rsidR="00D2690D">
        <w:t xml:space="preserve">and </w:t>
      </w:r>
      <w:r w:rsidR="00E1359E">
        <w:t xml:space="preserve">a manageable </w:t>
      </w:r>
      <w:r w:rsidR="009F61E5" w:rsidRPr="001C1FC1">
        <w:t>increase</w:t>
      </w:r>
      <w:r w:rsidR="00E1359E">
        <w:t xml:space="preserve"> </w:t>
      </w:r>
      <w:r w:rsidR="000B266D">
        <w:t>in</w:t>
      </w:r>
      <w:r w:rsidR="006952B3" w:rsidRPr="001C1FC1">
        <w:t xml:space="preserve"> borrowings</w:t>
      </w:r>
      <w:r w:rsidR="00E1359E">
        <w:t xml:space="preserve"> to fund infrastructure investment</w:t>
      </w:r>
      <w:r w:rsidR="00971852">
        <w:t xml:space="preserve">. </w:t>
      </w:r>
    </w:p>
    <w:p w14:paraId="75FFC5F3" w14:textId="3FC9547E" w:rsidR="002C397F" w:rsidRDefault="005F5921" w:rsidP="00F42F0C">
      <w:pPr>
        <w:pStyle w:val="BodyText"/>
      </w:pPr>
      <w:r w:rsidRPr="00DE0B95">
        <w:t>T</w:t>
      </w:r>
      <w:r w:rsidR="00E353E8" w:rsidRPr="00DE0B95">
        <w:t>he Government</w:t>
      </w:r>
      <w:r w:rsidR="009A2D38">
        <w:t xml:space="preserve"> </w:t>
      </w:r>
      <w:r w:rsidR="00A21168">
        <w:t>i</w:t>
      </w:r>
      <w:r w:rsidR="0076383E">
        <w:t>s</w:t>
      </w:r>
      <w:r w:rsidR="00A21168">
        <w:t xml:space="preserve"> </w:t>
      </w:r>
      <w:r w:rsidR="0076383E">
        <w:t xml:space="preserve">taking advantage </w:t>
      </w:r>
      <w:r w:rsidR="004349E2">
        <w:t xml:space="preserve">of the historically low interest rate environment to </w:t>
      </w:r>
      <w:r w:rsidR="00C97F55">
        <w:t>lengthen</w:t>
      </w:r>
      <w:r w:rsidR="003E7F17">
        <w:t xml:space="preserve"> its debt </w:t>
      </w:r>
      <w:r w:rsidR="00816B4B" w:rsidRPr="00DE0B95">
        <w:t>maturity profile</w:t>
      </w:r>
      <w:r w:rsidR="003E7F17">
        <w:t>. The average debt maturity is</w:t>
      </w:r>
      <w:r w:rsidR="009A2D38">
        <w:t xml:space="preserve"> </w:t>
      </w:r>
      <w:r w:rsidR="00914389">
        <w:t xml:space="preserve">now </w:t>
      </w:r>
      <w:r w:rsidR="009E5836">
        <w:t>eight</w:t>
      </w:r>
      <w:r w:rsidR="002C5D96">
        <w:t xml:space="preserve"> years,</w:t>
      </w:r>
      <w:r w:rsidR="009A2D38">
        <w:t xml:space="preserve"> </w:t>
      </w:r>
      <w:r w:rsidR="00891C1C">
        <w:t>reduc</w:t>
      </w:r>
      <w:r w:rsidR="009A2D38">
        <w:t>ing</w:t>
      </w:r>
      <w:r w:rsidR="00F30263" w:rsidRPr="00DE0B95">
        <w:t xml:space="preserve"> </w:t>
      </w:r>
      <w:r w:rsidR="00062063">
        <w:t>interest rate</w:t>
      </w:r>
      <w:r w:rsidR="00F30263" w:rsidRPr="00DE0B95">
        <w:t xml:space="preserve"> </w:t>
      </w:r>
      <w:r w:rsidR="00C85E0C">
        <w:t xml:space="preserve">risk </w:t>
      </w:r>
      <w:r w:rsidR="00F30263" w:rsidRPr="00DE0B95">
        <w:t>an</w:t>
      </w:r>
      <w:r w:rsidR="00F30263">
        <w:t>d refinancing risk</w:t>
      </w:r>
      <w:r w:rsidR="00F30263" w:rsidRPr="00DE0B95">
        <w:t xml:space="preserve"> </w:t>
      </w:r>
      <w:r w:rsidR="009C10BE">
        <w:t>for the State</w:t>
      </w:r>
      <w:r w:rsidR="008E4248">
        <w:t xml:space="preserve"> </w:t>
      </w:r>
      <w:r w:rsidR="00E1359E" w:rsidRPr="00D95293">
        <w:t xml:space="preserve">(see Box </w:t>
      </w:r>
      <w:r w:rsidR="008A66C0" w:rsidRPr="00EA3F77">
        <w:t>6</w:t>
      </w:r>
      <w:r w:rsidR="00E1359E" w:rsidRPr="00D95293">
        <w:t>.</w:t>
      </w:r>
      <w:r w:rsidR="008A1982">
        <w:t>2</w:t>
      </w:r>
      <w:r w:rsidR="00E1359E" w:rsidRPr="00D95293">
        <w:t>).</w:t>
      </w:r>
    </w:p>
    <w:p w14:paraId="0C17E507" w14:textId="77777777" w:rsidR="00AC753C" w:rsidRPr="002C397F" w:rsidRDefault="00AC753C" w:rsidP="00AC753C">
      <w:pPr>
        <w:rPr>
          <w:lang w:eastAsia="en-AU"/>
        </w:rPr>
      </w:pPr>
    </w:p>
    <w:tbl>
      <w:tblPr>
        <w:tblW w:w="9639" w:type="dxa"/>
        <w:shd w:val="clear" w:color="auto" w:fill="F2F2F2" w:themeFill="background1" w:themeFillShade="F2"/>
        <w:tblLayout w:type="fixed"/>
        <w:tblLook w:val="04A0" w:firstRow="1" w:lastRow="0" w:firstColumn="1" w:lastColumn="0" w:noHBand="0" w:noVBand="1"/>
        <w:tblCaption w:val="Box 6.2: Helping fund infrastructure at record low interest rates "/>
        <w:tblDescription w:val="Box 6.2: Helping fund infrastructure at record low interest rates "/>
      </w:tblPr>
      <w:tblGrid>
        <w:gridCol w:w="9639"/>
      </w:tblGrid>
      <w:tr w:rsidR="00AC753C" w:rsidRPr="002C397F" w14:paraId="464C8A2A" w14:textId="77777777" w:rsidTr="00AC753C">
        <w:trPr>
          <w:trHeight w:val="666"/>
        </w:trPr>
        <w:tc>
          <w:tcPr>
            <w:tcW w:w="9639" w:type="dxa"/>
            <w:shd w:val="clear" w:color="auto" w:fill="F2F2F2" w:themeFill="background1" w:themeFillShade="F2"/>
          </w:tcPr>
          <w:p w14:paraId="0BBA0780" w14:textId="7D709F15" w:rsidR="00AC753C" w:rsidRPr="0089283D" w:rsidRDefault="00AC753C" w:rsidP="00AC753C">
            <w:pPr>
              <w:pStyle w:val="Box61BoxHeading"/>
            </w:pPr>
            <w:r w:rsidRPr="00AC753C">
              <w:t>Helping</w:t>
            </w:r>
            <w:r w:rsidRPr="00EA3F77">
              <w:t xml:space="preserve"> fund infrastructure </w:t>
            </w:r>
            <w:r>
              <w:t>at</w:t>
            </w:r>
            <w:r w:rsidRPr="00EA3F77">
              <w:t xml:space="preserve"> record low interest rates </w:t>
            </w:r>
          </w:p>
          <w:p w14:paraId="7ABE77B0" w14:textId="5629B556" w:rsidR="00AC753C" w:rsidRPr="002C397F" w:rsidRDefault="00AC753C" w:rsidP="009E5836">
            <w:pPr>
              <w:pStyle w:val="BodyTextBox"/>
            </w:pPr>
            <w:r>
              <w:t>The strength of New South Wales’ credit rating and the global economic environment led to yields on NSW (TCorp) ten-year bonds trading below 2.0 per cent for the first time in history in May 2019 – see Chart 6.</w:t>
            </w:r>
            <w:r w:rsidR="008A1982">
              <w:t>2</w:t>
            </w:r>
            <w:r>
              <w:t xml:space="preserve"> below.</w:t>
            </w:r>
          </w:p>
          <w:p w14:paraId="780291FF" w14:textId="77777777" w:rsidR="00AC753C" w:rsidRDefault="00AC753C" w:rsidP="00AC753C">
            <w:pPr>
              <w:pStyle w:val="Chart6X"/>
              <w:ind w:left="1134" w:hanging="1134"/>
              <w:rPr>
                <w:rFonts w:cs="Arial"/>
                <w:i w:val="0"/>
              </w:rPr>
            </w:pPr>
            <w:r>
              <w:t>NSW bond yields are at historic lows</w:t>
            </w:r>
          </w:p>
          <w:p w14:paraId="15A7D59B" w14:textId="77777777" w:rsidR="00AC753C" w:rsidRPr="008F57FA" w:rsidRDefault="00AC753C" w:rsidP="00AC753C">
            <w:r>
              <w:rPr>
                <w:noProof/>
              </w:rPr>
              <w:drawing>
                <wp:inline distT="0" distB="0" distL="0" distR="0" wp14:anchorId="015D4A53" wp14:editId="72F8F631">
                  <wp:extent cx="5887330" cy="211518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90485" cy="2116319"/>
                          </a:xfrm>
                          <a:prstGeom prst="rect">
                            <a:avLst/>
                          </a:prstGeom>
                          <a:noFill/>
                        </pic:spPr>
                      </pic:pic>
                    </a:graphicData>
                  </a:graphic>
                </wp:inline>
              </w:drawing>
            </w:r>
          </w:p>
          <w:p w14:paraId="62BA596C" w14:textId="32E4F1EF" w:rsidR="00AC753C" w:rsidRPr="00EA3F77" w:rsidRDefault="00AC753C" w:rsidP="009E5836">
            <w:pPr>
              <w:pStyle w:val="BodyTextBox"/>
              <w:rPr>
                <w:lang w:val="en-US"/>
              </w:rPr>
            </w:pPr>
            <w:r>
              <w:rPr>
                <w:rFonts w:eastAsiaTheme="minorHAnsi"/>
                <w:lang w:eastAsia="en-AU"/>
              </w:rPr>
              <w:t>In</w:t>
            </w:r>
            <w:r w:rsidRPr="00EA3F77">
              <w:rPr>
                <w:rFonts w:eastAsiaTheme="minorHAnsi"/>
                <w:lang w:eastAsia="en-AU"/>
              </w:rPr>
              <w:t xml:space="preserve"> an environment of record low interest rates, the </w:t>
            </w:r>
            <w:r>
              <w:rPr>
                <w:rFonts w:eastAsiaTheme="minorHAnsi"/>
                <w:lang w:eastAsia="en-AU"/>
              </w:rPr>
              <w:t>State</w:t>
            </w:r>
            <w:r w:rsidRPr="00EA3F77">
              <w:rPr>
                <w:rFonts w:eastAsiaTheme="minorHAnsi"/>
                <w:lang w:eastAsia="en-AU"/>
              </w:rPr>
              <w:t xml:space="preserve"> has </w:t>
            </w:r>
            <w:r>
              <w:rPr>
                <w:rFonts w:eastAsiaTheme="minorHAnsi"/>
                <w:lang w:eastAsia="en-AU"/>
              </w:rPr>
              <w:t xml:space="preserve">been </w:t>
            </w:r>
            <w:r w:rsidRPr="00EA3F77">
              <w:rPr>
                <w:rFonts w:eastAsiaTheme="minorHAnsi"/>
                <w:lang w:eastAsia="en-AU"/>
              </w:rPr>
              <w:t xml:space="preserve">lengthening the maturity profile of its debt portfolio to approximately </w:t>
            </w:r>
            <w:r w:rsidR="009E5836">
              <w:rPr>
                <w:rFonts w:eastAsiaTheme="minorHAnsi"/>
                <w:lang w:eastAsia="en-AU"/>
              </w:rPr>
              <w:t>eight</w:t>
            </w:r>
            <w:r w:rsidRPr="00EA3F77">
              <w:rPr>
                <w:rFonts w:eastAsiaTheme="minorHAnsi"/>
                <w:lang w:eastAsia="en-AU"/>
              </w:rPr>
              <w:t xml:space="preserve"> years in order to lock in these low rates</w:t>
            </w:r>
            <w:r w:rsidRPr="00EA3F77">
              <w:rPr>
                <w:rFonts w:cs="Calibri"/>
                <w:lang w:eastAsia="en-AU"/>
              </w:rPr>
              <w:t xml:space="preserve"> throughout</w:t>
            </w:r>
            <w:r w:rsidRPr="00EA3F77">
              <w:rPr>
                <w:rFonts w:eastAsiaTheme="minorHAnsi"/>
                <w:lang w:eastAsia="en-AU"/>
              </w:rPr>
              <w:t xml:space="preserve"> the forward estimates period</w:t>
            </w:r>
            <w:r>
              <w:rPr>
                <w:rFonts w:eastAsiaTheme="minorHAnsi"/>
                <w:lang w:eastAsia="en-AU"/>
              </w:rPr>
              <w:t xml:space="preserve"> and beyond</w:t>
            </w:r>
            <w:r w:rsidRPr="00EA3F77">
              <w:rPr>
                <w:rFonts w:eastAsiaTheme="minorHAnsi"/>
                <w:lang w:eastAsia="en-AU"/>
              </w:rPr>
              <w:t xml:space="preserve">. While </w:t>
            </w:r>
            <w:r>
              <w:rPr>
                <w:rFonts w:eastAsiaTheme="minorHAnsi"/>
                <w:lang w:eastAsia="en-AU"/>
              </w:rPr>
              <w:t>S</w:t>
            </w:r>
            <w:r w:rsidRPr="00EA3F77">
              <w:rPr>
                <w:rFonts w:eastAsiaTheme="minorHAnsi"/>
                <w:lang w:eastAsia="en-AU"/>
              </w:rPr>
              <w:t xml:space="preserve">tate governments borrow at higher rates than the Commonwealth, the </w:t>
            </w:r>
            <w:r w:rsidRPr="00B153D1">
              <w:t>New South Wales</w:t>
            </w:r>
            <w:r w:rsidRPr="00EA3F77">
              <w:rPr>
                <w:rFonts w:eastAsiaTheme="minorHAnsi"/>
                <w:lang w:eastAsia="en-AU"/>
              </w:rPr>
              <w:t xml:space="preserve"> triple-A </w:t>
            </w:r>
            <w:r w:rsidRPr="00B153D1">
              <w:t xml:space="preserve">credit </w:t>
            </w:r>
            <w:r w:rsidRPr="00EA3F77">
              <w:rPr>
                <w:rFonts w:eastAsiaTheme="minorHAnsi"/>
                <w:lang w:eastAsia="en-AU"/>
              </w:rPr>
              <w:t xml:space="preserve">rating and </w:t>
            </w:r>
            <w:r w:rsidRPr="00B153D1">
              <w:t xml:space="preserve">disciplined approach </w:t>
            </w:r>
            <w:r w:rsidRPr="00E62028">
              <w:t xml:space="preserve">to financial management (including its liabilities) </w:t>
            </w:r>
            <w:r w:rsidRPr="00EA3F77">
              <w:rPr>
                <w:rFonts w:eastAsiaTheme="minorHAnsi"/>
                <w:lang w:eastAsia="en-AU"/>
              </w:rPr>
              <w:t>ensure</w:t>
            </w:r>
            <w:r w:rsidRPr="00E62028">
              <w:t>s</w:t>
            </w:r>
            <w:r w:rsidRPr="00EA3F77">
              <w:rPr>
                <w:rFonts w:eastAsiaTheme="minorHAnsi"/>
                <w:lang w:eastAsia="en-AU"/>
              </w:rPr>
              <w:t xml:space="preserve"> this </w:t>
            </w:r>
            <w:r w:rsidRPr="00E62028">
              <w:t>spread</w:t>
            </w:r>
            <w:r w:rsidRPr="00EA3F77">
              <w:rPr>
                <w:rFonts w:eastAsiaTheme="minorHAnsi"/>
                <w:lang w:eastAsia="en-AU"/>
              </w:rPr>
              <w:t xml:space="preserve"> is as </w:t>
            </w:r>
            <w:r>
              <w:rPr>
                <w:rFonts w:eastAsiaTheme="minorHAnsi"/>
                <w:lang w:eastAsia="en-AU"/>
              </w:rPr>
              <w:t>tight</w:t>
            </w:r>
            <w:r w:rsidRPr="00EA3F77">
              <w:rPr>
                <w:rFonts w:eastAsiaTheme="minorHAnsi"/>
                <w:lang w:eastAsia="en-AU"/>
              </w:rPr>
              <w:t xml:space="preserve"> as possible. </w:t>
            </w:r>
            <w:r w:rsidRPr="00EA3F77">
              <w:t xml:space="preserve"> </w:t>
            </w:r>
          </w:p>
          <w:p w14:paraId="22057454" w14:textId="1C06DC96" w:rsidR="00AC753C" w:rsidRPr="002C397F" w:rsidRDefault="00AC753C" w:rsidP="009E5836">
            <w:pPr>
              <w:pStyle w:val="BodyTextBox"/>
              <w:rPr>
                <w:lang w:eastAsia="en-AU"/>
              </w:rPr>
            </w:pPr>
            <w:r w:rsidRPr="00E62028">
              <w:t xml:space="preserve">Beyond accessing funds through </w:t>
            </w:r>
            <w:r w:rsidRPr="00EA3F77">
              <w:t>traditional</w:t>
            </w:r>
            <w:r w:rsidRPr="00E62028">
              <w:t xml:space="preserve"> </w:t>
            </w:r>
            <w:r w:rsidRPr="00EA3F77">
              <w:t>debt capital</w:t>
            </w:r>
            <w:r w:rsidRPr="00E62028">
              <w:t xml:space="preserve"> markets</w:t>
            </w:r>
            <w:r w:rsidRPr="00840CB8">
              <w:t xml:space="preserve">, the Government is actively seeking to </w:t>
            </w:r>
            <w:r>
              <w:t xml:space="preserve">broaden its range of domestic and international </w:t>
            </w:r>
            <w:r w:rsidRPr="00840CB8">
              <w:t xml:space="preserve">investors </w:t>
            </w:r>
            <w:r>
              <w:t xml:space="preserve">through innovative offerings </w:t>
            </w:r>
            <w:r w:rsidRPr="00840CB8">
              <w:t xml:space="preserve">such </w:t>
            </w:r>
            <w:r>
              <w:t xml:space="preserve">as </w:t>
            </w:r>
            <w:r w:rsidRPr="00840CB8">
              <w:t xml:space="preserve">the Sustainability Bond </w:t>
            </w:r>
            <w:r>
              <w:t>Programme.</w:t>
            </w:r>
          </w:p>
        </w:tc>
      </w:tr>
    </w:tbl>
    <w:p w14:paraId="4B1A04B3" w14:textId="11E41F1C" w:rsidR="0019042D" w:rsidRDefault="0019042D">
      <w:pPr>
        <w:spacing w:after="200" w:line="276" w:lineRule="auto"/>
        <w:rPr>
          <w:lang w:eastAsia="en-AU"/>
        </w:rPr>
      </w:pPr>
      <w:r>
        <w:rPr>
          <w:lang w:eastAsia="en-AU"/>
        </w:rPr>
        <w:br w:type="page"/>
      </w:r>
    </w:p>
    <w:tbl>
      <w:tblPr>
        <w:tblW w:w="9660" w:type="dxa"/>
        <w:tblInd w:w="87" w:type="dxa"/>
        <w:shd w:val="clear" w:color="auto" w:fill="F2F2F2" w:themeFill="background1" w:themeFillShade="F2"/>
        <w:tblLayout w:type="fixed"/>
        <w:tblLook w:val="04A0" w:firstRow="1" w:lastRow="0" w:firstColumn="1" w:lastColumn="0" w:noHBand="0" w:noVBand="1"/>
        <w:tblCaption w:val="Box 6.3: Balance sheet impact of new lease accounting standard"/>
        <w:tblDescription w:val="Box 6.3: Balance sheet impact of new lease accounting standard"/>
      </w:tblPr>
      <w:tblGrid>
        <w:gridCol w:w="9660"/>
      </w:tblGrid>
      <w:tr w:rsidR="00AC753C" w14:paraId="630AFBC6" w14:textId="77777777" w:rsidTr="00AC753C">
        <w:trPr>
          <w:trHeight w:val="95"/>
        </w:trPr>
        <w:tc>
          <w:tcPr>
            <w:tcW w:w="9660" w:type="dxa"/>
            <w:shd w:val="clear" w:color="auto" w:fill="F2F2F2" w:themeFill="background1" w:themeFillShade="F2"/>
            <w:hideMark/>
          </w:tcPr>
          <w:p w14:paraId="17A6A2E7" w14:textId="77777777" w:rsidR="00AC753C" w:rsidRDefault="00AC753C" w:rsidP="00AC753C">
            <w:pPr>
              <w:pStyle w:val="Box61BoxHeading"/>
            </w:pPr>
            <w:r>
              <w:lastRenderedPageBreak/>
              <w:br w:type="page"/>
            </w:r>
            <w:r w:rsidRPr="00B2101F">
              <w:t>Balance sheet impact of new lease accounting standard</w:t>
            </w:r>
          </w:p>
          <w:p w14:paraId="6EC43FFF" w14:textId="77777777" w:rsidR="00AC753C" w:rsidRDefault="00AC753C" w:rsidP="009E5836">
            <w:pPr>
              <w:pStyle w:val="BodyTextBox"/>
            </w:pPr>
            <w:r w:rsidRPr="009A5CD8">
              <w:t>The Australian Accounting Standard</w:t>
            </w:r>
            <w:r>
              <w:t>s</w:t>
            </w:r>
            <w:r w:rsidRPr="009A5CD8">
              <w:t xml:space="preserve"> Board (AASB) released AASB 16</w:t>
            </w:r>
            <w:r w:rsidRPr="00753B26">
              <w:t xml:space="preserve"> </w:t>
            </w:r>
            <w:r w:rsidRPr="00DD6305">
              <w:rPr>
                <w:i/>
              </w:rPr>
              <w:t>Leases</w:t>
            </w:r>
            <w:r w:rsidRPr="009A5CD8">
              <w:t xml:space="preserve"> </w:t>
            </w:r>
            <w:r>
              <w:t xml:space="preserve">as a </w:t>
            </w:r>
            <w:r w:rsidRPr="009A5CD8">
              <w:t>new accounting standard to apply from 1 July 2019</w:t>
            </w:r>
            <w:r>
              <w:t>.</w:t>
            </w:r>
          </w:p>
          <w:p w14:paraId="79D80FCC" w14:textId="3D198E15" w:rsidR="00AC753C" w:rsidRDefault="00AC753C" w:rsidP="009E5836">
            <w:pPr>
              <w:pStyle w:val="BodyTextBox"/>
            </w:pPr>
            <w:r w:rsidRPr="009A5CD8">
              <w:t xml:space="preserve">AASB 16 </w:t>
            </w:r>
            <w:r>
              <w:t>sees most operating leases, except short-term and low-value leases, now recognised as finance leases (i.e. borrowings) on the Government’s balance sheet. This has had a significant impact on net debt, see Chart 6.</w:t>
            </w:r>
            <w:r w:rsidR="008A1982">
              <w:t>3</w:t>
            </w:r>
            <w:r w:rsidRPr="00B07E37">
              <w:t xml:space="preserve"> </w:t>
            </w:r>
            <w:r>
              <w:t xml:space="preserve">below. </w:t>
            </w:r>
          </w:p>
          <w:p w14:paraId="70E2F02E" w14:textId="77777777" w:rsidR="00AC753C" w:rsidRDefault="00AC753C" w:rsidP="009E5836">
            <w:pPr>
              <w:pStyle w:val="BodyTextBox"/>
            </w:pPr>
            <w:r w:rsidRPr="009A5CD8">
              <w:t xml:space="preserve">The vast majority of leases </w:t>
            </w:r>
            <w:r>
              <w:t>relate to office space, which were previously recognised as an expense on the operating statement. The introduction of new accounting standards for leases will increase reported borrowings by $</w:t>
            </w:r>
            <w:r w:rsidRPr="00EA3F77">
              <w:t>3.2</w:t>
            </w:r>
            <w:r>
              <w:t xml:space="preserve"> billion by June 2023.</w:t>
            </w:r>
          </w:p>
          <w:p w14:paraId="4D250447" w14:textId="67619AA6" w:rsidR="00AC753C" w:rsidRDefault="00AC753C" w:rsidP="009E5836">
            <w:pPr>
              <w:pStyle w:val="BodyTextBox"/>
            </w:pPr>
            <w:r>
              <w:t xml:space="preserve">For a full reconciliation of all the accounting standards impacting the 2019-20 Budget, see </w:t>
            </w:r>
            <w:r w:rsidRPr="00EA3F77">
              <w:t>Table A2.</w:t>
            </w:r>
            <w:r>
              <w:t>5</w:t>
            </w:r>
            <w:r w:rsidRPr="00895674">
              <w:t xml:space="preserve"> in</w:t>
            </w:r>
            <w:r>
              <w:t xml:space="preserve"> Appendix A2 </w:t>
            </w:r>
            <w:r w:rsidRPr="00442735">
              <w:rPr>
                <w:i/>
              </w:rPr>
              <w:t>Statement of Significant Acounting Policies and Forecast Assumptions</w:t>
            </w:r>
            <w:r>
              <w:t>.</w:t>
            </w:r>
          </w:p>
          <w:p w14:paraId="20220378" w14:textId="77777777" w:rsidR="00AC753C" w:rsidRDefault="00AC753C" w:rsidP="00AC753C"/>
          <w:p w14:paraId="53EBC6BE" w14:textId="5352AC9F" w:rsidR="00AC753C" w:rsidRPr="007B0C30" w:rsidRDefault="00AC753C" w:rsidP="00AC753C">
            <w:pPr>
              <w:pStyle w:val="Chart6X"/>
              <w:keepLines w:val="0"/>
              <w:spacing w:before="0"/>
              <w:ind w:left="1418" w:hanging="1418"/>
            </w:pPr>
            <w:r>
              <w:t xml:space="preserve">General </w:t>
            </w:r>
            <w:r w:rsidR="008A1982">
              <w:t>g</w:t>
            </w:r>
            <w:r>
              <w:t xml:space="preserve">overnment </w:t>
            </w:r>
            <w:r w:rsidR="008A1982">
              <w:t>s</w:t>
            </w:r>
            <w:r>
              <w:t>ector net debt before and after impact of</w:t>
            </w:r>
            <w:r w:rsidRPr="007B0C30">
              <w:t xml:space="preserve"> AASB 16 Leases</w:t>
            </w:r>
          </w:p>
          <w:p w14:paraId="4D161406" w14:textId="18A9D6C3" w:rsidR="00AC753C" w:rsidRPr="007233C3" w:rsidRDefault="00AC753C" w:rsidP="005D1F35">
            <w:r w:rsidRPr="008E6212">
              <w:rPr>
                <w:noProof/>
                <w:lang w:val="en-AU"/>
              </w:rPr>
              <w:drawing>
                <wp:inline distT="0" distB="0" distL="0" distR="0" wp14:anchorId="0CF40F58" wp14:editId="09FD59AC">
                  <wp:extent cx="5963285" cy="2917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63285" cy="2917825"/>
                          </a:xfrm>
                          <a:prstGeom prst="rect">
                            <a:avLst/>
                          </a:prstGeom>
                          <a:noFill/>
                          <a:ln>
                            <a:noFill/>
                          </a:ln>
                        </pic:spPr>
                      </pic:pic>
                    </a:graphicData>
                  </a:graphic>
                </wp:inline>
              </w:drawing>
            </w:r>
          </w:p>
        </w:tc>
      </w:tr>
    </w:tbl>
    <w:p w14:paraId="4BAE600B" w14:textId="0445D088" w:rsidR="006D180D" w:rsidRPr="006763A4" w:rsidRDefault="006763A4">
      <w:pPr>
        <w:pStyle w:val="Heading2"/>
      </w:pPr>
      <w:r w:rsidRPr="007A05BF">
        <w:rPr>
          <w:rFonts w:hint="eastAsia"/>
        </w:rPr>
        <w:t>Highest</w:t>
      </w:r>
      <w:r w:rsidRPr="00EE2DCA">
        <w:rPr>
          <w:rFonts w:hint="eastAsia"/>
        </w:rPr>
        <w:t xml:space="preserve"> </w:t>
      </w:r>
      <w:r w:rsidR="00D342AB" w:rsidRPr="006763A4">
        <w:t xml:space="preserve">net worth of all </w:t>
      </w:r>
      <w:r w:rsidR="0086717E" w:rsidRPr="006763A4">
        <w:t>S</w:t>
      </w:r>
      <w:r w:rsidR="00D342AB" w:rsidRPr="006763A4">
        <w:t xml:space="preserve">tates and </w:t>
      </w:r>
      <w:r w:rsidR="0086717E" w:rsidRPr="006763A4">
        <w:t>T</w:t>
      </w:r>
      <w:r w:rsidR="00D342AB" w:rsidRPr="006763A4">
        <w:t>erritories</w:t>
      </w:r>
    </w:p>
    <w:p w14:paraId="5507BC0B" w14:textId="7F344CA2" w:rsidR="00063DF0" w:rsidRDefault="00B92177" w:rsidP="00F42F0C">
      <w:pPr>
        <w:pStyle w:val="BodyText"/>
      </w:pPr>
      <w:r>
        <w:t>The net worth of the g</w:t>
      </w:r>
      <w:r w:rsidR="007A0DBA">
        <w:t xml:space="preserve">eneral </w:t>
      </w:r>
      <w:r>
        <w:t>g</w:t>
      </w:r>
      <w:r w:rsidR="007A0DBA">
        <w:t xml:space="preserve">overnment sector </w:t>
      </w:r>
      <w:r w:rsidR="002823BC">
        <w:t xml:space="preserve">has surpassed a quarter of a trillion </w:t>
      </w:r>
      <w:r w:rsidR="00C879AB">
        <w:t xml:space="preserve">dollars and </w:t>
      </w:r>
      <w:r w:rsidR="00522165">
        <w:t xml:space="preserve">is </w:t>
      </w:r>
      <w:r w:rsidR="00C879AB">
        <w:t>expected to reach</w:t>
      </w:r>
      <w:r w:rsidR="00522165" w:rsidRPr="003D38B2">
        <w:t xml:space="preserve"> </w:t>
      </w:r>
      <w:r w:rsidR="0019586C" w:rsidRPr="003D38B2">
        <w:t>$</w:t>
      </w:r>
      <w:r w:rsidR="00177C1D" w:rsidRPr="00EA3F77">
        <w:t>2</w:t>
      </w:r>
      <w:r w:rsidR="00B73CFB" w:rsidRPr="00EA3F77">
        <w:t>6</w:t>
      </w:r>
      <w:r w:rsidR="00681CB8" w:rsidRPr="00EA3F77">
        <w:t>2</w:t>
      </w:r>
      <w:r w:rsidR="00B73CFB" w:rsidRPr="00EA3F77">
        <w:t>.</w:t>
      </w:r>
      <w:r w:rsidR="00681CB8" w:rsidRPr="00EA3F77">
        <w:t>0</w:t>
      </w:r>
      <w:r w:rsidR="00DE0B95" w:rsidRPr="003D38B2">
        <w:t> </w:t>
      </w:r>
      <w:r w:rsidR="00050DEA" w:rsidRPr="003D38B2">
        <w:t>billion</w:t>
      </w:r>
      <w:r w:rsidR="00050DEA" w:rsidRPr="007E23BE">
        <w:t xml:space="preserve"> </w:t>
      </w:r>
      <w:r w:rsidR="00522165">
        <w:t xml:space="preserve">as </w:t>
      </w:r>
      <w:r w:rsidR="00710F0F" w:rsidRPr="007E23BE">
        <w:t xml:space="preserve">at </w:t>
      </w:r>
      <w:r w:rsidR="00050DEA" w:rsidRPr="007E23BE">
        <w:t>June 201</w:t>
      </w:r>
      <w:r w:rsidR="00F025EA">
        <w:t>9</w:t>
      </w:r>
      <w:r w:rsidR="00917797" w:rsidRPr="001C1FC1">
        <w:t xml:space="preserve"> (see Chart </w:t>
      </w:r>
      <w:r w:rsidR="008A66C0">
        <w:t>6</w:t>
      </w:r>
      <w:r w:rsidR="00917797" w:rsidRPr="001C1FC1">
        <w:t>.</w:t>
      </w:r>
      <w:r w:rsidR="00757609">
        <w:t>4</w:t>
      </w:r>
      <w:r w:rsidR="00917797" w:rsidRPr="001C1FC1">
        <w:t>)</w:t>
      </w:r>
      <w:r w:rsidR="00C879AB">
        <w:t xml:space="preserve">. Net worth </w:t>
      </w:r>
      <w:r w:rsidR="00524097">
        <w:t>is forecast to</w:t>
      </w:r>
      <w:r w:rsidR="00B26F44">
        <w:t xml:space="preserve"> </w:t>
      </w:r>
      <w:r w:rsidR="002F4230">
        <w:t xml:space="preserve">continue to </w:t>
      </w:r>
      <w:r w:rsidR="00B26F44" w:rsidRPr="0047076D">
        <w:t xml:space="preserve">grow </w:t>
      </w:r>
      <w:r w:rsidR="00B26F44" w:rsidRPr="00B87626">
        <w:t xml:space="preserve">to </w:t>
      </w:r>
      <w:r w:rsidR="00AE7641" w:rsidRPr="00B87626">
        <w:t>$</w:t>
      </w:r>
      <w:r w:rsidR="00B87626" w:rsidRPr="00442735">
        <w:t>311.0</w:t>
      </w:r>
      <w:r w:rsidR="00DE0B95" w:rsidRPr="00B87626">
        <w:t> </w:t>
      </w:r>
      <w:r w:rsidR="00AE7641" w:rsidRPr="00B87626">
        <w:t>billion</w:t>
      </w:r>
      <w:r w:rsidR="00AE7641" w:rsidRPr="007E23BE">
        <w:t xml:space="preserve"> by June 202</w:t>
      </w:r>
      <w:r w:rsidR="00F025EA">
        <w:t>3</w:t>
      </w:r>
      <w:r w:rsidR="00B26F44">
        <w:t>,</w:t>
      </w:r>
      <w:r w:rsidR="00501941" w:rsidRPr="001C1FC1">
        <w:t xml:space="preserve"> </w:t>
      </w:r>
      <w:r w:rsidR="002F4230">
        <w:t xml:space="preserve">even with the Government’s asset recycling </w:t>
      </w:r>
      <w:r w:rsidR="00DF0F3C">
        <w:t xml:space="preserve">program. The State’s net worth is </w:t>
      </w:r>
      <w:r w:rsidR="00501941" w:rsidRPr="001C1FC1">
        <w:t xml:space="preserve">the highest of </w:t>
      </w:r>
      <w:r w:rsidR="00B26F44">
        <w:t>the</w:t>
      </w:r>
      <w:r w:rsidR="00710F0F" w:rsidRPr="001C1FC1">
        <w:t xml:space="preserve"> </w:t>
      </w:r>
      <w:r w:rsidR="00D6144F">
        <w:t>States and Territories</w:t>
      </w:r>
      <w:r w:rsidR="00B330CF" w:rsidRPr="001C1FC1">
        <w:t xml:space="preserve"> </w:t>
      </w:r>
      <w:r w:rsidR="00DF0F3C">
        <w:t>and around $100.0</w:t>
      </w:r>
      <w:r w:rsidR="009E5836">
        <w:t> </w:t>
      </w:r>
      <w:r w:rsidR="00DF0F3C">
        <w:t>billion</w:t>
      </w:r>
      <w:r w:rsidR="00DE397B">
        <w:t xml:space="preserve"> higher than the next largest State </w:t>
      </w:r>
      <w:r w:rsidR="005F364C" w:rsidRPr="001C1FC1">
        <w:t>(see</w:t>
      </w:r>
      <w:r w:rsidR="00DE0B95" w:rsidRPr="001C1FC1">
        <w:t> </w:t>
      </w:r>
      <w:r w:rsidR="005F364C" w:rsidRPr="001C1FC1">
        <w:t>Chart</w:t>
      </w:r>
      <w:r w:rsidR="00DE0B95" w:rsidRPr="001C1FC1">
        <w:t> </w:t>
      </w:r>
      <w:r w:rsidR="008A66C0">
        <w:t>6</w:t>
      </w:r>
      <w:r w:rsidR="005F364C" w:rsidRPr="001C1FC1">
        <w:t>.</w:t>
      </w:r>
      <w:r w:rsidR="00757609">
        <w:t>5</w:t>
      </w:r>
      <w:r w:rsidR="005F364C" w:rsidRPr="001C1FC1">
        <w:t>)</w:t>
      </w:r>
      <w:r w:rsidR="00710F0F" w:rsidRPr="001C1FC1">
        <w:rPr>
          <w:rStyle w:val="FootnoteReference"/>
        </w:rPr>
        <w:footnoteReference w:id="4"/>
      </w:r>
      <w:r w:rsidR="00AE7641" w:rsidRPr="001C1FC1">
        <w:t>.</w:t>
      </w:r>
      <w:r w:rsidR="003A5E91" w:rsidRPr="001C1FC1">
        <w:t xml:space="preserve"> </w:t>
      </w:r>
    </w:p>
    <w:p w14:paraId="6586D7C7" w14:textId="65649E06" w:rsidR="00FF0838" w:rsidRDefault="00FF0838" w:rsidP="00F42F0C">
      <w:pPr>
        <w:pStyle w:val="BodyText"/>
      </w:pPr>
    </w:p>
    <w:p w14:paraId="26C46858" w14:textId="77777777" w:rsidR="0019042D" w:rsidRDefault="0019042D">
      <w:pPr>
        <w:spacing w:after="200" w:line="276" w:lineRule="auto"/>
        <w:rPr>
          <w:rFonts w:ascii="Arial" w:hAnsi="Arial"/>
          <w:i/>
          <w:color w:val="4F4F4F"/>
          <w:sz w:val="22"/>
        </w:rPr>
      </w:pPr>
      <w:r>
        <w:br w:type="page"/>
      </w:r>
    </w:p>
    <w:p w14:paraId="078960F6" w14:textId="0F9D75FF" w:rsidR="00917797" w:rsidRDefault="00482969" w:rsidP="005F4C03">
      <w:pPr>
        <w:pStyle w:val="Chart6X"/>
        <w:ind w:left="1276" w:hanging="1276"/>
      </w:pPr>
      <w:r>
        <w:lastRenderedPageBreak/>
        <w:t xml:space="preserve">NSW </w:t>
      </w:r>
      <w:r w:rsidR="007543A7">
        <w:t xml:space="preserve">general </w:t>
      </w:r>
      <w:r w:rsidR="00206EA9">
        <w:t>government sector</w:t>
      </w:r>
      <w:r w:rsidR="00917797">
        <w:t xml:space="preserve"> net worth to </w:t>
      </w:r>
      <w:r w:rsidR="00917797" w:rsidRPr="005440B7">
        <w:t>increase by $</w:t>
      </w:r>
      <w:r w:rsidR="00E644CB" w:rsidRPr="00EA3F77">
        <w:t>4</w:t>
      </w:r>
      <w:r w:rsidR="005440B7" w:rsidRPr="00EA3F77">
        <w:t>9.0</w:t>
      </w:r>
      <w:r w:rsidR="00917797" w:rsidRPr="005440B7">
        <w:t xml:space="preserve"> billion</w:t>
      </w:r>
      <w:r w:rsidR="00917797" w:rsidRPr="001C1FC1">
        <w:t xml:space="preserve"> over</w:t>
      </w:r>
      <w:r w:rsidR="00917797" w:rsidRPr="00800E96">
        <w:t xml:space="preserve"> </w:t>
      </w:r>
      <w:r w:rsidR="0019586C" w:rsidRPr="00800E96">
        <w:t>the next four</w:t>
      </w:r>
      <w:r w:rsidR="003C6180">
        <w:t xml:space="preserve"> years</w:t>
      </w:r>
    </w:p>
    <w:p w14:paraId="3C597A83" w14:textId="01E42E15" w:rsidR="00917797" w:rsidRDefault="001344DD" w:rsidP="00B87626">
      <w:r w:rsidRPr="001344DD">
        <w:rPr>
          <w:noProof/>
        </w:rPr>
        <w:drawing>
          <wp:inline distT="0" distB="0" distL="0" distR="0" wp14:anchorId="5ACCDB07" wp14:editId="4CA0B1CE">
            <wp:extent cx="6067425" cy="3457575"/>
            <wp:effectExtent l="0" t="0" r="9525" b="9525"/>
            <wp:docPr id="2" name="Picture 2" descr="Chart 6.4: NSW general government sector net worth to increase by $49.0 billion over the next four ye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67425" cy="3457575"/>
                    </a:xfrm>
                    <a:prstGeom prst="rect">
                      <a:avLst/>
                    </a:prstGeom>
                    <a:noFill/>
                    <a:ln>
                      <a:noFill/>
                    </a:ln>
                  </pic:spPr>
                </pic:pic>
              </a:graphicData>
            </a:graphic>
          </wp:inline>
        </w:drawing>
      </w:r>
    </w:p>
    <w:p w14:paraId="2B65FAD3" w14:textId="3004FD24" w:rsidR="00AF4D63" w:rsidRPr="001C1FC1" w:rsidRDefault="00FF0838" w:rsidP="00F42F0C">
      <w:pPr>
        <w:pStyle w:val="BodyText"/>
      </w:pPr>
      <w:r>
        <w:t xml:space="preserve">New South Wales’ </w:t>
      </w:r>
      <w:r w:rsidR="0019586C">
        <w:t xml:space="preserve">net </w:t>
      </w:r>
      <w:r w:rsidR="0019586C" w:rsidRPr="00450F07">
        <w:t>worth</w:t>
      </w:r>
      <w:r w:rsidR="00084593">
        <w:t xml:space="preserve"> is </w:t>
      </w:r>
      <w:r w:rsidR="005C376B">
        <w:t>projected</w:t>
      </w:r>
      <w:r w:rsidR="00084593">
        <w:t xml:space="preserve"> to increase further over the forward estimates, driven by growth in the State’s non</w:t>
      </w:r>
      <w:r w:rsidR="001344DD">
        <w:noBreakHyphen/>
      </w:r>
      <w:r w:rsidR="00084593">
        <w:t>financial assets.</w:t>
      </w:r>
      <w:r w:rsidR="0019586C" w:rsidRPr="00450F07">
        <w:t xml:space="preserve"> </w:t>
      </w:r>
      <w:r w:rsidR="009E2869" w:rsidRPr="001C1FC1">
        <w:t>Most notably:</w:t>
      </w:r>
      <w:r w:rsidR="00112D70" w:rsidRPr="001C1FC1">
        <w:t xml:space="preserve"> </w:t>
      </w:r>
    </w:p>
    <w:p w14:paraId="25C4DC0A" w14:textId="4A701C14" w:rsidR="00FF2E7E" w:rsidRPr="001C1FC1" w:rsidRDefault="009E2869" w:rsidP="00F42F0C">
      <w:pPr>
        <w:pStyle w:val="Bullet1"/>
      </w:pPr>
      <w:r w:rsidRPr="001C1FC1">
        <w:t>t</w:t>
      </w:r>
      <w:r w:rsidR="00450F07" w:rsidRPr="001C1FC1">
        <w:t>he value of p</w:t>
      </w:r>
      <w:r w:rsidR="00734D3B" w:rsidRPr="001C1FC1">
        <w:t xml:space="preserve">roperty, plant and </w:t>
      </w:r>
      <w:r w:rsidR="00734D3B" w:rsidRPr="005469D2">
        <w:t>equipment is expected to grow from $</w:t>
      </w:r>
      <w:r w:rsidR="00557DB6" w:rsidRPr="00EA3F77">
        <w:t>22</w:t>
      </w:r>
      <w:r w:rsidR="003C59B2">
        <w:t>4</w:t>
      </w:r>
      <w:r w:rsidR="00557DB6" w:rsidRPr="00EA3F77">
        <w:t>.</w:t>
      </w:r>
      <w:r w:rsidR="003C59B2">
        <w:t>8</w:t>
      </w:r>
      <w:r w:rsidR="00DE0B95" w:rsidRPr="005469D2">
        <w:t> </w:t>
      </w:r>
      <w:r w:rsidR="00734D3B" w:rsidRPr="005469D2">
        <w:t>billion at June</w:t>
      </w:r>
      <w:r w:rsidR="00DC62B6" w:rsidRPr="005469D2">
        <w:t> </w:t>
      </w:r>
      <w:r w:rsidR="00734D3B" w:rsidRPr="005469D2">
        <w:t>201</w:t>
      </w:r>
      <w:r w:rsidR="00F025EA" w:rsidRPr="005469D2">
        <w:t>9</w:t>
      </w:r>
      <w:r w:rsidR="00734D3B" w:rsidRPr="005469D2">
        <w:t xml:space="preserve"> to $</w:t>
      </w:r>
      <w:r w:rsidR="0083095F" w:rsidRPr="00EA3F77">
        <w:t>2</w:t>
      </w:r>
      <w:r w:rsidR="006B417A">
        <w:t>7</w:t>
      </w:r>
      <w:r w:rsidR="002351FD">
        <w:t>4.8</w:t>
      </w:r>
      <w:r w:rsidR="00397454" w:rsidRPr="00EA3F77">
        <w:t xml:space="preserve"> billion</w:t>
      </w:r>
      <w:r w:rsidR="00DE0B95" w:rsidRPr="005469D2">
        <w:t> </w:t>
      </w:r>
      <w:r w:rsidR="00734D3B" w:rsidRPr="005469D2">
        <w:t>at June 202</w:t>
      </w:r>
      <w:r w:rsidR="00F025EA" w:rsidRPr="005469D2">
        <w:t>3</w:t>
      </w:r>
      <w:r w:rsidR="00FF2E7E" w:rsidRPr="005469D2">
        <w:t xml:space="preserve">, due to </w:t>
      </w:r>
      <w:r w:rsidR="00D6144F" w:rsidRPr="005469D2">
        <w:t xml:space="preserve">the Government </w:t>
      </w:r>
      <w:r w:rsidR="00FF2E7E" w:rsidRPr="005469D2">
        <w:t xml:space="preserve">investing </w:t>
      </w:r>
      <w:r w:rsidR="002C5D96" w:rsidRPr="005469D2">
        <w:t>net operating cash into infrastructure</w:t>
      </w:r>
      <w:r w:rsidR="005E1AC1" w:rsidRPr="005469D2">
        <w:t>, asset recycling</w:t>
      </w:r>
      <w:r w:rsidR="002C5D96" w:rsidRPr="005469D2">
        <w:t xml:space="preserve"> and asset revaluations</w:t>
      </w:r>
    </w:p>
    <w:p w14:paraId="73F6528B" w14:textId="49F2087A" w:rsidR="0060482E" w:rsidRPr="00D44AA6" w:rsidRDefault="003A5E91" w:rsidP="00F42F0C">
      <w:pPr>
        <w:pStyle w:val="Bullet1"/>
      </w:pPr>
      <w:r w:rsidRPr="001C1FC1">
        <w:t>t</w:t>
      </w:r>
      <w:r w:rsidR="00F80865" w:rsidRPr="001C1FC1">
        <w:t xml:space="preserve">he </w:t>
      </w:r>
      <w:r w:rsidRPr="001C1FC1">
        <w:t xml:space="preserve">Government’s </w:t>
      </w:r>
      <w:r w:rsidR="009E2869" w:rsidRPr="001C1FC1">
        <w:t xml:space="preserve">equity </w:t>
      </w:r>
      <w:r w:rsidR="00F80865" w:rsidRPr="00DD60D3">
        <w:t xml:space="preserve">investments </w:t>
      </w:r>
      <w:r w:rsidR="00450F07" w:rsidRPr="00DD60D3">
        <w:t xml:space="preserve">are </w:t>
      </w:r>
      <w:r w:rsidR="008B6818" w:rsidRPr="00DD60D3">
        <w:t>expected to increase from $</w:t>
      </w:r>
      <w:r w:rsidR="00870D33" w:rsidRPr="00EA3F77">
        <w:t>113.2</w:t>
      </w:r>
      <w:r w:rsidR="008B6818" w:rsidRPr="00DD60D3">
        <w:t xml:space="preserve"> billion at June</w:t>
      </w:r>
      <w:r w:rsidR="00DC62B6" w:rsidRPr="00DD60D3">
        <w:t> </w:t>
      </w:r>
      <w:r w:rsidR="008B6818" w:rsidRPr="00DD60D3">
        <w:t>201</w:t>
      </w:r>
      <w:r w:rsidR="00F025EA" w:rsidRPr="00DD60D3">
        <w:t>9</w:t>
      </w:r>
      <w:r w:rsidR="008B6818" w:rsidRPr="00DD60D3">
        <w:t xml:space="preserve"> to $</w:t>
      </w:r>
      <w:r w:rsidR="009B0F63" w:rsidRPr="00EA3F77">
        <w:t>135.5</w:t>
      </w:r>
      <w:r w:rsidR="00DE0B95" w:rsidRPr="00DD60D3">
        <w:t> </w:t>
      </w:r>
      <w:r w:rsidR="008B6818" w:rsidRPr="00DD60D3">
        <w:t>billion by June</w:t>
      </w:r>
      <w:r w:rsidR="008B6818" w:rsidRPr="007E23BE">
        <w:t xml:space="preserve"> 202</w:t>
      </w:r>
      <w:r w:rsidR="00F025EA">
        <w:t>3</w:t>
      </w:r>
      <w:r w:rsidR="00AE7641" w:rsidRPr="001C1FC1">
        <w:t xml:space="preserve">, </w:t>
      </w:r>
      <w:r w:rsidR="00AE7641" w:rsidRPr="00D44AA6">
        <w:t>driven</w:t>
      </w:r>
      <w:r w:rsidR="00AE7641" w:rsidRPr="001C1FC1">
        <w:t xml:space="preserve"> by </w:t>
      </w:r>
      <w:r w:rsidR="00777E46" w:rsidRPr="001C1FC1">
        <w:t xml:space="preserve">strong growth in the </w:t>
      </w:r>
      <w:r w:rsidR="00D61B88">
        <w:t>public non</w:t>
      </w:r>
      <w:r w:rsidR="00D61B88">
        <w:noBreakHyphen/>
        <w:t xml:space="preserve">financial </w:t>
      </w:r>
      <w:proofErr w:type="gramStart"/>
      <w:r w:rsidR="00D61B88">
        <w:t>corporations</w:t>
      </w:r>
      <w:proofErr w:type="gramEnd"/>
      <w:r w:rsidR="00D61B88">
        <w:t xml:space="preserve"> </w:t>
      </w:r>
      <w:r w:rsidR="00777E46" w:rsidRPr="001C1FC1">
        <w:t>sector (</w:t>
      </w:r>
      <w:r w:rsidR="00734D3B" w:rsidRPr="001C1FC1">
        <w:t>see</w:t>
      </w:r>
      <w:r w:rsidR="007E23BE">
        <w:t> </w:t>
      </w:r>
      <w:r w:rsidR="00777E46" w:rsidRPr="001C1FC1">
        <w:t xml:space="preserve">Chapter </w:t>
      </w:r>
      <w:r w:rsidR="00C2438B">
        <w:t>7</w:t>
      </w:r>
      <w:r w:rsidR="00777E46" w:rsidRPr="001C1FC1">
        <w:t>)</w:t>
      </w:r>
    </w:p>
    <w:p w14:paraId="2C209682" w14:textId="56483ED5" w:rsidR="00020625" w:rsidRDefault="003A5E91" w:rsidP="00F42F0C">
      <w:pPr>
        <w:pStyle w:val="Bullet1"/>
      </w:pPr>
      <w:r>
        <w:t>t</w:t>
      </w:r>
      <w:r w:rsidR="00E36A82" w:rsidRPr="00E36A82">
        <w:t xml:space="preserve">he </w:t>
      </w:r>
      <w:r w:rsidR="00E36A82" w:rsidRPr="00497F71">
        <w:t>expect</w:t>
      </w:r>
      <w:r w:rsidR="00E36A82" w:rsidRPr="00524805">
        <w:t xml:space="preserve">ed </w:t>
      </w:r>
      <w:r w:rsidRPr="00524805">
        <w:t>$</w:t>
      </w:r>
      <w:r w:rsidR="00524805" w:rsidRPr="00442735">
        <w:t>35.8</w:t>
      </w:r>
      <w:r w:rsidRPr="00524805">
        <w:t xml:space="preserve"> billion</w:t>
      </w:r>
      <w:r w:rsidRPr="001C1FC1">
        <w:t xml:space="preserve"> </w:t>
      </w:r>
      <w:r w:rsidR="00E36A82" w:rsidRPr="001C1FC1">
        <w:t xml:space="preserve">increase in borrowings </w:t>
      </w:r>
      <w:r w:rsidR="0065459F" w:rsidRPr="001C1FC1">
        <w:t>over the four years to June 202</w:t>
      </w:r>
      <w:r w:rsidR="00F025EA">
        <w:t>3</w:t>
      </w:r>
      <w:r w:rsidR="00084593">
        <w:t xml:space="preserve"> to fund the Government’s record infrastructure investment</w:t>
      </w:r>
      <w:r w:rsidR="0065459F" w:rsidRPr="001C1FC1">
        <w:t xml:space="preserve"> </w:t>
      </w:r>
      <w:r w:rsidR="00E36A82" w:rsidRPr="001C1FC1">
        <w:t xml:space="preserve">is largely offset by </w:t>
      </w:r>
      <w:r w:rsidR="00E36A82" w:rsidRPr="00A32F6E">
        <w:t xml:space="preserve">a </w:t>
      </w:r>
      <w:r w:rsidRPr="00A32F6E">
        <w:t>$</w:t>
      </w:r>
      <w:r w:rsidR="00520D14" w:rsidRPr="00A32F6E">
        <w:t>20.1</w:t>
      </w:r>
      <w:r w:rsidRPr="00A32F6E">
        <w:t xml:space="preserve"> billion</w:t>
      </w:r>
      <w:r w:rsidRPr="001C1FC1">
        <w:t xml:space="preserve"> </w:t>
      </w:r>
      <w:r w:rsidR="00084593">
        <w:t>reduction</w:t>
      </w:r>
      <w:r w:rsidR="00E36A82" w:rsidRPr="001C1FC1">
        <w:t xml:space="preserve"> in</w:t>
      </w:r>
      <w:r w:rsidR="00CD65BE">
        <w:t xml:space="preserve"> projected</w:t>
      </w:r>
      <w:r w:rsidR="00E36A82" w:rsidRPr="001C1FC1">
        <w:t xml:space="preserve"> superannuation </w:t>
      </w:r>
      <w:r w:rsidR="00E36A82" w:rsidRPr="00D44AA6">
        <w:t>liabilities</w:t>
      </w:r>
      <w:r w:rsidR="00084593">
        <w:t>.</w:t>
      </w:r>
      <w:r w:rsidR="00E36A82" w:rsidRPr="001C1FC1">
        <w:t xml:space="preserve"> </w:t>
      </w:r>
      <w:r w:rsidR="00084593">
        <w:t>T</w:t>
      </w:r>
      <w:r w:rsidRPr="001C1FC1">
        <w:t>he State</w:t>
      </w:r>
      <w:r w:rsidR="007F2CB9">
        <w:t xml:space="preserve"> is making annual contributions to ensure it meets</w:t>
      </w:r>
      <w:r w:rsidR="006C4495">
        <w:t xml:space="preserve"> its commitment</w:t>
      </w:r>
      <w:r w:rsidR="00383A36">
        <w:t xml:space="preserve"> </w:t>
      </w:r>
      <w:r w:rsidR="00084593">
        <w:t xml:space="preserve">to </w:t>
      </w:r>
      <w:r w:rsidR="00E36A82" w:rsidRPr="00E36A82">
        <w:t>fully fund its superannuati</w:t>
      </w:r>
      <w:r w:rsidR="007E23BE">
        <w:t>on liabilities by 2030 (see Box </w:t>
      </w:r>
      <w:r w:rsidR="008A66C0">
        <w:t>6</w:t>
      </w:r>
      <w:r w:rsidR="00E36A82" w:rsidRPr="00E36A82">
        <w:t>.</w:t>
      </w:r>
      <w:r w:rsidR="00757609">
        <w:t>4</w:t>
      </w:r>
      <w:r w:rsidR="00E36A82" w:rsidRPr="00E36A82">
        <w:t xml:space="preserve"> for more detail</w:t>
      </w:r>
      <w:r w:rsidR="00383A36">
        <w:t>s</w:t>
      </w:r>
      <w:r w:rsidR="00E36A82" w:rsidRPr="00E36A82">
        <w:t>).</w:t>
      </w:r>
    </w:p>
    <w:p w14:paraId="652F5D86" w14:textId="47CFDB5D" w:rsidR="00613E89" w:rsidRDefault="00613E89">
      <w:pPr>
        <w:spacing w:after="200" w:line="276" w:lineRule="auto"/>
        <w:rPr>
          <w:rFonts w:ascii="Arial" w:hAnsi="Arial" w:cs="Arial"/>
          <w:sz w:val="23"/>
          <w:lang w:val="en-AU"/>
        </w:rPr>
      </w:pPr>
      <w:r>
        <w:br w:type="page"/>
      </w:r>
    </w:p>
    <w:p w14:paraId="69E8024D" w14:textId="50C3A4A5" w:rsidR="00917797" w:rsidRPr="00EA3F77" w:rsidRDefault="00190B87" w:rsidP="005F4C03">
      <w:pPr>
        <w:pStyle w:val="Chart6X"/>
        <w:ind w:left="1276" w:hanging="1276"/>
      </w:pPr>
      <w:r w:rsidRPr="00A32F6E">
        <w:lastRenderedPageBreak/>
        <w:t>G</w:t>
      </w:r>
      <w:r w:rsidR="003307FE" w:rsidRPr="00A32F6E">
        <w:t>eneral government sector</w:t>
      </w:r>
      <w:r w:rsidR="00917797" w:rsidRPr="00A32F6E">
        <w:t xml:space="preserve"> net worth </w:t>
      </w:r>
      <w:r w:rsidR="00B26F44" w:rsidRPr="00A32F6E">
        <w:t>of</w:t>
      </w:r>
      <w:r w:rsidR="00917797" w:rsidRPr="00A32F6E">
        <w:t xml:space="preserve"> Australian </w:t>
      </w:r>
      <w:r w:rsidR="00B26F44" w:rsidRPr="00A32F6E">
        <w:t>S</w:t>
      </w:r>
      <w:r w:rsidR="00917797" w:rsidRPr="00A32F6E">
        <w:t xml:space="preserve">tates and </w:t>
      </w:r>
      <w:r w:rsidR="00B26F44" w:rsidRPr="00A32F6E">
        <w:t>T</w:t>
      </w:r>
      <w:r w:rsidR="00917797" w:rsidRPr="00A32F6E">
        <w:t>erritories in 201</w:t>
      </w:r>
      <w:r w:rsidR="00E60FB9" w:rsidRPr="00A32F6E">
        <w:t>8</w:t>
      </w:r>
      <w:r w:rsidR="00917797" w:rsidRPr="00A32F6E">
        <w:t>-1</w:t>
      </w:r>
      <w:r w:rsidR="009E5836">
        <w:t>9</w:t>
      </w:r>
      <w:r w:rsidR="009B2589" w:rsidRPr="00EA3F77">
        <w:rPr>
          <w:vertAlign w:val="superscript"/>
        </w:rPr>
        <w:t>(a)</w:t>
      </w:r>
      <w:r w:rsidR="00F66B81" w:rsidRPr="00A32F6E">
        <w:t xml:space="preserve"> </w:t>
      </w:r>
    </w:p>
    <w:p w14:paraId="3963B17B" w14:textId="2575FD2F" w:rsidR="007B57C3" w:rsidRPr="00BC417B" w:rsidRDefault="00C61AF7" w:rsidP="005D1F35">
      <w:r>
        <w:rPr>
          <w:noProof/>
        </w:rPr>
        <w:drawing>
          <wp:inline distT="0" distB="0" distL="0" distR="0" wp14:anchorId="662B08FA" wp14:editId="1AF11576">
            <wp:extent cx="6054090" cy="2407920"/>
            <wp:effectExtent l="0" t="0" r="3810" b="0"/>
            <wp:docPr id="1" name="Picture 1" descr="Chart 6.5: General government sector net worth of Australian States and Territories in 20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4090" cy="2407920"/>
                    </a:xfrm>
                    <a:prstGeom prst="rect">
                      <a:avLst/>
                    </a:prstGeom>
                    <a:noFill/>
                  </pic:spPr>
                </pic:pic>
              </a:graphicData>
            </a:graphic>
          </wp:inline>
        </w:drawing>
      </w:r>
    </w:p>
    <w:p w14:paraId="0B4137A7" w14:textId="0769DD14" w:rsidR="009B2589" w:rsidRPr="005D1F35" w:rsidRDefault="00F60AD5" w:rsidP="005D1F35">
      <w:pPr>
        <w:ind w:left="357" w:hanging="357"/>
        <w:rPr>
          <w:rFonts w:ascii="Arial" w:hAnsi="Arial" w:cs="Arial"/>
          <w:sz w:val="17"/>
          <w:szCs w:val="17"/>
        </w:rPr>
      </w:pPr>
      <w:r w:rsidRPr="005D1F35">
        <w:rPr>
          <w:rFonts w:ascii="Arial" w:hAnsi="Arial" w:cs="Arial"/>
          <w:sz w:val="17"/>
          <w:szCs w:val="17"/>
        </w:rPr>
        <w:t>(a)</w:t>
      </w:r>
      <w:r w:rsidR="00A604FE" w:rsidRPr="005D1F35">
        <w:rPr>
          <w:rFonts w:ascii="Arial" w:hAnsi="Arial" w:cs="Arial"/>
          <w:sz w:val="17"/>
          <w:szCs w:val="17"/>
        </w:rPr>
        <w:t xml:space="preserve"> </w:t>
      </w:r>
      <w:r w:rsidR="005D1F35">
        <w:rPr>
          <w:rFonts w:ascii="Arial" w:hAnsi="Arial" w:cs="Arial"/>
          <w:sz w:val="17"/>
          <w:szCs w:val="17"/>
        </w:rPr>
        <w:tab/>
      </w:r>
      <w:r w:rsidR="00A604FE" w:rsidRPr="005D1F35">
        <w:rPr>
          <w:rFonts w:ascii="Arial" w:hAnsi="Arial" w:cs="Arial"/>
          <w:sz w:val="17"/>
          <w:szCs w:val="17"/>
        </w:rPr>
        <w:t xml:space="preserve">Net worth for SA at </w:t>
      </w:r>
      <w:r w:rsidR="009F30A1" w:rsidRPr="005D1F35">
        <w:rPr>
          <w:rFonts w:ascii="Arial" w:hAnsi="Arial" w:cs="Arial"/>
          <w:sz w:val="17"/>
          <w:szCs w:val="17"/>
        </w:rPr>
        <w:t xml:space="preserve">2018-19 Mid-year Budget Update and all other States and Territories at </w:t>
      </w:r>
      <w:r w:rsidR="008A2B72" w:rsidRPr="005D1F35">
        <w:rPr>
          <w:rFonts w:ascii="Arial" w:hAnsi="Arial" w:cs="Arial"/>
          <w:sz w:val="17"/>
          <w:szCs w:val="17"/>
        </w:rPr>
        <w:t>2019-20 Budget</w:t>
      </w:r>
    </w:p>
    <w:p w14:paraId="5F47A78D" w14:textId="0139F7D8" w:rsidR="00FE27B6" w:rsidRDefault="00FE27B6" w:rsidP="005D1F35">
      <w:pPr>
        <w:pStyle w:val="Heading3"/>
        <w:rPr>
          <w:rFonts w:eastAsia="Arial Unicode MS"/>
        </w:rPr>
      </w:pPr>
      <w:r>
        <w:rPr>
          <w:rFonts w:eastAsia="Arial Unicode MS"/>
        </w:rPr>
        <w:t xml:space="preserve">Financial </w:t>
      </w:r>
      <w:r w:rsidR="00DE0B95" w:rsidRPr="005D1F35">
        <w:rPr>
          <w:rFonts w:eastAsia="Arial Unicode MS"/>
        </w:rPr>
        <w:t>a</w:t>
      </w:r>
      <w:r w:rsidRPr="005D1F35">
        <w:rPr>
          <w:rFonts w:eastAsia="Arial Unicode MS"/>
        </w:rPr>
        <w:t>ssets</w:t>
      </w:r>
      <w:r>
        <w:rPr>
          <w:rFonts w:eastAsia="Arial Unicode MS"/>
        </w:rPr>
        <w:t xml:space="preserve"> </w:t>
      </w:r>
    </w:p>
    <w:p w14:paraId="28E6BA39" w14:textId="6CC36B89" w:rsidR="0052220D" w:rsidRDefault="00AB21E9" w:rsidP="00F42F0C">
      <w:pPr>
        <w:pStyle w:val="BodyText"/>
      </w:pPr>
      <w:bookmarkStart w:id="0" w:name="_Hlk514688603"/>
      <w:r>
        <w:t>T</w:t>
      </w:r>
      <w:r w:rsidR="007A190D">
        <w:t xml:space="preserve">he State’s total financial assets </w:t>
      </w:r>
      <w:r w:rsidR="00A76CC5">
        <w:t xml:space="preserve">are </w:t>
      </w:r>
      <w:r w:rsidR="00A76CC5" w:rsidRPr="001C1FC1">
        <w:t>projected to</w:t>
      </w:r>
      <w:r w:rsidR="007A190D" w:rsidRPr="001C1FC1">
        <w:t xml:space="preserve"> </w:t>
      </w:r>
      <w:r w:rsidR="007A190D" w:rsidRPr="00B249F3">
        <w:t>be $</w:t>
      </w:r>
      <w:r w:rsidR="00B249F3" w:rsidRPr="00EA3F77">
        <w:t>168.9</w:t>
      </w:r>
      <w:r w:rsidR="0065459F" w:rsidRPr="00B249F3">
        <w:t> </w:t>
      </w:r>
      <w:r w:rsidR="007A190D" w:rsidRPr="00B249F3">
        <w:t>billion</w:t>
      </w:r>
      <w:r w:rsidR="007A190D" w:rsidRPr="007E23BE">
        <w:t xml:space="preserve"> at June 201</w:t>
      </w:r>
      <w:r w:rsidR="00F025EA">
        <w:t>9</w:t>
      </w:r>
      <w:r w:rsidR="007A190D" w:rsidRPr="000377A9">
        <w:t xml:space="preserve">, </w:t>
      </w:r>
      <w:r w:rsidR="00D55914" w:rsidRPr="00EA3F77">
        <w:t>increasing</w:t>
      </w:r>
      <w:r w:rsidR="00D55914" w:rsidRPr="007E23BE">
        <w:t xml:space="preserve"> </w:t>
      </w:r>
      <w:r w:rsidR="007A190D" w:rsidRPr="007E23BE">
        <w:t xml:space="preserve">to </w:t>
      </w:r>
      <w:r w:rsidR="00112D70" w:rsidRPr="007E23BE">
        <w:t>$</w:t>
      </w:r>
      <w:r w:rsidR="000377A9" w:rsidRPr="00EA3F77">
        <w:t>1</w:t>
      </w:r>
      <w:r w:rsidR="00C77969">
        <w:t>80.9</w:t>
      </w:r>
      <w:r w:rsidR="00DE0B95" w:rsidRPr="000377A9">
        <w:t> </w:t>
      </w:r>
      <w:r w:rsidR="007A190D" w:rsidRPr="000377A9">
        <w:t>billion</w:t>
      </w:r>
      <w:r w:rsidR="007A190D" w:rsidRPr="007E23BE">
        <w:t xml:space="preserve"> by June 202</w:t>
      </w:r>
      <w:r w:rsidR="00F025EA">
        <w:t>3</w:t>
      </w:r>
      <w:r w:rsidR="00A915B6" w:rsidRPr="001C1FC1">
        <w:t xml:space="preserve"> (see Chart </w:t>
      </w:r>
      <w:r w:rsidR="008A66C0">
        <w:t>6</w:t>
      </w:r>
      <w:r w:rsidR="00A915B6" w:rsidRPr="001C1FC1">
        <w:t>.</w:t>
      </w:r>
      <w:r w:rsidR="00757609">
        <w:t>6</w:t>
      </w:r>
      <w:r w:rsidRPr="001C1FC1">
        <w:t>)</w:t>
      </w:r>
      <w:r w:rsidR="007A190D" w:rsidRPr="001C1FC1">
        <w:t xml:space="preserve">. </w:t>
      </w:r>
      <w:r w:rsidR="00FF44BB" w:rsidRPr="001C1FC1">
        <w:t>G</w:t>
      </w:r>
      <w:r w:rsidR="0052220D" w:rsidRPr="001C1FC1">
        <w:t>rowth</w:t>
      </w:r>
      <w:r w:rsidR="0052220D">
        <w:t xml:space="preserve"> in the </w:t>
      </w:r>
      <w:r w:rsidR="00FF44BB">
        <w:t xml:space="preserve">value of the </w:t>
      </w:r>
      <w:r w:rsidR="0052220D">
        <w:t xml:space="preserve">State’s equity investments </w:t>
      </w:r>
      <w:r w:rsidR="00FF44BB">
        <w:t>partially</w:t>
      </w:r>
      <w:r w:rsidR="0052220D">
        <w:t xml:space="preserve"> offset</w:t>
      </w:r>
      <w:r w:rsidR="00702BEF">
        <w:t>s</w:t>
      </w:r>
      <w:r w:rsidR="0052220D">
        <w:t xml:space="preserve"> </w:t>
      </w:r>
      <w:r w:rsidR="00522F22">
        <w:t xml:space="preserve">the gradual reduction </w:t>
      </w:r>
      <w:r w:rsidR="008873B7">
        <w:t xml:space="preserve">in the NIFF balance, as scheduled payments are drawn to fund infrastructure </w:t>
      </w:r>
      <w:r w:rsidR="001B18B7">
        <w:t>projects.</w:t>
      </w:r>
    </w:p>
    <w:p w14:paraId="5EDB786F" w14:textId="0144CECF" w:rsidR="00FE27B6" w:rsidRPr="00662C79" w:rsidRDefault="00190B87" w:rsidP="005F4C03">
      <w:pPr>
        <w:pStyle w:val="Chart6X"/>
        <w:ind w:left="1276" w:hanging="1276"/>
      </w:pPr>
      <w:r>
        <w:t>G</w:t>
      </w:r>
      <w:r w:rsidR="005571A8">
        <w:t>eneral government sector</w:t>
      </w:r>
      <w:r w:rsidR="008B6818" w:rsidRPr="00C5400F">
        <w:t xml:space="preserve"> </w:t>
      </w:r>
      <w:bookmarkEnd w:id="0"/>
      <w:r w:rsidR="008B6818">
        <w:t>f</w:t>
      </w:r>
      <w:r w:rsidR="00FE27B6" w:rsidRPr="0080388D">
        <w:t xml:space="preserve">inancial assets </w:t>
      </w:r>
      <w:r w:rsidR="00917EE8">
        <w:t>reflect asset divestments and cash management reforms</w:t>
      </w:r>
      <w:r w:rsidR="00F66B81">
        <w:t xml:space="preserve"> </w:t>
      </w:r>
    </w:p>
    <w:p w14:paraId="5261B969" w14:textId="290405E0" w:rsidR="00C94BEB" w:rsidRDefault="00EA09F0" w:rsidP="00442735">
      <w:r w:rsidRPr="00EA09F0">
        <w:rPr>
          <w:noProof/>
        </w:rPr>
        <w:drawing>
          <wp:inline distT="0" distB="0" distL="0" distR="0" wp14:anchorId="0492B95F" wp14:editId="2274A9C3">
            <wp:extent cx="6049645" cy="3401695"/>
            <wp:effectExtent l="0" t="0" r="8255" b="8255"/>
            <wp:docPr id="9" name="Picture 9" descr="Chart 6.6: General government sector financial assets reflect asset divestments and cash management reform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49645" cy="3401695"/>
                    </a:xfrm>
                    <a:prstGeom prst="rect">
                      <a:avLst/>
                    </a:prstGeom>
                    <a:noFill/>
                    <a:ln>
                      <a:noFill/>
                    </a:ln>
                  </pic:spPr>
                </pic:pic>
              </a:graphicData>
            </a:graphic>
          </wp:inline>
        </w:drawing>
      </w:r>
    </w:p>
    <w:p w14:paraId="3D0A9CD7" w14:textId="77777777" w:rsidR="00DD6305" w:rsidRDefault="00DD6305" w:rsidP="00F42F0C">
      <w:pPr>
        <w:pStyle w:val="BodyText"/>
      </w:pPr>
    </w:p>
    <w:p w14:paraId="1D903C4B" w14:textId="77777777" w:rsidR="001344DD" w:rsidRDefault="001344DD">
      <w:pPr>
        <w:spacing w:after="200" w:line="276" w:lineRule="auto"/>
        <w:rPr>
          <w:rFonts w:ascii="Arial" w:eastAsiaTheme="minorHAnsi" w:hAnsi="Arial" w:cs="Arial"/>
          <w:sz w:val="23"/>
          <w:lang w:val="en-AU"/>
        </w:rPr>
      </w:pPr>
      <w:r>
        <w:br w:type="page"/>
      </w:r>
    </w:p>
    <w:p w14:paraId="60D4E930" w14:textId="3E14ED95" w:rsidR="00B26F44" w:rsidRDefault="00B26F44" w:rsidP="00F42F0C">
      <w:pPr>
        <w:pStyle w:val="BodyText"/>
      </w:pPr>
      <w:r w:rsidRPr="008A1D13">
        <w:lastRenderedPageBreak/>
        <w:t>The State’s equity investments in other public</w:t>
      </w:r>
      <w:r w:rsidR="00104240">
        <w:t>-</w:t>
      </w:r>
      <w:r w:rsidRPr="008A1D13">
        <w:t>sector entities</w:t>
      </w:r>
      <w:r w:rsidR="0026208A" w:rsidRPr="001C1FC1">
        <w:rPr>
          <w:rStyle w:val="FootnoteReference"/>
        </w:rPr>
        <w:footnoteReference w:id="5"/>
      </w:r>
      <w:r w:rsidRPr="008A1D13">
        <w:t xml:space="preserve"> </w:t>
      </w:r>
      <w:r w:rsidR="009272A0">
        <w:t xml:space="preserve">make up the majority of financial assets held by the </w:t>
      </w:r>
      <w:proofErr w:type="gramStart"/>
      <w:r w:rsidR="009272A0">
        <w:t>State, and</w:t>
      </w:r>
      <w:proofErr w:type="gramEnd"/>
      <w:r w:rsidR="009272A0">
        <w:t xml:space="preserve"> have </w:t>
      </w:r>
      <w:r w:rsidR="00FA7D2A">
        <w:t>de</w:t>
      </w:r>
      <w:r w:rsidRPr="001C1FC1">
        <w:t xml:space="preserve">creased </w:t>
      </w:r>
      <w:r w:rsidRPr="00F36E2B">
        <w:t>by $</w:t>
      </w:r>
      <w:r w:rsidR="00A90FDC" w:rsidRPr="00EA3F77">
        <w:t>6</w:t>
      </w:r>
      <w:r w:rsidR="00CA3CE4" w:rsidRPr="00EA3F77">
        <w:t>.</w:t>
      </w:r>
      <w:r w:rsidR="00A90FDC" w:rsidRPr="00EA3F77">
        <w:t>6</w:t>
      </w:r>
      <w:r w:rsidRPr="00F36E2B">
        <w:t xml:space="preserve"> billion</w:t>
      </w:r>
      <w:r w:rsidRPr="001C1FC1">
        <w:t xml:space="preserve"> </w:t>
      </w:r>
      <w:r w:rsidRPr="008A1D13">
        <w:t>relative to the 201</w:t>
      </w:r>
      <w:r>
        <w:t>9</w:t>
      </w:r>
      <w:r w:rsidR="001344DD">
        <w:t xml:space="preserve"> </w:t>
      </w:r>
      <w:r w:rsidR="006F61ED">
        <w:t>Pre</w:t>
      </w:r>
      <w:r w:rsidR="001344DD">
        <w:noBreakHyphen/>
      </w:r>
      <w:r w:rsidR="006F61ED">
        <w:t xml:space="preserve">election Budget Update </w:t>
      </w:r>
      <w:r>
        <w:t>estimate</w:t>
      </w:r>
      <w:r w:rsidR="006C6E02">
        <w:t xml:space="preserve"> as assets were transferred between sectors</w:t>
      </w:r>
      <w:r w:rsidR="00585021">
        <w:t xml:space="preserve">. This decrease </w:t>
      </w:r>
      <w:r w:rsidR="00623CBA">
        <w:t>was</w:t>
      </w:r>
      <w:r w:rsidR="00585021">
        <w:t xml:space="preserve"> offset by strong</w:t>
      </w:r>
      <w:r w:rsidR="00F312E4">
        <w:t xml:space="preserve"> investment returns increasing financial assets at fair value,</w:t>
      </w:r>
      <w:r>
        <w:t xml:space="preserve"> </w:t>
      </w:r>
      <w:r w:rsidR="149677FF" w:rsidRPr="002D1393">
        <w:t>resulting</w:t>
      </w:r>
      <w:r w:rsidR="00042180" w:rsidRPr="002D1393">
        <w:t xml:space="preserve"> </w:t>
      </w:r>
      <w:r w:rsidRPr="002D1393">
        <w:t>in</w:t>
      </w:r>
      <w:r w:rsidR="00F312E4" w:rsidRPr="002D1393">
        <w:t xml:space="preserve"> a $</w:t>
      </w:r>
      <w:r w:rsidR="002D1393" w:rsidRPr="00EA3F77">
        <w:t>5.1</w:t>
      </w:r>
      <w:r w:rsidR="008A1982">
        <w:t> </w:t>
      </w:r>
      <w:r w:rsidR="00F312E4" w:rsidRPr="002D1393">
        <w:t>billion</w:t>
      </w:r>
      <w:r w:rsidR="00F312E4">
        <w:t xml:space="preserve"> decrease in the total</w:t>
      </w:r>
      <w:r w:rsidRPr="008A1D13">
        <w:t xml:space="preserve"> financial assets </w:t>
      </w:r>
      <w:r>
        <w:t xml:space="preserve">at June 2019 </w:t>
      </w:r>
      <w:r w:rsidR="00F312E4">
        <w:t xml:space="preserve">compared to </w:t>
      </w:r>
      <w:r w:rsidR="005A04EF">
        <w:t>the 2019 Pre</w:t>
      </w:r>
      <w:r w:rsidR="008A1982">
        <w:noBreakHyphen/>
      </w:r>
      <w:r w:rsidR="005A04EF">
        <w:t>election Budget Update estimate</w:t>
      </w:r>
      <w:r>
        <w:t>.</w:t>
      </w:r>
    </w:p>
    <w:p w14:paraId="0877DD0F" w14:textId="1F966F8F" w:rsidR="00FE27B6" w:rsidRDefault="00FE27B6" w:rsidP="00FE27B6">
      <w:pPr>
        <w:pStyle w:val="Heading3"/>
        <w:keepNext w:val="0"/>
        <w:tabs>
          <w:tab w:val="left" w:pos="567"/>
        </w:tabs>
        <w:rPr>
          <w:rFonts w:eastAsia="Arial Unicode MS"/>
          <w:bCs/>
        </w:rPr>
      </w:pPr>
      <w:r>
        <w:rPr>
          <w:rFonts w:eastAsia="Arial Unicode MS"/>
        </w:rPr>
        <w:t>Non-</w:t>
      </w:r>
      <w:r w:rsidR="00DE0B95">
        <w:rPr>
          <w:rFonts w:eastAsia="Arial Unicode MS"/>
        </w:rPr>
        <w:t xml:space="preserve">financial assets </w:t>
      </w:r>
    </w:p>
    <w:p w14:paraId="12DE3FE4" w14:textId="0B5EF985" w:rsidR="00FF44BB" w:rsidRDefault="00FF44BB" w:rsidP="00F42F0C">
      <w:pPr>
        <w:pStyle w:val="BodyText"/>
      </w:pPr>
      <w:r>
        <w:t>The State’s n</w:t>
      </w:r>
      <w:r w:rsidR="00A72301">
        <w:t xml:space="preserve">on-financial assets are </w:t>
      </w:r>
      <w:r w:rsidR="00A72301" w:rsidRPr="001C1FC1">
        <w:t xml:space="preserve">projected to </w:t>
      </w:r>
      <w:r w:rsidR="000462B0" w:rsidRPr="00B7043B">
        <w:t>reach</w:t>
      </w:r>
      <w:r w:rsidR="00A72301" w:rsidRPr="00B7043B">
        <w:t xml:space="preserve"> $</w:t>
      </w:r>
      <w:r w:rsidR="00074853" w:rsidRPr="00EA3F77">
        <w:t>235.0</w:t>
      </w:r>
      <w:r w:rsidR="00DE0B95" w:rsidRPr="00B7043B">
        <w:t> </w:t>
      </w:r>
      <w:r w:rsidR="00A72301" w:rsidRPr="00B7043B">
        <w:t>billion at June 20</w:t>
      </w:r>
      <w:r w:rsidR="002155F9" w:rsidRPr="00B7043B">
        <w:t>19</w:t>
      </w:r>
      <w:r w:rsidR="00D55D00" w:rsidRPr="00B7043B">
        <w:t>, a $</w:t>
      </w:r>
      <w:r w:rsidR="00AE6D28" w:rsidRPr="00EA3F77">
        <w:t>6.7</w:t>
      </w:r>
      <w:r w:rsidR="00770119" w:rsidRPr="00B7043B">
        <w:t> </w:t>
      </w:r>
      <w:r w:rsidR="00D55D00" w:rsidRPr="00B7043B">
        <w:t>billion increase relative to the 201</w:t>
      </w:r>
      <w:r w:rsidR="00F025EA" w:rsidRPr="00B7043B">
        <w:t>9</w:t>
      </w:r>
      <w:r w:rsidR="00D55D00" w:rsidRPr="00B7043B">
        <w:t xml:space="preserve"> </w:t>
      </w:r>
      <w:r w:rsidR="006F61ED" w:rsidRPr="00B7043B">
        <w:t>Pre-election Bud</w:t>
      </w:r>
      <w:r w:rsidR="006F61ED">
        <w:t>get Update</w:t>
      </w:r>
      <w:r w:rsidR="00F03212">
        <w:t>. This</w:t>
      </w:r>
      <w:r w:rsidR="005159CD">
        <w:t xml:space="preserve"> is largely driven </w:t>
      </w:r>
      <w:r w:rsidR="006C6E02">
        <w:t>by a transfer between sectors</w:t>
      </w:r>
      <w:r w:rsidR="00A9324A">
        <w:t>.</w:t>
      </w:r>
      <w:r w:rsidR="00BE4684">
        <w:t xml:space="preserve"> </w:t>
      </w:r>
      <w:r w:rsidR="00D55D00" w:rsidRPr="001C1FC1">
        <w:t xml:space="preserve">This figure is expected to </w:t>
      </w:r>
      <w:r w:rsidR="00BE4684">
        <w:t xml:space="preserve">further </w:t>
      </w:r>
      <w:r w:rsidR="00A72301" w:rsidRPr="001C1FC1">
        <w:t>increas</w:t>
      </w:r>
      <w:r w:rsidR="00D55D00" w:rsidRPr="001C1FC1">
        <w:t>e</w:t>
      </w:r>
      <w:r w:rsidR="00A72301" w:rsidRPr="001C1FC1">
        <w:t xml:space="preserve"> </w:t>
      </w:r>
      <w:r w:rsidR="00A72301" w:rsidRPr="00221065">
        <w:t>to $</w:t>
      </w:r>
      <w:r w:rsidR="009B2456" w:rsidRPr="00EA3F77">
        <w:t>2</w:t>
      </w:r>
      <w:r w:rsidR="00A43A15">
        <w:t>89.5</w:t>
      </w:r>
      <w:r w:rsidR="003A063B">
        <w:t> </w:t>
      </w:r>
      <w:r w:rsidR="00A72301" w:rsidRPr="00221065">
        <w:t>billion by June</w:t>
      </w:r>
      <w:r w:rsidR="00DE0B95" w:rsidRPr="00221065">
        <w:t> </w:t>
      </w:r>
      <w:r w:rsidR="00A72301" w:rsidRPr="00221065">
        <w:t>202</w:t>
      </w:r>
      <w:r w:rsidR="00F025EA" w:rsidRPr="00221065">
        <w:t>3</w:t>
      </w:r>
      <w:r w:rsidR="005F3D55" w:rsidRPr="00221065">
        <w:t xml:space="preserve">, </w:t>
      </w:r>
      <w:r w:rsidR="00C9719A" w:rsidRPr="00221065">
        <w:t xml:space="preserve">due to </w:t>
      </w:r>
      <w:r w:rsidR="00CC4714" w:rsidRPr="00221065">
        <w:t xml:space="preserve">the Government’s </w:t>
      </w:r>
      <w:r w:rsidR="00844470" w:rsidRPr="00221065">
        <w:t xml:space="preserve">ongoing </w:t>
      </w:r>
      <w:r w:rsidR="00CC4714" w:rsidRPr="00221065">
        <w:t>inf</w:t>
      </w:r>
      <w:r w:rsidR="00A915B6" w:rsidRPr="00221065">
        <w:t xml:space="preserve">rastructure </w:t>
      </w:r>
      <w:r w:rsidR="00844470" w:rsidRPr="00221065">
        <w:t xml:space="preserve">investment </w:t>
      </w:r>
      <w:r w:rsidR="00FF1E5D" w:rsidRPr="00221065">
        <w:t>and asset</w:t>
      </w:r>
      <w:r w:rsidR="00FF1E5D">
        <w:t xml:space="preserve"> revaluations </w:t>
      </w:r>
      <w:r w:rsidR="005F3D55">
        <w:t xml:space="preserve">(see Chart </w:t>
      </w:r>
      <w:r w:rsidR="00C41C97">
        <w:t>6</w:t>
      </w:r>
      <w:r w:rsidR="005F3D55">
        <w:t>.</w:t>
      </w:r>
      <w:r w:rsidR="00A6409F">
        <w:t>7</w:t>
      </w:r>
      <w:r w:rsidR="005F3D55">
        <w:t>)</w:t>
      </w:r>
      <w:r w:rsidR="00A915B6">
        <w:t>.</w:t>
      </w:r>
      <w:r w:rsidR="00CC4714">
        <w:t xml:space="preserve"> </w:t>
      </w:r>
    </w:p>
    <w:p w14:paraId="47BFAE1B" w14:textId="64392187" w:rsidR="000F6FC2" w:rsidRDefault="00570340" w:rsidP="00F42F0C">
      <w:pPr>
        <w:pStyle w:val="BodyText"/>
      </w:pPr>
      <w:r>
        <w:t>Investment in</w:t>
      </w:r>
      <w:r w:rsidR="00D56560">
        <w:t xml:space="preserve"> infrastructure systems</w:t>
      </w:r>
      <w:r>
        <w:t xml:space="preserve"> </w:t>
      </w:r>
      <w:r w:rsidR="00D56560">
        <w:t xml:space="preserve">(e.g. </w:t>
      </w:r>
      <w:r>
        <w:t>public transport infrastructure</w:t>
      </w:r>
      <w:r w:rsidR="00D56560">
        <w:t>)</w:t>
      </w:r>
      <w:r>
        <w:t xml:space="preserve"> is forecast to increase over the forward estimates </w:t>
      </w:r>
      <w:r w:rsidRPr="00B6256B">
        <w:t>from $</w:t>
      </w:r>
      <w:r w:rsidR="008B67B5" w:rsidRPr="00442735">
        <w:t>123.7</w:t>
      </w:r>
      <w:r w:rsidRPr="00B6256B">
        <w:t> billion at June 2019 to $</w:t>
      </w:r>
      <w:r w:rsidR="00B6256B" w:rsidRPr="00442735">
        <w:t>16</w:t>
      </w:r>
      <w:r w:rsidR="00A43A15">
        <w:t>0.3</w:t>
      </w:r>
      <w:r w:rsidRPr="00B6256B">
        <w:t xml:space="preserve"> billion in June 2023 as a number of </w:t>
      </w:r>
      <w:proofErr w:type="gramStart"/>
      <w:r w:rsidRPr="00B6256B">
        <w:t>high profile</w:t>
      </w:r>
      <w:proofErr w:type="gramEnd"/>
      <w:r w:rsidRPr="00B6256B">
        <w:t xml:space="preserve"> infrastructure projects are delivered during this period</w:t>
      </w:r>
      <w:r>
        <w:t xml:space="preserve">. </w:t>
      </w:r>
    </w:p>
    <w:p w14:paraId="270D1C43" w14:textId="77387705" w:rsidR="00A76CC5" w:rsidRDefault="007929B2" w:rsidP="00F42F0C">
      <w:pPr>
        <w:pStyle w:val="BodyText"/>
      </w:pPr>
      <w:r>
        <w:t>To ensure continued</w:t>
      </w:r>
      <w:r w:rsidR="00634670">
        <w:rPr>
          <w:lang w:val="en-US"/>
        </w:rPr>
        <w:t xml:space="preserve"> effectiveness and value of the procurement and delivery of </w:t>
      </w:r>
      <w:r w:rsidR="001D4A45">
        <w:rPr>
          <w:lang w:val="en-US"/>
        </w:rPr>
        <w:t>the G</w:t>
      </w:r>
      <w:r w:rsidR="00634670">
        <w:rPr>
          <w:lang w:val="en-US"/>
        </w:rPr>
        <w:t>overnment</w:t>
      </w:r>
      <w:r w:rsidR="001D4A45">
        <w:rPr>
          <w:lang w:val="en-US"/>
        </w:rPr>
        <w:t>’s</w:t>
      </w:r>
      <w:r w:rsidR="00634670">
        <w:rPr>
          <w:lang w:val="en-US"/>
        </w:rPr>
        <w:t xml:space="preserve"> infrastructure program</w:t>
      </w:r>
      <w:r>
        <w:rPr>
          <w:lang w:val="en-US"/>
        </w:rPr>
        <w:t xml:space="preserve">, the Government </w:t>
      </w:r>
      <w:r w:rsidR="00F84E3E">
        <w:rPr>
          <w:lang w:val="en-US"/>
        </w:rPr>
        <w:t xml:space="preserve">has released the NSW Government Action </w:t>
      </w:r>
      <w:r w:rsidR="00911AEC">
        <w:rPr>
          <w:lang w:val="en-US"/>
        </w:rPr>
        <w:t>P</w:t>
      </w:r>
      <w:r w:rsidR="00F84E3E">
        <w:rPr>
          <w:lang w:val="en-US"/>
        </w:rPr>
        <w:t xml:space="preserve">lan </w:t>
      </w:r>
      <w:r w:rsidR="00634670">
        <w:rPr>
          <w:lang w:val="en-US"/>
        </w:rPr>
        <w:t>(see Box 4.1 in Budget Paper No.</w:t>
      </w:r>
      <w:r w:rsidR="003C304D">
        <w:rPr>
          <w:lang w:val="en-US"/>
        </w:rPr>
        <w:t xml:space="preserve"> </w:t>
      </w:r>
      <w:r w:rsidR="00634670">
        <w:rPr>
          <w:lang w:val="en-US"/>
        </w:rPr>
        <w:t>2</w:t>
      </w:r>
      <w:r w:rsidR="009E5836">
        <w:rPr>
          <w:lang w:val="en-US"/>
        </w:rPr>
        <w:t xml:space="preserve"> </w:t>
      </w:r>
      <w:r w:rsidR="003C304D" w:rsidRPr="003C304D">
        <w:rPr>
          <w:i/>
          <w:lang w:val="en-US"/>
        </w:rPr>
        <w:t>Infrastructure Statement</w:t>
      </w:r>
      <w:r w:rsidR="00634670">
        <w:rPr>
          <w:lang w:val="en-US"/>
        </w:rPr>
        <w:t xml:space="preserve">). </w:t>
      </w:r>
    </w:p>
    <w:p w14:paraId="790357A3" w14:textId="4E7EDD81" w:rsidR="007C7E6B" w:rsidRDefault="009B3EE4" w:rsidP="00F42F0C">
      <w:pPr>
        <w:pStyle w:val="BodyText"/>
      </w:pPr>
      <w:r>
        <w:t>Land and building</w:t>
      </w:r>
      <w:r w:rsidR="00B26F44">
        <w:t xml:space="preserve"> assets </w:t>
      </w:r>
      <w:r>
        <w:t xml:space="preserve">are </w:t>
      </w:r>
      <w:r w:rsidR="00A76CC5">
        <w:t xml:space="preserve">projected </w:t>
      </w:r>
      <w:r w:rsidRPr="001C1FC1">
        <w:t xml:space="preserve">to grow from </w:t>
      </w:r>
      <w:r w:rsidR="00880237" w:rsidRPr="001C1FC1">
        <w:t xml:space="preserve">an </w:t>
      </w:r>
      <w:r w:rsidR="00880237" w:rsidRPr="00C1625E">
        <w:t xml:space="preserve">expected </w:t>
      </w:r>
      <w:r w:rsidRPr="00C1625E">
        <w:t>$</w:t>
      </w:r>
      <w:r w:rsidR="00A941DC" w:rsidRPr="00EA3F77">
        <w:t>89</w:t>
      </w:r>
      <w:r w:rsidR="00D7420C" w:rsidRPr="00EA3F77">
        <w:t>.</w:t>
      </w:r>
      <w:r w:rsidR="00A941DC" w:rsidRPr="00EA3F77">
        <w:t>7</w:t>
      </w:r>
      <w:r w:rsidR="00DE0B95" w:rsidRPr="00C1625E">
        <w:t> </w:t>
      </w:r>
      <w:r w:rsidRPr="00C1625E">
        <w:t>billion at June 201</w:t>
      </w:r>
      <w:r w:rsidR="00F025EA" w:rsidRPr="00C1625E">
        <w:t>9</w:t>
      </w:r>
      <w:r w:rsidRPr="00C1625E">
        <w:t xml:space="preserve"> to $</w:t>
      </w:r>
      <w:r w:rsidR="00D7420C" w:rsidRPr="00EA3F77">
        <w:t>10</w:t>
      </w:r>
      <w:r w:rsidR="001A7F05">
        <w:t>3.1</w:t>
      </w:r>
      <w:r w:rsidR="00DE0B95" w:rsidRPr="00C1625E">
        <w:t> </w:t>
      </w:r>
      <w:r w:rsidRPr="00C1625E">
        <w:t>billion in June 202</w:t>
      </w:r>
      <w:r w:rsidR="00F025EA" w:rsidRPr="00C1625E">
        <w:t>3</w:t>
      </w:r>
      <w:r w:rsidR="00FF44BB" w:rsidRPr="00C1625E">
        <w:t xml:space="preserve">, </w:t>
      </w:r>
      <w:r w:rsidR="00777E46" w:rsidRPr="00C1625E">
        <w:t xml:space="preserve">driven by </w:t>
      </w:r>
      <w:r w:rsidR="00A87BE6" w:rsidRPr="00C1625E">
        <w:t xml:space="preserve">the Government’s record </w:t>
      </w:r>
      <w:r w:rsidR="002C5D96" w:rsidRPr="00C1625E">
        <w:t>investment</w:t>
      </w:r>
      <w:r w:rsidR="002C5D96" w:rsidRPr="001C1FC1">
        <w:t xml:space="preserve"> in schools and hospitals, </w:t>
      </w:r>
      <w:r w:rsidR="003E5B10">
        <w:t>as well as</w:t>
      </w:r>
      <w:r w:rsidR="002C5D96" w:rsidRPr="001C1FC1">
        <w:t xml:space="preserve"> </w:t>
      </w:r>
      <w:r w:rsidR="00AD3E95" w:rsidRPr="001C1FC1">
        <w:t xml:space="preserve">asset revaluations </w:t>
      </w:r>
      <w:r w:rsidR="00777E46" w:rsidRPr="001C1FC1">
        <w:t xml:space="preserve">in the </w:t>
      </w:r>
      <w:r w:rsidR="002C5D96" w:rsidRPr="001C1FC1">
        <w:t xml:space="preserve">education </w:t>
      </w:r>
      <w:r w:rsidR="00F77DCB" w:rsidRPr="001C1FC1">
        <w:t>sector</w:t>
      </w:r>
      <w:r w:rsidR="00777E46" w:rsidRPr="001C1FC1">
        <w:t>.</w:t>
      </w:r>
      <w:r w:rsidR="00777E46" w:rsidRPr="0070017A">
        <w:t xml:space="preserve"> </w:t>
      </w:r>
    </w:p>
    <w:p w14:paraId="2DA7B217" w14:textId="2E00D701" w:rsidR="00FE27B6" w:rsidRPr="00662C79" w:rsidRDefault="0080114D" w:rsidP="005F4C03">
      <w:pPr>
        <w:pStyle w:val="Chart6X"/>
        <w:ind w:left="1276" w:hanging="1276"/>
      </w:pPr>
      <w:r>
        <w:t>General government sector</w:t>
      </w:r>
      <w:r w:rsidR="00112D70">
        <w:t xml:space="preserve"> non-financial assets</w:t>
      </w:r>
      <w:r w:rsidR="00A87BE6">
        <w:t xml:space="preserve"> increasing over time</w:t>
      </w:r>
    </w:p>
    <w:p w14:paraId="50AD2A37" w14:textId="74047899" w:rsidR="00FE27B6" w:rsidRDefault="00726B95" w:rsidP="00FE27B6">
      <w:pPr>
        <w:rPr>
          <w:noProof/>
        </w:rPr>
      </w:pPr>
      <w:r w:rsidRPr="00726B95">
        <w:rPr>
          <w:noProof/>
        </w:rPr>
        <w:drawing>
          <wp:inline distT="0" distB="0" distL="0" distR="0" wp14:anchorId="6038B5D3" wp14:editId="194B70D4">
            <wp:extent cx="6120130" cy="3365850"/>
            <wp:effectExtent l="0" t="0" r="0" b="6350"/>
            <wp:docPr id="10" name="Picture 10" descr="Chart 6.7: General government sector non-financial assets increasing over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130" cy="3365850"/>
                    </a:xfrm>
                    <a:prstGeom prst="rect">
                      <a:avLst/>
                    </a:prstGeom>
                    <a:noFill/>
                    <a:ln>
                      <a:noFill/>
                    </a:ln>
                  </pic:spPr>
                </pic:pic>
              </a:graphicData>
            </a:graphic>
          </wp:inline>
        </w:drawing>
      </w:r>
    </w:p>
    <w:p w14:paraId="5265BC1E" w14:textId="6855DD96" w:rsidR="00536735" w:rsidRPr="000E1512" w:rsidRDefault="00536735" w:rsidP="0060482E">
      <w:pPr>
        <w:pStyle w:val="Heading4"/>
        <w:rPr>
          <w:bCs/>
          <w:i/>
        </w:rPr>
      </w:pPr>
      <w:r w:rsidRPr="000E1512">
        <w:lastRenderedPageBreak/>
        <w:t xml:space="preserve">Liabilities </w:t>
      </w:r>
    </w:p>
    <w:p w14:paraId="27FCC9C6" w14:textId="1C262348" w:rsidR="0013244A" w:rsidRDefault="005F364C" w:rsidP="00F42F0C">
      <w:pPr>
        <w:pStyle w:val="BodyText"/>
      </w:pPr>
      <w:r>
        <w:t>T</w:t>
      </w:r>
      <w:r w:rsidR="00A72301">
        <w:t xml:space="preserve">otal liabilities are </w:t>
      </w:r>
      <w:r w:rsidR="00A72301" w:rsidRPr="00BB162E">
        <w:t>projected to be $</w:t>
      </w:r>
      <w:r w:rsidR="00BB162E" w:rsidRPr="00EA3F77">
        <w:t>141.9</w:t>
      </w:r>
      <w:r w:rsidR="00DE0B95" w:rsidRPr="00BB162E">
        <w:t> </w:t>
      </w:r>
      <w:r w:rsidR="00A72301" w:rsidRPr="00BB162E">
        <w:t xml:space="preserve">billion at </w:t>
      </w:r>
      <w:proofErr w:type="gramStart"/>
      <w:r w:rsidR="00A72301" w:rsidRPr="00BB162E">
        <w:t>June 20</w:t>
      </w:r>
      <w:r w:rsidR="00062D99" w:rsidRPr="00BB162E">
        <w:t>19</w:t>
      </w:r>
      <w:r w:rsidR="00A72301" w:rsidRPr="00BB162E">
        <w:t xml:space="preserve">, </w:t>
      </w:r>
      <w:r w:rsidR="00644423" w:rsidRPr="00BB162E">
        <w:t>and</w:t>
      </w:r>
      <w:proofErr w:type="gramEnd"/>
      <w:r w:rsidR="00644423" w:rsidRPr="00BB162E">
        <w:t xml:space="preserve"> are expected to increase</w:t>
      </w:r>
      <w:r w:rsidR="00A72301" w:rsidRPr="00BB162E">
        <w:t xml:space="preserve"> to $</w:t>
      </w:r>
      <w:r w:rsidR="00B50B3D" w:rsidRPr="00AC3F06">
        <w:t>159.4</w:t>
      </w:r>
      <w:r w:rsidR="00DE0B95" w:rsidRPr="00BB162E">
        <w:t> </w:t>
      </w:r>
      <w:r w:rsidR="00A72301" w:rsidRPr="00BB162E">
        <w:t>billion by June</w:t>
      </w:r>
      <w:r w:rsidR="00DE0B95" w:rsidRPr="00BB162E">
        <w:t> </w:t>
      </w:r>
      <w:r w:rsidR="00A72301" w:rsidRPr="00BB162E">
        <w:t>202</w:t>
      </w:r>
      <w:r w:rsidR="00320022">
        <w:t>3</w:t>
      </w:r>
      <w:r w:rsidRPr="001C1FC1">
        <w:t xml:space="preserve"> (see Chart </w:t>
      </w:r>
      <w:r w:rsidR="00C41C97">
        <w:t>6</w:t>
      </w:r>
      <w:r w:rsidRPr="001C1FC1">
        <w:t>.</w:t>
      </w:r>
      <w:r w:rsidR="00193E88">
        <w:t>8</w:t>
      </w:r>
      <w:r w:rsidRPr="001C1FC1">
        <w:t>)</w:t>
      </w:r>
      <w:r w:rsidR="00A72301" w:rsidRPr="001C1FC1">
        <w:t xml:space="preserve">. This </w:t>
      </w:r>
      <w:r w:rsidR="000F45A1">
        <w:t>revision</w:t>
      </w:r>
      <w:r w:rsidR="00A72301" w:rsidRPr="001C1FC1">
        <w:t xml:space="preserve"> is </w:t>
      </w:r>
      <w:r w:rsidR="00E339EE">
        <w:t xml:space="preserve">mostly </w:t>
      </w:r>
      <w:r w:rsidR="00A72301" w:rsidRPr="001C1FC1">
        <w:t xml:space="preserve">driven by </w:t>
      </w:r>
      <w:r w:rsidR="00941F7E">
        <w:t xml:space="preserve">a decrease in unfunded superannuation liabilities that have been offset by </w:t>
      </w:r>
      <w:r w:rsidR="008B7380">
        <w:t xml:space="preserve">an increase in </w:t>
      </w:r>
      <w:r w:rsidR="00E54398" w:rsidRPr="001C1FC1">
        <w:t>borrowings</w:t>
      </w:r>
      <w:r w:rsidR="006A6AF8">
        <w:t xml:space="preserve"> </w:t>
      </w:r>
      <w:r w:rsidR="00E54398" w:rsidRPr="001C1FC1">
        <w:t xml:space="preserve">as the State </w:t>
      </w:r>
      <w:r w:rsidR="009313A7" w:rsidRPr="001C1FC1">
        <w:t xml:space="preserve">progresses </w:t>
      </w:r>
      <w:r w:rsidR="00E54398" w:rsidRPr="001C1FC1">
        <w:t xml:space="preserve">its </w:t>
      </w:r>
      <w:r w:rsidR="009313A7" w:rsidRPr="001C1FC1">
        <w:t xml:space="preserve">record </w:t>
      </w:r>
      <w:r w:rsidR="00E54398" w:rsidRPr="001C1FC1">
        <w:t xml:space="preserve">infrastructure program. </w:t>
      </w:r>
    </w:p>
    <w:p w14:paraId="0AF1351E" w14:textId="62C8D05E" w:rsidR="00A915B6" w:rsidRDefault="003956FF" w:rsidP="005F4C03">
      <w:pPr>
        <w:pStyle w:val="Chart6X"/>
        <w:ind w:left="1276" w:hanging="1276"/>
      </w:pPr>
      <w:r>
        <w:t xml:space="preserve">Liabilities </w:t>
      </w:r>
      <w:r w:rsidR="00623F32">
        <w:t>stable over the forward estimates</w:t>
      </w:r>
      <w:r w:rsidR="00F66B81">
        <w:t xml:space="preserve"> </w:t>
      </w:r>
    </w:p>
    <w:p w14:paraId="6976EF06" w14:textId="7E2432B8" w:rsidR="00CA4376" w:rsidRDefault="00B50B3D" w:rsidP="00D15497">
      <w:r w:rsidRPr="00B50B3D">
        <w:rPr>
          <w:noProof/>
        </w:rPr>
        <w:drawing>
          <wp:inline distT="0" distB="0" distL="0" distR="0" wp14:anchorId="5C6C9B7A" wp14:editId="6691182B">
            <wp:extent cx="6027420" cy="3284220"/>
            <wp:effectExtent l="0" t="0" r="0" b="0"/>
            <wp:docPr id="11" name="Picture 11" descr="Chart 6.8: Liabilities stable over the forward estimat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27420" cy="3284220"/>
                    </a:xfrm>
                    <a:prstGeom prst="rect">
                      <a:avLst/>
                    </a:prstGeom>
                    <a:noFill/>
                    <a:ln>
                      <a:noFill/>
                    </a:ln>
                  </pic:spPr>
                </pic:pic>
              </a:graphicData>
            </a:graphic>
          </wp:inline>
        </w:drawing>
      </w:r>
    </w:p>
    <w:p w14:paraId="32E7B8F8" w14:textId="0A063E75" w:rsidR="00650A1A" w:rsidRDefault="00807B2C" w:rsidP="00F42F0C">
      <w:pPr>
        <w:pStyle w:val="BodyText"/>
      </w:pPr>
      <w:r>
        <w:t>U</w:t>
      </w:r>
      <w:r w:rsidR="00347DDD">
        <w:t>nfunded s</w:t>
      </w:r>
      <w:r w:rsidR="00E54398">
        <w:t xml:space="preserve">uperannuation </w:t>
      </w:r>
      <w:r w:rsidR="00E54398" w:rsidRPr="008A7568">
        <w:t xml:space="preserve">liabilities remain the largest category of liability on the </w:t>
      </w:r>
      <w:r w:rsidR="00A26385" w:rsidRPr="008A7568">
        <w:t>general government sector</w:t>
      </w:r>
      <w:r w:rsidR="00E54398" w:rsidRPr="008A7568">
        <w:t xml:space="preserve"> balance sheet</w:t>
      </w:r>
      <w:r w:rsidR="0046186F" w:rsidRPr="008A7568">
        <w:t xml:space="preserve"> at </w:t>
      </w:r>
      <w:proofErr w:type="gramStart"/>
      <w:r w:rsidR="0046186F" w:rsidRPr="008A7568">
        <w:t>June 20</w:t>
      </w:r>
      <w:r w:rsidR="0053654A" w:rsidRPr="008A7568">
        <w:t>19</w:t>
      </w:r>
      <w:r w:rsidR="005137FD" w:rsidRPr="008A7568">
        <w:t>, but</w:t>
      </w:r>
      <w:proofErr w:type="gramEnd"/>
      <w:r w:rsidR="005137FD" w:rsidRPr="008A7568">
        <w:t xml:space="preserve"> are forecast to decrease </w:t>
      </w:r>
      <w:r w:rsidR="005F364C" w:rsidRPr="008A7568">
        <w:t>from</w:t>
      </w:r>
      <w:r w:rsidR="00E54398" w:rsidRPr="008A7568">
        <w:t xml:space="preserve"> $</w:t>
      </w:r>
      <w:r w:rsidR="00AD4931" w:rsidRPr="008A7568">
        <w:t>61</w:t>
      </w:r>
      <w:r w:rsidR="00D94885" w:rsidRPr="00EA3F77">
        <w:t>.</w:t>
      </w:r>
      <w:r w:rsidR="00AD4931" w:rsidRPr="008A7568">
        <w:t>0</w:t>
      </w:r>
      <w:r w:rsidR="00E54398" w:rsidRPr="008A7568">
        <w:t xml:space="preserve"> billion at June 20</w:t>
      </w:r>
      <w:r w:rsidR="00AD4931" w:rsidRPr="008A7568">
        <w:t>19</w:t>
      </w:r>
      <w:r w:rsidR="00E54398" w:rsidRPr="008A7568">
        <w:t xml:space="preserve"> to $</w:t>
      </w:r>
      <w:r w:rsidR="00D94885" w:rsidRPr="00EA3F77">
        <w:t>40.9</w:t>
      </w:r>
      <w:r w:rsidR="00E54398" w:rsidRPr="008A7568">
        <w:t xml:space="preserve"> billion at June</w:t>
      </w:r>
      <w:r w:rsidR="007E23BE" w:rsidRPr="008A7568">
        <w:t> </w:t>
      </w:r>
      <w:r w:rsidR="00E54398" w:rsidRPr="008A7568">
        <w:t>202</w:t>
      </w:r>
      <w:r w:rsidR="0077166A" w:rsidRPr="008A7568">
        <w:t>3</w:t>
      </w:r>
      <w:r w:rsidR="009313A7" w:rsidRPr="001C1FC1">
        <w:t xml:space="preserve"> </w:t>
      </w:r>
      <w:r w:rsidR="00D94885">
        <w:t xml:space="preserve">as the </w:t>
      </w:r>
      <w:r w:rsidR="00BC543F" w:rsidRPr="001C1FC1">
        <w:t>Government</w:t>
      </w:r>
      <w:r w:rsidR="009313A7" w:rsidRPr="001C1FC1">
        <w:t xml:space="preserve"> </w:t>
      </w:r>
      <w:r w:rsidR="00D94885">
        <w:t xml:space="preserve">makes progress on its </w:t>
      </w:r>
      <w:r w:rsidR="00A87BE6">
        <w:t xml:space="preserve">commitment </w:t>
      </w:r>
      <w:r w:rsidR="009313A7" w:rsidRPr="001C1FC1">
        <w:t>to</w:t>
      </w:r>
      <w:r w:rsidR="00BC543F" w:rsidRPr="001C1FC1">
        <w:t xml:space="preserve"> </w:t>
      </w:r>
      <w:r w:rsidR="00311214">
        <w:t>fully fund</w:t>
      </w:r>
      <w:r w:rsidR="00BC543F" w:rsidRPr="001C1FC1">
        <w:t xml:space="preserve"> superannuation liabilit</w:t>
      </w:r>
      <w:r w:rsidR="009313A7" w:rsidRPr="001C1FC1">
        <w:t>ies</w:t>
      </w:r>
      <w:r w:rsidR="00BC543F" w:rsidRPr="001C1FC1">
        <w:t xml:space="preserve"> by 2030 </w:t>
      </w:r>
      <w:r w:rsidR="00E54398" w:rsidRPr="001C1FC1">
        <w:t>(</w:t>
      </w:r>
      <w:r w:rsidR="00E54398" w:rsidRPr="007E23BE">
        <w:t xml:space="preserve">see Box </w:t>
      </w:r>
      <w:r w:rsidR="00C41C97">
        <w:t>6</w:t>
      </w:r>
      <w:r w:rsidR="00E54398" w:rsidRPr="007E23BE">
        <w:t>.</w:t>
      </w:r>
      <w:r w:rsidR="007C33E2">
        <w:t>4</w:t>
      </w:r>
      <w:r w:rsidR="00E54398" w:rsidRPr="001C1FC1">
        <w:t>).</w:t>
      </w:r>
      <w:r w:rsidR="00E54398">
        <w:t xml:space="preserve"> </w:t>
      </w:r>
    </w:p>
    <w:p w14:paraId="72EDE8DA" w14:textId="14780A53" w:rsidR="00420C4B" w:rsidRDefault="00420C4B" w:rsidP="00F42F0C">
      <w:pPr>
        <w:pStyle w:val="BodyText"/>
      </w:pPr>
      <w:r>
        <w:t>Employee provisions,</w:t>
      </w:r>
      <w:r w:rsidR="00A87BE6">
        <w:t xml:space="preserve"> </w:t>
      </w:r>
      <w:r>
        <w:t>includ</w:t>
      </w:r>
      <w:r w:rsidR="00A87BE6">
        <w:t>ing</w:t>
      </w:r>
      <w:r>
        <w:t xml:space="preserve"> </w:t>
      </w:r>
      <w:r w:rsidR="002326F6">
        <w:t xml:space="preserve">long </w:t>
      </w:r>
      <w:r w:rsidR="002326F6" w:rsidRPr="00C22DED">
        <w:t>service leave</w:t>
      </w:r>
      <w:r w:rsidRPr="00C22DED">
        <w:t xml:space="preserve">, are </w:t>
      </w:r>
      <w:r w:rsidR="00A87BE6" w:rsidRPr="00C22DED">
        <w:t xml:space="preserve">projected to increase slightly over the forward estimates from </w:t>
      </w:r>
      <w:r w:rsidRPr="00C22DED">
        <w:t>$</w:t>
      </w:r>
      <w:r w:rsidR="005F62AE" w:rsidRPr="00EA3F77">
        <w:t>19.4</w:t>
      </w:r>
      <w:r w:rsidRPr="00C22DED">
        <w:t xml:space="preserve"> billion </w:t>
      </w:r>
      <w:r w:rsidR="00A87BE6" w:rsidRPr="00C22DED">
        <w:t>in</w:t>
      </w:r>
      <w:r w:rsidR="0067060A" w:rsidRPr="00C22DED">
        <w:t xml:space="preserve"> </w:t>
      </w:r>
      <w:r w:rsidRPr="00C22DED">
        <w:t>June 201</w:t>
      </w:r>
      <w:r w:rsidR="0077166A" w:rsidRPr="00C22DED">
        <w:t>9</w:t>
      </w:r>
      <w:r w:rsidR="00A87BE6" w:rsidRPr="00C22DED">
        <w:t xml:space="preserve"> </w:t>
      </w:r>
      <w:r w:rsidRPr="00C22DED">
        <w:t>to $</w:t>
      </w:r>
      <w:r w:rsidR="00912E12" w:rsidRPr="00EA3F77">
        <w:t>20.1</w:t>
      </w:r>
      <w:r w:rsidRPr="00C22DED">
        <w:t xml:space="preserve"> billion</w:t>
      </w:r>
      <w:r w:rsidR="00A87BE6" w:rsidRPr="00912E12">
        <w:t xml:space="preserve"> in</w:t>
      </w:r>
      <w:r w:rsidRPr="007E23BE">
        <w:t xml:space="preserve"> June 202</w:t>
      </w:r>
      <w:r w:rsidR="0077166A">
        <w:t>3</w:t>
      </w:r>
      <w:r w:rsidRPr="007E23BE">
        <w:t>.</w:t>
      </w:r>
    </w:p>
    <w:p w14:paraId="34AC2EEB" w14:textId="4EB25419" w:rsidR="0019042D" w:rsidRDefault="0019042D">
      <w:pPr>
        <w:spacing w:after="200" w:line="276" w:lineRule="auto"/>
      </w:pPr>
      <w:r>
        <w:br w:type="page"/>
      </w:r>
    </w:p>
    <w:p w14:paraId="2A5123F7" w14:textId="77777777" w:rsidR="007E23BE" w:rsidRDefault="007E23BE" w:rsidP="007E23BE"/>
    <w:tbl>
      <w:tblPr>
        <w:tblW w:w="9639" w:type="dxa"/>
        <w:tblInd w:w="108" w:type="dxa"/>
        <w:shd w:val="clear" w:color="auto" w:fill="F2F2F2" w:themeFill="background1" w:themeFillShade="F2"/>
        <w:tblLayout w:type="fixed"/>
        <w:tblLook w:val="04A0" w:firstRow="1" w:lastRow="0" w:firstColumn="1" w:lastColumn="0" w:noHBand="0" w:noVBand="1"/>
        <w:tblCaption w:val="Box 6.4: On track to fully fund the State’s unfunded superannuation liabilities "/>
        <w:tblDescription w:val="Box 6.4: On track to fully fund the State’s unfunded superannuation liabilities "/>
      </w:tblPr>
      <w:tblGrid>
        <w:gridCol w:w="9639"/>
      </w:tblGrid>
      <w:tr w:rsidR="004717BA" w14:paraId="736F8E0C" w14:textId="77777777" w:rsidTr="6E126409">
        <w:trPr>
          <w:trHeight w:val="2126"/>
        </w:trPr>
        <w:tc>
          <w:tcPr>
            <w:tcW w:w="9639" w:type="dxa"/>
            <w:shd w:val="clear" w:color="auto" w:fill="F2F2F2" w:themeFill="background1" w:themeFillShade="F2"/>
            <w:hideMark/>
          </w:tcPr>
          <w:p w14:paraId="4664CC67" w14:textId="4AD01B46" w:rsidR="00FC4528" w:rsidRDefault="00D028A2" w:rsidP="00AC753C">
            <w:pPr>
              <w:pStyle w:val="Box61BoxHeading"/>
            </w:pPr>
            <w:r>
              <w:t xml:space="preserve">On </w:t>
            </w:r>
            <w:r w:rsidRPr="00AC753C">
              <w:t>track</w:t>
            </w:r>
            <w:r>
              <w:t xml:space="preserve"> to fully f</w:t>
            </w:r>
            <w:r w:rsidR="00FC4528">
              <w:t>und</w:t>
            </w:r>
            <w:r w:rsidR="00FC4528" w:rsidRPr="00414D16">
              <w:t xml:space="preserve"> the State’s</w:t>
            </w:r>
            <w:r>
              <w:t xml:space="preserve"> unfunded</w:t>
            </w:r>
            <w:r w:rsidR="00FC4528" w:rsidRPr="00414D16">
              <w:t xml:space="preserve"> superannuation liabilities</w:t>
            </w:r>
            <w:r w:rsidR="00FC4528">
              <w:t xml:space="preserve"> </w:t>
            </w:r>
          </w:p>
          <w:p w14:paraId="21CCE07C" w14:textId="04D3702D" w:rsidR="009B7509" w:rsidRDefault="00FC4528" w:rsidP="009E5836">
            <w:pPr>
              <w:pStyle w:val="BodyTextBox"/>
            </w:pPr>
            <w:r w:rsidRPr="006B04AA">
              <w:t xml:space="preserve">The Government </w:t>
            </w:r>
            <w:r>
              <w:t>remains</w:t>
            </w:r>
            <w:r w:rsidRPr="006B04AA">
              <w:t xml:space="preserve"> committed to fully funding its superannuation liabilities by June 2030, consistent with the </w:t>
            </w:r>
            <w:r w:rsidRPr="002B675A">
              <w:rPr>
                <w:i/>
              </w:rPr>
              <w:t>Fiscal Responsibility Act 2012</w:t>
            </w:r>
            <w:r w:rsidRPr="00B50519">
              <w:t>.</w:t>
            </w:r>
            <w:r w:rsidR="00406BE5">
              <w:t xml:space="preserve"> </w:t>
            </w:r>
            <w:r w:rsidR="009B7509" w:rsidRPr="006B04AA">
              <w:t>To achieve this</w:t>
            </w:r>
            <w:r w:rsidR="009B7509">
              <w:t xml:space="preserve">, </w:t>
            </w:r>
            <w:r w:rsidR="00E50B6A">
              <w:t>the</w:t>
            </w:r>
            <w:r w:rsidR="009B7509">
              <w:t xml:space="preserve"> long-term funding program involves </w:t>
            </w:r>
            <w:r w:rsidR="00312005">
              <w:t xml:space="preserve">an annual </w:t>
            </w:r>
            <w:r w:rsidR="009B7509" w:rsidRPr="00800E96">
              <w:t>contribut</w:t>
            </w:r>
            <w:r w:rsidR="009B7509">
              <w:t>ion</w:t>
            </w:r>
            <w:r w:rsidR="00312005">
              <w:t xml:space="preserve"> –</w:t>
            </w:r>
            <w:r w:rsidR="009B7509">
              <w:t xml:space="preserve"> $</w:t>
            </w:r>
            <w:r w:rsidR="009B7509" w:rsidRPr="00287E12">
              <w:t>1.7</w:t>
            </w:r>
            <w:r w:rsidR="009B7509" w:rsidRPr="00800E96">
              <w:t> billion in the 201</w:t>
            </w:r>
            <w:r w:rsidR="009B7509">
              <w:t>9</w:t>
            </w:r>
            <w:r w:rsidR="009B7509" w:rsidRPr="00800E96">
              <w:t>-</w:t>
            </w:r>
            <w:r w:rsidR="009B7509">
              <w:t>20</w:t>
            </w:r>
            <w:r w:rsidR="009B7509" w:rsidRPr="00800E96">
              <w:t xml:space="preserve"> financial year</w:t>
            </w:r>
            <w:r w:rsidR="00312005">
              <w:t xml:space="preserve"> – </w:t>
            </w:r>
            <w:r w:rsidR="009B7509" w:rsidRPr="00800E96">
              <w:t>increas</w:t>
            </w:r>
            <w:r w:rsidR="009B7509">
              <w:t xml:space="preserve">ing </w:t>
            </w:r>
            <w:r w:rsidR="00312005">
              <w:t>by</w:t>
            </w:r>
            <w:r w:rsidR="009B7509" w:rsidRPr="00800E96">
              <w:t xml:space="preserve"> </w:t>
            </w:r>
            <w:r w:rsidR="009B7509" w:rsidRPr="00287E12">
              <w:t>5</w:t>
            </w:r>
            <w:r w:rsidR="009B7509" w:rsidRPr="00800E96">
              <w:t> per cent per annum until 2030.</w:t>
            </w:r>
            <w:bookmarkStart w:id="1" w:name="_GoBack"/>
            <w:bookmarkEnd w:id="1"/>
          </w:p>
          <w:p w14:paraId="3E831755" w14:textId="4C9F2307" w:rsidR="00343925" w:rsidRDefault="00343925" w:rsidP="009E5836">
            <w:pPr>
              <w:pStyle w:val="BodyTextBox"/>
            </w:pPr>
            <w:r>
              <w:t xml:space="preserve">Management of the State’s superannuation liability undergoes a triennial review, which takes into account demographic changes and economic drivers such as inflation and investment returns. </w:t>
            </w:r>
            <w:r w:rsidRPr="001D57DA">
              <w:t>The most recent triennial review</w:t>
            </w:r>
            <w:r>
              <w:t>,</w:t>
            </w:r>
            <w:r w:rsidRPr="001D57DA">
              <w:t xml:space="preserve"> completed in October 2018 by an independent actuary</w:t>
            </w:r>
            <w:r>
              <w:t xml:space="preserve"> (PwC Australia), </w:t>
            </w:r>
            <w:r w:rsidRPr="001D57DA">
              <w:t>concluded</w:t>
            </w:r>
            <w:r>
              <w:t xml:space="preserve"> that</w:t>
            </w:r>
            <w:r w:rsidRPr="001D57DA">
              <w:t xml:space="preserve"> the Government’s current contribution plan </w:t>
            </w:r>
            <w:r>
              <w:t>is appropriate</w:t>
            </w:r>
            <w:r w:rsidRPr="001D57DA">
              <w:t xml:space="preserve"> to deliver full funding by 2030.</w:t>
            </w:r>
          </w:p>
          <w:p w14:paraId="57683CCE" w14:textId="1DA222B1" w:rsidR="00EE688F" w:rsidRPr="001D57DA" w:rsidRDefault="00221D9A" w:rsidP="009E5836">
            <w:pPr>
              <w:pStyle w:val="BodyTextBox"/>
            </w:pPr>
            <w:r>
              <w:t>T</w:t>
            </w:r>
            <w:r w:rsidR="00324979">
              <w:t>he superannuation liability reported on t</w:t>
            </w:r>
            <w:r w:rsidR="000457B1">
              <w:t xml:space="preserve">he </w:t>
            </w:r>
            <w:r w:rsidR="00324979">
              <w:t>State’s balance</w:t>
            </w:r>
            <w:r w:rsidR="00D25F0F">
              <w:t xml:space="preserve"> </w:t>
            </w:r>
            <w:r w:rsidR="00324979">
              <w:t xml:space="preserve">sheet is </w:t>
            </w:r>
            <w:r w:rsidR="000457B1">
              <w:t xml:space="preserve">the unfunded </w:t>
            </w:r>
            <w:r w:rsidR="00DF55F9">
              <w:t>part</w:t>
            </w:r>
            <w:r w:rsidR="00E55849">
              <w:t xml:space="preserve"> of the liability</w:t>
            </w:r>
            <w:r w:rsidR="00DF55F9">
              <w:t xml:space="preserve"> </w:t>
            </w:r>
            <w:r w:rsidR="000457B1">
              <w:t>and is governed by</w:t>
            </w:r>
            <w:r w:rsidR="001F3890">
              <w:t xml:space="preserve"> </w:t>
            </w:r>
            <w:r w:rsidR="008910A0">
              <w:t xml:space="preserve">AASB 119 </w:t>
            </w:r>
            <w:r w:rsidR="008910A0" w:rsidRPr="006B1783">
              <w:rPr>
                <w:i/>
              </w:rPr>
              <w:t>Employee Benefits</w:t>
            </w:r>
            <w:r w:rsidR="000457B1">
              <w:rPr>
                <w:i/>
              </w:rPr>
              <w:t>.</w:t>
            </w:r>
            <w:r w:rsidR="008910A0">
              <w:t xml:space="preserve"> </w:t>
            </w:r>
            <w:r>
              <w:t xml:space="preserve">AASB 119 </w:t>
            </w:r>
            <w:r w:rsidR="003A02E3">
              <w:t xml:space="preserve">reports a </w:t>
            </w:r>
            <w:r w:rsidR="00343925">
              <w:t>much more volitile and</w:t>
            </w:r>
            <w:r w:rsidR="003A02E3">
              <w:t xml:space="preserve"> larger liability</w:t>
            </w:r>
            <w:r w:rsidR="003A02E3">
              <w:rPr>
                <w:rStyle w:val="FootnoteReference"/>
              </w:rPr>
              <w:footnoteReference w:id="6"/>
            </w:r>
            <w:r w:rsidR="003A02E3">
              <w:t xml:space="preserve"> than</w:t>
            </w:r>
            <w:r w:rsidR="00874472">
              <w:t xml:space="preserve"> </w:t>
            </w:r>
            <w:r w:rsidR="00D010AC">
              <w:t>under</w:t>
            </w:r>
            <w:r w:rsidR="003A02E3">
              <w:t xml:space="preserve"> AASB 1056 </w:t>
            </w:r>
            <w:r w:rsidR="003A02E3" w:rsidRPr="00E55849">
              <w:rPr>
                <w:i/>
              </w:rPr>
              <w:t>Superannuation Entities</w:t>
            </w:r>
            <w:r w:rsidR="003A02E3">
              <w:rPr>
                <w:rStyle w:val="FootnoteReference"/>
              </w:rPr>
              <w:footnoteReference w:id="7"/>
            </w:r>
            <w:r w:rsidR="00D010AC">
              <w:t xml:space="preserve"> </w:t>
            </w:r>
            <w:r w:rsidR="00DF55F9">
              <w:t xml:space="preserve">which is used for </w:t>
            </w:r>
            <w:r w:rsidR="00E55849">
              <w:t xml:space="preserve">determining </w:t>
            </w:r>
            <w:r w:rsidR="00DF55F9">
              <w:t>funding</w:t>
            </w:r>
            <w:r w:rsidR="00343925">
              <w:t xml:space="preserve"> of</w:t>
            </w:r>
            <w:r w:rsidR="00DF55F9">
              <w:t xml:space="preserve"> the superannuation liability</w:t>
            </w:r>
            <w:r w:rsidR="00343925">
              <w:t xml:space="preserve"> towards the 2030 target</w:t>
            </w:r>
            <w:r w:rsidR="00DF55F9">
              <w:t xml:space="preserve">. </w:t>
            </w:r>
            <w:r w:rsidR="009A533E">
              <w:t>Chart</w:t>
            </w:r>
            <w:r w:rsidR="009E5836">
              <w:t> </w:t>
            </w:r>
            <w:r w:rsidR="009A533E">
              <w:t>6.9 below shows the difference between the two accounting standards</w:t>
            </w:r>
            <w:r w:rsidR="00EE688F">
              <w:t>.</w:t>
            </w:r>
          </w:p>
          <w:p w14:paraId="793BA585" w14:textId="6168DE34" w:rsidR="00FC4528" w:rsidRPr="000702BA" w:rsidRDefault="0056078D" w:rsidP="005F4C03">
            <w:pPr>
              <w:pStyle w:val="Chart6X"/>
              <w:ind w:left="1313" w:hanging="1313"/>
              <w:rPr>
                <w:sz w:val="12"/>
              </w:rPr>
            </w:pPr>
            <w:r>
              <w:t>General government superannuation liabilitie</w:t>
            </w:r>
            <w:r w:rsidR="00133AA4">
              <w:t xml:space="preserve">s </w:t>
            </w:r>
            <w:r w:rsidR="00120E6B">
              <w:t>–</w:t>
            </w:r>
            <w:r w:rsidR="00133AA4">
              <w:t xml:space="preserve"> </w:t>
            </w:r>
            <w:r w:rsidR="00120E6B">
              <w:t>AASB</w:t>
            </w:r>
            <w:r w:rsidR="00796F94">
              <w:t xml:space="preserve"> </w:t>
            </w:r>
            <w:r w:rsidR="00120E6B">
              <w:t>119 vs AASB</w:t>
            </w:r>
            <w:r w:rsidR="00796F94">
              <w:t xml:space="preserve"> </w:t>
            </w:r>
            <w:r w:rsidR="00120E6B">
              <w:t>1056</w:t>
            </w:r>
          </w:p>
          <w:p w14:paraId="51D7AD5E" w14:textId="62DF2452" w:rsidR="00DF55F9" w:rsidRPr="00FF7B03" w:rsidRDefault="00FA1BD0" w:rsidP="009E5836">
            <w:pPr>
              <w:pStyle w:val="BodyTextBox"/>
            </w:pPr>
            <w:r w:rsidRPr="00EA3F77">
              <w:drawing>
                <wp:inline distT="0" distB="0" distL="0" distR="0" wp14:anchorId="1B7AD725" wp14:editId="7B81490B">
                  <wp:extent cx="5859361" cy="2300068"/>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12307" cy="2320852"/>
                          </a:xfrm>
                          <a:prstGeom prst="rect">
                            <a:avLst/>
                          </a:prstGeom>
                          <a:noFill/>
                        </pic:spPr>
                      </pic:pic>
                    </a:graphicData>
                  </a:graphic>
                </wp:inline>
              </w:drawing>
            </w:r>
          </w:p>
        </w:tc>
      </w:tr>
    </w:tbl>
    <w:p w14:paraId="1D2F9657" w14:textId="40464845" w:rsidR="00761683" w:rsidRPr="00FB0243" w:rsidRDefault="00761683" w:rsidP="004A7584">
      <w:pPr>
        <w:spacing w:after="100" w:afterAutospacing="1"/>
        <w:rPr>
          <w:sz w:val="10"/>
        </w:rPr>
      </w:pPr>
    </w:p>
    <w:sectPr w:rsidR="00761683" w:rsidRPr="00FB0243" w:rsidSect="00784C92">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680" w:left="1134"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ADF67" w14:textId="77777777" w:rsidR="005F4C03" w:rsidRDefault="005F4C03" w:rsidP="00B8718C">
      <w:r>
        <w:separator/>
      </w:r>
    </w:p>
  </w:endnote>
  <w:endnote w:type="continuationSeparator" w:id="0">
    <w:p w14:paraId="63E515B7" w14:textId="77777777" w:rsidR="005F4C03" w:rsidRDefault="005F4C03" w:rsidP="00B8718C">
      <w:r>
        <w:continuationSeparator/>
      </w:r>
    </w:p>
  </w:endnote>
  <w:endnote w:type="continuationNotice" w:id="1">
    <w:p w14:paraId="2F5D10DD" w14:textId="77777777" w:rsidR="005F4C03" w:rsidRDefault="005F4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Bold">
    <w:altName w:val="Arial"/>
    <w:panose1 w:val="020B0704020202020204"/>
    <w:charset w:val="00"/>
    <w:family w:val="roma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Lucida Sans">
    <w:panose1 w:val="020B0602030504020204"/>
    <w:charset w:val="00"/>
    <w:family w:val="swiss"/>
    <w:pitch w:val="variable"/>
    <w:sig w:usb0="01002A87" w:usb1="00000000" w:usb2="00000000" w:usb3="00000000" w:csb0="000100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C88A0" w14:textId="25B298FD" w:rsidR="005F4C03" w:rsidRDefault="005F4C03" w:rsidP="005E691C">
    <w:pPr>
      <w:pBdr>
        <w:top w:val="single" w:sz="4" w:space="4" w:color="auto"/>
      </w:pBdr>
      <w:tabs>
        <w:tab w:val="right" w:pos="9639"/>
      </w:tabs>
      <w:rPr>
        <w:rFonts w:ascii="Arial" w:hAnsi="Arial" w:cs="Arial"/>
        <w:sz w:val="18"/>
        <w:szCs w:val="18"/>
      </w:rPr>
    </w:pPr>
    <w:r>
      <w:rPr>
        <w:rFonts w:ascii="Arial" w:hAnsi="Arial" w:cs="Arial"/>
        <w:sz w:val="18"/>
        <w:szCs w:val="18"/>
      </w:rPr>
      <w:t>6</w:t>
    </w:r>
    <w:r w:rsidRPr="00B610E9">
      <w:rPr>
        <w:rFonts w:ascii="Arial" w:hAnsi="Arial" w:cs="Arial"/>
        <w:sz w:val="18"/>
        <w:szCs w:val="18"/>
      </w:rPr>
      <w:t xml:space="preserve"> - </w:t>
    </w:r>
    <w:r w:rsidRPr="00B610E9">
      <w:rPr>
        <w:rFonts w:ascii="Arial" w:hAnsi="Arial" w:cs="Arial"/>
        <w:sz w:val="18"/>
        <w:szCs w:val="18"/>
      </w:rPr>
      <w:fldChar w:fldCharType="begin"/>
    </w:r>
    <w:r w:rsidRPr="00B610E9">
      <w:rPr>
        <w:rFonts w:ascii="Arial" w:hAnsi="Arial" w:cs="Arial"/>
        <w:sz w:val="18"/>
        <w:szCs w:val="18"/>
      </w:rPr>
      <w:instrText xml:space="preserve"> PAGE   \* MERGEFORMAT </w:instrText>
    </w:r>
    <w:r w:rsidRPr="00B610E9">
      <w:rPr>
        <w:rFonts w:ascii="Arial" w:hAnsi="Arial" w:cs="Arial"/>
        <w:sz w:val="18"/>
        <w:szCs w:val="18"/>
      </w:rPr>
      <w:fldChar w:fldCharType="separate"/>
    </w:r>
    <w:r>
      <w:rPr>
        <w:rFonts w:ascii="Arial" w:hAnsi="Arial" w:cs="Arial"/>
        <w:noProof/>
        <w:sz w:val="18"/>
        <w:szCs w:val="18"/>
      </w:rPr>
      <w:t>8</w:t>
    </w:r>
    <w:r w:rsidRPr="00B610E9">
      <w:rPr>
        <w:rFonts w:ascii="Arial" w:hAnsi="Arial" w:cs="Arial"/>
        <w:sz w:val="18"/>
        <w:szCs w:val="18"/>
      </w:rPr>
      <w:fldChar w:fldCharType="end"/>
    </w:r>
    <w:r w:rsidRPr="00BC54E3">
      <w:rPr>
        <w:rFonts w:ascii="Arial" w:hAnsi="Arial" w:cs="Arial"/>
        <w:sz w:val="18"/>
        <w:szCs w:val="18"/>
      </w:rPr>
      <w:t xml:space="preserve"> </w:t>
    </w:r>
    <w:r>
      <w:rPr>
        <w:rFonts w:ascii="Arial" w:hAnsi="Arial" w:cs="Arial"/>
        <w:sz w:val="18"/>
        <w:szCs w:val="18"/>
      </w:rPr>
      <w:tab/>
    </w:r>
    <w:r w:rsidRPr="00B610E9">
      <w:rPr>
        <w:rFonts w:ascii="Arial" w:hAnsi="Arial" w:cs="Arial"/>
        <w:sz w:val="18"/>
        <w:szCs w:val="18"/>
      </w:rPr>
      <w:t>Budget Statement 201</w:t>
    </w:r>
    <w:r>
      <w:rPr>
        <w:rFonts w:ascii="Arial" w:hAnsi="Arial" w:cs="Arial"/>
        <w:sz w:val="18"/>
        <w:szCs w:val="18"/>
      </w:rPr>
      <w:t>9</w:t>
    </w:r>
    <w:r w:rsidRPr="00B610E9">
      <w:rPr>
        <w:rFonts w:ascii="Arial" w:hAnsi="Arial" w:cs="Arial"/>
        <w:sz w:val="18"/>
        <w:szCs w:val="18"/>
      </w:rPr>
      <w:t>-</w:t>
    </w:r>
    <w:r>
      <w:rPr>
        <w:rFonts w:ascii="Arial" w:hAnsi="Arial" w:cs="Arial"/>
        <w:sz w:val="18"/>
        <w:szCs w:val="18"/>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B5715" w14:textId="22F2EC40" w:rsidR="005F4C03" w:rsidRDefault="005F4C03" w:rsidP="005E691C">
    <w:pPr>
      <w:pBdr>
        <w:top w:val="single" w:sz="4" w:space="4" w:color="auto"/>
      </w:pBdr>
      <w:tabs>
        <w:tab w:val="right" w:pos="9639"/>
      </w:tabs>
      <w:rPr>
        <w:rFonts w:ascii="Arial" w:hAnsi="Arial" w:cs="Arial"/>
        <w:sz w:val="18"/>
        <w:szCs w:val="18"/>
      </w:rPr>
    </w:pPr>
    <w:r w:rsidRPr="00B610E9">
      <w:rPr>
        <w:rFonts w:ascii="Arial" w:hAnsi="Arial" w:cs="Arial"/>
        <w:sz w:val="18"/>
        <w:szCs w:val="18"/>
      </w:rPr>
      <w:t>Budget Statement 201</w:t>
    </w:r>
    <w:r>
      <w:rPr>
        <w:rFonts w:ascii="Arial" w:hAnsi="Arial" w:cs="Arial"/>
        <w:sz w:val="18"/>
        <w:szCs w:val="18"/>
      </w:rPr>
      <w:t>9</w:t>
    </w:r>
    <w:r w:rsidRPr="00B610E9">
      <w:rPr>
        <w:rFonts w:ascii="Arial" w:hAnsi="Arial" w:cs="Arial"/>
        <w:sz w:val="18"/>
        <w:szCs w:val="18"/>
      </w:rPr>
      <w:t>-</w:t>
    </w:r>
    <w:r>
      <w:rPr>
        <w:rFonts w:ascii="Arial" w:hAnsi="Arial" w:cs="Arial"/>
        <w:sz w:val="18"/>
        <w:szCs w:val="18"/>
      </w:rPr>
      <w:t>20</w:t>
    </w:r>
    <w:r w:rsidRPr="00B610E9">
      <w:rPr>
        <w:rFonts w:ascii="Arial" w:hAnsi="Arial" w:cs="Arial"/>
        <w:sz w:val="18"/>
        <w:szCs w:val="18"/>
      </w:rPr>
      <w:tab/>
    </w:r>
    <w:r>
      <w:rPr>
        <w:rFonts w:ascii="Arial" w:hAnsi="Arial" w:cs="Arial"/>
        <w:sz w:val="18"/>
        <w:szCs w:val="18"/>
      </w:rPr>
      <w:t>6</w:t>
    </w:r>
    <w:r w:rsidRPr="00B610E9">
      <w:rPr>
        <w:rFonts w:ascii="Arial" w:hAnsi="Arial" w:cs="Arial"/>
        <w:sz w:val="18"/>
        <w:szCs w:val="18"/>
      </w:rPr>
      <w:t xml:space="preserve"> - </w:t>
    </w:r>
    <w:r w:rsidRPr="00B610E9">
      <w:rPr>
        <w:rFonts w:ascii="Arial" w:hAnsi="Arial" w:cs="Arial"/>
        <w:sz w:val="18"/>
        <w:szCs w:val="18"/>
      </w:rPr>
      <w:fldChar w:fldCharType="begin"/>
    </w:r>
    <w:r w:rsidRPr="00B610E9">
      <w:rPr>
        <w:rFonts w:ascii="Arial" w:hAnsi="Arial" w:cs="Arial"/>
        <w:sz w:val="18"/>
        <w:szCs w:val="18"/>
      </w:rPr>
      <w:instrText xml:space="preserve"> PAGE   \* MERGEFORMAT </w:instrText>
    </w:r>
    <w:r w:rsidRPr="00B610E9">
      <w:rPr>
        <w:rFonts w:ascii="Arial" w:hAnsi="Arial" w:cs="Arial"/>
        <w:sz w:val="18"/>
        <w:szCs w:val="18"/>
      </w:rPr>
      <w:fldChar w:fldCharType="separate"/>
    </w:r>
    <w:r>
      <w:rPr>
        <w:rFonts w:ascii="Arial" w:hAnsi="Arial" w:cs="Arial"/>
        <w:noProof/>
        <w:sz w:val="18"/>
        <w:szCs w:val="18"/>
      </w:rPr>
      <w:t>5</w:t>
    </w:r>
    <w:r w:rsidRPr="00B610E9">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DC80A" w14:textId="24CB205F" w:rsidR="005F4C03" w:rsidRDefault="005F4C03" w:rsidP="005E691C">
    <w:pPr>
      <w:pBdr>
        <w:top w:val="single" w:sz="4" w:space="4" w:color="auto"/>
      </w:pBdr>
      <w:tabs>
        <w:tab w:val="right" w:pos="9639"/>
      </w:tabs>
      <w:rPr>
        <w:rFonts w:ascii="Arial" w:hAnsi="Arial" w:cs="Arial"/>
        <w:sz w:val="18"/>
        <w:szCs w:val="18"/>
      </w:rPr>
    </w:pPr>
    <w:r w:rsidRPr="00B610E9">
      <w:rPr>
        <w:rFonts w:ascii="Arial" w:hAnsi="Arial" w:cs="Arial"/>
        <w:sz w:val="18"/>
        <w:szCs w:val="18"/>
      </w:rPr>
      <w:t>Budget Statement 201</w:t>
    </w:r>
    <w:r>
      <w:rPr>
        <w:rFonts w:ascii="Arial" w:hAnsi="Arial" w:cs="Arial"/>
        <w:sz w:val="18"/>
        <w:szCs w:val="18"/>
      </w:rPr>
      <w:t>9</w:t>
    </w:r>
    <w:r w:rsidRPr="00B610E9">
      <w:rPr>
        <w:rFonts w:ascii="Arial" w:hAnsi="Arial" w:cs="Arial"/>
        <w:sz w:val="18"/>
        <w:szCs w:val="18"/>
      </w:rPr>
      <w:t>-</w:t>
    </w:r>
    <w:r>
      <w:rPr>
        <w:rFonts w:ascii="Arial" w:hAnsi="Arial" w:cs="Arial"/>
        <w:sz w:val="18"/>
        <w:szCs w:val="18"/>
      </w:rPr>
      <w:t>20</w:t>
    </w:r>
    <w:r>
      <w:rPr>
        <w:rFonts w:ascii="Arial" w:hAnsi="Arial" w:cs="Arial"/>
        <w:sz w:val="18"/>
        <w:szCs w:val="18"/>
      </w:rPr>
      <w:tab/>
      <w:t>6</w:t>
    </w:r>
    <w:r w:rsidRPr="00B610E9">
      <w:rPr>
        <w:rFonts w:ascii="Arial" w:hAnsi="Arial" w:cs="Arial"/>
        <w:sz w:val="18"/>
        <w:szCs w:val="18"/>
      </w:rPr>
      <w:t xml:space="preserve"> - </w:t>
    </w:r>
    <w:r w:rsidRPr="00B610E9">
      <w:rPr>
        <w:rFonts w:ascii="Arial" w:hAnsi="Arial" w:cs="Arial"/>
        <w:sz w:val="18"/>
        <w:szCs w:val="18"/>
      </w:rPr>
      <w:fldChar w:fldCharType="begin"/>
    </w:r>
    <w:r w:rsidRPr="00B610E9">
      <w:rPr>
        <w:rFonts w:ascii="Arial" w:hAnsi="Arial" w:cs="Arial"/>
        <w:sz w:val="18"/>
        <w:szCs w:val="18"/>
      </w:rPr>
      <w:instrText xml:space="preserve"> PAGE   \* MERGEFORMAT </w:instrText>
    </w:r>
    <w:r w:rsidRPr="00B610E9">
      <w:rPr>
        <w:rFonts w:ascii="Arial" w:hAnsi="Arial" w:cs="Arial"/>
        <w:sz w:val="18"/>
        <w:szCs w:val="18"/>
      </w:rPr>
      <w:fldChar w:fldCharType="separate"/>
    </w:r>
    <w:r>
      <w:rPr>
        <w:rFonts w:ascii="Arial" w:hAnsi="Arial" w:cs="Arial"/>
        <w:noProof/>
        <w:sz w:val="18"/>
        <w:szCs w:val="18"/>
      </w:rPr>
      <w:t>1</w:t>
    </w:r>
    <w:r w:rsidRPr="00B610E9">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4DE96" w14:textId="77777777" w:rsidR="005F4C03" w:rsidRDefault="005F4C03" w:rsidP="00B8718C">
      <w:r>
        <w:separator/>
      </w:r>
    </w:p>
  </w:footnote>
  <w:footnote w:type="continuationSeparator" w:id="0">
    <w:p w14:paraId="51129771" w14:textId="77777777" w:rsidR="005F4C03" w:rsidRDefault="005F4C03" w:rsidP="00B8718C">
      <w:r>
        <w:continuationSeparator/>
      </w:r>
    </w:p>
  </w:footnote>
  <w:footnote w:type="continuationNotice" w:id="1">
    <w:p w14:paraId="6AC7135E" w14:textId="77777777" w:rsidR="005F4C03" w:rsidRDefault="005F4C03"/>
  </w:footnote>
  <w:footnote w:id="2">
    <w:p w14:paraId="0DD9BF37" w14:textId="11C29D5C" w:rsidR="005F4C03" w:rsidRPr="007E23BE" w:rsidRDefault="005F4C03" w:rsidP="00BD2DA4">
      <w:pPr>
        <w:pStyle w:val="FootnoteText"/>
        <w:spacing w:before="0" w:after="0"/>
        <w:ind w:hanging="283"/>
        <w:rPr>
          <w:rFonts w:ascii="Arial" w:hAnsi="Arial" w:cs="Arial"/>
          <w:sz w:val="17"/>
          <w:szCs w:val="17"/>
          <w:lang w:val="en-AU"/>
        </w:rPr>
      </w:pPr>
      <w:r w:rsidRPr="009E5836">
        <w:rPr>
          <w:rStyle w:val="FootnoteReference"/>
          <w:rFonts w:ascii="Arial" w:hAnsi="Arial" w:cs="Arial"/>
          <w:i w:val="0"/>
          <w:sz w:val="17"/>
          <w:szCs w:val="17"/>
        </w:rPr>
        <w:footnoteRef/>
      </w:r>
      <w:r w:rsidRPr="007E23BE">
        <w:rPr>
          <w:rFonts w:ascii="Arial" w:hAnsi="Arial" w:cs="Arial"/>
          <w:sz w:val="17"/>
          <w:szCs w:val="17"/>
        </w:rPr>
        <w:t xml:space="preserve">  </w:t>
      </w:r>
      <w:r>
        <w:rPr>
          <w:rFonts w:ascii="Arial" w:hAnsi="Arial" w:cs="Arial"/>
          <w:sz w:val="17"/>
          <w:szCs w:val="17"/>
        </w:rPr>
        <w:tab/>
      </w:r>
      <w:r>
        <w:rPr>
          <w:rFonts w:ascii="Arial" w:hAnsi="Arial" w:cs="Arial"/>
          <w:i w:val="0"/>
          <w:sz w:val="17"/>
          <w:szCs w:val="17"/>
        </w:rPr>
        <w:t xml:space="preserve">The asset side of net debt </w:t>
      </w:r>
      <w:r w:rsidRPr="7328E58F">
        <w:rPr>
          <w:rFonts w:ascii="Arial" w:hAnsi="Arial" w:cs="Arial"/>
          <w:i w:val="0"/>
          <w:sz w:val="17"/>
          <w:szCs w:val="17"/>
        </w:rPr>
        <w:t>calculation</w:t>
      </w:r>
      <w:r>
        <w:rPr>
          <w:rFonts w:ascii="Arial" w:hAnsi="Arial" w:cs="Arial"/>
          <w:i w:val="0"/>
          <w:sz w:val="17"/>
          <w:szCs w:val="17"/>
        </w:rPr>
        <w:t>s</w:t>
      </w:r>
      <w:r w:rsidRPr="7328E58F">
        <w:rPr>
          <w:rFonts w:ascii="Arial" w:hAnsi="Arial" w:cs="Arial"/>
          <w:i w:val="0"/>
          <w:sz w:val="17"/>
          <w:szCs w:val="17"/>
        </w:rPr>
        <w:t xml:space="preserve"> </w:t>
      </w:r>
      <w:r>
        <w:rPr>
          <w:rFonts w:ascii="Arial" w:hAnsi="Arial" w:cs="Arial"/>
          <w:i w:val="0"/>
          <w:sz w:val="17"/>
          <w:szCs w:val="17"/>
        </w:rPr>
        <w:t>consists of the sum of cash and deposits, advances paid and investments, loans and placements.</w:t>
      </w:r>
    </w:p>
  </w:footnote>
  <w:footnote w:id="3">
    <w:p w14:paraId="10273B1B" w14:textId="3B1B0F29" w:rsidR="005F4C03" w:rsidRPr="007E23BE" w:rsidRDefault="005F4C03" w:rsidP="00BD2DA4">
      <w:pPr>
        <w:pStyle w:val="FootnoteText"/>
        <w:spacing w:before="0" w:after="0"/>
        <w:ind w:hanging="283"/>
        <w:rPr>
          <w:rFonts w:ascii="Arial" w:hAnsi="Arial" w:cs="Arial"/>
          <w:sz w:val="17"/>
          <w:szCs w:val="17"/>
          <w:lang w:val="en-AU"/>
        </w:rPr>
      </w:pPr>
      <w:r w:rsidRPr="007E23BE">
        <w:rPr>
          <w:rStyle w:val="FootnoteReference"/>
          <w:rFonts w:ascii="Arial" w:hAnsi="Arial" w:cs="Arial"/>
          <w:sz w:val="17"/>
          <w:szCs w:val="17"/>
        </w:rPr>
        <w:footnoteRef/>
      </w:r>
      <w:r w:rsidRPr="007E23BE">
        <w:rPr>
          <w:rFonts w:ascii="Arial" w:hAnsi="Arial" w:cs="Arial"/>
          <w:sz w:val="17"/>
          <w:szCs w:val="17"/>
        </w:rPr>
        <w:t xml:space="preserve">  </w:t>
      </w:r>
      <w:r>
        <w:rPr>
          <w:rFonts w:ascii="Arial" w:hAnsi="Arial" w:cs="Arial"/>
          <w:sz w:val="17"/>
          <w:szCs w:val="17"/>
        </w:rPr>
        <w:tab/>
      </w:r>
      <w:r>
        <w:rPr>
          <w:rFonts w:ascii="Arial" w:hAnsi="Arial" w:cs="Arial"/>
          <w:i w:val="0"/>
          <w:sz w:val="17"/>
          <w:szCs w:val="17"/>
        </w:rPr>
        <w:t xml:space="preserve">The liability side of net debt </w:t>
      </w:r>
      <w:r w:rsidRPr="7328E58F">
        <w:rPr>
          <w:rFonts w:ascii="Arial" w:hAnsi="Arial" w:cs="Arial"/>
          <w:i w:val="0"/>
          <w:sz w:val="17"/>
          <w:szCs w:val="17"/>
        </w:rPr>
        <w:t>calculation</w:t>
      </w:r>
      <w:r>
        <w:rPr>
          <w:rFonts w:ascii="Arial" w:hAnsi="Arial" w:cs="Arial"/>
          <w:i w:val="0"/>
          <w:sz w:val="17"/>
          <w:szCs w:val="17"/>
        </w:rPr>
        <w:t>s</w:t>
      </w:r>
      <w:r w:rsidRPr="7328E58F">
        <w:rPr>
          <w:rFonts w:ascii="Arial" w:hAnsi="Arial" w:cs="Arial"/>
          <w:i w:val="0"/>
          <w:sz w:val="17"/>
          <w:szCs w:val="17"/>
        </w:rPr>
        <w:t xml:space="preserve"> </w:t>
      </w:r>
      <w:r>
        <w:rPr>
          <w:rFonts w:ascii="Arial" w:hAnsi="Arial" w:cs="Arial"/>
          <w:i w:val="0"/>
          <w:sz w:val="17"/>
          <w:szCs w:val="17"/>
        </w:rPr>
        <w:t>consists of the sum of deposits held, advances received, loans and other borrowings.</w:t>
      </w:r>
    </w:p>
  </w:footnote>
  <w:footnote w:id="4">
    <w:p w14:paraId="101CE4B5" w14:textId="25E7150E" w:rsidR="005F4C03" w:rsidRPr="00821238" w:rsidRDefault="005F4C03" w:rsidP="00BD2DA4">
      <w:pPr>
        <w:pStyle w:val="FootnoteText"/>
        <w:spacing w:before="0" w:after="0"/>
        <w:ind w:hanging="284"/>
        <w:rPr>
          <w:rFonts w:ascii="Arial" w:hAnsi="Arial" w:cs="Arial"/>
          <w:sz w:val="17"/>
          <w:szCs w:val="17"/>
          <w:lang w:val="en-AU"/>
        </w:rPr>
      </w:pPr>
      <w:r w:rsidRPr="0019042D">
        <w:rPr>
          <w:rStyle w:val="FootnoteReference"/>
          <w:rFonts w:ascii="Arial" w:hAnsi="Arial" w:cs="Arial"/>
          <w:i w:val="0"/>
          <w:sz w:val="17"/>
          <w:szCs w:val="17"/>
        </w:rPr>
        <w:footnoteRef/>
      </w:r>
      <w:r w:rsidRPr="0019042D">
        <w:rPr>
          <w:rFonts w:ascii="Arial" w:hAnsi="Arial" w:cs="Arial"/>
          <w:i w:val="0"/>
          <w:sz w:val="17"/>
          <w:szCs w:val="17"/>
        </w:rPr>
        <w:t xml:space="preserve"> </w:t>
      </w:r>
      <w:r>
        <w:rPr>
          <w:rFonts w:ascii="Arial" w:hAnsi="Arial" w:cs="Arial"/>
          <w:sz w:val="17"/>
          <w:szCs w:val="17"/>
        </w:rPr>
        <w:tab/>
      </w:r>
      <w:r w:rsidRPr="00821238">
        <w:rPr>
          <w:rFonts w:ascii="Arial" w:hAnsi="Arial" w:cs="Arial"/>
          <w:i w:val="0"/>
          <w:sz w:val="17"/>
          <w:szCs w:val="17"/>
        </w:rPr>
        <w:t>Net worth measures the overall wealth of the State and is calculated by taking the difference between total assets and total liabilities.</w:t>
      </w:r>
    </w:p>
  </w:footnote>
  <w:footnote w:id="5">
    <w:p w14:paraId="1290C621" w14:textId="431EE0A3" w:rsidR="005F4C03" w:rsidRPr="00821238" w:rsidRDefault="005F4C03" w:rsidP="00BD2DA4">
      <w:pPr>
        <w:pStyle w:val="FootnoteText"/>
        <w:spacing w:before="0" w:after="0"/>
        <w:ind w:hanging="284"/>
        <w:rPr>
          <w:rFonts w:ascii="Arial" w:hAnsi="Arial" w:cs="Arial"/>
          <w:sz w:val="17"/>
          <w:szCs w:val="17"/>
          <w:lang w:val="en-AU"/>
        </w:rPr>
      </w:pPr>
      <w:r w:rsidRPr="0019042D">
        <w:rPr>
          <w:rStyle w:val="FootnoteReference"/>
          <w:rFonts w:ascii="Arial" w:hAnsi="Arial" w:cs="Arial"/>
          <w:i w:val="0"/>
          <w:sz w:val="17"/>
          <w:szCs w:val="17"/>
        </w:rPr>
        <w:footnoteRef/>
      </w:r>
      <w:r w:rsidRPr="00821238">
        <w:rPr>
          <w:rFonts w:ascii="Arial" w:hAnsi="Arial" w:cs="Arial"/>
          <w:sz w:val="17"/>
          <w:szCs w:val="17"/>
        </w:rPr>
        <w:t xml:space="preserve"> </w:t>
      </w:r>
      <w:r>
        <w:rPr>
          <w:rFonts w:ascii="Arial" w:hAnsi="Arial" w:cs="Arial"/>
          <w:sz w:val="17"/>
          <w:szCs w:val="17"/>
        </w:rPr>
        <w:tab/>
      </w:r>
      <w:r w:rsidRPr="00104240">
        <w:rPr>
          <w:rFonts w:ascii="Arial" w:hAnsi="Arial" w:cs="Arial"/>
          <w:i w:val="0"/>
          <w:sz w:val="17"/>
          <w:szCs w:val="17"/>
        </w:rPr>
        <w:t xml:space="preserve">Equity investments in other public-sector entities represents the general government sector’s interest in the </w:t>
      </w:r>
      <w:r>
        <w:rPr>
          <w:rFonts w:ascii="Arial" w:hAnsi="Arial" w:cs="Arial"/>
          <w:i w:val="0"/>
          <w:sz w:val="17"/>
          <w:szCs w:val="17"/>
        </w:rPr>
        <w:t>public non</w:t>
      </w:r>
      <w:r>
        <w:rPr>
          <w:rFonts w:ascii="Arial" w:hAnsi="Arial" w:cs="Arial"/>
          <w:i w:val="0"/>
          <w:sz w:val="17"/>
          <w:szCs w:val="17"/>
        </w:rPr>
        <w:noBreakHyphen/>
        <w:t>financial corporation and public financial corporation</w:t>
      </w:r>
      <w:r w:rsidRPr="00104240">
        <w:rPr>
          <w:rFonts w:ascii="Arial" w:hAnsi="Arial" w:cs="Arial"/>
          <w:i w:val="0"/>
          <w:sz w:val="17"/>
          <w:szCs w:val="17"/>
        </w:rPr>
        <w:t xml:space="preserve"> sectors reflecting, in the absence of fair value, the carrying amount of net assets of those sectors (before consolidation adjustments), in accordance with AASB 1049 </w:t>
      </w:r>
      <w:r w:rsidRPr="00EA3F77">
        <w:rPr>
          <w:rFonts w:ascii="Arial" w:hAnsi="Arial" w:cs="Arial"/>
          <w:sz w:val="17"/>
          <w:szCs w:val="17"/>
        </w:rPr>
        <w:t>Whole of Government and General Government Sector Financial Reporting</w:t>
      </w:r>
      <w:r w:rsidRPr="00104240">
        <w:rPr>
          <w:rFonts w:ascii="Arial" w:hAnsi="Arial" w:cs="Arial"/>
          <w:i w:val="0"/>
          <w:sz w:val="17"/>
          <w:szCs w:val="17"/>
        </w:rPr>
        <w:t>.</w:t>
      </w:r>
    </w:p>
  </w:footnote>
  <w:footnote w:id="6">
    <w:p w14:paraId="58528135" w14:textId="066F2292" w:rsidR="005F4C03" w:rsidRPr="009E5836" w:rsidRDefault="005F4C03" w:rsidP="00BD2DA4">
      <w:pPr>
        <w:pStyle w:val="BodyTextBox"/>
        <w:spacing w:before="0" w:after="0"/>
        <w:ind w:left="709" w:hanging="283"/>
        <w:rPr>
          <w:noProof w:val="0"/>
          <w:color w:val="auto"/>
          <w:sz w:val="17"/>
          <w:szCs w:val="17"/>
          <w:lang w:val="en-US"/>
        </w:rPr>
      </w:pPr>
      <w:r w:rsidRPr="008049FC">
        <w:rPr>
          <w:rStyle w:val="FootnoteReference"/>
          <w:noProof w:val="0"/>
          <w:color w:val="auto"/>
          <w:sz w:val="17"/>
          <w:szCs w:val="17"/>
          <w:lang w:val="en-US"/>
        </w:rPr>
        <w:footnoteRef/>
      </w:r>
      <w:r w:rsidRPr="008049FC">
        <w:tab/>
      </w:r>
      <w:r w:rsidRPr="009E5836">
        <w:rPr>
          <w:noProof w:val="0"/>
          <w:color w:val="auto"/>
          <w:sz w:val="17"/>
          <w:szCs w:val="17"/>
          <w:lang w:val="en-US"/>
        </w:rPr>
        <w:t>AASB 119 requires the reported superannuation liabilty to be calculated using the ten-year Commonwealth bond rate as the discount rate to determine the present value of future payments. This approach can result in large fluctuations in the reported value of the liability: e.g. the decrease in this bond rate from approximately 2.6 per cent to approximately 1.7 per cent over the past eleven months has resulted in reported unfunded liability increasing from $53.9 billion at June 2018 at the 2019 Pre-election Budget Update to $61.2 billion at June 2019 in the Budget.</w:t>
      </w:r>
    </w:p>
  </w:footnote>
  <w:footnote w:id="7">
    <w:p w14:paraId="5477FBAE" w14:textId="61196CC9" w:rsidR="005F4C03" w:rsidRPr="008049FC" w:rsidRDefault="005F4C03" w:rsidP="00BD2DA4">
      <w:pPr>
        <w:pStyle w:val="FootnoteText"/>
        <w:spacing w:before="0" w:after="0"/>
        <w:ind w:hanging="284"/>
        <w:rPr>
          <w:i w:val="0"/>
          <w:lang w:val="en-AU"/>
        </w:rPr>
      </w:pPr>
      <w:r w:rsidRPr="008049FC">
        <w:rPr>
          <w:rStyle w:val="FootnoteReference"/>
          <w:rFonts w:ascii="Arial" w:hAnsi="Arial" w:cs="Arial"/>
          <w:i w:val="0"/>
          <w:sz w:val="17"/>
          <w:szCs w:val="17"/>
        </w:rPr>
        <w:footnoteRef/>
      </w:r>
      <w:r w:rsidRPr="008049FC">
        <w:rPr>
          <w:i w:val="0"/>
        </w:rPr>
        <w:tab/>
      </w:r>
      <w:r w:rsidRPr="008049FC">
        <w:rPr>
          <w:rFonts w:ascii="Arial" w:hAnsi="Arial" w:cs="Arial"/>
          <w:i w:val="0"/>
          <w:sz w:val="17"/>
          <w:szCs w:val="17"/>
        </w:rPr>
        <w:t>For funding purposes, AASB 1056 Superannuation Entities allows the</w:t>
      </w:r>
      <w:r>
        <w:rPr>
          <w:rFonts w:ascii="Arial" w:hAnsi="Arial" w:cs="Arial"/>
          <w:i w:val="0"/>
          <w:sz w:val="17"/>
          <w:szCs w:val="17"/>
        </w:rPr>
        <w:t xml:space="preserve"> expected</w:t>
      </w:r>
      <w:r w:rsidRPr="008049FC">
        <w:rPr>
          <w:rFonts w:ascii="Arial" w:hAnsi="Arial" w:cs="Arial"/>
          <w:i w:val="0"/>
          <w:sz w:val="17"/>
          <w:szCs w:val="17"/>
        </w:rPr>
        <w:t xml:space="preserve"> long-term return on the fund’s assets to be used as the discount rate, resulting in a more appropriate measure of the present value of future payments. On this basis, the unfunded liability is estimated to be $13.9 billion at June 2019 and is projected to decrease to $11.5</w:t>
      </w:r>
      <w:r>
        <w:rPr>
          <w:rFonts w:ascii="Arial" w:hAnsi="Arial" w:cs="Arial"/>
          <w:i w:val="0"/>
          <w:sz w:val="17"/>
          <w:szCs w:val="17"/>
        </w:rPr>
        <w:t> </w:t>
      </w:r>
      <w:r w:rsidRPr="008049FC">
        <w:rPr>
          <w:rFonts w:ascii="Arial" w:hAnsi="Arial" w:cs="Arial"/>
          <w:i w:val="0"/>
          <w:sz w:val="17"/>
          <w:szCs w:val="17"/>
        </w:rPr>
        <w:t>billion by June 2023. The FRA target of fully funding the State’s superannuation liabilities by 2030 is determined on the AASB 1056 basis.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7233CE" w14:textId="77777777" w:rsidR="005F4C03" w:rsidRPr="00245E96" w:rsidRDefault="005F4C03" w:rsidP="00C936E8">
    <w:pPr>
      <w:pBdr>
        <w:bottom w:val="single" w:sz="4" w:space="4" w:color="auto"/>
      </w:pBdr>
      <w:rPr>
        <w:rFonts w:ascii="Arial" w:eastAsia="Calibri" w:hAnsi="Arial" w:cs="Arial"/>
        <w:sz w:val="18"/>
        <w:szCs w:val="18"/>
      </w:rPr>
    </w:pPr>
    <w:r>
      <w:rPr>
        <w:rFonts w:ascii="Arial" w:eastAsia="Calibri" w:hAnsi="Arial" w:cs="Arial"/>
        <w:sz w:val="18"/>
        <w:szCs w:val="18"/>
      </w:rPr>
      <w:t>Managing the State’s Assets and Liabilities</w:t>
    </w:r>
  </w:p>
  <w:p w14:paraId="0F4FF109" w14:textId="12D5D801" w:rsidR="005F4C03" w:rsidRDefault="005F4C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6AA9" w14:textId="77777777" w:rsidR="005F4C03" w:rsidRPr="00245E96" w:rsidRDefault="005F4C03" w:rsidP="005E691C">
    <w:pPr>
      <w:pBdr>
        <w:bottom w:val="single" w:sz="4" w:space="4" w:color="auto"/>
      </w:pBdr>
      <w:jc w:val="right"/>
      <w:rPr>
        <w:rFonts w:ascii="Arial" w:eastAsia="Calibri" w:hAnsi="Arial" w:cs="Arial"/>
        <w:sz w:val="18"/>
        <w:szCs w:val="18"/>
      </w:rPr>
    </w:pPr>
    <w:r>
      <w:rPr>
        <w:rFonts w:ascii="Arial" w:eastAsia="Calibri" w:hAnsi="Arial" w:cs="Arial"/>
        <w:sz w:val="18"/>
        <w:szCs w:val="18"/>
      </w:rPr>
      <w:t>Managing the State’s Assets and Liabilities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AA44F" w14:textId="77777777" w:rsidR="005F4C03" w:rsidRDefault="005F4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2770"/>
    <w:multiLevelType w:val="hybridMultilevel"/>
    <w:tmpl w:val="D7207D60"/>
    <w:lvl w:ilvl="0" w:tplc="4FB66E9C">
      <w:start w:val="1"/>
      <w:numFmt w:val="decimal"/>
      <w:lvlText w:val="Box 7.%1:"/>
      <w:lvlJc w:val="left"/>
      <w:pPr>
        <w:ind w:left="720" w:hanging="360"/>
      </w:pPr>
      <w:rPr>
        <w:rFonts w:ascii="Arial Bold" w:hAnsi="Arial Bold" w:hint="default"/>
        <w:b/>
        <w:i w:val="0"/>
        <w:sz w:val="23"/>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5DE5882"/>
    <w:multiLevelType w:val="singleLevel"/>
    <w:tmpl w:val="022A7A84"/>
    <w:lvl w:ilvl="0">
      <w:start w:val="1"/>
      <w:numFmt w:val="bullet"/>
      <w:pStyle w:val="Bullet3"/>
      <w:lvlText w:val=""/>
      <w:lvlJc w:val="left"/>
      <w:pPr>
        <w:tabs>
          <w:tab w:val="num" w:pos="1276"/>
        </w:tabs>
        <w:ind w:left="1276" w:hanging="425"/>
      </w:pPr>
      <w:rPr>
        <w:rFonts w:ascii="Symbol" w:hAnsi="Symbol" w:hint="default"/>
        <w:sz w:val="22"/>
      </w:rPr>
    </w:lvl>
  </w:abstractNum>
  <w:abstractNum w:abstractNumId="2" w15:restartNumberingAfterBreak="0">
    <w:nsid w:val="0DCB4AFF"/>
    <w:multiLevelType w:val="hybridMultilevel"/>
    <w:tmpl w:val="C4CC58DA"/>
    <w:lvl w:ilvl="0" w:tplc="54B061C6">
      <w:start w:val="1"/>
      <w:numFmt w:val="bullet"/>
      <w:pStyle w:val="ListBullet1"/>
      <w:lvlText w:val=""/>
      <w:lvlJc w:val="left"/>
      <w:pPr>
        <w:tabs>
          <w:tab w:val="num" w:pos="454"/>
        </w:tabs>
        <w:ind w:left="454" w:hanging="454"/>
      </w:pPr>
      <w:rPr>
        <w:rFonts w:ascii="Symbol" w:hAnsi="Symbol" w:hint="default"/>
      </w:rPr>
    </w:lvl>
    <w:lvl w:ilvl="1" w:tplc="5A70E5E4">
      <w:numFmt w:val="bullet"/>
      <w:lvlText w:val="-"/>
      <w:lvlJc w:val="left"/>
      <w:pPr>
        <w:tabs>
          <w:tab w:val="num" w:pos="1440"/>
        </w:tabs>
        <w:ind w:left="1440" w:hanging="360"/>
      </w:pPr>
      <w:rPr>
        <w:rFonts w:ascii="Arial" w:eastAsia="Times New Roman" w:hAnsi="Arial" w:cs="Arial"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3F1C7F"/>
    <w:multiLevelType w:val="hybridMultilevel"/>
    <w:tmpl w:val="36CA41A0"/>
    <w:lvl w:ilvl="0" w:tplc="043E2B30">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7182846"/>
    <w:multiLevelType w:val="hybridMultilevel"/>
    <w:tmpl w:val="DD9E75FA"/>
    <w:lvl w:ilvl="0" w:tplc="6AFA5066">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225006D5"/>
    <w:multiLevelType w:val="hybridMultilevel"/>
    <w:tmpl w:val="5D7CED7C"/>
    <w:lvl w:ilvl="0" w:tplc="2564E418">
      <w:start w:val="1"/>
      <w:numFmt w:val="lowerLetter"/>
      <w:pStyle w:val="Tablefootnote"/>
      <w:lvlText w:val="(%1)"/>
      <w:lvlJc w:val="left"/>
      <w:pPr>
        <w:ind w:left="720" w:hanging="360"/>
      </w:pPr>
      <w:rPr>
        <w:rFonts w:ascii="Arial" w:hAnsi="Arial" w:cs="Times New Roman" w:hint="default"/>
        <w:b w:val="0"/>
        <w:i w:val="0"/>
        <w:caps w:val="0"/>
        <w:color w:val="auto"/>
        <w:sz w:val="17"/>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27856019"/>
    <w:multiLevelType w:val="hybridMultilevel"/>
    <w:tmpl w:val="5D6A291C"/>
    <w:lvl w:ilvl="0" w:tplc="6514214C">
      <w:start w:val="1"/>
      <w:numFmt w:val="bullet"/>
      <w:pStyle w:val="Bullet1inabox"/>
      <w:lvlText w:val="•"/>
      <w:lvlJc w:val="left"/>
      <w:pPr>
        <w:ind w:left="360" w:hanging="360"/>
      </w:pPr>
      <w:rPr>
        <w:rFonts w:ascii="Arial" w:hAnsi="Arial" w:hint="default"/>
        <w:color w:val="0A7CB9"/>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DD57202"/>
    <w:multiLevelType w:val="hybridMultilevel"/>
    <w:tmpl w:val="246A79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31B23E02"/>
    <w:multiLevelType w:val="hybridMultilevel"/>
    <w:tmpl w:val="21DAF428"/>
    <w:lvl w:ilvl="0" w:tplc="93D28218">
      <w:start w:val="1"/>
      <w:numFmt w:val="decimal"/>
      <w:pStyle w:val="Table7X"/>
      <w:lvlText w:val="Table 6.%1:"/>
      <w:lvlJc w:val="left"/>
      <w:pPr>
        <w:ind w:left="720" w:hanging="360"/>
      </w:pPr>
      <w:rPr>
        <w:rFonts w:ascii="Arial" w:hAnsi="Arial" w:hint="default"/>
        <w:b w:val="0"/>
        <w:i/>
        <w:color w:val="4F4F4F"/>
        <w:sz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DF944FB"/>
    <w:multiLevelType w:val="singleLevel"/>
    <w:tmpl w:val="96863882"/>
    <w:lvl w:ilvl="0">
      <w:start w:val="1"/>
      <w:numFmt w:val="bullet"/>
      <w:pStyle w:val="Bullet4"/>
      <w:lvlText w:val=""/>
      <w:lvlJc w:val="left"/>
      <w:pPr>
        <w:tabs>
          <w:tab w:val="num" w:pos="1701"/>
        </w:tabs>
        <w:ind w:left="1701" w:hanging="425"/>
      </w:pPr>
      <w:rPr>
        <w:rFonts w:ascii="Symbol" w:hAnsi="Symbol" w:hint="default"/>
        <w:sz w:val="22"/>
      </w:rPr>
    </w:lvl>
  </w:abstractNum>
  <w:abstractNum w:abstractNumId="10" w15:restartNumberingAfterBreak="0">
    <w:nsid w:val="405B1285"/>
    <w:multiLevelType w:val="hybridMultilevel"/>
    <w:tmpl w:val="41BC154E"/>
    <w:lvl w:ilvl="0" w:tplc="2A6CE680">
      <w:start w:val="1"/>
      <w:numFmt w:val="decimal"/>
      <w:lvlText w:val="Chart 7.%1:"/>
      <w:lvlJc w:val="left"/>
      <w:pPr>
        <w:ind w:left="360" w:hanging="360"/>
      </w:pPr>
      <w:rPr>
        <w:rFonts w:ascii="Arial" w:hAnsi="Arial" w:hint="default"/>
        <w:b w:val="0"/>
        <w:i/>
        <w:caps w:val="0"/>
        <w:color w:val="4F4F4F"/>
        <w:sz w:val="22"/>
      </w:rPr>
    </w:lvl>
    <w:lvl w:ilvl="1" w:tplc="0C090019">
      <w:start w:val="1"/>
      <w:numFmt w:val="lowerLetter"/>
      <w:lvlText w:val="%2."/>
      <w:lvlJc w:val="left"/>
      <w:pPr>
        <w:ind w:left="1015" w:hanging="360"/>
      </w:pPr>
    </w:lvl>
    <w:lvl w:ilvl="2" w:tplc="0C09001B" w:tentative="1">
      <w:start w:val="1"/>
      <w:numFmt w:val="lowerRoman"/>
      <w:lvlText w:val="%3."/>
      <w:lvlJc w:val="right"/>
      <w:pPr>
        <w:ind w:left="1735" w:hanging="180"/>
      </w:pPr>
    </w:lvl>
    <w:lvl w:ilvl="3" w:tplc="0C09000F" w:tentative="1">
      <w:start w:val="1"/>
      <w:numFmt w:val="decimal"/>
      <w:lvlText w:val="%4."/>
      <w:lvlJc w:val="left"/>
      <w:pPr>
        <w:ind w:left="2455" w:hanging="360"/>
      </w:pPr>
    </w:lvl>
    <w:lvl w:ilvl="4" w:tplc="0C090019" w:tentative="1">
      <w:start w:val="1"/>
      <w:numFmt w:val="lowerLetter"/>
      <w:lvlText w:val="%5."/>
      <w:lvlJc w:val="left"/>
      <w:pPr>
        <w:ind w:left="3175" w:hanging="360"/>
      </w:pPr>
    </w:lvl>
    <w:lvl w:ilvl="5" w:tplc="0C09001B" w:tentative="1">
      <w:start w:val="1"/>
      <w:numFmt w:val="lowerRoman"/>
      <w:lvlText w:val="%6."/>
      <w:lvlJc w:val="right"/>
      <w:pPr>
        <w:ind w:left="3895" w:hanging="180"/>
      </w:pPr>
    </w:lvl>
    <w:lvl w:ilvl="6" w:tplc="0C09000F" w:tentative="1">
      <w:start w:val="1"/>
      <w:numFmt w:val="decimal"/>
      <w:lvlText w:val="%7."/>
      <w:lvlJc w:val="left"/>
      <w:pPr>
        <w:ind w:left="4615" w:hanging="360"/>
      </w:pPr>
    </w:lvl>
    <w:lvl w:ilvl="7" w:tplc="0C090019" w:tentative="1">
      <w:start w:val="1"/>
      <w:numFmt w:val="lowerLetter"/>
      <w:lvlText w:val="%8."/>
      <w:lvlJc w:val="left"/>
      <w:pPr>
        <w:ind w:left="5335" w:hanging="360"/>
      </w:pPr>
    </w:lvl>
    <w:lvl w:ilvl="8" w:tplc="0C09001B" w:tentative="1">
      <w:start w:val="1"/>
      <w:numFmt w:val="lowerRoman"/>
      <w:lvlText w:val="%9."/>
      <w:lvlJc w:val="right"/>
      <w:pPr>
        <w:ind w:left="6055" w:hanging="180"/>
      </w:pPr>
    </w:lvl>
  </w:abstractNum>
  <w:abstractNum w:abstractNumId="11" w15:restartNumberingAfterBreak="0">
    <w:nsid w:val="4AB30002"/>
    <w:multiLevelType w:val="hybridMultilevel"/>
    <w:tmpl w:val="CB68DB96"/>
    <w:lvl w:ilvl="0" w:tplc="B8FACD6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CC43640"/>
    <w:multiLevelType w:val="hybridMultilevel"/>
    <w:tmpl w:val="CF825208"/>
    <w:lvl w:ilvl="0" w:tplc="B2E210DE">
      <w:start w:val="1"/>
      <w:numFmt w:val="decimal"/>
      <w:pStyle w:val="Heading2"/>
      <w:lvlText w:val="6.%1"/>
      <w:lvlJc w:val="left"/>
      <w:pPr>
        <w:ind w:left="720" w:hanging="360"/>
      </w:pPr>
      <w:rPr>
        <w:rFonts w:ascii="Arial Bold" w:hAnsi="Arial Bold" w:hint="default"/>
        <w:b/>
        <w:i w:val="0"/>
        <w:color w:val="00ABE6"/>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4DB02070"/>
    <w:multiLevelType w:val="hybridMultilevel"/>
    <w:tmpl w:val="105CEC38"/>
    <w:lvl w:ilvl="0" w:tplc="3E744644">
      <w:start w:val="1"/>
      <w:numFmt w:val="decimal"/>
      <w:lvlText w:val="Box 5.%1:"/>
      <w:lvlJc w:val="left"/>
      <w:pPr>
        <w:ind w:left="360" w:hanging="360"/>
      </w:pPr>
      <w:rPr>
        <w:rFonts w:ascii="Arial Bold" w:hAnsi="Arial Bold" w:hint="default"/>
        <w:b/>
        <w:i w:val="0"/>
        <w:caps w:val="0"/>
        <w:color w:val="00ABE6"/>
        <w:sz w:val="23"/>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4F5E1517"/>
    <w:multiLevelType w:val="hybridMultilevel"/>
    <w:tmpl w:val="3D02BF10"/>
    <w:lvl w:ilvl="0" w:tplc="CAB62BF2">
      <w:start w:val="1"/>
      <w:numFmt w:val="decimal"/>
      <w:pStyle w:val="Table1X"/>
      <w:lvlText w:val="Table 1.%1:"/>
      <w:lvlJc w:val="right"/>
      <w:pPr>
        <w:ind w:left="360" w:hanging="360"/>
      </w:pPr>
      <w:rPr>
        <w:rFonts w:ascii="Arial" w:hAnsi="Arial" w:hint="default"/>
        <w:b w:val="0"/>
        <w:i/>
        <w:caps w:val="0"/>
        <w:color w:val="57514D"/>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1045771"/>
    <w:multiLevelType w:val="hybridMultilevel"/>
    <w:tmpl w:val="CADA9D78"/>
    <w:lvl w:ilvl="0" w:tplc="37E0EB26">
      <w:start w:val="1"/>
      <w:numFmt w:val="decimal"/>
      <w:pStyle w:val="TableHeading"/>
      <w:lvlText w:val="Table x.%1:"/>
      <w:lvlJc w:val="left"/>
      <w:pPr>
        <w:tabs>
          <w:tab w:val="num" w:pos="1440"/>
        </w:tabs>
        <w:ind w:left="360" w:hanging="360"/>
      </w:pPr>
      <w:rPr>
        <w:rFonts w:ascii="Arial" w:hAnsi="Arial" w:hint="default"/>
        <w:sz w:val="24"/>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52BD70C2"/>
    <w:multiLevelType w:val="hybridMultilevel"/>
    <w:tmpl w:val="577A4FCA"/>
    <w:lvl w:ilvl="0" w:tplc="8A46047C">
      <w:start w:val="1"/>
      <w:numFmt w:val="bullet"/>
      <w:pStyle w:val="Bullet2"/>
      <w:lvlText w:val="–"/>
      <w:lvlJc w:val="left"/>
      <w:pPr>
        <w:tabs>
          <w:tab w:val="num" w:pos="785"/>
        </w:tabs>
        <w:ind w:left="785" w:hanging="360"/>
      </w:pPr>
      <w:rPr>
        <w:rFonts w:ascii="Lucida Sans" w:hAnsi="Lucida Sans" w:hint="default"/>
        <w:sz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CE583F"/>
    <w:multiLevelType w:val="hybridMultilevel"/>
    <w:tmpl w:val="9A122C4C"/>
    <w:lvl w:ilvl="0" w:tplc="64A0A4BE">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B522501"/>
    <w:multiLevelType w:val="hybridMultilevel"/>
    <w:tmpl w:val="F1945364"/>
    <w:lvl w:ilvl="0" w:tplc="A5346598">
      <w:numFmt w:val="bullet"/>
      <w:pStyle w:val="Bullet1"/>
      <w:lvlText w:val="•"/>
      <w:lvlJc w:val="left"/>
      <w:pPr>
        <w:ind w:left="720" w:hanging="360"/>
      </w:pPr>
      <w:rPr>
        <w:rFonts w:ascii="Arial" w:hAnsi="Arial" w:cs="Arial" w:hint="default"/>
        <w:color w:val="auto"/>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5DBD6814"/>
    <w:multiLevelType w:val="hybridMultilevel"/>
    <w:tmpl w:val="1194ADDE"/>
    <w:lvl w:ilvl="0" w:tplc="831EBCDC">
      <w:start w:val="1"/>
      <w:numFmt w:val="decimal"/>
      <w:pStyle w:val="Chart6X"/>
      <w:lvlText w:val="Chart 6.%1:"/>
      <w:lvlJc w:val="left"/>
      <w:pPr>
        <w:ind w:left="720" w:hanging="360"/>
      </w:pPr>
      <w:rPr>
        <w:rFonts w:ascii="Arial" w:hAnsi="Arial" w:hint="default"/>
        <w:b w:val="0"/>
        <w:i/>
        <w:caps w:val="0"/>
        <w:color w:val="4F4F4F"/>
        <w:sz w:val="22"/>
        <w:u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647C3F69"/>
    <w:multiLevelType w:val="hybridMultilevel"/>
    <w:tmpl w:val="048CB5CC"/>
    <w:lvl w:ilvl="0" w:tplc="00A2928C">
      <w:start w:val="1"/>
      <w:numFmt w:val="decimal"/>
      <w:lvlText w:val="Table 7.%1:"/>
      <w:lvlJc w:val="left"/>
      <w:pPr>
        <w:ind w:left="360" w:hanging="360"/>
      </w:pPr>
      <w:rPr>
        <w:rFonts w:ascii="Arial" w:hAnsi="Arial" w:cs="Arial" w:hint="default"/>
        <w:b w:val="0"/>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65330F60"/>
    <w:multiLevelType w:val="hybridMultilevel"/>
    <w:tmpl w:val="AA3AE2CA"/>
    <w:lvl w:ilvl="0" w:tplc="F77AB1B4">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98C5F85"/>
    <w:multiLevelType w:val="hybridMultilevel"/>
    <w:tmpl w:val="4CBEA29C"/>
    <w:lvl w:ilvl="0" w:tplc="CCB601BE">
      <w:start w:val="1"/>
      <w:numFmt w:val="bullet"/>
      <w:lvlText w:val=""/>
      <w:lvlJc w:val="left"/>
      <w:pPr>
        <w:ind w:left="36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3" w15:restartNumberingAfterBreak="0">
    <w:nsid w:val="6AE650EF"/>
    <w:multiLevelType w:val="hybridMultilevel"/>
    <w:tmpl w:val="8A705E80"/>
    <w:lvl w:ilvl="0" w:tplc="BEE27DE8">
      <w:start w:val="1"/>
      <w:numFmt w:val="decimal"/>
      <w:pStyle w:val="Box61BoxHeading"/>
      <w:lvlText w:val="Box 6.%1:"/>
      <w:lvlJc w:val="left"/>
      <w:pPr>
        <w:ind w:left="720" w:hanging="360"/>
      </w:pPr>
      <w:rPr>
        <w:rFonts w:ascii="Arial Bold" w:hAnsi="Arial Bold" w:hint="default"/>
        <w:b/>
        <w:i w:val="0"/>
        <w:sz w:val="23"/>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7B81606A"/>
    <w:multiLevelType w:val="hybridMultilevel"/>
    <w:tmpl w:val="3CCEFA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6"/>
  </w:num>
  <w:num w:numId="2">
    <w:abstractNumId w:val="1"/>
  </w:num>
  <w:num w:numId="3">
    <w:abstractNumId w:val="9"/>
  </w:num>
  <w:num w:numId="4">
    <w:abstractNumId w:val="2"/>
  </w:num>
  <w:num w:numId="5">
    <w:abstractNumId w:val="14"/>
  </w:num>
  <w:num w:numId="6">
    <w:abstractNumId w:val="15"/>
  </w:num>
  <w:num w:numId="7">
    <w:abstractNumId w:val="13"/>
  </w:num>
  <w:num w:numId="8">
    <w:abstractNumId w:val="20"/>
  </w:num>
  <w:num w:numId="9">
    <w:abstractNumId w:val="10"/>
  </w:num>
  <w:num w:numId="10">
    <w:abstractNumId w:val="3"/>
  </w:num>
  <w:num w:numId="11">
    <w:abstractNumId w:val="22"/>
  </w:num>
  <w:num w:numId="12">
    <w:abstractNumId w:val="21"/>
  </w:num>
  <w:num w:numId="13">
    <w:abstractNumId w:val="17"/>
  </w:num>
  <w:num w:numId="14">
    <w:abstractNumId w:val="7"/>
  </w:num>
  <w:num w:numId="15">
    <w:abstractNumId w:val="24"/>
  </w:num>
  <w:num w:numId="16">
    <w:abstractNumId w:val="18"/>
  </w:num>
  <w:num w:numId="17">
    <w:abstractNumId w:val="6"/>
  </w:num>
  <w:num w:numId="18">
    <w:abstractNumId w:val="16"/>
  </w:num>
  <w:num w:numId="19">
    <w:abstractNumId w:val="0"/>
  </w:num>
  <w:num w:numId="20">
    <w:abstractNumId w:val="0"/>
  </w:num>
  <w:num w:numId="21">
    <w:abstractNumId w:val="0"/>
  </w:num>
  <w:num w:numId="22">
    <w:abstractNumId w:val="0"/>
  </w:num>
  <w:num w:numId="23">
    <w:abstractNumId w:val="5"/>
  </w:num>
  <w:num w:numId="24">
    <w:abstractNumId w:val="5"/>
    <w:lvlOverride w:ilvl="0">
      <w:startOverride w:val="1"/>
    </w:lvlOverride>
  </w:num>
  <w:num w:numId="25">
    <w:abstractNumId w:val="0"/>
  </w:num>
  <w:num w:numId="26">
    <w:abstractNumId w:val="10"/>
  </w:num>
  <w:num w:numId="27">
    <w:abstractNumId w:val="13"/>
  </w:num>
  <w:num w:numId="28">
    <w:abstractNumId w:val="11"/>
  </w:num>
  <w:num w:numId="29">
    <w:abstractNumId w:val="12"/>
  </w:num>
  <w:num w:numId="30">
    <w:abstractNumId w:val="8"/>
  </w:num>
  <w:num w:numId="31">
    <w:abstractNumId w:val="23"/>
  </w:num>
  <w:num w:numId="32">
    <w:abstractNumId w:val="19"/>
  </w:num>
  <w:num w:numId="33">
    <w:abstractNumId w:val="4"/>
  </w:num>
  <w:num w:numId="3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evenAndOddHeaders/>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6541"/>
    <w:rsid w:val="00000DB1"/>
    <w:rsid w:val="000022B5"/>
    <w:rsid w:val="00002F2D"/>
    <w:rsid w:val="000035E6"/>
    <w:rsid w:val="000067CC"/>
    <w:rsid w:val="00007404"/>
    <w:rsid w:val="000075A7"/>
    <w:rsid w:val="00010B37"/>
    <w:rsid w:val="0001144D"/>
    <w:rsid w:val="00011856"/>
    <w:rsid w:val="0001186A"/>
    <w:rsid w:val="0001273D"/>
    <w:rsid w:val="00013AB9"/>
    <w:rsid w:val="0001476D"/>
    <w:rsid w:val="00015CAB"/>
    <w:rsid w:val="000160FA"/>
    <w:rsid w:val="000169BB"/>
    <w:rsid w:val="00020625"/>
    <w:rsid w:val="00022F7D"/>
    <w:rsid w:val="0002412B"/>
    <w:rsid w:val="0002424D"/>
    <w:rsid w:val="000247D1"/>
    <w:rsid w:val="00025364"/>
    <w:rsid w:val="0002719B"/>
    <w:rsid w:val="00027425"/>
    <w:rsid w:val="00030FB2"/>
    <w:rsid w:val="00031220"/>
    <w:rsid w:val="00031326"/>
    <w:rsid w:val="00032C35"/>
    <w:rsid w:val="00034826"/>
    <w:rsid w:val="0003484D"/>
    <w:rsid w:val="000348E3"/>
    <w:rsid w:val="00036D95"/>
    <w:rsid w:val="00037197"/>
    <w:rsid w:val="000377A9"/>
    <w:rsid w:val="00037BB9"/>
    <w:rsid w:val="000401F6"/>
    <w:rsid w:val="00040823"/>
    <w:rsid w:val="00040B04"/>
    <w:rsid w:val="00041F7B"/>
    <w:rsid w:val="00042180"/>
    <w:rsid w:val="000426DF"/>
    <w:rsid w:val="00043322"/>
    <w:rsid w:val="0004381F"/>
    <w:rsid w:val="00043CA7"/>
    <w:rsid w:val="000445F9"/>
    <w:rsid w:val="00044FC0"/>
    <w:rsid w:val="00045037"/>
    <w:rsid w:val="000457B1"/>
    <w:rsid w:val="00045BB4"/>
    <w:rsid w:val="00045C21"/>
    <w:rsid w:val="00045EE6"/>
    <w:rsid w:val="000462B0"/>
    <w:rsid w:val="0004658A"/>
    <w:rsid w:val="00046720"/>
    <w:rsid w:val="000471AD"/>
    <w:rsid w:val="00047FC4"/>
    <w:rsid w:val="00047FEA"/>
    <w:rsid w:val="000501BD"/>
    <w:rsid w:val="0005066A"/>
    <w:rsid w:val="00050DEA"/>
    <w:rsid w:val="0005215C"/>
    <w:rsid w:val="0005249D"/>
    <w:rsid w:val="00052965"/>
    <w:rsid w:val="00052E58"/>
    <w:rsid w:val="00053234"/>
    <w:rsid w:val="000534D2"/>
    <w:rsid w:val="00053ED2"/>
    <w:rsid w:val="00053FA0"/>
    <w:rsid w:val="00054016"/>
    <w:rsid w:val="000541CD"/>
    <w:rsid w:val="0005497F"/>
    <w:rsid w:val="00057A65"/>
    <w:rsid w:val="00060865"/>
    <w:rsid w:val="00061DED"/>
    <w:rsid w:val="00062063"/>
    <w:rsid w:val="00062D99"/>
    <w:rsid w:val="000631B4"/>
    <w:rsid w:val="00063254"/>
    <w:rsid w:val="00063DD0"/>
    <w:rsid w:val="00063DF0"/>
    <w:rsid w:val="000641D9"/>
    <w:rsid w:val="00064A72"/>
    <w:rsid w:val="00064AFB"/>
    <w:rsid w:val="00065305"/>
    <w:rsid w:val="000655ED"/>
    <w:rsid w:val="00065E51"/>
    <w:rsid w:val="0006615E"/>
    <w:rsid w:val="0006697F"/>
    <w:rsid w:val="000700BF"/>
    <w:rsid w:val="000702BA"/>
    <w:rsid w:val="00071260"/>
    <w:rsid w:val="00074853"/>
    <w:rsid w:val="000754B6"/>
    <w:rsid w:val="0007707D"/>
    <w:rsid w:val="00077809"/>
    <w:rsid w:val="000811F9"/>
    <w:rsid w:val="0008254A"/>
    <w:rsid w:val="00082A44"/>
    <w:rsid w:val="00082F0A"/>
    <w:rsid w:val="000837E4"/>
    <w:rsid w:val="00084593"/>
    <w:rsid w:val="00084955"/>
    <w:rsid w:val="00084FC4"/>
    <w:rsid w:val="000851FD"/>
    <w:rsid w:val="00085322"/>
    <w:rsid w:val="0008586B"/>
    <w:rsid w:val="00085ED7"/>
    <w:rsid w:val="00086409"/>
    <w:rsid w:val="00087B9F"/>
    <w:rsid w:val="0009036F"/>
    <w:rsid w:val="00090E94"/>
    <w:rsid w:val="00091278"/>
    <w:rsid w:val="000915A0"/>
    <w:rsid w:val="00092802"/>
    <w:rsid w:val="00093A8A"/>
    <w:rsid w:val="0009484F"/>
    <w:rsid w:val="00095334"/>
    <w:rsid w:val="00095FB7"/>
    <w:rsid w:val="0009620A"/>
    <w:rsid w:val="0009635F"/>
    <w:rsid w:val="000969D4"/>
    <w:rsid w:val="000978B4"/>
    <w:rsid w:val="000A0F6C"/>
    <w:rsid w:val="000A11DA"/>
    <w:rsid w:val="000A1DA1"/>
    <w:rsid w:val="000A2E6C"/>
    <w:rsid w:val="000A2F7D"/>
    <w:rsid w:val="000A452F"/>
    <w:rsid w:val="000A45DE"/>
    <w:rsid w:val="000A4AAB"/>
    <w:rsid w:val="000A4FBA"/>
    <w:rsid w:val="000A61F6"/>
    <w:rsid w:val="000A755E"/>
    <w:rsid w:val="000A7A6F"/>
    <w:rsid w:val="000A7B82"/>
    <w:rsid w:val="000A7E70"/>
    <w:rsid w:val="000B00FB"/>
    <w:rsid w:val="000B0B37"/>
    <w:rsid w:val="000B266D"/>
    <w:rsid w:val="000B2EA7"/>
    <w:rsid w:val="000B35BD"/>
    <w:rsid w:val="000B3A00"/>
    <w:rsid w:val="000B4650"/>
    <w:rsid w:val="000B52D5"/>
    <w:rsid w:val="000B649C"/>
    <w:rsid w:val="000B64E6"/>
    <w:rsid w:val="000B6DFB"/>
    <w:rsid w:val="000B71C8"/>
    <w:rsid w:val="000B7532"/>
    <w:rsid w:val="000C1FA9"/>
    <w:rsid w:val="000C258B"/>
    <w:rsid w:val="000C2753"/>
    <w:rsid w:val="000C2755"/>
    <w:rsid w:val="000C328B"/>
    <w:rsid w:val="000C329B"/>
    <w:rsid w:val="000C3435"/>
    <w:rsid w:val="000C36DD"/>
    <w:rsid w:val="000C4391"/>
    <w:rsid w:val="000C4487"/>
    <w:rsid w:val="000C46BB"/>
    <w:rsid w:val="000C4C46"/>
    <w:rsid w:val="000C5EC9"/>
    <w:rsid w:val="000D0280"/>
    <w:rsid w:val="000D1820"/>
    <w:rsid w:val="000D1980"/>
    <w:rsid w:val="000D1D73"/>
    <w:rsid w:val="000D26AF"/>
    <w:rsid w:val="000D2C42"/>
    <w:rsid w:val="000D436B"/>
    <w:rsid w:val="000D463E"/>
    <w:rsid w:val="000D5104"/>
    <w:rsid w:val="000D5788"/>
    <w:rsid w:val="000D58EF"/>
    <w:rsid w:val="000D5D68"/>
    <w:rsid w:val="000D638E"/>
    <w:rsid w:val="000D787C"/>
    <w:rsid w:val="000D7C41"/>
    <w:rsid w:val="000E0170"/>
    <w:rsid w:val="000E0F5E"/>
    <w:rsid w:val="000E1512"/>
    <w:rsid w:val="000E1CAD"/>
    <w:rsid w:val="000E3BAF"/>
    <w:rsid w:val="000E3CBC"/>
    <w:rsid w:val="000E3E12"/>
    <w:rsid w:val="000E558B"/>
    <w:rsid w:val="000E59C5"/>
    <w:rsid w:val="000E6A8C"/>
    <w:rsid w:val="000F045D"/>
    <w:rsid w:val="000F055E"/>
    <w:rsid w:val="000F1407"/>
    <w:rsid w:val="000F1E9A"/>
    <w:rsid w:val="000F23DA"/>
    <w:rsid w:val="000F2806"/>
    <w:rsid w:val="000F2914"/>
    <w:rsid w:val="000F33D8"/>
    <w:rsid w:val="000F42E8"/>
    <w:rsid w:val="000F45A1"/>
    <w:rsid w:val="000F5849"/>
    <w:rsid w:val="000F5D42"/>
    <w:rsid w:val="000F6017"/>
    <w:rsid w:val="000F6354"/>
    <w:rsid w:val="000F68A1"/>
    <w:rsid w:val="000F6FC2"/>
    <w:rsid w:val="000F772F"/>
    <w:rsid w:val="0010006A"/>
    <w:rsid w:val="00100D3E"/>
    <w:rsid w:val="0010110F"/>
    <w:rsid w:val="0010171F"/>
    <w:rsid w:val="00101AF8"/>
    <w:rsid w:val="00101C88"/>
    <w:rsid w:val="001026A3"/>
    <w:rsid w:val="001026F2"/>
    <w:rsid w:val="001027E3"/>
    <w:rsid w:val="00103F4A"/>
    <w:rsid w:val="00104240"/>
    <w:rsid w:val="001042EC"/>
    <w:rsid w:val="00104AC8"/>
    <w:rsid w:val="00106F2A"/>
    <w:rsid w:val="00107D00"/>
    <w:rsid w:val="0011071D"/>
    <w:rsid w:val="001107D6"/>
    <w:rsid w:val="00110BAF"/>
    <w:rsid w:val="00110CAA"/>
    <w:rsid w:val="001129A6"/>
    <w:rsid w:val="00112D70"/>
    <w:rsid w:val="00113EBA"/>
    <w:rsid w:val="00114ABE"/>
    <w:rsid w:val="00114B16"/>
    <w:rsid w:val="0011646B"/>
    <w:rsid w:val="00116713"/>
    <w:rsid w:val="00116909"/>
    <w:rsid w:val="00117D90"/>
    <w:rsid w:val="00120E6B"/>
    <w:rsid w:val="00121228"/>
    <w:rsid w:val="0012167A"/>
    <w:rsid w:val="00121BCC"/>
    <w:rsid w:val="00122597"/>
    <w:rsid w:val="001228EB"/>
    <w:rsid w:val="0012301C"/>
    <w:rsid w:val="00123E2D"/>
    <w:rsid w:val="00125881"/>
    <w:rsid w:val="00125953"/>
    <w:rsid w:val="0012698F"/>
    <w:rsid w:val="00126DB2"/>
    <w:rsid w:val="00130C7A"/>
    <w:rsid w:val="001314BB"/>
    <w:rsid w:val="0013244A"/>
    <w:rsid w:val="00132AEA"/>
    <w:rsid w:val="00132D7A"/>
    <w:rsid w:val="001333CA"/>
    <w:rsid w:val="00133415"/>
    <w:rsid w:val="00133520"/>
    <w:rsid w:val="0013375C"/>
    <w:rsid w:val="00133A95"/>
    <w:rsid w:val="00133AA4"/>
    <w:rsid w:val="00133C9E"/>
    <w:rsid w:val="001342F2"/>
    <w:rsid w:val="001344DD"/>
    <w:rsid w:val="001349C9"/>
    <w:rsid w:val="00134EE4"/>
    <w:rsid w:val="00135AE0"/>
    <w:rsid w:val="00137744"/>
    <w:rsid w:val="00137E0C"/>
    <w:rsid w:val="00141F2F"/>
    <w:rsid w:val="0014261A"/>
    <w:rsid w:val="0014326D"/>
    <w:rsid w:val="001435BE"/>
    <w:rsid w:val="001437FE"/>
    <w:rsid w:val="00144FCC"/>
    <w:rsid w:val="00145753"/>
    <w:rsid w:val="00145962"/>
    <w:rsid w:val="0015141A"/>
    <w:rsid w:val="00151C8E"/>
    <w:rsid w:val="00151FFA"/>
    <w:rsid w:val="00152E27"/>
    <w:rsid w:val="00153009"/>
    <w:rsid w:val="0015311E"/>
    <w:rsid w:val="00153CD1"/>
    <w:rsid w:val="00153D06"/>
    <w:rsid w:val="00155601"/>
    <w:rsid w:val="001557BC"/>
    <w:rsid w:val="00155AA6"/>
    <w:rsid w:val="00156AEB"/>
    <w:rsid w:val="00156E35"/>
    <w:rsid w:val="00157165"/>
    <w:rsid w:val="00157C8E"/>
    <w:rsid w:val="0016051C"/>
    <w:rsid w:val="00160D97"/>
    <w:rsid w:val="00163EA4"/>
    <w:rsid w:val="00164601"/>
    <w:rsid w:val="00164B92"/>
    <w:rsid w:val="001659D0"/>
    <w:rsid w:val="00166488"/>
    <w:rsid w:val="00166FD5"/>
    <w:rsid w:val="001673C4"/>
    <w:rsid w:val="00170684"/>
    <w:rsid w:val="00171329"/>
    <w:rsid w:val="00171FDB"/>
    <w:rsid w:val="00172100"/>
    <w:rsid w:val="0017264B"/>
    <w:rsid w:val="0017442C"/>
    <w:rsid w:val="001749F0"/>
    <w:rsid w:val="00175322"/>
    <w:rsid w:val="001759B0"/>
    <w:rsid w:val="00177C1D"/>
    <w:rsid w:val="0018022D"/>
    <w:rsid w:val="00180AC0"/>
    <w:rsid w:val="00180E0A"/>
    <w:rsid w:val="00180EE9"/>
    <w:rsid w:val="001817B3"/>
    <w:rsid w:val="00182A0A"/>
    <w:rsid w:val="001834EA"/>
    <w:rsid w:val="00184124"/>
    <w:rsid w:val="00184EF4"/>
    <w:rsid w:val="00186513"/>
    <w:rsid w:val="00186749"/>
    <w:rsid w:val="00186AD2"/>
    <w:rsid w:val="00187C72"/>
    <w:rsid w:val="0019042D"/>
    <w:rsid w:val="00190597"/>
    <w:rsid w:val="00190B87"/>
    <w:rsid w:val="00190E7F"/>
    <w:rsid w:val="00191395"/>
    <w:rsid w:val="001938CD"/>
    <w:rsid w:val="00193E88"/>
    <w:rsid w:val="001954C1"/>
    <w:rsid w:val="0019577F"/>
    <w:rsid w:val="0019586C"/>
    <w:rsid w:val="00195C6E"/>
    <w:rsid w:val="001967B2"/>
    <w:rsid w:val="001975EE"/>
    <w:rsid w:val="00197BD8"/>
    <w:rsid w:val="001A1658"/>
    <w:rsid w:val="001A1F11"/>
    <w:rsid w:val="001A3231"/>
    <w:rsid w:val="001A343B"/>
    <w:rsid w:val="001A3953"/>
    <w:rsid w:val="001A3FF2"/>
    <w:rsid w:val="001A411C"/>
    <w:rsid w:val="001A49E5"/>
    <w:rsid w:val="001A4C4F"/>
    <w:rsid w:val="001A592F"/>
    <w:rsid w:val="001A5D8E"/>
    <w:rsid w:val="001A6A42"/>
    <w:rsid w:val="001A7A67"/>
    <w:rsid w:val="001A7F05"/>
    <w:rsid w:val="001B0BF6"/>
    <w:rsid w:val="001B1085"/>
    <w:rsid w:val="001B18B7"/>
    <w:rsid w:val="001B2ABB"/>
    <w:rsid w:val="001B2BCA"/>
    <w:rsid w:val="001B3AA9"/>
    <w:rsid w:val="001B48B4"/>
    <w:rsid w:val="001B4F6E"/>
    <w:rsid w:val="001B6061"/>
    <w:rsid w:val="001B7035"/>
    <w:rsid w:val="001B70D5"/>
    <w:rsid w:val="001B79DA"/>
    <w:rsid w:val="001C1D52"/>
    <w:rsid w:val="001C1DAC"/>
    <w:rsid w:val="001C1FC1"/>
    <w:rsid w:val="001C211D"/>
    <w:rsid w:val="001C2273"/>
    <w:rsid w:val="001C5421"/>
    <w:rsid w:val="001C55F1"/>
    <w:rsid w:val="001C58A6"/>
    <w:rsid w:val="001C597C"/>
    <w:rsid w:val="001C6933"/>
    <w:rsid w:val="001C71CB"/>
    <w:rsid w:val="001C72CF"/>
    <w:rsid w:val="001C7312"/>
    <w:rsid w:val="001C7F7D"/>
    <w:rsid w:val="001D1A47"/>
    <w:rsid w:val="001D3182"/>
    <w:rsid w:val="001D31B3"/>
    <w:rsid w:val="001D4A45"/>
    <w:rsid w:val="001D51F0"/>
    <w:rsid w:val="001D520D"/>
    <w:rsid w:val="001D57DA"/>
    <w:rsid w:val="001D632D"/>
    <w:rsid w:val="001D7604"/>
    <w:rsid w:val="001D78EF"/>
    <w:rsid w:val="001D7B9B"/>
    <w:rsid w:val="001E0035"/>
    <w:rsid w:val="001E0FA5"/>
    <w:rsid w:val="001E24D1"/>
    <w:rsid w:val="001E3D45"/>
    <w:rsid w:val="001E4A25"/>
    <w:rsid w:val="001F16AA"/>
    <w:rsid w:val="001F18E4"/>
    <w:rsid w:val="001F1E41"/>
    <w:rsid w:val="001F3071"/>
    <w:rsid w:val="001F3866"/>
    <w:rsid w:val="001F3890"/>
    <w:rsid w:val="001F65A3"/>
    <w:rsid w:val="001F6CB1"/>
    <w:rsid w:val="001F6D23"/>
    <w:rsid w:val="001F7876"/>
    <w:rsid w:val="001F7B51"/>
    <w:rsid w:val="0020009B"/>
    <w:rsid w:val="00201231"/>
    <w:rsid w:val="00202859"/>
    <w:rsid w:val="002031B7"/>
    <w:rsid w:val="00203503"/>
    <w:rsid w:val="00204938"/>
    <w:rsid w:val="00204DE9"/>
    <w:rsid w:val="00205F27"/>
    <w:rsid w:val="002068C6"/>
    <w:rsid w:val="00206D7B"/>
    <w:rsid w:val="00206EA9"/>
    <w:rsid w:val="00206FCE"/>
    <w:rsid w:val="002077B5"/>
    <w:rsid w:val="00210EFB"/>
    <w:rsid w:val="00210F61"/>
    <w:rsid w:val="00211033"/>
    <w:rsid w:val="002132D2"/>
    <w:rsid w:val="00213AC7"/>
    <w:rsid w:val="002155F9"/>
    <w:rsid w:val="0021574C"/>
    <w:rsid w:val="002172E9"/>
    <w:rsid w:val="002173B2"/>
    <w:rsid w:val="002201E3"/>
    <w:rsid w:val="00220519"/>
    <w:rsid w:val="00221065"/>
    <w:rsid w:val="002214CD"/>
    <w:rsid w:val="00221B94"/>
    <w:rsid w:val="00221D9A"/>
    <w:rsid w:val="0022238C"/>
    <w:rsid w:val="00222457"/>
    <w:rsid w:val="00222537"/>
    <w:rsid w:val="00223BE2"/>
    <w:rsid w:val="0022497B"/>
    <w:rsid w:val="0023014A"/>
    <w:rsid w:val="002310C5"/>
    <w:rsid w:val="00231800"/>
    <w:rsid w:val="002319CD"/>
    <w:rsid w:val="00231ED1"/>
    <w:rsid w:val="002321F0"/>
    <w:rsid w:val="0023263F"/>
    <w:rsid w:val="002326F6"/>
    <w:rsid w:val="00233EFC"/>
    <w:rsid w:val="002351FD"/>
    <w:rsid w:val="00235B18"/>
    <w:rsid w:val="00236BA6"/>
    <w:rsid w:val="002373B4"/>
    <w:rsid w:val="00241182"/>
    <w:rsid w:val="0024228E"/>
    <w:rsid w:val="00242756"/>
    <w:rsid w:val="00242C96"/>
    <w:rsid w:val="0024302A"/>
    <w:rsid w:val="0024319A"/>
    <w:rsid w:val="002445CD"/>
    <w:rsid w:val="00246027"/>
    <w:rsid w:val="00246156"/>
    <w:rsid w:val="002476F2"/>
    <w:rsid w:val="002507CA"/>
    <w:rsid w:val="00250EC6"/>
    <w:rsid w:val="002514FE"/>
    <w:rsid w:val="00251933"/>
    <w:rsid w:val="00252439"/>
    <w:rsid w:val="00253444"/>
    <w:rsid w:val="00254C86"/>
    <w:rsid w:val="002563F2"/>
    <w:rsid w:val="00256674"/>
    <w:rsid w:val="00256A47"/>
    <w:rsid w:val="00261421"/>
    <w:rsid w:val="00261874"/>
    <w:rsid w:val="00261885"/>
    <w:rsid w:val="0026208A"/>
    <w:rsid w:val="002620FC"/>
    <w:rsid w:val="00262F19"/>
    <w:rsid w:val="002630DF"/>
    <w:rsid w:val="002633B6"/>
    <w:rsid w:val="002637DE"/>
    <w:rsid w:val="00263AEA"/>
    <w:rsid w:val="002652FF"/>
    <w:rsid w:val="0026600D"/>
    <w:rsid w:val="00266A71"/>
    <w:rsid w:val="00267B38"/>
    <w:rsid w:val="0027019C"/>
    <w:rsid w:val="00270952"/>
    <w:rsid w:val="00270F72"/>
    <w:rsid w:val="0027155F"/>
    <w:rsid w:val="0027300C"/>
    <w:rsid w:val="002738F6"/>
    <w:rsid w:val="00273E8A"/>
    <w:rsid w:val="00274157"/>
    <w:rsid w:val="0027418C"/>
    <w:rsid w:val="0027538D"/>
    <w:rsid w:val="00275CC8"/>
    <w:rsid w:val="00275CD5"/>
    <w:rsid w:val="00275E2B"/>
    <w:rsid w:val="0027609D"/>
    <w:rsid w:val="00276DA2"/>
    <w:rsid w:val="00277B9F"/>
    <w:rsid w:val="00277BE0"/>
    <w:rsid w:val="0028043E"/>
    <w:rsid w:val="00280821"/>
    <w:rsid w:val="00280B38"/>
    <w:rsid w:val="00281004"/>
    <w:rsid w:val="00282201"/>
    <w:rsid w:val="002823BC"/>
    <w:rsid w:val="002828F1"/>
    <w:rsid w:val="002829E7"/>
    <w:rsid w:val="00283BA0"/>
    <w:rsid w:val="00283DE5"/>
    <w:rsid w:val="00283FE3"/>
    <w:rsid w:val="00284AC3"/>
    <w:rsid w:val="00285101"/>
    <w:rsid w:val="0028523F"/>
    <w:rsid w:val="002853DF"/>
    <w:rsid w:val="00285C4F"/>
    <w:rsid w:val="002861DF"/>
    <w:rsid w:val="00287521"/>
    <w:rsid w:val="00287E12"/>
    <w:rsid w:val="002903D4"/>
    <w:rsid w:val="00290F06"/>
    <w:rsid w:val="00290F3A"/>
    <w:rsid w:val="002921D4"/>
    <w:rsid w:val="00292C55"/>
    <w:rsid w:val="00293D5C"/>
    <w:rsid w:val="00294CBF"/>
    <w:rsid w:val="00295D05"/>
    <w:rsid w:val="00296770"/>
    <w:rsid w:val="00296EFE"/>
    <w:rsid w:val="002975B6"/>
    <w:rsid w:val="002A3AA2"/>
    <w:rsid w:val="002A3C6C"/>
    <w:rsid w:val="002A44DB"/>
    <w:rsid w:val="002A4F86"/>
    <w:rsid w:val="002A615A"/>
    <w:rsid w:val="002A673E"/>
    <w:rsid w:val="002A79DF"/>
    <w:rsid w:val="002A7F77"/>
    <w:rsid w:val="002B044A"/>
    <w:rsid w:val="002B1089"/>
    <w:rsid w:val="002B13DD"/>
    <w:rsid w:val="002B173A"/>
    <w:rsid w:val="002B4003"/>
    <w:rsid w:val="002B422F"/>
    <w:rsid w:val="002B4470"/>
    <w:rsid w:val="002B675A"/>
    <w:rsid w:val="002B6D99"/>
    <w:rsid w:val="002C2B40"/>
    <w:rsid w:val="002C2EF9"/>
    <w:rsid w:val="002C397F"/>
    <w:rsid w:val="002C5071"/>
    <w:rsid w:val="002C5419"/>
    <w:rsid w:val="002C5B5C"/>
    <w:rsid w:val="002C5D96"/>
    <w:rsid w:val="002C6A69"/>
    <w:rsid w:val="002C6D9A"/>
    <w:rsid w:val="002C7C9D"/>
    <w:rsid w:val="002D08A6"/>
    <w:rsid w:val="002D08DC"/>
    <w:rsid w:val="002D0F49"/>
    <w:rsid w:val="002D1393"/>
    <w:rsid w:val="002D1536"/>
    <w:rsid w:val="002D2580"/>
    <w:rsid w:val="002D3D8B"/>
    <w:rsid w:val="002D3E7C"/>
    <w:rsid w:val="002D52C8"/>
    <w:rsid w:val="002D5B5D"/>
    <w:rsid w:val="002D6581"/>
    <w:rsid w:val="002D7313"/>
    <w:rsid w:val="002D787F"/>
    <w:rsid w:val="002E04D3"/>
    <w:rsid w:val="002E061D"/>
    <w:rsid w:val="002E1C46"/>
    <w:rsid w:val="002E1D36"/>
    <w:rsid w:val="002E237E"/>
    <w:rsid w:val="002E3219"/>
    <w:rsid w:val="002E448E"/>
    <w:rsid w:val="002E5DE3"/>
    <w:rsid w:val="002E61F4"/>
    <w:rsid w:val="002E64C4"/>
    <w:rsid w:val="002E6C51"/>
    <w:rsid w:val="002E6EF8"/>
    <w:rsid w:val="002F0620"/>
    <w:rsid w:val="002F1D28"/>
    <w:rsid w:val="002F3C28"/>
    <w:rsid w:val="002F4230"/>
    <w:rsid w:val="002F44AF"/>
    <w:rsid w:val="002F501D"/>
    <w:rsid w:val="002F76BA"/>
    <w:rsid w:val="002F770D"/>
    <w:rsid w:val="002F7C6A"/>
    <w:rsid w:val="00301171"/>
    <w:rsid w:val="00301E1B"/>
    <w:rsid w:val="00303E02"/>
    <w:rsid w:val="00305395"/>
    <w:rsid w:val="00305A05"/>
    <w:rsid w:val="00306753"/>
    <w:rsid w:val="00307AFB"/>
    <w:rsid w:val="003102C8"/>
    <w:rsid w:val="00311214"/>
    <w:rsid w:val="00311EE4"/>
    <w:rsid w:val="00312005"/>
    <w:rsid w:val="0031340F"/>
    <w:rsid w:val="0031459B"/>
    <w:rsid w:val="00314AB3"/>
    <w:rsid w:val="003157D2"/>
    <w:rsid w:val="00315D7D"/>
    <w:rsid w:val="00315E57"/>
    <w:rsid w:val="00315F70"/>
    <w:rsid w:val="00317F9A"/>
    <w:rsid w:val="00320022"/>
    <w:rsid w:val="00321176"/>
    <w:rsid w:val="0032176B"/>
    <w:rsid w:val="003217FB"/>
    <w:rsid w:val="00321AB5"/>
    <w:rsid w:val="00321CAC"/>
    <w:rsid w:val="00323116"/>
    <w:rsid w:val="00323B78"/>
    <w:rsid w:val="00324979"/>
    <w:rsid w:val="00324980"/>
    <w:rsid w:val="00325E66"/>
    <w:rsid w:val="00325F81"/>
    <w:rsid w:val="00327C95"/>
    <w:rsid w:val="003307FE"/>
    <w:rsid w:val="0033180F"/>
    <w:rsid w:val="0033501C"/>
    <w:rsid w:val="00336753"/>
    <w:rsid w:val="00336969"/>
    <w:rsid w:val="00336E36"/>
    <w:rsid w:val="0033725C"/>
    <w:rsid w:val="003407EB"/>
    <w:rsid w:val="00341EB5"/>
    <w:rsid w:val="003423C6"/>
    <w:rsid w:val="003428F2"/>
    <w:rsid w:val="003430EC"/>
    <w:rsid w:val="00343283"/>
    <w:rsid w:val="003432B1"/>
    <w:rsid w:val="0034390A"/>
    <w:rsid w:val="00343925"/>
    <w:rsid w:val="00343991"/>
    <w:rsid w:val="00343D5F"/>
    <w:rsid w:val="00344347"/>
    <w:rsid w:val="003444EB"/>
    <w:rsid w:val="00344944"/>
    <w:rsid w:val="00345732"/>
    <w:rsid w:val="003474F3"/>
    <w:rsid w:val="00347543"/>
    <w:rsid w:val="00347B45"/>
    <w:rsid w:val="00347DDD"/>
    <w:rsid w:val="003502B9"/>
    <w:rsid w:val="00350B7D"/>
    <w:rsid w:val="00351B29"/>
    <w:rsid w:val="0035205B"/>
    <w:rsid w:val="00352283"/>
    <w:rsid w:val="003534AA"/>
    <w:rsid w:val="003534BB"/>
    <w:rsid w:val="00353699"/>
    <w:rsid w:val="0035588D"/>
    <w:rsid w:val="00355E62"/>
    <w:rsid w:val="00356C12"/>
    <w:rsid w:val="0035748F"/>
    <w:rsid w:val="00357517"/>
    <w:rsid w:val="00357FD7"/>
    <w:rsid w:val="00361D71"/>
    <w:rsid w:val="00363530"/>
    <w:rsid w:val="00363812"/>
    <w:rsid w:val="003639DB"/>
    <w:rsid w:val="00364041"/>
    <w:rsid w:val="003643EC"/>
    <w:rsid w:val="003645BB"/>
    <w:rsid w:val="003650B2"/>
    <w:rsid w:val="00366334"/>
    <w:rsid w:val="00367D09"/>
    <w:rsid w:val="0037213A"/>
    <w:rsid w:val="00374357"/>
    <w:rsid w:val="00375639"/>
    <w:rsid w:val="00375B25"/>
    <w:rsid w:val="00377968"/>
    <w:rsid w:val="003803BE"/>
    <w:rsid w:val="00382D78"/>
    <w:rsid w:val="0038333F"/>
    <w:rsid w:val="003835F4"/>
    <w:rsid w:val="00383692"/>
    <w:rsid w:val="00383A36"/>
    <w:rsid w:val="003849FF"/>
    <w:rsid w:val="00385AC8"/>
    <w:rsid w:val="00386230"/>
    <w:rsid w:val="00386234"/>
    <w:rsid w:val="00386B73"/>
    <w:rsid w:val="00386E6A"/>
    <w:rsid w:val="0038735A"/>
    <w:rsid w:val="00390732"/>
    <w:rsid w:val="003908F9"/>
    <w:rsid w:val="00391393"/>
    <w:rsid w:val="00391965"/>
    <w:rsid w:val="0039565C"/>
    <w:rsid w:val="003956FF"/>
    <w:rsid w:val="003957ED"/>
    <w:rsid w:val="00396C9F"/>
    <w:rsid w:val="00397262"/>
    <w:rsid w:val="00397454"/>
    <w:rsid w:val="00397EF8"/>
    <w:rsid w:val="003A01F4"/>
    <w:rsid w:val="003A02E3"/>
    <w:rsid w:val="003A063B"/>
    <w:rsid w:val="003A08E5"/>
    <w:rsid w:val="003A0BD7"/>
    <w:rsid w:val="003A0D4B"/>
    <w:rsid w:val="003A0D9F"/>
    <w:rsid w:val="003A0F46"/>
    <w:rsid w:val="003A17FF"/>
    <w:rsid w:val="003A1A00"/>
    <w:rsid w:val="003A21CB"/>
    <w:rsid w:val="003A2744"/>
    <w:rsid w:val="003A2EB5"/>
    <w:rsid w:val="003A417D"/>
    <w:rsid w:val="003A4573"/>
    <w:rsid w:val="003A4946"/>
    <w:rsid w:val="003A5E91"/>
    <w:rsid w:val="003A6ADD"/>
    <w:rsid w:val="003A793D"/>
    <w:rsid w:val="003A7BDD"/>
    <w:rsid w:val="003B0CF7"/>
    <w:rsid w:val="003B165A"/>
    <w:rsid w:val="003B1990"/>
    <w:rsid w:val="003B23C2"/>
    <w:rsid w:val="003B3710"/>
    <w:rsid w:val="003B5089"/>
    <w:rsid w:val="003B5523"/>
    <w:rsid w:val="003B5731"/>
    <w:rsid w:val="003B6A67"/>
    <w:rsid w:val="003B6C12"/>
    <w:rsid w:val="003B780A"/>
    <w:rsid w:val="003C015E"/>
    <w:rsid w:val="003C1643"/>
    <w:rsid w:val="003C2D2E"/>
    <w:rsid w:val="003C304D"/>
    <w:rsid w:val="003C384A"/>
    <w:rsid w:val="003C3C6D"/>
    <w:rsid w:val="003C4BE4"/>
    <w:rsid w:val="003C59B2"/>
    <w:rsid w:val="003C5B20"/>
    <w:rsid w:val="003C5C17"/>
    <w:rsid w:val="003C5E6B"/>
    <w:rsid w:val="003C6180"/>
    <w:rsid w:val="003C7255"/>
    <w:rsid w:val="003C76A7"/>
    <w:rsid w:val="003C781A"/>
    <w:rsid w:val="003C7E15"/>
    <w:rsid w:val="003D11D8"/>
    <w:rsid w:val="003D14D5"/>
    <w:rsid w:val="003D387A"/>
    <w:rsid w:val="003D38B2"/>
    <w:rsid w:val="003D51D0"/>
    <w:rsid w:val="003D5DC5"/>
    <w:rsid w:val="003D757E"/>
    <w:rsid w:val="003E01D5"/>
    <w:rsid w:val="003E034D"/>
    <w:rsid w:val="003E0746"/>
    <w:rsid w:val="003E08BA"/>
    <w:rsid w:val="003E098B"/>
    <w:rsid w:val="003E0BA1"/>
    <w:rsid w:val="003E1FD3"/>
    <w:rsid w:val="003E2876"/>
    <w:rsid w:val="003E2E66"/>
    <w:rsid w:val="003E3C7D"/>
    <w:rsid w:val="003E554C"/>
    <w:rsid w:val="003E5B10"/>
    <w:rsid w:val="003E736C"/>
    <w:rsid w:val="003E7F17"/>
    <w:rsid w:val="003F0772"/>
    <w:rsid w:val="003F0C0F"/>
    <w:rsid w:val="003F29F2"/>
    <w:rsid w:val="003F343F"/>
    <w:rsid w:val="003F3C94"/>
    <w:rsid w:val="003F3F04"/>
    <w:rsid w:val="003F47CA"/>
    <w:rsid w:val="003F5ABF"/>
    <w:rsid w:val="003F5B65"/>
    <w:rsid w:val="003F7F9A"/>
    <w:rsid w:val="00400576"/>
    <w:rsid w:val="00405253"/>
    <w:rsid w:val="00405A63"/>
    <w:rsid w:val="00405CC7"/>
    <w:rsid w:val="00406BE5"/>
    <w:rsid w:val="00407C17"/>
    <w:rsid w:val="00410461"/>
    <w:rsid w:val="004104FA"/>
    <w:rsid w:val="0041081D"/>
    <w:rsid w:val="004126CD"/>
    <w:rsid w:val="004131AF"/>
    <w:rsid w:val="00413F31"/>
    <w:rsid w:val="00414191"/>
    <w:rsid w:val="00414AA8"/>
    <w:rsid w:val="00414D87"/>
    <w:rsid w:val="00415315"/>
    <w:rsid w:val="0041594B"/>
    <w:rsid w:val="004164F8"/>
    <w:rsid w:val="00416CD9"/>
    <w:rsid w:val="00417954"/>
    <w:rsid w:val="00417DC8"/>
    <w:rsid w:val="00417EC4"/>
    <w:rsid w:val="00420161"/>
    <w:rsid w:val="00420760"/>
    <w:rsid w:val="004208E1"/>
    <w:rsid w:val="00420C4B"/>
    <w:rsid w:val="004241A8"/>
    <w:rsid w:val="00424743"/>
    <w:rsid w:val="00424A86"/>
    <w:rsid w:val="004266FD"/>
    <w:rsid w:val="00427434"/>
    <w:rsid w:val="00431347"/>
    <w:rsid w:val="00432D1C"/>
    <w:rsid w:val="00433143"/>
    <w:rsid w:val="004337B1"/>
    <w:rsid w:val="00433C2A"/>
    <w:rsid w:val="004349E2"/>
    <w:rsid w:val="00436DCA"/>
    <w:rsid w:val="00436E49"/>
    <w:rsid w:val="00440268"/>
    <w:rsid w:val="004416CD"/>
    <w:rsid w:val="00442735"/>
    <w:rsid w:val="00442B93"/>
    <w:rsid w:val="00442FB6"/>
    <w:rsid w:val="00443BAC"/>
    <w:rsid w:val="00443CD7"/>
    <w:rsid w:val="00443D2B"/>
    <w:rsid w:val="00444EDB"/>
    <w:rsid w:val="0044601E"/>
    <w:rsid w:val="004462AC"/>
    <w:rsid w:val="00446977"/>
    <w:rsid w:val="004470C1"/>
    <w:rsid w:val="004504EF"/>
    <w:rsid w:val="004507A8"/>
    <w:rsid w:val="00450F07"/>
    <w:rsid w:val="0045104F"/>
    <w:rsid w:val="00451A72"/>
    <w:rsid w:val="00451EB5"/>
    <w:rsid w:val="0045256B"/>
    <w:rsid w:val="004525E8"/>
    <w:rsid w:val="0045350C"/>
    <w:rsid w:val="00453B8D"/>
    <w:rsid w:val="00454615"/>
    <w:rsid w:val="00454D5B"/>
    <w:rsid w:val="00455119"/>
    <w:rsid w:val="0045642F"/>
    <w:rsid w:val="00456B69"/>
    <w:rsid w:val="00456BDA"/>
    <w:rsid w:val="0045760A"/>
    <w:rsid w:val="0046186F"/>
    <w:rsid w:val="00462AD2"/>
    <w:rsid w:val="004639BF"/>
    <w:rsid w:val="004659B1"/>
    <w:rsid w:val="0046615B"/>
    <w:rsid w:val="00466834"/>
    <w:rsid w:val="00467CBD"/>
    <w:rsid w:val="0047076D"/>
    <w:rsid w:val="00470854"/>
    <w:rsid w:val="004710D7"/>
    <w:rsid w:val="004711AE"/>
    <w:rsid w:val="004717BA"/>
    <w:rsid w:val="00471B09"/>
    <w:rsid w:val="00471BE4"/>
    <w:rsid w:val="00471E8D"/>
    <w:rsid w:val="00475C4E"/>
    <w:rsid w:val="004776C5"/>
    <w:rsid w:val="004777B8"/>
    <w:rsid w:val="004779BC"/>
    <w:rsid w:val="00477AFB"/>
    <w:rsid w:val="00477E3B"/>
    <w:rsid w:val="004805B2"/>
    <w:rsid w:val="00480B51"/>
    <w:rsid w:val="00481E37"/>
    <w:rsid w:val="0048207F"/>
    <w:rsid w:val="004822DA"/>
    <w:rsid w:val="00482969"/>
    <w:rsid w:val="004832A2"/>
    <w:rsid w:val="004833A0"/>
    <w:rsid w:val="004835DB"/>
    <w:rsid w:val="004869A3"/>
    <w:rsid w:val="00487A2A"/>
    <w:rsid w:val="0049007A"/>
    <w:rsid w:val="00490239"/>
    <w:rsid w:val="0049133C"/>
    <w:rsid w:val="00492C14"/>
    <w:rsid w:val="0049678F"/>
    <w:rsid w:val="00496798"/>
    <w:rsid w:val="004969F8"/>
    <w:rsid w:val="004972D8"/>
    <w:rsid w:val="0049792C"/>
    <w:rsid w:val="00497F71"/>
    <w:rsid w:val="004A0FCE"/>
    <w:rsid w:val="004A16B7"/>
    <w:rsid w:val="004A191D"/>
    <w:rsid w:val="004A2605"/>
    <w:rsid w:val="004A44B1"/>
    <w:rsid w:val="004A5ABA"/>
    <w:rsid w:val="004A7584"/>
    <w:rsid w:val="004A7F6D"/>
    <w:rsid w:val="004B0876"/>
    <w:rsid w:val="004B0BA3"/>
    <w:rsid w:val="004B12BB"/>
    <w:rsid w:val="004B1393"/>
    <w:rsid w:val="004B1B2B"/>
    <w:rsid w:val="004B36B8"/>
    <w:rsid w:val="004B4424"/>
    <w:rsid w:val="004B45FB"/>
    <w:rsid w:val="004B46AB"/>
    <w:rsid w:val="004B4B88"/>
    <w:rsid w:val="004B5BAF"/>
    <w:rsid w:val="004B60DF"/>
    <w:rsid w:val="004B6556"/>
    <w:rsid w:val="004B6BF9"/>
    <w:rsid w:val="004B7793"/>
    <w:rsid w:val="004C0736"/>
    <w:rsid w:val="004C13B8"/>
    <w:rsid w:val="004C2164"/>
    <w:rsid w:val="004C265D"/>
    <w:rsid w:val="004C341F"/>
    <w:rsid w:val="004C4DC8"/>
    <w:rsid w:val="004C4E2E"/>
    <w:rsid w:val="004C525F"/>
    <w:rsid w:val="004C5CA5"/>
    <w:rsid w:val="004C6F19"/>
    <w:rsid w:val="004D33B5"/>
    <w:rsid w:val="004D3E26"/>
    <w:rsid w:val="004D6046"/>
    <w:rsid w:val="004D6623"/>
    <w:rsid w:val="004D7F94"/>
    <w:rsid w:val="004E0B2B"/>
    <w:rsid w:val="004E1B3D"/>
    <w:rsid w:val="004E22B7"/>
    <w:rsid w:val="004E258C"/>
    <w:rsid w:val="004E2737"/>
    <w:rsid w:val="004E412F"/>
    <w:rsid w:val="004E443D"/>
    <w:rsid w:val="004E4575"/>
    <w:rsid w:val="004E5601"/>
    <w:rsid w:val="004E5D20"/>
    <w:rsid w:val="004E6001"/>
    <w:rsid w:val="004E6758"/>
    <w:rsid w:val="004E7328"/>
    <w:rsid w:val="004E7829"/>
    <w:rsid w:val="004E7DB1"/>
    <w:rsid w:val="004E7FF5"/>
    <w:rsid w:val="004F03A9"/>
    <w:rsid w:val="004F0964"/>
    <w:rsid w:val="004F0C93"/>
    <w:rsid w:val="004F212E"/>
    <w:rsid w:val="004F469B"/>
    <w:rsid w:val="004F53BD"/>
    <w:rsid w:val="004F5528"/>
    <w:rsid w:val="004F63C2"/>
    <w:rsid w:val="004F6429"/>
    <w:rsid w:val="004F697C"/>
    <w:rsid w:val="004F6CA9"/>
    <w:rsid w:val="004F6E16"/>
    <w:rsid w:val="004F7379"/>
    <w:rsid w:val="00500A0D"/>
    <w:rsid w:val="0050113D"/>
    <w:rsid w:val="00501941"/>
    <w:rsid w:val="00501956"/>
    <w:rsid w:val="005024B5"/>
    <w:rsid w:val="005059EE"/>
    <w:rsid w:val="00507250"/>
    <w:rsid w:val="00510298"/>
    <w:rsid w:val="00510B04"/>
    <w:rsid w:val="00511A14"/>
    <w:rsid w:val="00511CC8"/>
    <w:rsid w:val="00513364"/>
    <w:rsid w:val="005137FD"/>
    <w:rsid w:val="00513840"/>
    <w:rsid w:val="00513D64"/>
    <w:rsid w:val="00515350"/>
    <w:rsid w:val="005159CD"/>
    <w:rsid w:val="005159E9"/>
    <w:rsid w:val="005162D1"/>
    <w:rsid w:val="00516CEB"/>
    <w:rsid w:val="005170BC"/>
    <w:rsid w:val="00517A10"/>
    <w:rsid w:val="00517E19"/>
    <w:rsid w:val="00520A98"/>
    <w:rsid w:val="00520D14"/>
    <w:rsid w:val="005213CE"/>
    <w:rsid w:val="005219A5"/>
    <w:rsid w:val="00521F48"/>
    <w:rsid w:val="00522165"/>
    <w:rsid w:val="0052220D"/>
    <w:rsid w:val="00522CA9"/>
    <w:rsid w:val="00522F22"/>
    <w:rsid w:val="005237D4"/>
    <w:rsid w:val="00523D2F"/>
    <w:rsid w:val="00524097"/>
    <w:rsid w:val="00524805"/>
    <w:rsid w:val="00526A6E"/>
    <w:rsid w:val="00527149"/>
    <w:rsid w:val="005277B4"/>
    <w:rsid w:val="00527CAD"/>
    <w:rsid w:val="005301F2"/>
    <w:rsid w:val="005309AD"/>
    <w:rsid w:val="005318F1"/>
    <w:rsid w:val="00531B20"/>
    <w:rsid w:val="00532460"/>
    <w:rsid w:val="0053247A"/>
    <w:rsid w:val="00532870"/>
    <w:rsid w:val="005328FC"/>
    <w:rsid w:val="00533317"/>
    <w:rsid w:val="00533D60"/>
    <w:rsid w:val="0053654A"/>
    <w:rsid w:val="00536735"/>
    <w:rsid w:val="005371B6"/>
    <w:rsid w:val="00537F64"/>
    <w:rsid w:val="0054057C"/>
    <w:rsid w:val="00541C98"/>
    <w:rsid w:val="00542C74"/>
    <w:rsid w:val="0054376B"/>
    <w:rsid w:val="00543E17"/>
    <w:rsid w:val="005440B7"/>
    <w:rsid w:val="00545138"/>
    <w:rsid w:val="005452BE"/>
    <w:rsid w:val="00545A1D"/>
    <w:rsid w:val="00545EC0"/>
    <w:rsid w:val="005469D2"/>
    <w:rsid w:val="00547217"/>
    <w:rsid w:val="005473BF"/>
    <w:rsid w:val="00551D7F"/>
    <w:rsid w:val="00551EF7"/>
    <w:rsid w:val="00552EBF"/>
    <w:rsid w:val="00553147"/>
    <w:rsid w:val="0055369B"/>
    <w:rsid w:val="00553980"/>
    <w:rsid w:val="00554B04"/>
    <w:rsid w:val="0055526C"/>
    <w:rsid w:val="0055649B"/>
    <w:rsid w:val="00556C07"/>
    <w:rsid w:val="005571A8"/>
    <w:rsid w:val="00557BB8"/>
    <w:rsid w:val="00557DB6"/>
    <w:rsid w:val="0056078D"/>
    <w:rsid w:val="00560B50"/>
    <w:rsid w:val="00562982"/>
    <w:rsid w:val="00562B91"/>
    <w:rsid w:val="005633DB"/>
    <w:rsid w:val="00566993"/>
    <w:rsid w:val="0056721B"/>
    <w:rsid w:val="00567686"/>
    <w:rsid w:val="00567CEA"/>
    <w:rsid w:val="00570340"/>
    <w:rsid w:val="00570788"/>
    <w:rsid w:val="00570981"/>
    <w:rsid w:val="00570BD2"/>
    <w:rsid w:val="00570CE9"/>
    <w:rsid w:val="00570D93"/>
    <w:rsid w:val="005720AC"/>
    <w:rsid w:val="0057274F"/>
    <w:rsid w:val="005727FC"/>
    <w:rsid w:val="00575B15"/>
    <w:rsid w:val="00580CE7"/>
    <w:rsid w:val="00581491"/>
    <w:rsid w:val="00581592"/>
    <w:rsid w:val="00583571"/>
    <w:rsid w:val="00584B5B"/>
    <w:rsid w:val="00585021"/>
    <w:rsid w:val="00586569"/>
    <w:rsid w:val="00587B70"/>
    <w:rsid w:val="00587F56"/>
    <w:rsid w:val="00591E67"/>
    <w:rsid w:val="00591EF9"/>
    <w:rsid w:val="0059256D"/>
    <w:rsid w:val="00592A2C"/>
    <w:rsid w:val="005930E1"/>
    <w:rsid w:val="00594259"/>
    <w:rsid w:val="005954EE"/>
    <w:rsid w:val="00596141"/>
    <w:rsid w:val="00596481"/>
    <w:rsid w:val="0059689A"/>
    <w:rsid w:val="005A0097"/>
    <w:rsid w:val="005A02FC"/>
    <w:rsid w:val="005A04EF"/>
    <w:rsid w:val="005A1089"/>
    <w:rsid w:val="005A23A1"/>
    <w:rsid w:val="005A30EE"/>
    <w:rsid w:val="005A5A36"/>
    <w:rsid w:val="005A5B97"/>
    <w:rsid w:val="005A656A"/>
    <w:rsid w:val="005A6DFF"/>
    <w:rsid w:val="005A6FE3"/>
    <w:rsid w:val="005A7713"/>
    <w:rsid w:val="005A7BB1"/>
    <w:rsid w:val="005B1739"/>
    <w:rsid w:val="005B257E"/>
    <w:rsid w:val="005B362E"/>
    <w:rsid w:val="005B36B8"/>
    <w:rsid w:val="005B3AAA"/>
    <w:rsid w:val="005B48AB"/>
    <w:rsid w:val="005B5ACC"/>
    <w:rsid w:val="005B60AB"/>
    <w:rsid w:val="005B6AB5"/>
    <w:rsid w:val="005B6C14"/>
    <w:rsid w:val="005B7F2C"/>
    <w:rsid w:val="005C176F"/>
    <w:rsid w:val="005C1B8F"/>
    <w:rsid w:val="005C2139"/>
    <w:rsid w:val="005C32E0"/>
    <w:rsid w:val="005C376B"/>
    <w:rsid w:val="005C38C5"/>
    <w:rsid w:val="005C3D57"/>
    <w:rsid w:val="005C4970"/>
    <w:rsid w:val="005C50A6"/>
    <w:rsid w:val="005C68C2"/>
    <w:rsid w:val="005C6E38"/>
    <w:rsid w:val="005C6FB8"/>
    <w:rsid w:val="005D098D"/>
    <w:rsid w:val="005D09F5"/>
    <w:rsid w:val="005D0B09"/>
    <w:rsid w:val="005D0DA4"/>
    <w:rsid w:val="005D141D"/>
    <w:rsid w:val="005D1F35"/>
    <w:rsid w:val="005D29A6"/>
    <w:rsid w:val="005D2CBE"/>
    <w:rsid w:val="005D3028"/>
    <w:rsid w:val="005D4161"/>
    <w:rsid w:val="005D4386"/>
    <w:rsid w:val="005D4A2F"/>
    <w:rsid w:val="005D65CF"/>
    <w:rsid w:val="005D6D26"/>
    <w:rsid w:val="005D71E6"/>
    <w:rsid w:val="005D752E"/>
    <w:rsid w:val="005D7BC6"/>
    <w:rsid w:val="005E1A13"/>
    <w:rsid w:val="005E1AC1"/>
    <w:rsid w:val="005E2751"/>
    <w:rsid w:val="005E3616"/>
    <w:rsid w:val="005E401C"/>
    <w:rsid w:val="005E475F"/>
    <w:rsid w:val="005E4BBB"/>
    <w:rsid w:val="005E5064"/>
    <w:rsid w:val="005E51CE"/>
    <w:rsid w:val="005E691C"/>
    <w:rsid w:val="005E7812"/>
    <w:rsid w:val="005F0739"/>
    <w:rsid w:val="005F0E43"/>
    <w:rsid w:val="005F364C"/>
    <w:rsid w:val="005F3A1B"/>
    <w:rsid w:val="005F3D55"/>
    <w:rsid w:val="005F430C"/>
    <w:rsid w:val="005F4C03"/>
    <w:rsid w:val="005F58B6"/>
    <w:rsid w:val="005F5921"/>
    <w:rsid w:val="005F61D5"/>
    <w:rsid w:val="005F62AE"/>
    <w:rsid w:val="005F705A"/>
    <w:rsid w:val="00600503"/>
    <w:rsid w:val="00600C48"/>
    <w:rsid w:val="00601862"/>
    <w:rsid w:val="0060192D"/>
    <w:rsid w:val="006021E3"/>
    <w:rsid w:val="00602861"/>
    <w:rsid w:val="0060299B"/>
    <w:rsid w:val="0060482E"/>
    <w:rsid w:val="00604C19"/>
    <w:rsid w:val="00606513"/>
    <w:rsid w:val="006116DB"/>
    <w:rsid w:val="006121B3"/>
    <w:rsid w:val="00612324"/>
    <w:rsid w:val="00613139"/>
    <w:rsid w:val="006132B3"/>
    <w:rsid w:val="00613477"/>
    <w:rsid w:val="00613E89"/>
    <w:rsid w:val="00614203"/>
    <w:rsid w:val="006143AD"/>
    <w:rsid w:val="00614BF2"/>
    <w:rsid w:val="00616674"/>
    <w:rsid w:val="00617B76"/>
    <w:rsid w:val="0062065A"/>
    <w:rsid w:val="00620EE2"/>
    <w:rsid w:val="00621033"/>
    <w:rsid w:val="0062193E"/>
    <w:rsid w:val="00621E2A"/>
    <w:rsid w:val="00622166"/>
    <w:rsid w:val="006222B7"/>
    <w:rsid w:val="00623CBA"/>
    <w:rsid w:val="00623D7F"/>
    <w:rsid w:val="00623F32"/>
    <w:rsid w:val="006249D2"/>
    <w:rsid w:val="00624BD0"/>
    <w:rsid w:val="006251A0"/>
    <w:rsid w:val="0062698A"/>
    <w:rsid w:val="00626E10"/>
    <w:rsid w:val="0063023A"/>
    <w:rsid w:val="00630786"/>
    <w:rsid w:val="006314E6"/>
    <w:rsid w:val="0063212D"/>
    <w:rsid w:val="00632166"/>
    <w:rsid w:val="00632242"/>
    <w:rsid w:val="006334E1"/>
    <w:rsid w:val="00633C2C"/>
    <w:rsid w:val="00634115"/>
    <w:rsid w:val="00634670"/>
    <w:rsid w:val="0063661D"/>
    <w:rsid w:val="0063669F"/>
    <w:rsid w:val="00636A49"/>
    <w:rsid w:val="00637345"/>
    <w:rsid w:val="006375B5"/>
    <w:rsid w:val="006378A7"/>
    <w:rsid w:val="00637BFD"/>
    <w:rsid w:val="00640295"/>
    <w:rsid w:val="006414C3"/>
    <w:rsid w:val="0064168C"/>
    <w:rsid w:val="00644118"/>
    <w:rsid w:val="00644423"/>
    <w:rsid w:val="00644437"/>
    <w:rsid w:val="006445EB"/>
    <w:rsid w:val="006452BB"/>
    <w:rsid w:val="00646444"/>
    <w:rsid w:val="006468A4"/>
    <w:rsid w:val="00650A1A"/>
    <w:rsid w:val="00650EA3"/>
    <w:rsid w:val="00651E3E"/>
    <w:rsid w:val="0065280A"/>
    <w:rsid w:val="00652852"/>
    <w:rsid w:val="006529C9"/>
    <w:rsid w:val="00654135"/>
    <w:rsid w:val="0065459F"/>
    <w:rsid w:val="00654C2A"/>
    <w:rsid w:val="00654CB3"/>
    <w:rsid w:val="0065651B"/>
    <w:rsid w:val="0065679B"/>
    <w:rsid w:val="00656926"/>
    <w:rsid w:val="00657308"/>
    <w:rsid w:val="0065737A"/>
    <w:rsid w:val="00660655"/>
    <w:rsid w:val="00660EF9"/>
    <w:rsid w:val="00662065"/>
    <w:rsid w:val="006625F4"/>
    <w:rsid w:val="0066297A"/>
    <w:rsid w:val="00662C79"/>
    <w:rsid w:val="006668E7"/>
    <w:rsid w:val="006679B1"/>
    <w:rsid w:val="0067060A"/>
    <w:rsid w:val="006706F2"/>
    <w:rsid w:val="00671C30"/>
    <w:rsid w:val="00672036"/>
    <w:rsid w:val="00672879"/>
    <w:rsid w:val="0067305F"/>
    <w:rsid w:val="00674193"/>
    <w:rsid w:val="00674DC3"/>
    <w:rsid w:val="006754F4"/>
    <w:rsid w:val="00675DCD"/>
    <w:rsid w:val="006763A4"/>
    <w:rsid w:val="0067648C"/>
    <w:rsid w:val="006764A7"/>
    <w:rsid w:val="006768BF"/>
    <w:rsid w:val="0067743D"/>
    <w:rsid w:val="006779BA"/>
    <w:rsid w:val="00677C2F"/>
    <w:rsid w:val="0068116C"/>
    <w:rsid w:val="00681CB8"/>
    <w:rsid w:val="006822FB"/>
    <w:rsid w:val="00682E32"/>
    <w:rsid w:val="0068335A"/>
    <w:rsid w:val="0068565C"/>
    <w:rsid w:val="00687208"/>
    <w:rsid w:val="00687667"/>
    <w:rsid w:val="00687F12"/>
    <w:rsid w:val="00691014"/>
    <w:rsid w:val="00691156"/>
    <w:rsid w:val="0069219B"/>
    <w:rsid w:val="00692CC5"/>
    <w:rsid w:val="00693300"/>
    <w:rsid w:val="00694D04"/>
    <w:rsid w:val="006952B3"/>
    <w:rsid w:val="00695BAC"/>
    <w:rsid w:val="00695FFA"/>
    <w:rsid w:val="0069624C"/>
    <w:rsid w:val="006963B5"/>
    <w:rsid w:val="00697245"/>
    <w:rsid w:val="0069734F"/>
    <w:rsid w:val="00697607"/>
    <w:rsid w:val="00697950"/>
    <w:rsid w:val="006A04F0"/>
    <w:rsid w:val="006A22AB"/>
    <w:rsid w:val="006A255B"/>
    <w:rsid w:val="006A28A5"/>
    <w:rsid w:val="006A37E1"/>
    <w:rsid w:val="006A5A3E"/>
    <w:rsid w:val="006A5B47"/>
    <w:rsid w:val="006A6628"/>
    <w:rsid w:val="006A6AF8"/>
    <w:rsid w:val="006A6F36"/>
    <w:rsid w:val="006A7609"/>
    <w:rsid w:val="006B04AA"/>
    <w:rsid w:val="006B1783"/>
    <w:rsid w:val="006B1F9C"/>
    <w:rsid w:val="006B33CF"/>
    <w:rsid w:val="006B34CF"/>
    <w:rsid w:val="006B35D9"/>
    <w:rsid w:val="006B375A"/>
    <w:rsid w:val="006B3C29"/>
    <w:rsid w:val="006B417A"/>
    <w:rsid w:val="006B4960"/>
    <w:rsid w:val="006B52D7"/>
    <w:rsid w:val="006B688B"/>
    <w:rsid w:val="006C00A6"/>
    <w:rsid w:val="006C01FC"/>
    <w:rsid w:val="006C2E63"/>
    <w:rsid w:val="006C3104"/>
    <w:rsid w:val="006C4495"/>
    <w:rsid w:val="006C4CEE"/>
    <w:rsid w:val="006C4DBA"/>
    <w:rsid w:val="006C4E29"/>
    <w:rsid w:val="006C6E02"/>
    <w:rsid w:val="006C7997"/>
    <w:rsid w:val="006C7EF6"/>
    <w:rsid w:val="006D129C"/>
    <w:rsid w:val="006D15C7"/>
    <w:rsid w:val="006D180D"/>
    <w:rsid w:val="006D23FE"/>
    <w:rsid w:val="006D2B35"/>
    <w:rsid w:val="006D458E"/>
    <w:rsid w:val="006D59A7"/>
    <w:rsid w:val="006D6C77"/>
    <w:rsid w:val="006D75E4"/>
    <w:rsid w:val="006D7A1A"/>
    <w:rsid w:val="006E08F5"/>
    <w:rsid w:val="006E0E32"/>
    <w:rsid w:val="006E35B0"/>
    <w:rsid w:val="006E3A81"/>
    <w:rsid w:val="006E3D7C"/>
    <w:rsid w:val="006E3DCA"/>
    <w:rsid w:val="006E42EF"/>
    <w:rsid w:val="006E5362"/>
    <w:rsid w:val="006E562F"/>
    <w:rsid w:val="006E57DF"/>
    <w:rsid w:val="006E634C"/>
    <w:rsid w:val="006E6E03"/>
    <w:rsid w:val="006E7ADA"/>
    <w:rsid w:val="006E7C04"/>
    <w:rsid w:val="006F17E8"/>
    <w:rsid w:val="006F1C4E"/>
    <w:rsid w:val="006F1D66"/>
    <w:rsid w:val="006F29C1"/>
    <w:rsid w:val="006F320E"/>
    <w:rsid w:val="006F3AE7"/>
    <w:rsid w:val="006F3CE3"/>
    <w:rsid w:val="006F41A6"/>
    <w:rsid w:val="006F47B0"/>
    <w:rsid w:val="006F4C48"/>
    <w:rsid w:val="006F516E"/>
    <w:rsid w:val="006F5644"/>
    <w:rsid w:val="006F5F2D"/>
    <w:rsid w:val="006F61ED"/>
    <w:rsid w:val="0070017A"/>
    <w:rsid w:val="00700188"/>
    <w:rsid w:val="00701B33"/>
    <w:rsid w:val="00701BD1"/>
    <w:rsid w:val="00702348"/>
    <w:rsid w:val="007026A5"/>
    <w:rsid w:val="00702BEF"/>
    <w:rsid w:val="00702F4D"/>
    <w:rsid w:val="0070455A"/>
    <w:rsid w:val="00706315"/>
    <w:rsid w:val="00706733"/>
    <w:rsid w:val="00707581"/>
    <w:rsid w:val="0070767F"/>
    <w:rsid w:val="00707AC9"/>
    <w:rsid w:val="00707AD8"/>
    <w:rsid w:val="00710D8A"/>
    <w:rsid w:val="00710F0F"/>
    <w:rsid w:val="00711583"/>
    <w:rsid w:val="00711D9A"/>
    <w:rsid w:val="007120E5"/>
    <w:rsid w:val="00712374"/>
    <w:rsid w:val="00712FD2"/>
    <w:rsid w:val="00713100"/>
    <w:rsid w:val="0071318B"/>
    <w:rsid w:val="00715443"/>
    <w:rsid w:val="007155EF"/>
    <w:rsid w:val="00715D0A"/>
    <w:rsid w:val="00715EA6"/>
    <w:rsid w:val="007160CE"/>
    <w:rsid w:val="0071673F"/>
    <w:rsid w:val="00717556"/>
    <w:rsid w:val="007178BA"/>
    <w:rsid w:val="00720437"/>
    <w:rsid w:val="007205DB"/>
    <w:rsid w:val="0072075B"/>
    <w:rsid w:val="00721112"/>
    <w:rsid w:val="007226F7"/>
    <w:rsid w:val="00723764"/>
    <w:rsid w:val="0072376E"/>
    <w:rsid w:val="00723A40"/>
    <w:rsid w:val="007249A7"/>
    <w:rsid w:val="007253B6"/>
    <w:rsid w:val="0072545B"/>
    <w:rsid w:val="007258A3"/>
    <w:rsid w:val="007259AD"/>
    <w:rsid w:val="00726149"/>
    <w:rsid w:val="0072655C"/>
    <w:rsid w:val="00726898"/>
    <w:rsid w:val="00726B95"/>
    <w:rsid w:val="0072721C"/>
    <w:rsid w:val="007276CA"/>
    <w:rsid w:val="0072793F"/>
    <w:rsid w:val="00730090"/>
    <w:rsid w:val="00730D43"/>
    <w:rsid w:val="007327BF"/>
    <w:rsid w:val="00734D3B"/>
    <w:rsid w:val="007351D2"/>
    <w:rsid w:val="00735C26"/>
    <w:rsid w:val="00737525"/>
    <w:rsid w:val="00737EC5"/>
    <w:rsid w:val="00740FCA"/>
    <w:rsid w:val="007422DB"/>
    <w:rsid w:val="007428DB"/>
    <w:rsid w:val="00742F63"/>
    <w:rsid w:val="007441AC"/>
    <w:rsid w:val="007447A3"/>
    <w:rsid w:val="00745281"/>
    <w:rsid w:val="00745816"/>
    <w:rsid w:val="00745FEB"/>
    <w:rsid w:val="00746352"/>
    <w:rsid w:val="00746AD4"/>
    <w:rsid w:val="00747277"/>
    <w:rsid w:val="00747861"/>
    <w:rsid w:val="00747C68"/>
    <w:rsid w:val="00750FDB"/>
    <w:rsid w:val="00751F42"/>
    <w:rsid w:val="00753B26"/>
    <w:rsid w:val="00753E52"/>
    <w:rsid w:val="007542F6"/>
    <w:rsid w:val="007543A7"/>
    <w:rsid w:val="007556B4"/>
    <w:rsid w:val="00756826"/>
    <w:rsid w:val="00756A74"/>
    <w:rsid w:val="00756F32"/>
    <w:rsid w:val="00757609"/>
    <w:rsid w:val="00757BCD"/>
    <w:rsid w:val="00757E3C"/>
    <w:rsid w:val="007604B9"/>
    <w:rsid w:val="0076073B"/>
    <w:rsid w:val="00760F5F"/>
    <w:rsid w:val="00760FAE"/>
    <w:rsid w:val="00761683"/>
    <w:rsid w:val="00761738"/>
    <w:rsid w:val="00761AD6"/>
    <w:rsid w:val="00763701"/>
    <w:rsid w:val="0076383E"/>
    <w:rsid w:val="00763CC8"/>
    <w:rsid w:val="007653D2"/>
    <w:rsid w:val="0076545F"/>
    <w:rsid w:val="00765A62"/>
    <w:rsid w:val="007666D3"/>
    <w:rsid w:val="007671A3"/>
    <w:rsid w:val="00767307"/>
    <w:rsid w:val="00767D35"/>
    <w:rsid w:val="00770119"/>
    <w:rsid w:val="00770313"/>
    <w:rsid w:val="00770B0A"/>
    <w:rsid w:val="00770BB9"/>
    <w:rsid w:val="0077122B"/>
    <w:rsid w:val="0077166A"/>
    <w:rsid w:val="007726FB"/>
    <w:rsid w:val="0077271C"/>
    <w:rsid w:val="00774133"/>
    <w:rsid w:val="00774EE1"/>
    <w:rsid w:val="00775541"/>
    <w:rsid w:val="00775C58"/>
    <w:rsid w:val="00775D7F"/>
    <w:rsid w:val="007764E1"/>
    <w:rsid w:val="00776CFC"/>
    <w:rsid w:val="0077759C"/>
    <w:rsid w:val="007777A8"/>
    <w:rsid w:val="00777CC8"/>
    <w:rsid w:val="00777E46"/>
    <w:rsid w:val="00784ACA"/>
    <w:rsid w:val="00784C07"/>
    <w:rsid w:val="00784C92"/>
    <w:rsid w:val="00785524"/>
    <w:rsid w:val="007857EE"/>
    <w:rsid w:val="0078634F"/>
    <w:rsid w:val="00786E76"/>
    <w:rsid w:val="0078745C"/>
    <w:rsid w:val="007913F2"/>
    <w:rsid w:val="0079172E"/>
    <w:rsid w:val="007917DE"/>
    <w:rsid w:val="0079194F"/>
    <w:rsid w:val="0079258A"/>
    <w:rsid w:val="007929B2"/>
    <w:rsid w:val="00792C78"/>
    <w:rsid w:val="0079419F"/>
    <w:rsid w:val="00794B2C"/>
    <w:rsid w:val="00794B6A"/>
    <w:rsid w:val="00795279"/>
    <w:rsid w:val="0079542A"/>
    <w:rsid w:val="00795DB7"/>
    <w:rsid w:val="00796D0D"/>
    <w:rsid w:val="00796F94"/>
    <w:rsid w:val="007A02C4"/>
    <w:rsid w:val="007A05BF"/>
    <w:rsid w:val="007A0A8F"/>
    <w:rsid w:val="007A0DBA"/>
    <w:rsid w:val="007A1201"/>
    <w:rsid w:val="007A190D"/>
    <w:rsid w:val="007A1FEC"/>
    <w:rsid w:val="007A2B36"/>
    <w:rsid w:val="007A3BA7"/>
    <w:rsid w:val="007A4CB4"/>
    <w:rsid w:val="007A4E1F"/>
    <w:rsid w:val="007A5E15"/>
    <w:rsid w:val="007A6E97"/>
    <w:rsid w:val="007A7B34"/>
    <w:rsid w:val="007B0059"/>
    <w:rsid w:val="007B07F5"/>
    <w:rsid w:val="007B08E8"/>
    <w:rsid w:val="007B0C30"/>
    <w:rsid w:val="007B2020"/>
    <w:rsid w:val="007B2890"/>
    <w:rsid w:val="007B2F08"/>
    <w:rsid w:val="007B3CF6"/>
    <w:rsid w:val="007B407D"/>
    <w:rsid w:val="007B50C0"/>
    <w:rsid w:val="007B57C3"/>
    <w:rsid w:val="007B7817"/>
    <w:rsid w:val="007B7B68"/>
    <w:rsid w:val="007C16C3"/>
    <w:rsid w:val="007C1C49"/>
    <w:rsid w:val="007C31C8"/>
    <w:rsid w:val="007C33E2"/>
    <w:rsid w:val="007C3D9B"/>
    <w:rsid w:val="007C43F5"/>
    <w:rsid w:val="007C7E6B"/>
    <w:rsid w:val="007D0031"/>
    <w:rsid w:val="007D22F2"/>
    <w:rsid w:val="007D318A"/>
    <w:rsid w:val="007D3357"/>
    <w:rsid w:val="007D3933"/>
    <w:rsid w:val="007D3EAA"/>
    <w:rsid w:val="007D40B0"/>
    <w:rsid w:val="007D5D24"/>
    <w:rsid w:val="007D5FF5"/>
    <w:rsid w:val="007D62F7"/>
    <w:rsid w:val="007D6A5D"/>
    <w:rsid w:val="007D73C8"/>
    <w:rsid w:val="007E050F"/>
    <w:rsid w:val="007E0A6F"/>
    <w:rsid w:val="007E0C2C"/>
    <w:rsid w:val="007E23BE"/>
    <w:rsid w:val="007E287B"/>
    <w:rsid w:val="007E33B4"/>
    <w:rsid w:val="007E3D48"/>
    <w:rsid w:val="007E3EB3"/>
    <w:rsid w:val="007E45F0"/>
    <w:rsid w:val="007E4964"/>
    <w:rsid w:val="007E4A00"/>
    <w:rsid w:val="007E580A"/>
    <w:rsid w:val="007E732A"/>
    <w:rsid w:val="007F04CB"/>
    <w:rsid w:val="007F075B"/>
    <w:rsid w:val="007F08BF"/>
    <w:rsid w:val="007F1399"/>
    <w:rsid w:val="007F1A45"/>
    <w:rsid w:val="007F1E30"/>
    <w:rsid w:val="007F2CB9"/>
    <w:rsid w:val="007F323D"/>
    <w:rsid w:val="007F4082"/>
    <w:rsid w:val="007F5A12"/>
    <w:rsid w:val="007F709A"/>
    <w:rsid w:val="007F78D8"/>
    <w:rsid w:val="00800478"/>
    <w:rsid w:val="00800E96"/>
    <w:rsid w:val="00800FC1"/>
    <w:rsid w:val="0080114D"/>
    <w:rsid w:val="008036FF"/>
    <w:rsid w:val="0080388D"/>
    <w:rsid w:val="008041E8"/>
    <w:rsid w:val="0080458D"/>
    <w:rsid w:val="008049FC"/>
    <w:rsid w:val="008052B4"/>
    <w:rsid w:val="00805B26"/>
    <w:rsid w:val="00805CB9"/>
    <w:rsid w:val="00806458"/>
    <w:rsid w:val="00807B2C"/>
    <w:rsid w:val="00811FAC"/>
    <w:rsid w:val="00812EB3"/>
    <w:rsid w:val="00812F86"/>
    <w:rsid w:val="008131FC"/>
    <w:rsid w:val="008150CF"/>
    <w:rsid w:val="00816B4B"/>
    <w:rsid w:val="00816CC7"/>
    <w:rsid w:val="0081728E"/>
    <w:rsid w:val="00817DE7"/>
    <w:rsid w:val="00821238"/>
    <w:rsid w:val="0082185C"/>
    <w:rsid w:val="00821A07"/>
    <w:rsid w:val="00821F52"/>
    <w:rsid w:val="008232CF"/>
    <w:rsid w:val="0082448B"/>
    <w:rsid w:val="00824720"/>
    <w:rsid w:val="00824AC0"/>
    <w:rsid w:val="00825015"/>
    <w:rsid w:val="008253E8"/>
    <w:rsid w:val="008308BB"/>
    <w:rsid w:val="0083095F"/>
    <w:rsid w:val="00831047"/>
    <w:rsid w:val="008310FC"/>
    <w:rsid w:val="0083458E"/>
    <w:rsid w:val="00834C49"/>
    <w:rsid w:val="008355AC"/>
    <w:rsid w:val="00835A14"/>
    <w:rsid w:val="00835AF3"/>
    <w:rsid w:val="008377F9"/>
    <w:rsid w:val="00837BBD"/>
    <w:rsid w:val="00837D22"/>
    <w:rsid w:val="00840CB8"/>
    <w:rsid w:val="00840D33"/>
    <w:rsid w:val="00841DA1"/>
    <w:rsid w:val="00842578"/>
    <w:rsid w:val="00842C39"/>
    <w:rsid w:val="00843314"/>
    <w:rsid w:val="00844470"/>
    <w:rsid w:val="00844583"/>
    <w:rsid w:val="00844843"/>
    <w:rsid w:val="00844900"/>
    <w:rsid w:val="00844FB6"/>
    <w:rsid w:val="00845113"/>
    <w:rsid w:val="008455BD"/>
    <w:rsid w:val="00845806"/>
    <w:rsid w:val="008458D9"/>
    <w:rsid w:val="00850217"/>
    <w:rsid w:val="00850EF1"/>
    <w:rsid w:val="00851AEB"/>
    <w:rsid w:val="00852446"/>
    <w:rsid w:val="0085385D"/>
    <w:rsid w:val="008541A8"/>
    <w:rsid w:val="00854E09"/>
    <w:rsid w:val="00855BCB"/>
    <w:rsid w:val="00856789"/>
    <w:rsid w:val="00856DA7"/>
    <w:rsid w:val="0085761B"/>
    <w:rsid w:val="00860DD4"/>
    <w:rsid w:val="00861435"/>
    <w:rsid w:val="008614CF"/>
    <w:rsid w:val="00861764"/>
    <w:rsid w:val="00862C0E"/>
    <w:rsid w:val="008648D4"/>
    <w:rsid w:val="008662E6"/>
    <w:rsid w:val="00866430"/>
    <w:rsid w:val="0086717E"/>
    <w:rsid w:val="00870D33"/>
    <w:rsid w:val="008713BE"/>
    <w:rsid w:val="00871495"/>
    <w:rsid w:val="00871DEC"/>
    <w:rsid w:val="00871E48"/>
    <w:rsid w:val="00873160"/>
    <w:rsid w:val="008732DD"/>
    <w:rsid w:val="00874472"/>
    <w:rsid w:val="00874498"/>
    <w:rsid w:val="008801AB"/>
    <w:rsid w:val="00880237"/>
    <w:rsid w:val="008813FB"/>
    <w:rsid w:val="008817EC"/>
    <w:rsid w:val="00881C87"/>
    <w:rsid w:val="00882D24"/>
    <w:rsid w:val="0088582C"/>
    <w:rsid w:val="008873B7"/>
    <w:rsid w:val="00887AB0"/>
    <w:rsid w:val="008902B3"/>
    <w:rsid w:val="008910A0"/>
    <w:rsid w:val="00891805"/>
    <w:rsid w:val="00891C1C"/>
    <w:rsid w:val="0089283D"/>
    <w:rsid w:val="0089295A"/>
    <w:rsid w:val="00892A99"/>
    <w:rsid w:val="00892B7A"/>
    <w:rsid w:val="00892D37"/>
    <w:rsid w:val="0089420B"/>
    <w:rsid w:val="00894759"/>
    <w:rsid w:val="008948CE"/>
    <w:rsid w:val="008954AC"/>
    <w:rsid w:val="00895674"/>
    <w:rsid w:val="008959EA"/>
    <w:rsid w:val="008960E4"/>
    <w:rsid w:val="00896614"/>
    <w:rsid w:val="00896925"/>
    <w:rsid w:val="00897DC5"/>
    <w:rsid w:val="008A150C"/>
    <w:rsid w:val="008A15DC"/>
    <w:rsid w:val="008A1982"/>
    <w:rsid w:val="008A1D13"/>
    <w:rsid w:val="008A2B72"/>
    <w:rsid w:val="008A2C4A"/>
    <w:rsid w:val="008A5FE9"/>
    <w:rsid w:val="008A603F"/>
    <w:rsid w:val="008A66C0"/>
    <w:rsid w:val="008A6C68"/>
    <w:rsid w:val="008A6D61"/>
    <w:rsid w:val="008A7383"/>
    <w:rsid w:val="008A7568"/>
    <w:rsid w:val="008A7E49"/>
    <w:rsid w:val="008B0081"/>
    <w:rsid w:val="008B00BF"/>
    <w:rsid w:val="008B01BB"/>
    <w:rsid w:val="008B16D9"/>
    <w:rsid w:val="008B20FB"/>
    <w:rsid w:val="008B33B7"/>
    <w:rsid w:val="008B3CA1"/>
    <w:rsid w:val="008B48A9"/>
    <w:rsid w:val="008B67B5"/>
    <w:rsid w:val="008B6818"/>
    <w:rsid w:val="008B682E"/>
    <w:rsid w:val="008B6AC7"/>
    <w:rsid w:val="008B6D5A"/>
    <w:rsid w:val="008B7380"/>
    <w:rsid w:val="008C0F26"/>
    <w:rsid w:val="008C1E06"/>
    <w:rsid w:val="008C2B68"/>
    <w:rsid w:val="008C34B7"/>
    <w:rsid w:val="008C4517"/>
    <w:rsid w:val="008C4D61"/>
    <w:rsid w:val="008C510E"/>
    <w:rsid w:val="008C56C8"/>
    <w:rsid w:val="008C6DF1"/>
    <w:rsid w:val="008C7D70"/>
    <w:rsid w:val="008C7FC6"/>
    <w:rsid w:val="008D1D01"/>
    <w:rsid w:val="008D3ADF"/>
    <w:rsid w:val="008D3BFB"/>
    <w:rsid w:val="008D4A1A"/>
    <w:rsid w:val="008D706B"/>
    <w:rsid w:val="008D760A"/>
    <w:rsid w:val="008D778D"/>
    <w:rsid w:val="008E08D1"/>
    <w:rsid w:val="008E0A2D"/>
    <w:rsid w:val="008E0AE8"/>
    <w:rsid w:val="008E0FEE"/>
    <w:rsid w:val="008E17DB"/>
    <w:rsid w:val="008E1945"/>
    <w:rsid w:val="008E1E47"/>
    <w:rsid w:val="008E24ED"/>
    <w:rsid w:val="008E3445"/>
    <w:rsid w:val="008E3461"/>
    <w:rsid w:val="008E4248"/>
    <w:rsid w:val="008E466C"/>
    <w:rsid w:val="008E49B2"/>
    <w:rsid w:val="008E6212"/>
    <w:rsid w:val="008E6CBC"/>
    <w:rsid w:val="008E6EB6"/>
    <w:rsid w:val="008E7D27"/>
    <w:rsid w:val="008F0168"/>
    <w:rsid w:val="008F180C"/>
    <w:rsid w:val="008F23C8"/>
    <w:rsid w:val="008F2660"/>
    <w:rsid w:val="008F2B17"/>
    <w:rsid w:val="008F36AC"/>
    <w:rsid w:val="008F3D22"/>
    <w:rsid w:val="008F57FA"/>
    <w:rsid w:val="008F6239"/>
    <w:rsid w:val="008F6C50"/>
    <w:rsid w:val="008F7016"/>
    <w:rsid w:val="009007DC"/>
    <w:rsid w:val="009011DB"/>
    <w:rsid w:val="00901E7B"/>
    <w:rsid w:val="00902193"/>
    <w:rsid w:val="00902E8F"/>
    <w:rsid w:val="009054CC"/>
    <w:rsid w:val="00910E99"/>
    <w:rsid w:val="00911AEC"/>
    <w:rsid w:val="00911C21"/>
    <w:rsid w:val="00912087"/>
    <w:rsid w:val="00912E12"/>
    <w:rsid w:val="00914389"/>
    <w:rsid w:val="0091472A"/>
    <w:rsid w:val="009147B7"/>
    <w:rsid w:val="00914D35"/>
    <w:rsid w:val="0091653A"/>
    <w:rsid w:val="00916A32"/>
    <w:rsid w:val="009170DC"/>
    <w:rsid w:val="00917797"/>
    <w:rsid w:val="00917EE8"/>
    <w:rsid w:val="0092083D"/>
    <w:rsid w:val="00921432"/>
    <w:rsid w:val="0092191F"/>
    <w:rsid w:val="00922FDB"/>
    <w:rsid w:val="00923264"/>
    <w:rsid w:val="00924342"/>
    <w:rsid w:val="00925289"/>
    <w:rsid w:val="009255C6"/>
    <w:rsid w:val="009272A0"/>
    <w:rsid w:val="009313A7"/>
    <w:rsid w:val="00931A5E"/>
    <w:rsid w:val="00932E00"/>
    <w:rsid w:val="00932FBD"/>
    <w:rsid w:val="009332B3"/>
    <w:rsid w:val="00933C37"/>
    <w:rsid w:val="00933E8C"/>
    <w:rsid w:val="00933EAF"/>
    <w:rsid w:val="00934E85"/>
    <w:rsid w:val="009371C3"/>
    <w:rsid w:val="009374D2"/>
    <w:rsid w:val="00937616"/>
    <w:rsid w:val="009411BA"/>
    <w:rsid w:val="00941DD8"/>
    <w:rsid w:val="00941F7E"/>
    <w:rsid w:val="00942B5B"/>
    <w:rsid w:val="00942F6C"/>
    <w:rsid w:val="00943920"/>
    <w:rsid w:val="00943A90"/>
    <w:rsid w:val="009445F1"/>
    <w:rsid w:val="00944F5E"/>
    <w:rsid w:val="00946ABE"/>
    <w:rsid w:val="00946B63"/>
    <w:rsid w:val="00947DC7"/>
    <w:rsid w:val="00947DFF"/>
    <w:rsid w:val="0095013C"/>
    <w:rsid w:val="009504F9"/>
    <w:rsid w:val="00951051"/>
    <w:rsid w:val="0095263A"/>
    <w:rsid w:val="00952E78"/>
    <w:rsid w:val="0095367A"/>
    <w:rsid w:val="009538EB"/>
    <w:rsid w:val="009540CA"/>
    <w:rsid w:val="00954DFD"/>
    <w:rsid w:val="00956EDF"/>
    <w:rsid w:val="00956FAC"/>
    <w:rsid w:val="0095754E"/>
    <w:rsid w:val="00960018"/>
    <w:rsid w:val="0096021A"/>
    <w:rsid w:val="009635C0"/>
    <w:rsid w:val="009647C0"/>
    <w:rsid w:val="00964C66"/>
    <w:rsid w:val="00965C6C"/>
    <w:rsid w:val="00965F7C"/>
    <w:rsid w:val="00966CCF"/>
    <w:rsid w:val="00966F1B"/>
    <w:rsid w:val="0096716A"/>
    <w:rsid w:val="00970CB4"/>
    <w:rsid w:val="00970FE8"/>
    <w:rsid w:val="00971852"/>
    <w:rsid w:val="009727F5"/>
    <w:rsid w:val="00972DEF"/>
    <w:rsid w:val="00974559"/>
    <w:rsid w:val="009770EF"/>
    <w:rsid w:val="00977EEA"/>
    <w:rsid w:val="0098004F"/>
    <w:rsid w:val="0098056B"/>
    <w:rsid w:val="00982697"/>
    <w:rsid w:val="0098320D"/>
    <w:rsid w:val="009838B7"/>
    <w:rsid w:val="00984C58"/>
    <w:rsid w:val="00984DF0"/>
    <w:rsid w:val="0098508C"/>
    <w:rsid w:val="00985F72"/>
    <w:rsid w:val="009863F5"/>
    <w:rsid w:val="009866B0"/>
    <w:rsid w:val="00990204"/>
    <w:rsid w:val="009923D7"/>
    <w:rsid w:val="00992506"/>
    <w:rsid w:val="00992FB1"/>
    <w:rsid w:val="0099369D"/>
    <w:rsid w:val="00993741"/>
    <w:rsid w:val="009940FF"/>
    <w:rsid w:val="00995E60"/>
    <w:rsid w:val="00997CBE"/>
    <w:rsid w:val="009A24C4"/>
    <w:rsid w:val="009A2816"/>
    <w:rsid w:val="009A2D38"/>
    <w:rsid w:val="009A2F24"/>
    <w:rsid w:val="009A3C31"/>
    <w:rsid w:val="009A3DC0"/>
    <w:rsid w:val="009A4762"/>
    <w:rsid w:val="009A520B"/>
    <w:rsid w:val="009A533E"/>
    <w:rsid w:val="009A5379"/>
    <w:rsid w:val="009A5D6B"/>
    <w:rsid w:val="009A6064"/>
    <w:rsid w:val="009A668F"/>
    <w:rsid w:val="009B0F63"/>
    <w:rsid w:val="009B1850"/>
    <w:rsid w:val="009B2456"/>
    <w:rsid w:val="009B2589"/>
    <w:rsid w:val="009B3EE4"/>
    <w:rsid w:val="009B49C0"/>
    <w:rsid w:val="009B4E46"/>
    <w:rsid w:val="009B5E73"/>
    <w:rsid w:val="009B625D"/>
    <w:rsid w:val="009B7226"/>
    <w:rsid w:val="009B73B5"/>
    <w:rsid w:val="009B7509"/>
    <w:rsid w:val="009C10BE"/>
    <w:rsid w:val="009C2960"/>
    <w:rsid w:val="009C2CB2"/>
    <w:rsid w:val="009C35A0"/>
    <w:rsid w:val="009C3AD4"/>
    <w:rsid w:val="009C4081"/>
    <w:rsid w:val="009C4302"/>
    <w:rsid w:val="009C43A9"/>
    <w:rsid w:val="009C4E8E"/>
    <w:rsid w:val="009C4F59"/>
    <w:rsid w:val="009C68BE"/>
    <w:rsid w:val="009D1A94"/>
    <w:rsid w:val="009D2695"/>
    <w:rsid w:val="009D2999"/>
    <w:rsid w:val="009D345A"/>
    <w:rsid w:val="009D6990"/>
    <w:rsid w:val="009D78C7"/>
    <w:rsid w:val="009D7FB5"/>
    <w:rsid w:val="009E08C3"/>
    <w:rsid w:val="009E14FB"/>
    <w:rsid w:val="009E169B"/>
    <w:rsid w:val="009E2869"/>
    <w:rsid w:val="009E36C4"/>
    <w:rsid w:val="009E37CE"/>
    <w:rsid w:val="009E3A0E"/>
    <w:rsid w:val="009E4078"/>
    <w:rsid w:val="009E4417"/>
    <w:rsid w:val="009E44BB"/>
    <w:rsid w:val="009E4DEF"/>
    <w:rsid w:val="009E4E82"/>
    <w:rsid w:val="009E51E1"/>
    <w:rsid w:val="009E5836"/>
    <w:rsid w:val="009E5A22"/>
    <w:rsid w:val="009E5D8C"/>
    <w:rsid w:val="009E5F1A"/>
    <w:rsid w:val="009E6E24"/>
    <w:rsid w:val="009E738D"/>
    <w:rsid w:val="009E7D93"/>
    <w:rsid w:val="009F039E"/>
    <w:rsid w:val="009F03C8"/>
    <w:rsid w:val="009F0EB3"/>
    <w:rsid w:val="009F10A0"/>
    <w:rsid w:val="009F1196"/>
    <w:rsid w:val="009F2B41"/>
    <w:rsid w:val="009F2D6D"/>
    <w:rsid w:val="009F30A1"/>
    <w:rsid w:val="009F340E"/>
    <w:rsid w:val="009F359E"/>
    <w:rsid w:val="009F3722"/>
    <w:rsid w:val="009F39EF"/>
    <w:rsid w:val="009F3B23"/>
    <w:rsid w:val="009F4B0E"/>
    <w:rsid w:val="009F4C1A"/>
    <w:rsid w:val="009F5F76"/>
    <w:rsid w:val="009F61E5"/>
    <w:rsid w:val="009F675B"/>
    <w:rsid w:val="009F7F81"/>
    <w:rsid w:val="00A00B35"/>
    <w:rsid w:val="00A01E33"/>
    <w:rsid w:val="00A022F4"/>
    <w:rsid w:val="00A02C7B"/>
    <w:rsid w:val="00A04C68"/>
    <w:rsid w:val="00A05603"/>
    <w:rsid w:val="00A059C1"/>
    <w:rsid w:val="00A075CE"/>
    <w:rsid w:val="00A103B0"/>
    <w:rsid w:val="00A10FD6"/>
    <w:rsid w:val="00A11271"/>
    <w:rsid w:val="00A12176"/>
    <w:rsid w:val="00A13031"/>
    <w:rsid w:val="00A13574"/>
    <w:rsid w:val="00A14CC4"/>
    <w:rsid w:val="00A14DAC"/>
    <w:rsid w:val="00A153DC"/>
    <w:rsid w:val="00A15CD2"/>
    <w:rsid w:val="00A172A5"/>
    <w:rsid w:val="00A17787"/>
    <w:rsid w:val="00A20CFB"/>
    <w:rsid w:val="00A20DAF"/>
    <w:rsid w:val="00A21168"/>
    <w:rsid w:val="00A21516"/>
    <w:rsid w:val="00A215CD"/>
    <w:rsid w:val="00A21E1E"/>
    <w:rsid w:val="00A222D6"/>
    <w:rsid w:val="00A228F0"/>
    <w:rsid w:val="00A2396E"/>
    <w:rsid w:val="00A23C45"/>
    <w:rsid w:val="00A2454C"/>
    <w:rsid w:val="00A249EE"/>
    <w:rsid w:val="00A24C02"/>
    <w:rsid w:val="00A25090"/>
    <w:rsid w:val="00A26385"/>
    <w:rsid w:val="00A263B0"/>
    <w:rsid w:val="00A27EC5"/>
    <w:rsid w:val="00A303A8"/>
    <w:rsid w:val="00A30D01"/>
    <w:rsid w:val="00A317D5"/>
    <w:rsid w:val="00A32CEE"/>
    <w:rsid w:val="00A32F6E"/>
    <w:rsid w:val="00A338E2"/>
    <w:rsid w:val="00A33A1F"/>
    <w:rsid w:val="00A33BAA"/>
    <w:rsid w:val="00A344DD"/>
    <w:rsid w:val="00A34629"/>
    <w:rsid w:val="00A3574C"/>
    <w:rsid w:val="00A35DF7"/>
    <w:rsid w:val="00A36058"/>
    <w:rsid w:val="00A36743"/>
    <w:rsid w:val="00A3675D"/>
    <w:rsid w:val="00A37EEC"/>
    <w:rsid w:val="00A40492"/>
    <w:rsid w:val="00A40845"/>
    <w:rsid w:val="00A40FC1"/>
    <w:rsid w:val="00A41F6C"/>
    <w:rsid w:val="00A43A15"/>
    <w:rsid w:val="00A46684"/>
    <w:rsid w:val="00A46B97"/>
    <w:rsid w:val="00A46C07"/>
    <w:rsid w:val="00A46D43"/>
    <w:rsid w:val="00A46DE8"/>
    <w:rsid w:val="00A4711E"/>
    <w:rsid w:val="00A47D5C"/>
    <w:rsid w:val="00A50458"/>
    <w:rsid w:val="00A5183B"/>
    <w:rsid w:val="00A51C47"/>
    <w:rsid w:val="00A520C5"/>
    <w:rsid w:val="00A52D67"/>
    <w:rsid w:val="00A532AA"/>
    <w:rsid w:val="00A53916"/>
    <w:rsid w:val="00A53D46"/>
    <w:rsid w:val="00A5413D"/>
    <w:rsid w:val="00A550A9"/>
    <w:rsid w:val="00A5598F"/>
    <w:rsid w:val="00A57735"/>
    <w:rsid w:val="00A57F94"/>
    <w:rsid w:val="00A604ED"/>
    <w:rsid w:val="00A604FE"/>
    <w:rsid w:val="00A61045"/>
    <w:rsid w:val="00A61EFD"/>
    <w:rsid w:val="00A6409F"/>
    <w:rsid w:val="00A650D7"/>
    <w:rsid w:val="00A65A26"/>
    <w:rsid w:val="00A6644F"/>
    <w:rsid w:val="00A66921"/>
    <w:rsid w:val="00A67447"/>
    <w:rsid w:val="00A675E6"/>
    <w:rsid w:val="00A67787"/>
    <w:rsid w:val="00A7040B"/>
    <w:rsid w:val="00A706C5"/>
    <w:rsid w:val="00A70727"/>
    <w:rsid w:val="00A70B54"/>
    <w:rsid w:val="00A71714"/>
    <w:rsid w:val="00A71D1F"/>
    <w:rsid w:val="00A72238"/>
    <w:rsid w:val="00A72301"/>
    <w:rsid w:val="00A72B27"/>
    <w:rsid w:val="00A75826"/>
    <w:rsid w:val="00A761D7"/>
    <w:rsid w:val="00A76CC5"/>
    <w:rsid w:val="00A773C3"/>
    <w:rsid w:val="00A773D1"/>
    <w:rsid w:val="00A7787F"/>
    <w:rsid w:val="00A77C49"/>
    <w:rsid w:val="00A804A6"/>
    <w:rsid w:val="00A80564"/>
    <w:rsid w:val="00A80DAD"/>
    <w:rsid w:val="00A81800"/>
    <w:rsid w:val="00A8204C"/>
    <w:rsid w:val="00A836D2"/>
    <w:rsid w:val="00A840AA"/>
    <w:rsid w:val="00A84B2B"/>
    <w:rsid w:val="00A85111"/>
    <w:rsid w:val="00A8555F"/>
    <w:rsid w:val="00A855A8"/>
    <w:rsid w:val="00A85F54"/>
    <w:rsid w:val="00A86568"/>
    <w:rsid w:val="00A86D36"/>
    <w:rsid w:val="00A87737"/>
    <w:rsid w:val="00A878A3"/>
    <w:rsid w:val="00A87BE6"/>
    <w:rsid w:val="00A90670"/>
    <w:rsid w:val="00A908AF"/>
    <w:rsid w:val="00A90FDC"/>
    <w:rsid w:val="00A915B6"/>
    <w:rsid w:val="00A91636"/>
    <w:rsid w:val="00A91CD9"/>
    <w:rsid w:val="00A930EC"/>
    <w:rsid w:val="00A9324A"/>
    <w:rsid w:val="00A941DC"/>
    <w:rsid w:val="00A94C04"/>
    <w:rsid w:val="00A95A68"/>
    <w:rsid w:val="00A95C33"/>
    <w:rsid w:val="00A96A1C"/>
    <w:rsid w:val="00A9723D"/>
    <w:rsid w:val="00A97D57"/>
    <w:rsid w:val="00A97E3F"/>
    <w:rsid w:val="00AA1040"/>
    <w:rsid w:val="00AA237D"/>
    <w:rsid w:val="00AA2806"/>
    <w:rsid w:val="00AA2CC9"/>
    <w:rsid w:val="00AA3E51"/>
    <w:rsid w:val="00AA3F32"/>
    <w:rsid w:val="00AA40A9"/>
    <w:rsid w:val="00AA5566"/>
    <w:rsid w:val="00AB0D4D"/>
    <w:rsid w:val="00AB15B7"/>
    <w:rsid w:val="00AB21E9"/>
    <w:rsid w:val="00AB2DAF"/>
    <w:rsid w:val="00AB32A0"/>
    <w:rsid w:val="00AB35C5"/>
    <w:rsid w:val="00AB447B"/>
    <w:rsid w:val="00AB47DD"/>
    <w:rsid w:val="00AB527D"/>
    <w:rsid w:val="00AB59E1"/>
    <w:rsid w:val="00AB5CFE"/>
    <w:rsid w:val="00AB670B"/>
    <w:rsid w:val="00AB699B"/>
    <w:rsid w:val="00AB6C29"/>
    <w:rsid w:val="00AB6F75"/>
    <w:rsid w:val="00AB73C1"/>
    <w:rsid w:val="00AC006D"/>
    <w:rsid w:val="00AC018E"/>
    <w:rsid w:val="00AC084B"/>
    <w:rsid w:val="00AC0BD4"/>
    <w:rsid w:val="00AC1717"/>
    <w:rsid w:val="00AC2032"/>
    <w:rsid w:val="00AC3F06"/>
    <w:rsid w:val="00AC55D7"/>
    <w:rsid w:val="00AC5D00"/>
    <w:rsid w:val="00AC72C9"/>
    <w:rsid w:val="00AC753C"/>
    <w:rsid w:val="00AC7D87"/>
    <w:rsid w:val="00AC7E6C"/>
    <w:rsid w:val="00AC7F15"/>
    <w:rsid w:val="00AD0288"/>
    <w:rsid w:val="00AD028E"/>
    <w:rsid w:val="00AD0298"/>
    <w:rsid w:val="00AD0393"/>
    <w:rsid w:val="00AD1AA1"/>
    <w:rsid w:val="00AD2602"/>
    <w:rsid w:val="00AD3E95"/>
    <w:rsid w:val="00AD4113"/>
    <w:rsid w:val="00AD4931"/>
    <w:rsid w:val="00AD4EDE"/>
    <w:rsid w:val="00AD501A"/>
    <w:rsid w:val="00AD5F3D"/>
    <w:rsid w:val="00AD6234"/>
    <w:rsid w:val="00AD6611"/>
    <w:rsid w:val="00AD6F65"/>
    <w:rsid w:val="00AE0587"/>
    <w:rsid w:val="00AE14AC"/>
    <w:rsid w:val="00AE1F41"/>
    <w:rsid w:val="00AE2A61"/>
    <w:rsid w:val="00AE37F8"/>
    <w:rsid w:val="00AE3AD1"/>
    <w:rsid w:val="00AE4CAC"/>
    <w:rsid w:val="00AE6700"/>
    <w:rsid w:val="00AE6D28"/>
    <w:rsid w:val="00AE7357"/>
    <w:rsid w:val="00AE7641"/>
    <w:rsid w:val="00AF05C2"/>
    <w:rsid w:val="00AF279D"/>
    <w:rsid w:val="00AF3093"/>
    <w:rsid w:val="00AF4468"/>
    <w:rsid w:val="00AF4477"/>
    <w:rsid w:val="00AF4D63"/>
    <w:rsid w:val="00AF4D69"/>
    <w:rsid w:val="00AF4F0D"/>
    <w:rsid w:val="00AF5975"/>
    <w:rsid w:val="00AF7AC0"/>
    <w:rsid w:val="00AF7C45"/>
    <w:rsid w:val="00AF7DB5"/>
    <w:rsid w:val="00AF7F27"/>
    <w:rsid w:val="00AF7FA1"/>
    <w:rsid w:val="00B00B1C"/>
    <w:rsid w:val="00B00C52"/>
    <w:rsid w:val="00B00C73"/>
    <w:rsid w:val="00B01480"/>
    <w:rsid w:val="00B01988"/>
    <w:rsid w:val="00B0235B"/>
    <w:rsid w:val="00B02747"/>
    <w:rsid w:val="00B028BE"/>
    <w:rsid w:val="00B07E37"/>
    <w:rsid w:val="00B10372"/>
    <w:rsid w:val="00B11666"/>
    <w:rsid w:val="00B11A17"/>
    <w:rsid w:val="00B11C81"/>
    <w:rsid w:val="00B12076"/>
    <w:rsid w:val="00B135BF"/>
    <w:rsid w:val="00B14AC3"/>
    <w:rsid w:val="00B153D1"/>
    <w:rsid w:val="00B15539"/>
    <w:rsid w:val="00B1606F"/>
    <w:rsid w:val="00B1614B"/>
    <w:rsid w:val="00B1669A"/>
    <w:rsid w:val="00B16A12"/>
    <w:rsid w:val="00B17609"/>
    <w:rsid w:val="00B200F9"/>
    <w:rsid w:val="00B20521"/>
    <w:rsid w:val="00B20F96"/>
    <w:rsid w:val="00B2101F"/>
    <w:rsid w:val="00B21B1C"/>
    <w:rsid w:val="00B240BA"/>
    <w:rsid w:val="00B242BC"/>
    <w:rsid w:val="00B249F3"/>
    <w:rsid w:val="00B25534"/>
    <w:rsid w:val="00B26F44"/>
    <w:rsid w:val="00B27872"/>
    <w:rsid w:val="00B30699"/>
    <w:rsid w:val="00B32C68"/>
    <w:rsid w:val="00B330CF"/>
    <w:rsid w:val="00B33C23"/>
    <w:rsid w:val="00B33FD5"/>
    <w:rsid w:val="00B353C9"/>
    <w:rsid w:val="00B37277"/>
    <w:rsid w:val="00B373D7"/>
    <w:rsid w:val="00B3795C"/>
    <w:rsid w:val="00B37CC7"/>
    <w:rsid w:val="00B404B5"/>
    <w:rsid w:val="00B41472"/>
    <w:rsid w:val="00B42098"/>
    <w:rsid w:val="00B43699"/>
    <w:rsid w:val="00B43712"/>
    <w:rsid w:val="00B4537E"/>
    <w:rsid w:val="00B46DAE"/>
    <w:rsid w:val="00B47C2F"/>
    <w:rsid w:val="00B5006C"/>
    <w:rsid w:val="00B501A1"/>
    <w:rsid w:val="00B50484"/>
    <w:rsid w:val="00B50519"/>
    <w:rsid w:val="00B50B3D"/>
    <w:rsid w:val="00B50F93"/>
    <w:rsid w:val="00B52162"/>
    <w:rsid w:val="00B53061"/>
    <w:rsid w:val="00B54E62"/>
    <w:rsid w:val="00B55865"/>
    <w:rsid w:val="00B55F01"/>
    <w:rsid w:val="00B5648F"/>
    <w:rsid w:val="00B56924"/>
    <w:rsid w:val="00B576C0"/>
    <w:rsid w:val="00B57E8B"/>
    <w:rsid w:val="00B606E4"/>
    <w:rsid w:val="00B607FA"/>
    <w:rsid w:val="00B610E9"/>
    <w:rsid w:val="00B6182F"/>
    <w:rsid w:val="00B61B94"/>
    <w:rsid w:val="00B6256B"/>
    <w:rsid w:val="00B63A39"/>
    <w:rsid w:val="00B65340"/>
    <w:rsid w:val="00B6568D"/>
    <w:rsid w:val="00B656D7"/>
    <w:rsid w:val="00B66538"/>
    <w:rsid w:val="00B679A1"/>
    <w:rsid w:val="00B7043B"/>
    <w:rsid w:val="00B706BF"/>
    <w:rsid w:val="00B7126D"/>
    <w:rsid w:val="00B71CCE"/>
    <w:rsid w:val="00B72862"/>
    <w:rsid w:val="00B72CAA"/>
    <w:rsid w:val="00B73CFB"/>
    <w:rsid w:val="00B75043"/>
    <w:rsid w:val="00B76356"/>
    <w:rsid w:val="00B77892"/>
    <w:rsid w:val="00B806E9"/>
    <w:rsid w:val="00B825FD"/>
    <w:rsid w:val="00B83E86"/>
    <w:rsid w:val="00B840B3"/>
    <w:rsid w:val="00B84762"/>
    <w:rsid w:val="00B849C1"/>
    <w:rsid w:val="00B8536E"/>
    <w:rsid w:val="00B86B41"/>
    <w:rsid w:val="00B86BE1"/>
    <w:rsid w:val="00B87104"/>
    <w:rsid w:val="00B8718C"/>
    <w:rsid w:val="00B87626"/>
    <w:rsid w:val="00B8792F"/>
    <w:rsid w:val="00B90D5B"/>
    <w:rsid w:val="00B910DB"/>
    <w:rsid w:val="00B913DB"/>
    <w:rsid w:val="00B916AA"/>
    <w:rsid w:val="00B91A55"/>
    <w:rsid w:val="00B91E65"/>
    <w:rsid w:val="00B92177"/>
    <w:rsid w:val="00B931BF"/>
    <w:rsid w:val="00B94B49"/>
    <w:rsid w:val="00B960A5"/>
    <w:rsid w:val="00B97522"/>
    <w:rsid w:val="00B978CF"/>
    <w:rsid w:val="00BA031A"/>
    <w:rsid w:val="00BA053C"/>
    <w:rsid w:val="00BA0868"/>
    <w:rsid w:val="00BA1D6D"/>
    <w:rsid w:val="00BA241E"/>
    <w:rsid w:val="00BA3CA4"/>
    <w:rsid w:val="00BA57E1"/>
    <w:rsid w:val="00BA613C"/>
    <w:rsid w:val="00BA6F08"/>
    <w:rsid w:val="00BA7299"/>
    <w:rsid w:val="00BA76F8"/>
    <w:rsid w:val="00BA7EC0"/>
    <w:rsid w:val="00BB003C"/>
    <w:rsid w:val="00BB0255"/>
    <w:rsid w:val="00BB0BC4"/>
    <w:rsid w:val="00BB162E"/>
    <w:rsid w:val="00BB1998"/>
    <w:rsid w:val="00BB1BD3"/>
    <w:rsid w:val="00BB1EC4"/>
    <w:rsid w:val="00BB2727"/>
    <w:rsid w:val="00BB557C"/>
    <w:rsid w:val="00BB5713"/>
    <w:rsid w:val="00BB5C8A"/>
    <w:rsid w:val="00BC024F"/>
    <w:rsid w:val="00BC0701"/>
    <w:rsid w:val="00BC1F27"/>
    <w:rsid w:val="00BC2111"/>
    <w:rsid w:val="00BC3BA0"/>
    <w:rsid w:val="00BC417B"/>
    <w:rsid w:val="00BC4BB1"/>
    <w:rsid w:val="00BC50AB"/>
    <w:rsid w:val="00BC543F"/>
    <w:rsid w:val="00BC54E3"/>
    <w:rsid w:val="00BD06A7"/>
    <w:rsid w:val="00BD0BFE"/>
    <w:rsid w:val="00BD1111"/>
    <w:rsid w:val="00BD11A2"/>
    <w:rsid w:val="00BD1761"/>
    <w:rsid w:val="00BD2DA4"/>
    <w:rsid w:val="00BD36D2"/>
    <w:rsid w:val="00BD3C6A"/>
    <w:rsid w:val="00BD51F6"/>
    <w:rsid w:val="00BD60D5"/>
    <w:rsid w:val="00BD73A1"/>
    <w:rsid w:val="00BE0AE1"/>
    <w:rsid w:val="00BE12B0"/>
    <w:rsid w:val="00BE1EB0"/>
    <w:rsid w:val="00BE2FF5"/>
    <w:rsid w:val="00BE4235"/>
    <w:rsid w:val="00BE4611"/>
    <w:rsid w:val="00BE4684"/>
    <w:rsid w:val="00BE6692"/>
    <w:rsid w:val="00BE672B"/>
    <w:rsid w:val="00BE6E70"/>
    <w:rsid w:val="00BE7035"/>
    <w:rsid w:val="00BE7EC3"/>
    <w:rsid w:val="00BF01C0"/>
    <w:rsid w:val="00BF0AFC"/>
    <w:rsid w:val="00BF1298"/>
    <w:rsid w:val="00BF13E5"/>
    <w:rsid w:val="00BF3181"/>
    <w:rsid w:val="00BF3FD5"/>
    <w:rsid w:val="00BF4379"/>
    <w:rsid w:val="00BF6146"/>
    <w:rsid w:val="00BF6237"/>
    <w:rsid w:val="00BF66BF"/>
    <w:rsid w:val="00BF6DAB"/>
    <w:rsid w:val="00BF6DEB"/>
    <w:rsid w:val="00C0030A"/>
    <w:rsid w:val="00C04E5A"/>
    <w:rsid w:val="00C066A3"/>
    <w:rsid w:val="00C07544"/>
    <w:rsid w:val="00C07A2B"/>
    <w:rsid w:val="00C10B2C"/>
    <w:rsid w:val="00C110E9"/>
    <w:rsid w:val="00C12FCA"/>
    <w:rsid w:val="00C133B6"/>
    <w:rsid w:val="00C13AB1"/>
    <w:rsid w:val="00C13FC4"/>
    <w:rsid w:val="00C143F8"/>
    <w:rsid w:val="00C144B6"/>
    <w:rsid w:val="00C14FD9"/>
    <w:rsid w:val="00C1625E"/>
    <w:rsid w:val="00C2048F"/>
    <w:rsid w:val="00C2187A"/>
    <w:rsid w:val="00C22DED"/>
    <w:rsid w:val="00C23E03"/>
    <w:rsid w:val="00C2438B"/>
    <w:rsid w:val="00C30E34"/>
    <w:rsid w:val="00C30EA9"/>
    <w:rsid w:val="00C33110"/>
    <w:rsid w:val="00C34874"/>
    <w:rsid w:val="00C34E04"/>
    <w:rsid w:val="00C34FCD"/>
    <w:rsid w:val="00C3512D"/>
    <w:rsid w:val="00C35E9F"/>
    <w:rsid w:val="00C36242"/>
    <w:rsid w:val="00C36541"/>
    <w:rsid w:val="00C36577"/>
    <w:rsid w:val="00C3726E"/>
    <w:rsid w:val="00C379DD"/>
    <w:rsid w:val="00C41AF6"/>
    <w:rsid w:val="00C41C97"/>
    <w:rsid w:val="00C42286"/>
    <w:rsid w:val="00C427C4"/>
    <w:rsid w:val="00C42EC9"/>
    <w:rsid w:val="00C43C2C"/>
    <w:rsid w:val="00C4464D"/>
    <w:rsid w:val="00C450B0"/>
    <w:rsid w:val="00C45A07"/>
    <w:rsid w:val="00C45DE8"/>
    <w:rsid w:val="00C515A5"/>
    <w:rsid w:val="00C517DD"/>
    <w:rsid w:val="00C51811"/>
    <w:rsid w:val="00C5262C"/>
    <w:rsid w:val="00C53088"/>
    <w:rsid w:val="00C53256"/>
    <w:rsid w:val="00C53C2D"/>
    <w:rsid w:val="00C5400F"/>
    <w:rsid w:val="00C54ACC"/>
    <w:rsid w:val="00C5617C"/>
    <w:rsid w:val="00C56A1E"/>
    <w:rsid w:val="00C60E5F"/>
    <w:rsid w:val="00C61AF7"/>
    <w:rsid w:val="00C61CFC"/>
    <w:rsid w:val="00C62421"/>
    <w:rsid w:val="00C62746"/>
    <w:rsid w:val="00C63D46"/>
    <w:rsid w:val="00C63F19"/>
    <w:rsid w:val="00C64731"/>
    <w:rsid w:val="00C65014"/>
    <w:rsid w:val="00C652D0"/>
    <w:rsid w:val="00C656DF"/>
    <w:rsid w:val="00C656E5"/>
    <w:rsid w:val="00C65B4A"/>
    <w:rsid w:val="00C671D2"/>
    <w:rsid w:val="00C6759A"/>
    <w:rsid w:val="00C67B7F"/>
    <w:rsid w:val="00C702E7"/>
    <w:rsid w:val="00C70D1B"/>
    <w:rsid w:val="00C714FB"/>
    <w:rsid w:val="00C71F1E"/>
    <w:rsid w:val="00C73237"/>
    <w:rsid w:val="00C73904"/>
    <w:rsid w:val="00C73BDD"/>
    <w:rsid w:val="00C755CF"/>
    <w:rsid w:val="00C75999"/>
    <w:rsid w:val="00C759C7"/>
    <w:rsid w:val="00C76454"/>
    <w:rsid w:val="00C7708D"/>
    <w:rsid w:val="00C77969"/>
    <w:rsid w:val="00C77A0B"/>
    <w:rsid w:val="00C77B10"/>
    <w:rsid w:val="00C815AA"/>
    <w:rsid w:val="00C816F0"/>
    <w:rsid w:val="00C8178E"/>
    <w:rsid w:val="00C81CEF"/>
    <w:rsid w:val="00C83477"/>
    <w:rsid w:val="00C83AB5"/>
    <w:rsid w:val="00C83C46"/>
    <w:rsid w:val="00C85491"/>
    <w:rsid w:val="00C85883"/>
    <w:rsid w:val="00C85E0C"/>
    <w:rsid w:val="00C85F66"/>
    <w:rsid w:val="00C85F94"/>
    <w:rsid w:val="00C86AC6"/>
    <w:rsid w:val="00C87860"/>
    <w:rsid w:val="00C879AB"/>
    <w:rsid w:val="00C87AEC"/>
    <w:rsid w:val="00C87DE0"/>
    <w:rsid w:val="00C87FA9"/>
    <w:rsid w:val="00C903F4"/>
    <w:rsid w:val="00C91688"/>
    <w:rsid w:val="00C92602"/>
    <w:rsid w:val="00C92D2F"/>
    <w:rsid w:val="00C92F46"/>
    <w:rsid w:val="00C92F4E"/>
    <w:rsid w:val="00C936E8"/>
    <w:rsid w:val="00C940D1"/>
    <w:rsid w:val="00C94BEB"/>
    <w:rsid w:val="00C96300"/>
    <w:rsid w:val="00C9719A"/>
    <w:rsid w:val="00C97A99"/>
    <w:rsid w:val="00C97AE6"/>
    <w:rsid w:val="00C97F55"/>
    <w:rsid w:val="00CA0B54"/>
    <w:rsid w:val="00CA1042"/>
    <w:rsid w:val="00CA11D1"/>
    <w:rsid w:val="00CA11FA"/>
    <w:rsid w:val="00CA1775"/>
    <w:rsid w:val="00CA1813"/>
    <w:rsid w:val="00CA1A05"/>
    <w:rsid w:val="00CA1C15"/>
    <w:rsid w:val="00CA2087"/>
    <w:rsid w:val="00CA38F9"/>
    <w:rsid w:val="00CA3AC6"/>
    <w:rsid w:val="00CA3CE4"/>
    <w:rsid w:val="00CA4147"/>
    <w:rsid w:val="00CA4376"/>
    <w:rsid w:val="00CA454B"/>
    <w:rsid w:val="00CA45B8"/>
    <w:rsid w:val="00CA4A90"/>
    <w:rsid w:val="00CA53E4"/>
    <w:rsid w:val="00CA6189"/>
    <w:rsid w:val="00CA621D"/>
    <w:rsid w:val="00CA6F10"/>
    <w:rsid w:val="00CA7B3A"/>
    <w:rsid w:val="00CB116F"/>
    <w:rsid w:val="00CB18E4"/>
    <w:rsid w:val="00CB2944"/>
    <w:rsid w:val="00CB2A5C"/>
    <w:rsid w:val="00CB2A77"/>
    <w:rsid w:val="00CB33CD"/>
    <w:rsid w:val="00CB3D81"/>
    <w:rsid w:val="00CB4EBD"/>
    <w:rsid w:val="00CB5051"/>
    <w:rsid w:val="00CB67AF"/>
    <w:rsid w:val="00CC0E01"/>
    <w:rsid w:val="00CC0E43"/>
    <w:rsid w:val="00CC1CB2"/>
    <w:rsid w:val="00CC24B9"/>
    <w:rsid w:val="00CC2BB4"/>
    <w:rsid w:val="00CC4714"/>
    <w:rsid w:val="00CC4856"/>
    <w:rsid w:val="00CC538C"/>
    <w:rsid w:val="00CC5448"/>
    <w:rsid w:val="00CC618D"/>
    <w:rsid w:val="00CC6316"/>
    <w:rsid w:val="00CC71A6"/>
    <w:rsid w:val="00CC7671"/>
    <w:rsid w:val="00CC7B52"/>
    <w:rsid w:val="00CD0BDF"/>
    <w:rsid w:val="00CD0F0A"/>
    <w:rsid w:val="00CD16A5"/>
    <w:rsid w:val="00CD1C7B"/>
    <w:rsid w:val="00CD3EEC"/>
    <w:rsid w:val="00CD4263"/>
    <w:rsid w:val="00CD5D2A"/>
    <w:rsid w:val="00CD65BE"/>
    <w:rsid w:val="00CD6890"/>
    <w:rsid w:val="00CD707B"/>
    <w:rsid w:val="00CD76CE"/>
    <w:rsid w:val="00CD7C11"/>
    <w:rsid w:val="00CD7C53"/>
    <w:rsid w:val="00CE06A3"/>
    <w:rsid w:val="00CE0B49"/>
    <w:rsid w:val="00CE11B8"/>
    <w:rsid w:val="00CE1E09"/>
    <w:rsid w:val="00CE1EFB"/>
    <w:rsid w:val="00CE306E"/>
    <w:rsid w:val="00CE3225"/>
    <w:rsid w:val="00CE3E9A"/>
    <w:rsid w:val="00CE3ED3"/>
    <w:rsid w:val="00CE4506"/>
    <w:rsid w:val="00CE4AD2"/>
    <w:rsid w:val="00CE4D78"/>
    <w:rsid w:val="00CE64D1"/>
    <w:rsid w:val="00CE68E9"/>
    <w:rsid w:val="00CE68FA"/>
    <w:rsid w:val="00CE6B60"/>
    <w:rsid w:val="00CF040E"/>
    <w:rsid w:val="00CF05E8"/>
    <w:rsid w:val="00CF1B9C"/>
    <w:rsid w:val="00CF2098"/>
    <w:rsid w:val="00CF2816"/>
    <w:rsid w:val="00CF3C77"/>
    <w:rsid w:val="00CF3E97"/>
    <w:rsid w:val="00CF454C"/>
    <w:rsid w:val="00CF48E7"/>
    <w:rsid w:val="00CF7D47"/>
    <w:rsid w:val="00D00F4A"/>
    <w:rsid w:val="00D010AC"/>
    <w:rsid w:val="00D028A2"/>
    <w:rsid w:val="00D029A6"/>
    <w:rsid w:val="00D04180"/>
    <w:rsid w:val="00D04936"/>
    <w:rsid w:val="00D05183"/>
    <w:rsid w:val="00D05726"/>
    <w:rsid w:val="00D05A81"/>
    <w:rsid w:val="00D064CB"/>
    <w:rsid w:val="00D07AAC"/>
    <w:rsid w:val="00D07E1C"/>
    <w:rsid w:val="00D10109"/>
    <w:rsid w:val="00D1011C"/>
    <w:rsid w:val="00D1052E"/>
    <w:rsid w:val="00D10537"/>
    <w:rsid w:val="00D10745"/>
    <w:rsid w:val="00D11CCB"/>
    <w:rsid w:val="00D129AB"/>
    <w:rsid w:val="00D15497"/>
    <w:rsid w:val="00D15B86"/>
    <w:rsid w:val="00D17170"/>
    <w:rsid w:val="00D20096"/>
    <w:rsid w:val="00D20D3D"/>
    <w:rsid w:val="00D21340"/>
    <w:rsid w:val="00D2241D"/>
    <w:rsid w:val="00D22C06"/>
    <w:rsid w:val="00D23282"/>
    <w:rsid w:val="00D23837"/>
    <w:rsid w:val="00D259D6"/>
    <w:rsid w:val="00D25A0A"/>
    <w:rsid w:val="00D25F0F"/>
    <w:rsid w:val="00D2690D"/>
    <w:rsid w:val="00D27A6B"/>
    <w:rsid w:val="00D3033D"/>
    <w:rsid w:val="00D31CBA"/>
    <w:rsid w:val="00D32D37"/>
    <w:rsid w:val="00D33442"/>
    <w:rsid w:val="00D3389D"/>
    <w:rsid w:val="00D34255"/>
    <w:rsid w:val="00D342AB"/>
    <w:rsid w:val="00D342C7"/>
    <w:rsid w:val="00D34400"/>
    <w:rsid w:val="00D34814"/>
    <w:rsid w:val="00D34CDA"/>
    <w:rsid w:val="00D34EF4"/>
    <w:rsid w:val="00D36878"/>
    <w:rsid w:val="00D37476"/>
    <w:rsid w:val="00D378AB"/>
    <w:rsid w:val="00D40B2C"/>
    <w:rsid w:val="00D4120F"/>
    <w:rsid w:val="00D412AB"/>
    <w:rsid w:val="00D41867"/>
    <w:rsid w:val="00D41C56"/>
    <w:rsid w:val="00D41F24"/>
    <w:rsid w:val="00D4287C"/>
    <w:rsid w:val="00D4449A"/>
    <w:rsid w:val="00D444BE"/>
    <w:rsid w:val="00D44AA6"/>
    <w:rsid w:val="00D4505D"/>
    <w:rsid w:val="00D45D24"/>
    <w:rsid w:val="00D462E6"/>
    <w:rsid w:val="00D46C5B"/>
    <w:rsid w:val="00D47099"/>
    <w:rsid w:val="00D470A4"/>
    <w:rsid w:val="00D47126"/>
    <w:rsid w:val="00D473DF"/>
    <w:rsid w:val="00D47F84"/>
    <w:rsid w:val="00D5019F"/>
    <w:rsid w:val="00D51E8C"/>
    <w:rsid w:val="00D532DE"/>
    <w:rsid w:val="00D5376E"/>
    <w:rsid w:val="00D55268"/>
    <w:rsid w:val="00D5548B"/>
    <w:rsid w:val="00D55914"/>
    <w:rsid w:val="00D55CF9"/>
    <w:rsid w:val="00D55D00"/>
    <w:rsid w:val="00D56560"/>
    <w:rsid w:val="00D56880"/>
    <w:rsid w:val="00D56AB1"/>
    <w:rsid w:val="00D57CD9"/>
    <w:rsid w:val="00D600BE"/>
    <w:rsid w:val="00D6144F"/>
    <w:rsid w:val="00D61B88"/>
    <w:rsid w:val="00D61C9D"/>
    <w:rsid w:val="00D62848"/>
    <w:rsid w:val="00D63158"/>
    <w:rsid w:val="00D633AC"/>
    <w:rsid w:val="00D63600"/>
    <w:rsid w:val="00D64957"/>
    <w:rsid w:val="00D64EF2"/>
    <w:rsid w:val="00D65386"/>
    <w:rsid w:val="00D66D80"/>
    <w:rsid w:val="00D67BB5"/>
    <w:rsid w:val="00D67CFB"/>
    <w:rsid w:val="00D706DA"/>
    <w:rsid w:val="00D7169B"/>
    <w:rsid w:val="00D72DC8"/>
    <w:rsid w:val="00D730AE"/>
    <w:rsid w:val="00D73711"/>
    <w:rsid w:val="00D73BBE"/>
    <w:rsid w:val="00D73E06"/>
    <w:rsid w:val="00D7420C"/>
    <w:rsid w:val="00D74707"/>
    <w:rsid w:val="00D74D28"/>
    <w:rsid w:val="00D7505C"/>
    <w:rsid w:val="00D7575D"/>
    <w:rsid w:val="00D75B2E"/>
    <w:rsid w:val="00D762C1"/>
    <w:rsid w:val="00D7663D"/>
    <w:rsid w:val="00D771BE"/>
    <w:rsid w:val="00D7736A"/>
    <w:rsid w:val="00D77F86"/>
    <w:rsid w:val="00D80D87"/>
    <w:rsid w:val="00D82ED9"/>
    <w:rsid w:val="00D83A15"/>
    <w:rsid w:val="00D850D9"/>
    <w:rsid w:val="00D85614"/>
    <w:rsid w:val="00D86111"/>
    <w:rsid w:val="00D87348"/>
    <w:rsid w:val="00D90171"/>
    <w:rsid w:val="00D90BEC"/>
    <w:rsid w:val="00D910DB"/>
    <w:rsid w:val="00D91862"/>
    <w:rsid w:val="00D918EE"/>
    <w:rsid w:val="00D91E0C"/>
    <w:rsid w:val="00D92035"/>
    <w:rsid w:val="00D92AB4"/>
    <w:rsid w:val="00D93027"/>
    <w:rsid w:val="00D931C8"/>
    <w:rsid w:val="00D9387F"/>
    <w:rsid w:val="00D93A04"/>
    <w:rsid w:val="00D93D54"/>
    <w:rsid w:val="00D9404D"/>
    <w:rsid w:val="00D9454C"/>
    <w:rsid w:val="00D94885"/>
    <w:rsid w:val="00D949CA"/>
    <w:rsid w:val="00D94B3C"/>
    <w:rsid w:val="00D94E5B"/>
    <w:rsid w:val="00D95293"/>
    <w:rsid w:val="00D95D87"/>
    <w:rsid w:val="00D96297"/>
    <w:rsid w:val="00D97C58"/>
    <w:rsid w:val="00D97DB8"/>
    <w:rsid w:val="00DA0B12"/>
    <w:rsid w:val="00DA1703"/>
    <w:rsid w:val="00DA5BDA"/>
    <w:rsid w:val="00DA5C1B"/>
    <w:rsid w:val="00DA5E15"/>
    <w:rsid w:val="00DA638C"/>
    <w:rsid w:val="00DA6E88"/>
    <w:rsid w:val="00DB11F3"/>
    <w:rsid w:val="00DB25BE"/>
    <w:rsid w:val="00DB306C"/>
    <w:rsid w:val="00DB32FF"/>
    <w:rsid w:val="00DB461B"/>
    <w:rsid w:val="00DB5108"/>
    <w:rsid w:val="00DB60C5"/>
    <w:rsid w:val="00DB7AB1"/>
    <w:rsid w:val="00DC1475"/>
    <w:rsid w:val="00DC16A3"/>
    <w:rsid w:val="00DC1F8F"/>
    <w:rsid w:val="00DC2F5C"/>
    <w:rsid w:val="00DC3D48"/>
    <w:rsid w:val="00DC4625"/>
    <w:rsid w:val="00DC47D4"/>
    <w:rsid w:val="00DC62B6"/>
    <w:rsid w:val="00DC6CDA"/>
    <w:rsid w:val="00DC7697"/>
    <w:rsid w:val="00DC77E7"/>
    <w:rsid w:val="00DC7C37"/>
    <w:rsid w:val="00DC7C8E"/>
    <w:rsid w:val="00DD1E24"/>
    <w:rsid w:val="00DD1ED2"/>
    <w:rsid w:val="00DD3148"/>
    <w:rsid w:val="00DD388D"/>
    <w:rsid w:val="00DD3F99"/>
    <w:rsid w:val="00DD42CB"/>
    <w:rsid w:val="00DD4C13"/>
    <w:rsid w:val="00DD509A"/>
    <w:rsid w:val="00DD51BA"/>
    <w:rsid w:val="00DD60D3"/>
    <w:rsid w:val="00DD6119"/>
    <w:rsid w:val="00DD6305"/>
    <w:rsid w:val="00DD6E51"/>
    <w:rsid w:val="00DD7132"/>
    <w:rsid w:val="00DD75E2"/>
    <w:rsid w:val="00DD7A17"/>
    <w:rsid w:val="00DE0B95"/>
    <w:rsid w:val="00DE11D8"/>
    <w:rsid w:val="00DE2B64"/>
    <w:rsid w:val="00DE3936"/>
    <w:rsid w:val="00DE397B"/>
    <w:rsid w:val="00DE4D97"/>
    <w:rsid w:val="00DE551E"/>
    <w:rsid w:val="00DE56CC"/>
    <w:rsid w:val="00DE59CA"/>
    <w:rsid w:val="00DE6195"/>
    <w:rsid w:val="00DE651C"/>
    <w:rsid w:val="00DE741D"/>
    <w:rsid w:val="00DE773F"/>
    <w:rsid w:val="00DF01D5"/>
    <w:rsid w:val="00DF0F3C"/>
    <w:rsid w:val="00DF15A4"/>
    <w:rsid w:val="00DF18C6"/>
    <w:rsid w:val="00DF222C"/>
    <w:rsid w:val="00DF2636"/>
    <w:rsid w:val="00DF2D24"/>
    <w:rsid w:val="00DF389E"/>
    <w:rsid w:val="00DF3972"/>
    <w:rsid w:val="00DF3BF8"/>
    <w:rsid w:val="00DF4329"/>
    <w:rsid w:val="00DF4ACF"/>
    <w:rsid w:val="00DF4D97"/>
    <w:rsid w:val="00DF55F9"/>
    <w:rsid w:val="00DF60CE"/>
    <w:rsid w:val="00DF6CB0"/>
    <w:rsid w:val="00DF70CA"/>
    <w:rsid w:val="00DF798E"/>
    <w:rsid w:val="00DF7FC9"/>
    <w:rsid w:val="00E0042A"/>
    <w:rsid w:val="00E01EA6"/>
    <w:rsid w:val="00E0242B"/>
    <w:rsid w:val="00E026ED"/>
    <w:rsid w:val="00E034FF"/>
    <w:rsid w:val="00E035C6"/>
    <w:rsid w:val="00E03951"/>
    <w:rsid w:val="00E03D74"/>
    <w:rsid w:val="00E054A9"/>
    <w:rsid w:val="00E0626E"/>
    <w:rsid w:val="00E07918"/>
    <w:rsid w:val="00E07DE9"/>
    <w:rsid w:val="00E10605"/>
    <w:rsid w:val="00E10C35"/>
    <w:rsid w:val="00E10EAA"/>
    <w:rsid w:val="00E1359E"/>
    <w:rsid w:val="00E14139"/>
    <w:rsid w:val="00E153F7"/>
    <w:rsid w:val="00E157BD"/>
    <w:rsid w:val="00E162D2"/>
    <w:rsid w:val="00E17C9D"/>
    <w:rsid w:val="00E2034A"/>
    <w:rsid w:val="00E20FFE"/>
    <w:rsid w:val="00E21348"/>
    <w:rsid w:val="00E22719"/>
    <w:rsid w:val="00E235DD"/>
    <w:rsid w:val="00E25763"/>
    <w:rsid w:val="00E262E5"/>
    <w:rsid w:val="00E30B4B"/>
    <w:rsid w:val="00E3106F"/>
    <w:rsid w:val="00E32173"/>
    <w:rsid w:val="00E3259E"/>
    <w:rsid w:val="00E3281A"/>
    <w:rsid w:val="00E32CDD"/>
    <w:rsid w:val="00E334C8"/>
    <w:rsid w:val="00E339EE"/>
    <w:rsid w:val="00E33A19"/>
    <w:rsid w:val="00E34823"/>
    <w:rsid w:val="00E353E8"/>
    <w:rsid w:val="00E36A82"/>
    <w:rsid w:val="00E3773A"/>
    <w:rsid w:val="00E40074"/>
    <w:rsid w:val="00E404CC"/>
    <w:rsid w:val="00E40851"/>
    <w:rsid w:val="00E40B9D"/>
    <w:rsid w:val="00E4165F"/>
    <w:rsid w:val="00E41D2C"/>
    <w:rsid w:val="00E42053"/>
    <w:rsid w:val="00E43466"/>
    <w:rsid w:val="00E44933"/>
    <w:rsid w:val="00E45A5D"/>
    <w:rsid w:val="00E47185"/>
    <w:rsid w:val="00E4764B"/>
    <w:rsid w:val="00E477F7"/>
    <w:rsid w:val="00E47D31"/>
    <w:rsid w:val="00E5058A"/>
    <w:rsid w:val="00E50B6A"/>
    <w:rsid w:val="00E50E70"/>
    <w:rsid w:val="00E50FCC"/>
    <w:rsid w:val="00E51439"/>
    <w:rsid w:val="00E52853"/>
    <w:rsid w:val="00E5286E"/>
    <w:rsid w:val="00E52A5B"/>
    <w:rsid w:val="00E53E1E"/>
    <w:rsid w:val="00E54398"/>
    <w:rsid w:val="00E55849"/>
    <w:rsid w:val="00E57519"/>
    <w:rsid w:val="00E60FB9"/>
    <w:rsid w:val="00E612B4"/>
    <w:rsid w:val="00E6179F"/>
    <w:rsid w:val="00E62028"/>
    <w:rsid w:val="00E631C0"/>
    <w:rsid w:val="00E64393"/>
    <w:rsid w:val="00E644CB"/>
    <w:rsid w:val="00E67B90"/>
    <w:rsid w:val="00E70C51"/>
    <w:rsid w:val="00E71557"/>
    <w:rsid w:val="00E715BD"/>
    <w:rsid w:val="00E72425"/>
    <w:rsid w:val="00E72B6A"/>
    <w:rsid w:val="00E72C35"/>
    <w:rsid w:val="00E757CF"/>
    <w:rsid w:val="00E75C5C"/>
    <w:rsid w:val="00E76521"/>
    <w:rsid w:val="00E76A51"/>
    <w:rsid w:val="00E77DFC"/>
    <w:rsid w:val="00E812B2"/>
    <w:rsid w:val="00E8264F"/>
    <w:rsid w:val="00E833C9"/>
    <w:rsid w:val="00E84E57"/>
    <w:rsid w:val="00E84EE2"/>
    <w:rsid w:val="00E8531C"/>
    <w:rsid w:val="00E85AE7"/>
    <w:rsid w:val="00E8632A"/>
    <w:rsid w:val="00E866B5"/>
    <w:rsid w:val="00E86D25"/>
    <w:rsid w:val="00E87445"/>
    <w:rsid w:val="00E87C80"/>
    <w:rsid w:val="00E90F67"/>
    <w:rsid w:val="00E924A7"/>
    <w:rsid w:val="00E92559"/>
    <w:rsid w:val="00E94853"/>
    <w:rsid w:val="00E9556D"/>
    <w:rsid w:val="00E95802"/>
    <w:rsid w:val="00E95E4F"/>
    <w:rsid w:val="00E9627E"/>
    <w:rsid w:val="00E96D54"/>
    <w:rsid w:val="00E97228"/>
    <w:rsid w:val="00E979B8"/>
    <w:rsid w:val="00EA019D"/>
    <w:rsid w:val="00EA0280"/>
    <w:rsid w:val="00EA03F0"/>
    <w:rsid w:val="00EA09F0"/>
    <w:rsid w:val="00EA2B00"/>
    <w:rsid w:val="00EA2DD9"/>
    <w:rsid w:val="00EA3CDC"/>
    <w:rsid w:val="00EA3F77"/>
    <w:rsid w:val="00EA5D9E"/>
    <w:rsid w:val="00EA68F8"/>
    <w:rsid w:val="00EA755F"/>
    <w:rsid w:val="00EA7E9C"/>
    <w:rsid w:val="00EB0133"/>
    <w:rsid w:val="00EB1ECB"/>
    <w:rsid w:val="00EB37DE"/>
    <w:rsid w:val="00EB5453"/>
    <w:rsid w:val="00EB591E"/>
    <w:rsid w:val="00EB77D4"/>
    <w:rsid w:val="00EB79F5"/>
    <w:rsid w:val="00EB7F78"/>
    <w:rsid w:val="00EC129A"/>
    <w:rsid w:val="00EC1443"/>
    <w:rsid w:val="00EC3782"/>
    <w:rsid w:val="00EC3A6C"/>
    <w:rsid w:val="00EC3EF1"/>
    <w:rsid w:val="00EC404F"/>
    <w:rsid w:val="00EC46CC"/>
    <w:rsid w:val="00EC4D29"/>
    <w:rsid w:val="00EC5CAB"/>
    <w:rsid w:val="00EC5FDD"/>
    <w:rsid w:val="00EC6C25"/>
    <w:rsid w:val="00EC7279"/>
    <w:rsid w:val="00ED039B"/>
    <w:rsid w:val="00ED0F3E"/>
    <w:rsid w:val="00ED1088"/>
    <w:rsid w:val="00ED173B"/>
    <w:rsid w:val="00ED1886"/>
    <w:rsid w:val="00ED1DEE"/>
    <w:rsid w:val="00ED2423"/>
    <w:rsid w:val="00ED57D5"/>
    <w:rsid w:val="00ED583C"/>
    <w:rsid w:val="00ED5978"/>
    <w:rsid w:val="00ED61C3"/>
    <w:rsid w:val="00ED6B59"/>
    <w:rsid w:val="00ED7392"/>
    <w:rsid w:val="00ED73A5"/>
    <w:rsid w:val="00ED7A52"/>
    <w:rsid w:val="00ED7D02"/>
    <w:rsid w:val="00EE0D10"/>
    <w:rsid w:val="00EE13F1"/>
    <w:rsid w:val="00EE163A"/>
    <w:rsid w:val="00EE252C"/>
    <w:rsid w:val="00EE275D"/>
    <w:rsid w:val="00EE28A6"/>
    <w:rsid w:val="00EE2DCA"/>
    <w:rsid w:val="00EE3A7D"/>
    <w:rsid w:val="00EE3FF6"/>
    <w:rsid w:val="00EE47F4"/>
    <w:rsid w:val="00EE4B23"/>
    <w:rsid w:val="00EE5519"/>
    <w:rsid w:val="00EE688F"/>
    <w:rsid w:val="00EE6DE9"/>
    <w:rsid w:val="00EF09D7"/>
    <w:rsid w:val="00EF0D26"/>
    <w:rsid w:val="00EF1960"/>
    <w:rsid w:val="00EF1D1D"/>
    <w:rsid w:val="00EF3518"/>
    <w:rsid w:val="00EF439E"/>
    <w:rsid w:val="00EF4A2B"/>
    <w:rsid w:val="00EF4EE3"/>
    <w:rsid w:val="00EF59D3"/>
    <w:rsid w:val="00EF62B8"/>
    <w:rsid w:val="00EF791D"/>
    <w:rsid w:val="00F00459"/>
    <w:rsid w:val="00F00782"/>
    <w:rsid w:val="00F00D04"/>
    <w:rsid w:val="00F025EA"/>
    <w:rsid w:val="00F02B47"/>
    <w:rsid w:val="00F02C85"/>
    <w:rsid w:val="00F03063"/>
    <w:rsid w:val="00F031D7"/>
    <w:rsid w:val="00F03212"/>
    <w:rsid w:val="00F06090"/>
    <w:rsid w:val="00F06206"/>
    <w:rsid w:val="00F06881"/>
    <w:rsid w:val="00F06D11"/>
    <w:rsid w:val="00F112D7"/>
    <w:rsid w:val="00F112DE"/>
    <w:rsid w:val="00F11F82"/>
    <w:rsid w:val="00F12C69"/>
    <w:rsid w:val="00F12DBF"/>
    <w:rsid w:val="00F12E44"/>
    <w:rsid w:val="00F1407B"/>
    <w:rsid w:val="00F14200"/>
    <w:rsid w:val="00F15A2C"/>
    <w:rsid w:val="00F15EEE"/>
    <w:rsid w:val="00F16863"/>
    <w:rsid w:val="00F16B08"/>
    <w:rsid w:val="00F175D5"/>
    <w:rsid w:val="00F17C12"/>
    <w:rsid w:val="00F17FBB"/>
    <w:rsid w:val="00F20A30"/>
    <w:rsid w:val="00F20A61"/>
    <w:rsid w:val="00F2215D"/>
    <w:rsid w:val="00F237B8"/>
    <w:rsid w:val="00F23BC6"/>
    <w:rsid w:val="00F25B31"/>
    <w:rsid w:val="00F2656D"/>
    <w:rsid w:val="00F2750B"/>
    <w:rsid w:val="00F27FB9"/>
    <w:rsid w:val="00F30040"/>
    <w:rsid w:val="00F30263"/>
    <w:rsid w:val="00F30DD2"/>
    <w:rsid w:val="00F312E4"/>
    <w:rsid w:val="00F31A8D"/>
    <w:rsid w:val="00F31BDC"/>
    <w:rsid w:val="00F321EF"/>
    <w:rsid w:val="00F32A37"/>
    <w:rsid w:val="00F33204"/>
    <w:rsid w:val="00F33B62"/>
    <w:rsid w:val="00F347B1"/>
    <w:rsid w:val="00F35503"/>
    <w:rsid w:val="00F363A1"/>
    <w:rsid w:val="00F36E2B"/>
    <w:rsid w:val="00F36E68"/>
    <w:rsid w:val="00F36EEA"/>
    <w:rsid w:val="00F372CD"/>
    <w:rsid w:val="00F40361"/>
    <w:rsid w:val="00F403D9"/>
    <w:rsid w:val="00F40AF6"/>
    <w:rsid w:val="00F40D0F"/>
    <w:rsid w:val="00F41FA8"/>
    <w:rsid w:val="00F42F0C"/>
    <w:rsid w:val="00F44AF1"/>
    <w:rsid w:val="00F44FFA"/>
    <w:rsid w:val="00F45556"/>
    <w:rsid w:val="00F45870"/>
    <w:rsid w:val="00F46D57"/>
    <w:rsid w:val="00F51F24"/>
    <w:rsid w:val="00F52B38"/>
    <w:rsid w:val="00F53119"/>
    <w:rsid w:val="00F532B7"/>
    <w:rsid w:val="00F53549"/>
    <w:rsid w:val="00F53AE4"/>
    <w:rsid w:val="00F53E48"/>
    <w:rsid w:val="00F5526F"/>
    <w:rsid w:val="00F55B8A"/>
    <w:rsid w:val="00F5631C"/>
    <w:rsid w:val="00F566F0"/>
    <w:rsid w:val="00F6053F"/>
    <w:rsid w:val="00F60637"/>
    <w:rsid w:val="00F60AD5"/>
    <w:rsid w:val="00F60B34"/>
    <w:rsid w:val="00F6284B"/>
    <w:rsid w:val="00F65532"/>
    <w:rsid w:val="00F65DC4"/>
    <w:rsid w:val="00F665B8"/>
    <w:rsid w:val="00F66B7E"/>
    <w:rsid w:val="00F66B81"/>
    <w:rsid w:val="00F66DBA"/>
    <w:rsid w:val="00F670B4"/>
    <w:rsid w:val="00F6758C"/>
    <w:rsid w:val="00F703B9"/>
    <w:rsid w:val="00F7338C"/>
    <w:rsid w:val="00F735AA"/>
    <w:rsid w:val="00F735CD"/>
    <w:rsid w:val="00F73EAA"/>
    <w:rsid w:val="00F7445F"/>
    <w:rsid w:val="00F75E01"/>
    <w:rsid w:val="00F77C14"/>
    <w:rsid w:val="00F77DCB"/>
    <w:rsid w:val="00F77EBB"/>
    <w:rsid w:val="00F80805"/>
    <w:rsid w:val="00F80865"/>
    <w:rsid w:val="00F80E5A"/>
    <w:rsid w:val="00F81066"/>
    <w:rsid w:val="00F81CEC"/>
    <w:rsid w:val="00F81E89"/>
    <w:rsid w:val="00F8240D"/>
    <w:rsid w:val="00F83FE8"/>
    <w:rsid w:val="00F84781"/>
    <w:rsid w:val="00F84E3E"/>
    <w:rsid w:val="00F84E43"/>
    <w:rsid w:val="00F85043"/>
    <w:rsid w:val="00F8579D"/>
    <w:rsid w:val="00F87697"/>
    <w:rsid w:val="00F91985"/>
    <w:rsid w:val="00F91EF1"/>
    <w:rsid w:val="00F920D2"/>
    <w:rsid w:val="00F93689"/>
    <w:rsid w:val="00F953DE"/>
    <w:rsid w:val="00F95FC1"/>
    <w:rsid w:val="00F969E6"/>
    <w:rsid w:val="00F97E81"/>
    <w:rsid w:val="00FA0280"/>
    <w:rsid w:val="00FA0346"/>
    <w:rsid w:val="00FA0652"/>
    <w:rsid w:val="00FA06E1"/>
    <w:rsid w:val="00FA08E1"/>
    <w:rsid w:val="00FA1AE6"/>
    <w:rsid w:val="00FA1BD0"/>
    <w:rsid w:val="00FA236F"/>
    <w:rsid w:val="00FA2AA2"/>
    <w:rsid w:val="00FA3B10"/>
    <w:rsid w:val="00FA3EEA"/>
    <w:rsid w:val="00FA4A3D"/>
    <w:rsid w:val="00FA5650"/>
    <w:rsid w:val="00FA5833"/>
    <w:rsid w:val="00FA6D02"/>
    <w:rsid w:val="00FA7D2A"/>
    <w:rsid w:val="00FB0243"/>
    <w:rsid w:val="00FB2123"/>
    <w:rsid w:val="00FB246C"/>
    <w:rsid w:val="00FB2ED6"/>
    <w:rsid w:val="00FB4037"/>
    <w:rsid w:val="00FB4892"/>
    <w:rsid w:val="00FB72A2"/>
    <w:rsid w:val="00FB7B43"/>
    <w:rsid w:val="00FB7FCD"/>
    <w:rsid w:val="00FC2B5C"/>
    <w:rsid w:val="00FC2D76"/>
    <w:rsid w:val="00FC2D8F"/>
    <w:rsid w:val="00FC2ECD"/>
    <w:rsid w:val="00FC3F51"/>
    <w:rsid w:val="00FC4528"/>
    <w:rsid w:val="00FC50DF"/>
    <w:rsid w:val="00FC62B6"/>
    <w:rsid w:val="00FC7018"/>
    <w:rsid w:val="00FC7168"/>
    <w:rsid w:val="00FC7229"/>
    <w:rsid w:val="00FD0085"/>
    <w:rsid w:val="00FD0809"/>
    <w:rsid w:val="00FD1A74"/>
    <w:rsid w:val="00FD1B0A"/>
    <w:rsid w:val="00FD22AF"/>
    <w:rsid w:val="00FD357B"/>
    <w:rsid w:val="00FD3846"/>
    <w:rsid w:val="00FD4281"/>
    <w:rsid w:val="00FD5461"/>
    <w:rsid w:val="00FD5755"/>
    <w:rsid w:val="00FD5C41"/>
    <w:rsid w:val="00FD622B"/>
    <w:rsid w:val="00FD64D2"/>
    <w:rsid w:val="00FD691B"/>
    <w:rsid w:val="00FD6A33"/>
    <w:rsid w:val="00FD6CF3"/>
    <w:rsid w:val="00FD7490"/>
    <w:rsid w:val="00FE0BE9"/>
    <w:rsid w:val="00FE12FF"/>
    <w:rsid w:val="00FE2189"/>
    <w:rsid w:val="00FE23D6"/>
    <w:rsid w:val="00FE27B6"/>
    <w:rsid w:val="00FE2908"/>
    <w:rsid w:val="00FE3B92"/>
    <w:rsid w:val="00FE3C5C"/>
    <w:rsid w:val="00FE4474"/>
    <w:rsid w:val="00FE47A0"/>
    <w:rsid w:val="00FE48A0"/>
    <w:rsid w:val="00FE4F4E"/>
    <w:rsid w:val="00FE5434"/>
    <w:rsid w:val="00FE5EBB"/>
    <w:rsid w:val="00FE660B"/>
    <w:rsid w:val="00FE7652"/>
    <w:rsid w:val="00FE7B95"/>
    <w:rsid w:val="00FF0838"/>
    <w:rsid w:val="00FF09F1"/>
    <w:rsid w:val="00FF14F1"/>
    <w:rsid w:val="00FF19D6"/>
    <w:rsid w:val="00FF1E5D"/>
    <w:rsid w:val="00FF1E9E"/>
    <w:rsid w:val="00FF21FA"/>
    <w:rsid w:val="00FF2E7E"/>
    <w:rsid w:val="00FF3EA8"/>
    <w:rsid w:val="00FF4207"/>
    <w:rsid w:val="00FF44BB"/>
    <w:rsid w:val="00FF626E"/>
    <w:rsid w:val="00FF7939"/>
    <w:rsid w:val="00FF7B03"/>
    <w:rsid w:val="071EFBCA"/>
    <w:rsid w:val="0B474706"/>
    <w:rsid w:val="0FCB5030"/>
    <w:rsid w:val="149677FF"/>
    <w:rsid w:val="253F3F2C"/>
    <w:rsid w:val="28E37CF6"/>
    <w:rsid w:val="29DE1EA3"/>
    <w:rsid w:val="2B35A13F"/>
    <w:rsid w:val="2E7276F9"/>
    <w:rsid w:val="329DF6F8"/>
    <w:rsid w:val="366101A1"/>
    <w:rsid w:val="42C13AE2"/>
    <w:rsid w:val="49AD0D17"/>
    <w:rsid w:val="4DB4C974"/>
    <w:rsid w:val="4E1BDC5E"/>
    <w:rsid w:val="4F934FE6"/>
    <w:rsid w:val="5081FA9B"/>
    <w:rsid w:val="5A7859F6"/>
    <w:rsid w:val="60132A60"/>
    <w:rsid w:val="608ABD2C"/>
    <w:rsid w:val="64CE71FF"/>
    <w:rsid w:val="6BA1EFBD"/>
    <w:rsid w:val="6E126409"/>
    <w:rsid w:val="7328E58F"/>
    <w:rsid w:val="7C32D23D"/>
    <w:rsid w:val="7C35A67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52EC84C"/>
  <w15:docId w15:val="{77D4D325-AEFA-4352-AE25-D68660AF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83A15"/>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BodyText"/>
    <w:link w:val="Heading1Char"/>
    <w:uiPriority w:val="9"/>
    <w:qFormat/>
    <w:rsid w:val="00D83A15"/>
    <w:pPr>
      <w:keepNext/>
      <w:tabs>
        <w:tab w:val="left" w:pos="284"/>
      </w:tabs>
      <w:spacing w:after="720"/>
      <w:outlineLvl w:val="0"/>
    </w:pPr>
    <w:rPr>
      <w:rFonts w:ascii="Arial" w:hAnsi="Arial"/>
      <w:caps/>
      <w:color w:val="1D3278"/>
      <w:kern w:val="28"/>
      <w:sz w:val="40"/>
      <w:szCs w:val="36"/>
      <w:lang w:val="en-AU"/>
    </w:rPr>
  </w:style>
  <w:style w:type="paragraph" w:styleId="Heading2">
    <w:name w:val="heading 2"/>
    <w:basedOn w:val="Normal"/>
    <w:next w:val="BodyText"/>
    <w:link w:val="Heading2Char"/>
    <w:rsid w:val="00170684"/>
    <w:pPr>
      <w:keepNext/>
      <w:widowControl w:val="0"/>
      <w:numPr>
        <w:numId w:val="29"/>
      </w:numPr>
      <w:pBdr>
        <w:bottom w:val="single" w:sz="4" w:space="4" w:color="00ABE6"/>
      </w:pBdr>
      <w:spacing w:before="240" w:after="100"/>
      <w:ind w:left="357" w:hanging="357"/>
      <w:outlineLvl w:val="1"/>
    </w:pPr>
    <w:rPr>
      <w:rFonts w:ascii="Arial Bold" w:hAnsi="Arial Bold"/>
      <w:b/>
      <w:color w:val="00ABE6"/>
      <w:kern w:val="28"/>
      <w:sz w:val="28"/>
      <w:szCs w:val="36"/>
      <w:lang w:val="en-AU"/>
    </w:rPr>
  </w:style>
  <w:style w:type="paragraph" w:styleId="Heading3">
    <w:name w:val="heading 3"/>
    <w:basedOn w:val="Heading2"/>
    <w:next w:val="BodyText"/>
    <w:link w:val="Heading3Char"/>
    <w:qFormat/>
    <w:rsid w:val="004710D7"/>
    <w:pPr>
      <w:numPr>
        <w:numId w:val="0"/>
      </w:numPr>
      <w:pBdr>
        <w:bottom w:val="none" w:sz="0" w:space="0" w:color="auto"/>
      </w:pBdr>
      <w:spacing w:before="320" w:after="120" w:line="240" w:lineRule="atLeast"/>
      <w:outlineLvl w:val="2"/>
    </w:pPr>
    <w:rPr>
      <w:color w:val="auto"/>
      <w:sz w:val="26"/>
    </w:rPr>
  </w:style>
  <w:style w:type="paragraph" w:styleId="Heading4">
    <w:name w:val="heading 4"/>
    <w:basedOn w:val="Heading3"/>
    <w:next w:val="Normal"/>
    <w:link w:val="Heading4Char"/>
    <w:qFormat/>
    <w:rsid w:val="00D83A15"/>
    <w:pPr>
      <w:outlineLvl w:val="3"/>
    </w:pPr>
    <w:rPr>
      <w:sz w:val="25"/>
    </w:rPr>
  </w:style>
  <w:style w:type="paragraph" w:styleId="Heading5">
    <w:name w:val="heading 5"/>
    <w:basedOn w:val="Heading4"/>
    <w:next w:val="BodyText"/>
    <w:link w:val="Heading5Char"/>
    <w:qFormat/>
    <w:rsid w:val="00D83A15"/>
    <w:pPr>
      <w:spacing w:after="60" w:line="320" w:lineRule="exact"/>
      <w:outlineLvl w:val="4"/>
    </w:pPr>
    <w:rPr>
      <w:b w:val="0"/>
      <w:i/>
      <w:sz w:val="24"/>
    </w:rPr>
  </w:style>
  <w:style w:type="paragraph" w:styleId="Heading6">
    <w:name w:val="heading 6"/>
    <w:basedOn w:val="Heading1"/>
    <w:next w:val="Normal"/>
    <w:link w:val="Heading6Char"/>
    <w:qFormat/>
    <w:rsid w:val="00D83A15"/>
    <w:pPr>
      <w:spacing w:before="120"/>
      <w:outlineLvl w:val="5"/>
    </w:pPr>
    <w:rPr>
      <w:rFonts w:ascii="Times New Roman" w:hAnsi="Times New Roman"/>
      <w:b/>
      <w:i/>
      <w:caps w:val="0"/>
      <w:kern w:val="0"/>
      <w:sz w:val="24"/>
    </w:rPr>
  </w:style>
  <w:style w:type="paragraph" w:styleId="Heading7">
    <w:name w:val="heading 7"/>
    <w:basedOn w:val="Heading5"/>
    <w:next w:val="Normal"/>
    <w:link w:val="Heading7Char"/>
    <w:qFormat/>
    <w:rsid w:val="00D83A15"/>
    <w:pPr>
      <w:spacing w:before="120"/>
      <w:ind w:left="425"/>
      <w:jc w:val="both"/>
      <w:outlineLvl w:val="6"/>
    </w:pPr>
    <w:rPr>
      <w:i w:val="0"/>
      <w:sz w:val="23"/>
    </w:rPr>
  </w:style>
  <w:style w:type="paragraph" w:styleId="Heading8">
    <w:name w:val="heading 8"/>
    <w:basedOn w:val="Heading7"/>
    <w:next w:val="Normal"/>
    <w:link w:val="Heading8Char"/>
    <w:qFormat/>
    <w:rsid w:val="00D83A15"/>
    <w:pPr>
      <w:outlineLvl w:val="7"/>
    </w:pPr>
    <w:rPr>
      <w:i/>
    </w:rPr>
  </w:style>
  <w:style w:type="paragraph" w:styleId="Heading9">
    <w:name w:val="heading 9"/>
    <w:basedOn w:val="Heading8"/>
    <w:next w:val="Normal"/>
    <w:link w:val="Heading9Char"/>
    <w:qFormat/>
    <w:rsid w:val="00D83A15"/>
    <w:pPr>
      <w:ind w:left="851"/>
      <w:outlineLvl w:val="8"/>
    </w:pPr>
    <w:rPr>
      <w:i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83A15"/>
    <w:rPr>
      <w:rFonts w:ascii="Arial" w:eastAsia="Times New Roman" w:hAnsi="Arial" w:cs="Times New Roman"/>
      <w:caps/>
      <w:color w:val="1D3278"/>
      <w:kern w:val="28"/>
      <w:sz w:val="40"/>
      <w:szCs w:val="36"/>
    </w:rPr>
  </w:style>
  <w:style w:type="character" w:customStyle="1" w:styleId="Heading2Char">
    <w:name w:val="Heading 2 Char"/>
    <w:link w:val="Heading2"/>
    <w:rsid w:val="00170684"/>
    <w:rPr>
      <w:rFonts w:ascii="Arial Bold" w:eastAsia="Times New Roman" w:hAnsi="Arial Bold" w:cs="Times New Roman"/>
      <w:b/>
      <w:color w:val="00ABE6"/>
      <w:kern w:val="28"/>
      <w:sz w:val="28"/>
      <w:szCs w:val="36"/>
    </w:rPr>
  </w:style>
  <w:style w:type="paragraph" w:styleId="BalloonText">
    <w:name w:val="Balloon Text"/>
    <w:basedOn w:val="Normal"/>
    <w:link w:val="BalloonTextChar"/>
    <w:rsid w:val="00D83A15"/>
    <w:rPr>
      <w:rFonts w:ascii="Tahoma" w:hAnsi="Tahoma" w:cs="Tahoma"/>
      <w:sz w:val="16"/>
      <w:szCs w:val="16"/>
    </w:rPr>
  </w:style>
  <w:style w:type="character" w:customStyle="1" w:styleId="BalloonTextChar">
    <w:name w:val="Balloon Text Char"/>
    <w:link w:val="BalloonText"/>
    <w:rsid w:val="00D83A15"/>
    <w:rPr>
      <w:rFonts w:ascii="Tahoma" w:eastAsia="Times New Roman" w:hAnsi="Tahoma" w:cs="Tahoma"/>
      <w:sz w:val="16"/>
      <w:szCs w:val="16"/>
      <w:lang w:val="en-US"/>
    </w:rPr>
  </w:style>
  <w:style w:type="paragraph" w:styleId="BodyText">
    <w:name w:val="Body Text"/>
    <w:link w:val="BodyTextChar"/>
    <w:autoRedefine/>
    <w:rsid w:val="00F42F0C"/>
    <w:pPr>
      <w:spacing w:before="160" w:after="100" w:line="240" w:lineRule="atLeast"/>
    </w:pPr>
    <w:rPr>
      <w:rFonts w:ascii="Arial" w:hAnsi="Arial" w:cs="Arial"/>
      <w:sz w:val="23"/>
      <w:szCs w:val="20"/>
    </w:rPr>
  </w:style>
  <w:style w:type="character" w:customStyle="1" w:styleId="BodyTextChar">
    <w:name w:val="Body Text Char"/>
    <w:basedOn w:val="DefaultParagraphFont"/>
    <w:link w:val="BodyText"/>
    <w:rsid w:val="00F42F0C"/>
    <w:rPr>
      <w:rFonts w:ascii="Arial" w:hAnsi="Arial" w:cs="Arial"/>
      <w:sz w:val="23"/>
      <w:szCs w:val="20"/>
    </w:rPr>
  </w:style>
  <w:style w:type="paragraph" w:customStyle="1" w:styleId="BodyText-Box">
    <w:name w:val="Body Text - Box"/>
    <w:basedOn w:val="BodyText"/>
    <w:autoRedefine/>
    <w:rsid w:val="00D83A15"/>
    <w:pPr>
      <w:tabs>
        <w:tab w:val="left" w:pos="567"/>
      </w:tabs>
      <w:spacing w:before="120" w:after="120"/>
      <w:ind w:right="-143"/>
    </w:pPr>
    <w:rPr>
      <w:rFonts w:ascii="Times New Roman" w:hAnsi="Times New Roman"/>
      <w:color w:val="000000"/>
      <w:sz w:val="21"/>
      <w:szCs w:val="21"/>
      <w:lang w:eastAsia="en-AU"/>
    </w:rPr>
  </w:style>
  <w:style w:type="paragraph" w:customStyle="1" w:styleId="BodyTextBox">
    <w:name w:val="Body Text Box"/>
    <w:basedOn w:val="Normal"/>
    <w:autoRedefine/>
    <w:rsid w:val="009E5836"/>
    <w:pPr>
      <w:spacing w:before="120" w:after="80"/>
    </w:pPr>
    <w:rPr>
      <w:rFonts w:ascii="Arial" w:hAnsi="Arial" w:cs="Arial"/>
      <w:noProof/>
      <w:color w:val="0A7CB9"/>
      <w:sz w:val="23"/>
      <w:szCs w:val="19"/>
      <w:lang w:val="en-AU"/>
    </w:rPr>
  </w:style>
  <w:style w:type="paragraph" w:customStyle="1" w:styleId="ObjectHeading">
    <w:name w:val="Object Heading"/>
    <w:basedOn w:val="Heading3"/>
    <w:next w:val="Normal"/>
    <w:rsid w:val="00D83A15"/>
    <w:pPr>
      <w:tabs>
        <w:tab w:val="left" w:pos="1418"/>
      </w:tabs>
      <w:ind w:left="1418" w:hanging="1418"/>
    </w:pPr>
    <w:rPr>
      <w:kern w:val="0"/>
    </w:rPr>
  </w:style>
  <w:style w:type="paragraph" w:customStyle="1" w:styleId="Box61BoxHeading">
    <w:name w:val="Box 6.1 Box Heading"/>
    <w:basedOn w:val="ObjectHeading"/>
    <w:autoRedefine/>
    <w:rsid w:val="00AC753C"/>
    <w:pPr>
      <w:keepNext w:val="0"/>
      <w:keepLines/>
      <w:numPr>
        <w:numId w:val="31"/>
      </w:numPr>
      <w:tabs>
        <w:tab w:val="clear" w:pos="1418"/>
        <w:tab w:val="left" w:pos="1134"/>
      </w:tabs>
      <w:spacing w:before="80" w:after="60"/>
      <w:ind w:left="357" w:hanging="357"/>
      <w:outlineLvl w:val="9"/>
    </w:pPr>
    <w:rPr>
      <w:rFonts w:eastAsia="Arial Unicode MS" w:cs="Arial"/>
      <w:sz w:val="23"/>
      <w:szCs w:val="20"/>
    </w:rPr>
  </w:style>
  <w:style w:type="paragraph" w:customStyle="1" w:styleId="Bullet1">
    <w:name w:val="Bullet 1"/>
    <w:basedOn w:val="BodyText"/>
    <w:link w:val="Bullet1Char"/>
    <w:autoRedefine/>
    <w:rsid w:val="007E4A00"/>
    <w:pPr>
      <w:numPr>
        <w:numId w:val="16"/>
      </w:numPr>
      <w:spacing w:before="120" w:after="80"/>
      <w:ind w:left="357" w:hanging="357"/>
    </w:pPr>
    <w:rPr>
      <w:rFonts w:eastAsia="Times New Roman"/>
    </w:rPr>
  </w:style>
  <w:style w:type="character" w:customStyle="1" w:styleId="Bullet1Char">
    <w:name w:val="Bullet 1 Char"/>
    <w:link w:val="Bullet1"/>
    <w:rsid w:val="007E4A00"/>
    <w:rPr>
      <w:rFonts w:ascii="Arial" w:eastAsia="Times New Roman" w:hAnsi="Arial" w:cs="Arial"/>
      <w:sz w:val="23"/>
      <w:szCs w:val="20"/>
    </w:rPr>
  </w:style>
  <w:style w:type="paragraph" w:customStyle="1" w:styleId="Bullet1inabox">
    <w:name w:val="Bullet 1 in a box"/>
    <w:basedOn w:val="Bullet1"/>
    <w:autoRedefine/>
    <w:rsid w:val="009A24C4"/>
    <w:pPr>
      <w:numPr>
        <w:numId w:val="17"/>
      </w:numPr>
      <w:spacing w:before="100" w:after="60"/>
    </w:pPr>
    <w:rPr>
      <w:rFonts w:cs="Times New Roman"/>
      <w:color w:val="0A7CB9"/>
    </w:rPr>
  </w:style>
  <w:style w:type="character" w:customStyle="1" w:styleId="Heading3Char">
    <w:name w:val="Heading 3 Char"/>
    <w:link w:val="Heading3"/>
    <w:rsid w:val="004710D7"/>
    <w:rPr>
      <w:rFonts w:ascii="Arial Bold" w:eastAsia="Times New Roman" w:hAnsi="Arial Bold" w:cs="Times New Roman"/>
      <w:b/>
      <w:kern w:val="28"/>
      <w:sz w:val="26"/>
      <w:szCs w:val="36"/>
    </w:rPr>
  </w:style>
  <w:style w:type="paragraph" w:customStyle="1" w:styleId="Bullet1Paragraph">
    <w:name w:val="Bullet 1 Paragraph"/>
    <w:basedOn w:val="Normal"/>
    <w:rsid w:val="00D83A15"/>
    <w:pPr>
      <w:ind w:left="425"/>
    </w:pPr>
  </w:style>
  <w:style w:type="paragraph" w:customStyle="1" w:styleId="Bullet2">
    <w:name w:val="Bullet 2"/>
    <w:basedOn w:val="Bullet1"/>
    <w:rsid w:val="000D1820"/>
    <w:pPr>
      <w:numPr>
        <w:numId w:val="18"/>
      </w:numPr>
      <w:tabs>
        <w:tab w:val="left" w:pos="851"/>
      </w:tabs>
      <w:spacing w:before="80" w:after="40"/>
    </w:pPr>
  </w:style>
  <w:style w:type="paragraph" w:customStyle="1" w:styleId="Bullet2innumberedlist">
    <w:name w:val="Bullet 2 in numbered list"/>
    <w:basedOn w:val="Bullet2"/>
    <w:rsid w:val="00D83A15"/>
    <w:pPr>
      <w:numPr>
        <w:numId w:val="0"/>
      </w:numPr>
      <w:tabs>
        <w:tab w:val="num" w:pos="851"/>
      </w:tabs>
      <w:spacing w:after="0"/>
      <w:ind w:left="851" w:hanging="426"/>
    </w:pPr>
  </w:style>
  <w:style w:type="paragraph" w:customStyle="1" w:styleId="Bullet2Paragraph">
    <w:name w:val="Bullet 2 Paragraph"/>
    <w:basedOn w:val="Bullet1Paragraph"/>
    <w:rsid w:val="00D83A15"/>
    <w:pPr>
      <w:ind w:left="851"/>
    </w:pPr>
  </w:style>
  <w:style w:type="paragraph" w:customStyle="1" w:styleId="Bullet3">
    <w:name w:val="Bullet 3"/>
    <w:basedOn w:val="Bullet2"/>
    <w:rsid w:val="00D83A15"/>
    <w:pPr>
      <w:numPr>
        <w:numId w:val="2"/>
      </w:numPr>
    </w:pPr>
  </w:style>
  <w:style w:type="paragraph" w:customStyle="1" w:styleId="Bullet3Paragraph">
    <w:name w:val="Bullet 3 Paragraph"/>
    <w:basedOn w:val="Bullet2Paragraph"/>
    <w:rsid w:val="00D83A15"/>
    <w:pPr>
      <w:ind w:left="1276"/>
    </w:pPr>
  </w:style>
  <w:style w:type="paragraph" w:customStyle="1" w:styleId="Bullet4">
    <w:name w:val="Bullet 4"/>
    <w:basedOn w:val="Bullet3"/>
    <w:rsid w:val="00D83A15"/>
    <w:pPr>
      <w:numPr>
        <w:numId w:val="3"/>
      </w:numPr>
    </w:pPr>
  </w:style>
  <w:style w:type="paragraph" w:customStyle="1" w:styleId="Bullet4Paragraph">
    <w:name w:val="Bullet 4 Paragraph"/>
    <w:basedOn w:val="Bullet3Paragraph"/>
    <w:rsid w:val="00D83A15"/>
    <w:pPr>
      <w:ind w:left="1701"/>
    </w:pPr>
  </w:style>
  <w:style w:type="paragraph" w:customStyle="1" w:styleId="ChapterHeadingStyle">
    <w:name w:val="Chapter Heading Style"/>
    <w:basedOn w:val="Normal"/>
    <w:rsid w:val="00D83A15"/>
    <w:pPr>
      <w:keepNext/>
      <w:keepLines/>
      <w:pBdr>
        <w:bottom w:val="threeDEmboss" w:sz="24" w:space="1" w:color="000000"/>
      </w:pBdr>
      <w:tabs>
        <w:tab w:val="left" w:pos="1134"/>
        <w:tab w:val="left" w:pos="2268"/>
      </w:tabs>
      <w:spacing w:after="120"/>
      <w:ind w:left="2268" w:hanging="2268"/>
      <w:outlineLvl w:val="0"/>
    </w:pPr>
    <w:rPr>
      <w:rFonts w:ascii="Tahoma" w:hAnsi="Tahoma"/>
      <w:b/>
      <w:caps/>
      <w:color w:val="000000"/>
      <w:kern w:val="28"/>
      <w:sz w:val="32"/>
      <w:lang w:val="en-AU"/>
    </w:rPr>
  </w:style>
  <w:style w:type="paragraph" w:customStyle="1" w:styleId="Chart6X">
    <w:name w:val="Chart 6.X"/>
    <w:basedOn w:val="Normal"/>
    <w:next w:val="Normal"/>
    <w:rsid w:val="00170684"/>
    <w:pPr>
      <w:keepLines/>
      <w:numPr>
        <w:numId w:val="32"/>
      </w:numPr>
      <w:tabs>
        <w:tab w:val="left" w:pos="1304"/>
      </w:tabs>
      <w:spacing w:before="240" w:after="120"/>
      <w:ind w:left="357" w:hanging="357"/>
    </w:pPr>
    <w:rPr>
      <w:rFonts w:ascii="Arial" w:hAnsi="Arial"/>
      <w:i/>
      <w:color w:val="4F4F4F"/>
      <w:sz w:val="22"/>
    </w:rPr>
  </w:style>
  <w:style w:type="paragraph" w:customStyle="1" w:styleId="ChartHeading">
    <w:name w:val="Chart Heading"/>
    <w:basedOn w:val="Normal"/>
    <w:autoRedefine/>
    <w:rsid w:val="00D83A15"/>
    <w:pPr>
      <w:keepNext/>
      <w:widowControl w:val="0"/>
      <w:spacing w:before="240" w:after="120"/>
    </w:pPr>
    <w:rPr>
      <w:rFonts w:ascii="Arial" w:hAnsi="Arial"/>
      <w:b/>
      <w:sz w:val="24"/>
    </w:rPr>
  </w:style>
  <w:style w:type="character" w:styleId="EndnoteReference">
    <w:name w:val="endnote reference"/>
    <w:semiHidden/>
    <w:rsid w:val="00D83A15"/>
    <w:rPr>
      <w:i/>
      <w:sz w:val="16"/>
      <w:vertAlign w:val="superscript"/>
    </w:rPr>
  </w:style>
  <w:style w:type="paragraph" w:styleId="Footer">
    <w:name w:val="footer"/>
    <w:basedOn w:val="Normal"/>
    <w:link w:val="FooterChar"/>
    <w:rsid w:val="00D83A15"/>
    <w:pPr>
      <w:pBdr>
        <w:top w:val="single" w:sz="4" w:space="1" w:color="auto"/>
      </w:pBdr>
      <w:tabs>
        <w:tab w:val="right" w:pos="7655"/>
      </w:tabs>
    </w:pPr>
    <w:rPr>
      <w:rFonts w:ascii="Arial" w:hAnsi="Arial"/>
      <w:sz w:val="18"/>
    </w:rPr>
  </w:style>
  <w:style w:type="character" w:customStyle="1" w:styleId="FooterChar">
    <w:name w:val="Footer Char"/>
    <w:basedOn w:val="DefaultParagraphFont"/>
    <w:link w:val="Footer"/>
    <w:rsid w:val="00D83A15"/>
    <w:rPr>
      <w:rFonts w:ascii="Arial" w:eastAsia="Times New Roman" w:hAnsi="Arial" w:cs="Times New Roman"/>
      <w:sz w:val="18"/>
      <w:szCs w:val="20"/>
      <w:lang w:val="en-US"/>
    </w:rPr>
  </w:style>
  <w:style w:type="character" w:styleId="FootnoteReference">
    <w:name w:val="footnote reference"/>
    <w:semiHidden/>
    <w:rsid w:val="00D83A15"/>
    <w:rPr>
      <w:vertAlign w:val="superscript"/>
    </w:rPr>
  </w:style>
  <w:style w:type="paragraph" w:styleId="FootnoteText">
    <w:name w:val="footnote text"/>
    <w:basedOn w:val="Normal"/>
    <w:link w:val="FootnoteTextChar"/>
    <w:semiHidden/>
    <w:rsid w:val="00D83A15"/>
    <w:pPr>
      <w:spacing w:before="80" w:after="80"/>
      <w:ind w:left="709" w:hanging="142"/>
    </w:pPr>
    <w:rPr>
      <w:i/>
      <w:sz w:val="16"/>
    </w:rPr>
  </w:style>
  <w:style w:type="character" w:customStyle="1" w:styleId="FootnoteTextChar">
    <w:name w:val="Footnote Text Char"/>
    <w:basedOn w:val="DefaultParagraphFont"/>
    <w:link w:val="FootnoteText"/>
    <w:semiHidden/>
    <w:rsid w:val="00D83A15"/>
    <w:rPr>
      <w:rFonts w:ascii="Times New Roman" w:eastAsia="Times New Roman" w:hAnsi="Times New Roman" w:cs="Times New Roman"/>
      <w:i/>
      <w:sz w:val="16"/>
      <w:szCs w:val="20"/>
      <w:lang w:val="en-US"/>
    </w:rPr>
  </w:style>
  <w:style w:type="paragraph" w:styleId="Header">
    <w:name w:val="header"/>
    <w:basedOn w:val="Normal"/>
    <w:link w:val="HeaderChar"/>
    <w:uiPriority w:val="99"/>
    <w:rsid w:val="00D83A15"/>
    <w:pPr>
      <w:tabs>
        <w:tab w:val="center" w:pos="4153"/>
        <w:tab w:val="right" w:pos="8306"/>
      </w:tabs>
    </w:pPr>
  </w:style>
  <w:style w:type="character" w:customStyle="1" w:styleId="HeaderChar">
    <w:name w:val="Header Char"/>
    <w:basedOn w:val="DefaultParagraphFont"/>
    <w:link w:val="Header"/>
    <w:uiPriority w:val="99"/>
    <w:rsid w:val="00D83A15"/>
    <w:rPr>
      <w:rFonts w:ascii="Times New Roman" w:eastAsia="Times New Roman" w:hAnsi="Times New Roman" w:cs="Times New Roman"/>
      <w:sz w:val="20"/>
      <w:szCs w:val="20"/>
      <w:lang w:val="en-US"/>
    </w:rPr>
  </w:style>
  <w:style w:type="paragraph" w:customStyle="1" w:styleId="Heading1BP2">
    <w:name w:val="Heading 1 BP2"/>
    <w:rsid w:val="00D83A15"/>
    <w:pPr>
      <w:keepNext/>
      <w:tabs>
        <w:tab w:val="left" w:pos="284"/>
      </w:tabs>
      <w:spacing w:before="400" w:after="240" w:line="240" w:lineRule="auto"/>
    </w:pPr>
    <w:rPr>
      <w:rFonts w:ascii="Lucida Sans" w:eastAsia="Times New Roman" w:hAnsi="Lucida Sans" w:cs="Times New Roman"/>
      <w:kern w:val="28"/>
      <w:sz w:val="36"/>
      <w:szCs w:val="36"/>
    </w:rPr>
  </w:style>
  <w:style w:type="character" w:customStyle="1" w:styleId="Heading4Char">
    <w:name w:val="Heading 4 Char"/>
    <w:link w:val="Heading4"/>
    <w:rsid w:val="00D83A15"/>
    <w:rPr>
      <w:rFonts w:ascii="Arial Bold" w:eastAsia="Times New Roman" w:hAnsi="Arial Bold" w:cs="Times New Roman"/>
      <w:b/>
      <w:kern w:val="28"/>
      <w:sz w:val="25"/>
      <w:szCs w:val="36"/>
    </w:rPr>
  </w:style>
  <w:style w:type="character" w:customStyle="1" w:styleId="Heading5Char">
    <w:name w:val="Heading 5 Char"/>
    <w:link w:val="Heading5"/>
    <w:rsid w:val="00D83A15"/>
    <w:rPr>
      <w:rFonts w:ascii="Arial Bold" w:eastAsia="Times New Roman" w:hAnsi="Arial Bold" w:cs="Times New Roman"/>
      <w:i/>
      <w:kern w:val="28"/>
      <w:sz w:val="24"/>
      <w:szCs w:val="36"/>
    </w:rPr>
  </w:style>
  <w:style w:type="character" w:customStyle="1" w:styleId="Heading6Char">
    <w:name w:val="Heading 6 Char"/>
    <w:link w:val="Heading6"/>
    <w:rsid w:val="00D83A15"/>
    <w:rPr>
      <w:rFonts w:ascii="Times New Roman" w:eastAsia="Times New Roman" w:hAnsi="Times New Roman" w:cs="Times New Roman"/>
      <w:b/>
      <w:i/>
      <w:color w:val="1D3278"/>
      <w:sz w:val="24"/>
      <w:szCs w:val="36"/>
    </w:rPr>
  </w:style>
  <w:style w:type="character" w:customStyle="1" w:styleId="Heading7Char">
    <w:name w:val="Heading 7 Char"/>
    <w:link w:val="Heading7"/>
    <w:rsid w:val="00D83A15"/>
    <w:rPr>
      <w:rFonts w:ascii="Arial Bold" w:eastAsia="Times New Roman" w:hAnsi="Arial Bold" w:cs="Times New Roman"/>
      <w:kern w:val="28"/>
      <w:sz w:val="23"/>
      <w:szCs w:val="36"/>
    </w:rPr>
  </w:style>
  <w:style w:type="character" w:customStyle="1" w:styleId="Heading8Char">
    <w:name w:val="Heading 8 Char"/>
    <w:link w:val="Heading8"/>
    <w:rsid w:val="00D83A15"/>
    <w:rPr>
      <w:rFonts w:ascii="Arial Bold" w:eastAsia="Times New Roman" w:hAnsi="Arial Bold" w:cs="Times New Roman"/>
      <w:i/>
      <w:kern w:val="28"/>
      <w:sz w:val="23"/>
      <w:szCs w:val="36"/>
    </w:rPr>
  </w:style>
  <w:style w:type="character" w:customStyle="1" w:styleId="Heading9Char">
    <w:name w:val="Heading 9 Char"/>
    <w:link w:val="Heading9"/>
    <w:rsid w:val="00D83A15"/>
    <w:rPr>
      <w:rFonts w:ascii="Arial Bold" w:eastAsia="Times New Roman" w:hAnsi="Arial Bold" w:cs="Times New Roman"/>
      <w:kern w:val="28"/>
      <w:sz w:val="23"/>
      <w:szCs w:val="36"/>
    </w:rPr>
  </w:style>
  <w:style w:type="paragraph" w:customStyle="1" w:styleId="ListBullet1">
    <w:name w:val="List Bullet1"/>
    <w:basedOn w:val="Normal"/>
    <w:autoRedefine/>
    <w:rsid w:val="00D83A15"/>
    <w:pPr>
      <w:numPr>
        <w:numId w:val="4"/>
      </w:numPr>
      <w:spacing w:line="360" w:lineRule="auto"/>
    </w:pPr>
    <w:rPr>
      <w:rFonts w:ascii="Arial" w:hAnsi="Arial"/>
      <w:sz w:val="28"/>
      <w:lang w:val="en-AU"/>
    </w:rPr>
  </w:style>
  <w:style w:type="paragraph" w:styleId="NoSpacing">
    <w:name w:val="No Spacing"/>
    <w:basedOn w:val="Normal"/>
    <w:link w:val="NoSpacingChar"/>
    <w:qFormat/>
    <w:rsid w:val="00D83A15"/>
  </w:style>
  <w:style w:type="character" w:customStyle="1" w:styleId="NoSpacingChar">
    <w:name w:val="No Spacing Char"/>
    <w:link w:val="NoSpacing"/>
    <w:rsid w:val="00D83A15"/>
    <w:rPr>
      <w:rFonts w:ascii="Times New Roman" w:eastAsia="Times New Roman" w:hAnsi="Times New Roman" w:cs="Times New Roman"/>
      <w:sz w:val="20"/>
      <w:szCs w:val="20"/>
      <w:lang w:val="en-US"/>
    </w:rPr>
  </w:style>
  <w:style w:type="paragraph" w:customStyle="1" w:styleId="Object">
    <w:name w:val="Object"/>
    <w:basedOn w:val="Normal"/>
    <w:next w:val="Normal"/>
    <w:rsid w:val="00D83A15"/>
    <w:pPr>
      <w:jc w:val="center"/>
    </w:pPr>
  </w:style>
  <w:style w:type="paragraph" w:customStyle="1" w:styleId="ObjectFootnote">
    <w:name w:val="Object Footnote"/>
    <w:basedOn w:val="Object"/>
    <w:next w:val="Normal"/>
    <w:rsid w:val="00D83A15"/>
    <w:pPr>
      <w:spacing w:after="60"/>
    </w:pPr>
    <w:rPr>
      <w:i/>
      <w:sz w:val="14"/>
    </w:rPr>
  </w:style>
  <w:style w:type="paragraph" w:customStyle="1" w:styleId="ObjectFootnotelettered">
    <w:name w:val="Object Footnote lettered"/>
    <w:basedOn w:val="ObjectFootnote"/>
    <w:rsid w:val="00D83A15"/>
    <w:pPr>
      <w:tabs>
        <w:tab w:val="left" w:pos="709"/>
      </w:tabs>
      <w:ind w:left="426"/>
      <w:jc w:val="left"/>
    </w:pPr>
  </w:style>
  <w:style w:type="paragraph" w:customStyle="1" w:styleId="ObjectFootnoteleft">
    <w:name w:val="Object Footnote left"/>
    <w:basedOn w:val="ObjectFootnotelettered"/>
    <w:rsid w:val="00D83A15"/>
    <w:pPr>
      <w:ind w:left="709" w:hanging="283"/>
    </w:pPr>
  </w:style>
  <w:style w:type="character" w:styleId="PageNumber">
    <w:name w:val="page number"/>
    <w:basedOn w:val="DefaultParagraphFont"/>
    <w:rsid w:val="00D83A15"/>
  </w:style>
  <w:style w:type="paragraph" w:customStyle="1" w:styleId="Style211HeadingBold">
    <w:name w:val="Style 2.1.1 Heading + Bold"/>
    <w:basedOn w:val="Normal"/>
    <w:rsid w:val="00D83A15"/>
    <w:rPr>
      <w:b/>
      <w:bCs/>
      <w:i/>
      <w:iCs/>
    </w:rPr>
  </w:style>
  <w:style w:type="paragraph" w:customStyle="1" w:styleId="StyleBoxHeadingLeft0Firstline0">
    <w:name w:val="Style Box Heading + Left:  0&quot; First line:  0&quot;"/>
    <w:basedOn w:val="Box61BoxHeading"/>
    <w:autoRedefine/>
    <w:rsid w:val="00D83A15"/>
    <w:pPr>
      <w:framePr w:wrap="around" w:hAnchor="text"/>
      <w:widowControl/>
      <w:tabs>
        <w:tab w:val="left" w:pos="567"/>
        <w:tab w:val="num" w:pos="1276"/>
      </w:tabs>
      <w:spacing w:before="120" w:after="120"/>
    </w:pPr>
    <w:rPr>
      <w:bCs/>
      <w:color w:val="000000"/>
      <w:lang w:eastAsia="en-AU"/>
    </w:rPr>
  </w:style>
  <w:style w:type="paragraph" w:customStyle="1" w:styleId="StyleName">
    <w:name w:val="Style Name"/>
    <w:basedOn w:val="Normal"/>
    <w:rsid w:val="00D83A15"/>
    <w:pPr>
      <w:ind w:left="851" w:hanging="851"/>
      <w:jc w:val="center"/>
    </w:pPr>
    <w:rPr>
      <w:rFonts w:ascii="Arial" w:hAnsi="Arial"/>
      <w:b/>
      <w:i/>
      <w:color w:val="000000"/>
      <w:sz w:val="24"/>
      <w:lang w:val="en-GB" w:eastAsia="en-AU"/>
    </w:rPr>
  </w:style>
  <w:style w:type="paragraph" w:customStyle="1" w:styleId="TableHeading">
    <w:name w:val="Table Heading"/>
    <w:basedOn w:val="Normal"/>
    <w:autoRedefine/>
    <w:rsid w:val="00D83A15"/>
    <w:pPr>
      <w:keepNext/>
      <w:keepLines/>
      <w:numPr>
        <w:numId w:val="6"/>
      </w:numPr>
      <w:spacing w:before="120" w:after="120"/>
    </w:pPr>
    <w:rPr>
      <w:rFonts w:ascii="Arial" w:hAnsi="Arial"/>
      <w:b/>
      <w:sz w:val="24"/>
    </w:rPr>
  </w:style>
  <w:style w:type="paragraph" w:customStyle="1" w:styleId="Table1X">
    <w:name w:val="Table 1.X"/>
    <w:basedOn w:val="TableHeading"/>
    <w:rsid w:val="00D83A15"/>
    <w:pPr>
      <w:keepNext w:val="0"/>
      <w:keepLines w:val="0"/>
      <w:widowControl w:val="0"/>
      <w:numPr>
        <w:numId w:val="5"/>
      </w:numPr>
      <w:tabs>
        <w:tab w:val="left" w:pos="1304"/>
      </w:tabs>
      <w:spacing w:before="360"/>
    </w:pPr>
    <w:rPr>
      <w:b w:val="0"/>
      <w:bCs/>
      <w:i/>
      <w:color w:val="57514D"/>
      <w:kern w:val="28"/>
      <w:sz w:val="22"/>
      <w:szCs w:val="22"/>
    </w:rPr>
  </w:style>
  <w:style w:type="paragraph" w:customStyle="1" w:styleId="Table7X">
    <w:name w:val="Table 7.X"/>
    <w:basedOn w:val="Table1X"/>
    <w:rsid w:val="008049FC"/>
    <w:pPr>
      <w:numPr>
        <w:numId w:val="30"/>
      </w:numPr>
      <w:tabs>
        <w:tab w:val="left" w:pos="1134"/>
      </w:tabs>
      <w:spacing w:before="240"/>
      <w:ind w:left="357" w:hanging="357"/>
    </w:pPr>
    <w:rPr>
      <w:color w:val="4F4F4F"/>
    </w:rPr>
  </w:style>
  <w:style w:type="paragraph" w:customStyle="1" w:styleId="TableFootnote0">
    <w:name w:val="Table Footnote"/>
    <w:basedOn w:val="Normal"/>
    <w:rsid w:val="00D83A15"/>
    <w:pPr>
      <w:spacing w:before="60" w:after="60"/>
      <w:ind w:left="284"/>
    </w:pPr>
    <w:rPr>
      <w:rFonts w:ascii="Arial" w:hAnsi="Arial"/>
      <w:i/>
      <w:sz w:val="14"/>
    </w:rPr>
  </w:style>
  <w:style w:type="table" w:styleId="TableGrid">
    <w:name w:val="Table Grid"/>
    <w:basedOn w:val="TableNormal"/>
    <w:uiPriority w:val="39"/>
    <w:rsid w:val="00D83A15"/>
    <w:pPr>
      <w:spacing w:after="0" w:line="240" w:lineRule="auto"/>
    </w:pPr>
    <w:rPr>
      <w:rFonts w:ascii="Times New Roman" w:eastAsia="Times New Roman" w:hAnsi="Times New Roman" w:cs="Times New Roman"/>
      <w:sz w:val="20"/>
      <w:szCs w:val="20"/>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Cont">
    <w:name w:val="Table Heading Cont'"/>
    <w:basedOn w:val="TableHeading"/>
    <w:rsid w:val="00D83A15"/>
    <w:pPr>
      <w:tabs>
        <w:tab w:val="clear" w:pos="1440"/>
        <w:tab w:val="left" w:pos="1418"/>
      </w:tabs>
    </w:pPr>
  </w:style>
  <w:style w:type="character" w:styleId="CommentReference">
    <w:name w:val="annotation reference"/>
    <w:basedOn w:val="DefaultParagraphFont"/>
    <w:uiPriority w:val="99"/>
    <w:semiHidden/>
    <w:unhideWhenUsed/>
    <w:rsid w:val="00960018"/>
    <w:rPr>
      <w:sz w:val="16"/>
      <w:szCs w:val="16"/>
    </w:rPr>
  </w:style>
  <w:style w:type="paragraph" w:styleId="CommentText">
    <w:name w:val="annotation text"/>
    <w:basedOn w:val="Normal"/>
    <w:link w:val="CommentTextChar"/>
    <w:uiPriority w:val="99"/>
    <w:unhideWhenUsed/>
    <w:rsid w:val="00960018"/>
  </w:style>
  <w:style w:type="character" w:customStyle="1" w:styleId="CommentTextChar">
    <w:name w:val="Comment Text Char"/>
    <w:basedOn w:val="DefaultParagraphFont"/>
    <w:link w:val="CommentText"/>
    <w:uiPriority w:val="99"/>
    <w:rsid w:val="0096001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60018"/>
    <w:rPr>
      <w:b/>
      <w:bCs/>
    </w:rPr>
  </w:style>
  <w:style w:type="character" w:customStyle="1" w:styleId="CommentSubjectChar">
    <w:name w:val="Comment Subject Char"/>
    <w:basedOn w:val="CommentTextChar"/>
    <w:link w:val="CommentSubject"/>
    <w:uiPriority w:val="99"/>
    <w:semiHidden/>
    <w:rsid w:val="00960018"/>
    <w:rPr>
      <w:rFonts w:ascii="Times New Roman" w:eastAsia="Times New Roman" w:hAnsi="Times New Roman" w:cs="Times New Roman"/>
      <w:b/>
      <w:bCs/>
      <w:sz w:val="20"/>
      <w:szCs w:val="20"/>
      <w:lang w:val="en-US"/>
    </w:rPr>
  </w:style>
  <w:style w:type="paragraph" w:styleId="Revision">
    <w:name w:val="Revision"/>
    <w:hidden/>
    <w:uiPriority w:val="99"/>
    <w:semiHidden/>
    <w:rsid w:val="00687667"/>
    <w:pPr>
      <w:spacing w:after="0" w:line="240" w:lineRule="auto"/>
    </w:pPr>
    <w:rPr>
      <w:rFonts w:ascii="Times New Roman" w:eastAsia="Times New Roman" w:hAnsi="Times New Roman" w:cs="Times New Roman"/>
      <w:sz w:val="20"/>
      <w:szCs w:val="20"/>
      <w:lang w:val="en-US"/>
    </w:rPr>
  </w:style>
  <w:style w:type="paragraph" w:styleId="EndnoteText">
    <w:name w:val="endnote text"/>
    <w:basedOn w:val="Normal"/>
    <w:link w:val="EndnoteTextChar"/>
    <w:uiPriority w:val="99"/>
    <w:semiHidden/>
    <w:unhideWhenUsed/>
    <w:rsid w:val="00734D3B"/>
  </w:style>
  <w:style w:type="character" w:customStyle="1" w:styleId="EndnoteTextChar">
    <w:name w:val="Endnote Text Char"/>
    <w:basedOn w:val="DefaultParagraphFont"/>
    <w:link w:val="EndnoteText"/>
    <w:uiPriority w:val="99"/>
    <w:semiHidden/>
    <w:rsid w:val="00734D3B"/>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E054A9"/>
    <w:pPr>
      <w:spacing w:after="160" w:line="259" w:lineRule="auto"/>
      <w:ind w:left="720"/>
      <w:contextualSpacing/>
    </w:pPr>
    <w:rPr>
      <w:rFonts w:asciiTheme="minorHAnsi" w:eastAsiaTheme="minorHAnsi" w:hAnsiTheme="minorHAnsi" w:cstheme="minorBidi"/>
      <w:sz w:val="22"/>
      <w:szCs w:val="22"/>
      <w:lang w:val="en-AU"/>
    </w:rPr>
  </w:style>
  <w:style w:type="table" w:customStyle="1" w:styleId="TableGrid0">
    <w:name w:val="TableGrid"/>
    <w:rsid w:val="00E054A9"/>
    <w:pPr>
      <w:spacing w:after="0" w:line="240" w:lineRule="auto"/>
    </w:pPr>
    <w:rPr>
      <w:rFonts w:eastAsiaTheme="minorEastAsia"/>
      <w:lang w:eastAsia="en-AU"/>
    </w:rPr>
    <w:tblPr>
      <w:tblCellMar>
        <w:top w:w="0" w:type="dxa"/>
        <w:left w:w="0" w:type="dxa"/>
        <w:bottom w:w="0" w:type="dxa"/>
        <w:right w:w="0" w:type="dxa"/>
      </w:tblCellMar>
    </w:tblPr>
  </w:style>
  <w:style w:type="table" w:customStyle="1" w:styleId="TableGrid1">
    <w:name w:val="TableGrid1"/>
    <w:rsid w:val="007258A3"/>
    <w:pPr>
      <w:spacing w:after="0" w:line="240" w:lineRule="auto"/>
    </w:pPr>
    <w:rPr>
      <w:rFonts w:eastAsia="Times New Roman"/>
      <w:lang w:eastAsia="en-AU"/>
    </w:rPr>
    <w:tblPr>
      <w:tblCellMar>
        <w:top w:w="0" w:type="dxa"/>
        <w:left w:w="0" w:type="dxa"/>
        <w:bottom w:w="0" w:type="dxa"/>
        <w:right w:w="0" w:type="dxa"/>
      </w:tblCellMar>
    </w:tblPr>
  </w:style>
  <w:style w:type="paragraph" w:customStyle="1" w:styleId="Bodytextnumbered">
    <w:name w:val="Body text numbered"/>
    <w:basedOn w:val="Normal"/>
    <w:rsid w:val="00DA5C1B"/>
    <w:pPr>
      <w:tabs>
        <w:tab w:val="num" w:pos="1022"/>
      </w:tabs>
      <w:spacing w:before="200" w:line="320" w:lineRule="atLeast"/>
      <w:ind w:left="1022" w:hanging="454"/>
    </w:pPr>
    <w:rPr>
      <w:rFonts w:ascii="Arial" w:eastAsiaTheme="minorHAnsi" w:hAnsi="Arial" w:cs="Arial"/>
      <w:sz w:val="22"/>
      <w:szCs w:val="22"/>
      <w:lang w:val="en-AU"/>
    </w:rPr>
  </w:style>
  <w:style w:type="paragraph" w:customStyle="1" w:styleId="Source">
    <w:name w:val="Source"/>
    <w:basedOn w:val="Normal"/>
    <w:qFormat/>
    <w:rsid w:val="00FF7B03"/>
    <w:pPr>
      <w:widowControl w:val="0"/>
      <w:spacing w:before="120"/>
    </w:pPr>
    <w:rPr>
      <w:rFonts w:ascii="Arial" w:hAnsi="Arial" w:cs="Arial"/>
      <w:i/>
      <w:noProof/>
      <w:color w:val="4F4F4F"/>
      <w:sz w:val="17"/>
      <w:szCs w:val="17"/>
      <w:lang w:val="en-AU" w:eastAsia="en-AU"/>
    </w:rPr>
  </w:style>
  <w:style w:type="paragraph" w:customStyle="1" w:styleId="Tablefootnote">
    <w:name w:val="Table footnote"/>
    <w:basedOn w:val="Normal"/>
    <w:qFormat/>
    <w:rsid w:val="00E6179F"/>
    <w:pPr>
      <w:numPr>
        <w:numId w:val="23"/>
      </w:numPr>
    </w:pPr>
    <w:rPr>
      <w:rFonts w:ascii="Arial" w:hAnsi="Arial"/>
      <w:sz w:val="17"/>
    </w:rPr>
  </w:style>
  <w:style w:type="paragraph" w:customStyle="1" w:styleId="paragraph">
    <w:name w:val="paragraph"/>
    <w:basedOn w:val="Normal"/>
    <w:rsid w:val="00A05603"/>
    <w:pPr>
      <w:spacing w:before="100" w:beforeAutospacing="1" w:after="100" w:afterAutospacing="1"/>
    </w:pPr>
    <w:rPr>
      <w:rFonts w:ascii="Calibri" w:eastAsiaTheme="minorHAnsi" w:hAnsi="Calibri" w:cs="Calibri"/>
      <w:sz w:val="22"/>
      <w:szCs w:val="22"/>
      <w:lang w:val="en-AU" w:eastAsia="en-AU"/>
    </w:rPr>
  </w:style>
  <w:style w:type="character" w:customStyle="1" w:styleId="normaltextrun">
    <w:name w:val="normaltextrun"/>
    <w:basedOn w:val="DefaultParagraphFont"/>
    <w:rsid w:val="00A05603"/>
  </w:style>
  <w:style w:type="character" w:customStyle="1" w:styleId="eop">
    <w:name w:val="eop"/>
    <w:basedOn w:val="DefaultParagraphFont"/>
    <w:rsid w:val="00A056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663228">
      <w:bodyDiv w:val="1"/>
      <w:marLeft w:val="0"/>
      <w:marRight w:val="0"/>
      <w:marTop w:val="0"/>
      <w:marBottom w:val="0"/>
      <w:divBdr>
        <w:top w:val="none" w:sz="0" w:space="0" w:color="auto"/>
        <w:left w:val="none" w:sz="0" w:space="0" w:color="auto"/>
        <w:bottom w:val="none" w:sz="0" w:space="0" w:color="auto"/>
        <w:right w:val="none" w:sz="0" w:space="0" w:color="auto"/>
      </w:divBdr>
    </w:div>
    <w:div w:id="148250251">
      <w:bodyDiv w:val="1"/>
      <w:marLeft w:val="0"/>
      <w:marRight w:val="0"/>
      <w:marTop w:val="0"/>
      <w:marBottom w:val="0"/>
      <w:divBdr>
        <w:top w:val="none" w:sz="0" w:space="0" w:color="auto"/>
        <w:left w:val="none" w:sz="0" w:space="0" w:color="auto"/>
        <w:bottom w:val="none" w:sz="0" w:space="0" w:color="auto"/>
        <w:right w:val="none" w:sz="0" w:space="0" w:color="auto"/>
      </w:divBdr>
    </w:div>
    <w:div w:id="190801267">
      <w:bodyDiv w:val="1"/>
      <w:marLeft w:val="0"/>
      <w:marRight w:val="0"/>
      <w:marTop w:val="0"/>
      <w:marBottom w:val="0"/>
      <w:divBdr>
        <w:top w:val="none" w:sz="0" w:space="0" w:color="auto"/>
        <w:left w:val="none" w:sz="0" w:space="0" w:color="auto"/>
        <w:bottom w:val="none" w:sz="0" w:space="0" w:color="auto"/>
        <w:right w:val="none" w:sz="0" w:space="0" w:color="auto"/>
      </w:divBdr>
    </w:div>
    <w:div w:id="389378777">
      <w:bodyDiv w:val="1"/>
      <w:marLeft w:val="0"/>
      <w:marRight w:val="0"/>
      <w:marTop w:val="0"/>
      <w:marBottom w:val="0"/>
      <w:divBdr>
        <w:top w:val="none" w:sz="0" w:space="0" w:color="auto"/>
        <w:left w:val="none" w:sz="0" w:space="0" w:color="auto"/>
        <w:bottom w:val="none" w:sz="0" w:space="0" w:color="auto"/>
        <w:right w:val="none" w:sz="0" w:space="0" w:color="auto"/>
      </w:divBdr>
    </w:div>
    <w:div w:id="483858272">
      <w:bodyDiv w:val="1"/>
      <w:marLeft w:val="0"/>
      <w:marRight w:val="0"/>
      <w:marTop w:val="0"/>
      <w:marBottom w:val="0"/>
      <w:divBdr>
        <w:top w:val="none" w:sz="0" w:space="0" w:color="auto"/>
        <w:left w:val="none" w:sz="0" w:space="0" w:color="auto"/>
        <w:bottom w:val="none" w:sz="0" w:space="0" w:color="auto"/>
        <w:right w:val="none" w:sz="0" w:space="0" w:color="auto"/>
      </w:divBdr>
    </w:div>
    <w:div w:id="565651745">
      <w:bodyDiv w:val="1"/>
      <w:marLeft w:val="0"/>
      <w:marRight w:val="0"/>
      <w:marTop w:val="0"/>
      <w:marBottom w:val="0"/>
      <w:divBdr>
        <w:top w:val="none" w:sz="0" w:space="0" w:color="auto"/>
        <w:left w:val="none" w:sz="0" w:space="0" w:color="auto"/>
        <w:bottom w:val="none" w:sz="0" w:space="0" w:color="auto"/>
        <w:right w:val="none" w:sz="0" w:space="0" w:color="auto"/>
      </w:divBdr>
    </w:div>
    <w:div w:id="646712121">
      <w:bodyDiv w:val="1"/>
      <w:marLeft w:val="0"/>
      <w:marRight w:val="0"/>
      <w:marTop w:val="0"/>
      <w:marBottom w:val="0"/>
      <w:divBdr>
        <w:top w:val="none" w:sz="0" w:space="0" w:color="auto"/>
        <w:left w:val="none" w:sz="0" w:space="0" w:color="auto"/>
        <w:bottom w:val="none" w:sz="0" w:space="0" w:color="auto"/>
        <w:right w:val="none" w:sz="0" w:space="0" w:color="auto"/>
      </w:divBdr>
    </w:div>
    <w:div w:id="837765774">
      <w:bodyDiv w:val="1"/>
      <w:marLeft w:val="0"/>
      <w:marRight w:val="0"/>
      <w:marTop w:val="0"/>
      <w:marBottom w:val="0"/>
      <w:divBdr>
        <w:top w:val="none" w:sz="0" w:space="0" w:color="auto"/>
        <w:left w:val="none" w:sz="0" w:space="0" w:color="auto"/>
        <w:bottom w:val="none" w:sz="0" w:space="0" w:color="auto"/>
        <w:right w:val="none" w:sz="0" w:space="0" w:color="auto"/>
      </w:divBdr>
    </w:div>
    <w:div w:id="990406570">
      <w:bodyDiv w:val="1"/>
      <w:marLeft w:val="0"/>
      <w:marRight w:val="0"/>
      <w:marTop w:val="0"/>
      <w:marBottom w:val="0"/>
      <w:divBdr>
        <w:top w:val="none" w:sz="0" w:space="0" w:color="auto"/>
        <w:left w:val="none" w:sz="0" w:space="0" w:color="auto"/>
        <w:bottom w:val="none" w:sz="0" w:space="0" w:color="auto"/>
        <w:right w:val="none" w:sz="0" w:space="0" w:color="auto"/>
      </w:divBdr>
    </w:div>
    <w:div w:id="1260716812">
      <w:bodyDiv w:val="1"/>
      <w:marLeft w:val="0"/>
      <w:marRight w:val="0"/>
      <w:marTop w:val="0"/>
      <w:marBottom w:val="0"/>
      <w:divBdr>
        <w:top w:val="none" w:sz="0" w:space="0" w:color="auto"/>
        <w:left w:val="none" w:sz="0" w:space="0" w:color="auto"/>
        <w:bottom w:val="none" w:sz="0" w:space="0" w:color="auto"/>
        <w:right w:val="none" w:sz="0" w:space="0" w:color="auto"/>
      </w:divBdr>
    </w:div>
    <w:div w:id="1388263712">
      <w:bodyDiv w:val="1"/>
      <w:marLeft w:val="0"/>
      <w:marRight w:val="0"/>
      <w:marTop w:val="0"/>
      <w:marBottom w:val="0"/>
      <w:divBdr>
        <w:top w:val="none" w:sz="0" w:space="0" w:color="auto"/>
        <w:left w:val="none" w:sz="0" w:space="0" w:color="auto"/>
        <w:bottom w:val="none" w:sz="0" w:space="0" w:color="auto"/>
        <w:right w:val="none" w:sz="0" w:space="0" w:color="auto"/>
      </w:divBdr>
    </w:div>
    <w:div w:id="1537693784">
      <w:bodyDiv w:val="1"/>
      <w:marLeft w:val="0"/>
      <w:marRight w:val="0"/>
      <w:marTop w:val="0"/>
      <w:marBottom w:val="0"/>
      <w:divBdr>
        <w:top w:val="none" w:sz="0" w:space="0" w:color="auto"/>
        <w:left w:val="none" w:sz="0" w:space="0" w:color="auto"/>
        <w:bottom w:val="none" w:sz="0" w:space="0" w:color="auto"/>
        <w:right w:val="none" w:sz="0" w:space="0" w:color="auto"/>
      </w:divBdr>
    </w:div>
    <w:div w:id="1719284916">
      <w:bodyDiv w:val="1"/>
      <w:marLeft w:val="0"/>
      <w:marRight w:val="0"/>
      <w:marTop w:val="0"/>
      <w:marBottom w:val="0"/>
      <w:divBdr>
        <w:top w:val="none" w:sz="0" w:space="0" w:color="auto"/>
        <w:left w:val="none" w:sz="0" w:space="0" w:color="auto"/>
        <w:bottom w:val="none" w:sz="0" w:space="0" w:color="auto"/>
        <w:right w:val="none" w:sz="0" w:space="0" w:color="auto"/>
      </w:divBdr>
    </w:div>
    <w:div w:id="1761484767">
      <w:bodyDiv w:val="1"/>
      <w:marLeft w:val="0"/>
      <w:marRight w:val="0"/>
      <w:marTop w:val="0"/>
      <w:marBottom w:val="0"/>
      <w:divBdr>
        <w:top w:val="none" w:sz="0" w:space="0" w:color="auto"/>
        <w:left w:val="none" w:sz="0" w:space="0" w:color="auto"/>
        <w:bottom w:val="none" w:sz="0" w:space="0" w:color="auto"/>
        <w:right w:val="none" w:sz="0" w:space="0" w:color="auto"/>
      </w:divBdr>
    </w:div>
    <w:div w:id="1792627173">
      <w:bodyDiv w:val="1"/>
      <w:marLeft w:val="0"/>
      <w:marRight w:val="0"/>
      <w:marTop w:val="0"/>
      <w:marBottom w:val="0"/>
      <w:divBdr>
        <w:top w:val="none" w:sz="0" w:space="0" w:color="auto"/>
        <w:left w:val="none" w:sz="0" w:space="0" w:color="auto"/>
        <w:bottom w:val="none" w:sz="0" w:space="0" w:color="auto"/>
        <w:right w:val="none" w:sz="0" w:space="0" w:color="auto"/>
      </w:divBdr>
    </w:div>
    <w:div w:id="1825509865">
      <w:bodyDiv w:val="1"/>
      <w:marLeft w:val="0"/>
      <w:marRight w:val="0"/>
      <w:marTop w:val="0"/>
      <w:marBottom w:val="0"/>
      <w:divBdr>
        <w:top w:val="none" w:sz="0" w:space="0" w:color="auto"/>
        <w:left w:val="none" w:sz="0" w:space="0" w:color="auto"/>
        <w:bottom w:val="none" w:sz="0" w:space="0" w:color="auto"/>
        <w:right w:val="none" w:sz="0" w:space="0" w:color="auto"/>
      </w:divBdr>
    </w:div>
    <w:div w:id="1854221833">
      <w:bodyDiv w:val="1"/>
      <w:marLeft w:val="0"/>
      <w:marRight w:val="0"/>
      <w:marTop w:val="0"/>
      <w:marBottom w:val="0"/>
      <w:divBdr>
        <w:top w:val="none" w:sz="0" w:space="0" w:color="auto"/>
        <w:left w:val="none" w:sz="0" w:space="0" w:color="auto"/>
        <w:bottom w:val="none" w:sz="0" w:space="0" w:color="auto"/>
        <w:right w:val="none" w:sz="0" w:space="0" w:color="auto"/>
      </w:divBdr>
    </w:div>
    <w:div w:id="1915504727">
      <w:bodyDiv w:val="1"/>
      <w:marLeft w:val="0"/>
      <w:marRight w:val="0"/>
      <w:marTop w:val="0"/>
      <w:marBottom w:val="0"/>
      <w:divBdr>
        <w:top w:val="none" w:sz="0" w:space="0" w:color="auto"/>
        <w:left w:val="none" w:sz="0" w:space="0" w:color="auto"/>
        <w:bottom w:val="none" w:sz="0" w:space="0" w:color="auto"/>
        <w:right w:val="none" w:sz="0" w:space="0" w:color="auto"/>
      </w:divBdr>
    </w:div>
    <w:div w:id="1974554921">
      <w:bodyDiv w:val="1"/>
      <w:marLeft w:val="0"/>
      <w:marRight w:val="0"/>
      <w:marTop w:val="0"/>
      <w:marBottom w:val="0"/>
      <w:divBdr>
        <w:top w:val="none" w:sz="0" w:space="0" w:color="auto"/>
        <w:left w:val="none" w:sz="0" w:space="0" w:color="auto"/>
        <w:bottom w:val="none" w:sz="0" w:space="0" w:color="auto"/>
        <w:right w:val="none" w:sz="0" w:space="0" w:color="auto"/>
      </w:divBdr>
    </w:div>
    <w:div w:id="2033801378">
      <w:bodyDiv w:val="1"/>
      <w:marLeft w:val="0"/>
      <w:marRight w:val="0"/>
      <w:marTop w:val="0"/>
      <w:marBottom w:val="0"/>
      <w:divBdr>
        <w:top w:val="none" w:sz="0" w:space="0" w:color="auto"/>
        <w:left w:val="none" w:sz="0" w:space="0" w:color="auto"/>
        <w:bottom w:val="none" w:sz="0" w:space="0" w:color="auto"/>
        <w:right w:val="none" w:sz="0" w:space="0" w:color="auto"/>
      </w:divBdr>
    </w:div>
    <w:div w:id="2057583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F16F1AFBDE54EBD2685E90FE1922F" ma:contentTypeVersion="11" ma:contentTypeDescription="Create a new document." ma:contentTypeScope="" ma:versionID="09dc3bd8f1f17fedb8a1949fc26bace1">
  <xsd:schema xmlns:xsd="http://www.w3.org/2001/XMLSchema" xmlns:xs="http://www.w3.org/2001/XMLSchema" xmlns:p="http://schemas.microsoft.com/office/2006/metadata/properties" xmlns:ns2="801a5968-9419-4033-b9de-7ffe8168468e" xmlns:ns3="1c478e85-8130-4c67-8ee4-8bdf1c0e6049" targetNamespace="http://schemas.microsoft.com/office/2006/metadata/properties" ma:root="true" ma:fieldsID="b368971463d79661f3ec0885fa2b6f01" ns2:_="" ns3:_="">
    <xsd:import namespace="801a5968-9419-4033-b9de-7ffe8168468e"/>
    <xsd:import namespace="1c478e85-8130-4c67-8ee4-8bdf1c0e604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5968-9419-4033-b9de-7ffe8168468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478e85-8130-4c67-8ee4-8bdf1c0e604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1c478e85-8130-4c67-8ee4-8bdf1c0e6049" xsi:nil="true"/>
    <SharedWithUsers xmlns="801a5968-9419-4033-b9de-7ffe8168468e">
      <UserInfo>
        <DisplayName>Nenos Mirza</DisplayName>
        <AccountId>445</AccountId>
        <AccountType/>
      </UserInfo>
      <UserInfo>
        <DisplayName>Angela Cummine</DisplayName>
        <AccountId>109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909B3-F760-4EE0-A683-348A558A1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5968-9419-4033-b9de-7ffe8168468e"/>
    <ds:schemaRef ds:uri="1c478e85-8130-4c67-8ee4-8bdf1c0e60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D8FE32-A048-4E2B-B77E-5666024B274F}">
  <ds:schemaRefs>
    <ds:schemaRef ds:uri="http://schemas.microsoft.com/sharepoint/v3/contenttype/forms"/>
  </ds:schemaRefs>
</ds:datastoreItem>
</file>

<file path=customXml/itemProps3.xml><?xml version="1.0" encoding="utf-8"?>
<ds:datastoreItem xmlns:ds="http://schemas.openxmlformats.org/officeDocument/2006/customXml" ds:itemID="{A696C815-F63F-4F21-8EB2-AFD8767FDA55}">
  <ds:schemaRefs>
    <ds:schemaRef ds:uri="http://schemas.openxmlformats.org/package/2006/metadata/core-properties"/>
    <ds:schemaRef ds:uri="http://schemas.microsoft.com/office/2006/metadata/properties"/>
    <ds:schemaRef ds:uri="http://schemas.microsoft.com/office/2006/documentManagement/types"/>
    <ds:schemaRef ds:uri="http://schemas.microsoft.com/office/infopath/2007/PartnerControls"/>
    <ds:schemaRef ds:uri="http://www.w3.org/XML/1998/namespace"/>
    <ds:schemaRef ds:uri="http://purl.org/dc/elements/1.1/"/>
    <ds:schemaRef ds:uri="http://purl.org/dc/dcmitype/"/>
    <ds:schemaRef ds:uri="1c478e85-8130-4c67-8ee4-8bdf1c0e6049"/>
    <ds:schemaRef ds:uri="801a5968-9419-4033-b9de-7ffe8168468e"/>
    <ds:schemaRef ds:uri="http://purl.org/dc/terms/"/>
  </ds:schemaRefs>
</ds:datastoreItem>
</file>

<file path=customXml/itemProps4.xml><?xml version="1.0" encoding="utf-8"?>
<ds:datastoreItem xmlns:ds="http://schemas.openxmlformats.org/officeDocument/2006/customXml" ds:itemID="{5752B213-0AB4-4AD5-9BB3-56DDADCA4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645</TotalTime>
  <Pages>10</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2019-20 Budget Paper No. 1 - Budget Statement - Managing the State's Assets and Liabilities</vt:lpstr>
    </vt:vector>
  </TitlesOfParts>
  <Company>ServiceFirst</Company>
  <LinksUpToDate>false</LinksUpToDate>
  <CharactersWithSpaces>15799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2019-20 Budget Paper No. 1 - Budget Statement - Chapter 6 - Managing the State's Assets and Liabilities</dc:title>
  <dc:creator>The Treasury</dc:creator>
  <cp:lastModifiedBy>Eliza Souter</cp:lastModifiedBy>
  <cp:revision>1330</cp:revision>
  <cp:lastPrinted>2019-06-15T03:42:00Z</cp:lastPrinted>
  <dcterms:created xsi:type="dcterms:W3CDTF">2018-06-16T04:58:00Z</dcterms:created>
  <dcterms:modified xsi:type="dcterms:W3CDTF">2019-06-16T01:53:00Z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0x010100F02F16F1AFBDE54EBD2685E90FE1922F</vt:lpwstr>
  </property>
  <property fmtid="{D5CDD505-2E9C-101B-9397-08002B2CF9AE}" pid="3" name="AuthorIds_UIVersion_512">
    <vt:lpwstr>6</vt:lpwstr>
  </property>
</Properties>
</file>