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5C8C40" w14:textId="77777777" w:rsidR="00437D43" w:rsidRPr="008833AE" w:rsidRDefault="002A631B" w:rsidP="00BF7B2E">
      <w:pPr>
        <w:pStyle w:val="Heading1"/>
        <w:tabs>
          <w:tab w:val="left" w:pos="840"/>
        </w:tabs>
        <w:spacing w:after="480"/>
        <w:ind w:left="851" w:hanging="851"/>
        <w:rPr>
          <w:rFonts w:cs="Arial"/>
        </w:rPr>
      </w:pPr>
      <w:bookmarkStart w:id="0" w:name="_GoBack"/>
      <w:bookmarkEnd w:id="0"/>
      <w:r w:rsidRPr="008833AE">
        <w:rPr>
          <w:rFonts w:cs="Arial"/>
        </w:rPr>
        <w:t>A</w:t>
      </w:r>
      <w:r w:rsidR="001E1246" w:rsidRPr="008833AE">
        <w:rPr>
          <w:rFonts w:cs="Arial"/>
        </w:rPr>
        <w:t>2</w:t>
      </w:r>
      <w:r w:rsidR="008A244A" w:rsidRPr="008833AE">
        <w:rPr>
          <w:rFonts w:cs="Arial"/>
        </w:rPr>
        <w:t>.</w:t>
      </w:r>
      <w:r w:rsidR="00437D43" w:rsidRPr="008833AE">
        <w:rPr>
          <w:rFonts w:cs="Arial"/>
        </w:rPr>
        <w:tab/>
        <w:t>Statement of Significant Accounting Policies and Forecast Assumptions</w:t>
      </w:r>
    </w:p>
    <w:p w14:paraId="3C7D3D0E" w14:textId="77777777" w:rsidR="00437D43" w:rsidRPr="008833AE" w:rsidRDefault="00437D43" w:rsidP="00C85B20">
      <w:pPr>
        <w:pStyle w:val="Heading2"/>
        <w:rPr>
          <w:rFonts w:ascii="Arial" w:hAnsi="Arial" w:cs="Arial"/>
        </w:rPr>
      </w:pPr>
      <w:r w:rsidRPr="008833AE">
        <w:rPr>
          <w:rFonts w:ascii="Arial" w:hAnsi="Arial" w:cs="Arial"/>
        </w:rPr>
        <w:t>Scope of the Estimated Financial Statements</w:t>
      </w:r>
    </w:p>
    <w:p w14:paraId="2E35A82B" w14:textId="48C80A9C" w:rsidR="00FF47FB" w:rsidRPr="008833AE" w:rsidRDefault="001F277D" w:rsidP="00AD1127">
      <w:pPr>
        <w:pStyle w:val="BodyText"/>
      </w:pPr>
      <w:r w:rsidRPr="008833AE">
        <w:t xml:space="preserve">The </w:t>
      </w:r>
      <w:r w:rsidR="001530AE">
        <w:t>B</w:t>
      </w:r>
      <w:r w:rsidR="00D100DD" w:rsidRPr="008833AE">
        <w:t xml:space="preserve">udget </w:t>
      </w:r>
      <w:r w:rsidR="001530AE">
        <w:t>P</w:t>
      </w:r>
      <w:r w:rsidR="00D100DD" w:rsidRPr="008833AE">
        <w:t xml:space="preserve">apers </w:t>
      </w:r>
      <w:r w:rsidR="00437D43" w:rsidRPr="008833AE">
        <w:t xml:space="preserve">present the Estimated Financial Statements </w:t>
      </w:r>
      <w:r w:rsidRPr="008833AE">
        <w:t xml:space="preserve">of </w:t>
      </w:r>
      <w:r w:rsidR="00437D43" w:rsidRPr="008833AE">
        <w:t xml:space="preserve">the </w:t>
      </w:r>
      <w:r w:rsidR="00816F97" w:rsidRPr="008833AE">
        <w:t>general government sector (</w:t>
      </w:r>
      <w:r w:rsidR="004C53EF" w:rsidRPr="008833AE">
        <w:t>GGS</w:t>
      </w:r>
      <w:r w:rsidR="00816F97" w:rsidRPr="008833AE">
        <w:t>)</w:t>
      </w:r>
      <w:r w:rsidR="007A3BAE" w:rsidRPr="008833AE">
        <w:t>.</w:t>
      </w:r>
      <w:r w:rsidR="008F5CD6" w:rsidRPr="008833AE">
        <w:t xml:space="preserve"> </w:t>
      </w:r>
      <w:r w:rsidR="007A3BAE" w:rsidRPr="008833AE">
        <w:t xml:space="preserve">These statements comprise the GGS operating statement, GGS balance sheet and GGS cash flow statement.  </w:t>
      </w:r>
      <w:r w:rsidR="002C391C">
        <w:t>These</w:t>
      </w:r>
      <w:r w:rsidR="002C391C" w:rsidRPr="008833AE">
        <w:t xml:space="preserve"> </w:t>
      </w:r>
      <w:r w:rsidR="007A3BAE" w:rsidRPr="008833AE">
        <w:t>statement</w:t>
      </w:r>
      <w:r w:rsidR="002C391C">
        <w:t>s</w:t>
      </w:r>
      <w:r w:rsidR="007A3BAE" w:rsidRPr="008833AE">
        <w:t xml:space="preserve"> </w:t>
      </w:r>
      <w:r w:rsidR="002C391C">
        <w:t>are</w:t>
      </w:r>
      <w:r w:rsidR="002C391C" w:rsidRPr="008833AE">
        <w:t xml:space="preserve"> </w:t>
      </w:r>
      <w:r w:rsidR="007A3BAE" w:rsidRPr="008833AE">
        <w:t xml:space="preserve">prepared in accordance with this Statement of Significant Accounting Policies and Forecast Assumptions and </w:t>
      </w:r>
      <w:r w:rsidRPr="008833AE">
        <w:t>includ</w:t>
      </w:r>
      <w:r w:rsidR="007A3BAE" w:rsidRPr="008833AE">
        <w:t>e</w:t>
      </w:r>
      <w:r w:rsidR="00FF47FB" w:rsidRPr="008833AE">
        <w:t>:</w:t>
      </w:r>
    </w:p>
    <w:p w14:paraId="382AD676" w14:textId="668D5597" w:rsidR="00FF47FB" w:rsidRPr="008833AE" w:rsidRDefault="001F277D" w:rsidP="00E63990">
      <w:pPr>
        <w:pStyle w:val="Bullet1"/>
      </w:pPr>
      <w:r w:rsidRPr="008833AE">
        <w:t xml:space="preserve">revised estimates for the current year ending 30 June </w:t>
      </w:r>
      <w:r w:rsidR="0015527F" w:rsidRPr="008833AE">
        <w:t>2019</w:t>
      </w:r>
      <w:r w:rsidRPr="008833AE">
        <w:t xml:space="preserve"> </w:t>
      </w:r>
    </w:p>
    <w:p w14:paraId="6AB43B01" w14:textId="03F0A10E" w:rsidR="00FF47FB" w:rsidRPr="008833AE" w:rsidRDefault="001F277D" w:rsidP="00E63990">
      <w:pPr>
        <w:pStyle w:val="Bullet1"/>
      </w:pPr>
      <w:r w:rsidRPr="008833AE">
        <w:t xml:space="preserve">estimates for the </w:t>
      </w:r>
      <w:r w:rsidR="008F5CD6" w:rsidRPr="008833AE">
        <w:t xml:space="preserve">budget </w:t>
      </w:r>
      <w:r w:rsidRPr="008833AE">
        <w:t xml:space="preserve">year ending </w:t>
      </w:r>
      <w:r w:rsidR="008E3211" w:rsidRPr="008833AE">
        <w:t>30 June </w:t>
      </w:r>
      <w:r w:rsidR="0015527F" w:rsidRPr="008833AE">
        <w:t>2020</w:t>
      </w:r>
      <w:r w:rsidR="005A0E87" w:rsidRPr="008833AE">
        <w:t xml:space="preserve"> </w:t>
      </w:r>
    </w:p>
    <w:p w14:paraId="2B9C18B4" w14:textId="4AEB0553" w:rsidR="001F277D" w:rsidRPr="008833AE" w:rsidRDefault="00FF47FB" w:rsidP="00E63990">
      <w:pPr>
        <w:pStyle w:val="Bullet1"/>
      </w:pPr>
      <w:r w:rsidRPr="008833AE">
        <w:t xml:space="preserve">estimates for </w:t>
      </w:r>
      <w:r w:rsidR="001F277D" w:rsidRPr="008833AE">
        <w:t>th</w:t>
      </w:r>
      <w:r w:rsidR="00816F97" w:rsidRPr="008833AE">
        <w:t>e three forward years ending 30 </w:t>
      </w:r>
      <w:r w:rsidR="001F277D" w:rsidRPr="008833AE">
        <w:t xml:space="preserve">June </w:t>
      </w:r>
      <w:r w:rsidR="0015527F" w:rsidRPr="008833AE">
        <w:t>2021</w:t>
      </w:r>
      <w:r w:rsidR="001F277D" w:rsidRPr="008833AE">
        <w:t xml:space="preserve">, </w:t>
      </w:r>
      <w:r w:rsidR="0015527F" w:rsidRPr="008833AE">
        <w:t>2022</w:t>
      </w:r>
      <w:r w:rsidR="005A0E87" w:rsidRPr="008833AE">
        <w:t xml:space="preserve"> </w:t>
      </w:r>
      <w:r w:rsidR="001F277D" w:rsidRPr="008833AE">
        <w:t xml:space="preserve">and </w:t>
      </w:r>
      <w:r w:rsidR="0015527F" w:rsidRPr="008833AE">
        <w:t>2023</w:t>
      </w:r>
      <w:r w:rsidR="001F277D" w:rsidRPr="008833AE">
        <w:t xml:space="preserve">. </w:t>
      </w:r>
    </w:p>
    <w:p w14:paraId="4503A9A8" w14:textId="36949784" w:rsidR="00437D43" w:rsidRPr="008833AE" w:rsidRDefault="00437D43" w:rsidP="00AD1127">
      <w:pPr>
        <w:pStyle w:val="BodyText"/>
      </w:pPr>
      <w:r w:rsidRPr="008833AE">
        <w:t>Collectively</w:t>
      </w:r>
      <w:r w:rsidR="005A0E87" w:rsidRPr="008833AE">
        <w:t>,</w:t>
      </w:r>
      <w:r w:rsidRPr="008833AE">
        <w:t xml:space="preserve"> the statements and the Statement of Significant Accounting Policies and Forecast Assumptions are referred to as the ‘Estimated Financial Statements’.</w:t>
      </w:r>
    </w:p>
    <w:p w14:paraId="38907683" w14:textId="30798FC6" w:rsidR="00437D43" w:rsidRPr="008833AE" w:rsidRDefault="00437D43" w:rsidP="00AD1127">
      <w:pPr>
        <w:pStyle w:val="BodyText"/>
      </w:pPr>
      <w:r w:rsidRPr="008833AE">
        <w:t>The Estimated Financial Statements are prepared for the N</w:t>
      </w:r>
      <w:r w:rsidR="00601BA9">
        <w:t xml:space="preserve">ew </w:t>
      </w:r>
      <w:r w:rsidRPr="008833AE">
        <w:t>S</w:t>
      </w:r>
      <w:r w:rsidR="00601BA9">
        <w:t xml:space="preserve">outh </w:t>
      </w:r>
      <w:r w:rsidRPr="008833AE">
        <w:t>W</w:t>
      </w:r>
      <w:r w:rsidR="00601BA9">
        <w:t>ales</w:t>
      </w:r>
      <w:r w:rsidRPr="008833AE">
        <w:t xml:space="preserve"> </w:t>
      </w:r>
      <w:r w:rsidR="004308EA" w:rsidRPr="008833AE">
        <w:t>GGS</w:t>
      </w:r>
      <w:r w:rsidRPr="008833AE">
        <w:t xml:space="preserve">, which is determined in accordance with the principles and rules contained in the Australian Bureau of Statistics, </w:t>
      </w:r>
      <w:r w:rsidRPr="008833AE">
        <w:rPr>
          <w:i/>
        </w:rPr>
        <w:t>Australian System of Government Finance Statistics: C</w:t>
      </w:r>
      <w:r w:rsidR="003824B1" w:rsidRPr="008833AE">
        <w:rPr>
          <w:i/>
        </w:rPr>
        <w:t>oncepts, Sources and Methods 201</w:t>
      </w:r>
      <w:r w:rsidRPr="008833AE">
        <w:rPr>
          <w:i/>
        </w:rPr>
        <w:t xml:space="preserve">5 (cat. No. 5514) </w:t>
      </w:r>
      <w:r w:rsidRPr="008833AE">
        <w:t>(ABS</w:t>
      </w:r>
      <w:r w:rsidR="008B47CE" w:rsidRPr="008833AE">
        <w:t>-</w:t>
      </w:r>
      <w:r w:rsidRPr="008833AE">
        <w:t>GFS Manual)</w:t>
      </w:r>
      <w:r w:rsidR="007A3BAE" w:rsidRPr="008833AE">
        <w:t xml:space="preserve">.  </w:t>
      </w:r>
    </w:p>
    <w:p w14:paraId="191F4952" w14:textId="14D4D8DA" w:rsidR="00437D43" w:rsidRPr="008833AE" w:rsidRDefault="007A3BAE" w:rsidP="00AD1127">
      <w:pPr>
        <w:pStyle w:val="BodyText"/>
      </w:pPr>
      <w:r w:rsidRPr="008833AE">
        <w:t xml:space="preserve">The scope of the GGS is outlined in Appendix A3 of this </w:t>
      </w:r>
      <w:r w:rsidRPr="008833AE">
        <w:rPr>
          <w:i/>
        </w:rPr>
        <w:t>Budget Statement</w:t>
      </w:r>
      <w:r w:rsidRPr="008833AE">
        <w:t xml:space="preserve">. </w:t>
      </w:r>
      <w:r w:rsidR="00437D43" w:rsidRPr="008833AE">
        <w:t xml:space="preserve">The </w:t>
      </w:r>
      <w:r w:rsidR="004308EA" w:rsidRPr="008833AE">
        <w:t>GGS</w:t>
      </w:r>
      <w:r w:rsidR="008F5CD6" w:rsidRPr="008833AE">
        <w:t xml:space="preserve"> </w:t>
      </w:r>
      <w:r w:rsidR="00437D43" w:rsidRPr="008833AE">
        <w:t>comprises government agencies controlled by the State that:</w:t>
      </w:r>
    </w:p>
    <w:p w14:paraId="604C9E70" w14:textId="77777777" w:rsidR="00437D43" w:rsidRPr="008833AE" w:rsidRDefault="00437D43" w:rsidP="00E63990">
      <w:pPr>
        <w:pStyle w:val="Bullet1"/>
      </w:pPr>
      <w:r w:rsidRPr="008833AE">
        <w:t>undertake regulatory functions</w:t>
      </w:r>
    </w:p>
    <w:p w14:paraId="76670BBF" w14:textId="77777777" w:rsidR="00437D43" w:rsidRPr="008833AE" w:rsidRDefault="00437D43" w:rsidP="00E63990">
      <w:pPr>
        <w:pStyle w:val="Bullet1"/>
      </w:pPr>
      <w:r w:rsidRPr="008833AE">
        <w:t>redistribute income and wealth</w:t>
      </w:r>
    </w:p>
    <w:p w14:paraId="1B05CAEB" w14:textId="773474A3" w:rsidR="00C34608" w:rsidRPr="008833AE" w:rsidRDefault="00437D43" w:rsidP="00E63990">
      <w:pPr>
        <w:pStyle w:val="Bullet1"/>
      </w:pPr>
      <w:r w:rsidRPr="008833AE">
        <w:t>provide or distribute goods and services on a non-market basis to individuals and the community and/or</w:t>
      </w:r>
      <w:r w:rsidR="007670D3" w:rsidRPr="008833AE">
        <w:t xml:space="preserve"> </w:t>
      </w:r>
      <w:r w:rsidRPr="008833AE">
        <w:t xml:space="preserve">provide </w:t>
      </w:r>
      <w:r w:rsidR="00FE7314" w:rsidRPr="008833AE">
        <w:t xml:space="preserve">other </w:t>
      </w:r>
      <w:r w:rsidRPr="008833AE">
        <w:t>services to general government agencies.</w:t>
      </w:r>
    </w:p>
    <w:p w14:paraId="468B2CAC" w14:textId="4BB28785" w:rsidR="008E628F" w:rsidRPr="008833AE" w:rsidRDefault="008E628F" w:rsidP="00C34608">
      <w:pPr>
        <w:pStyle w:val="Heading2"/>
        <w:rPr>
          <w:rFonts w:ascii="Arial" w:hAnsi="Arial" w:cs="Arial"/>
          <w:lang w:eastAsia="en-AU"/>
        </w:rPr>
      </w:pPr>
      <w:r w:rsidRPr="008833AE">
        <w:rPr>
          <w:rFonts w:ascii="Arial" w:hAnsi="Arial" w:cs="Arial"/>
          <w:lang w:eastAsia="en-AU"/>
        </w:rPr>
        <w:t xml:space="preserve">Basis of </w:t>
      </w:r>
      <w:r w:rsidR="008E3211" w:rsidRPr="008833AE">
        <w:rPr>
          <w:rFonts w:ascii="Arial" w:hAnsi="Arial" w:cs="Arial"/>
          <w:lang w:eastAsia="en-AU"/>
        </w:rPr>
        <w:t>p</w:t>
      </w:r>
      <w:r w:rsidRPr="008833AE">
        <w:rPr>
          <w:rFonts w:ascii="Arial" w:hAnsi="Arial" w:cs="Arial"/>
          <w:lang w:eastAsia="en-AU"/>
        </w:rPr>
        <w:t xml:space="preserve">reparation </w:t>
      </w:r>
    </w:p>
    <w:p w14:paraId="643D8B2A" w14:textId="48B2B8DD" w:rsidR="00437D43" w:rsidRPr="008833AE" w:rsidRDefault="00437D43" w:rsidP="00AD1127">
      <w:pPr>
        <w:pStyle w:val="BodyText"/>
      </w:pPr>
      <w:r w:rsidRPr="008833AE">
        <w:t>The Estimated Financial Statements are prepared using the accrual basis of accounting</w:t>
      </w:r>
      <w:r w:rsidR="007A3BAE" w:rsidRPr="008833AE">
        <w:t>. This basis</w:t>
      </w:r>
      <w:r w:rsidRPr="008833AE">
        <w:t xml:space="preserve"> recognises the effect of transactions and events when they are forecast to occur.</w:t>
      </w:r>
    </w:p>
    <w:p w14:paraId="67B23A7A" w14:textId="7068468C" w:rsidR="007A3BAE" w:rsidRPr="008833AE" w:rsidRDefault="00437D43" w:rsidP="00AD1127">
      <w:pPr>
        <w:pStyle w:val="BodyText"/>
      </w:pPr>
      <w:r w:rsidRPr="008833AE">
        <w:t>The</w:t>
      </w:r>
      <w:r w:rsidR="007A3BAE" w:rsidRPr="008833AE">
        <w:t xml:space="preserve"> Statements</w:t>
      </w:r>
      <w:r w:rsidRPr="008833AE">
        <w:t xml:space="preserve"> have been prepared to reflect existing operations</w:t>
      </w:r>
      <w:r w:rsidR="001F277D" w:rsidRPr="008833AE">
        <w:t xml:space="preserve"> and</w:t>
      </w:r>
      <w:r w:rsidRPr="008833AE">
        <w:t xml:space="preserve"> the impact of new policy decisions taken by the NSW Government</w:t>
      </w:r>
      <w:r w:rsidR="007A3BAE" w:rsidRPr="008833AE">
        <w:t xml:space="preserve">, </w:t>
      </w:r>
      <w:r w:rsidRPr="008833AE">
        <w:t xml:space="preserve">where their financial effect can be reliably measured. </w:t>
      </w:r>
    </w:p>
    <w:p w14:paraId="5DEA2FA1" w14:textId="79637836" w:rsidR="007A3BAE" w:rsidRPr="008833AE" w:rsidRDefault="00437D43" w:rsidP="00AD1127">
      <w:pPr>
        <w:pStyle w:val="BodyText"/>
      </w:pPr>
      <w:r w:rsidRPr="008833AE">
        <w:t xml:space="preserve">The </w:t>
      </w:r>
      <w:r w:rsidR="0015527F" w:rsidRPr="008833AE">
        <w:t>2018</w:t>
      </w:r>
      <w:r w:rsidR="003824B1" w:rsidRPr="008833AE">
        <w:t>-</w:t>
      </w:r>
      <w:r w:rsidR="0015527F" w:rsidRPr="008833AE">
        <w:t xml:space="preserve">19 </w:t>
      </w:r>
      <w:r w:rsidR="003824B1" w:rsidRPr="008833AE">
        <w:t xml:space="preserve">revised </w:t>
      </w:r>
      <w:r w:rsidR="00F36781" w:rsidRPr="008833AE">
        <w:t>estimates are</w:t>
      </w:r>
      <w:r w:rsidRPr="008833AE">
        <w:t xml:space="preserve"> based on</w:t>
      </w:r>
      <w:r w:rsidR="007A3BAE" w:rsidRPr="008833AE">
        <w:t xml:space="preserve"> the following information provided by agencies:</w:t>
      </w:r>
    </w:p>
    <w:p w14:paraId="2959A388" w14:textId="326B8B59" w:rsidR="007A3BAE" w:rsidRPr="008833AE" w:rsidRDefault="00437D43" w:rsidP="00E63990">
      <w:pPr>
        <w:pStyle w:val="Bullet1"/>
      </w:pPr>
      <w:r w:rsidRPr="008833AE">
        <w:t xml:space="preserve">actual results </w:t>
      </w:r>
      <w:r w:rsidR="00D1440D" w:rsidRPr="008833AE">
        <w:t>for the 10</w:t>
      </w:r>
      <w:r w:rsidR="00C34608" w:rsidRPr="008833AE">
        <w:t>-</w:t>
      </w:r>
      <w:r w:rsidR="00F443BD" w:rsidRPr="008833AE">
        <w:t xml:space="preserve">month period ending </w:t>
      </w:r>
      <w:r w:rsidRPr="008833AE">
        <w:t>30</w:t>
      </w:r>
      <w:r w:rsidR="008F5CD6" w:rsidRPr="008833AE">
        <w:t> </w:t>
      </w:r>
      <w:r w:rsidRPr="008833AE">
        <w:t>April</w:t>
      </w:r>
      <w:r w:rsidR="008F5CD6" w:rsidRPr="008833AE">
        <w:t> </w:t>
      </w:r>
      <w:r w:rsidR="0015527F" w:rsidRPr="008833AE">
        <w:t>2019</w:t>
      </w:r>
    </w:p>
    <w:p w14:paraId="6074FD4B" w14:textId="71D690E8" w:rsidR="007A3BAE" w:rsidRPr="008833AE" w:rsidRDefault="00437D43" w:rsidP="00E63990">
      <w:pPr>
        <w:pStyle w:val="Bullet1"/>
      </w:pPr>
      <w:r w:rsidRPr="008833AE">
        <w:t xml:space="preserve">updated year end projections. </w:t>
      </w:r>
    </w:p>
    <w:p w14:paraId="2810AB71" w14:textId="1E877410" w:rsidR="00437D43" w:rsidRPr="008833AE" w:rsidRDefault="00437D43" w:rsidP="002C391C">
      <w:pPr>
        <w:pStyle w:val="Bullet1"/>
        <w:numPr>
          <w:ilvl w:val="0"/>
          <w:numId w:val="0"/>
        </w:numPr>
      </w:pPr>
      <w:r w:rsidRPr="008833AE">
        <w:t>The</w:t>
      </w:r>
      <w:r w:rsidR="007A3BAE" w:rsidRPr="008833AE">
        <w:t xml:space="preserve"> </w:t>
      </w:r>
      <w:r w:rsidR="00732D97" w:rsidRPr="008833AE">
        <w:t>Statements</w:t>
      </w:r>
      <w:r w:rsidRPr="008833AE">
        <w:t xml:space="preserve"> also </w:t>
      </w:r>
      <w:proofErr w:type="gramStart"/>
      <w:r w:rsidRPr="008833AE">
        <w:t>take into account</w:t>
      </w:r>
      <w:proofErr w:type="gramEnd"/>
      <w:r w:rsidRPr="008833AE">
        <w:t xml:space="preserve"> other economic and financial data available to Treasury up to </w:t>
      </w:r>
      <w:r w:rsidR="0056190C" w:rsidRPr="002D2A1D">
        <w:t>1</w:t>
      </w:r>
      <w:r w:rsidR="002D2A1D" w:rsidRPr="002D2A1D">
        <w:t>2</w:t>
      </w:r>
      <w:r w:rsidR="0056190C" w:rsidRPr="002D2A1D">
        <w:t> </w:t>
      </w:r>
      <w:r w:rsidR="005067CB" w:rsidRPr="002D2A1D">
        <w:t xml:space="preserve">June </w:t>
      </w:r>
      <w:r w:rsidR="0015527F" w:rsidRPr="002D2A1D">
        <w:t>2019</w:t>
      </w:r>
      <w:r w:rsidRPr="002D2A1D">
        <w:t>,</w:t>
      </w:r>
      <w:r w:rsidRPr="008833AE">
        <w:t xml:space="preserve"> including </w:t>
      </w:r>
      <w:r w:rsidR="0038623D" w:rsidRPr="008833AE">
        <w:t>Commonwealth Government</w:t>
      </w:r>
      <w:r w:rsidRPr="008833AE">
        <w:t xml:space="preserve"> funding decisions announced in the </w:t>
      </w:r>
      <w:r w:rsidR="0015527F" w:rsidRPr="008833AE">
        <w:rPr>
          <w:i/>
        </w:rPr>
        <w:t>2019-20</w:t>
      </w:r>
      <w:r w:rsidR="005A0E87" w:rsidRPr="008833AE">
        <w:rPr>
          <w:i/>
        </w:rPr>
        <w:t xml:space="preserve"> </w:t>
      </w:r>
      <w:r w:rsidR="0038623D" w:rsidRPr="008833AE">
        <w:rPr>
          <w:i/>
        </w:rPr>
        <w:t>Commonwealth Government</w:t>
      </w:r>
      <w:r w:rsidR="008F5CD6" w:rsidRPr="008833AE">
        <w:rPr>
          <w:i/>
        </w:rPr>
        <w:t xml:space="preserve"> </w:t>
      </w:r>
      <w:r w:rsidR="00816F97" w:rsidRPr="008833AE">
        <w:rPr>
          <w:i/>
        </w:rPr>
        <w:t>B</w:t>
      </w:r>
      <w:r w:rsidRPr="008833AE">
        <w:rPr>
          <w:i/>
        </w:rPr>
        <w:t>udget</w:t>
      </w:r>
      <w:r w:rsidRPr="008833AE">
        <w:t>.</w:t>
      </w:r>
    </w:p>
    <w:p w14:paraId="2852CF1C" w14:textId="77777777" w:rsidR="0021493E" w:rsidRPr="008833AE" w:rsidRDefault="00437D43" w:rsidP="00AD1127">
      <w:pPr>
        <w:pStyle w:val="BodyText"/>
      </w:pPr>
      <w:r w:rsidRPr="008833AE">
        <w:t>In keeping with these principles, where the impact of a policy decision or planned event cannot be reliably estimated, the impact is not reflected within the Estimated Financial Statements (e.g. due to uncertainties regarding the timing and amount of future cash flows).</w:t>
      </w:r>
    </w:p>
    <w:p w14:paraId="00511393" w14:textId="77777777" w:rsidR="002F5437" w:rsidRDefault="002F5437">
      <w:pPr>
        <w:widowControl/>
        <w:tabs>
          <w:tab w:val="clear" w:pos="4196"/>
          <w:tab w:val="clear" w:pos="5046"/>
          <w:tab w:val="clear" w:pos="5897"/>
          <w:tab w:val="clear" w:pos="6747"/>
          <w:tab w:val="clear" w:pos="7598"/>
        </w:tabs>
        <w:autoSpaceDE/>
        <w:autoSpaceDN/>
        <w:rPr>
          <w:rFonts w:eastAsiaTheme="minorHAnsi"/>
          <w:sz w:val="23"/>
          <w:lang w:eastAsia="en-US"/>
        </w:rPr>
      </w:pPr>
      <w:r>
        <w:br w:type="page"/>
      </w:r>
    </w:p>
    <w:p w14:paraId="36A762CA" w14:textId="12772848" w:rsidR="00F024B2" w:rsidRPr="008833AE" w:rsidRDefault="00437D43" w:rsidP="00AD1127">
      <w:pPr>
        <w:pStyle w:val="BodyText"/>
      </w:pPr>
      <w:r w:rsidRPr="008833AE">
        <w:lastRenderedPageBreak/>
        <w:t>Any estimates or assumptions made in measuring revenue, expenses, other economic flows, assets or liabilities are based on the latest information available at the time, professional judg</w:t>
      </w:r>
      <w:r w:rsidR="004308EA" w:rsidRPr="008833AE">
        <w:t>e</w:t>
      </w:r>
      <w:r w:rsidRPr="008833AE">
        <w:t xml:space="preserve">ments derived from experience and other factors considered to be reasonable under the circumstances. Actual results may differ from such estimates. </w:t>
      </w:r>
      <w:r w:rsidR="00C15E66" w:rsidRPr="008833AE">
        <w:t>Key a</w:t>
      </w:r>
      <w:r w:rsidRPr="008833AE">
        <w:t xml:space="preserve">ssumptions are detailed below, under the headings </w:t>
      </w:r>
      <w:r w:rsidRPr="008833AE">
        <w:rPr>
          <w:i/>
        </w:rPr>
        <w:t>Material economic and other assumptions</w:t>
      </w:r>
      <w:r w:rsidRPr="008833AE">
        <w:t xml:space="preserve"> and </w:t>
      </w:r>
      <w:r w:rsidRPr="008833AE">
        <w:rPr>
          <w:i/>
        </w:rPr>
        <w:t>Summary of other key assumptions</w:t>
      </w:r>
      <w:r w:rsidRPr="008833AE">
        <w:t>.</w:t>
      </w:r>
      <w:r w:rsidR="00F024B2" w:rsidRPr="008833AE">
        <w:t xml:space="preserve">  </w:t>
      </w:r>
    </w:p>
    <w:p w14:paraId="4E85ABF5" w14:textId="77777777" w:rsidR="00437D43" w:rsidRPr="008833AE" w:rsidRDefault="00437D43" w:rsidP="00F024B2">
      <w:pPr>
        <w:pStyle w:val="Heading2"/>
        <w:rPr>
          <w:rFonts w:ascii="Arial" w:hAnsi="Arial" w:cs="Arial"/>
          <w:lang w:eastAsia="en-AU"/>
        </w:rPr>
      </w:pPr>
      <w:r w:rsidRPr="008833AE">
        <w:rPr>
          <w:rFonts w:ascii="Arial" w:hAnsi="Arial" w:cs="Arial"/>
          <w:lang w:eastAsia="en-AU"/>
        </w:rPr>
        <w:t xml:space="preserve">Accounting </w:t>
      </w:r>
      <w:r w:rsidR="008E3211" w:rsidRPr="008833AE">
        <w:rPr>
          <w:rFonts w:ascii="Arial" w:hAnsi="Arial" w:cs="Arial"/>
          <w:lang w:eastAsia="en-AU"/>
        </w:rPr>
        <w:t>p</w:t>
      </w:r>
      <w:r w:rsidRPr="008833AE">
        <w:rPr>
          <w:rFonts w:ascii="Arial" w:hAnsi="Arial" w:cs="Arial"/>
          <w:lang w:eastAsia="en-AU"/>
        </w:rPr>
        <w:t>olicies</w:t>
      </w:r>
    </w:p>
    <w:p w14:paraId="7922C844" w14:textId="77777777" w:rsidR="00437D43" w:rsidRPr="008833AE" w:rsidRDefault="00437D43" w:rsidP="00AD1127">
      <w:pPr>
        <w:pStyle w:val="BodyText"/>
      </w:pPr>
      <w:r w:rsidRPr="008833AE">
        <w:t xml:space="preserve">Australian Accounting Standards </w:t>
      </w:r>
      <w:r w:rsidR="004308EA" w:rsidRPr="008833AE">
        <w:t xml:space="preserve">(AAS) </w:t>
      </w:r>
      <w:r w:rsidRPr="008833AE">
        <w:t xml:space="preserve">do not include requirements or provide guidance on the preparation or presentation of prospective financial statements. However, recognition and measurement principles within </w:t>
      </w:r>
      <w:r w:rsidR="004308EA" w:rsidRPr="008833AE">
        <w:t>AAS</w:t>
      </w:r>
      <w:r w:rsidRPr="008833AE">
        <w:t xml:space="preserve"> have been applied in the presentation of the Estimated Financial Statements to the maximum extent possible.</w:t>
      </w:r>
    </w:p>
    <w:p w14:paraId="4669D8FB" w14:textId="0E7D608F" w:rsidR="00437D43" w:rsidRPr="008833AE" w:rsidRDefault="00437D43" w:rsidP="00AD1127">
      <w:pPr>
        <w:pStyle w:val="BodyText"/>
      </w:pPr>
      <w:r w:rsidRPr="008833AE">
        <w:t xml:space="preserve">The Estimated Financial Statements do not include the impact of </w:t>
      </w:r>
      <w:r w:rsidR="007A14B6" w:rsidRPr="008833AE">
        <w:t xml:space="preserve">major asset </w:t>
      </w:r>
      <w:r w:rsidRPr="008833AE">
        <w:t xml:space="preserve">transactions </w:t>
      </w:r>
      <w:r w:rsidR="001530AE">
        <w:t xml:space="preserve">until they are finalised. The financial impact of these </w:t>
      </w:r>
      <w:r w:rsidR="00132110" w:rsidRPr="008833AE">
        <w:t xml:space="preserve">future planned discontinuing operations or restructuring transactions </w:t>
      </w:r>
      <w:r w:rsidRPr="008833AE">
        <w:t>are not recognised due to the</w:t>
      </w:r>
      <w:r w:rsidR="004F2952" w:rsidRPr="008833AE">
        <w:t>ir</w:t>
      </w:r>
      <w:r w:rsidRPr="008833AE">
        <w:t xml:space="preserve"> commercial-in-confidence nature.</w:t>
      </w:r>
    </w:p>
    <w:p w14:paraId="5C5909E8" w14:textId="552EF0AA" w:rsidR="00165CDB" w:rsidRDefault="001F277D" w:rsidP="00AD1127">
      <w:pPr>
        <w:pStyle w:val="BodyText"/>
      </w:pPr>
      <w:bookmarkStart w:id="1" w:name="_Hlk516067149"/>
      <w:r w:rsidRPr="008833AE">
        <w:t>T</w:t>
      </w:r>
      <w:r w:rsidR="00437D43" w:rsidRPr="008833AE">
        <w:t xml:space="preserve">he </w:t>
      </w:r>
      <w:r w:rsidRPr="008833AE">
        <w:t>E</w:t>
      </w:r>
      <w:r w:rsidR="00437D43" w:rsidRPr="008833AE">
        <w:t xml:space="preserve">stimated </w:t>
      </w:r>
      <w:r w:rsidRPr="008833AE">
        <w:t>F</w:t>
      </w:r>
      <w:r w:rsidR="00437D43" w:rsidRPr="008833AE">
        <w:t xml:space="preserve">inancial </w:t>
      </w:r>
      <w:r w:rsidRPr="008833AE">
        <w:t>S</w:t>
      </w:r>
      <w:r w:rsidR="00437D43" w:rsidRPr="008833AE">
        <w:t>tatements</w:t>
      </w:r>
      <w:r w:rsidR="00F012A3" w:rsidRPr="008833AE">
        <w:t>,</w:t>
      </w:r>
      <w:r w:rsidR="008472C3" w:rsidRPr="008833AE">
        <w:t xml:space="preserve"> except for the 2018-19 revised estimates</w:t>
      </w:r>
      <w:r w:rsidR="00B848D2" w:rsidRPr="008833AE">
        <w:t>,</w:t>
      </w:r>
      <w:r w:rsidR="00437D43" w:rsidRPr="008833AE">
        <w:t xml:space="preserve"> adopt the accounting policies expected to be used in preparing general purpose financial statements for </w:t>
      </w:r>
      <w:r w:rsidR="002477DA" w:rsidRPr="008833AE">
        <w:t>201</w:t>
      </w:r>
      <w:r w:rsidR="0075396D" w:rsidRPr="008833AE">
        <w:t>9</w:t>
      </w:r>
      <w:r w:rsidR="005A0E87" w:rsidRPr="008833AE">
        <w:t>-</w:t>
      </w:r>
      <w:r w:rsidR="0075396D" w:rsidRPr="008833AE">
        <w:t>20</w:t>
      </w:r>
      <w:r w:rsidR="00437D43" w:rsidRPr="008833AE">
        <w:t>.</w:t>
      </w:r>
      <w:r w:rsidR="00CA1195" w:rsidRPr="008833AE">
        <w:t xml:space="preserve"> </w:t>
      </w:r>
      <w:r w:rsidR="006A0149" w:rsidRPr="006A0149">
        <w:t xml:space="preserve">This is a change from the 2018-19 Budget that was prepared on the basis of accounting policies expected to be used in preparing the </w:t>
      </w:r>
      <w:proofErr w:type="gramStart"/>
      <w:r w:rsidR="006A0149" w:rsidRPr="006A0149">
        <w:t>general</w:t>
      </w:r>
      <w:r w:rsidR="009507C7">
        <w:t xml:space="preserve"> </w:t>
      </w:r>
      <w:r w:rsidR="006A0149" w:rsidRPr="006A0149">
        <w:t>purpose</w:t>
      </w:r>
      <w:proofErr w:type="gramEnd"/>
      <w:r w:rsidR="006A0149" w:rsidRPr="006A0149">
        <w:t xml:space="preserve"> financial statements for 2017-18. This change was made to include the estimated impacts of new </w:t>
      </w:r>
      <w:r w:rsidR="0096418B">
        <w:t>AAS</w:t>
      </w:r>
      <w:r w:rsidR="006A0149" w:rsidRPr="006A0149">
        <w:t xml:space="preserve"> </w:t>
      </w:r>
      <w:r w:rsidR="001530AE">
        <w:t>effective from 2019-20</w:t>
      </w:r>
      <w:r w:rsidR="006A0149" w:rsidRPr="006A0149">
        <w:t>.</w:t>
      </w:r>
      <w:r w:rsidR="006A0149">
        <w:t xml:space="preserve">  </w:t>
      </w:r>
    </w:p>
    <w:p w14:paraId="3114B543" w14:textId="1F82CBB1" w:rsidR="00FC3EB7" w:rsidRPr="008833AE" w:rsidRDefault="006C682B" w:rsidP="00AD1127">
      <w:pPr>
        <w:pStyle w:val="BodyText"/>
      </w:pPr>
      <w:r w:rsidRPr="008833AE">
        <w:t xml:space="preserve">Except for the matters set out below under </w:t>
      </w:r>
      <w:r w:rsidRPr="008833AE">
        <w:rPr>
          <w:i/>
        </w:rPr>
        <w:t>Changes in accounting policies</w:t>
      </w:r>
      <w:r w:rsidR="00751F6B" w:rsidRPr="008833AE">
        <w:t xml:space="preserve"> and the adoption of AASB 9 </w:t>
      </w:r>
      <w:r w:rsidR="00751F6B" w:rsidRPr="008833AE">
        <w:rPr>
          <w:i/>
        </w:rPr>
        <w:t>Financial Instruments</w:t>
      </w:r>
      <w:r w:rsidR="00751F6B" w:rsidRPr="008833AE">
        <w:t xml:space="preserve"> </w:t>
      </w:r>
      <w:r w:rsidR="00DC6978">
        <w:t xml:space="preserve">(AASB 9) </w:t>
      </w:r>
      <w:r w:rsidR="00751F6B" w:rsidRPr="008833AE">
        <w:t>(</w:t>
      </w:r>
      <w:r w:rsidR="008575C1" w:rsidRPr="008833AE">
        <w:t>to be reflected in the</w:t>
      </w:r>
      <w:r w:rsidR="008575C1" w:rsidRPr="008833AE">
        <w:rPr>
          <w:i/>
        </w:rPr>
        <w:t xml:space="preserve"> Total State Sector Accounts 2018-19</w:t>
      </w:r>
      <w:r w:rsidR="00751F6B" w:rsidRPr="008833AE">
        <w:t>)</w:t>
      </w:r>
      <w:r w:rsidR="00751F6B" w:rsidRPr="008833AE">
        <w:rPr>
          <w:i/>
        </w:rPr>
        <w:t xml:space="preserve">, </w:t>
      </w:r>
      <w:r w:rsidR="007C039D">
        <w:t xml:space="preserve">the </w:t>
      </w:r>
      <w:r w:rsidR="00FC2B3A">
        <w:t xml:space="preserve">expected </w:t>
      </w:r>
      <w:r w:rsidR="007C039D">
        <w:t>2019-20</w:t>
      </w:r>
      <w:r w:rsidR="007C039D" w:rsidRPr="008833AE">
        <w:t xml:space="preserve"> </w:t>
      </w:r>
      <w:r w:rsidR="00165CDB">
        <w:t xml:space="preserve">accounting </w:t>
      </w:r>
      <w:r w:rsidR="00832865" w:rsidRPr="008833AE">
        <w:t xml:space="preserve">policies are not materially different from those applied in the </w:t>
      </w:r>
      <w:r w:rsidR="001469B8" w:rsidRPr="008833AE">
        <w:t xml:space="preserve">audited </w:t>
      </w:r>
      <w:r w:rsidR="00437D43" w:rsidRPr="008833AE">
        <w:rPr>
          <w:i/>
        </w:rPr>
        <w:t xml:space="preserve">Total State Sector Accounts </w:t>
      </w:r>
      <w:r w:rsidR="0015527F" w:rsidRPr="008833AE">
        <w:rPr>
          <w:i/>
        </w:rPr>
        <w:t>2017</w:t>
      </w:r>
      <w:r w:rsidR="00437D43" w:rsidRPr="008833AE">
        <w:rPr>
          <w:i/>
        </w:rPr>
        <w:t>-</w:t>
      </w:r>
      <w:r w:rsidR="0015527F" w:rsidRPr="008833AE">
        <w:rPr>
          <w:i/>
        </w:rPr>
        <w:t>18</w:t>
      </w:r>
      <w:r w:rsidR="00437D43" w:rsidRPr="008833AE">
        <w:t>.</w:t>
      </w:r>
      <w:r w:rsidR="00282EDF" w:rsidRPr="008833AE">
        <w:t xml:space="preserve">  </w:t>
      </w:r>
    </w:p>
    <w:p w14:paraId="099292A9" w14:textId="428D7253" w:rsidR="00282EDF" w:rsidRPr="008833AE" w:rsidRDefault="00AD1127" w:rsidP="00AD1127">
      <w:pPr>
        <w:pStyle w:val="BodyText"/>
      </w:pPr>
      <w:r w:rsidRPr="008833AE">
        <w:t xml:space="preserve">Note 1 </w:t>
      </w:r>
      <w:r w:rsidRPr="008833AE">
        <w:rPr>
          <w:i/>
        </w:rPr>
        <w:t>Statement of Significant Accounting Policies</w:t>
      </w:r>
      <w:r w:rsidRPr="008833AE">
        <w:t xml:space="preserve"> in the </w:t>
      </w:r>
      <w:r w:rsidRPr="008833AE">
        <w:rPr>
          <w:i/>
        </w:rPr>
        <w:t>Total State Sector Accounts 2017</w:t>
      </w:r>
      <w:r w:rsidR="00601BA9">
        <w:rPr>
          <w:i/>
        </w:rPr>
        <w:noBreakHyphen/>
      </w:r>
      <w:r w:rsidRPr="008833AE">
        <w:rPr>
          <w:i/>
        </w:rPr>
        <w:t xml:space="preserve">-18 </w:t>
      </w:r>
      <w:r w:rsidRPr="008833AE">
        <w:t>outl</w:t>
      </w:r>
      <w:r w:rsidR="00B66387" w:rsidRPr="008833AE">
        <w:t>i</w:t>
      </w:r>
      <w:r w:rsidRPr="008833AE">
        <w:t xml:space="preserve">nes </w:t>
      </w:r>
      <w:r w:rsidR="00282EDF" w:rsidRPr="008833AE">
        <w:t>significant accounting policies, including the principles of consolidation, significant accounting judgements and estimates, and the recognition and measurement policies for revenue, expenses, other economic flows, assets and liabilities.</w:t>
      </w:r>
    </w:p>
    <w:p w14:paraId="4CA0E1E6" w14:textId="77CD1805" w:rsidR="002B162D" w:rsidRPr="008833AE" w:rsidRDefault="00CA2E65" w:rsidP="009071A7">
      <w:pPr>
        <w:pStyle w:val="BodyText"/>
      </w:pPr>
      <w:r w:rsidRPr="008833AE">
        <w:t xml:space="preserve">To ensure that the 2018-19 revised estimates </w:t>
      </w:r>
      <w:r w:rsidR="0089528F" w:rsidRPr="008833AE">
        <w:t>have been</w:t>
      </w:r>
      <w:r w:rsidRPr="008833AE">
        <w:t xml:space="preserve"> prepared on a consistent basis </w:t>
      </w:r>
      <w:r w:rsidR="005E33A3">
        <w:t>with</w:t>
      </w:r>
      <w:r w:rsidR="005E33A3" w:rsidRPr="008833AE">
        <w:t xml:space="preserve"> </w:t>
      </w:r>
      <w:r w:rsidRPr="008833AE">
        <w:t>the 2018-19 actual financial results,</w:t>
      </w:r>
      <w:r w:rsidRPr="008833AE" w:rsidDel="005A2375">
        <w:t xml:space="preserve"> </w:t>
      </w:r>
      <w:r w:rsidR="002C3089" w:rsidRPr="008833AE">
        <w:t xml:space="preserve">the revised estimates do not reflect the new </w:t>
      </w:r>
      <w:r w:rsidR="002B4169" w:rsidRPr="008833AE">
        <w:t>a</w:t>
      </w:r>
      <w:r w:rsidR="002C3089" w:rsidRPr="008833AE">
        <w:t xml:space="preserve">ccounting </w:t>
      </w:r>
      <w:r w:rsidR="002B4169" w:rsidRPr="008833AE">
        <w:t>s</w:t>
      </w:r>
      <w:r w:rsidR="002C3089" w:rsidRPr="008833AE">
        <w:t>tandards that are only effective from 1 July 2019.  Consequently, t</w:t>
      </w:r>
      <w:r w:rsidR="002C3089" w:rsidRPr="008833AE" w:rsidDel="005A2375">
        <w:t xml:space="preserve">he </w:t>
      </w:r>
      <w:r w:rsidR="00AD1127" w:rsidRPr="008833AE" w:rsidDel="005A2375">
        <w:t xml:space="preserve">revised estimates for </w:t>
      </w:r>
      <w:r w:rsidR="00747C27" w:rsidRPr="008833AE" w:rsidDel="005A2375">
        <w:t xml:space="preserve">2018-19 </w:t>
      </w:r>
      <w:r w:rsidR="00AD6159" w:rsidRPr="008833AE" w:rsidDel="005A2375">
        <w:t>have</w:t>
      </w:r>
      <w:r w:rsidR="00AD1127" w:rsidRPr="008833AE" w:rsidDel="005A2375">
        <w:t xml:space="preserve"> </w:t>
      </w:r>
      <w:r w:rsidR="00747C27" w:rsidRPr="008833AE" w:rsidDel="005A2375">
        <w:t>not been prepared on the same basis as the budget and forward estimate</w:t>
      </w:r>
      <w:r w:rsidR="00DA22E7" w:rsidRPr="008833AE" w:rsidDel="005A2375">
        <w:t xml:space="preserve"> years</w:t>
      </w:r>
      <w:r w:rsidR="00AD1127" w:rsidRPr="008833AE" w:rsidDel="005A2375">
        <w:t>.</w:t>
      </w:r>
      <w:r w:rsidR="00747C27" w:rsidRPr="008833AE" w:rsidDel="005A2375">
        <w:t xml:space="preserve"> </w:t>
      </w:r>
    </w:p>
    <w:p w14:paraId="0F718CED" w14:textId="0F58F67F" w:rsidR="00437D43" w:rsidRPr="008833AE" w:rsidRDefault="00437D43" w:rsidP="00C85B20">
      <w:pPr>
        <w:pStyle w:val="Heading2"/>
        <w:rPr>
          <w:rFonts w:ascii="Arial" w:hAnsi="Arial" w:cs="Arial"/>
        </w:rPr>
      </w:pPr>
      <w:r w:rsidRPr="008833AE">
        <w:rPr>
          <w:rFonts w:ascii="Arial" w:hAnsi="Arial" w:cs="Arial"/>
        </w:rPr>
        <w:t>Change</w:t>
      </w:r>
      <w:r w:rsidR="00291E64" w:rsidRPr="008833AE">
        <w:rPr>
          <w:rFonts w:ascii="Arial" w:hAnsi="Arial" w:cs="Arial"/>
        </w:rPr>
        <w:t>s</w:t>
      </w:r>
      <w:r w:rsidRPr="008833AE">
        <w:rPr>
          <w:rFonts w:ascii="Arial" w:hAnsi="Arial" w:cs="Arial"/>
        </w:rPr>
        <w:t xml:space="preserve"> in </w:t>
      </w:r>
      <w:r w:rsidR="008E3211" w:rsidRPr="008833AE">
        <w:rPr>
          <w:rFonts w:ascii="Arial" w:hAnsi="Arial" w:cs="Arial"/>
        </w:rPr>
        <w:t>a</w:t>
      </w:r>
      <w:r w:rsidRPr="008833AE">
        <w:rPr>
          <w:rFonts w:ascii="Arial" w:hAnsi="Arial" w:cs="Arial"/>
        </w:rPr>
        <w:t xml:space="preserve">ccounting </w:t>
      </w:r>
      <w:r w:rsidR="008E3211" w:rsidRPr="008833AE">
        <w:rPr>
          <w:rFonts w:ascii="Arial" w:hAnsi="Arial" w:cs="Arial"/>
        </w:rPr>
        <w:t>p</w:t>
      </w:r>
      <w:r w:rsidRPr="008833AE">
        <w:rPr>
          <w:rFonts w:ascii="Arial" w:hAnsi="Arial" w:cs="Arial"/>
        </w:rPr>
        <w:t>olicies</w:t>
      </w:r>
    </w:p>
    <w:p w14:paraId="1271FC9A" w14:textId="121F660A" w:rsidR="00DC6978" w:rsidRDefault="00DC6978" w:rsidP="00AD1127">
      <w:pPr>
        <w:pStyle w:val="BodyText"/>
      </w:pPr>
      <w:r w:rsidRPr="008833AE">
        <w:t xml:space="preserve">The Estimated Financial Statements apply </w:t>
      </w:r>
      <w:r>
        <w:t>AASB 9</w:t>
      </w:r>
      <w:r w:rsidR="001530AE">
        <w:t xml:space="preserve"> </w:t>
      </w:r>
      <w:r w:rsidR="00EE2192">
        <w:t xml:space="preserve">for all years presented.  AASB 9 </w:t>
      </w:r>
      <w:r w:rsidR="001530AE">
        <w:t xml:space="preserve">is effective from </w:t>
      </w:r>
      <w:proofErr w:type="gramStart"/>
      <w:r w:rsidR="001530AE">
        <w:t>1 July 2018, and</w:t>
      </w:r>
      <w:proofErr w:type="gramEnd"/>
      <w:r w:rsidR="001530AE">
        <w:t xml:space="preserve"> </w:t>
      </w:r>
      <w:r w:rsidR="00EE2192">
        <w:t>resulted in changes in accounting policies on classifications and measurement of financial assets and liabilities.</w:t>
      </w:r>
    </w:p>
    <w:p w14:paraId="0393682F" w14:textId="2AED49F9" w:rsidR="003C12F7" w:rsidRPr="008833AE" w:rsidRDefault="00AD1127" w:rsidP="00AD1127">
      <w:pPr>
        <w:pStyle w:val="BodyText"/>
      </w:pPr>
      <w:r w:rsidRPr="008833AE">
        <w:t xml:space="preserve">The Estimated Financial Statements apply for the first time </w:t>
      </w:r>
      <w:r w:rsidR="008D440F" w:rsidRPr="008833AE">
        <w:t xml:space="preserve">AASB 15 </w:t>
      </w:r>
      <w:r w:rsidR="008D440F" w:rsidRPr="008833AE">
        <w:rPr>
          <w:i/>
        </w:rPr>
        <w:t>Revenue from Contracts with Customers</w:t>
      </w:r>
      <w:r w:rsidR="008D440F" w:rsidRPr="008833AE">
        <w:t xml:space="preserve"> (AASB 15)</w:t>
      </w:r>
      <w:r w:rsidRPr="008833AE">
        <w:t xml:space="preserve">, </w:t>
      </w:r>
      <w:r w:rsidR="008D440F" w:rsidRPr="008833AE">
        <w:t xml:space="preserve">AASB 1058 </w:t>
      </w:r>
      <w:r w:rsidR="008D440F" w:rsidRPr="008833AE">
        <w:rPr>
          <w:i/>
        </w:rPr>
        <w:t>In</w:t>
      </w:r>
      <w:r w:rsidR="00DC4E82">
        <w:rPr>
          <w:i/>
        </w:rPr>
        <w:tab/>
      </w:r>
      <w:r w:rsidR="008D440F" w:rsidRPr="008833AE">
        <w:rPr>
          <w:i/>
        </w:rPr>
        <w:t>come of Not-for-Profit Entities</w:t>
      </w:r>
      <w:r w:rsidR="008D440F" w:rsidRPr="008833AE">
        <w:t xml:space="preserve"> (AASB 1058) and AASB 16 </w:t>
      </w:r>
      <w:r w:rsidR="008D440F" w:rsidRPr="008833AE">
        <w:rPr>
          <w:i/>
        </w:rPr>
        <w:t>Leases</w:t>
      </w:r>
      <w:r w:rsidR="008D440F" w:rsidRPr="008833AE">
        <w:t xml:space="preserve"> (AASB 16) </w:t>
      </w:r>
      <w:r w:rsidRPr="008833AE">
        <w:t xml:space="preserve">– </w:t>
      </w:r>
      <w:r w:rsidR="003C12F7" w:rsidRPr="008833AE">
        <w:t xml:space="preserve">for </w:t>
      </w:r>
      <w:r w:rsidR="00AE079C" w:rsidRPr="008833AE">
        <w:t xml:space="preserve">the </w:t>
      </w:r>
      <w:r w:rsidR="003C12F7" w:rsidRPr="008833AE">
        <w:t xml:space="preserve">2019-20 </w:t>
      </w:r>
      <w:r w:rsidRPr="008833AE">
        <w:t>estimates and beyond</w:t>
      </w:r>
      <w:r w:rsidR="003C12F7" w:rsidRPr="008833AE">
        <w:t>.</w:t>
      </w:r>
      <w:r w:rsidR="00E955BB" w:rsidRPr="008833AE">
        <w:t xml:space="preserve">  The nature and effect of the changes </w:t>
      </w:r>
      <w:r w:rsidR="000D0890" w:rsidRPr="008833AE">
        <w:t>are</w:t>
      </w:r>
      <w:r w:rsidRPr="008833AE">
        <w:t xml:space="preserve"> outlined in detail</w:t>
      </w:r>
      <w:r w:rsidR="00E955BB" w:rsidRPr="008833AE">
        <w:t xml:space="preserve"> below.</w:t>
      </w:r>
    </w:p>
    <w:p w14:paraId="06C38526" w14:textId="0D931CAE" w:rsidR="00AD1127" w:rsidRPr="008833AE" w:rsidRDefault="00AD1127" w:rsidP="00AD1127">
      <w:pPr>
        <w:pStyle w:val="BodyText"/>
        <w:rPr>
          <w:b/>
        </w:rPr>
      </w:pPr>
      <w:r w:rsidRPr="008833AE">
        <w:rPr>
          <w:b/>
        </w:rPr>
        <w:t xml:space="preserve">AASB 15 </w:t>
      </w:r>
      <w:r w:rsidRPr="008833AE">
        <w:rPr>
          <w:b/>
          <w:i/>
        </w:rPr>
        <w:t>Revenue from Contracts with Customers</w:t>
      </w:r>
    </w:p>
    <w:p w14:paraId="4980EF52" w14:textId="51AEA104" w:rsidR="00C819F4" w:rsidRPr="008833AE" w:rsidRDefault="00C819F4" w:rsidP="00AD1127">
      <w:pPr>
        <w:pStyle w:val="BodyText"/>
      </w:pPr>
      <w:r w:rsidRPr="008833AE">
        <w:t>AASB 15 establishes a five-step model to account for revenue arising from contracts with customers</w:t>
      </w:r>
      <w:r w:rsidR="00AD1127" w:rsidRPr="008833AE">
        <w:t>. It</w:t>
      </w:r>
      <w:r w:rsidR="00401A5B" w:rsidRPr="008833AE">
        <w:t xml:space="preserve"> requires </w:t>
      </w:r>
      <w:r w:rsidRPr="008833AE">
        <w:t xml:space="preserve">revenue </w:t>
      </w:r>
      <w:r w:rsidR="00A36DF7" w:rsidRPr="008833AE">
        <w:t xml:space="preserve">to be </w:t>
      </w:r>
      <w:r w:rsidRPr="008833AE">
        <w:t xml:space="preserve">recognised at an amount that reflects the consideration to which an entity expects to be entitled in exchange for transferring goods or services to a customer.    </w:t>
      </w:r>
    </w:p>
    <w:p w14:paraId="63A182BB" w14:textId="5CF1B56C" w:rsidR="002F5437" w:rsidRDefault="00704E2B" w:rsidP="0047013A">
      <w:pPr>
        <w:pStyle w:val="BodyText"/>
      </w:pPr>
      <w:r w:rsidRPr="008833AE">
        <w:lastRenderedPageBreak/>
        <w:t>N</w:t>
      </w:r>
      <w:r w:rsidR="00AD1127" w:rsidRPr="008833AE">
        <w:t>ot-for</w:t>
      </w:r>
      <w:r w:rsidR="001530AE">
        <w:t>-p</w:t>
      </w:r>
      <w:r w:rsidR="00AD1127" w:rsidRPr="008833AE">
        <w:t xml:space="preserve">rofit entities </w:t>
      </w:r>
      <w:r w:rsidR="009E2160">
        <w:t xml:space="preserve">(including the public sector) </w:t>
      </w:r>
      <w:r w:rsidR="00AD1127" w:rsidRPr="008833AE">
        <w:t xml:space="preserve">need to determine whether a transaction is a donation (accounted for under AASB 1058) or a contract with a customer (accounted for under AASB 15). </w:t>
      </w:r>
    </w:p>
    <w:p w14:paraId="59378853" w14:textId="3DF4EE92" w:rsidR="00AD1127" w:rsidRPr="008833AE" w:rsidRDefault="00325CC7" w:rsidP="00AD1127">
      <w:pPr>
        <w:pStyle w:val="BodyText"/>
      </w:pPr>
      <w:r w:rsidRPr="008833AE">
        <w:t>The i</w:t>
      </w:r>
      <w:r w:rsidR="00A650BA" w:rsidRPr="008833AE">
        <w:t xml:space="preserve">mpact from the adoption of AASB 15 is </w:t>
      </w:r>
      <w:r w:rsidR="003B63B1">
        <w:t xml:space="preserve">expected to </w:t>
      </w:r>
      <w:r w:rsidR="00A650BA" w:rsidRPr="008833AE">
        <w:t>mainly relate to</w:t>
      </w:r>
      <w:r w:rsidR="00154C04" w:rsidRPr="008833AE">
        <w:t xml:space="preserve"> the recognition of revenue from non-intellectual property licenses.</w:t>
      </w:r>
      <w:r w:rsidR="001530AE">
        <w:t xml:space="preserve"> </w:t>
      </w:r>
      <w:r w:rsidR="00C65D95" w:rsidRPr="008833AE">
        <w:t>Cash received upfront</w:t>
      </w:r>
      <w:r w:rsidR="00253E27" w:rsidRPr="008833AE">
        <w:t xml:space="preserve"> on most long-term licenses was previously recorded as unearned income liability under ‘Other liabilities’ and recognised as revenue progressively over the license period. AASB 15 require</w:t>
      </w:r>
      <w:r w:rsidR="00154C04" w:rsidRPr="008833AE">
        <w:t xml:space="preserve">s </w:t>
      </w:r>
      <w:r w:rsidR="00DE0115" w:rsidRPr="008833AE">
        <w:t xml:space="preserve">that </w:t>
      </w:r>
      <w:r w:rsidR="00154C04" w:rsidRPr="008833AE">
        <w:t>revenue</w:t>
      </w:r>
      <w:r w:rsidR="00253E27" w:rsidRPr="008833AE">
        <w:t xml:space="preserve"> </w:t>
      </w:r>
      <w:r w:rsidR="00DE0115" w:rsidRPr="008833AE">
        <w:t xml:space="preserve">from licences without further performance obligations are </w:t>
      </w:r>
      <w:r w:rsidR="00253E27" w:rsidRPr="008833AE">
        <w:t>recognised at the issuance of the license</w:t>
      </w:r>
      <w:r w:rsidR="001530AE">
        <w:t>s</w:t>
      </w:r>
      <w:r w:rsidR="00253E27" w:rsidRPr="008833AE">
        <w:t xml:space="preserve"> from 2019-20 onwards. Therefore, unearned income liabilities in respect of some licenses ha</w:t>
      </w:r>
      <w:r w:rsidR="00DE0115" w:rsidRPr="008833AE">
        <w:t>ve</w:t>
      </w:r>
      <w:r w:rsidR="00253E27" w:rsidRPr="008833AE">
        <w:t xml:space="preserve"> been reversed effective 1 July 2019.</w:t>
      </w:r>
    </w:p>
    <w:p w14:paraId="792A4F5A" w14:textId="7EDC8FAD" w:rsidR="00457EB0" w:rsidRPr="008833AE" w:rsidRDefault="002D6743" w:rsidP="002D6743">
      <w:pPr>
        <w:pStyle w:val="TableA2X"/>
      </w:pPr>
      <w:r w:rsidRPr="008833AE">
        <w:t>Impact of AASB 15</w:t>
      </w:r>
    </w:p>
    <w:tbl>
      <w:tblPr>
        <w:tblW w:w="9786" w:type="dxa"/>
        <w:tblLook w:val="04A0" w:firstRow="1" w:lastRow="0" w:firstColumn="1" w:lastColumn="0" w:noHBand="0" w:noVBand="1"/>
      </w:tblPr>
      <w:tblGrid>
        <w:gridCol w:w="5070"/>
        <w:gridCol w:w="1179"/>
        <w:gridCol w:w="1179"/>
        <w:gridCol w:w="1179"/>
        <w:gridCol w:w="1179"/>
      </w:tblGrid>
      <w:tr w:rsidR="00457EB0" w:rsidRPr="008833AE" w14:paraId="7D0A8240" w14:textId="77777777" w:rsidTr="008833AE">
        <w:trPr>
          <w:trHeight w:val="300"/>
        </w:trPr>
        <w:tc>
          <w:tcPr>
            <w:tcW w:w="5070" w:type="dxa"/>
            <w:tcBorders>
              <w:top w:val="nil"/>
              <w:left w:val="nil"/>
              <w:bottom w:val="nil"/>
              <w:right w:val="nil"/>
            </w:tcBorders>
            <w:shd w:val="clear" w:color="auto" w:fill="00ABE6"/>
            <w:vAlign w:val="center"/>
            <w:hideMark/>
          </w:tcPr>
          <w:p w14:paraId="574C5255" w14:textId="77777777" w:rsidR="00457EB0" w:rsidRPr="008833AE" w:rsidRDefault="00457EB0" w:rsidP="006A1C77">
            <w:pPr>
              <w:jc w:val="both"/>
              <w:rPr>
                <w:color w:val="FFFFFF"/>
                <w:sz w:val="18"/>
                <w:szCs w:val="18"/>
              </w:rPr>
            </w:pPr>
          </w:p>
        </w:tc>
        <w:tc>
          <w:tcPr>
            <w:tcW w:w="1179" w:type="dxa"/>
            <w:tcBorders>
              <w:top w:val="nil"/>
              <w:left w:val="nil"/>
              <w:bottom w:val="nil"/>
              <w:right w:val="nil"/>
            </w:tcBorders>
            <w:shd w:val="clear" w:color="auto" w:fill="00ABE6"/>
            <w:vAlign w:val="center"/>
          </w:tcPr>
          <w:p w14:paraId="25FF6A89" w14:textId="77777777" w:rsidR="00457EB0" w:rsidRPr="008833AE" w:rsidRDefault="00457EB0" w:rsidP="006A1C77">
            <w:pPr>
              <w:jc w:val="center"/>
              <w:rPr>
                <w:color w:val="FFFFFF"/>
                <w:sz w:val="18"/>
                <w:szCs w:val="18"/>
              </w:rPr>
            </w:pPr>
            <w:r w:rsidRPr="008833AE">
              <w:rPr>
                <w:color w:val="FFFFFF"/>
                <w:sz w:val="18"/>
                <w:szCs w:val="18"/>
              </w:rPr>
              <w:t>2019-20</w:t>
            </w:r>
          </w:p>
        </w:tc>
        <w:tc>
          <w:tcPr>
            <w:tcW w:w="1179" w:type="dxa"/>
            <w:tcBorders>
              <w:top w:val="nil"/>
              <w:left w:val="nil"/>
              <w:bottom w:val="nil"/>
              <w:right w:val="nil"/>
            </w:tcBorders>
            <w:shd w:val="clear" w:color="auto" w:fill="00ABE6"/>
            <w:vAlign w:val="center"/>
          </w:tcPr>
          <w:p w14:paraId="52A6D393" w14:textId="77777777" w:rsidR="00457EB0" w:rsidRPr="008833AE" w:rsidRDefault="00457EB0" w:rsidP="006A1C77">
            <w:pPr>
              <w:jc w:val="center"/>
              <w:rPr>
                <w:color w:val="FFFFFF"/>
                <w:sz w:val="18"/>
                <w:szCs w:val="18"/>
              </w:rPr>
            </w:pPr>
            <w:r w:rsidRPr="008833AE">
              <w:rPr>
                <w:color w:val="FFFFFF"/>
                <w:sz w:val="18"/>
                <w:szCs w:val="18"/>
              </w:rPr>
              <w:t>2020-21</w:t>
            </w:r>
          </w:p>
        </w:tc>
        <w:tc>
          <w:tcPr>
            <w:tcW w:w="1179" w:type="dxa"/>
            <w:tcBorders>
              <w:top w:val="nil"/>
              <w:left w:val="nil"/>
              <w:bottom w:val="nil"/>
              <w:right w:val="nil"/>
            </w:tcBorders>
            <w:shd w:val="clear" w:color="auto" w:fill="00ABE6"/>
            <w:vAlign w:val="center"/>
          </w:tcPr>
          <w:p w14:paraId="650F8504" w14:textId="77777777" w:rsidR="00457EB0" w:rsidRPr="008833AE" w:rsidRDefault="00457EB0" w:rsidP="006A1C77">
            <w:pPr>
              <w:jc w:val="center"/>
              <w:rPr>
                <w:color w:val="FFFFFF"/>
                <w:sz w:val="18"/>
                <w:szCs w:val="18"/>
              </w:rPr>
            </w:pPr>
            <w:r w:rsidRPr="008833AE">
              <w:rPr>
                <w:color w:val="FFFFFF"/>
                <w:sz w:val="18"/>
                <w:szCs w:val="18"/>
              </w:rPr>
              <w:t>2021-22</w:t>
            </w:r>
          </w:p>
        </w:tc>
        <w:tc>
          <w:tcPr>
            <w:tcW w:w="1179" w:type="dxa"/>
            <w:tcBorders>
              <w:top w:val="nil"/>
              <w:left w:val="nil"/>
              <w:bottom w:val="nil"/>
              <w:right w:val="nil"/>
            </w:tcBorders>
            <w:shd w:val="clear" w:color="auto" w:fill="00ABE6"/>
            <w:vAlign w:val="center"/>
          </w:tcPr>
          <w:p w14:paraId="1F6EE9C2" w14:textId="77777777" w:rsidR="00457EB0" w:rsidRPr="008833AE" w:rsidRDefault="00457EB0" w:rsidP="006A1C77">
            <w:pPr>
              <w:jc w:val="center"/>
              <w:rPr>
                <w:color w:val="FFFFFF"/>
                <w:sz w:val="18"/>
                <w:szCs w:val="18"/>
              </w:rPr>
            </w:pPr>
            <w:r w:rsidRPr="008833AE">
              <w:rPr>
                <w:color w:val="FFFFFF"/>
                <w:sz w:val="18"/>
                <w:szCs w:val="18"/>
              </w:rPr>
              <w:t>2022-23</w:t>
            </w:r>
          </w:p>
        </w:tc>
      </w:tr>
      <w:tr w:rsidR="00457EB0" w:rsidRPr="008833AE" w14:paraId="1B09D98D" w14:textId="77777777" w:rsidTr="008833AE">
        <w:trPr>
          <w:trHeight w:val="300"/>
        </w:trPr>
        <w:tc>
          <w:tcPr>
            <w:tcW w:w="5070" w:type="dxa"/>
            <w:tcBorders>
              <w:top w:val="nil"/>
              <w:left w:val="nil"/>
              <w:right w:val="nil"/>
            </w:tcBorders>
            <w:shd w:val="clear" w:color="auto" w:fill="0A7CB9"/>
            <w:vAlign w:val="center"/>
            <w:hideMark/>
          </w:tcPr>
          <w:p w14:paraId="1733DC18" w14:textId="77777777" w:rsidR="00457EB0" w:rsidRPr="008833AE" w:rsidRDefault="00457EB0" w:rsidP="006A1C77">
            <w:pPr>
              <w:jc w:val="both"/>
              <w:rPr>
                <w:color w:val="FFFFFF"/>
                <w:sz w:val="18"/>
                <w:szCs w:val="18"/>
              </w:rPr>
            </w:pPr>
          </w:p>
        </w:tc>
        <w:tc>
          <w:tcPr>
            <w:tcW w:w="1179" w:type="dxa"/>
            <w:tcBorders>
              <w:top w:val="nil"/>
              <w:left w:val="nil"/>
              <w:right w:val="nil"/>
            </w:tcBorders>
            <w:shd w:val="clear" w:color="auto" w:fill="0A7CB9"/>
            <w:vAlign w:val="center"/>
          </w:tcPr>
          <w:p w14:paraId="3B8F4E86" w14:textId="77777777" w:rsidR="00457EB0" w:rsidRPr="008833AE" w:rsidRDefault="00457EB0" w:rsidP="006A1C77">
            <w:pPr>
              <w:jc w:val="center"/>
              <w:rPr>
                <w:color w:val="FFFFFF"/>
                <w:sz w:val="18"/>
                <w:szCs w:val="18"/>
              </w:rPr>
            </w:pPr>
            <w:r w:rsidRPr="008833AE">
              <w:rPr>
                <w:color w:val="FFFFFF"/>
                <w:sz w:val="18"/>
                <w:szCs w:val="18"/>
              </w:rPr>
              <w:t>Budget</w:t>
            </w:r>
          </w:p>
        </w:tc>
        <w:tc>
          <w:tcPr>
            <w:tcW w:w="3537" w:type="dxa"/>
            <w:gridSpan w:val="3"/>
            <w:tcBorders>
              <w:top w:val="nil"/>
              <w:left w:val="nil"/>
              <w:right w:val="nil"/>
            </w:tcBorders>
            <w:shd w:val="clear" w:color="auto" w:fill="0A7CB9"/>
            <w:vAlign w:val="center"/>
          </w:tcPr>
          <w:p w14:paraId="03C4414D" w14:textId="77777777" w:rsidR="00457EB0" w:rsidRPr="008833AE" w:rsidRDefault="00457EB0" w:rsidP="006A1C77">
            <w:pPr>
              <w:jc w:val="center"/>
              <w:rPr>
                <w:color w:val="FFFFFF"/>
                <w:sz w:val="18"/>
                <w:szCs w:val="18"/>
              </w:rPr>
            </w:pPr>
            <w:r w:rsidRPr="008833AE">
              <w:rPr>
                <w:color w:val="FFFFFF"/>
                <w:sz w:val="18"/>
                <w:szCs w:val="18"/>
              </w:rPr>
              <w:t>Forward Estimates</w:t>
            </w:r>
          </w:p>
        </w:tc>
      </w:tr>
      <w:tr w:rsidR="007D015E" w:rsidRPr="008833AE" w14:paraId="73188499" w14:textId="77777777" w:rsidTr="008833AE">
        <w:trPr>
          <w:trHeight w:val="64"/>
        </w:trPr>
        <w:tc>
          <w:tcPr>
            <w:tcW w:w="5070" w:type="dxa"/>
            <w:tcBorders>
              <w:top w:val="nil"/>
              <w:left w:val="nil"/>
              <w:bottom w:val="nil"/>
              <w:right w:val="nil"/>
            </w:tcBorders>
            <w:shd w:val="clear" w:color="000000" w:fill="FFFFFF"/>
            <w:vAlign w:val="center"/>
          </w:tcPr>
          <w:p w14:paraId="456A2992" w14:textId="77777777" w:rsidR="007D015E" w:rsidRPr="008833AE" w:rsidRDefault="007D015E" w:rsidP="00E376F6">
            <w:pPr>
              <w:spacing w:before="40" w:after="40"/>
              <w:rPr>
                <w:b/>
                <w:color w:val="00ABE6"/>
                <w:sz w:val="18"/>
                <w:szCs w:val="18"/>
              </w:rPr>
            </w:pPr>
          </w:p>
        </w:tc>
        <w:tc>
          <w:tcPr>
            <w:tcW w:w="1179" w:type="dxa"/>
            <w:tcBorders>
              <w:top w:val="nil"/>
              <w:left w:val="nil"/>
              <w:right w:val="nil"/>
            </w:tcBorders>
          </w:tcPr>
          <w:p w14:paraId="14C9965D" w14:textId="404D6B70" w:rsidR="007D015E" w:rsidRPr="008833AE" w:rsidRDefault="007D015E" w:rsidP="00E376F6">
            <w:pPr>
              <w:spacing w:before="20" w:after="20"/>
              <w:jc w:val="center"/>
              <w:rPr>
                <w:color w:val="00ABE6"/>
                <w:sz w:val="18"/>
                <w:szCs w:val="18"/>
              </w:rPr>
            </w:pPr>
            <w:r>
              <w:rPr>
                <w:color w:val="00ABE6"/>
                <w:sz w:val="18"/>
                <w:szCs w:val="18"/>
              </w:rPr>
              <w:t>$m</w:t>
            </w:r>
          </w:p>
        </w:tc>
        <w:tc>
          <w:tcPr>
            <w:tcW w:w="1179" w:type="dxa"/>
            <w:tcBorders>
              <w:top w:val="nil"/>
              <w:left w:val="nil"/>
              <w:right w:val="nil"/>
            </w:tcBorders>
          </w:tcPr>
          <w:p w14:paraId="149A3CD6" w14:textId="5614BA11" w:rsidR="007D015E" w:rsidRPr="008833AE" w:rsidRDefault="007D015E" w:rsidP="00E376F6">
            <w:pPr>
              <w:spacing w:before="20" w:after="20"/>
              <w:jc w:val="center"/>
              <w:rPr>
                <w:color w:val="00ABE6"/>
                <w:sz w:val="18"/>
                <w:szCs w:val="18"/>
              </w:rPr>
            </w:pPr>
            <w:r>
              <w:rPr>
                <w:color w:val="00ABE6"/>
                <w:sz w:val="18"/>
                <w:szCs w:val="18"/>
              </w:rPr>
              <w:t>$m</w:t>
            </w:r>
          </w:p>
        </w:tc>
        <w:tc>
          <w:tcPr>
            <w:tcW w:w="1179" w:type="dxa"/>
            <w:tcBorders>
              <w:top w:val="nil"/>
              <w:left w:val="nil"/>
              <w:right w:val="nil"/>
            </w:tcBorders>
          </w:tcPr>
          <w:p w14:paraId="7C1CA96B" w14:textId="625603A4" w:rsidR="007D015E" w:rsidRPr="008833AE" w:rsidRDefault="007D015E" w:rsidP="00E376F6">
            <w:pPr>
              <w:spacing w:before="20" w:after="20"/>
              <w:jc w:val="center"/>
              <w:rPr>
                <w:color w:val="00ABE6"/>
                <w:sz w:val="18"/>
                <w:szCs w:val="18"/>
              </w:rPr>
            </w:pPr>
            <w:r>
              <w:rPr>
                <w:color w:val="00ABE6"/>
                <w:sz w:val="18"/>
                <w:szCs w:val="18"/>
              </w:rPr>
              <w:t>$m</w:t>
            </w:r>
          </w:p>
        </w:tc>
        <w:tc>
          <w:tcPr>
            <w:tcW w:w="1179" w:type="dxa"/>
            <w:tcBorders>
              <w:top w:val="nil"/>
              <w:left w:val="nil"/>
              <w:right w:val="nil"/>
            </w:tcBorders>
          </w:tcPr>
          <w:p w14:paraId="729C593E" w14:textId="7B0FB29B" w:rsidR="007D015E" w:rsidRPr="008833AE" w:rsidRDefault="007D015E" w:rsidP="00E376F6">
            <w:pPr>
              <w:spacing w:before="20" w:after="20"/>
              <w:jc w:val="center"/>
              <w:rPr>
                <w:color w:val="00ABE6"/>
                <w:sz w:val="18"/>
                <w:szCs w:val="18"/>
              </w:rPr>
            </w:pPr>
            <w:r>
              <w:rPr>
                <w:color w:val="00ABE6"/>
                <w:sz w:val="18"/>
                <w:szCs w:val="18"/>
              </w:rPr>
              <w:t>$m</w:t>
            </w:r>
          </w:p>
        </w:tc>
      </w:tr>
      <w:tr w:rsidR="008833AE" w:rsidRPr="008833AE" w14:paraId="2E0CCBA0" w14:textId="77777777" w:rsidTr="008833AE">
        <w:trPr>
          <w:trHeight w:val="64"/>
        </w:trPr>
        <w:tc>
          <w:tcPr>
            <w:tcW w:w="5070" w:type="dxa"/>
            <w:tcBorders>
              <w:top w:val="nil"/>
              <w:left w:val="nil"/>
              <w:bottom w:val="nil"/>
              <w:right w:val="nil"/>
            </w:tcBorders>
            <w:shd w:val="clear" w:color="000000" w:fill="FFFFFF"/>
            <w:vAlign w:val="center"/>
          </w:tcPr>
          <w:p w14:paraId="63EBC100" w14:textId="77777777" w:rsidR="00E376F6" w:rsidRPr="008833AE" w:rsidRDefault="00E376F6" w:rsidP="00E376F6">
            <w:pPr>
              <w:spacing w:before="40" w:after="40"/>
              <w:rPr>
                <w:b/>
                <w:i/>
                <w:color w:val="00ABE6"/>
                <w:sz w:val="18"/>
                <w:szCs w:val="18"/>
              </w:rPr>
            </w:pPr>
            <w:r w:rsidRPr="008833AE">
              <w:rPr>
                <w:b/>
                <w:color w:val="00ABE6"/>
                <w:sz w:val="18"/>
                <w:szCs w:val="18"/>
              </w:rPr>
              <w:t>Estimated GGS operating statement</w:t>
            </w:r>
          </w:p>
        </w:tc>
        <w:tc>
          <w:tcPr>
            <w:tcW w:w="1179" w:type="dxa"/>
            <w:tcBorders>
              <w:top w:val="nil"/>
              <w:left w:val="nil"/>
              <w:right w:val="nil"/>
            </w:tcBorders>
          </w:tcPr>
          <w:p w14:paraId="6658017A" w14:textId="1DDD12F9" w:rsidR="00E376F6" w:rsidRPr="008833AE" w:rsidRDefault="00E376F6" w:rsidP="00E376F6">
            <w:pPr>
              <w:spacing w:before="20" w:after="20"/>
              <w:jc w:val="center"/>
              <w:rPr>
                <w:color w:val="00ABE6"/>
                <w:sz w:val="18"/>
                <w:szCs w:val="18"/>
              </w:rPr>
            </w:pPr>
          </w:p>
        </w:tc>
        <w:tc>
          <w:tcPr>
            <w:tcW w:w="1179" w:type="dxa"/>
            <w:tcBorders>
              <w:top w:val="nil"/>
              <w:left w:val="nil"/>
              <w:right w:val="nil"/>
            </w:tcBorders>
          </w:tcPr>
          <w:p w14:paraId="593D9569" w14:textId="6F07EB5C" w:rsidR="00E376F6" w:rsidRPr="008833AE" w:rsidRDefault="00E376F6" w:rsidP="00E376F6">
            <w:pPr>
              <w:spacing w:before="20" w:after="20"/>
              <w:jc w:val="center"/>
              <w:rPr>
                <w:color w:val="00ABE6"/>
                <w:sz w:val="18"/>
                <w:szCs w:val="18"/>
              </w:rPr>
            </w:pPr>
          </w:p>
        </w:tc>
        <w:tc>
          <w:tcPr>
            <w:tcW w:w="1179" w:type="dxa"/>
            <w:tcBorders>
              <w:top w:val="nil"/>
              <w:left w:val="nil"/>
              <w:right w:val="nil"/>
            </w:tcBorders>
          </w:tcPr>
          <w:p w14:paraId="2A99D329" w14:textId="5B4011D4" w:rsidR="00E376F6" w:rsidRPr="008833AE" w:rsidRDefault="00E376F6" w:rsidP="00E376F6">
            <w:pPr>
              <w:spacing w:before="20" w:after="20"/>
              <w:jc w:val="center"/>
              <w:rPr>
                <w:color w:val="00ABE6"/>
                <w:sz w:val="18"/>
                <w:szCs w:val="18"/>
              </w:rPr>
            </w:pPr>
          </w:p>
        </w:tc>
        <w:tc>
          <w:tcPr>
            <w:tcW w:w="1179" w:type="dxa"/>
            <w:tcBorders>
              <w:top w:val="nil"/>
              <w:left w:val="nil"/>
              <w:right w:val="nil"/>
            </w:tcBorders>
          </w:tcPr>
          <w:p w14:paraId="6A468297" w14:textId="4346F820" w:rsidR="00E376F6" w:rsidRPr="008833AE" w:rsidRDefault="00E376F6" w:rsidP="00E376F6">
            <w:pPr>
              <w:spacing w:before="20" w:after="20"/>
              <w:jc w:val="center"/>
              <w:rPr>
                <w:color w:val="00ABE6"/>
                <w:sz w:val="18"/>
                <w:szCs w:val="18"/>
              </w:rPr>
            </w:pPr>
          </w:p>
        </w:tc>
      </w:tr>
      <w:tr w:rsidR="007808D0" w:rsidRPr="008833AE" w14:paraId="31B5D0AD" w14:textId="77777777" w:rsidTr="008833AE">
        <w:trPr>
          <w:trHeight w:val="64"/>
        </w:trPr>
        <w:tc>
          <w:tcPr>
            <w:tcW w:w="5070" w:type="dxa"/>
            <w:tcBorders>
              <w:top w:val="nil"/>
              <w:left w:val="nil"/>
              <w:right w:val="nil"/>
            </w:tcBorders>
            <w:shd w:val="clear" w:color="000000" w:fill="FFFFFF"/>
            <w:vAlign w:val="center"/>
          </w:tcPr>
          <w:p w14:paraId="3BEC7AC3" w14:textId="77777777" w:rsidR="007808D0" w:rsidRPr="008833AE" w:rsidRDefault="007808D0" w:rsidP="007808D0">
            <w:pPr>
              <w:spacing w:before="40" w:after="40"/>
              <w:rPr>
                <w:sz w:val="18"/>
                <w:szCs w:val="18"/>
              </w:rPr>
            </w:pPr>
            <w:r w:rsidRPr="008833AE">
              <w:rPr>
                <w:sz w:val="18"/>
                <w:szCs w:val="18"/>
              </w:rPr>
              <w:t>Revenue from transactions</w:t>
            </w:r>
          </w:p>
        </w:tc>
        <w:tc>
          <w:tcPr>
            <w:tcW w:w="1179" w:type="dxa"/>
            <w:tcBorders>
              <w:top w:val="nil"/>
              <w:left w:val="nil"/>
              <w:right w:val="nil"/>
            </w:tcBorders>
            <w:vAlign w:val="center"/>
          </w:tcPr>
          <w:p w14:paraId="7A2E692C" w14:textId="2F2D2037" w:rsidR="007808D0" w:rsidRPr="008833AE" w:rsidRDefault="007808D0" w:rsidP="008833AE">
            <w:pPr>
              <w:spacing w:before="20" w:after="20"/>
              <w:ind w:left="-399" w:right="225"/>
              <w:jc w:val="right"/>
              <w:rPr>
                <w:sz w:val="18"/>
                <w:szCs w:val="18"/>
              </w:rPr>
            </w:pPr>
            <w:r w:rsidRPr="008833AE">
              <w:rPr>
                <w:sz w:val="18"/>
                <w:szCs w:val="18"/>
              </w:rPr>
              <w:t xml:space="preserve">19 </w:t>
            </w:r>
          </w:p>
        </w:tc>
        <w:tc>
          <w:tcPr>
            <w:tcW w:w="1179" w:type="dxa"/>
            <w:tcBorders>
              <w:top w:val="nil"/>
              <w:left w:val="nil"/>
              <w:right w:val="nil"/>
            </w:tcBorders>
            <w:vAlign w:val="center"/>
          </w:tcPr>
          <w:p w14:paraId="6185B11F" w14:textId="4A17D575" w:rsidR="007808D0" w:rsidRPr="008833AE" w:rsidRDefault="007808D0" w:rsidP="008833AE">
            <w:pPr>
              <w:spacing w:before="20" w:after="20"/>
              <w:ind w:left="-399" w:right="225"/>
              <w:jc w:val="right"/>
              <w:rPr>
                <w:sz w:val="18"/>
                <w:szCs w:val="18"/>
              </w:rPr>
            </w:pPr>
            <w:r w:rsidRPr="008833AE">
              <w:rPr>
                <w:sz w:val="18"/>
                <w:szCs w:val="18"/>
              </w:rPr>
              <w:t>(21)</w:t>
            </w:r>
          </w:p>
        </w:tc>
        <w:tc>
          <w:tcPr>
            <w:tcW w:w="1179" w:type="dxa"/>
            <w:tcBorders>
              <w:top w:val="nil"/>
              <w:left w:val="nil"/>
              <w:right w:val="nil"/>
            </w:tcBorders>
            <w:vAlign w:val="center"/>
          </w:tcPr>
          <w:p w14:paraId="60E8E114" w14:textId="29394689" w:rsidR="007808D0" w:rsidRPr="008833AE" w:rsidRDefault="007808D0" w:rsidP="008833AE">
            <w:pPr>
              <w:spacing w:before="20" w:after="20"/>
              <w:ind w:left="-399" w:right="225"/>
              <w:jc w:val="right"/>
              <w:rPr>
                <w:sz w:val="18"/>
                <w:szCs w:val="18"/>
              </w:rPr>
            </w:pPr>
            <w:r w:rsidRPr="008833AE">
              <w:rPr>
                <w:sz w:val="18"/>
                <w:szCs w:val="18"/>
              </w:rPr>
              <w:t>(18)</w:t>
            </w:r>
          </w:p>
        </w:tc>
        <w:tc>
          <w:tcPr>
            <w:tcW w:w="1179" w:type="dxa"/>
            <w:tcBorders>
              <w:top w:val="nil"/>
              <w:left w:val="nil"/>
              <w:right w:val="nil"/>
            </w:tcBorders>
            <w:vAlign w:val="center"/>
          </w:tcPr>
          <w:p w14:paraId="610FAEE7" w14:textId="4E57BB45" w:rsidR="007808D0" w:rsidRPr="008833AE" w:rsidRDefault="007808D0" w:rsidP="008833AE">
            <w:pPr>
              <w:spacing w:before="20" w:after="20"/>
              <w:ind w:left="-399" w:right="225"/>
              <w:jc w:val="right"/>
              <w:rPr>
                <w:sz w:val="18"/>
                <w:szCs w:val="18"/>
              </w:rPr>
            </w:pPr>
            <w:r w:rsidRPr="008833AE">
              <w:rPr>
                <w:sz w:val="18"/>
                <w:szCs w:val="18"/>
              </w:rPr>
              <w:t>(17)</w:t>
            </w:r>
          </w:p>
        </w:tc>
      </w:tr>
      <w:tr w:rsidR="00E376F6" w:rsidRPr="008833AE" w14:paraId="0D4E682C" w14:textId="77777777" w:rsidTr="008833AE">
        <w:trPr>
          <w:trHeight w:val="64"/>
        </w:trPr>
        <w:tc>
          <w:tcPr>
            <w:tcW w:w="5070" w:type="dxa"/>
            <w:tcBorders>
              <w:top w:val="nil"/>
              <w:left w:val="nil"/>
              <w:bottom w:val="single" w:sz="4" w:space="0" w:color="auto"/>
              <w:right w:val="nil"/>
            </w:tcBorders>
            <w:shd w:val="clear" w:color="000000" w:fill="FFFFFF"/>
            <w:vAlign w:val="center"/>
          </w:tcPr>
          <w:p w14:paraId="271340E2" w14:textId="77777777" w:rsidR="00E376F6" w:rsidRPr="008833AE" w:rsidRDefault="00E376F6" w:rsidP="00E376F6">
            <w:pPr>
              <w:spacing w:before="40" w:after="40"/>
              <w:rPr>
                <w:i/>
                <w:sz w:val="18"/>
                <w:szCs w:val="18"/>
              </w:rPr>
            </w:pPr>
            <w:r w:rsidRPr="008833AE">
              <w:rPr>
                <w:sz w:val="18"/>
                <w:szCs w:val="18"/>
              </w:rPr>
              <w:t>Expenses from transactions</w:t>
            </w:r>
            <w:r w:rsidRPr="008833AE">
              <w:rPr>
                <w:i/>
                <w:sz w:val="18"/>
                <w:szCs w:val="18"/>
              </w:rPr>
              <w:t xml:space="preserve"> </w:t>
            </w:r>
          </w:p>
        </w:tc>
        <w:tc>
          <w:tcPr>
            <w:tcW w:w="1179" w:type="dxa"/>
            <w:tcBorders>
              <w:top w:val="nil"/>
              <w:left w:val="nil"/>
              <w:bottom w:val="single" w:sz="4" w:space="0" w:color="auto"/>
              <w:right w:val="nil"/>
            </w:tcBorders>
            <w:vAlign w:val="center"/>
          </w:tcPr>
          <w:p w14:paraId="28ACF53F" w14:textId="22A162C3" w:rsidR="00E376F6" w:rsidRPr="008833AE" w:rsidRDefault="008833AE" w:rsidP="008833AE">
            <w:pPr>
              <w:spacing w:before="20" w:after="20"/>
              <w:ind w:left="-399" w:right="225"/>
              <w:jc w:val="right"/>
              <w:rPr>
                <w:sz w:val="18"/>
                <w:szCs w:val="18"/>
              </w:rPr>
            </w:pPr>
            <w:r w:rsidRPr="008833AE">
              <w:rPr>
                <w:sz w:val="18"/>
                <w:szCs w:val="18"/>
              </w:rPr>
              <w:t>…</w:t>
            </w:r>
          </w:p>
        </w:tc>
        <w:tc>
          <w:tcPr>
            <w:tcW w:w="1179" w:type="dxa"/>
            <w:tcBorders>
              <w:top w:val="nil"/>
              <w:left w:val="nil"/>
              <w:bottom w:val="single" w:sz="4" w:space="0" w:color="auto"/>
              <w:right w:val="nil"/>
            </w:tcBorders>
            <w:vAlign w:val="center"/>
          </w:tcPr>
          <w:p w14:paraId="0E492EE2" w14:textId="02746698" w:rsidR="00E376F6" w:rsidRPr="008833AE" w:rsidRDefault="008833AE" w:rsidP="008833AE">
            <w:pPr>
              <w:spacing w:before="20" w:after="20"/>
              <w:ind w:left="-399" w:right="225"/>
              <w:jc w:val="right"/>
              <w:rPr>
                <w:sz w:val="18"/>
                <w:szCs w:val="18"/>
              </w:rPr>
            </w:pPr>
            <w:r w:rsidRPr="008833AE">
              <w:rPr>
                <w:sz w:val="18"/>
                <w:szCs w:val="18"/>
              </w:rPr>
              <w:t>…</w:t>
            </w:r>
          </w:p>
        </w:tc>
        <w:tc>
          <w:tcPr>
            <w:tcW w:w="1179" w:type="dxa"/>
            <w:tcBorders>
              <w:top w:val="nil"/>
              <w:left w:val="nil"/>
              <w:bottom w:val="single" w:sz="4" w:space="0" w:color="auto"/>
              <w:right w:val="nil"/>
            </w:tcBorders>
            <w:vAlign w:val="center"/>
          </w:tcPr>
          <w:p w14:paraId="28984209" w14:textId="5B63D330" w:rsidR="00E376F6" w:rsidRPr="008833AE" w:rsidRDefault="008833AE" w:rsidP="008833AE">
            <w:pPr>
              <w:spacing w:before="20" w:after="20"/>
              <w:ind w:left="-399" w:right="225"/>
              <w:jc w:val="right"/>
              <w:rPr>
                <w:sz w:val="18"/>
                <w:szCs w:val="18"/>
              </w:rPr>
            </w:pPr>
            <w:r w:rsidRPr="008833AE">
              <w:rPr>
                <w:sz w:val="18"/>
                <w:szCs w:val="18"/>
              </w:rPr>
              <w:t>…</w:t>
            </w:r>
          </w:p>
        </w:tc>
        <w:tc>
          <w:tcPr>
            <w:tcW w:w="1179" w:type="dxa"/>
            <w:tcBorders>
              <w:top w:val="nil"/>
              <w:left w:val="nil"/>
              <w:bottom w:val="single" w:sz="4" w:space="0" w:color="auto"/>
              <w:right w:val="nil"/>
            </w:tcBorders>
            <w:vAlign w:val="center"/>
          </w:tcPr>
          <w:p w14:paraId="742A1401" w14:textId="7D17C119" w:rsidR="00E376F6" w:rsidRPr="008833AE" w:rsidRDefault="008833AE" w:rsidP="008833AE">
            <w:pPr>
              <w:spacing w:before="20" w:after="20"/>
              <w:ind w:left="-399" w:right="225"/>
              <w:jc w:val="right"/>
              <w:rPr>
                <w:sz w:val="18"/>
                <w:szCs w:val="18"/>
              </w:rPr>
            </w:pPr>
            <w:r w:rsidRPr="008833AE">
              <w:rPr>
                <w:sz w:val="18"/>
                <w:szCs w:val="18"/>
              </w:rPr>
              <w:t>…</w:t>
            </w:r>
          </w:p>
        </w:tc>
      </w:tr>
      <w:tr w:rsidR="008833AE" w:rsidRPr="008833AE" w14:paraId="7E34955E" w14:textId="77777777" w:rsidTr="008833AE">
        <w:trPr>
          <w:trHeight w:val="96"/>
        </w:trPr>
        <w:tc>
          <w:tcPr>
            <w:tcW w:w="5070" w:type="dxa"/>
            <w:tcBorders>
              <w:top w:val="single" w:sz="4" w:space="0" w:color="auto"/>
              <w:left w:val="nil"/>
              <w:right w:val="nil"/>
            </w:tcBorders>
            <w:shd w:val="clear" w:color="000000" w:fill="FFFFFF"/>
            <w:vAlign w:val="center"/>
          </w:tcPr>
          <w:p w14:paraId="13FF1290" w14:textId="77777777" w:rsidR="007808D0" w:rsidRPr="008833AE" w:rsidRDefault="007808D0" w:rsidP="007808D0">
            <w:pPr>
              <w:spacing w:before="40" w:after="40"/>
              <w:rPr>
                <w:b/>
                <w:color w:val="00ABE6"/>
                <w:sz w:val="18"/>
                <w:szCs w:val="18"/>
              </w:rPr>
            </w:pPr>
            <w:r w:rsidRPr="008833AE">
              <w:rPr>
                <w:b/>
                <w:color w:val="00ABE6"/>
                <w:sz w:val="18"/>
                <w:szCs w:val="18"/>
              </w:rPr>
              <w:t xml:space="preserve">Budget result </w:t>
            </w:r>
          </w:p>
        </w:tc>
        <w:tc>
          <w:tcPr>
            <w:tcW w:w="1179" w:type="dxa"/>
            <w:tcBorders>
              <w:top w:val="single" w:sz="4" w:space="0" w:color="auto"/>
              <w:left w:val="nil"/>
              <w:right w:val="nil"/>
            </w:tcBorders>
            <w:shd w:val="clear" w:color="000000" w:fill="FFFFFF"/>
            <w:vAlign w:val="center"/>
          </w:tcPr>
          <w:p w14:paraId="3B77E917" w14:textId="190C8676" w:rsidR="007808D0" w:rsidRPr="008833AE" w:rsidRDefault="007808D0" w:rsidP="008833AE">
            <w:pPr>
              <w:spacing w:before="20" w:after="20"/>
              <w:ind w:left="-399" w:right="225"/>
              <w:jc w:val="right"/>
              <w:rPr>
                <w:b/>
                <w:color w:val="00ABE6"/>
                <w:sz w:val="18"/>
                <w:szCs w:val="18"/>
              </w:rPr>
            </w:pPr>
            <w:r w:rsidRPr="008833AE">
              <w:rPr>
                <w:b/>
                <w:color w:val="00ABE6"/>
                <w:sz w:val="18"/>
                <w:szCs w:val="18"/>
              </w:rPr>
              <w:t xml:space="preserve">19 </w:t>
            </w:r>
          </w:p>
        </w:tc>
        <w:tc>
          <w:tcPr>
            <w:tcW w:w="1179" w:type="dxa"/>
            <w:tcBorders>
              <w:top w:val="single" w:sz="4" w:space="0" w:color="auto"/>
              <w:left w:val="nil"/>
              <w:right w:val="nil"/>
            </w:tcBorders>
            <w:shd w:val="clear" w:color="000000" w:fill="FFFFFF"/>
            <w:vAlign w:val="center"/>
          </w:tcPr>
          <w:p w14:paraId="0235FBD7" w14:textId="5F32E672" w:rsidR="007808D0" w:rsidRPr="008833AE" w:rsidRDefault="007808D0" w:rsidP="008833AE">
            <w:pPr>
              <w:spacing w:before="20" w:after="20"/>
              <w:ind w:left="-399" w:right="225"/>
              <w:jc w:val="right"/>
              <w:rPr>
                <w:b/>
                <w:color w:val="00ABE6"/>
                <w:sz w:val="18"/>
                <w:szCs w:val="18"/>
              </w:rPr>
            </w:pPr>
            <w:r w:rsidRPr="008833AE">
              <w:rPr>
                <w:b/>
                <w:color w:val="00ABE6"/>
                <w:sz w:val="18"/>
                <w:szCs w:val="18"/>
              </w:rPr>
              <w:t>(21)</w:t>
            </w:r>
          </w:p>
        </w:tc>
        <w:tc>
          <w:tcPr>
            <w:tcW w:w="1179" w:type="dxa"/>
            <w:tcBorders>
              <w:top w:val="single" w:sz="4" w:space="0" w:color="auto"/>
              <w:left w:val="nil"/>
              <w:right w:val="nil"/>
            </w:tcBorders>
            <w:shd w:val="clear" w:color="000000" w:fill="FFFFFF"/>
            <w:vAlign w:val="center"/>
          </w:tcPr>
          <w:p w14:paraId="6C0B0A78" w14:textId="53D5F10B" w:rsidR="007808D0" w:rsidRPr="008833AE" w:rsidRDefault="007808D0" w:rsidP="008833AE">
            <w:pPr>
              <w:spacing w:before="20" w:after="20"/>
              <w:ind w:left="-399" w:right="225"/>
              <w:jc w:val="right"/>
              <w:rPr>
                <w:b/>
                <w:color w:val="00ABE6"/>
                <w:sz w:val="18"/>
                <w:szCs w:val="18"/>
              </w:rPr>
            </w:pPr>
            <w:r w:rsidRPr="008833AE">
              <w:rPr>
                <w:b/>
                <w:color w:val="00ABE6"/>
                <w:sz w:val="18"/>
                <w:szCs w:val="18"/>
              </w:rPr>
              <w:t>(18)</w:t>
            </w:r>
          </w:p>
        </w:tc>
        <w:tc>
          <w:tcPr>
            <w:tcW w:w="1179" w:type="dxa"/>
            <w:tcBorders>
              <w:top w:val="single" w:sz="4" w:space="0" w:color="auto"/>
              <w:left w:val="nil"/>
              <w:right w:val="nil"/>
            </w:tcBorders>
            <w:shd w:val="clear" w:color="000000" w:fill="FFFFFF"/>
            <w:vAlign w:val="center"/>
          </w:tcPr>
          <w:p w14:paraId="7E9D939B" w14:textId="266D97B1" w:rsidR="007808D0" w:rsidRPr="008833AE" w:rsidRDefault="007808D0" w:rsidP="008833AE">
            <w:pPr>
              <w:spacing w:before="20" w:after="20"/>
              <w:ind w:left="-399" w:right="225"/>
              <w:jc w:val="right"/>
              <w:rPr>
                <w:b/>
                <w:color w:val="00ABE6"/>
                <w:sz w:val="18"/>
                <w:szCs w:val="18"/>
              </w:rPr>
            </w:pPr>
            <w:r w:rsidRPr="008833AE">
              <w:rPr>
                <w:b/>
                <w:color w:val="00ABE6"/>
                <w:sz w:val="18"/>
                <w:szCs w:val="18"/>
              </w:rPr>
              <w:t>(17)</w:t>
            </w:r>
          </w:p>
        </w:tc>
      </w:tr>
      <w:tr w:rsidR="00E376F6" w:rsidRPr="008833AE" w14:paraId="7B25BF4A" w14:textId="77777777" w:rsidTr="008833AE">
        <w:trPr>
          <w:trHeight w:val="64"/>
        </w:trPr>
        <w:tc>
          <w:tcPr>
            <w:tcW w:w="5070" w:type="dxa"/>
            <w:tcBorders>
              <w:left w:val="nil"/>
              <w:bottom w:val="single" w:sz="4" w:space="0" w:color="auto"/>
              <w:right w:val="nil"/>
            </w:tcBorders>
            <w:shd w:val="clear" w:color="000000" w:fill="FFFFFF"/>
          </w:tcPr>
          <w:p w14:paraId="4253454A" w14:textId="77777777" w:rsidR="00E376F6" w:rsidRPr="008833AE" w:rsidRDefault="00E376F6" w:rsidP="00E376F6">
            <w:pPr>
              <w:spacing w:before="40" w:after="40"/>
              <w:rPr>
                <w:sz w:val="18"/>
                <w:szCs w:val="18"/>
              </w:rPr>
            </w:pPr>
            <w:r w:rsidRPr="008833AE">
              <w:rPr>
                <w:sz w:val="18"/>
                <w:szCs w:val="18"/>
              </w:rPr>
              <w:t>Other economic flows - included in operating result</w:t>
            </w:r>
          </w:p>
        </w:tc>
        <w:tc>
          <w:tcPr>
            <w:tcW w:w="1179" w:type="dxa"/>
            <w:tcBorders>
              <w:left w:val="nil"/>
              <w:bottom w:val="single" w:sz="4" w:space="0" w:color="auto"/>
              <w:right w:val="nil"/>
            </w:tcBorders>
            <w:shd w:val="clear" w:color="000000" w:fill="FFFFFF"/>
            <w:vAlign w:val="center"/>
          </w:tcPr>
          <w:p w14:paraId="0F95F164" w14:textId="4C6FA19E" w:rsidR="00E376F6" w:rsidRPr="008833AE" w:rsidRDefault="00E376F6" w:rsidP="008833AE">
            <w:pPr>
              <w:spacing w:before="20" w:after="20"/>
              <w:ind w:left="-399" w:right="225"/>
              <w:jc w:val="right"/>
              <w:rPr>
                <w:sz w:val="18"/>
                <w:szCs w:val="18"/>
              </w:rPr>
            </w:pPr>
            <w:r w:rsidRPr="008833AE">
              <w:rPr>
                <w:sz w:val="18"/>
                <w:szCs w:val="18"/>
              </w:rPr>
              <w:t>(6)</w:t>
            </w:r>
          </w:p>
        </w:tc>
        <w:tc>
          <w:tcPr>
            <w:tcW w:w="1179" w:type="dxa"/>
            <w:tcBorders>
              <w:left w:val="nil"/>
              <w:bottom w:val="single" w:sz="4" w:space="0" w:color="auto"/>
              <w:right w:val="nil"/>
            </w:tcBorders>
            <w:shd w:val="clear" w:color="000000" w:fill="FFFFFF"/>
            <w:vAlign w:val="center"/>
          </w:tcPr>
          <w:p w14:paraId="065A4413" w14:textId="2DB1F900" w:rsidR="00E376F6" w:rsidRPr="008833AE" w:rsidRDefault="00E376F6" w:rsidP="008833AE">
            <w:pPr>
              <w:spacing w:before="20" w:after="20"/>
              <w:ind w:left="-399" w:right="225"/>
              <w:jc w:val="right"/>
              <w:rPr>
                <w:sz w:val="18"/>
                <w:szCs w:val="18"/>
              </w:rPr>
            </w:pPr>
            <w:r w:rsidRPr="008833AE">
              <w:rPr>
                <w:sz w:val="18"/>
                <w:szCs w:val="18"/>
              </w:rPr>
              <w:t>(6)</w:t>
            </w:r>
          </w:p>
        </w:tc>
        <w:tc>
          <w:tcPr>
            <w:tcW w:w="1179" w:type="dxa"/>
            <w:tcBorders>
              <w:left w:val="nil"/>
              <w:bottom w:val="single" w:sz="4" w:space="0" w:color="auto"/>
              <w:right w:val="nil"/>
            </w:tcBorders>
            <w:shd w:val="clear" w:color="000000" w:fill="FFFFFF"/>
            <w:vAlign w:val="center"/>
          </w:tcPr>
          <w:p w14:paraId="4FF24FF6" w14:textId="1FAA3A3C" w:rsidR="00E376F6" w:rsidRPr="008833AE" w:rsidRDefault="00E376F6" w:rsidP="008833AE">
            <w:pPr>
              <w:spacing w:before="20" w:after="20"/>
              <w:ind w:left="-399" w:right="225"/>
              <w:jc w:val="right"/>
              <w:rPr>
                <w:sz w:val="18"/>
                <w:szCs w:val="18"/>
              </w:rPr>
            </w:pPr>
            <w:r w:rsidRPr="008833AE">
              <w:rPr>
                <w:sz w:val="18"/>
                <w:szCs w:val="18"/>
              </w:rPr>
              <w:t>(6)</w:t>
            </w:r>
          </w:p>
        </w:tc>
        <w:tc>
          <w:tcPr>
            <w:tcW w:w="1179" w:type="dxa"/>
            <w:tcBorders>
              <w:left w:val="nil"/>
              <w:bottom w:val="single" w:sz="4" w:space="0" w:color="auto"/>
              <w:right w:val="nil"/>
            </w:tcBorders>
            <w:shd w:val="clear" w:color="000000" w:fill="FFFFFF"/>
            <w:vAlign w:val="center"/>
          </w:tcPr>
          <w:p w14:paraId="1DF28003" w14:textId="6088E357" w:rsidR="00E376F6" w:rsidRPr="008833AE" w:rsidRDefault="00E376F6" w:rsidP="008833AE">
            <w:pPr>
              <w:spacing w:before="20" w:after="20"/>
              <w:ind w:left="-399" w:right="225"/>
              <w:jc w:val="right"/>
              <w:rPr>
                <w:sz w:val="18"/>
                <w:szCs w:val="18"/>
              </w:rPr>
            </w:pPr>
            <w:r w:rsidRPr="008833AE">
              <w:rPr>
                <w:sz w:val="18"/>
                <w:szCs w:val="18"/>
              </w:rPr>
              <w:t>(6)</w:t>
            </w:r>
          </w:p>
        </w:tc>
      </w:tr>
      <w:tr w:rsidR="008833AE" w:rsidRPr="008833AE" w14:paraId="0B3CDF53" w14:textId="77777777" w:rsidTr="008833AE">
        <w:trPr>
          <w:trHeight w:val="340"/>
        </w:trPr>
        <w:tc>
          <w:tcPr>
            <w:tcW w:w="5070" w:type="dxa"/>
            <w:tcBorders>
              <w:top w:val="single" w:sz="4" w:space="0" w:color="auto"/>
              <w:left w:val="nil"/>
              <w:bottom w:val="single" w:sz="4" w:space="0" w:color="auto"/>
              <w:right w:val="nil"/>
            </w:tcBorders>
            <w:shd w:val="clear" w:color="000000" w:fill="FFFFFF"/>
          </w:tcPr>
          <w:p w14:paraId="72286FAB" w14:textId="77777777" w:rsidR="0091409C" w:rsidRPr="008833AE" w:rsidRDefault="0091409C" w:rsidP="0091409C">
            <w:pPr>
              <w:spacing w:before="40" w:after="40"/>
              <w:rPr>
                <w:b/>
                <w:color w:val="00ABE6"/>
                <w:sz w:val="18"/>
                <w:szCs w:val="18"/>
              </w:rPr>
            </w:pPr>
            <w:r w:rsidRPr="008833AE">
              <w:rPr>
                <w:b/>
                <w:color w:val="00ABE6"/>
                <w:sz w:val="18"/>
                <w:szCs w:val="18"/>
              </w:rPr>
              <w:t>Operating result</w:t>
            </w:r>
          </w:p>
        </w:tc>
        <w:tc>
          <w:tcPr>
            <w:tcW w:w="1179" w:type="dxa"/>
            <w:tcBorders>
              <w:top w:val="single" w:sz="4" w:space="0" w:color="auto"/>
              <w:left w:val="nil"/>
              <w:bottom w:val="single" w:sz="4" w:space="0" w:color="auto"/>
              <w:right w:val="nil"/>
            </w:tcBorders>
            <w:shd w:val="clear" w:color="000000" w:fill="FFFFFF"/>
            <w:vAlign w:val="center"/>
          </w:tcPr>
          <w:p w14:paraId="1450E1A5" w14:textId="5B3FEF91" w:rsidR="0091409C" w:rsidRPr="008833AE" w:rsidRDefault="0091409C" w:rsidP="008833AE">
            <w:pPr>
              <w:spacing w:before="20" w:after="20"/>
              <w:ind w:left="-399" w:right="225"/>
              <w:jc w:val="right"/>
              <w:rPr>
                <w:b/>
                <w:color w:val="00ABE6"/>
                <w:sz w:val="18"/>
                <w:szCs w:val="18"/>
              </w:rPr>
            </w:pPr>
            <w:r w:rsidRPr="008833AE">
              <w:rPr>
                <w:b/>
                <w:color w:val="00ABE6"/>
                <w:sz w:val="18"/>
                <w:szCs w:val="18"/>
              </w:rPr>
              <w:t xml:space="preserve">13 </w:t>
            </w:r>
          </w:p>
        </w:tc>
        <w:tc>
          <w:tcPr>
            <w:tcW w:w="1179" w:type="dxa"/>
            <w:tcBorders>
              <w:top w:val="single" w:sz="4" w:space="0" w:color="auto"/>
              <w:left w:val="nil"/>
              <w:bottom w:val="single" w:sz="4" w:space="0" w:color="auto"/>
              <w:right w:val="nil"/>
            </w:tcBorders>
            <w:shd w:val="clear" w:color="000000" w:fill="FFFFFF"/>
            <w:vAlign w:val="center"/>
          </w:tcPr>
          <w:p w14:paraId="7DED276B" w14:textId="44422E1F" w:rsidR="0091409C" w:rsidRPr="008833AE" w:rsidRDefault="0091409C" w:rsidP="008833AE">
            <w:pPr>
              <w:spacing w:before="20" w:after="20"/>
              <w:ind w:left="-399" w:right="225"/>
              <w:jc w:val="right"/>
              <w:rPr>
                <w:b/>
                <w:color w:val="00ABE6"/>
                <w:sz w:val="18"/>
                <w:szCs w:val="18"/>
              </w:rPr>
            </w:pPr>
            <w:r w:rsidRPr="008833AE">
              <w:rPr>
                <w:b/>
                <w:color w:val="00ABE6"/>
                <w:sz w:val="18"/>
                <w:szCs w:val="18"/>
              </w:rPr>
              <w:t>(27)</w:t>
            </w:r>
          </w:p>
        </w:tc>
        <w:tc>
          <w:tcPr>
            <w:tcW w:w="1179" w:type="dxa"/>
            <w:tcBorders>
              <w:top w:val="single" w:sz="4" w:space="0" w:color="auto"/>
              <w:left w:val="nil"/>
              <w:bottom w:val="single" w:sz="4" w:space="0" w:color="auto"/>
              <w:right w:val="nil"/>
            </w:tcBorders>
            <w:shd w:val="clear" w:color="000000" w:fill="FFFFFF"/>
            <w:vAlign w:val="center"/>
          </w:tcPr>
          <w:p w14:paraId="0E0E21B8" w14:textId="50E6E475" w:rsidR="0091409C" w:rsidRPr="008833AE" w:rsidRDefault="0091409C" w:rsidP="008833AE">
            <w:pPr>
              <w:spacing w:before="20" w:after="20"/>
              <w:ind w:left="-399" w:right="225"/>
              <w:jc w:val="right"/>
              <w:rPr>
                <w:b/>
                <w:color w:val="00ABE6"/>
                <w:sz w:val="18"/>
                <w:szCs w:val="18"/>
              </w:rPr>
            </w:pPr>
            <w:r w:rsidRPr="008833AE">
              <w:rPr>
                <w:b/>
                <w:color w:val="00ABE6"/>
                <w:sz w:val="18"/>
                <w:szCs w:val="18"/>
              </w:rPr>
              <w:t>(24)</w:t>
            </w:r>
          </w:p>
        </w:tc>
        <w:tc>
          <w:tcPr>
            <w:tcW w:w="1179" w:type="dxa"/>
            <w:tcBorders>
              <w:top w:val="single" w:sz="4" w:space="0" w:color="auto"/>
              <w:left w:val="nil"/>
              <w:bottom w:val="single" w:sz="4" w:space="0" w:color="auto"/>
              <w:right w:val="nil"/>
            </w:tcBorders>
            <w:shd w:val="clear" w:color="000000" w:fill="FFFFFF"/>
            <w:vAlign w:val="center"/>
          </w:tcPr>
          <w:p w14:paraId="4F304E69" w14:textId="131833EE" w:rsidR="0091409C" w:rsidRPr="008833AE" w:rsidRDefault="0091409C" w:rsidP="008833AE">
            <w:pPr>
              <w:spacing w:before="20" w:after="20"/>
              <w:ind w:left="-399" w:right="225"/>
              <w:jc w:val="right"/>
              <w:rPr>
                <w:b/>
                <w:color w:val="00ABE6"/>
                <w:sz w:val="18"/>
                <w:szCs w:val="18"/>
              </w:rPr>
            </w:pPr>
            <w:r w:rsidRPr="008833AE">
              <w:rPr>
                <w:b/>
                <w:color w:val="00ABE6"/>
                <w:sz w:val="18"/>
                <w:szCs w:val="18"/>
              </w:rPr>
              <w:t>(23)</w:t>
            </w:r>
          </w:p>
        </w:tc>
      </w:tr>
      <w:tr w:rsidR="008833AE" w:rsidRPr="008833AE" w14:paraId="6DBBF9C0" w14:textId="77777777" w:rsidTr="008833AE">
        <w:trPr>
          <w:trHeight w:val="64"/>
        </w:trPr>
        <w:tc>
          <w:tcPr>
            <w:tcW w:w="5070" w:type="dxa"/>
            <w:tcBorders>
              <w:top w:val="single" w:sz="4" w:space="0" w:color="auto"/>
              <w:left w:val="nil"/>
              <w:right w:val="nil"/>
            </w:tcBorders>
            <w:shd w:val="clear" w:color="000000" w:fill="FFFFFF"/>
            <w:vAlign w:val="center"/>
          </w:tcPr>
          <w:p w14:paraId="39502A13" w14:textId="77777777" w:rsidR="00303AB2" w:rsidRPr="008833AE" w:rsidRDefault="00303AB2" w:rsidP="00303AB2">
            <w:pPr>
              <w:spacing w:before="40" w:after="40"/>
              <w:rPr>
                <w:b/>
                <w:i/>
                <w:color w:val="00ABE6"/>
                <w:sz w:val="18"/>
                <w:szCs w:val="18"/>
              </w:rPr>
            </w:pPr>
            <w:r w:rsidRPr="008833AE">
              <w:rPr>
                <w:b/>
                <w:color w:val="00ABE6"/>
                <w:sz w:val="18"/>
                <w:szCs w:val="18"/>
              </w:rPr>
              <w:t>Estimated GGS balance sheet</w:t>
            </w:r>
          </w:p>
        </w:tc>
        <w:tc>
          <w:tcPr>
            <w:tcW w:w="1179" w:type="dxa"/>
            <w:tcBorders>
              <w:top w:val="single" w:sz="4" w:space="0" w:color="auto"/>
              <w:left w:val="nil"/>
              <w:right w:val="nil"/>
            </w:tcBorders>
            <w:vAlign w:val="center"/>
          </w:tcPr>
          <w:p w14:paraId="536AFA36" w14:textId="15462C58" w:rsidR="00303AB2" w:rsidRPr="008833AE" w:rsidRDefault="00303AB2" w:rsidP="008833AE">
            <w:pPr>
              <w:spacing w:before="20" w:after="20"/>
              <w:ind w:left="-399" w:right="225"/>
              <w:jc w:val="right"/>
              <w:rPr>
                <w:color w:val="00ABE6"/>
                <w:sz w:val="18"/>
                <w:szCs w:val="18"/>
              </w:rPr>
            </w:pPr>
          </w:p>
        </w:tc>
        <w:tc>
          <w:tcPr>
            <w:tcW w:w="1179" w:type="dxa"/>
            <w:tcBorders>
              <w:top w:val="single" w:sz="4" w:space="0" w:color="auto"/>
              <w:left w:val="nil"/>
              <w:right w:val="nil"/>
            </w:tcBorders>
            <w:vAlign w:val="center"/>
          </w:tcPr>
          <w:p w14:paraId="4A0DC541" w14:textId="0DB93580" w:rsidR="00303AB2" w:rsidRPr="008833AE" w:rsidRDefault="00303AB2" w:rsidP="008833AE">
            <w:pPr>
              <w:spacing w:before="20" w:after="20"/>
              <w:ind w:left="-399" w:right="225"/>
              <w:jc w:val="right"/>
              <w:rPr>
                <w:color w:val="00ABE6"/>
                <w:sz w:val="18"/>
                <w:szCs w:val="18"/>
              </w:rPr>
            </w:pPr>
          </w:p>
        </w:tc>
        <w:tc>
          <w:tcPr>
            <w:tcW w:w="1179" w:type="dxa"/>
            <w:tcBorders>
              <w:top w:val="single" w:sz="4" w:space="0" w:color="auto"/>
              <w:left w:val="nil"/>
              <w:right w:val="nil"/>
            </w:tcBorders>
            <w:vAlign w:val="center"/>
          </w:tcPr>
          <w:p w14:paraId="0D552E13" w14:textId="3511FA39" w:rsidR="00303AB2" w:rsidRPr="008833AE" w:rsidRDefault="00303AB2" w:rsidP="008833AE">
            <w:pPr>
              <w:spacing w:before="20" w:after="20"/>
              <w:ind w:left="-399" w:right="225"/>
              <w:jc w:val="right"/>
              <w:rPr>
                <w:color w:val="00ABE6"/>
                <w:sz w:val="18"/>
                <w:szCs w:val="18"/>
              </w:rPr>
            </w:pPr>
          </w:p>
        </w:tc>
        <w:tc>
          <w:tcPr>
            <w:tcW w:w="1179" w:type="dxa"/>
            <w:tcBorders>
              <w:top w:val="single" w:sz="4" w:space="0" w:color="auto"/>
              <w:left w:val="nil"/>
              <w:right w:val="nil"/>
            </w:tcBorders>
            <w:vAlign w:val="center"/>
          </w:tcPr>
          <w:p w14:paraId="17D5521E" w14:textId="79650F89" w:rsidR="00303AB2" w:rsidRPr="008833AE" w:rsidRDefault="00303AB2" w:rsidP="008833AE">
            <w:pPr>
              <w:spacing w:before="20" w:after="20"/>
              <w:ind w:left="-399" w:right="225"/>
              <w:jc w:val="right"/>
              <w:rPr>
                <w:color w:val="00ABE6"/>
                <w:sz w:val="18"/>
                <w:szCs w:val="18"/>
              </w:rPr>
            </w:pPr>
          </w:p>
        </w:tc>
      </w:tr>
      <w:tr w:rsidR="00267C02" w:rsidRPr="008833AE" w14:paraId="70E73F95" w14:textId="77777777" w:rsidTr="008833AE">
        <w:trPr>
          <w:trHeight w:val="64"/>
        </w:trPr>
        <w:tc>
          <w:tcPr>
            <w:tcW w:w="5070" w:type="dxa"/>
            <w:tcBorders>
              <w:top w:val="nil"/>
              <w:left w:val="nil"/>
              <w:bottom w:val="single" w:sz="4" w:space="0" w:color="auto"/>
              <w:right w:val="nil"/>
            </w:tcBorders>
            <w:shd w:val="clear" w:color="000000" w:fill="FFFFFF"/>
            <w:vAlign w:val="center"/>
          </w:tcPr>
          <w:p w14:paraId="5F692512" w14:textId="612A7067" w:rsidR="00267C02" w:rsidRPr="008833AE" w:rsidRDefault="00267C02" w:rsidP="00267C02">
            <w:pPr>
              <w:spacing w:before="40" w:after="40"/>
              <w:rPr>
                <w:sz w:val="18"/>
                <w:szCs w:val="18"/>
              </w:rPr>
            </w:pPr>
            <w:r w:rsidRPr="008833AE">
              <w:rPr>
                <w:sz w:val="18"/>
                <w:szCs w:val="18"/>
              </w:rPr>
              <w:t>Receivable</w:t>
            </w:r>
            <w:r w:rsidR="005422B6">
              <w:rPr>
                <w:sz w:val="18"/>
                <w:szCs w:val="18"/>
              </w:rPr>
              <w:t>s</w:t>
            </w:r>
          </w:p>
        </w:tc>
        <w:tc>
          <w:tcPr>
            <w:tcW w:w="1179" w:type="dxa"/>
            <w:tcBorders>
              <w:top w:val="nil"/>
              <w:left w:val="nil"/>
              <w:bottom w:val="single" w:sz="4" w:space="0" w:color="auto"/>
              <w:right w:val="nil"/>
            </w:tcBorders>
            <w:vAlign w:val="center"/>
          </w:tcPr>
          <w:p w14:paraId="5FC01A26" w14:textId="0989B085" w:rsidR="00267C02" w:rsidRPr="008833AE" w:rsidRDefault="00267C02" w:rsidP="008833AE">
            <w:pPr>
              <w:spacing w:before="20" w:after="20"/>
              <w:ind w:left="-399" w:right="225"/>
              <w:jc w:val="right"/>
              <w:rPr>
                <w:sz w:val="18"/>
                <w:szCs w:val="18"/>
              </w:rPr>
            </w:pPr>
            <w:r w:rsidRPr="008833AE">
              <w:rPr>
                <w:sz w:val="18"/>
                <w:szCs w:val="18"/>
              </w:rPr>
              <w:t>61</w:t>
            </w:r>
          </w:p>
        </w:tc>
        <w:tc>
          <w:tcPr>
            <w:tcW w:w="1179" w:type="dxa"/>
            <w:tcBorders>
              <w:top w:val="nil"/>
              <w:left w:val="nil"/>
              <w:bottom w:val="single" w:sz="4" w:space="0" w:color="auto"/>
              <w:right w:val="nil"/>
            </w:tcBorders>
            <w:vAlign w:val="center"/>
          </w:tcPr>
          <w:p w14:paraId="67B8123F" w14:textId="44442FE8" w:rsidR="00267C02" w:rsidRPr="008833AE" w:rsidRDefault="00267C02" w:rsidP="008833AE">
            <w:pPr>
              <w:spacing w:before="20" w:after="20"/>
              <w:ind w:left="-399" w:right="225"/>
              <w:jc w:val="right"/>
              <w:rPr>
                <w:sz w:val="18"/>
                <w:szCs w:val="18"/>
              </w:rPr>
            </w:pPr>
            <w:r w:rsidRPr="008833AE">
              <w:rPr>
                <w:sz w:val="18"/>
                <w:szCs w:val="18"/>
              </w:rPr>
              <w:t>63</w:t>
            </w:r>
          </w:p>
        </w:tc>
        <w:tc>
          <w:tcPr>
            <w:tcW w:w="1179" w:type="dxa"/>
            <w:tcBorders>
              <w:top w:val="nil"/>
              <w:left w:val="nil"/>
              <w:bottom w:val="single" w:sz="4" w:space="0" w:color="auto"/>
              <w:right w:val="nil"/>
            </w:tcBorders>
            <w:vAlign w:val="center"/>
          </w:tcPr>
          <w:p w14:paraId="1BA0F10D" w14:textId="0DDCFD23" w:rsidR="00267C02" w:rsidRPr="008833AE" w:rsidRDefault="00267C02" w:rsidP="008833AE">
            <w:pPr>
              <w:spacing w:before="20" w:after="20"/>
              <w:ind w:left="-399" w:right="225"/>
              <w:jc w:val="right"/>
              <w:rPr>
                <w:sz w:val="18"/>
                <w:szCs w:val="18"/>
              </w:rPr>
            </w:pPr>
            <w:r w:rsidRPr="008833AE">
              <w:rPr>
                <w:sz w:val="18"/>
                <w:szCs w:val="18"/>
              </w:rPr>
              <w:t>64</w:t>
            </w:r>
          </w:p>
        </w:tc>
        <w:tc>
          <w:tcPr>
            <w:tcW w:w="1179" w:type="dxa"/>
            <w:tcBorders>
              <w:top w:val="nil"/>
              <w:left w:val="nil"/>
              <w:bottom w:val="single" w:sz="4" w:space="0" w:color="auto"/>
              <w:right w:val="nil"/>
            </w:tcBorders>
            <w:vAlign w:val="center"/>
          </w:tcPr>
          <w:p w14:paraId="084C445C" w14:textId="6A239231" w:rsidR="00267C02" w:rsidRPr="008833AE" w:rsidRDefault="00267C02" w:rsidP="008833AE">
            <w:pPr>
              <w:spacing w:before="20" w:after="20"/>
              <w:ind w:left="-399" w:right="225"/>
              <w:jc w:val="right"/>
              <w:rPr>
                <w:sz w:val="18"/>
                <w:szCs w:val="18"/>
              </w:rPr>
            </w:pPr>
            <w:r w:rsidRPr="008833AE">
              <w:rPr>
                <w:sz w:val="18"/>
                <w:szCs w:val="18"/>
              </w:rPr>
              <w:t>65</w:t>
            </w:r>
          </w:p>
        </w:tc>
      </w:tr>
      <w:tr w:rsidR="008833AE" w:rsidRPr="008833AE" w14:paraId="0610CBED" w14:textId="77777777" w:rsidTr="008833AE">
        <w:trPr>
          <w:trHeight w:val="64"/>
        </w:trPr>
        <w:tc>
          <w:tcPr>
            <w:tcW w:w="5070" w:type="dxa"/>
            <w:tcBorders>
              <w:top w:val="single" w:sz="4" w:space="0" w:color="auto"/>
              <w:left w:val="nil"/>
              <w:right w:val="nil"/>
            </w:tcBorders>
            <w:shd w:val="clear" w:color="000000" w:fill="FFFFFF"/>
            <w:vAlign w:val="center"/>
          </w:tcPr>
          <w:p w14:paraId="727F1FE0" w14:textId="77777777" w:rsidR="00267C02" w:rsidRPr="008833AE" w:rsidRDefault="00267C02" w:rsidP="00267C02">
            <w:pPr>
              <w:spacing w:before="40" w:after="40"/>
              <w:rPr>
                <w:b/>
                <w:color w:val="00ABE6"/>
                <w:sz w:val="18"/>
                <w:szCs w:val="18"/>
              </w:rPr>
            </w:pPr>
            <w:r w:rsidRPr="008833AE">
              <w:rPr>
                <w:b/>
                <w:color w:val="00ABE6"/>
                <w:sz w:val="18"/>
                <w:szCs w:val="18"/>
              </w:rPr>
              <w:t>Total assets</w:t>
            </w:r>
          </w:p>
        </w:tc>
        <w:tc>
          <w:tcPr>
            <w:tcW w:w="1179" w:type="dxa"/>
            <w:tcBorders>
              <w:top w:val="single" w:sz="4" w:space="0" w:color="auto"/>
              <w:left w:val="nil"/>
              <w:right w:val="nil"/>
            </w:tcBorders>
            <w:shd w:val="clear" w:color="000000" w:fill="FFFFFF"/>
            <w:vAlign w:val="center"/>
          </w:tcPr>
          <w:p w14:paraId="11F6D22F" w14:textId="73555C64" w:rsidR="00267C02" w:rsidRPr="008833AE" w:rsidRDefault="00267C02" w:rsidP="008833AE">
            <w:pPr>
              <w:spacing w:before="20" w:after="20"/>
              <w:ind w:left="-399" w:right="225"/>
              <w:jc w:val="right"/>
              <w:rPr>
                <w:b/>
                <w:color w:val="00ABE6"/>
                <w:sz w:val="18"/>
                <w:szCs w:val="18"/>
              </w:rPr>
            </w:pPr>
            <w:r w:rsidRPr="008833AE">
              <w:rPr>
                <w:b/>
                <w:color w:val="00ABE6"/>
                <w:sz w:val="18"/>
                <w:szCs w:val="18"/>
              </w:rPr>
              <w:t>61</w:t>
            </w:r>
          </w:p>
        </w:tc>
        <w:tc>
          <w:tcPr>
            <w:tcW w:w="1179" w:type="dxa"/>
            <w:tcBorders>
              <w:top w:val="single" w:sz="4" w:space="0" w:color="auto"/>
              <w:left w:val="nil"/>
              <w:right w:val="nil"/>
            </w:tcBorders>
            <w:shd w:val="clear" w:color="000000" w:fill="FFFFFF"/>
            <w:vAlign w:val="center"/>
          </w:tcPr>
          <w:p w14:paraId="44EA07A7" w14:textId="4F2143B5" w:rsidR="00267C02" w:rsidRPr="008833AE" w:rsidRDefault="00267C02" w:rsidP="008833AE">
            <w:pPr>
              <w:spacing w:before="20" w:after="20"/>
              <w:ind w:left="-399" w:right="225"/>
              <w:jc w:val="right"/>
              <w:rPr>
                <w:b/>
                <w:color w:val="00ABE6"/>
                <w:sz w:val="18"/>
                <w:szCs w:val="18"/>
              </w:rPr>
            </w:pPr>
            <w:r w:rsidRPr="008833AE">
              <w:rPr>
                <w:b/>
                <w:color w:val="00ABE6"/>
                <w:sz w:val="18"/>
                <w:szCs w:val="18"/>
              </w:rPr>
              <w:t>63</w:t>
            </w:r>
          </w:p>
        </w:tc>
        <w:tc>
          <w:tcPr>
            <w:tcW w:w="1179" w:type="dxa"/>
            <w:tcBorders>
              <w:top w:val="single" w:sz="4" w:space="0" w:color="auto"/>
              <w:left w:val="nil"/>
              <w:right w:val="nil"/>
            </w:tcBorders>
            <w:shd w:val="clear" w:color="000000" w:fill="FFFFFF"/>
            <w:vAlign w:val="center"/>
          </w:tcPr>
          <w:p w14:paraId="61345C72" w14:textId="140E4A93" w:rsidR="00267C02" w:rsidRPr="008833AE" w:rsidRDefault="00267C02" w:rsidP="008833AE">
            <w:pPr>
              <w:spacing w:before="20" w:after="20"/>
              <w:ind w:left="-399" w:right="225"/>
              <w:jc w:val="right"/>
              <w:rPr>
                <w:b/>
                <w:color w:val="00ABE6"/>
                <w:sz w:val="18"/>
                <w:szCs w:val="18"/>
              </w:rPr>
            </w:pPr>
            <w:r w:rsidRPr="008833AE">
              <w:rPr>
                <w:b/>
                <w:color w:val="00ABE6"/>
                <w:sz w:val="18"/>
                <w:szCs w:val="18"/>
              </w:rPr>
              <w:t>64</w:t>
            </w:r>
          </w:p>
        </w:tc>
        <w:tc>
          <w:tcPr>
            <w:tcW w:w="1179" w:type="dxa"/>
            <w:tcBorders>
              <w:top w:val="single" w:sz="4" w:space="0" w:color="auto"/>
              <w:left w:val="nil"/>
              <w:right w:val="nil"/>
            </w:tcBorders>
            <w:shd w:val="clear" w:color="000000" w:fill="FFFFFF"/>
            <w:vAlign w:val="center"/>
          </w:tcPr>
          <w:p w14:paraId="30CB65E5" w14:textId="22787BEF" w:rsidR="00267C02" w:rsidRPr="008833AE" w:rsidRDefault="00267C02" w:rsidP="008833AE">
            <w:pPr>
              <w:spacing w:before="20" w:after="20"/>
              <w:ind w:left="-399" w:right="225"/>
              <w:jc w:val="right"/>
              <w:rPr>
                <w:b/>
                <w:color w:val="00ABE6"/>
                <w:sz w:val="18"/>
                <w:szCs w:val="18"/>
              </w:rPr>
            </w:pPr>
            <w:r w:rsidRPr="008833AE">
              <w:rPr>
                <w:b/>
                <w:color w:val="00ABE6"/>
                <w:sz w:val="18"/>
                <w:szCs w:val="18"/>
              </w:rPr>
              <w:t>65</w:t>
            </w:r>
          </w:p>
        </w:tc>
      </w:tr>
      <w:tr w:rsidR="00A000A2" w:rsidRPr="008833AE" w14:paraId="47F9A3D2" w14:textId="77777777" w:rsidTr="008833AE">
        <w:trPr>
          <w:trHeight w:val="64"/>
        </w:trPr>
        <w:tc>
          <w:tcPr>
            <w:tcW w:w="5070" w:type="dxa"/>
            <w:tcBorders>
              <w:left w:val="nil"/>
              <w:bottom w:val="single" w:sz="4" w:space="0" w:color="auto"/>
              <w:right w:val="nil"/>
            </w:tcBorders>
            <w:shd w:val="clear" w:color="000000" w:fill="FFFFFF"/>
            <w:vAlign w:val="center"/>
          </w:tcPr>
          <w:p w14:paraId="4D6BEC62" w14:textId="77777777" w:rsidR="00A000A2" w:rsidRPr="008833AE" w:rsidRDefault="00A000A2" w:rsidP="00A000A2">
            <w:pPr>
              <w:spacing w:before="40" w:after="40"/>
              <w:rPr>
                <w:sz w:val="18"/>
                <w:szCs w:val="18"/>
              </w:rPr>
            </w:pPr>
            <w:r w:rsidRPr="008833AE">
              <w:rPr>
                <w:sz w:val="18"/>
                <w:szCs w:val="18"/>
              </w:rPr>
              <w:t>Other liabilities</w:t>
            </w:r>
          </w:p>
        </w:tc>
        <w:tc>
          <w:tcPr>
            <w:tcW w:w="1179" w:type="dxa"/>
            <w:tcBorders>
              <w:left w:val="nil"/>
              <w:bottom w:val="single" w:sz="4" w:space="0" w:color="auto"/>
              <w:right w:val="nil"/>
            </w:tcBorders>
            <w:shd w:val="clear" w:color="000000" w:fill="FFFFFF"/>
            <w:vAlign w:val="center"/>
          </w:tcPr>
          <w:p w14:paraId="405848AA" w14:textId="351C0E1F" w:rsidR="00A000A2" w:rsidRPr="008833AE" w:rsidRDefault="00A000A2" w:rsidP="008833AE">
            <w:pPr>
              <w:spacing w:before="20" w:after="20"/>
              <w:ind w:left="-399" w:right="225"/>
              <w:jc w:val="right"/>
              <w:rPr>
                <w:sz w:val="18"/>
                <w:szCs w:val="18"/>
              </w:rPr>
            </w:pPr>
            <w:r w:rsidRPr="008833AE">
              <w:rPr>
                <w:sz w:val="18"/>
                <w:szCs w:val="18"/>
              </w:rPr>
              <w:t>(356)</w:t>
            </w:r>
          </w:p>
        </w:tc>
        <w:tc>
          <w:tcPr>
            <w:tcW w:w="1179" w:type="dxa"/>
            <w:tcBorders>
              <w:left w:val="nil"/>
              <w:bottom w:val="single" w:sz="4" w:space="0" w:color="auto"/>
              <w:right w:val="nil"/>
            </w:tcBorders>
            <w:shd w:val="clear" w:color="000000" w:fill="FFFFFF"/>
            <w:vAlign w:val="center"/>
          </w:tcPr>
          <w:p w14:paraId="15E86C2A" w14:textId="647E2DB6" w:rsidR="00A000A2" w:rsidRPr="008833AE" w:rsidRDefault="00A000A2" w:rsidP="008833AE">
            <w:pPr>
              <w:spacing w:before="20" w:after="20"/>
              <w:ind w:left="-399" w:right="225"/>
              <w:jc w:val="right"/>
              <w:rPr>
                <w:sz w:val="18"/>
                <w:szCs w:val="18"/>
              </w:rPr>
            </w:pPr>
            <w:r w:rsidRPr="008833AE">
              <w:rPr>
                <w:sz w:val="18"/>
                <w:szCs w:val="18"/>
              </w:rPr>
              <w:t>(328)</w:t>
            </w:r>
          </w:p>
        </w:tc>
        <w:tc>
          <w:tcPr>
            <w:tcW w:w="1179" w:type="dxa"/>
            <w:tcBorders>
              <w:left w:val="nil"/>
              <w:bottom w:val="single" w:sz="4" w:space="0" w:color="auto"/>
              <w:right w:val="nil"/>
            </w:tcBorders>
            <w:shd w:val="clear" w:color="000000" w:fill="FFFFFF"/>
            <w:vAlign w:val="center"/>
          </w:tcPr>
          <w:p w14:paraId="108A48E6" w14:textId="0C98A8F1" w:rsidR="00A000A2" w:rsidRPr="008833AE" w:rsidRDefault="00A000A2" w:rsidP="008833AE">
            <w:pPr>
              <w:spacing w:before="20" w:after="20"/>
              <w:ind w:left="-399" w:right="225"/>
              <w:jc w:val="right"/>
              <w:rPr>
                <w:sz w:val="18"/>
                <w:szCs w:val="18"/>
              </w:rPr>
            </w:pPr>
            <w:r w:rsidRPr="008833AE">
              <w:rPr>
                <w:sz w:val="18"/>
                <w:szCs w:val="18"/>
              </w:rPr>
              <w:t>(302)</w:t>
            </w:r>
          </w:p>
        </w:tc>
        <w:tc>
          <w:tcPr>
            <w:tcW w:w="1179" w:type="dxa"/>
            <w:tcBorders>
              <w:left w:val="nil"/>
              <w:bottom w:val="single" w:sz="4" w:space="0" w:color="auto"/>
              <w:right w:val="nil"/>
            </w:tcBorders>
            <w:shd w:val="clear" w:color="000000" w:fill="FFFFFF"/>
            <w:vAlign w:val="center"/>
          </w:tcPr>
          <w:p w14:paraId="241B5787" w14:textId="2028CD20" w:rsidR="00A000A2" w:rsidRPr="008833AE" w:rsidRDefault="00A000A2" w:rsidP="008833AE">
            <w:pPr>
              <w:spacing w:before="20" w:after="20"/>
              <w:ind w:left="-399" w:right="225"/>
              <w:jc w:val="right"/>
              <w:rPr>
                <w:sz w:val="18"/>
                <w:szCs w:val="18"/>
              </w:rPr>
            </w:pPr>
            <w:r w:rsidRPr="008833AE">
              <w:rPr>
                <w:sz w:val="18"/>
                <w:szCs w:val="18"/>
              </w:rPr>
              <w:t>(278)</w:t>
            </w:r>
          </w:p>
        </w:tc>
      </w:tr>
      <w:tr w:rsidR="008833AE" w:rsidRPr="008833AE" w14:paraId="10C06658" w14:textId="77777777" w:rsidTr="008833AE">
        <w:trPr>
          <w:trHeight w:val="340"/>
        </w:trPr>
        <w:tc>
          <w:tcPr>
            <w:tcW w:w="5070" w:type="dxa"/>
            <w:tcBorders>
              <w:top w:val="single" w:sz="4" w:space="0" w:color="auto"/>
              <w:left w:val="nil"/>
              <w:bottom w:val="single" w:sz="4" w:space="0" w:color="auto"/>
              <w:right w:val="nil"/>
            </w:tcBorders>
            <w:shd w:val="clear" w:color="000000" w:fill="FFFFFF"/>
            <w:vAlign w:val="center"/>
          </w:tcPr>
          <w:p w14:paraId="4F0E7798" w14:textId="77777777" w:rsidR="00A000A2" w:rsidRPr="008833AE" w:rsidRDefault="00A000A2" w:rsidP="00A000A2">
            <w:pPr>
              <w:spacing w:before="40" w:after="40"/>
              <w:rPr>
                <w:b/>
                <w:color w:val="00ABE6"/>
                <w:sz w:val="18"/>
                <w:szCs w:val="18"/>
              </w:rPr>
            </w:pPr>
            <w:r w:rsidRPr="008833AE">
              <w:rPr>
                <w:b/>
                <w:color w:val="00ABE6"/>
                <w:sz w:val="18"/>
                <w:szCs w:val="18"/>
              </w:rPr>
              <w:t>Total liabilities</w:t>
            </w:r>
          </w:p>
        </w:tc>
        <w:tc>
          <w:tcPr>
            <w:tcW w:w="1179" w:type="dxa"/>
            <w:tcBorders>
              <w:top w:val="single" w:sz="4" w:space="0" w:color="auto"/>
              <w:left w:val="nil"/>
              <w:bottom w:val="single" w:sz="4" w:space="0" w:color="auto"/>
              <w:right w:val="nil"/>
            </w:tcBorders>
            <w:shd w:val="clear" w:color="000000" w:fill="FFFFFF"/>
            <w:vAlign w:val="center"/>
          </w:tcPr>
          <w:p w14:paraId="790EE6EB" w14:textId="60EF64E3" w:rsidR="00A000A2" w:rsidRPr="008833AE" w:rsidRDefault="00A000A2" w:rsidP="008833AE">
            <w:pPr>
              <w:spacing w:before="20" w:after="20"/>
              <w:ind w:left="-399" w:right="225"/>
              <w:jc w:val="right"/>
              <w:rPr>
                <w:b/>
                <w:color w:val="00ABE6"/>
                <w:sz w:val="18"/>
                <w:szCs w:val="18"/>
              </w:rPr>
            </w:pPr>
            <w:r w:rsidRPr="008833AE">
              <w:rPr>
                <w:b/>
                <w:color w:val="00ABE6"/>
                <w:sz w:val="18"/>
                <w:szCs w:val="18"/>
              </w:rPr>
              <w:t>(356)</w:t>
            </w:r>
          </w:p>
        </w:tc>
        <w:tc>
          <w:tcPr>
            <w:tcW w:w="1179" w:type="dxa"/>
            <w:tcBorders>
              <w:top w:val="single" w:sz="4" w:space="0" w:color="auto"/>
              <w:left w:val="nil"/>
              <w:bottom w:val="single" w:sz="4" w:space="0" w:color="auto"/>
              <w:right w:val="nil"/>
            </w:tcBorders>
            <w:shd w:val="clear" w:color="000000" w:fill="FFFFFF"/>
            <w:vAlign w:val="center"/>
          </w:tcPr>
          <w:p w14:paraId="4BBDCA5E" w14:textId="7646B536" w:rsidR="00A000A2" w:rsidRPr="008833AE" w:rsidRDefault="00A000A2" w:rsidP="008833AE">
            <w:pPr>
              <w:spacing w:before="20" w:after="20"/>
              <w:ind w:left="-399" w:right="225"/>
              <w:jc w:val="right"/>
              <w:rPr>
                <w:b/>
                <w:color w:val="00ABE6"/>
                <w:sz w:val="18"/>
                <w:szCs w:val="18"/>
              </w:rPr>
            </w:pPr>
            <w:r w:rsidRPr="008833AE">
              <w:rPr>
                <w:b/>
                <w:color w:val="00ABE6"/>
                <w:sz w:val="18"/>
                <w:szCs w:val="18"/>
              </w:rPr>
              <w:t>(328)</w:t>
            </w:r>
          </w:p>
        </w:tc>
        <w:tc>
          <w:tcPr>
            <w:tcW w:w="1179" w:type="dxa"/>
            <w:tcBorders>
              <w:top w:val="single" w:sz="4" w:space="0" w:color="auto"/>
              <w:left w:val="nil"/>
              <w:bottom w:val="single" w:sz="4" w:space="0" w:color="auto"/>
              <w:right w:val="nil"/>
            </w:tcBorders>
            <w:shd w:val="clear" w:color="000000" w:fill="FFFFFF"/>
            <w:vAlign w:val="center"/>
          </w:tcPr>
          <w:p w14:paraId="4B0961DF" w14:textId="2EE647BA" w:rsidR="00A000A2" w:rsidRPr="008833AE" w:rsidRDefault="00A000A2" w:rsidP="008833AE">
            <w:pPr>
              <w:spacing w:before="20" w:after="20"/>
              <w:ind w:left="-399" w:right="225"/>
              <w:jc w:val="right"/>
              <w:rPr>
                <w:b/>
                <w:color w:val="00ABE6"/>
                <w:sz w:val="18"/>
                <w:szCs w:val="18"/>
              </w:rPr>
            </w:pPr>
            <w:r w:rsidRPr="008833AE">
              <w:rPr>
                <w:b/>
                <w:color w:val="00ABE6"/>
                <w:sz w:val="18"/>
                <w:szCs w:val="18"/>
              </w:rPr>
              <w:t>(302)</w:t>
            </w:r>
          </w:p>
        </w:tc>
        <w:tc>
          <w:tcPr>
            <w:tcW w:w="1179" w:type="dxa"/>
            <w:tcBorders>
              <w:top w:val="single" w:sz="4" w:space="0" w:color="auto"/>
              <w:left w:val="nil"/>
              <w:bottom w:val="single" w:sz="4" w:space="0" w:color="auto"/>
              <w:right w:val="nil"/>
            </w:tcBorders>
            <w:shd w:val="clear" w:color="000000" w:fill="FFFFFF"/>
            <w:vAlign w:val="center"/>
          </w:tcPr>
          <w:p w14:paraId="41FC8D2A" w14:textId="51FE28AB" w:rsidR="00A000A2" w:rsidRPr="008833AE" w:rsidRDefault="00A000A2" w:rsidP="008833AE">
            <w:pPr>
              <w:spacing w:before="20" w:after="20"/>
              <w:ind w:left="-399" w:right="225"/>
              <w:jc w:val="right"/>
              <w:rPr>
                <w:b/>
                <w:color w:val="00ABE6"/>
                <w:sz w:val="18"/>
                <w:szCs w:val="18"/>
              </w:rPr>
            </w:pPr>
            <w:r w:rsidRPr="008833AE">
              <w:rPr>
                <w:b/>
                <w:color w:val="00ABE6"/>
                <w:sz w:val="18"/>
                <w:szCs w:val="18"/>
              </w:rPr>
              <w:t>(278)</w:t>
            </w:r>
          </w:p>
        </w:tc>
      </w:tr>
      <w:tr w:rsidR="008833AE" w:rsidRPr="008833AE" w14:paraId="4CF819AD" w14:textId="77777777" w:rsidTr="008833AE">
        <w:trPr>
          <w:trHeight w:val="44"/>
        </w:trPr>
        <w:tc>
          <w:tcPr>
            <w:tcW w:w="5070" w:type="dxa"/>
            <w:tcBorders>
              <w:top w:val="single" w:sz="4" w:space="0" w:color="auto"/>
              <w:left w:val="nil"/>
              <w:right w:val="nil"/>
            </w:tcBorders>
            <w:shd w:val="clear" w:color="000000" w:fill="FFFFFF"/>
            <w:vAlign w:val="center"/>
          </w:tcPr>
          <w:p w14:paraId="4022E887" w14:textId="77777777" w:rsidR="00A000A2" w:rsidRPr="008833AE" w:rsidRDefault="00A000A2" w:rsidP="00A000A2">
            <w:pPr>
              <w:spacing w:before="40" w:after="40"/>
              <w:rPr>
                <w:b/>
                <w:color w:val="00ABE6"/>
                <w:sz w:val="18"/>
                <w:szCs w:val="18"/>
              </w:rPr>
            </w:pPr>
            <w:r w:rsidRPr="008833AE">
              <w:rPr>
                <w:b/>
                <w:color w:val="00ABE6"/>
                <w:sz w:val="18"/>
                <w:szCs w:val="18"/>
              </w:rPr>
              <w:t>Net worth</w:t>
            </w:r>
          </w:p>
        </w:tc>
        <w:tc>
          <w:tcPr>
            <w:tcW w:w="1179" w:type="dxa"/>
            <w:tcBorders>
              <w:top w:val="single" w:sz="4" w:space="0" w:color="auto"/>
              <w:left w:val="nil"/>
              <w:right w:val="nil"/>
            </w:tcBorders>
            <w:shd w:val="clear" w:color="000000" w:fill="FFFFFF"/>
            <w:vAlign w:val="center"/>
          </w:tcPr>
          <w:p w14:paraId="163F637B" w14:textId="64BA2D8F" w:rsidR="00A000A2" w:rsidRPr="008833AE" w:rsidRDefault="00A000A2" w:rsidP="008833AE">
            <w:pPr>
              <w:spacing w:before="20" w:after="20"/>
              <w:ind w:left="-399" w:right="225"/>
              <w:jc w:val="right"/>
              <w:rPr>
                <w:b/>
                <w:color w:val="00ABE6"/>
                <w:sz w:val="18"/>
                <w:szCs w:val="18"/>
              </w:rPr>
            </w:pPr>
            <w:r w:rsidRPr="008833AE">
              <w:rPr>
                <w:b/>
                <w:color w:val="00ABE6"/>
                <w:sz w:val="18"/>
                <w:szCs w:val="18"/>
              </w:rPr>
              <w:t xml:space="preserve">417 </w:t>
            </w:r>
          </w:p>
        </w:tc>
        <w:tc>
          <w:tcPr>
            <w:tcW w:w="1179" w:type="dxa"/>
            <w:tcBorders>
              <w:top w:val="single" w:sz="4" w:space="0" w:color="auto"/>
              <w:left w:val="nil"/>
              <w:right w:val="nil"/>
            </w:tcBorders>
            <w:shd w:val="clear" w:color="000000" w:fill="FFFFFF"/>
            <w:vAlign w:val="center"/>
          </w:tcPr>
          <w:p w14:paraId="18D81065" w14:textId="43F8B59B" w:rsidR="00A000A2" w:rsidRPr="008833AE" w:rsidRDefault="00A000A2" w:rsidP="008833AE">
            <w:pPr>
              <w:spacing w:before="20" w:after="20"/>
              <w:ind w:left="-399" w:right="225"/>
              <w:jc w:val="right"/>
              <w:rPr>
                <w:b/>
                <w:color w:val="00ABE6"/>
                <w:sz w:val="18"/>
                <w:szCs w:val="18"/>
              </w:rPr>
            </w:pPr>
            <w:r w:rsidRPr="008833AE">
              <w:rPr>
                <w:b/>
                <w:color w:val="00ABE6"/>
                <w:sz w:val="18"/>
                <w:szCs w:val="18"/>
              </w:rPr>
              <w:t xml:space="preserve">390 </w:t>
            </w:r>
          </w:p>
        </w:tc>
        <w:tc>
          <w:tcPr>
            <w:tcW w:w="1179" w:type="dxa"/>
            <w:tcBorders>
              <w:top w:val="single" w:sz="4" w:space="0" w:color="auto"/>
              <w:left w:val="nil"/>
              <w:right w:val="nil"/>
            </w:tcBorders>
            <w:shd w:val="clear" w:color="000000" w:fill="FFFFFF"/>
            <w:vAlign w:val="center"/>
          </w:tcPr>
          <w:p w14:paraId="33F9BAB3" w14:textId="5829CEB1" w:rsidR="00A000A2" w:rsidRPr="008833AE" w:rsidRDefault="00A000A2" w:rsidP="008833AE">
            <w:pPr>
              <w:spacing w:before="20" w:after="20"/>
              <w:ind w:left="-399" w:right="225"/>
              <w:jc w:val="right"/>
              <w:rPr>
                <w:b/>
                <w:color w:val="00ABE6"/>
                <w:sz w:val="18"/>
                <w:szCs w:val="18"/>
              </w:rPr>
            </w:pPr>
            <w:r w:rsidRPr="008833AE">
              <w:rPr>
                <w:b/>
                <w:color w:val="00ABE6"/>
                <w:sz w:val="18"/>
                <w:szCs w:val="18"/>
              </w:rPr>
              <w:t xml:space="preserve">367 </w:t>
            </w:r>
          </w:p>
        </w:tc>
        <w:tc>
          <w:tcPr>
            <w:tcW w:w="1179" w:type="dxa"/>
            <w:tcBorders>
              <w:top w:val="single" w:sz="4" w:space="0" w:color="auto"/>
              <w:left w:val="nil"/>
              <w:right w:val="nil"/>
            </w:tcBorders>
            <w:shd w:val="clear" w:color="000000" w:fill="FFFFFF"/>
            <w:vAlign w:val="center"/>
          </w:tcPr>
          <w:p w14:paraId="0E7C2DDC" w14:textId="1B435554" w:rsidR="00A000A2" w:rsidRPr="008833AE" w:rsidRDefault="00A000A2" w:rsidP="008833AE">
            <w:pPr>
              <w:spacing w:before="20" w:after="20"/>
              <w:ind w:left="-399" w:right="225"/>
              <w:jc w:val="right"/>
              <w:rPr>
                <w:b/>
                <w:color w:val="00ABE6"/>
                <w:sz w:val="18"/>
                <w:szCs w:val="18"/>
              </w:rPr>
            </w:pPr>
            <w:r w:rsidRPr="008833AE">
              <w:rPr>
                <w:b/>
                <w:color w:val="00ABE6"/>
                <w:sz w:val="18"/>
                <w:szCs w:val="18"/>
              </w:rPr>
              <w:t xml:space="preserve">343 </w:t>
            </w:r>
          </w:p>
        </w:tc>
      </w:tr>
      <w:tr w:rsidR="00A000A2" w:rsidRPr="008833AE" w14:paraId="4FA18212" w14:textId="77777777" w:rsidTr="008833AE">
        <w:trPr>
          <w:trHeight w:val="44"/>
        </w:trPr>
        <w:tc>
          <w:tcPr>
            <w:tcW w:w="5070" w:type="dxa"/>
            <w:tcBorders>
              <w:left w:val="nil"/>
              <w:right w:val="nil"/>
            </w:tcBorders>
            <w:shd w:val="clear" w:color="000000" w:fill="FFFFFF"/>
            <w:vAlign w:val="center"/>
          </w:tcPr>
          <w:p w14:paraId="64FDE9FF" w14:textId="77777777" w:rsidR="00A000A2" w:rsidRPr="008833AE" w:rsidRDefault="00A000A2" w:rsidP="00A000A2">
            <w:pPr>
              <w:spacing w:before="40" w:after="40"/>
              <w:rPr>
                <w:sz w:val="18"/>
                <w:szCs w:val="18"/>
              </w:rPr>
            </w:pPr>
            <w:r w:rsidRPr="008833AE">
              <w:rPr>
                <w:sz w:val="18"/>
                <w:szCs w:val="18"/>
              </w:rPr>
              <w:t>Accumulated funds</w:t>
            </w:r>
          </w:p>
        </w:tc>
        <w:tc>
          <w:tcPr>
            <w:tcW w:w="1179" w:type="dxa"/>
            <w:tcBorders>
              <w:left w:val="nil"/>
              <w:right w:val="nil"/>
            </w:tcBorders>
            <w:shd w:val="clear" w:color="000000" w:fill="FFFFFF"/>
            <w:vAlign w:val="center"/>
          </w:tcPr>
          <w:p w14:paraId="7C06C7E8" w14:textId="5FF88C6C" w:rsidR="00A000A2" w:rsidRPr="008833AE" w:rsidRDefault="00A000A2" w:rsidP="008833AE">
            <w:pPr>
              <w:spacing w:before="20" w:after="20"/>
              <w:ind w:left="-399" w:right="225"/>
              <w:jc w:val="right"/>
              <w:rPr>
                <w:sz w:val="18"/>
                <w:szCs w:val="18"/>
              </w:rPr>
            </w:pPr>
            <w:r w:rsidRPr="008833AE">
              <w:rPr>
                <w:sz w:val="18"/>
                <w:szCs w:val="18"/>
              </w:rPr>
              <w:t xml:space="preserve">417 </w:t>
            </w:r>
          </w:p>
        </w:tc>
        <w:tc>
          <w:tcPr>
            <w:tcW w:w="1179" w:type="dxa"/>
            <w:tcBorders>
              <w:left w:val="nil"/>
              <w:right w:val="nil"/>
            </w:tcBorders>
            <w:shd w:val="clear" w:color="000000" w:fill="FFFFFF"/>
            <w:vAlign w:val="center"/>
          </w:tcPr>
          <w:p w14:paraId="2B2FFB2E" w14:textId="3A691210" w:rsidR="00A000A2" w:rsidRPr="008833AE" w:rsidRDefault="00A000A2" w:rsidP="008833AE">
            <w:pPr>
              <w:spacing w:before="20" w:after="20"/>
              <w:ind w:left="-399" w:right="225"/>
              <w:jc w:val="right"/>
              <w:rPr>
                <w:sz w:val="18"/>
                <w:szCs w:val="18"/>
              </w:rPr>
            </w:pPr>
            <w:r w:rsidRPr="008833AE">
              <w:rPr>
                <w:sz w:val="18"/>
                <w:szCs w:val="18"/>
              </w:rPr>
              <w:t xml:space="preserve">390 </w:t>
            </w:r>
          </w:p>
        </w:tc>
        <w:tc>
          <w:tcPr>
            <w:tcW w:w="1179" w:type="dxa"/>
            <w:tcBorders>
              <w:left w:val="nil"/>
              <w:right w:val="nil"/>
            </w:tcBorders>
            <w:shd w:val="clear" w:color="000000" w:fill="FFFFFF"/>
            <w:vAlign w:val="center"/>
          </w:tcPr>
          <w:p w14:paraId="6AC3DCC4" w14:textId="0EE727F3" w:rsidR="00A000A2" w:rsidRPr="008833AE" w:rsidRDefault="00A000A2" w:rsidP="008833AE">
            <w:pPr>
              <w:spacing w:before="20" w:after="20"/>
              <w:ind w:left="-399" w:right="225"/>
              <w:jc w:val="right"/>
              <w:rPr>
                <w:sz w:val="18"/>
                <w:szCs w:val="18"/>
              </w:rPr>
            </w:pPr>
            <w:r w:rsidRPr="008833AE">
              <w:rPr>
                <w:sz w:val="18"/>
                <w:szCs w:val="18"/>
              </w:rPr>
              <w:t xml:space="preserve">367 </w:t>
            </w:r>
          </w:p>
        </w:tc>
        <w:tc>
          <w:tcPr>
            <w:tcW w:w="1179" w:type="dxa"/>
            <w:tcBorders>
              <w:left w:val="nil"/>
              <w:right w:val="nil"/>
            </w:tcBorders>
            <w:shd w:val="clear" w:color="000000" w:fill="FFFFFF"/>
            <w:vAlign w:val="center"/>
          </w:tcPr>
          <w:p w14:paraId="76F928DC" w14:textId="396CF33C" w:rsidR="00A000A2" w:rsidRPr="008833AE" w:rsidRDefault="00A000A2" w:rsidP="008833AE">
            <w:pPr>
              <w:spacing w:before="20" w:after="20"/>
              <w:ind w:left="-399" w:right="225"/>
              <w:jc w:val="right"/>
              <w:rPr>
                <w:sz w:val="18"/>
                <w:szCs w:val="18"/>
              </w:rPr>
            </w:pPr>
            <w:r w:rsidRPr="008833AE">
              <w:rPr>
                <w:sz w:val="18"/>
                <w:szCs w:val="18"/>
              </w:rPr>
              <w:t xml:space="preserve">343 </w:t>
            </w:r>
          </w:p>
        </w:tc>
      </w:tr>
    </w:tbl>
    <w:p w14:paraId="296DB10E" w14:textId="77777777" w:rsidR="00AD1127" w:rsidRPr="008833AE" w:rsidRDefault="00AD1127" w:rsidP="00601BA9">
      <w:pPr>
        <w:pStyle w:val="Heading3"/>
      </w:pPr>
      <w:r w:rsidRPr="008833AE">
        <w:t xml:space="preserve">AASB 1058 </w:t>
      </w:r>
      <w:r w:rsidRPr="002D26C1">
        <w:rPr>
          <w:i/>
        </w:rPr>
        <w:t>Income of Not-for-Profit</w:t>
      </w:r>
      <w:r w:rsidR="00C65D95" w:rsidRPr="002D26C1">
        <w:rPr>
          <w:i/>
        </w:rPr>
        <w:t xml:space="preserve"> Entities</w:t>
      </w:r>
    </w:p>
    <w:p w14:paraId="4D8281B2" w14:textId="3D953E80" w:rsidR="00253E27" w:rsidRPr="008833AE" w:rsidRDefault="00C819F4" w:rsidP="00AD1127">
      <w:pPr>
        <w:pStyle w:val="BodyText"/>
      </w:pPr>
      <w:r w:rsidRPr="008833AE">
        <w:t>AASB 1058 replace</w:t>
      </w:r>
      <w:r w:rsidR="005C40F4" w:rsidRPr="008833AE">
        <w:t>s</w:t>
      </w:r>
      <w:r w:rsidRPr="008833AE">
        <w:t xml:space="preserve"> most of the existing requirements in AASB 1004</w:t>
      </w:r>
      <w:r w:rsidR="005C40F4" w:rsidRPr="008833AE">
        <w:t xml:space="preserve"> </w:t>
      </w:r>
      <w:r w:rsidR="005C40F4" w:rsidRPr="008833AE">
        <w:rPr>
          <w:i/>
        </w:rPr>
        <w:t>Contributions</w:t>
      </w:r>
      <w:r w:rsidRPr="008833AE">
        <w:t xml:space="preserve">. The scope of AASB 1004 is now limited mainly to parliamentary appropriations, administrative arrangements and contributions by owners. </w:t>
      </w:r>
    </w:p>
    <w:p w14:paraId="4DC320E3" w14:textId="7871336C" w:rsidR="00E01692" w:rsidRPr="008833AE" w:rsidRDefault="00704E2B" w:rsidP="00E2073B">
      <w:pPr>
        <w:pStyle w:val="BodyText"/>
      </w:pPr>
      <w:r w:rsidRPr="008833AE">
        <w:t>Not-for</w:t>
      </w:r>
      <w:r w:rsidR="001530AE">
        <w:t>-</w:t>
      </w:r>
      <w:r w:rsidRPr="008833AE">
        <w:t xml:space="preserve">profit entities </w:t>
      </w:r>
      <w:r w:rsidR="009E2160">
        <w:t xml:space="preserve">(including the public sector) </w:t>
      </w:r>
      <w:r w:rsidRPr="008833AE">
        <w:t>need to determine whether a transaction is a donation (accounted for under AASB 1058) or a contract with a customer (accounted for under AASB 15).</w:t>
      </w:r>
      <w:r w:rsidR="00E2073B" w:rsidRPr="008833AE">
        <w:t xml:space="preserve">  </w:t>
      </w:r>
    </w:p>
    <w:p w14:paraId="7A3277D3" w14:textId="7A031AD0" w:rsidR="00457EB0" w:rsidRPr="008833AE" w:rsidRDefault="004C4A9A" w:rsidP="00E2073B">
      <w:pPr>
        <w:pStyle w:val="BodyText"/>
      </w:pPr>
      <w:r w:rsidRPr="008833AE">
        <w:t xml:space="preserve">The impact from the adoption of AASB 1058 is </w:t>
      </w:r>
      <w:r w:rsidR="008438AD">
        <w:t xml:space="preserve">expected to </w:t>
      </w:r>
      <w:r w:rsidRPr="008833AE">
        <w:t>mainly relate to changes</w:t>
      </w:r>
      <w:r w:rsidR="009A1A77" w:rsidRPr="008833AE">
        <w:t xml:space="preserve"> </w:t>
      </w:r>
      <w:r w:rsidRPr="008833AE">
        <w:t xml:space="preserve">in the </w:t>
      </w:r>
      <w:r w:rsidR="009A1A77" w:rsidRPr="008833AE">
        <w:t xml:space="preserve">deferral of </w:t>
      </w:r>
      <w:r w:rsidR="00876BD2" w:rsidRPr="008833AE">
        <w:t xml:space="preserve">revenue </w:t>
      </w:r>
      <w:r w:rsidR="009A1A77" w:rsidRPr="008833AE">
        <w:t xml:space="preserve">recognition </w:t>
      </w:r>
      <w:r w:rsidR="00876BD2" w:rsidRPr="008833AE">
        <w:t xml:space="preserve">from </w:t>
      </w:r>
      <w:r w:rsidR="009A1A77" w:rsidRPr="008833AE">
        <w:t xml:space="preserve">certain capital grants to align with the construction of the projects to which they relate. </w:t>
      </w:r>
      <w:r w:rsidR="00985DBC" w:rsidRPr="008833AE">
        <w:t xml:space="preserve"> This </w:t>
      </w:r>
      <w:r w:rsidR="008438AD" w:rsidRPr="008833AE">
        <w:t>result</w:t>
      </w:r>
      <w:r w:rsidR="008438AD">
        <w:t>s</w:t>
      </w:r>
      <w:r w:rsidR="008438AD" w:rsidRPr="008833AE">
        <w:t xml:space="preserve"> </w:t>
      </w:r>
      <w:r w:rsidR="00985DBC" w:rsidRPr="008833AE">
        <w:t xml:space="preserve">in </w:t>
      </w:r>
      <w:r w:rsidR="00020C47" w:rsidRPr="008833AE">
        <w:t>changes</w:t>
      </w:r>
      <w:r w:rsidR="00985DBC" w:rsidRPr="008833AE">
        <w:t xml:space="preserve"> </w:t>
      </w:r>
      <w:r w:rsidR="00B517D2" w:rsidRPr="008833AE">
        <w:t xml:space="preserve">to </w:t>
      </w:r>
      <w:r w:rsidR="007F2DB5" w:rsidRPr="008833AE">
        <w:t>unearned income liabilit</w:t>
      </w:r>
      <w:r w:rsidR="007619C4" w:rsidRPr="008833AE">
        <w:t>ies</w:t>
      </w:r>
      <w:r w:rsidR="007F2DB5" w:rsidRPr="008833AE">
        <w:t xml:space="preserve"> under ‘Other liabilities’ </w:t>
      </w:r>
      <w:r w:rsidR="00020C47" w:rsidRPr="008833AE">
        <w:t xml:space="preserve">and </w:t>
      </w:r>
      <w:r w:rsidR="00B517D2" w:rsidRPr="008833AE">
        <w:t xml:space="preserve">‘Grants and subsides’ </w:t>
      </w:r>
      <w:r w:rsidR="007F2DB5" w:rsidRPr="008833AE">
        <w:t>in the budget year and forward years.</w:t>
      </w:r>
    </w:p>
    <w:p w14:paraId="73C9F8B9" w14:textId="77777777" w:rsidR="002F5437" w:rsidRDefault="002F5437">
      <w:pPr>
        <w:widowControl/>
        <w:tabs>
          <w:tab w:val="clear" w:pos="4196"/>
          <w:tab w:val="clear" w:pos="5046"/>
          <w:tab w:val="clear" w:pos="5897"/>
          <w:tab w:val="clear" w:pos="6747"/>
          <w:tab w:val="clear" w:pos="7598"/>
        </w:tabs>
        <w:autoSpaceDE/>
        <w:autoSpaceDN/>
        <w:rPr>
          <w:bCs/>
          <w:i/>
          <w:color w:val="57514D"/>
          <w:kern w:val="28"/>
          <w:sz w:val="22"/>
          <w:szCs w:val="22"/>
        </w:rPr>
      </w:pPr>
      <w:r>
        <w:br w:type="page"/>
      </w:r>
    </w:p>
    <w:p w14:paraId="3E948332" w14:textId="6DB92B96" w:rsidR="00457EB0" w:rsidRPr="008833AE" w:rsidRDefault="00457EB0" w:rsidP="00601BA9">
      <w:pPr>
        <w:pStyle w:val="TableA2X"/>
        <w:tabs>
          <w:tab w:val="left" w:pos="1276"/>
        </w:tabs>
        <w:spacing w:before="240"/>
      </w:pPr>
      <w:r w:rsidRPr="008833AE">
        <w:lastRenderedPageBreak/>
        <w:t>Impact of</w:t>
      </w:r>
      <w:r w:rsidR="002D6743" w:rsidRPr="008833AE">
        <w:t xml:space="preserve"> AASB 1058</w:t>
      </w:r>
    </w:p>
    <w:tbl>
      <w:tblPr>
        <w:tblW w:w="0" w:type="auto"/>
        <w:tblInd w:w="108" w:type="dxa"/>
        <w:tblLook w:val="04A0" w:firstRow="1" w:lastRow="0" w:firstColumn="1" w:lastColumn="0" w:noHBand="0" w:noVBand="1"/>
      </w:tblPr>
      <w:tblGrid>
        <w:gridCol w:w="4864"/>
        <w:gridCol w:w="1169"/>
        <w:gridCol w:w="1166"/>
        <w:gridCol w:w="1166"/>
        <w:gridCol w:w="1166"/>
      </w:tblGrid>
      <w:tr w:rsidR="00457EB0" w:rsidRPr="008833AE" w14:paraId="444E435C" w14:textId="77777777" w:rsidTr="002F5437">
        <w:trPr>
          <w:trHeight w:val="300"/>
        </w:trPr>
        <w:tc>
          <w:tcPr>
            <w:tcW w:w="4960" w:type="dxa"/>
            <w:tcBorders>
              <w:top w:val="nil"/>
              <w:left w:val="nil"/>
              <w:bottom w:val="nil"/>
              <w:right w:val="nil"/>
            </w:tcBorders>
            <w:shd w:val="clear" w:color="auto" w:fill="00ABE6"/>
            <w:vAlign w:val="center"/>
            <w:hideMark/>
          </w:tcPr>
          <w:p w14:paraId="749D7257" w14:textId="77777777" w:rsidR="00457EB0" w:rsidRPr="008833AE" w:rsidRDefault="00457EB0" w:rsidP="006A1C77">
            <w:pPr>
              <w:jc w:val="both"/>
              <w:rPr>
                <w:color w:val="FFFFFF"/>
                <w:sz w:val="18"/>
                <w:szCs w:val="18"/>
              </w:rPr>
            </w:pPr>
          </w:p>
        </w:tc>
        <w:tc>
          <w:tcPr>
            <w:tcW w:w="1179" w:type="dxa"/>
            <w:tcBorders>
              <w:top w:val="nil"/>
              <w:left w:val="nil"/>
              <w:bottom w:val="nil"/>
              <w:right w:val="nil"/>
            </w:tcBorders>
            <w:shd w:val="clear" w:color="auto" w:fill="00ABE6"/>
            <w:vAlign w:val="center"/>
          </w:tcPr>
          <w:p w14:paraId="573863B2" w14:textId="77777777" w:rsidR="00457EB0" w:rsidRPr="008833AE" w:rsidRDefault="00457EB0" w:rsidP="006A1C77">
            <w:pPr>
              <w:jc w:val="center"/>
              <w:rPr>
                <w:color w:val="FFFFFF"/>
                <w:sz w:val="18"/>
                <w:szCs w:val="18"/>
              </w:rPr>
            </w:pPr>
            <w:r w:rsidRPr="008833AE">
              <w:rPr>
                <w:color w:val="FFFFFF"/>
                <w:sz w:val="18"/>
                <w:szCs w:val="18"/>
              </w:rPr>
              <w:t>2019-20</w:t>
            </w:r>
          </w:p>
        </w:tc>
        <w:tc>
          <w:tcPr>
            <w:tcW w:w="1179" w:type="dxa"/>
            <w:tcBorders>
              <w:top w:val="nil"/>
              <w:left w:val="nil"/>
              <w:bottom w:val="nil"/>
              <w:right w:val="nil"/>
            </w:tcBorders>
            <w:shd w:val="clear" w:color="auto" w:fill="00ABE6"/>
            <w:vAlign w:val="center"/>
          </w:tcPr>
          <w:p w14:paraId="295599AE" w14:textId="77777777" w:rsidR="00457EB0" w:rsidRPr="008833AE" w:rsidRDefault="00457EB0" w:rsidP="006A1C77">
            <w:pPr>
              <w:jc w:val="center"/>
              <w:rPr>
                <w:color w:val="FFFFFF"/>
                <w:sz w:val="18"/>
                <w:szCs w:val="18"/>
              </w:rPr>
            </w:pPr>
            <w:r w:rsidRPr="008833AE">
              <w:rPr>
                <w:color w:val="FFFFFF"/>
                <w:sz w:val="18"/>
                <w:szCs w:val="18"/>
              </w:rPr>
              <w:t>2020-21</w:t>
            </w:r>
          </w:p>
        </w:tc>
        <w:tc>
          <w:tcPr>
            <w:tcW w:w="1179" w:type="dxa"/>
            <w:tcBorders>
              <w:top w:val="nil"/>
              <w:left w:val="nil"/>
              <w:bottom w:val="nil"/>
              <w:right w:val="nil"/>
            </w:tcBorders>
            <w:shd w:val="clear" w:color="auto" w:fill="00ABE6"/>
            <w:vAlign w:val="center"/>
          </w:tcPr>
          <w:p w14:paraId="53F55EE8" w14:textId="77777777" w:rsidR="00457EB0" w:rsidRPr="008833AE" w:rsidRDefault="00457EB0" w:rsidP="006A1C77">
            <w:pPr>
              <w:jc w:val="center"/>
              <w:rPr>
                <w:color w:val="FFFFFF"/>
                <w:sz w:val="18"/>
                <w:szCs w:val="18"/>
              </w:rPr>
            </w:pPr>
            <w:r w:rsidRPr="008833AE">
              <w:rPr>
                <w:color w:val="FFFFFF"/>
                <w:sz w:val="18"/>
                <w:szCs w:val="18"/>
              </w:rPr>
              <w:t>2021-22</w:t>
            </w:r>
          </w:p>
        </w:tc>
        <w:tc>
          <w:tcPr>
            <w:tcW w:w="1179" w:type="dxa"/>
            <w:tcBorders>
              <w:top w:val="nil"/>
              <w:left w:val="nil"/>
              <w:bottom w:val="nil"/>
              <w:right w:val="nil"/>
            </w:tcBorders>
            <w:shd w:val="clear" w:color="auto" w:fill="00ABE6"/>
            <w:vAlign w:val="center"/>
          </w:tcPr>
          <w:p w14:paraId="0746DB0D" w14:textId="77777777" w:rsidR="00457EB0" w:rsidRPr="008833AE" w:rsidRDefault="00457EB0" w:rsidP="006A1C77">
            <w:pPr>
              <w:jc w:val="center"/>
              <w:rPr>
                <w:color w:val="FFFFFF"/>
                <w:sz w:val="18"/>
                <w:szCs w:val="18"/>
              </w:rPr>
            </w:pPr>
            <w:r w:rsidRPr="008833AE">
              <w:rPr>
                <w:color w:val="FFFFFF"/>
                <w:sz w:val="18"/>
                <w:szCs w:val="18"/>
              </w:rPr>
              <w:t>2022-23</w:t>
            </w:r>
          </w:p>
        </w:tc>
      </w:tr>
      <w:tr w:rsidR="00457EB0" w:rsidRPr="008833AE" w14:paraId="48344313" w14:textId="77777777" w:rsidTr="002F5437">
        <w:trPr>
          <w:trHeight w:val="300"/>
        </w:trPr>
        <w:tc>
          <w:tcPr>
            <w:tcW w:w="4960" w:type="dxa"/>
            <w:tcBorders>
              <w:top w:val="nil"/>
              <w:left w:val="nil"/>
              <w:right w:val="nil"/>
            </w:tcBorders>
            <w:shd w:val="clear" w:color="auto" w:fill="0A7CB9"/>
            <w:vAlign w:val="center"/>
            <w:hideMark/>
          </w:tcPr>
          <w:p w14:paraId="097AFEC3" w14:textId="77777777" w:rsidR="00457EB0" w:rsidRPr="008833AE" w:rsidRDefault="00457EB0" w:rsidP="006A1C77">
            <w:pPr>
              <w:jc w:val="both"/>
              <w:rPr>
                <w:color w:val="FFFFFF"/>
                <w:sz w:val="18"/>
                <w:szCs w:val="18"/>
              </w:rPr>
            </w:pPr>
          </w:p>
        </w:tc>
        <w:tc>
          <w:tcPr>
            <w:tcW w:w="1179" w:type="dxa"/>
            <w:tcBorders>
              <w:top w:val="nil"/>
              <w:left w:val="nil"/>
              <w:right w:val="nil"/>
            </w:tcBorders>
            <w:shd w:val="clear" w:color="auto" w:fill="0A7CB9"/>
            <w:vAlign w:val="center"/>
          </w:tcPr>
          <w:p w14:paraId="4E8C2640" w14:textId="77777777" w:rsidR="00457EB0" w:rsidRPr="008833AE" w:rsidRDefault="00457EB0" w:rsidP="006A1C77">
            <w:pPr>
              <w:jc w:val="center"/>
              <w:rPr>
                <w:color w:val="FFFFFF"/>
                <w:sz w:val="18"/>
                <w:szCs w:val="18"/>
              </w:rPr>
            </w:pPr>
            <w:r w:rsidRPr="008833AE">
              <w:rPr>
                <w:color w:val="FFFFFF"/>
                <w:sz w:val="18"/>
                <w:szCs w:val="18"/>
              </w:rPr>
              <w:t>Budget</w:t>
            </w:r>
          </w:p>
        </w:tc>
        <w:tc>
          <w:tcPr>
            <w:tcW w:w="3537" w:type="dxa"/>
            <w:gridSpan w:val="3"/>
            <w:tcBorders>
              <w:top w:val="nil"/>
              <w:left w:val="nil"/>
              <w:right w:val="nil"/>
            </w:tcBorders>
            <w:shd w:val="clear" w:color="auto" w:fill="0A7CB9"/>
            <w:vAlign w:val="center"/>
          </w:tcPr>
          <w:p w14:paraId="71A453EB" w14:textId="77777777" w:rsidR="00457EB0" w:rsidRPr="008833AE" w:rsidRDefault="00457EB0" w:rsidP="006A1C77">
            <w:pPr>
              <w:jc w:val="center"/>
              <w:rPr>
                <w:color w:val="FFFFFF"/>
                <w:sz w:val="18"/>
                <w:szCs w:val="18"/>
              </w:rPr>
            </w:pPr>
            <w:r w:rsidRPr="008833AE">
              <w:rPr>
                <w:color w:val="FFFFFF"/>
                <w:sz w:val="18"/>
                <w:szCs w:val="18"/>
              </w:rPr>
              <w:t>Forward Estimates</w:t>
            </w:r>
          </w:p>
        </w:tc>
      </w:tr>
      <w:tr w:rsidR="007D015E" w:rsidRPr="008833AE" w14:paraId="4CF7EB5E" w14:textId="77777777" w:rsidTr="002F5437">
        <w:trPr>
          <w:trHeight w:val="64"/>
        </w:trPr>
        <w:tc>
          <w:tcPr>
            <w:tcW w:w="4960" w:type="dxa"/>
            <w:tcBorders>
              <w:top w:val="nil"/>
              <w:left w:val="nil"/>
              <w:bottom w:val="nil"/>
              <w:right w:val="nil"/>
            </w:tcBorders>
            <w:shd w:val="clear" w:color="000000" w:fill="FFFFFF"/>
            <w:vAlign w:val="center"/>
          </w:tcPr>
          <w:p w14:paraId="4AC0CDF1" w14:textId="77777777" w:rsidR="007D015E" w:rsidRPr="008833AE" w:rsidRDefault="007D015E" w:rsidP="006A1C77">
            <w:pPr>
              <w:spacing w:before="40" w:after="40"/>
              <w:rPr>
                <w:b/>
                <w:color w:val="00ABE6"/>
                <w:sz w:val="18"/>
                <w:szCs w:val="18"/>
              </w:rPr>
            </w:pPr>
          </w:p>
        </w:tc>
        <w:tc>
          <w:tcPr>
            <w:tcW w:w="1179" w:type="dxa"/>
            <w:tcBorders>
              <w:top w:val="nil"/>
              <w:left w:val="nil"/>
              <w:right w:val="nil"/>
            </w:tcBorders>
            <w:vAlign w:val="center"/>
          </w:tcPr>
          <w:p w14:paraId="61A97AF4" w14:textId="3F1217CA" w:rsidR="007D015E" w:rsidRPr="008833AE" w:rsidRDefault="007D015E" w:rsidP="006A1C77">
            <w:pPr>
              <w:spacing w:before="20" w:after="20"/>
              <w:jc w:val="center"/>
              <w:rPr>
                <w:color w:val="00ABE6"/>
                <w:sz w:val="18"/>
                <w:szCs w:val="18"/>
              </w:rPr>
            </w:pPr>
            <w:r>
              <w:rPr>
                <w:color w:val="00ABE6"/>
                <w:sz w:val="18"/>
                <w:szCs w:val="18"/>
              </w:rPr>
              <w:t>$m</w:t>
            </w:r>
          </w:p>
        </w:tc>
        <w:tc>
          <w:tcPr>
            <w:tcW w:w="1179" w:type="dxa"/>
            <w:tcBorders>
              <w:top w:val="nil"/>
              <w:left w:val="nil"/>
              <w:right w:val="nil"/>
            </w:tcBorders>
            <w:vAlign w:val="center"/>
          </w:tcPr>
          <w:p w14:paraId="3DDECBC4" w14:textId="6A5D64CE" w:rsidR="007D015E" w:rsidRPr="008833AE" w:rsidRDefault="007D015E" w:rsidP="006A1C77">
            <w:pPr>
              <w:spacing w:before="20" w:after="20"/>
              <w:jc w:val="center"/>
              <w:rPr>
                <w:color w:val="00ABE6"/>
                <w:sz w:val="18"/>
                <w:szCs w:val="18"/>
              </w:rPr>
            </w:pPr>
            <w:r>
              <w:rPr>
                <w:color w:val="00ABE6"/>
                <w:sz w:val="18"/>
                <w:szCs w:val="18"/>
              </w:rPr>
              <w:t>$m</w:t>
            </w:r>
          </w:p>
        </w:tc>
        <w:tc>
          <w:tcPr>
            <w:tcW w:w="1179" w:type="dxa"/>
            <w:tcBorders>
              <w:top w:val="nil"/>
              <w:left w:val="nil"/>
              <w:right w:val="nil"/>
            </w:tcBorders>
            <w:vAlign w:val="center"/>
          </w:tcPr>
          <w:p w14:paraId="273BF1FA" w14:textId="1CF74EDA" w:rsidR="007D015E" w:rsidRPr="008833AE" w:rsidRDefault="007D015E" w:rsidP="006A1C77">
            <w:pPr>
              <w:spacing w:before="20" w:after="20"/>
              <w:jc w:val="center"/>
              <w:rPr>
                <w:color w:val="00ABE6"/>
                <w:sz w:val="18"/>
                <w:szCs w:val="18"/>
              </w:rPr>
            </w:pPr>
            <w:r>
              <w:rPr>
                <w:color w:val="00ABE6"/>
                <w:sz w:val="18"/>
                <w:szCs w:val="18"/>
              </w:rPr>
              <w:t>$m</w:t>
            </w:r>
          </w:p>
        </w:tc>
        <w:tc>
          <w:tcPr>
            <w:tcW w:w="1179" w:type="dxa"/>
            <w:tcBorders>
              <w:top w:val="nil"/>
              <w:left w:val="nil"/>
              <w:right w:val="nil"/>
            </w:tcBorders>
            <w:vAlign w:val="center"/>
          </w:tcPr>
          <w:p w14:paraId="41BEBA25" w14:textId="3FECC764" w:rsidR="007D015E" w:rsidRPr="008833AE" w:rsidRDefault="007D015E" w:rsidP="006A1C77">
            <w:pPr>
              <w:spacing w:before="20" w:after="20"/>
              <w:jc w:val="center"/>
              <w:rPr>
                <w:color w:val="00ABE6"/>
                <w:sz w:val="18"/>
                <w:szCs w:val="18"/>
              </w:rPr>
            </w:pPr>
            <w:r>
              <w:rPr>
                <w:color w:val="00ABE6"/>
                <w:sz w:val="18"/>
                <w:szCs w:val="18"/>
              </w:rPr>
              <w:t>$m</w:t>
            </w:r>
          </w:p>
        </w:tc>
      </w:tr>
      <w:tr w:rsidR="008833AE" w:rsidRPr="008833AE" w14:paraId="19673BEB" w14:textId="77777777" w:rsidTr="002F5437">
        <w:trPr>
          <w:trHeight w:val="64"/>
        </w:trPr>
        <w:tc>
          <w:tcPr>
            <w:tcW w:w="4960" w:type="dxa"/>
            <w:tcBorders>
              <w:top w:val="nil"/>
              <w:left w:val="nil"/>
              <w:bottom w:val="nil"/>
              <w:right w:val="nil"/>
            </w:tcBorders>
            <w:shd w:val="clear" w:color="000000" w:fill="FFFFFF"/>
            <w:vAlign w:val="center"/>
          </w:tcPr>
          <w:p w14:paraId="17FE0E8A" w14:textId="77777777" w:rsidR="00457EB0" w:rsidRPr="008833AE" w:rsidRDefault="00457EB0" w:rsidP="006A1C77">
            <w:pPr>
              <w:spacing w:before="40" w:after="40"/>
              <w:rPr>
                <w:b/>
                <w:i/>
                <w:color w:val="00ABE6"/>
                <w:sz w:val="18"/>
                <w:szCs w:val="18"/>
              </w:rPr>
            </w:pPr>
            <w:r w:rsidRPr="008833AE">
              <w:rPr>
                <w:b/>
                <w:color w:val="00ABE6"/>
                <w:sz w:val="18"/>
                <w:szCs w:val="18"/>
              </w:rPr>
              <w:t>Estimated GGS operating statement</w:t>
            </w:r>
          </w:p>
        </w:tc>
        <w:tc>
          <w:tcPr>
            <w:tcW w:w="1179" w:type="dxa"/>
            <w:tcBorders>
              <w:top w:val="nil"/>
              <w:left w:val="nil"/>
              <w:right w:val="nil"/>
            </w:tcBorders>
            <w:vAlign w:val="center"/>
          </w:tcPr>
          <w:p w14:paraId="0880876C" w14:textId="77777777" w:rsidR="00457EB0" w:rsidRPr="008833AE" w:rsidRDefault="00457EB0" w:rsidP="006A1C77">
            <w:pPr>
              <w:spacing w:before="20" w:after="20"/>
              <w:jc w:val="center"/>
              <w:rPr>
                <w:color w:val="00ABE6"/>
                <w:sz w:val="18"/>
                <w:szCs w:val="18"/>
              </w:rPr>
            </w:pPr>
          </w:p>
        </w:tc>
        <w:tc>
          <w:tcPr>
            <w:tcW w:w="1179" w:type="dxa"/>
            <w:tcBorders>
              <w:top w:val="nil"/>
              <w:left w:val="nil"/>
              <w:right w:val="nil"/>
            </w:tcBorders>
            <w:vAlign w:val="center"/>
          </w:tcPr>
          <w:p w14:paraId="45D7F20E" w14:textId="77777777" w:rsidR="00457EB0" w:rsidRPr="008833AE" w:rsidRDefault="00457EB0" w:rsidP="006A1C77">
            <w:pPr>
              <w:spacing w:before="20" w:after="20"/>
              <w:jc w:val="center"/>
              <w:rPr>
                <w:color w:val="00ABE6"/>
                <w:sz w:val="18"/>
                <w:szCs w:val="18"/>
              </w:rPr>
            </w:pPr>
          </w:p>
        </w:tc>
        <w:tc>
          <w:tcPr>
            <w:tcW w:w="1179" w:type="dxa"/>
            <w:tcBorders>
              <w:top w:val="nil"/>
              <w:left w:val="nil"/>
              <w:right w:val="nil"/>
            </w:tcBorders>
            <w:vAlign w:val="center"/>
          </w:tcPr>
          <w:p w14:paraId="086DE94B" w14:textId="77777777" w:rsidR="00457EB0" w:rsidRPr="008833AE" w:rsidRDefault="00457EB0" w:rsidP="006A1C77">
            <w:pPr>
              <w:spacing w:before="20" w:after="20"/>
              <w:jc w:val="center"/>
              <w:rPr>
                <w:color w:val="00ABE6"/>
                <w:sz w:val="18"/>
                <w:szCs w:val="18"/>
              </w:rPr>
            </w:pPr>
          </w:p>
        </w:tc>
        <w:tc>
          <w:tcPr>
            <w:tcW w:w="1179" w:type="dxa"/>
            <w:tcBorders>
              <w:top w:val="nil"/>
              <w:left w:val="nil"/>
              <w:right w:val="nil"/>
            </w:tcBorders>
            <w:vAlign w:val="center"/>
          </w:tcPr>
          <w:p w14:paraId="7B9B8C6D" w14:textId="77777777" w:rsidR="00457EB0" w:rsidRPr="008833AE" w:rsidRDefault="00457EB0" w:rsidP="006A1C77">
            <w:pPr>
              <w:spacing w:before="20" w:after="20"/>
              <w:jc w:val="center"/>
              <w:rPr>
                <w:color w:val="00ABE6"/>
                <w:sz w:val="18"/>
                <w:szCs w:val="18"/>
              </w:rPr>
            </w:pPr>
          </w:p>
        </w:tc>
      </w:tr>
      <w:tr w:rsidR="00542A62" w:rsidRPr="008833AE" w14:paraId="339C4FEE" w14:textId="77777777" w:rsidTr="002F5437">
        <w:trPr>
          <w:trHeight w:val="64"/>
        </w:trPr>
        <w:tc>
          <w:tcPr>
            <w:tcW w:w="4960" w:type="dxa"/>
            <w:tcBorders>
              <w:top w:val="nil"/>
              <w:left w:val="nil"/>
              <w:right w:val="nil"/>
            </w:tcBorders>
            <w:shd w:val="clear" w:color="000000" w:fill="FFFFFF"/>
            <w:vAlign w:val="center"/>
          </w:tcPr>
          <w:p w14:paraId="287265D6" w14:textId="77777777" w:rsidR="00542A62" w:rsidRPr="008833AE" w:rsidRDefault="00542A62" w:rsidP="00542A62">
            <w:pPr>
              <w:spacing w:before="40" w:after="40"/>
              <w:rPr>
                <w:sz w:val="18"/>
                <w:szCs w:val="18"/>
              </w:rPr>
            </w:pPr>
            <w:r w:rsidRPr="008833AE">
              <w:rPr>
                <w:sz w:val="18"/>
                <w:szCs w:val="18"/>
              </w:rPr>
              <w:t>Revenue from transactions</w:t>
            </w:r>
          </w:p>
        </w:tc>
        <w:tc>
          <w:tcPr>
            <w:tcW w:w="1179" w:type="dxa"/>
            <w:tcBorders>
              <w:top w:val="nil"/>
              <w:left w:val="nil"/>
              <w:right w:val="nil"/>
            </w:tcBorders>
            <w:vAlign w:val="center"/>
          </w:tcPr>
          <w:p w14:paraId="47B996D0" w14:textId="013F7FD7" w:rsidR="00542A62" w:rsidRPr="008833AE" w:rsidRDefault="00542A62" w:rsidP="008833AE">
            <w:pPr>
              <w:spacing w:before="20" w:after="20"/>
              <w:ind w:left="-682" w:right="198"/>
              <w:jc w:val="right"/>
              <w:rPr>
                <w:sz w:val="18"/>
                <w:szCs w:val="18"/>
              </w:rPr>
            </w:pPr>
            <w:r w:rsidRPr="008833AE">
              <w:rPr>
                <w:sz w:val="18"/>
                <w:szCs w:val="18"/>
              </w:rPr>
              <w:t>130</w:t>
            </w:r>
          </w:p>
        </w:tc>
        <w:tc>
          <w:tcPr>
            <w:tcW w:w="1179" w:type="dxa"/>
            <w:tcBorders>
              <w:top w:val="nil"/>
              <w:left w:val="nil"/>
              <w:right w:val="nil"/>
            </w:tcBorders>
            <w:vAlign w:val="center"/>
          </w:tcPr>
          <w:p w14:paraId="35DB7BC3" w14:textId="4C1DF526" w:rsidR="00542A62" w:rsidRPr="008833AE" w:rsidRDefault="00542A62" w:rsidP="008833AE">
            <w:pPr>
              <w:spacing w:before="20" w:after="20"/>
              <w:ind w:left="-682" w:right="198"/>
              <w:jc w:val="right"/>
              <w:rPr>
                <w:sz w:val="18"/>
                <w:szCs w:val="18"/>
              </w:rPr>
            </w:pPr>
            <w:r w:rsidRPr="008833AE">
              <w:rPr>
                <w:sz w:val="18"/>
                <w:szCs w:val="18"/>
              </w:rPr>
              <w:t>(146)</w:t>
            </w:r>
          </w:p>
        </w:tc>
        <w:tc>
          <w:tcPr>
            <w:tcW w:w="1179" w:type="dxa"/>
            <w:tcBorders>
              <w:top w:val="nil"/>
              <w:left w:val="nil"/>
              <w:right w:val="nil"/>
            </w:tcBorders>
            <w:vAlign w:val="center"/>
          </w:tcPr>
          <w:p w14:paraId="4027A548" w14:textId="3A0AE29F" w:rsidR="00542A62" w:rsidRPr="008833AE" w:rsidRDefault="00542A62" w:rsidP="008833AE">
            <w:pPr>
              <w:spacing w:before="20" w:after="20"/>
              <w:ind w:left="-682" w:right="198"/>
              <w:jc w:val="right"/>
              <w:rPr>
                <w:sz w:val="18"/>
                <w:szCs w:val="18"/>
              </w:rPr>
            </w:pPr>
            <w:r w:rsidRPr="008833AE">
              <w:rPr>
                <w:sz w:val="18"/>
                <w:szCs w:val="18"/>
              </w:rPr>
              <w:t>226</w:t>
            </w:r>
          </w:p>
        </w:tc>
        <w:tc>
          <w:tcPr>
            <w:tcW w:w="1179" w:type="dxa"/>
            <w:tcBorders>
              <w:top w:val="nil"/>
              <w:left w:val="nil"/>
              <w:right w:val="nil"/>
            </w:tcBorders>
            <w:vAlign w:val="center"/>
          </w:tcPr>
          <w:p w14:paraId="4BFC92E6" w14:textId="419C5839" w:rsidR="00542A62" w:rsidRPr="008833AE" w:rsidRDefault="00542A62" w:rsidP="008833AE">
            <w:pPr>
              <w:spacing w:before="20" w:after="20"/>
              <w:ind w:left="-682" w:right="198"/>
              <w:jc w:val="right"/>
              <w:rPr>
                <w:sz w:val="18"/>
                <w:szCs w:val="18"/>
              </w:rPr>
            </w:pPr>
            <w:r w:rsidRPr="008833AE">
              <w:rPr>
                <w:sz w:val="18"/>
                <w:szCs w:val="18"/>
              </w:rPr>
              <w:t>(39)</w:t>
            </w:r>
          </w:p>
        </w:tc>
      </w:tr>
      <w:tr w:rsidR="00457EB0" w:rsidRPr="008833AE" w14:paraId="286C2D7B" w14:textId="77777777" w:rsidTr="002F5437">
        <w:trPr>
          <w:trHeight w:val="64"/>
        </w:trPr>
        <w:tc>
          <w:tcPr>
            <w:tcW w:w="4960" w:type="dxa"/>
            <w:tcBorders>
              <w:top w:val="nil"/>
              <w:left w:val="nil"/>
              <w:bottom w:val="single" w:sz="4" w:space="0" w:color="auto"/>
              <w:right w:val="nil"/>
            </w:tcBorders>
            <w:shd w:val="clear" w:color="000000" w:fill="FFFFFF"/>
            <w:vAlign w:val="center"/>
          </w:tcPr>
          <w:p w14:paraId="0EB33727" w14:textId="77777777" w:rsidR="00457EB0" w:rsidRPr="008833AE" w:rsidRDefault="00457EB0" w:rsidP="006A1C77">
            <w:pPr>
              <w:spacing w:before="40" w:after="40"/>
              <w:rPr>
                <w:i/>
                <w:sz w:val="18"/>
                <w:szCs w:val="18"/>
              </w:rPr>
            </w:pPr>
            <w:r w:rsidRPr="008833AE">
              <w:rPr>
                <w:sz w:val="18"/>
                <w:szCs w:val="18"/>
              </w:rPr>
              <w:t>Expenses from transactions</w:t>
            </w:r>
            <w:r w:rsidRPr="008833AE">
              <w:rPr>
                <w:i/>
                <w:sz w:val="18"/>
                <w:szCs w:val="18"/>
              </w:rPr>
              <w:t xml:space="preserve"> </w:t>
            </w:r>
          </w:p>
        </w:tc>
        <w:tc>
          <w:tcPr>
            <w:tcW w:w="1179" w:type="dxa"/>
            <w:tcBorders>
              <w:top w:val="nil"/>
              <w:left w:val="nil"/>
              <w:bottom w:val="single" w:sz="4" w:space="0" w:color="auto"/>
              <w:right w:val="nil"/>
            </w:tcBorders>
            <w:vAlign w:val="center"/>
          </w:tcPr>
          <w:p w14:paraId="0C5796E8" w14:textId="0E167D66" w:rsidR="00457EB0" w:rsidRPr="008833AE" w:rsidRDefault="008833AE" w:rsidP="008833AE">
            <w:pPr>
              <w:spacing w:before="20" w:after="20"/>
              <w:ind w:left="-682" w:right="198"/>
              <w:jc w:val="right"/>
              <w:rPr>
                <w:sz w:val="18"/>
                <w:szCs w:val="18"/>
              </w:rPr>
            </w:pPr>
            <w:r>
              <w:rPr>
                <w:sz w:val="18"/>
                <w:szCs w:val="18"/>
              </w:rPr>
              <w:t>…</w:t>
            </w:r>
          </w:p>
        </w:tc>
        <w:tc>
          <w:tcPr>
            <w:tcW w:w="1179" w:type="dxa"/>
            <w:tcBorders>
              <w:top w:val="nil"/>
              <w:left w:val="nil"/>
              <w:bottom w:val="single" w:sz="4" w:space="0" w:color="auto"/>
              <w:right w:val="nil"/>
            </w:tcBorders>
            <w:vAlign w:val="center"/>
          </w:tcPr>
          <w:p w14:paraId="1744FD8D" w14:textId="08ECE851" w:rsidR="00457EB0" w:rsidRPr="008833AE" w:rsidRDefault="008833AE" w:rsidP="008833AE">
            <w:pPr>
              <w:spacing w:before="20" w:after="20"/>
              <w:ind w:left="-682" w:right="198"/>
              <w:jc w:val="right"/>
              <w:rPr>
                <w:sz w:val="18"/>
                <w:szCs w:val="18"/>
              </w:rPr>
            </w:pPr>
            <w:r>
              <w:rPr>
                <w:sz w:val="18"/>
                <w:szCs w:val="18"/>
              </w:rPr>
              <w:t>…</w:t>
            </w:r>
          </w:p>
        </w:tc>
        <w:tc>
          <w:tcPr>
            <w:tcW w:w="1179" w:type="dxa"/>
            <w:tcBorders>
              <w:top w:val="nil"/>
              <w:left w:val="nil"/>
              <w:bottom w:val="single" w:sz="4" w:space="0" w:color="auto"/>
              <w:right w:val="nil"/>
            </w:tcBorders>
            <w:vAlign w:val="center"/>
          </w:tcPr>
          <w:p w14:paraId="4CBFD7B3" w14:textId="21179440" w:rsidR="00457EB0" w:rsidRPr="008833AE" w:rsidRDefault="008833AE" w:rsidP="008833AE">
            <w:pPr>
              <w:spacing w:before="20" w:after="20"/>
              <w:ind w:left="-682" w:right="198"/>
              <w:jc w:val="right"/>
              <w:rPr>
                <w:sz w:val="18"/>
                <w:szCs w:val="18"/>
              </w:rPr>
            </w:pPr>
            <w:r>
              <w:rPr>
                <w:sz w:val="18"/>
                <w:szCs w:val="18"/>
              </w:rPr>
              <w:t>…</w:t>
            </w:r>
          </w:p>
        </w:tc>
        <w:tc>
          <w:tcPr>
            <w:tcW w:w="1179" w:type="dxa"/>
            <w:tcBorders>
              <w:top w:val="nil"/>
              <w:left w:val="nil"/>
              <w:bottom w:val="single" w:sz="4" w:space="0" w:color="auto"/>
              <w:right w:val="nil"/>
            </w:tcBorders>
            <w:vAlign w:val="center"/>
          </w:tcPr>
          <w:p w14:paraId="76C2C0D2" w14:textId="22852007" w:rsidR="00457EB0" w:rsidRPr="008833AE" w:rsidRDefault="008833AE" w:rsidP="008833AE">
            <w:pPr>
              <w:spacing w:before="20" w:after="20"/>
              <w:ind w:left="-682" w:right="198"/>
              <w:jc w:val="right"/>
              <w:rPr>
                <w:sz w:val="18"/>
                <w:szCs w:val="18"/>
              </w:rPr>
            </w:pPr>
            <w:r>
              <w:rPr>
                <w:sz w:val="18"/>
                <w:szCs w:val="18"/>
              </w:rPr>
              <w:t>…</w:t>
            </w:r>
          </w:p>
        </w:tc>
      </w:tr>
      <w:tr w:rsidR="008833AE" w:rsidRPr="008833AE" w14:paraId="20D695EC" w14:textId="77777777" w:rsidTr="002F5437">
        <w:trPr>
          <w:trHeight w:val="96"/>
        </w:trPr>
        <w:tc>
          <w:tcPr>
            <w:tcW w:w="4960" w:type="dxa"/>
            <w:tcBorders>
              <w:top w:val="single" w:sz="4" w:space="0" w:color="auto"/>
              <w:left w:val="nil"/>
              <w:right w:val="nil"/>
            </w:tcBorders>
            <w:shd w:val="clear" w:color="000000" w:fill="FFFFFF"/>
            <w:vAlign w:val="center"/>
          </w:tcPr>
          <w:p w14:paraId="59197E74" w14:textId="77777777" w:rsidR="00542A62" w:rsidRPr="008833AE" w:rsidRDefault="00542A62" w:rsidP="00542A62">
            <w:pPr>
              <w:spacing w:before="40" w:after="40"/>
              <w:rPr>
                <w:b/>
                <w:color w:val="00ABE6"/>
                <w:sz w:val="18"/>
                <w:szCs w:val="18"/>
              </w:rPr>
            </w:pPr>
            <w:r w:rsidRPr="008833AE">
              <w:rPr>
                <w:b/>
                <w:color w:val="00ABE6"/>
                <w:sz w:val="18"/>
                <w:szCs w:val="18"/>
              </w:rPr>
              <w:t xml:space="preserve">Budget result </w:t>
            </w:r>
          </w:p>
        </w:tc>
        <w:tc>
          <w:tcPr>
            <w:tcW w:w="1179" w:type="dxa"/>
            <w:tcBorders>
              <w:top w:val="single" w:sz="4" w:space="0" w:color="auto"/>
              <w:left w:val="nil"/>
              <w:right w:val="nil"/>
            </w:tcBorders>
            <w:shd w:val="clear" w:color="000000" w:fill="FFFFFF"/>
            <w:vAlign w:val="center"/>
          </w:tcPr>
          <w:p w14:paraId="42151FE0" w14:textId="26646E7D" w:rsidR="00542A62" w:rsidRPr="008833AE" w:rsidRDefault="00542A62" w:rsidP="008833AE">
            <w:pPr>
              <w:spacing w:before="20" w:after="20"/>
              <w:ind w:left="-682" w:right="198"/>
              <w:jc w:val="right"/>
              <w:rPr>
                <w:b/>
                <w:color w:val="00ABE6"/>
                <w:sz w:val="18"/>
                <w:szCs w:val="18"/>
              </w:rPr>
            </w:pPr>
            <w:r w:rsidRPr="008833AE">
              <w:rPr>
                <w:b/>
                <w:color w:val="00ABE6"/>
                <w:sz w:val="18"/>
                <w:szCs w:val="18"/>
              </w:rPr>
              <w:t>130</w:t>
            </w:r>
          </w:p>
        </w:tc>
        <w:tc>
          <w:tcPr>
            <w:tcW w:w="1179" w:type="dxa"/>
            <w:tcBorders>
              <w:top w:val="single" w:sz="4" w:space="0" w:color="auto"/>
              <w:left w:val="nil"/>
              <w:right w:val="nil"/>
            </w:tcBorders>
            <w:shd w:val="clear" w:color="000000" w:fill="FFFFFF"/>
            <w:vAlign w:val="center"/>
          </w:tcPr>
          <w:p w14:paraId="3F74B841" w14:textId="7F76622C" w:rsidR="00542A62" w:rsidRPr="008833AE" w:rsidRDefault="00542A62" w:rsidP="008833AE">
            <w:pPr>
              <w:spacing w:before="20" w:after="20"/>
              <w:ind w:left="-682" w:right="198"/>
              <w:jc w:val="right"/>
              <w:rPr>
                <w:b/>
                <w:color w:val="00ABE6"/>
                <w:sz w:val="18"/>
                <w:szCs w:val="18"/>
              </w:rPr>
            </w:pPr>
            <w:r w:rsidRPr="008833AE">
              <w:rPr>
                <w:b/>
                <w:color w:val="00ABE6"/>
                <w:sz w:val="18"/>
                <w:szCs w:val="18"/>
              </w:rPr>
              <w:t>(146)</w:t>
            </w:r>
          </w:p>
        </w:tc>
        <w:tc>
          <w:tcPr>
            <w:tcW w:w="1179" w:type="dxa"/>
            <w:tcBorders>
              <w:top w:val="single" w:sz="4" w:space="0" w:color="auto"/>
              <w:left w:val="nil"/>
              <w:right w:val="nil"/>
            </w:tcBorders>
            <w:shd w:val="clear" w:color="000000" w:fill="FFFFFF"/>
            <w:vAlign w:val="center"/>
          </w:tcPr>
          <w:p w14:paraId="7BCD7452" w14:textId="70E43AA2" w:rsidR="00542A62" w:rsidRPr="008833AE" w:rsidRDefault="00542A62" w:rsidP="008833AE">
            <w:pPr>
              <w:spacing w:before="20" w:after="20"/>
              <w:ind w:left="-682" w:right="198"/>
              <w:jc w:val="right"/>
              <w:rPr>
                <w:b/>
                <w:color w:val="00ABE6"/>
                <w:sz w:val="18"/>
                <w:szCs w:val="18"/>
              </w:rPr>
            </w:pPr>
            <w:r w:rsidRPr="008833AE">
              <w:rPr>
                <w:b/>
                <w:color w:val="00ABE6"/>
                <w:sz w:val="18"/>
                <w:szCs w:val="18"/>
              </w:rPr>
              <w:t>226</w:t>
            </w:r>
          </w:p>
        </w:tc>
        <w:tc>
          <w:tcPr>
            <w:tcW w:w="1179" w:type="dxa"/>
            <w:tcBorders>
              <w:top w:val="single" w:sz="4" w:space="0" w:color="auto"/>
              <w:left w:val="nil"/>
              <w:right w:val="nil"/>
            </w:tcBorders>
            <w:shd w:val="clear" w:color="000000" w:fill="FFFFFF"/>
            <w:vAlign w:val="center"/>
          </w:tcPr>
          <w:p w14:paraId="13F45E69" w14:textId="64616B49" w:rsidR="00542A62" w:rsidRPr="008833AE" w:rsidRDefault="00542A62" w:rsidP="008833AE">
            <w:pPr>
              <w:spacing w:before="20" w:after="20"/>
              <w:ind w:left="-682" w:right="198"/>
              <w:jc w:val="right"/>
              <w:rPr>
                <w:b/>
                <w:color w:val="00ABE6"/>
                <w:sz w:val="18"/>
                <w:szCs w:val="18"/>
              </w:rPr>
            </w:pPr>
            <w:r w:rsidRPr="008833AE">
              <w:rPr>
                <w:b/>
                <w:color w:val="00ABE6"/>
                <w:sz w:val="18"/>
                <w:szCs w:val="18"/>
              </w:rPr>
              <w:t>(39)</w:t>
            </w:r>
          </w:p>
        </w:tc>
      </w:tr>
      <w:tr w:rsidR="005B49AE" w:rsidRPr="008833AE" w14:paraId="18046159" w14:textId="77777777" w:rsidTr="002F5437">
        <w:trPr>
          <w:trHeight w:val="64"/>
        </w:trPr>
        <w:tc>
          <w:tcPr>
            <w:tcW w:w="4960" w:type="dxa"/>
            <w:tcBorders>
              <w:left w:val="nil"/>
              <w:bottom w:val="single" w:sz="4" w:space="0" w:color="auto"/>
              <w:right w:val="nil"/>
            </w:tcBorders>
            <w:shd w:val="clear" w:color="000000" w:fill="FFFFFF"/>
          </w:tcPr>
          <w:p w14:paraId="634245EA" w14:textId="77777777" w:rsidR="005B49AE" w:rsidRPr="008833AE" w:rsidRDefault="005B49AE" w:rsidP="005B49AE">
            <w:pPr>
              <w:spacing w:before="40" w:after="40"/>
              <w:rPr>
                <w:sz w:val="18"/>
                <w:szCs w:val="18"/>
              </w:rPr>
            </w:pPr>
            <w:r w:rsidRPr="008833AE">
              <w:rPr>
                <w:sz w:val="18"/>
                <w:szCs w:val="18"/>
              </w:rPr>
              <w:t>Other economic flows - included in operating result</w:t>
            </w:r>
          </w:p>
        </w:tc>
        <w:tc>
          <w:tcPr>
            <w:tcW w:w="1179" w:type="dxa"/>
            <w:tcBorders>
              <w:left w:val="nil"/>
              <w:bottom w:val="single" w:sz="4" w:space="0" w:color="auto"/>
              <w:right w:val="nil"/>
            </w:tcBorders>
            <w:shd w:val="clear" w:color="000000" w:fill="FFFFFF"/>
            <w:vAlign w:val="center"/>
          </w:tcPr>
          <w:p w14:paraId="00811148" w14:textId="609EC4D0" w:rsidR="005B49AE" w:rsidRPr="008833AE" w:rsidRDefault="008833AE" w:rsidP="008833AE">
            <w:pPr>
              <w:spacing w:before="20" w:after="20"/>
              <w:ind w:left="-682" w:right="198"/>
              <w:jc w:val="right"/>
              <w:rPr>
                <w:sz w:val="18"/>
                <w:szCs w:val="18"/>
              </w:rPr>
            </w:pPr>
            <w:r>
              <w:rPr>
                <w:sz w:val="18"/>
                <w:szCs w:val="18"/>
              </w:rPr>
              <w:t>…</w:t>
            </w:r>
          </w:p>
        </w:tc>
        <w:tc>
          <w:tcPr>
            <w:tcW w:w="1179" w:type="dxa"/>
            <w:tcBorders>
              <w:left w:val="nil"/>
              <w:bottom w:val="single" w:sz="4" w:space="0" w:color="auto"/>
              <w:right w:val="nil"/>
            </w:tcBorders>
            <w:shd w:val="clear" w:color="000000" w:fill="FFFFFF"/>
            <w:vAlign w:val="center"/>
          </w:tcPr>
          <w:p w14:paraId="7280A084" w14:textId="312753E8" w:rsidR="005B49AE" w:rsidRPr="008833AE" w:rsidRDefault="008833AE" w:rsidP="008833AE">
            <w:pPr>
              <w:spacing w:before="20" w:after="20"/>
              <w:ind w:left="-682" w:right="198"/>
              <w:jc w:val="right"/>
              <w:rPr>
                <w:sz w:val="18"/>
                <w:szCs w:val="18"/>
              </w:rPr>
            </w:pPr>
            <w:r>
              <w:rPr>
                <w:sz w:val="18"/>
                <w:szCs w:val="18"/>
              </w:rPr>
              <w:t>…</w:t>
            </w:r>
          </w:p>
        </w:tc>
        <w:tc>
          <w:tcPr>
            <w:tcW w:w="1179" w:type="dxa"/>
            <w:tcBorders>
              <w:left w:val="nil"/>
              <w:bottom w:val="single" w:sz="4" w:space="0" w:color="auto"/>
              <w:right w:val="nil"/>
            </w:tcBorders>
            <w:shd w:val="clear" w:color="000000" w:fill="FFFFFF"/>
            <w:vAlign w:val="center"/>
          </w:tcPr>
          <w:p w14:paraId="4B9ACBFC" w14:textId="2E215DBF" w:rsidR="005B49AE" w:rsidRPr="008833AE" w:rsidRDefault="008833AE" w:rsidP="008833AE">
            <w:pPr>
              <w:spacing w:before="20" w:after="20"/>
              <w:ind w:left="-682" w:right="198"/>
              <w:jc w:val="right"/>
              <w:rPr>
                <w:sz w:val="18"/>
                <w:szCs w:val="18"/>
              </w:rPr>
            </w:pPr>
            <w:r>
              <w:rPr>
                <w:sz w:val="18"/>
                <w:szCs w:val="18"/>
              </w:rPr>
              <w:t>…</w:t>
            </w:r>
          </w:p>
        </w:tc>
        <w:tc>
          <w:tcPr>
            <w:tcW w:w="1179" w:type="dxa"/>
            <w:tcBorders>
              <w:left w:val="nil"/>
              <w:bottom w:val="single" w:sz="4" w:space="0" w:color="auto"/>
              <w:right w:val="nil"/>
            </w:tcBorders>
            <w:shd w:val="clear" w:color="000000" w:fill="FFFFFF"/>
            <w:vAlign w:val="center"/>
          </w:tcPr>
          <w:p w14:paraId="0C905472" w14:textId="6E4948A5" w:rsidR="005B49AE" w:rsidRPr="008833AE" w:rsidRDefault="008833AE" w:rsidP="008833AE">
            <w:pPr>
              <w:spacing w:before="20" w:after="20"/>
              <w:ind w:left="-682" w:right="198"/>
              <w:jc w:val="right"/>
              <w:rPr>
                <w:sz w:val="18"/>
                <w:szCs w:val="18"/>
              </w:rPr>
            </w:pPr>
            <w:r>
              <w:rPr>
                <w:sz w:val="18"/>
                <w:szCs w:val="18"/>
              </w:rPr>
              <w:t>…</w:t>
            </w:r>
          </w:p>
        </w:tc>
      </w:tr>
      <w:tr w:rsidR="008833AE" w:rsidRPr="008833AE" w14:paraId="6CE55528" w14:textId="77777777" w:rsidTr="002F5437">
        <w:trPr>
          <w:trHeight w:val="340"/>
        </w:trPr>
        <w:tc>
          <w:tcPr>
            <w:tcW w:w="4960" w:type="dxa"/>
            <w:tcBorders>
              <w:top w:val="single" w:sz="4" w:space="0" w:color="auto"/>
              <w:left w:val="nil"/>
              <w:bottom w:val="single" w:sz="4" w:space="0" w:color="auto"/>
              <w:right w:val="nil"/>
            </w:tcBorders>
            <w:shd w:val="clear" w:color="000000" w:fill="FFFFFF"/>
          </w:tcPr>
          <w:p w14:paraId="7B175531" w14:textId="77777777" w:rsidR="00542A62" w:rsidRPr="008833AE" w:rsidRDefault="00542A62" w:rsidP="00542A62">
            <w:pPr>
              <w:spacing w:before="40" w:after="40"/>
              <w:rPr>
                <w:b/>
                <w:color w:val="00ABE6"/>
                <w:sz w:val="18"/>
                <w:szCs w:val="18"/>
              </w:rPr>
            </w:pPr>
            <w:r w:rsidRPr="008833AE">
              <w:rPr>
                <w:b/>
                <w:color w:val="00ABE6"/>
                <w:sz w:val="18"/>
                <w:szCs w:val="18"/>
              </w:rPr>
              <w:t>Operating result</w:t>
            </w:r>
          </w:p>
        </w:tc>
        <w:tc>
          <w:tcPr>
            <w:tcW w:w="1179" w:type="dxa"/>
            <w:tcBorders>
              <w:top w:val="single" w:sz="4" w:space="0" w:color="auto"/>
              <w:left w:val="nil"/>
              <w:bottom w:val="single" w:sz="4" w:space="0" w:color="auto"/>
              <w:right w:val="nil"/>
            </w:tcBorders>
            <w:shd w:val="clear" w:color="000000" w:fill="FFFFFF"/>
            <w:vAlign w:val="center"/>
          </w:tcPr>
          <w:p w14:paraId="492C2C0A" w14:textId="11E8F31F" w:rsidR="00542A62" w:rsidRPr="008833AE" w:rsidRDefault="00542A62" w:rsidP="008833AE">
            <w:pPr>
              <w:spacing w:before="20" w:after="20"/>
              <w:ind w:left="-682" w:right="198"/>
              <w:jc w:val="right"/>
              <w:rPr>
                <w:color w:val="00ABE6"/>
                <w:sz w:val="18"/>
                <w:szCs w:val="18"/>
              </w:rPr>
            </w:pPr>
            <w:r w:rsidRPr="008833AE">
              <w:rPr>
                <w:b/>
                <w:color w:val="00ABE6"/>
                <w:sz w:val="18"/>
                <w:szCs w:val="18"/>
              </w:rPr>
              <w:t>130</w:t>
            </w:r>
          </w:p>
        </w:tc>
        <w:tc>
          <w:tcPr>
            <w:tcW w:w="1179" w:type="dxa"/>
            <w:tcBorders>
              <w:top w:val="single" w:sz="4" w:space="0" w:color="auto"/>
              <w:left w:val="nil"/>
              <w:bottom w:val="single" w:sz="4" w:space="0" w:color="auto"/>
              <w:right w:val="nil"/>
            </w:tcBorders>
            <w:shd w:val="clear" w:color="000000" w:fill="FFFFFF"/>
            <w:vAlign w:val="center"/>
          </w:tcPr>
          <w:p w14:paraId="3EA2638F" w14:textId="5AE831EF" w:rsidR="00542A62" w:rsidRPr="008833AE" w:rsidRDefault="00542A62" w:rsidP="008833AE">
            <w:pPr>
              <w:spacing w:before="20" w:after="20"/>
              <w:ind w:left="-682" w:right="198"/>
              <w:jc w:val="right"/>
              <w:rPr>
                <w:color w:val="00ABE6"/>
                <w:sz w:val="18"/>
                <w:szCs w:val="18"/>
              </w:rPr>
            </w:pPr>
            <w:r w:rsidRPr="008833AE">
              <w:rPr>
                <w:b/>
                <w:color w:val="00ABE6"/>
                <w:sz w:val="18"/>
                <w:szCs w:val="18"/>
              </w:rPr>
              <w:t>(146)</w:t>
            </w:r>
          </w:p>
        </w:tc>
        <w:tc>
          <w:tcPr>
            <w:tcW w:w="1179" w:type="dxa"/>
            <w:tcBorders>
              <w:top w:val="single" w:sz="4" w:space="0" w:color="auto"/>
              <w:left w:val="nil"/>
              <w:bottom w:val="single" w:sz="4" w:space="0" w:color="auto"/>
              <w:right w:val="nil"/>
            </w:tcBorders>
            <w:shd w:val="clear" w:color="000000" w:fill="FFFFFF"/>
            <w:vAlign w:val="center"/>
          </w:tcPr>
          <w:p w14:paraId="76D23C50" w14:textId="152051AB" w:rsidR="00542A62" w:rsidRPr="008833AE" w:rsidRDefault="00542A62" w:rsidP="008833AE">
            <w:pPr>
              <w:spacing w:before="20" w:after="20"/>
              <w:ind w:left="-682" w:right="198"/>
              <w:jc w:val="right"/>
              <w:rPr>
                <w:color w:val="00ABE6"/>
                <w:sz w:val="18"/>
                <w:szCs w:val="18"/>
              </w:rPr>
            </w:pPr>
            <w:r w:rsidRPr="008833AE">
              <w:rPr>
                <w:b/>
                <w:color w:val="00ABE6"/>
                <w:sz w:val="18"/>
                <w:szCs w:val="18"/>
              </w:rPr>
              <w:t>226</w:t>
            </w:r>
          </w:p>
        </w:tc>
        <w:tc>
          <w:tcPr>
            <w:tcW w:w="1179" w:type="dxa"/>
            <w:tcBorders>
              <w:top w:val="single" w:sz="4" w:space="0" w:color="auto"/>
              <w:left w:val="nil"/>
              <w:bottom w:val="single" w:sz="4" w:space="0" w:color="auto"/>
              <w:right w:val="nil"/>
            </w:tcBorders>
            <w:shd w:val="clear" w:color="000000" w:fill="FFFFFF"/>
            <w:vAlign w:val="center"/>
          </w:tcPr>
          <w:p w14:paraId="7A60C152" w14:textId="0A7A34A7" w:rsidR="00542A62" w:rsidRPr="008833AE" w:rsidRDefault="00542A62" w:rsidP="008833AE">
            <w:pPr>
              <w:spacing w:before="20" w:after="20"/>
              <w:ind w:left="-682" w:right="198"/>
              <w:jc w:val="right"/>
              <w:rPr>
                <w:color w:val="00ABE6"/>
                <w:sz w:val="18"/>
                <w:szCs w:val="18"/>
              </w:rPr>
            </w:pPr>
            <w:r w:rsidRPr="008833AE">
              <w:rPr>
                <w:b/>
                <w:color w:val="00ABE6"/>
                <w:sz w:val="18"/>
                <w:szCs w:val="18"/>
              </w:rPr>
              <w:t>(39)</w:t>
            </w:r>
          </w:p>
        </w:tc>
      </w:tr>
      <w:tr w:rsidR="008833AE" w:rsidRPr="008833AE" w14:paraId="7D9AEC90" w14:textId="77777777" w:rsidTr="002F5437">
        <w:trPr>
          <w:trHeight w:val="64"/>
        </w:trPr>
        <w:tc>
          <w:tcPr>
            <w:tcW w:w="4960" w:type="dxa"/>
            <w:tcBorders>
              <w:top w:val="single" w:sz="4" w:space="0" w:color="auto"/>
              <w:left w:val="nil"/>
              <w:right w:val="nil"/>
            </w:tcBorders>
            <w:shd w:val="clear" w:color="000000" w:fill="FFFFFF"/>
            <w:vAlign w:val="center"/>
          </w:tcPr>
          <w:p w14:paraId="3500CECD" w14:textId="77777777" w:rsidR="005B49AE" w:rsidRPr="008833AE" w:rsidRDefault="005B49AE" w:rsidP="005B49AE">
            <w:pPr>
              <w:spacing w:before="40" w:after="40"/>
              <w:rPr>
                <w:b/>
                <w:i/>
                <w:color w:val="00ABE6"/>
                <w:sz w:val="18"/>
                <w:szCs w:val="18"/>
              </w:rPr>
            </w:pPr>
            <w:r w:rsidRPr="008833AE">
              <w:rPr>
                <w:b/>
                <w:color w:val="00ABE6"/>
                <w:sz w:val="18"/>
                <w:szCs w:val="18"/>
              </w:rPr>
              <w:t>Estimated GGS balance sheet</w:t>
            </w:r>
          </w:p>
        </w:tc>
        <w:tc>
          <w:tcPr>
            <w:tcW w:w="1179" w:type="dxa"/>
            <w:tcBorders>
              <w:top w:val="single" w:sz="4" w:space="0" w:color="auto"/>
              <w:left w:val="nil"/>
              <w:right w:val="nil"/>
            </w:tcBorders>
            <w:vAlign w:val="center"/>
          </w:tcPr>
          <w:p w14:paraId="7B0A5E45" w14:textId="77777777" w:rsidR="005B49AE" w:rsidRPr="008833AE" w:rsidRDefault="005B49AE" w:rsidP="008833AE">
            <w:pPr>
              <w:spacing w:before="20" w:after="20"/>
              <w:ind w:left="-682" w:right="198"/>
              <w:jc w:val="right"/>
              <w:rPr>
                <w:color w:val="00ABE6"/>
                <w:sz w:val="18"/>
                <w:szCs w:val="18"/>
              </w:rPr>
            </w:pPr>
          </w:p>
        </w:tc>
        <w:tc>
          <w:tcPr>
            <w:tcW w:w="1179" w:type="dxa"/>
            <w:tcBorders>
              <w:top w:val="single" w:sz="4" w:space="0" w:color="auto"/>
              <w:left w:val="nil"/>
              <w:right w:val="nil"/>
            </w:tcBorders>
            <w:vAlign w:val="center"/>
          </w:tcPr>
          <w:p w14:paraId="57CF6810" w14:textId="77777777" w:rsidR="005B49AE" w:rsidRPr="008833AE" w:rsidRDefault="005B49AE" w:rsidP="008833AE">
            <w:pPr>
              <w:spacing w:before="20" w:after="20"/>
              <w:ind w:left="-682" w:right="198"/>
              <w:jc w:val="right"/>
              <w:rPr>
                <w:color w:val="00ABE6"/>
                <w:sz w:val="18"/>
                <w:szCs w:val="18"/>
              </w:rPr>
            </w:pPr>
          </w:p>
        </w:tc>
        <w:tc>
          <w:tcPr>
            <w:tcW w:w="1179" w:type="dxa"/>
            <w:tcBorders>
              <w:top w:val="single" w:sz="4" w:space="0" w:color="auto"/>
              <w:left w:val="nil"/>
              <w:right w:val="nil"/>
            </w:tcBorders>
            <w:vAlign w:val="center"/>
          </w:tcPr>
          <w:p w14:paraId="4AD81656" w14:textId="77777777" w:rsidR="005B49AE" w:rsidRPr="008833AE" w:rsidRDefault="005B49AE" w:rsidP="008833AE">
            <w:pPr>
              <w:spacing w:before="20" w:after="20"/>
              <w:ind w:left="-682" w:right="198"/>
              <w:jc w:val="right"/>
              <w:rPr>
                <w:color w:val="00ABE6"/>
                <w:sz w:val="18"/>
                <w:szCs w:val="18"/>
              </w:rPr>
            </w:pPr>
          </w:p>
        </w:tc>
        <w:tc>
          <w:tcPr>
            <w:tcW w:w="1179" w:type="dxa"/>
            <w:tcBorders>
              <w:top w:val="single" w:sz="4" w:space="0" w:color="auto"/>
              <w:left w:val="nil"/>
              <w:right w:val="nil"/>
            </w:tcBorders>
            <w:vAlign w:val="center"/>
          </w:tcPr>
          <w:p w14:paraId="5EDDC9FE" w14:textId="77777777" w:rsidR="005B49AE" w:rsidRPr="008833AE" w:rsidRDefault="005B49AE" w:rsidP="008833AE">
            <w:pPr>
              <w:spacing w:before="20" w:after="20"/>
              <w:ind w:left="-682" w:right="198"/>
              <w:jc w:val="right"/>
              <w:rPr>
                <w:color w:val="00ABE6"/>
                <w:sz w:val="18"/>
                <w:szCs w:val="18"/>
              </w:rPr>
            </w:pPr>
          </w:p>
        </w:tc>
      </w:tr>
      <w:tr w:rsidR="003007D1" w:rsidRPr="008833AE" w14:paraId="4F8B6CD3" w14:textId="77777777" w:rsidTr="002F5437">
        <w:trPr>
          <w:trHeight w:val="64"/>
        </w:trPr>
        <w:tc>
          <w:tcPr>
            <w:tcW w:w="4960" w:type="dxa"/>
            <w:tcBorders>
              <w:top w:val="nil"/>
              <w:left w:val="nil"/>
              <w:bottom w:val="single" w:sz="4" w:space="0" w:color="auto"/>
              <w:right w:val="nil"/>
            </w:tcBorders>
            <w:shd w:val="clear" w:color="000000" w:fill="FFFFFF"/>
            <w:vAlign w:val="center"/>
          </w:tcPr>
          <w:p w14:paraId="3B72419B" w14:textId="10A9C5BD" w:rsidR="003007D1" w:rsidRPr="008833AE" w:rsidRDefault="003007D1" w:rsidP="003007D1">
            <w:pPr>
              <w:spacing w:before="40" w:after="40"/>
              <w:rPr>
                <w:sz w:val="18"/>
                <w:szCs w:val="18"/>
              </w:rPr>
            </w:pPr>
            <w:r w:rsidRPr="008833AE">
              <w:rPr>
                <w:sz w:val="18"/>
                <w:szCs w:val="18"/>
              </w:rPr>
              <w:t>Receivable</w:t>
            </w:r>
            <w:r w:rsidR="000A53AB">
              <w:rPr>
                <w:sz w:val="18"/>
                <w:szCs w:val="18"/>
              </w:rPr>
              <w:t>s</w:t>
            </w:r>
          </w:p>
        </w:tc>
        <w:tc>
          <w:tcPr>
            <w:tcW w:w="1179" w:type="dxa"/>
            <w:tcBorders>
              <w:top w:val="nil"/>
              <w:left w:val="nil"/>
              <w:bottom w:val="single" w:sz="4" w:space="0" w:color="auto"/>
              <w:right w:val="nil"/>
            </w:tcBorders>
            <w:vAlign w:val="center"/>
          </w:tcPr>
          <w:p w14:paraId="294BA35D" w14:textId="5A54937C" w:rsidR="003007D1" w:rsidRPr="008833AE" w:rsidRDefault="004F40C1" w:rsidP="008833AE">
            <w:pPr>
              <w:spacing w:before="20" w:after="20"/>
              <w:ind w:left="-682" w:right="198"/>
              <w:jc w:val="right"/>
              <w:rPr>
                <w:sz w:val="18"/>
                <w:szCs w:val="18"/>
              </w:rPr>
            </w:pPr>
            <w:r>
              <w:rPr>
                <w:sz w:val="18"/>
                <w:szCs w:val="18"/>
              </w:rPr>
              <w:t>…</w:t>
            </w:r>
          </w:p>
        </w:tc>
        <w:tc>
          <w:tcPr>
            <w:tcW w:w="1179" w:type="dxa"/>
            <w:tcBorders>
              <w:top w:val="nil"/>
              <w:left w:val="nil"/>
              <w:bottom w:val="single" w:sz="4" w:space="0" w:color="auto"/>
              <w:right w:val="nil"/>
            </w:tcBorders>
            <w:vAlign w:val="center"/>
          </w:tcPr>
          <w:p w14:paraId="55C6E845" w14:textId="0E72FD1B" w:rsidR="003007D1" w:rsidRPr="008833AE" w:rsidRDefault="004F40C1" w:rsidP="008833AE">
            <w:pPr>
              <w:spacing w:before="20" w:after="20"/>
              <w:ind w:left="-682" w:right="198"/>
              <w:jc w:val="right"/>
              <w:rPr>
                <w:sz w:val="18"/>
                <w:szCs w:val="18"/>
              </w:rPr>
            </w:pPr>
            <w:r>
              <w:rPr>
                <w:sz w:val="18"/>
                <w:szCs w:val="18"/>
              </w:rPr>
              <w:t>…</w:t>
            </w:r>
          </w:p>
        </w:tc>
        <w:tc>
          <w:tcPr>
            <w:tcW w:w="1179" w:type="dxa"/>
            <w:tcBorders>
              <w:top w:val="nil"/>
              <w:left w:val="nil"/>
              <w:bottom w:val="single" w:sz="4" w:space="0" w:color="auto"/>
              <w:right w:val="nil"/>
            </w:tcBorders>
            <w:vAlign w:val="center"/>
          </w:tcPr>
          <w:p w14:paraId="4AC995D4" w14:textId="0910D9FA" w:rsidR="003007D1" w:rsidRPr="008833AE" w:rsidRDefault="004F40C1" w:rsidP="008833AE">
            <w:pPr>
              <w:spacing w:before="20" w:after="20"/>
              <w:ind w:left="-682" w:right="198"/>
              <w:jc w:val="right"/>
              <w:rPr>
                <w:sz w:val="18"/>
                <w:szCs w:val="18"/>
              </w:rPr>
            </w:pPr>
            <w:r>
              <w:rPr>
                <w:sz w:val="18"/>
                <w:szCs w:val="18"/>
              </w:rPr>
              <w:t>…</w:t>
            </w:r>
          </w:p>
        </w:tc>
        <w:tc>
          <w:tcPr>
            <w:tcW w:w="1179" w:type="dxa"/>
            <w:tcBorders>
              <w:top w:val="nil"/>
              <w:left w:val="nil"/>
              <w:bottom w:val="single" w:sz="4" w:space="0" w:color="auto"/>
              <w:right w:val="nil"/>
            </w:tcBorders>
            <w:vAlign w:val="center"/>
          </w:tcPr>
          <w:p w14:paraId="3285BC09" w14:textId="056C4103" w:rsidR="003007D1" w:rsidRPr="008833AE" w:rsidRDefault="004F40C1" w:rsidP="008833AE">
            <w:pPr>
              <w:spacing w:before="20" w:after="20"/>
              <w:ind w:left="-682" w:right="198"/>
              <w:jc w:val="right"/>
              <w:rPr>
                <w:sz w:val="18"/>
                <w:szCs w:val="18"/>
              </w:rPr>
            </w:pPr>
            <w:r>
              <w:rPr>
                <w:sz w:val="18"/>
                <w:szCs w:val="18"/>
              </w:rPr>
              <w:t>…</w:t>
            </w:r>
          </w:p>
        </w:tc>
      </w:tr>
      <w:tr w:rsidR="008833AE" w:rsidRPr="008833AE" w14:paraId="517E0C71" w14:textId="77777777" w:rsidTr="002F5437">
        <w:trPr>
          <w:trHeight w:val="64"/>
        </w:trPr>
        <w:tc>
          <w:tcPr>
            <w:tcW w:w="4960" w:type="dxa"/>
            <w:tcBorders>
              <w:top w:val="single" w:sz="4" w:space="0" w:color="auto"/>
              <w:left w:val="nil"/>
              <w:right w:val="nil"/>
            </w:tcBorders>
            <w:shd w:val="clear" w:color="000000" w:fill="FFFFFF"/>
            <w:vAlign w:val="center"/>
          </w:tcPr>
          <w:p w14:paraId="32DAC666" w14:textId="77777777" w:rsidR="003007D1" w:rsidRPr="008833AE" w:rsidRDefault="003007D1" w:rsidP="003007D1">
            <w:pPr>
              <w:spacing w:before="40" w:after="40"/>
              <w:rPr>
                <w:b/>
                <w:color w:val="00ABE6"/>
                <w:sz w:val="18"/>
                <w:szCs w:val="18"/>
              </w:rPr>
            </w:pPr>
            <w:r w:rsidRPr="008833AE">
              <w:rPr>
                <w:b/>
                <w:color w:val="00ABE6"/>
                <w:sz w:val="18"/>
                <w:szCs w:val="18"/>
              </w:rPr>
              <w:t>Total assets</w:t>
            </w:r>
          </w:p>
        </w:tc>
        <w:tc>
          <w:tcPr>
            <w:tcW w:w="1179" w:type="dxa"/>
            <w:tcBorders>
              <w:top w:val="single" w:sz="4" w:space="0" w:color="auto"/>
              <w:left w:val="nil"/>
              <w:right w:val="nil"/>
            </w:tcBorders>
            <w:shd w:val="clear" w:color="000000" w:fill="FFFFFF"/>
            <w:vAlign w:val="center"/>
          </w:tcPr>
          <w:p w14:paraId="0DFA188A" w14:textId="2506C644" w:rsidR="003007D1" w:rsidRPr="008833AE" w:rsidRDefault="004F40C1" w:rsidP="008833AE">
            <w:pPr>
              <w:spacing w:before="20" w:after="20"/>
              <w:ind w:left="-682" w:right="198"/>
              <w:jc w:val="right"/>
              <w:rPr>
                <w:b/>
                <w:color w:val="00ABE6"/>
                <w:sz w:val="18"/>
                <w:szCs w:val="18"/>
              </w:rPr>
            </w:pPr>
            <w:r>
              <w:rPr>
                <w:b/>
                <w:color w:val="00ABE6"/>
                <w:sz w:val="18"/>
                <w:szCs w:val="18"/>
              </w:rPr>
              <w:t>…</w:t>
            </w:r>
          </w:p>
        </w:tc>
        <w:tc>
          <w:tcPr>
            <w:tcW w:w="1179" w:type="dxa"/>
            <w:tcBorders>
              <w:top w:val="single" w:sz="4" w:space="0" w:color="auto"/>
              <w:left w:val="nil"/>
              <w:right w:val="nil"/>
            </w:tcBorders>
            <w:shd w:val="clear" w:color="000000" w:fill="FFFFFF"/>
            <w:vAlign w:val="center"/>
          </w:tcPr>
          <w:p w14:paraId="4E8C25AC" w14:textId="3DA1F6F7" w:rsidR="003007D1" w:rsidRPr="008833AE" w:rsidRDefault="004F40C1" w:rsidP="008833AE">
            <w:pPr>
              <w:spacing w:before="20" w:after="20"/>
              <w:ind w:left="-682" w:right="198"/>
              <w:jc w:val="right"/>
              <w:rPr>
                <w:b/>
                <w:color w:val="00ABE6"/>
                <w:sz w:val="18"/>
                <w:szCs w:val="18"/>
              </w:rPr>
            </w:pPr>
            <w:r>
              <w:rPr>
                <w:b/>
                <w:color w:val="00ABE6"/>
                <w:sz w:val="18"/>
                <w:szCs w:val="18"/>
              </w:rPr>
              <w:t>…</w:t>
            </w:r>
          </w:p>
        </w:tc>
        <w:tc>
          <w:tcPr>
            <w:tcW w:w="1179" w:type="dxa"/>
            <w:tcBorders>
              <w:top w:val="single" w:sz="4" w:space="0" w:color="auto"/>
              <w:left w:val="nil"/>
              <w:right w:val="nil"/>
            </w:tcBorders>
            <w:shd w:val="clear" w:color="000000" w:fill="FFFFFF"/>
            <w:vAlign w:val="center"/>
          </w:tcPr>
          <w:p w14:paraId="718E1285" w14:textId="2C4589FC" w:rsidR="003007D1" w:rsidRPr="008833AE" w:rsidRDefault="004F40C1" w:rsidP="008833AE">
            <w:pPr>
              <w:spacing w:before="20" w:after="20"/>
              <w:ind w:left="-682" w:right="198"/>
              <w:jc w:val="right"/>
              <w:rPr>
                <w:b/>
                <w:color w:val="00ABE6"/>
                <w:sz w:val="18"/>
                <w:szCs w:val="18"/>
              </w:rPr>
            </w:pPr>
            <w:r>
              <w:rPr>
                <w:b/>
                <w:color w:val="00ABE6"/>
                <w:sz w:val="18"/>
                <w:szCs w:val="18"/>
              </w:rPr>
              <w:t>…</w:t>
            </w:r>
          </w:p>
        </w:tc>
        <w:tc>
          <w:tcPr>
            <w:tcW w:w="1179" w:type="dxa"/>
            <w:tcBorders>
              <w:top w:val="single" w:sz="4" w:space="0" w:color="auto"/>
              <w:left w:val="nil"/>
              <w:right w:val="nil"/>
            </w:tcBorders>
            <w:shd w:val="clear" w:color="000000" w:fill="FFFFFF"/>
            <w:vAlign w:val="center"/>
          </w:tcPr>
          <w:p w14:paraId="72696CC1" w14:textId="08358CA0" w:rsidR="003007D1" w:rsidRPr="008833AE" w:rsidRDefault="004F40C1" w:rsidP="008833AE">
            <w:pPr>
              <w:spacing w:before="20" w:after="20"/>
              <w:ind w:left="-682" w:right="198"/>
              <w:jc w:val="right"/>
              <w:rPr>
                <w:b/>
                <w:color w:val="00ABE6"/>
                <w:sz w:val="18"/>
                <w:szCs w:val="18"/>
              </w:rPr>
            </w:pPr>
            <w:r>
              <w:rPr>
                <w:b/>
                <w:color w:val="00ABE6"/>
                <w:sz w:val="18"/>
                <w:szCs w:val="18"/>
              </w:rPr>
              <w:t>…</w:t>
            </w:r>
          </w:p>
        </w:tc>
      </w:tr>
      <w:tr w:rsidR="006E0CBF" w:rsidRPr="008833AE" w14:paraId="14D37203" w14:textId="77777777" w:rsidTr="002F5437">
        <w:trPr>
          <w:trHeight w:val="64"/>
        </w:trPr>
        <w:tc>
          <w:tcPr>
            <w:tcW w:w="4960" w:type="dxa"/>
            <w:tcBorders>
              <w:left w:val="nil"/>
              <w:bottom w:val="single" w:sz="4" w:space="0" w:color="auto"/>
              <w:right w:val="nil"/>
            </w:tcBorders>
            <w:shd w:val="clear" w:color="000000" w:fill="FFFFFF"/>
            <w:vAlign w:val="center"/>
          </w:tcPr>
          <w:p w14:paraId="6BB02D48" w14:textId="276FF5A1" w:rsidR="006E0CBF" w:rsidRPr="008833AE" w:rsidRDefault="006E0CBF" w:rsidP="006E0CBF">
            <w:pPr>
              <w:spacing w:before="40" w:after="40"/>
              <w:rPr>
                <w:sz w:val="18"/>
                <w:szCs w:val="18"/>
              </w:rPr>
            </w:pPr>
            <w:r w:rsidRPr="008833AE">
              <w:rPr>
                <w:sz w:val="18"/>
                <w:szCs w:val="18"/>
              </w:rPr>
              <w:t>Other liabilities</w:t>
            </w:r>
          </w:p>
        </w:tc>
        <w:tc>
          <w:tcPr>
            <w:tcW w:w="1179" w:type="dxa"/>
            <w:tcBorders>
              <w:left w:val="nil"/>
              <w:bottom w:val="single" w:sz="4" w:space="0" w:color="auto"/>
              <w:right w:val="nil"/>
            </w:tcBorders>
            <w:shd w:val="clear" w:color="000000" w:fill="FFFFFF"/>
            <w:vAlign w:val="center"/>
          </w:tcPr>
          <w:p w14:paraId="60C60204" w14:textId="69525138" w:rsidR="006E0CBF" w:rsidRPr="008833AE" w:rsidRDefault="006E0CBF" w:rsidP="008833AE">
            <w:pPr>
              <w:spacing w:before="20" w:after="20"/>
              <w:ind w:left="-682" w:right="198"/>
              <w:jc w:val="right"/>
              <w:rPr>
                <w:sz w:val="18"/>
                <w:szCs w:val="18"/>
              </w:rPr>
            </w:pPr>
            <w:r w:rsidRPr="008833AE">
              <w:rPr>
                <w:sz w:val="18"/>
                <w:szCs w:val="18"/>
              </w:rPr>
              <w:t>364</w:t>
            </w:r>
          </w:p>
        </w:tc>
        <w:tc>
          <w:tcPr>
            <w:tcW w:w="1179" w:type="dxa"/>
            <w:tcBorders>
              <w:left w:val="nil"/>
              <w:bottom w:val="single" w:sz="4" w:space="0" w:color="auto"/>
              <w:right w:val="nil"/>
            </w:tcBorders>
            <w:shd w:val="clear" w:color="000000" w:fill="FFFFFF"/>
            <w:vAlign w:val="center"/>
          </w:tcPr>
          <w:p w14:paraId="27482BCC" w14:textId="0478A1AF" w:rsidR="006E0CBF" w:rsidRPr="008833AE" w:rsidRDefault="006E0CBF" w:rsidP="008833AE">
            <w:pPr>
              <w:spacing w:before="20" w:after="20"/>
              <w:ind w:left="-682" w:right="198"/>
              <w:jc w:val="right"/>
              <w:rPr>
                <w:sz w:val="18"/>
                <w:szCs w:val="18"/>
              </w:rPr>
            </w:pPr>
            <w:r w:rsidRPr="008833AE">
              <w:rPr>
                <w:sz w:val="18"/>
                <w:szCs w:val="18"/>
              </w:rPr>
              <w:t>510</w:t>
            </w:r>
          </w:p>
        </w:tc>
        <w:tc>
          <w:tcPr>
            <w:tcW w:w="1179" w:type="dxa"/>
            <w:tcBorders>
              <w:left w:val="nil"/>
              <w:bottom w:val="single" w:sz="4" w:space="0" w:color="auto"/>
              <w:right w:val="nil"/>
            </w:tcBorders>
            <w:shd w:val="clear" w:color="000000" w:fill="FFFFFF"/>
            <w:vAlign w:val="center"/>
          </w:tcPr>
          <w:p w14:paraId="16C4EA82" w14:textId="6E8CF68F" w:rsidR="006E0CBF" w:rsidRPr="008833AE" w:rsidRDefault="006E0CBF" w:rsidP="008833AE">
            <w:pPr>
              <w:spacing w:before="20" w:after="20"/>
              <w:ind w:left="-682" w:right="198"/>
              <w:jc w:val="right"/>
              <w:rPr>
                <w:sz w:val="18"/>
                <w:szCs w:val="18"/>
              </w:rPr>
            </w:pPr>
            <w:r w:rsidRPr="008833AE">
              <w:rPr>
                <w:sz w:val="18"/>
                <w:szCs w:val="18"/>
              </w:rPr>
              <w:t>284</w:t>
            </w:r>
          </w:p>
        </w:tc>
        <w:tc>
          <w:tcPr>
            <w:tcW w:w="1179" w:type="dxa"/>
            <w:tcBorders>
              <w:left w:val="nil"/>
              <w:bottom w:val="single" w:sz="4" w:space="0" w:color="auto"/>
              <w:right w:val="nil"/>
            </w:tcBorders>
            <w:shd w:val="clear" w:color="000000" w:fill="FFFFFF"/>
            <w:vAlign w:val="center"/>
          </w:tcPr>
          <w:p w14:paraId="1B6535F3" w14:textId="77D84C81" w:rsidR="006E0CBF" w:rsidRPr="008833AE" w:rsidRDefault="006E0CBF" w:rsidP="008833AE">
            <w:pPr>
              <w:spacing w:before="20" w:after="20"/>
              <w:ind w:left="-682" w:right="198"/>
              <w:jc w:val="right"/>
              <w:rPr>
                <w:sz w:val="18"/>
                <w:szCs w:val="18"/>
              </w:rPr>
            </w:pPr>
            <w:r w:rsidRPr="008833AE">
              <w:rPr>
                <w:sz w:val="18"/>
                <w:szCs w:val="18"/>
              </w:rPr>
              <w:t>323</w:t>
            </w:r>
          </w:p>
        </w:tc>
      </w:tr>
      <w:tr w:rsidR="008833AE" w:rsidRPr="008833AE" w14:paraId="078E00CB" w14:textId="77777777" w:rsidTr="002F5437">
        <w:trPr>
          <w:trHeight w:val="340"/>
        </w:trPr>
        <w:tc>
          <w:tcPr>
            <w:tcW w:w="4960" w:type="dxa"/>
            <w:tcBorders>
              <w:top w:val="single" w:sz="4" w:space="0" w:color="auto"/>
              <w:left w:val="nil"/>
              <w:bottom w:val="single" w:sz="4" w:space="0" w:color="auto"/>
              <w:right w:val="nil"/>
            </w:tcBorders>
            <w:shd w:val="clear" w:color="000000" w:fill="FFFFFF"/>
            <w:vAlign w:val="center"/>
          </w:tcPr>
          <w:p w14:paraId="0EC9A28D" w14:textId="77777777" w:rsidR="006E0CBF" w:rsidRPr="008833AE" w:rsidRDefault="006E0CBF" w:rsidP="006E0CBF">
            <w:pPr>
              <w:spacing w:before="40" w:after="40"/>
              <w:rPr>
                <w:b/>
                <w:color w:val="00ABE6"/>
                <w:sz w:val="18"/>
                <w:szCs w:val="18"/>
              </w:rPr>
            </w:pPr>
            <w:r w:rsidRPr="008833AE">
              <w:rPr>
                <w:b/>
                <w:color w:val="00ABE6"/>
                <w:sz w:val="18"/>
                <w:szCs w:val="18"/>
              </w:rPr>
              <w:t>Total liabilities</w:t>
            </w:r>
          </w:p>
        </w:tc>
        <w:tc>
          <w:tcPr>
            <w:tcW w:w="1179" w:type="dxa"/>
            <w:tcBorders>
              <w:top w:val="single" w:sz="4" w:space="0" w:color="auto"/>
              <w:left w:val="nil"/>
              <w:bottom w:val="single" w:sz="4" w:space="0" w:color="auto"/>
              <w:right w:val="nil"/>
            </w:tcBorders>
            <w:shd w:val="clear" w:color="000000" w:fill="FFFFFF"/>
            <w:vAlign w:val="center"/>
          </w:tcPr>
          <w:p w14:paraId="686DBD4F" w14:textId="498E3F84" w:rsidR="006E0CBF" w:rsidRPr="008833AE" w:rsidRDefault="006E0CBF" w:rsidP="008833AE">
            <w:pPr>
              <w:spacing w:before="20" w:after="20"/>
              <w:ind w:left="-682" w:right="198"/>
              <w:jc w:val="right"/>
              <w:rPr>
                <w:b/>
                <w:color w:val="00ABE6"/>
                <w:sz w:val="18"/>
                <w:szCs w:val="18"/>
              </w:rPr>
            </w:pPr>
            <w:r w:rsidRPr="008833AE">
              <w:rPr>
                <w:b/>
                <w:color w:val="00ABE6"/>
                <w:sz w:val="18"/>
                <w:szCs w:val="18"/>
              </w:rPr>
              <w:t>364</w:t>
            </w:r>
          </w:p>
        </w:tc>
        <w:tc>
          <w:tcPr>
            <w:tcW w:w="1179" w:type="dxa"/>
            <w:tcBorders>
              <w:top w:val="single" w:sz="4" w:space="0" w:color="auto"/>
              <w:left w:val="nil"/>
              <w:bottom w:val="single" w:sz="4" w:space="0" w:color="auto"/>
              <w:right w:val="nil"/>
            </w:tcBorders>
            <w:shd w:val="clear" w:color="000000" w:fill="FFFFFF"/>
            <w:vAlign w:val="center"/>
          </w:tcPr>
          <w:p w14:paraId="5504617B" w14:textId="1518462B" w:rsidR="006E0CBF" w:rsidRPr="008833AE" w:rsidRDefault="006E0CBF" w:rsidP="008833AE">
            <w:pPr>
              <w:spacing w:before="20" w:after="20"/>
              <w:ind w:left="-682" w:right="198"/>
              <w:jc w:val="right"/>
              <w:rPr>
                <w:b/>
                <w:color w:val="00ABE6"/>
                <w:sz w:val="18"/>
                <w:szCs w:val="18"/>
              </w:rPr>
            </w:pPr>
            <w:r w:rsidRPr="008833AE">
              <w:rPr>
                <w:b/>
                <w:color w:val="00ABE6"/>
                <w:sz w:val="18"/>
                <w:szCs w:val="18"/>
              </w:rPr>
              <w:t>510</w:t>
            </w:r>
          </w:p>
        </w:tc>
        <w:tc>
          <w:tcPr>
            <w:tcW w:w="1179" w:type="dxa"/>
            <w:tcBorders>
              <w:top w:val="single" w:sz="4" w:space="0" w:color="auto"/>
              <w:left w:val="nil"/>
              <w:bottom w:val="single" w:sz="4" w:space="0" w:color="auto"/>
              <w:right w:val="nil"/>
            </w:tcBorders>
            <w:shd w:val="clear" w:color="000000" w:fill="FFFFFF"/>
            <w:vAlign w:val="center"/>
          </w:tcPr>
          <w:p w14:paraId="241C8719" w14:textId="01F48D15" w:rsidR="006E0CBF" w:rsidRPr="008833AE" w:rsidRDefault="006E0CBF" w:rsidP="008833AE">
            <w:pPr>
              <w:spacing w:before="20" w:after="20"/>
              <w:ind w:left="-682" w:right="198"/>
              <w:jc w:val="right"/>
              <w:rPr>
                <w:b/>
                <w:color w:val="00ABE6"/>
                <w:sz w:val="18"/>
                <w:szCs w:val="18"/>
              </w:rPr>
            </w:pPr>
            <w:r w:rsidRPr="008833AE">
              <w:rPr>
                <w:b/>
                <w:color w:val="00ABE6"/>
                <w:sz w:val="18"/>
                <w:szCs w:val="18"/>
              </w:rPr>
              <w:t>284</w:t>
            </w:r>
          </w:p>
        </w:tc>
        <w:tc>
          <w:tcPr>
            <w:tcW w:w="1179" w:type="dxa"/>
            <w:tcBorders>
              <w:top w:val="single" w:sz="4" w:space="0" w:color="auto"/>
              <w:left w:val="nil"/>
              <w:bottom w:val="single" w:sz="4" w:space="0" w:color="auto"/>
              <w:right w:val="nil"/>
            </w:tcBorders>
            <w:shd w:val="clear" w:color="000000" w:fill="FFFFFF"/>
            <w:vAlign w:val="center"/>
          </w:tcPr>
          <w:p w14:paraId="757794A2" w14:textId="0F7E0602" w:rsidR="006E0CBF" w:rsidRPr="008833AE" w:rsidRDefault="006E0CBF" w:rsidP="008833AE">
            <w:pPr>
              <w:spacing w:before="20" w:after="20"/>
              <w:ind w:left="-682" w:right="198"/>
              <w:jc w:val="right"/>
              <w:rPr>
                <w:b/>
                <w:color w:val="00ABE6"/>
                <w:sz w:val="18"/>
                <w:szCs w:val="18"/>
              </w:rPr>
            </w:pPr>
            <w:r w:rsidRPr="008833AE">
              <w:rPr>
                <w:b/>
                <w:color w:val="00ABE6"/>
                <w:sz w:val="18"/>
                <w:szCs w:val="18"/>
              </w:rPr>
              <w:t>323</w:t>
            </w:r>
          </w:p>
        </w:tc>
      </w:tr>
      <w:tr w:rsidR="008833AE" w:rsidRPr="008833AE" w14:paraId="713DCDAB" w14:textId="77777777" w:rsidTr="002F5437">
        <w:trPr>
          <w:trHeight w:val="44"/>
        </w:trPr>
        <w:tc>
          <w:tcPr>
            <w:tcW w:w="4960" w:type="dxa"/>
            <w:tcBorders>
              <w:top w:val="single" w:sz="4" w:space="0" w:color="auto"/>
              <w:left w:val="nil"/>
              <w:right w:val="nil"/>
            </w:tcBorders>
            <w:shd w:val="clear" w:color="000000" w:fill="FFFFFF"/>
            <w:vAlign w:val="center"/>
          </w:tcPr>
          <w:p w14:paraId="6DC11B9F" w14:textId="77777777" w:rsidR="003007D1" w:rsidRPr="008833AE" w:rsidRDefault="003007D1" w:rsidP="003007D1">
            <w:pPr>
              <w:spacing w:before="40" w:after="40"/>
              <w:rPr>
                <w:b/>
                <w:color w:val="00ABE6"/>
                <w:sz w:val="18"/>
                <w:szCs w:val="18"/>
              </w:rPr>
            </w:pPr>
            <w:r w:rsidRPr="008833AE">
              <w:rPr>
                <w:b/>
                <w:color w:val="00ABE6"/>
                <w:sz w:val="18"/>
                <w:szCs w:val="18"/>
              </w:rPr>
              <w:t>Net worth</w:t>
            </w:r>
          </w:p>
        </w:tc>
        <w:tc>
          <w:tcPr>
            <w:tcW w:w="1179" w:type="dxa"/>
            <w:tcBorders>
              <w:top w:val="single" w:sz="4" w:space="0" w:color="auto"/>
              <w:left w:val="nil"/>
              <w:right w:val="nil"/>
            </w:tcBorders>
            <w:shd w:val="clear" w:color="000000" w:fill="FFFFFF"/>
            <w:vAlign w:val="center"/>
          </w:tcPr>
          <w:p w14:paraId="244DA597" w14:textId="3655BCFC" w:rsidR="003007D1" w:rsidRPr="008833AE" w:rsidRDefault="00542A62" w:rsidP="008833AE">
            <w:pPr>
              <w:spacing w:before="20" w:after="20"/>
              <w:ind w:left="-682" w:right="198"/>
              <w:jc w:val="right"/>
              <w:rPr>
                <w:b/>
                <w:color w:val="00ABE6"/>
                <w:sz w:val="18"/>
                <w:szCs w:val="18"/>
              </w:rPr>
            </w:pPr>
            <w:r w:rsidRPr="008833AE">
              <w:rPr>
                <w:b/>
                <w:color w:val="00ABE6"/>
                <w:sz w:val="18"/>
                <w:szCs w:val="18"/>
              </w:rPr>
              <w:t>(</w:t>
            </w:r>
            <w:r w:rsidR="003007D1" w:rsidRPr="008833AE">
              <w:rPr>
                <w:b/>
                <w:color w:val="00ABE6"/>
                <w:sz w:val="18"/>
                <w:szCs w:val="18"/>
              </w:rPr>
              <w:t>364</w:t>
            </w:r>
            <w:r w:rsidRPr="008833AE">
              <w:rPr>
                <w:b/>
                <w:color w:val="00ABE6"/>
                <w:sz w:val="18"/>
                <w:szCs w:val="18"/>
              </w:rPr>
              <w:t>)</w:t>
            </w:r>
          </w:p>
        </w:tc>
        <w:tc>
          <w:tcPr>
            <w:tcW w:w="1179" w:type="dxa"/>
            <w:tcBorders>
              <w:top w:val="single" w:sz="4" w:space="0" w:color="auto"/>
              <w:left w:val="nil"/>
              <w:right w:val="nil"/>
            </w:tcBorders>
            <w:shd w:val="clear" w:color="000000" w:fill="FFFFFF"/>
            <w:vAlign w:val="center"/>
          </w:tcPr>
          <w:p w14:paraId="51D64B06" w14:textId="34B07D44" w:rsidR="003007D1" w:rsidRPr="008833AE" w:rsidRDefault="00542A62" w:rsidP="008833AE">
            <w:pPr>
              <w:spacing w:before="20" w:after="20"/>
              <w:ind w:left="-682" w:right="198"/>
              <w:jc w:val="right"/>
              <w:rPr>
                <w:b/>
                <w:color w:val="00ABE6"/>
                <w:sz w:val="18"/>
                <w:szCs w:val="18"/>
              </w:rPr>
            </w:pPr>
            <w:r w:rsidRPr="008833AE">
              <w:rPr>
                <w:b/>
                <w:color w:val="00ABE6"/>
                <w:sz w:val="18"/>
                <w:szCs w:val="18"/>
              </w:rPr>
              <w:t>(</w:t>
            </w:r>
            <w:r w:rsidR="003007D1" w:rsidRPr="008833AE">
              <w:rPr>
                <w:b/>
                <w:color w:val="00ABE6"/>
                <w:sz w:val="18"/>
                <w:szCs w:val="18"/>
              </w:rPr>
              <w:t>510</w:t>
            </w:r>
            <w:r w:rsidRPr="008833AE">
              <w:rPr>
                <w:b/>
                <w:color w:val="00ABE6"/>
                <w:sz w:val="18"/>
                <w:szCs w:val="18"/>
              </w:rPr>
              <w:t>)</w:t>
            </w:r>
          </w:p>
        </w:tc>
        <w:tc>
          <w:tcPr>
            <w:tcW w:w="1179" w:type="dxa"/>
            <w:tcBorders>
              <w:top w:val="single" w:sz="4" w:space="0" w:color="auto"/>
              <w:left w:val="nil"/>
              <w:right w:val="nil"/>
            </w:tcBorders>
            <w:shd w:val="clear" w:color="000000" w:fill="FFFFFF"/>
            <w:vAlign w:val="center"/>
          </w:tcPr>
          <w:p w14:paraId="250915B9" w14:textId="4845564B" w:rsidR="003007D1" w:rsidRPr="008833AE" w:rsidRDefault="00542A62" w:rsidP="008833AE">
            <w:pPr>
              <w:spacing w:before="20" w:after="20"/>
              <w:ind w:left="-682" w:right="198"/>
              <w:jc w:val="right"/>
              <w:rPr>
                <w:b/>
                <w:color w:val="00ABE6"/>
                <w:sz w:val="18"/>
                <w:szCs w:val="18"/>
              </w:rPr>
            </w:pPr>
            <w:r w:rsidRPr="008833AE">
              <w:rPr>
                <w:b/>
                <w:color w:val="00ABE6"/>
                <w:sz w:val="18"/>
                <w:szCs w:val="18"/>
              </w:rPr>
              <w:t>(</w:t>
            </w:r>
            <w:r w:rsidR="003007D1" w:rsidRPr="008833AE">
              <w:rPr>
                <w:b/>
                <w:color w:val="00ABE6"/>
                <w:sz w:val="18"/>
                <w:szCs w:val="18"/>
              </w:rPr>
              <w:t>284</w:t>
            </w:r>
            <w:r w:rsidRPr="008833AE">
              <w:rPr>
                <w:b/>
                <w:color w:val="00ABE6"/>
                <w:sz w:val="18"/>
                <w:szCs w:val="18"/>
              </w:rPr>
              <w:t>)</w:t>
            </w:r>
          </w:p>
        </w:tc>
        <w:tc>
          <w:tcPr>
            <w:tcW w:w="1179" w:type="dxa"/>
            <w:tcBorders>
              <w:top w:val="single" w:sz="4" w:space="0" w:color="auto"/>
              <w:left w:val="nil"/>
              <w:right w:val="nil"/>
            </w:tcBorders>
            <w:shd w:val="clear" w:color="000000" w:fill="FFFFFF"/>
            <w:vAlign w:val="center"/>
          </w:tcPr>
          <w:p w14:paraId="68932D4D" w14:textId="200374D6" w:rsidR="003007D1" w:rsidRPr="008833AE" w:rsidRDefault="00542A62" w:rsidP="008833AE">
            <w:pPr>
              <w:spacing w:before="20" w:after="20"/>
              <w:ind w:left="-682" w:right="198"/>
              <w:jc w:val="right"/>
              <w:rPr>
                <w:b/>
                <w:color w:val="00ABE6"/>
                <w:sz w:val="18"/>
                <w:szCs w:val="18"/>
              </w:rPr>
            </w:pPr>
            <w:r w:rsidRPr="008833AE">
              <w:rPr>
                <w:b/>
                <w:color w:val="00ABE6"/>
                <w:sz w:val="18"/>
                <w:szCs w:val="18"/>
              </w:rPr>
              <w:t>(</w:t>
            </w:r>
            <w:r w:rsidR="003007D1" w:rsidRPr="008833AE">
              <w:rPr>
                <w:b/>
                <w:color w:val="00ABE6"/>
                <w:sz w:val="18"/>
                <w:szCs w:val="18"/>
              </w:rPr>
              <w:t>323</w:t>
            </w:r>
            <w:r w:rsidRPr="008833AE">
              <w:rPr>
                <w:b/>
                <w:color w:val="00ABE6"/>
                <w:sz w:val="18"/>
                <w:szCs w:val="18"/>
              </w:rPr>
              <w:t>)</w:t>
            </w:r>
          </w:p>
        </w:tc>
      </w:tr>
      <w:tr w:rsidR="00542A62" w:rsidRPr="008833AE" w14:paraId="737D82E1" w14:textId="77777777" w:rsidTr="002F5437">
        <w:trPr>
          <w:trHeight w:val="44"/>
        </w:trPr>
        <w:tc>
          <w:tcPr>
            <w:tcW w:w="4960" w:type="dxa"/>
            <w:tcBorders>
              <w:left w:val="nil"/>
              <w:right w:val="nil"/>
            </w:tcBorders>
            <w:shd w:val="clear" w:color="000000" w:fill="FFFFFF"/>
            <w:vAlign w:val="center"/>
          </w:tcPr>
          <w:p w14:paraId="6B080C22" w14:textId="77777777" w:rsidR="00542A62" w:rsidRPr="008833AE" w:rsidRDefault="00542A62" w:rsidP="00542A62">
            <w:pPr>
              <w:spacing w:before="40" w:after="40"/>
              <w:rPr>
                <w:sz w:val="18"/>
                <w:szCs w:val="18"/>
              </w:rPr>
            </w:pPr>
            <w:r w:rsidRPr="008833AE">
              <w:rPr>
                <w:sz w:val="18"/>
                <w:szCs w:val="18"/>
              </w:rPr>
              <w:t>Accumulated funds</w:t>
            </w:r>
          </w:p>
        </w:tc>
        <w:tc>
          <w:tcPr>
            <w:tcW w:w="1179" w:type="dxa"/>
            <w:tcBorders>
              <w:left w:val="nil"/>
              <w:right w:val="nil"/>
            </w:tcBorders>
            <w:shd w:val="clear" w:color="000000" w:fill="FFFFFF"/>
          </w:tcPr>
          <w:p w14:paraId="2EC66DA9" w14:textId="5B148677" w:rsidR="00542A62" w:rsidRPr="008833AE" w:rsidRDefault="00542A62" w:rsidP="00C815E0">
            <w:pPr>
              <w:spacing w:before="20" w:after="20"/>
              <w:ind w:left="-682" w:right="198"/>
              <w:jc w:val="right"/>
              <w:rPr>
                <w:sz w:val="18"/>
                <w:szCs w:val="18"/>
              </w:rPr>
            </w:pPr>
            <w:r w:rsidRPr="008833AE">
              <w:rPr>
                <w:sz w:val="18"/>
                <w:szCs w:val="18"/>
              </w:rPr>
              <w:t>(364)</w:t>
            </w:r>
          </w:p>
        </w:tc>
        <w:tc>
          <w:tcPr>
            <w:tcW w:w="1179" w:type="dxa"/>
            <w:tcBorders>
              <w:left w:val="nil"/>
              <w:right w:val="nil"/>
            </w:tcBorders>
            <w:shd w:val="clear" w:color="000000" w:fill="FFFFFF"/>
          </w:tcPr>
          <w:p w14:paraId="0D69C93C" w14:textId="28B5BC24" w:rsidR="00542A62" w:rsidRPr="008833AE" w:rsidRDefault="00542A62" w:rsidP="00C815E0">
            <w:pPr>
              <w:spacing w:before="20" w:after="20"/>
              <w:ind w:left="-682" w:right="198"/>
              <w:jc w:val="right"/>
              <w:rPr>
                <w:sz w:val="18"/>
                <w:szCs w:val="18"/>
              </w:rPr>
            </w:pPr>
            <w:r w:rsidRPr="008833AE">
              <w:rPr>
                <w:sz w:val="18"/>
                <w:szCs w:val="18"/>
              </w:rPr>
              <w:t>(510)</w:t>
            </w:r>
          </w:p>
        </w:tc>
        <w:tc>
          <w:tcPr>
            <w:tcW w:w="1179" w:type="dxa"/>
            <w:tcBorders>
              <w:left w:val="nil"/>
              <w:right w:val="nil"/>
            </w:tcBorders>
            <w:shd w:val="clear" w:color="000000" w:fill="FFFFFF"/>
          </w:tcPr>
          <w:p w14:paraId="2E59B84C" w14:textId="0B6777B8" w:rsidR="00542A62" w:rsidRPr="008833AE" w:rsidRDefault="00542A62" w:rsidP="00C815E0">
            <w:pPr>
              <w:spacing w:before="20" w:after="20"/>
              <w:ind w:left="-682" w:right="198"/>
              <w:jc w:val="right"/>
              <w:rPr>
                <w:sz w:val="18"/>
                <w:szCs w:val="18"/>
              </w:rPr>
            </w:pPr>
            <w:r w:rsidRPr="008833AE">
              <w:rPr>
                <w:sz w:val="18"/>
                <w:szCs w:val="18"/>
              </w:rPr>
              <w:t>(284)</w:t>
            </w:r>
          </w:p>
        </w:tc>
        <w:tc>
          <w:tcPr>
            <w:tcW w:w="1179" w:type="dxa"/>
            <w:tcBorders>
              <w:left w:val="nil"/>
              <w:right w:val="nil"/>
            </w:tcBorders>
            <w:shd w:val="clear" w:color="000000" w:fill="FFFFFF"/>
          </w:tcPr>
          <w:p w14:paraId="4300099C" w14:textId="162CD652" w:rsidR="00542A62" w:rsidRPr="008833AE" w:rsidRDefault="00542A62" w:rsidP="00C815E0">
            <w:pPr>
              <w:spacing w:before="20" w:after="20"/>
              <w:ind w:left="-682" w:right="198"/>
              <w:jc w:val="right"/>
              <w:rPr>
                <w:sz w:val="18"/>
                <w:szCs w:val="18"/>
              </w:rPr>
            </w:pPr>
            <w:r w:rsidRPr="008833AE">
              <w:rPr>
                <w:sz w:val="18"/>
                <w:szCs w:val="18"/>
              </w:rPr>
              <w:t>(323)</w:t>
            </w:r>
          </w:p>
        </w:tc>
      </w:tr>
    </w:tbl>
    <w:p w14:paraId="5797119E" w14:textId="77777777" w:rsidR="00C819F4" w:rsidRPr="008833AE" w:rsidRDefault="00C819F4" w:rsidP="008A41D3">
      <w:pPr>
        <w:pStyle w:val="BodyText"/>
        <w:rPr>
          <w:b/>
        </w:rPr>
      </w:pPr>
      <w:r w:rsidRPr="008833AE">
        <w:rPr>
          <w:b/>
        </w:rPr>
        <w:t xml:space="preserve">AASB 16 </w:t>
      </w:r>
      <w:r w:rsidRPr="008833AE">
        <w:rPr>
          <w:b/>
          <w:i/>
        </w:rPr>
        <w:t>Leases</w:t>
      </w:r>
      <w:r w:rsidRPr="008833AE">
        <w:rPr>
          <w:b/>
        </w:rPr>
        <w:t xml:space="preserve"> </w:t>
      </w:r>
    </w:p>
    <w:p w14:paraId="598BB476" w14:textId="44105614" w:rsidR="00C819F4" w:rsidRPr="008833AE" w:rsidRDefault="004D5E30" w:rsidP="00AD1127">
      <w:pPr>
        <w:pStyle w:val="BodyText"/>
      </w:pPr>
      <w:r w:rsidRPr="008833AE">
        <w:t xml:space="preserve">Where the State is a lessee, </w:t>
      </w:r>
      <w:r w:rsidR="00C819F4" w:rsidRPr="008833AE">
        <w:t xml:space="preserve">AASB 16 </w:t>
      </w:r>
      <w:r w:rsidR="0068432A" w:rsidRPr="008833AE">
        <w:t xml:space="preserve">requires </w:t>
      </w:r>
      <w:r w:rsidR="00BE540B" w:rsidRPr="008833AE">
        <w:t xml:space="preserve">all leases </w:t>
      </w:r>
      <w:r w:rsidR="0068432A" w:rsidRPr="008833AE">
        <w:t xml:space="preserve">to </w:t>
      </w:r>
      <w:r w:rsidR="00BE540B" w:rsidRPr="008833AE">
        <w:t xml:space="preserve">be </w:t>
      </w:r>
      <w:r w:rsidR="0068432A" w:rsidRPr="008833AE">
        <w:t>account</w:t>
      </w:r>
      <w:r w:rsidR="00065DC9" w:rsidRPr="008833AE">
        <w:t>ed</w:t>
      </w:r>
      <w:r w:rsidR="0068432A" w:rsidRPr="008833AE">
        <w:t xml:space="preserve"> for under a single on-balance sheet model </w:t>
      </w:r>
      <w:proofErr w:type="gramStart"/>
      <w:r w:rsidR="0068432A" w:rsidRPr="008833AE">
        <w:t>similar to</w:t>
      </w:r>
      <w:proofErr w:type="gramEnd"/>
      <w:r w:rsidR="0068432A" w:rsidRPr="008833AE">
        <w:t xml:space="preserve"> the accounting for finance leases under AASB 1</w:t>
      </w:r>
      <w:r w:rsidR="007C08B8" w:rsidRPr="008833AE">
        <w:t>1</w:t>
      </w:r>
      <w:r w:rsidR="0068432A" w:rsidRPr="008833AE">
        <w:t xml:space="preserve">7 </w:t>
      </w:r>
      <w:r w:rsidR="0068432A" w:rsidRPr="008833AE">
        <w:rPr>
          <w:i/>
        </w:rPr>
        <w:t>Leases</w:t>
      </w:r>
      <w:r w:rsidR="0068432A" w:rsidRPr="008833AE">
        <w:t xml:space="preserve">. The standard includes two recognition exemptions for lessees – leases of ’low-value’ assets and short-term leases (i.e. leases with a lease term of 12 months or less). At the commencement date of a lease, </w:t>
      </w:r>
      <w:r w:rsidR="0005031F" w:rsidRPr="008833AE">
        <w:t>a lessee</w:t>
      </w:r>
      <w:r w:rsidR="0068432A" w:rsidRPr="008833AE">
        <w:t xml:space="preserve"> recognise</w:t>
      </w:r>
      <w:r w:rsidR="00614B29" w:rsidRPr="008833AE">
        <w:t>s</w:t>
      </w:r>
      <w:r w:rsidR="0068432A" w:rsidRPr="008833AE">
        <w:t xml:space="preserve"> a liability to make lease payments (i.e. the lease liability) and an asset representing the right to use the underlying asset during the lease term (i.e. the right-of-use asset). </w:t>
      </w:r>
      <w:r w:rsidR="008A0F6E" w:rsidRPr="008833AE">
        <w:t>A lessee is required to</w:t>
      </w:r>
      <w:r w:rsidR="0068432A" w:rsidRPr="008833AE">
        <w:t xml:space="preserve"> separately recognise the interest expense on the lease liability and the depreciation expense on the right-of-use asset. </w:t>
      </w:r>
    </w:p>
    <w:p w14:paraId="5F96F971" w14:textId="013D9A39" w:rsidR="00C819F4" w:rsidRPr="008833AE" w:rsidRDefault="004D5E30" w:rsidP="00AD1127">
      <w:pPr>
        <w:pStyle w:val="BodyText"/>
      </w:pPr>
      <w:r w:rsidRPr="008833AE">
        <w:t xml:space="preserve">Where the State is a lessor, the accounting for lessors under AASB 16 </w:t>
      </w:r>
      <w:r w:rsidR="003C61D3" w:rsidRPr="008833AE">
        <w:t>has</w:t>
      </w:r>
      <w:r w:rsidRPr="008833AE">
        <w:t xml:space="preserve"> not significantly change</w:t>
      </w:r>
      <w:r w:rsidR="003C61D3" w:rsidRPr="008833AE">
        <w:t>d</w:t>
      </w:r>
      <w:r w:rsidRPr="008833AE">
        <w:t xml:space="preserve">. </w:t>
      </w:r>
      <w:r w:rsidR="003C5119" w:rsidRPr="008833AE">
        <w:t xml:space="preserve">However, </w:t>
      </w:r>
      <w:r w:rsidR="00051224" w:rsidRPr="008833AE">
        <w:t xml:space="preserve">an </w:t>
      </w:r>
      <w:r w:rsidR="001D38AA" w:rsidRPr="008833AE">
        <w:t>intermediate lessor in a sublease</w:t>
      </w:r>
      <w:r w:rsidR="003C5119" w:rsidRPr="008833AE">
        <w:t xml:space="preserve"> is</w:t>
      </w:r>
      <w:r w:rsidR="001D38AA" w:rsidRPr="008833AE">
        <w:t xml:space="preserve"> now required </w:t>
      </w:r>
      <w:r w:rsidR="00D84AF1" w:rsidRPr="008833AE">
        <w:t xml:space="preserve">to evaluate the </w:t>
      </w:r>
      <w:r w:rsidR="00A56B4F" w:rsidRPr="008833AE">
        <w:t xml:space="preserve">lease classification of a </w:t>
      </w:r>
      <w:r w:rsidR="00D84AF1" w:rsidRPr="008833AE">
        <w:t xml:space="preserve">sublease with reference to the right-of-use asset instead of </w:t>
      </w:r>
      <w:r w:rsidR="00A56B4F" w:rsidRPr="008833AE">
        <w:t xml:space="preserve">the </w:t>
      </w:r>
      <w:r w:rsidR="00665E29" w:rsidRPr="008833AE">
        <w:t>underlying asset of the head lease</w:t>
      </w:r>
      <w:r w:rsidR="00D84AF1" w:rsidRPr="008833AE">
        <w:t>.</w:t>
      </w:r>
    </w:p>
    <w:p w14:paraId="4634CA80" w14:textId="3F558CD8" w:rsidR="001F6DCA" w:rsidRPr="008833AE" w:rsidRDefault="008D0708" w:rsidP="00AD1127">
      <w:pPr>
        <w:pStyle w:val="BodyText"/>
      </w:pPr>
      <w:r w:rsidRPr="008833AE">
        <w:t xml:space="preserve">On adoption of AASB 16 </w:t>
      </w:r>
      <w:r w:rsidR="00752D22" w:rsidRPr="008833AE">
        <w:t xml:space="preserve">from 2019-20 onwards, </w:t>
      </w:r>
      <w:r w:rsidRPr="008833AE">
        <w:t xml:space="preserve">the State </w:t>
      </w:r>
      <w:r w:rsidR="006850BD">
        <w:t xml:space="preserve">will </w:t>
      </w:r>
      <w:r w:rsidRPr="008833AE">
        <w:t xml:space="preserve">recognise lease liabilities </w:t>
      </w:r>
      <w:r w:rsidR="00EF5898" w:rsidRPr="008833AE">
        <w:t xml:space="preserve">(included in ‘Borrowings at amortised cost’) </w:t>
      </w:r>
      <w:r w:rsidRPr="008833AE">
        <w:t>in relation to leases which had previously been classified as ‘operating leases’ under the principles of AASB 117.</w:t>
      </w:r>
      <w:r w:rsidR="00EF5898" w:rsidRPr="008833AE">
        <w:t xml:space="preserve"> </w:t>
      </w:r>
      <w:r w:rsidRPr="008833AE">
        <w:t xml:space="preserve">These liabilities </w:t>
      </w:r>
      <w:r w:rsidR="00CE7D57">
        <w:t>are</w:t>
      </w:r>
      <w:r w:rsidR="006850BD" w:rsidRPr="008833AE">
        <w:t xml:space="preserve"> </w:t>
      </w:r>
      <w:r w:rsidRPr="008833AE">
        <w:t xml:space="preserve">measured at the present value of the remaining lease payments, discounted using the </w:t>
      </w:r>
      <w:r w:rsidR="00C400F3" w:rsidRPr="008833AE">
        <w:t>State</w:t>
      </w:r>
      <w:r w:rsidRPr="008833AE">
        <w:t>’s incremental borrowing rate</w:t>
      </w:r>
      <w:r w:rsidR="000F1A92" w:rsidRPr="008833AE">
        <w:t xml:space="preserve"> and amortised over the </w:t>
      </w:r>
      <w:r w:rsidR="001530AE">
        <w:t xml:space="preserve">remaining </w:t>
      </w:r>
      <w:r w:rsidR="000F1A92" w:rsidRPr="008833AE">
        <w:t>term of the lease</w:t>
      </w:r>
      <w:r w:rsidRPr="008833AE">
        <w:t>.</w:t>
      </w:r>
      <w:r w:rsidR="0049474D" w:rsidRPr="008833AE">
        <w:t xml:space="preserve"> </w:t>
      </w:r>
      <w:r w:rsidR="000F1A92" w:rsidRPr="008833AE">
        <w:t>This result</w:t>
      </w:r>
      <w:r w:rsidR="006850BD">
        <w:t>s</w:t>
      </w:r>
      <w:r w:rsidR="000F1A92" w:rsidRPr="008833AE">
        <w:t xml:space="preserve"> in an increase in ‘Borrowings at amortised cost’ and ‘Interest expense’. </w:t>
      </w:r>
      <w:r w:rsidR="006106CC" w:rsidRPr="008833AE">
        <w:t xml:space="preserve">The </w:t>
      </w:r>
      <w:r w:rsidR="00253E27" w:rsidRPr="008833AE">
        <w:t>right-of-use</w:t>
      </w:r>
      <w:r w:rsidR="006106CC" w:rsidRPr="008833AE">
        <w:t xml:space="preserve"> asset</w:t>
      </w:r>
      <w:r w:rsidR="009940E4" w:rsidRPr="008833AE">
        <w:t>s</w:t>
      </w:r>
      <w:r w:rsidR="006106CC" w:rsidRPr="008833AE">
        <w:t xml:space="preserve"> </w:t>
      </w:r>
      <w:r w:rsidR="006850BD">
        <w:t>are</w:t>
      </w:r>
      <w:r w:rsidR="006850BD" w:rsidRPr="008833AE">
        <w:t xml:space="preserve"> </w:t>
      </w:r>
      <w:r w:rsidR="00A672B8" w:rsidRPr="008833AE">
        <w:t xml:space="preserve">recorded at an amount </w:t>
      </w:r>
      <w:r w:rsidR="005D6B2F" w:rsidRPr="008833AE">
        <w:t xml:space="preserve">equal </w:t>
      </w:r>
      <w:r w:rsidR="00A672B8" w:rsidRPr="008833AE">
        <w:t>to the lease liabiliti</w:t>
      </w:r>
      <w:r w:rsidR="009940E4" w:rsidRPr="008833AE">
        <w:t>es</w:t>
      </w:r>
      <w:r w:rsidR="00A672B8" w:rsidRPr="008833AE">
        <w:t xml:space="preserve">, adjusted by </w:t>
      </w:r>
      <w:r w:rsidR="005D6B2F" w:rsidRPr="008833AE">
        <w:t xml:space="preserve">any </w:t>
      </w:r>
      <w:r w:rsidR="00A672B8" w:rsidRPr="008833AE">
        <w:t xml:space="preserve">prepaid or accrued lease payments immediately before </w:t>
      </w:r>
      <w:r w:rsidR="009940E4" w:rsidRPr="008833AE">
        <w:t xml:space="preserve">the </w:t>
      </w:r>
      <w:r w:rsidR="00FA678D" w:rsidRPr="008833AE">
        <w:t>transition date</w:t>
      </w:r>
      <w:r w:rsidR="00A672B8" w:rsidRPr="008833AE">
        <w:t>.</w:t>
      </w:r>
      <w:r w:rsidR="00253E27" w:rsidRPr="008833AE">
        <w:t xml:space="preserve"> Right-of-use</w:t>
      </w:r>
      <w:r w:rsidR="00612DCE" w:rsidRPr="008833AE">
        <w:t xml:space="preserve"> assets are subsequently depreciated. </w:t>
      </w:r>
      <w:r w:rsidR="001F6DCA" w:rsidRPr="008833AE">
        <w:t xml:space="preserve">The recognition of </w:t>
      </w:r>
      <w:r w:rsidR="00253E27" w:rsidRPr="008833AE">
        <w:t>right-of-use</w:t>
      </w:r>
      <w:r w:rsidR="001F6DCA" w:rsidRPr="008833AE">
        <w:t xml:space="preserve"> assets result</w:t>
      </w:r>
      <w:r w:rsidR="004340B8">
        <w:t>s</w:t>
      </w:r>
      <w:r w:rsidR="001F6DCA" w:rsidRPr="008833AE">
        <w:t xml:space="preserve"> in an increase in ‘Property, plant and equipment’</w:t>
      </w:r>
      <w:r w:rsidR="00255A52" w:rsidRPr="008833AE">
        <w:t xml:space="preserve"> </w:t>
      </w:r>
      <w:r w:rsidR="00612DCE" w:rsidRPr="008833AE">
        <w:t>with a</w:t>
      </w:r>
      <w:r w:rsidR="00255A52" w:rsidRPr="008833AE">
        <w:t xml:space="preserve"> corresponding </w:t>
      </w:r>
      <w:r w:rsidR="00612DCE" w:rsidRPr="008833AE">
        <w:t>increase in ‘D</w:t>
      </w:r>
      <w:r w:rsidR="00255A52" w:rsidRPr="008833AE">
        <w:t>epreciation expense</w:t>
      </w:r>
      <w:r w:rsidR="00612DCE" w:rsidRPr="008833AE">
        <w:t>’</w:t>
      </w:r>
      <w:r w:rsidR="001F6DCA" w:rsidRPr="008833AE">
        <w:t xml:space="preserve">.  </w:t>
      </w:r>
      <w:r w:rsidR="00BB35B2" w:rsidRPr="008833AE">
        <w:t xml:space="preserve">The net impact on </w:t>
      </w:r>
      <w:r w:rsidR="00955CBA" w:rsidRPr="008833AE">
        <w:t>‘</w:t>
      </w:r>
      <w:r w:rsidR="00C26384" w:rsidRPr="008833AE">
        <w:t>Expenses from transactions</w:t>
      </w:r>
      <w:r w:rsidR="00955CBA" w:rsidRPr="008833AE">
        <w:t>’</w:t>
      </w:r>
      <w:r w:rsidR="00C26384" w:rsidRPr="008833AE">
        <w:t xml:space="preserve"> is marginal </w:t>
      </w:r>
      <w:r w:rsidR="000F1A92" w:rsidRPr="008833AE">
        <w:t>as the increase in interest and depreciation expense</w:t>
      </w:r>
      <w:r w:rsidR="00EF40A6" w:rsidRPr="008833AE">
        <w:t>s</w:t>
      </w:r>
      <w:r w:rsidR="000F1A92" w:rsidRPr="008833AE">
        <w:t xml:space="preserve"> </w:t>
      </w:r>
      <w:r w:rsidR="00342BD9">
        <w:t>are</w:t>
      </w:r>
      <w:r w:rsidR="00B41C14" w:rsidRPr="008833AE">
        <w:t xml:space="preserve"> </w:t>
      </w:r>
      <w:r w:rsidR="000F1A92" w:rsidRPr="008833AE">
        <w:t>offset by the decrease in operating lease expenses.</w:t>
      </w:r>
    </w:p>
    <w:p w14:paraId="65A3D0BB" w14:textId="500904DF" w:rsidR="008D0708" w:rsidRPr="008833AE" w:rsidRDefault="00E46E6D" w:rsidP="00AD1127">
      <w:pPr>
        <w:pStyle w:val="BodyText"/>
      </w:pPr>
      <w:r w:rsidRPr="008833AE">
        <w:t xml:space="preserve">The State </w:t>
      </w:r>
      <w:r w:rsidR="00342BD9">
        <w:t xml:space="preserve">will </w:t>
      </w:r>
      <w:r w:rsidR="001F6DCA" w:rsidRPr="008833AE">
        <w:t>continue to recognise leases of ’low-value’ assets and short-term leases as operating expenses.</w:t>
      </w:r>
    </w:p>
    <w:p w14:paraId="6CAB9155" w14:textId="050CC704" w:rsidR="00665E29" w:rsidRPr="008833AE" w:rsidRDefault="00665E29" w:rsidP="00AD1127">
      <w:pPr>
        <w:pStyle w:val="BodyText"/>
      </w:pPr>
      <w:r w:rsidRPr="008833AE">
        <w:t>Some sublease transactions result in a reclassification</w:t>
      </w:r>
      <w:r w:rsidR="0032316C" w:rsidRPr="008833AE">
        <w:t xml:space="preserve"> by </w:t>
      </w:r>
      <w:r w:rsidR="00A56B4F" w:rsidRPr="008833AE">
        <w:t>sub</w:t>
      </w:r>
      <w:r w:rsidR="0032316C" w:rsidRPr="008833AE">
        <w:t>les</w:t>
      </w:r>
      <w:r w:rsidR="001D5F18" w:rsidRPr="008833AE">
        <w:t>s</w:t>
      </w:r>
      <w:r w:rsidR="0032316C" w:rsidRPr="008833AE">
        <w:t>ors</w:t>
      </w:r>
      <w:r w:rsidRPr="008833AE">
        <w:t xml:space="preserve"> to finance lease</w:t>
      </w:r>
      <w:r w:rsidR="0032316C" w:rsidRPr="008833AE">
        <w:t>s</w:t>
      </w:r>
      <w:r w:rsidR="00A56B4F" w:rsidRPr="008833AE">
        <w:t>,</w:t>
      </w:r>
      <w:r w:rsidRPr="008833AE">
        <w:t xml:space="preserve"> result</w:t>
      </w:r>
      <w:r w:rsidR="00C44454" w:rsidRPr="008833AE">
        <w:t>ing</w:t>
      </w:r>
      <w:r w:rsidRPr="008833AE">
        <w:t xml:space="preserve"> in a decrease in rental incom</w:t>
      </w:r>
      <w:r w:rsidR="003E235E" w:rsidRPr="008833AE">
        <w:t>e.</w:t>
      </w:r>
    </w:p>
    <w:p w14:paraId="292E9367" w14:textId="77777777" w:rsidR="002F5437" w:rsidRDefault="002F5437">
      <w:pPr>
        <w:widowControl/>
        <w:tabs>
          <w:tab w:val="clear" w:pos="4196"/>
          <w:tab w:val="clear" w:pos="5046"/>
          <w:tab w:val="clear" w:pos="5897"/>
          <w:tab w:val="clear" w:pos="6747"/>
          <w:tab w:val="clear" w:pos="7598"/>
        </w:tabs>
        <w:autoSpaceDE/>
        <w:autoSpaceDN/>
        <w:rPr>
          <w:bCs/>
          <w:i/>
          <w:color w:val="57514D"/>
          <w:kern w:val="28"/>
          <w:sz w:val="22"/>
          <w:szCs w:val="22"/>
        </w:rPr>
      </w:pPr>
      <w:r>
        <w:br w:type="page"/>
      </w:r>
    </w:p>
    <w:p w14:paraId="38A65CC9" w14:textId="52FC03E7" w:rsidR="002D6743" w:rsidRPr="008833AE" w:rsidRDefault="002D6743" w:rsidP="00AD1127">
      <w:pPr>
        <w:pStyle w:val="TableA2X"/>
        <w:tabs>
          <w:tab w:val="left" w:pos="1276"/>
        </w:tabs>
        <w:spacing w:before="240"/>
        <w:ind w:left="357" w:hanging="357"/>
      </w:pPr>
      <w:r w:rsidRPr="008833AE">
        <w:lastRenderedPageBreak/>
        <w:t>Impact of AASB 16</w:t>
      </w:r>
    </w:p>
    <w:tbl>
      <w:tblPr>
        <w:tblW w:w="9676" w:type="dxa"/>
        <w:tblInd w:w="108" w:type="dxa"/>
        <w:tblLook w:val="04A0" w:firstRow="1" w:lastRow="0" w:firstColumn="1" w:lastColumn="0" w:noHBand="0" w:noVBand="1"/>
      </w:tblPr>
      <w:tblGrid>
        <w:gridCol w:w="4960"/>
        <w:gridCol w:w="1179"/>
        <w:gridCol w:w="1179"/>
        <w:gridCol w:w="1179"/>
        <w:gridCol w:w="1179"/>
      </w:tblGrid>
      <w:tr w:rsidR="002D6743" w:rsidRPr="008833AE" w14:paraId="3CE86CBF" w14:textId="77777777" w:rsidTr="002F5437">
        <w:trPr>
          <w:trHeight w:val="289"/>
        </w:trPr>
        <w:tc>
          <w:tcPr>
            <w:tcW w:w="4960" w:type="dxa"/>
            <w:tcBorders>
              <w:top w:val="nil"/>
              <w:left w:val="nil"/>
              <w:bottom w:val="nil"/>
              <w:right w:val="nil"/>
            </w:tcBorders>
            <w:shd w:val="clear" w:color="auto" w:fill="00ABE6"/>
            <w:vAlign w:val="center"/>
            <w:hideMark/>
          </w:tcPr>
          <w:p w14:paraId="54ECB72E" w14:textId="77777777" w:rsidR="009C5AAE" w:rsidRPr="008833AE" w:rsidRDefault="009C5AAE" w:rsidP="006A1C77">
            <w:pPr>
              <w:jc w:val="both"/>
              <w:rPr>
                <w:color w:val="FFFFFF"/>
                <w:sz w:val="18"/>
                <w:szCs w:val="18"/>
              </w:rPr>
            </w:pPr>
          </w:p>
        </w:tc>
        <w:tc>
          <w:tcPr>
            <w:tcW w:w="1179" w:type="dxa"/>
            <w:tcBorders>
              <w:top w:val="nil"/>
              <w:left w:val="nil"/>
              <w:bottom w:val="nil"/>
              <w:right w:val="nil"/>
            </w:tcBorders>
            <w:shd w:val="clear" w:color="auto" w:fill="00ABE6"/>
            <w:vAlign w:val="center"/>
          </w:tcPr>
          <w:p w14:paraId="183C5354" w14:textId="77777777" w:rsidR="009C5AAE" w:rsidRPr="008833AE" w:rsidRDefault="009C5AAE" w:rsidP="006A1C77">
            <w:pPr>
              <w:jc w:val="center"/>
              <w:rPr>
                <w:color w:val="FFFFFF"/>
                <w:sz w:val="18"/>
                <w:szCs w:val="18"/>
              </w:rPr>
            </w:pPr>
            <w:r w:rsidRPr="008833AE">
              <w:rPr>
                <w:color w:val="FFFFFF"/>
                <w:sz w:val="18"/>
                <w:szCs w:val="18"/>
              </w:rPr>
              <w:t>2019-20</w:t>
            </w:r>
          </w:p>
        </w:tc>
        <w:tc>
          <w:tcPr>
            <w:tcW w:w="1179" w:type="dxa"/>
            <w:tcBorders>
              <w:top w:val="nil"/>
              <w:left w:val="nil"/>
              <w:bottom w:val="nil"/>
              <w:right w:val="nil"/>
            </w:tcBorders>
            <w:shd w:val="clear" w:color="auto" w:fill="00ABE6"/>
            <w:vAlign w:val="center"/>
          </w:tcPr>
          <w:p w14:paraId="5D557B68" w14:textId="77777777" w:rsidR="009C5AAE" w:rsidRPr="008833AE" w:rsidRDefault="009C5AAE" w:rsidP="006A1C77">
            <w:pPr>
              <w:jc w:val="center"/>
              <w:rPr>
                <w:color w:val="FFFFFF"/>
                <w:sz w:val="18"/>
                <w:szCs w:val="18"/>
              </w:rPr>
            </w:pPr>
            <w:r w:rsidRPr="008833AE">
              <w:rPr>
                <w:color w:val="FFFFFF"/>
                <w:sz w:val="18"/>
                <w:szCs w:val="18"/>
              </w:rPr>
              <w:t>2020-21</w:t>
            </w:r>
          </w:p>
        </w:tc>
        <w:tc>
          <w:tcPr>
            <w:tcW w:w="1179" w:type="dxa"/>
            <w:tcBorders>
              <w:top w:val="nil"/>
              <w:left w:val="nil"/>
              <w:bottom w:val="nil"/>
              <w:right w:val="nil"/>
            </w:tcBorders>
            <w:shd w:val="clear" w:color="auto" w:fill="00ABE6"/>
            <w:vAlign w:val="center"/>
          </w:tcPr>
          <w:p w14:paraId="336C1FF8" w14:textId="77777777" w:rsidR="009C5AAE" w:rsidRPr="008833AE" w:rsidRDefault="009C5AAE" w:rsidP="006A1C77">
            <w:pPr>
              <w:jc w:val="center"/>
              <w:rPr>
                <w:color w:val="FFFFFF"/>
                <w:sz w:val="18"/>
                <w:szCs w:val="18"/>
              </w:rPr>
            </w:pPr>
            <w:r w:rsidRPr="008833AE">
              <w:rPr>
                <w:color w:val="FFFFFF"/>
                <w:sz w:val="18"/>
                <w:szCs w:val="18"/>
              </w:rPr>
              <w:t>2021-22</w:t>
            </w:r>
          </w:p>
        </w:tc>
        <w:tc>
          <w:tcPr>
            <w:tcW w:w="1179" w:type="dxa"/>
            <w:tcBorders>
              <w:top w:val="nil"/>
              <w:left w:val="nil"/>
              <w:bottom w:val="nil"/>
              <w:right w:val="nil"/>
            </w:tcBorders>
            <w:shd w:val="clear" w:color="auto" w:fill="00ABE6"/>
            <w:vAlign w:val="center"/>
          </w:tcPr>
          <w:p w14:paraId="5613491B" w14:textId="77777777" w:rsidR="009C5AAE" w:rsidRPr="008833AE" w:rsidRDefault="009C5AAE" w:rsidP="006A1C77">
            <w:pPr>
              <w:jc w:val="center"/>
              <w:rPr>
                <w:color w:val="FFFFFF"/>
                <w:sz w:val="18"/>
                <w:szCs w:val="18"/>
              </w:rPr>
            </w:pPr>
            <w:r w:rsidRPr="008833AE">
              <w:rPr>
                <w:color w:val="FFFFFF"/>
                <w:sz w:val="18"/>
                <w:szCs w:val="18"/>
              </w:rPr>
              <w:t>2022-23</w:t>
            </w:r>
          </w:p>
        </w:tc>
      </w:tr>
      <w:tr w:rsidR="002D6743" w:rsidRPr="008833AE" w14:paraId="4E53B88D" w14:textId="77777777" w:rsidTr="002F5437">
        <w:trPr>
          <w:trHeight w:val="289"/>
        </w:trPr>
        <w:tc>
          <w:tcPr>
            <w:tcW w:w="4960" w:type="dxa"/>
            <w:tcBorders>
              <w:top w:val="nil"/>
              <w:left w:val="nil"/>
              <w:right w:val="nil"/>
            </w:tcBorders>
            <w:shd w:val="clear" w:color="auto" w:fill="0A7CB9"/>
            <w:vAlign w:val="center"/>
            <w:hideMark/>
          </w:tcPr>
          <w:p w14:paraId="3BA0B05B" w14:textId="77777777" w:rsidR="009C5AAE" w:rsidRPr="008833AE" w:rsidRDefault="009C5AAE" w:rsidP="006A1C77">
            <w:pPr>
              <w:jc w:val="both"/>
              <w:rPr>
                <w:color w:val="FFFFFF"/>
                <w:sz w:val="18"/>
                <w:szCs w:val="18"/>
              </w:rPr>
            </w:pPr>
          </w:p>
        </w:tc>
        <w:tc>
          <w:tcPr>
            <w:tcW w:w="1179" w:type="dxa"/>
            <w:tcBorders>
              <w:top w:val="nil"/>
              <w:left w:val="nil"/>
              <w:right w:val="nil"/>
            </w:tcBorders>
            <w:shd w:val="clear" w:color="auto" w:fill="0A7CB9"/>
            <w:vAlign w:val="center"/>
          </w:tcPr>
          <w:p w14:paraId="1E9A6C27" w14:textId="77777777" w:rsidR="009C5AAE" w:rsidRPr="008833AE" w:rsidRDefault="009C5AAE" w:rsidP="006A1C77">
            <w:pPr>
              <w:jc w:val="center"/>
              <w:rPr>
                <w:color w:val="FFFFFF"/>
                <w:sz w:val="18"/>
                <w:szCs w:val="18"/>
              </w:rPr>
            </w:pPr>
            <w:r w:rsidRPr="008833AE">
              <w:rPr>
                <w:color w:val="FFFFFF"/>
                <w:sz w:val="18"/>
                <w:szCs w:val="18"/>
              </w:rPr>
              <w:t>Budget</w:t>
            </w:r>
          </w:p>
        </w:tc>
        <w:tc>
          <w:tcPr>
            <w:tcW w:w="3537" w:type="dxa"/>
            <w:gridSpan w:val="3"/>
            <w:tcBorders>
              <w:top w:val="nil"/>
              <w:left w:val="nil"/>
              <w:right w:val="nil"/>
            </w:tcBorders>
            <w:shd w:val="clear" w:color="auto" w:fill="0A7CB9"/>
            <w:vAlign w:val="center"/>
          </w:tcPr>
          <w:p w14:paraId="2533C686" w14:textId="77777777" w:rsidR="009C5AAE" w:rsidRPr="008833AE" w:rsidRDefault="009C5AAE" w:rsidP="006A1C77">
            <w:pPr>
              <w:jc w:val="center"/>
              <w:rPr>
                <w:color w:val="FFFFFF"/>
                <w:sz w:val="18"/>
                <w:szCs w:val="18"/>
              </w:rPr>
            </w:pPr>
            <w:r w:rsidRPr="008833AE">
              <w:rPr>
                <w:color w:val="FFFFFF"/>
                <w:sz w:val="18"/>
                <w:szCs w:val="18"/>
              </w:rPr>
              <w:t>Forward Estimates</w:t>
            </w:r>
          </w:p>
        </w:tc>
      </w:tr>
      <w:tr w:rsidR="007D015E" w:rsidRPr="008833AE" w14:paraId="3DE138FA" w14:textId="77777777" w:rsidTr="002F5437">
        <w:trPr>
          <w:trHeight w:val="61"/>
        </w:trPr>
        <w:tc>
          <w:tcPr>
            <w:tcW w:w="4960" w:type="dxa"/>
            <w:tcBorders>
              <w:top w:val="nil"/>
              <w:left w:val="nil"/>
              <w:bottom w:val="nil"/>
              <w:right w:val="nil"/>
            </w:tcBorders>
            <w:shd w:val="clear" w:color="000000" w:fill="FFFFFF"/>
            <w:vAlign w:val="center"/>
          </w:tcPr>
          <w:p w14:paraId="1733AC25" w14:textId="77777777" w:rsidR="007D015E" w:rsidRPr="008833AE" w:rsidRDefault="007D015E" w:rsidP="006A1C77">
            <w:pPr>
              <w:spacing w:before="40" w:after="40"/>
              <w:rPr>
                <w:b/>
                <w:color w:val="00ABE6"/>
                <w:sz w:val="18"/>
                <w:szCs w:val="18"/>
              </w:rPr>
            </w:pPr>
          </w:p>
        </w:tc>
        <w:tc>
          <w:tcPr>
            <w:tcW w:w="1179" w:type="dxa"/>
            <w:tcBorders>
              <w:top w:val="nil"/>
              <w:left w:val="nil"/>
              <w:right w:val="nil"/>
            </w:tcBorders>
            <w:vAlign w:val="center"/>
          </w:tcPr>
          <w:p w14:paraId="345FC21C" w14:textId="18ED27E5" w:rsidR="007D015E" w:rsidRPr="008833AE" w:rsidRDefault="007D015E" w:rsidP="006A1C77">
            <w:pPr>
              <w:spacing w:before="20" w:after="20"/>
              <w:jc w:val="center"/>
              <w:rPr>
                <w:color w:val="00ABE6"/>
                <w:sz w:val="18"/>
                <w:szCs w:val="18"/>
              </w:rPr>
            </w:pPr>
            <w:r>
              <w:rPr>
                <w:color w:val="00ABE6"/>
                <w:sz w:val="18"/>
                <w:szCs w:val="18"/>
              </w:rPr>
              <w:t>$m</w:t>
            </w:r>
          </w:p>
        </w:tc>
        <w:tc>
          <w:tcPr>
            <w:tcW w:w="1179" w:type="dxa"/>
            <w:tcBorders>
              <w:top w:val="nil"/>
              <w:left w:val="nil"/>
              <w:right w:val="nil"/>
            </w:tcBorders>
            <w:vAlign w:val="center"/>
          </w:tcPr>
          <w:p w14:paraId="58A68EA0" w14:textId="3ACB1703" w:rsidR="007D015E" w:rsidRPr="008833AE" w:rsidRDefault="007D015E" w:rsidP="006A1C77">
            <w:pPr>
              <w:spacing w:before="20" w:after="20"/>
              <w:jc w:val="center"/>
              <w:rPr>
                <w:color w:val="00ABE6"/>
                <w:sz w:val="18"/>
                <w:szCs w:val="18"/>
              </w:rPr>
            </w:pPr>
            <w:r>
              <w:rPr>
                <w:color w:val="00ABE6"/>
                <w:sz w:val="18"/>
                <w:szCs w:val="18"/>
              </w:rPr>
              <w:t>$m</w:t>
            </w:r>
          </w:p>
        </w:tc>
        <w:tc>
          <w:tcPr>
            <w:tcW w:w="1179" w:type="dxa"/>
            <w:tcBorders>
              <w:top w:val="nil"/>
              <w:left w:val="nil"/>
              <w:right w:val="nil"/>
            </w:tcBorders>
            <w:vAlign w:val="center"/>
          </w:tcPr>
          <w:p w14:paraId="08BA83E5" w14:textId="2A83A9B9" w:rsidR="007D015E" w:rsidRPr="008833AE" w:rsidRDefault="007D015E" w:rsidP="006A1C77">
            <w:pPr>
              <w:spacing w:before="20" w:after="20"/>
              <w:jc w:val="center"/>
              <w:rPr>
                <w:color w:val="00ABE6"/>
                <w:sz w:val="18"/>
                <w:szCs w:val="18"/>
              </w:rPr>
            </w:pPr>
            <w:r>
              <w:rPr>
                <w:color w:val="00ABE6"/>
                <w:sz w:val="18"/>
                <w:szCs w:val="18"/>
              </w:rPr>
              <w:t>$m</w:t>
            </w:r>
          </w:p>
        </w:tc>
        <w:tc>
          <w:tcPr>
            <w:tcW w:w="1179" w:type="dxa"/>
            <w:tcBorders>
              <w:top w:val="nil"/>
              <w:left w:val="nil"/>
              <w:right w:val="nil"/>
            </w:tcBorders>
            <w:vAlign w:val="center"/>
          </w:tcPr>
          <w:p w14:paraId="76628DA7" w14:textId="25CC2F32" w:rsidR="007D015E" w:rsidRPr="008833AE" w:rsidRDefault="007D015E" w:rsidP="006A1C77">
            <w:pPr>
              <w:spacing w:before="20" w:after="20"/>
              <w:jc w:val="center"/>
              <w:rPr>
                <w:color w:val="00ABE6"/>
                <w:sz w:val="18"/>
                <w:szCs w:val="18"/>
              </w:rPr>
            </w:pPr>
            <w:r>
              <w:rPr>
                <w:color w:val="00ABE6"/>
                <w:sz w:val="18"/>
                <w:szCs w:val="18"/>
              </w:rPr>
              <w:t>$m</w:t>
            </w:r>
          </w:p>
        </w:tc>
      </w:tr>
      <w:tr w:rsidR="008833AE" w:rsidRPr="008833AE" w14:paraId="3EACA74C" w14:textId="77777777" w:rsidTr="002F5437">
        <w:trPr>
          <w:trHeight w:val="61"/>
        </w:trPr>
        <w:tc>
          <w:tcPr>
            <w:tcW w:w="4960" w:type="dxa"/>
            <w:tcBorders>
              <w:top w:val="nil"/>
              <w:left w:val="nil"/>
              <w:bottom w:val="nil"/>
              <w:right w:val="nil"/>
            </w:tcBorders>
            <w:shd w:val="clear" w:color="000000" w:fill="FFFFFF"/>
            <w:vAlign w:val="center"/>
          </w:tcPr>
          <w:p w14:paraId="7CDBEA10" w14:textId="0EDF2672" w:rsidR="009C5AAE" w:rsidRPr="008833AE" w:rsidRDefault="00BA2937" w:rsidP="006A1C77">
            <w:pPr>
              <w:spacing w:before="40" w:after="40"/>
              <w:rPr>
                <w:b/>
                <w:i/>
                <w:color w:val="00ABE6"/>
                <w:sz w:val="18"/>
                <w:szCs w:val="18"/>
              </w:rPr>
            </w:pPr>
            <w:r w:rsidRPr="008833AE">
              <w:rPr>
                <w:b/>
                <w:color w:val="00ABE6"/>
                <w:sz w:val="18"/>
                <w:szCs w:val="18"/>
              </w:rPr>
              <w:t>Estimated GGS operating statement</w:t>
            </w:r>
          </w:p>
        </w:tc>
        <w:tc>
          <w:tcPr>
            <w:tcW w:w="1179" w:type="dxa"/>
            <w:tcBorders>
              <w:top w:val="nil"/>
              <w:left w:val="nil"/>
              <w:right w:val="nil"/>
            </w:tcBorders>
            <w:vAlign w:val="center"/>
          </w:tcPr>
          <w:p w14:paraId="1BAF56C9" w14:textId="77777777" w:rsidR="009C5AAE" w:rsidRPr="008833AE" w:rsidRDefault="009C5AAE" w:rsidP="006A1C77">
            <w:pPr>
              <w:spacing w:before="20" w:after="20"/>
              <w:jc w:val="center"/>
              <w:rPr>
                <w:color w:val="00ABE6"/>
                <w:sz w:val="18"/>
                <w:szCs w:val="18"/>
              </w:rPr>
            </w:pPr>
          </w:p>
        </w:tc>
        <w:tc>
          <w:tcPr>
            <w:tcW w:w="1179" w:type="dxa"/>
            <w:tcBorders>
              <w:top w:val="nil"/>
              <w:left w:val="nil"/>
              <w:right w:val="nil"/>
            </w:tcBorders>
            <w:vAlign w:val="center"/>
          </w:tcPr>
          <w:p w14:paraId="30A110F2" w14:textId="77777777" w:rsidR="009C5AAE" w:rsidRPr="008833AE" w:rsidRDefault="009C5AAE" w:rsidP="006A1C77">
            <w:pPr>
              <w:spacing w:before="20" w:after="20"/>
              <w:jc w:val="center"/>
              <w:rPr>
                <w:color w:val="00ABE6"/>
                <w:sz w:val="18"/>
                <w:szCs w:val="18"/>
              </w:rPr>
            </w:pPr>
          </w:p>
        </w:tc>
        <w:tc>
          <w:tcPr>
            <w:tcW w:w="1179" w:type="dxa"/>
            <w:tcBorders>
              <w:top w:val="nil"/>
              <w:left w:val="nil"/>
              <w:right w:val="nil"/>
            </w:tcBorders>
            <w:vAlign w:val="center"/>
          </w:tcPr>
          <w:p w14:paraId="2E13E909" w14:textId="77777777" w:rsidR="009C5AAE" w:rsidRPr="008833AE" w:rsidRDefault="009C5AAE" w:rsidP="006A1C77">
            <w:pPr>
              <w:spacing w:before="20" w:after="20"/>
              <w:jc w:val="center"/>
              <w:rPr>
                <w:color w:val="00ABE6"/>
                <w:sz w:val="18"/>
                <w:szCs w:val="18"/>
              </w:rPr>
            </w:pPr>
          </w:p>
        </w:tc>
        <w:tc>
          <w:tcPr>
            <w:tcW w:w="1179" w:type="dxa"/>
            <w:tcBorders>
              <w:top w:val="nil"/>
              <w:left w:val="nil"/>
              <w:right w:val="nil"/>
            </w:tcBorders>
            <w:vAlign w:val="center"/>
          </w:tcPr>
          <w:p w14:paraId="4CDFBEEF" w14:textId="77777777" w:rsidR="009C5AAE" w:rsidRPr="008833AE" w:rsidRDefault="009C5AAE" w:rsidP="006A1C77">
            <w:pPr>
              <w:spacing w:before="20" w:after="20"/>
              <w:jc w:val="center"/>
              <w:rPr>
                <w:color w:val="00ABE6"/>
                <w:sz w:val="18"/>
                <w:szCs w:val="18"/>
              </w:rPr>
            </w:pPr>
          </w:p>
        </w:tc>
      </w:tr>
      <w:tr w:rsidR="002E5AB4" w:rsidRPr="008833AE" w14:paraId="5FB606DE" w14:textId="77777777" w:rsidTr="002F5437">
        <w:trPr>
          <w:trHeight w:val="61"/>
        </w:trPr>
        <w:tc>
          <w:tcPr>
            <w:tcW w:w="4960" w:type="dxa"/>
            <w:tcBorders>
              <w:top w:val="nil"/>
              <w:left w:val="nil"/>
              <w:right w:val="nil"/>
            </w:tcBorders>
            <w:shd w:val="clear" w:color="000000" w:fill="FFFFFF"/>
            <w:vAlign w:val="center"/>
          </w:tcPr>
          <w:p w14:paraId="2B023BF4" w14:textId="5488FAF7" w:rsidR="002E5AB4" w:rsidRPr="008833AE" w:rsidRDefault="002E5AB4" w:rsidP="002E5AB4">
            <w:pPr>
              <w:spacing w:before="40" w:after="40"/>
              <w:rPr>
                <w:sz w:val="18"/>
                <w:szCs w:val="18"/>
              </w:rPr>
            </w:pPr>
            <w:r w:rsidRPr="008833AE">
              <w:rPr>
                <w:sz w:val="18"/>
                <w:szCs w:val="18"/>
              </w:rPr>
              <w:t>Revenue from transactions</w:t>
            </w:r>
          </w:p>
        </w:tc>
        <w:tc>
          <w:tcPr>
            <w:tcW w:w="1179" w:type="dxa"/>
            <w:tcBorders>
              <w:top w:val="nil"/>
              <w:left w:val="nil"/>
              <w:right w:val="nil"/>
            </w:tcBorders>
            <w:vAlign w:val="center"/>
          </w:tcPr>
          <w:p w14:paraId="0FC2C6C0" w14:textId="7E853894" w:rsidR="002E5AB4" w:rsidRPr="008833AE" w:rsidRDefault="00AE251E" w:rsidP="008833AE">
            <w:pPr>
              <w:spacing w:before="20" w:after="20"/>
              <w:ind w:left="-392" w:right="218"/>
              <w:jc w:val="right"/>
              <w:rPr>
                <w:sz w:val="18"/>
                <w:szCs w:val="18"/>
              </w:rPr>
            </w:pPr>
            <w:r w:rsidRPr="008833AE">
              <w:rPr>
                <w:sz w:val="18"/>
                <w:szCs w:val="18"/>
              </w:rPr>
              <w:t>(18)</w:t>
            </w:r>
          </w:p>
        </w:tc>
        <w:tc>
          <w:tcPr>
            <w:tcW w:w="1179" w:type="dxa"/>
            <w:tcBorders>
              <w:top w:val="nil"/>
              <w:left w:val="nil"/>
              <w:right w:val="nil"/>
            </w:tcBorders>
            <w:vAlign w:val="center"/>
          </w:tcPr>
          <w:p w14:paraId="3E4F75B0" w14:textId="113169BF" w:rsidR="002E5AB4" w:rsidRPr="008833AE" w:rsidRDefault="00AE251E" w:rsidP="008833AE">
            <w:pPr>
              <w:spacing w:before="20" w:after="20"/>
              <w:ind w:left="-392" w:right="218"/>
              <w:jc w:val="right"/>
              <w:rPr>
                <w:sz w:val="18"/>
                <w:szCs w:val="18"/>
              </w:rPr>
            </w:pPr>
            <w:r w:rsidRPr="008833AE">
              <w:rPr>
                <w:sz w:val="18"/>
                <w:szCs w:val="18"/>
              </w:rPr>
              <w:t>(19)</w:t>
            </w:r>
          </w:p>
        </w:tc>
        <w:tc>
          <w:tcPr>
            <w:tcW w:w="1179" w:type="dxa"/>
            <w:tcBorders>
              <w:top w:val="nil"/>
              <w:left w:val="nil"/>
              <w:right w:val="nil"/>
            </w:tcBorders>
            <w:vAlign w:val="center"/>
          </w:tcPr>
          <w:p w14:paraId="0962B4C9" w14:textId="0B8E25F2" w:rsidR="002E5AB4" w:rsidRPr="008833AE" w:rsidRDefault="00AE251E" w:rsidP="008833AE">
            <w:pPr>
              <w:spacing w:before="20" w:after="20"/>
              <w:ind w:left="-392" w:right="218"/>
              <w:jc w:val="right"/>
              <w:rPr>
                <w:sz w:val="18"/>
                <w:szCs w:val="18"/>
              </w:rPr>
            </w:pPr>
            <w:r w:rsidRPr="008833AE">
              <w:rPr>
                <w:sz w:val="18"/>
                <w:szCs w:val="18"/>
              </w:rPr>
              <w:t>(20)</w:t>
            </w:r>
          </w:p>
        </w:tc>
        <w:tc>
          <w:tcPr>
            <w:tcW w:w="1179" w:type="dxa"/>
            <w:tcBorders>
              <w:top w:val="nil"/>
              <w:left w:val="nil"/>
              <w:right w:val="nil"/>
            </w:tcBorders>
            <w:vAlign w:val="center"/>
          </w:tcPr>
          <w:p w14:paraId="2ABE4050" w14:textId="060086C1" w:rsidR="002E5AB4" w:rsidRPr="008833AE" w:rsidRDefault="00AE251E" w:rsidP="008833AE">
            <w:pPr>
              <w:spacing w:before="20" w:after="20"/>
              <w:ind w:left="-392" w:right="218"/>
              <w:jc w:val="right"/>
              <w:rPr>
                <w:sz w:val="18"/>
                <w:szCs w:val="18"/>
              </w:rPr>
            </w:pPr>
            <w:r w:rsidRPr="008833AE">
              <w:rPr>
                <w:sz w:val="18"/>
                <w:szCs w:val="18"/>
              </w:rPr>
              <w:t>(21)</w:t>
            </w:r>
          </w:p>
        </w:tc>
      </w:tr>
      <w:tr w:rsidR="002D6743" w:rsidRPr="008833AE" w14:paraId="2982BEAF" w14:textId="77777777" w:rsidTr="002F5437">
        <w:trPr>
          <w:trHeight w:val="61"/>
        </w:trPr>
        <w:tc>
          <w:tcPr>
            <w:tcW w:w="4960" w:type="dxa"/>
            <w:tcBorders>
              <w:top w:val="nil"/>
              <w:left w:val="nil"/>
              <w:bottom w:val="single" w:sz="4" w:space="0" w:color="auto"/>
              <w:right w:val="nil"/>
            </w:tcBorders>
            <w:shd w:val="clear" w:color="000000" w:fill="FFFFFF"/>
            <w:vAlign w:val="center"/>
          </w:tcPr>
          <w:p w14:paraId="009AEB99" w14:textId="77777777" w:rsidR="002E5AB4" w:rsidRPr="008833AE" w:rsidRDefault="002E5AB4" w:rsidP="002E5AB4">
            <w:pPr>
              <w:spacing w:before="40" w:after="40"/>
              <w:rPr>
                <w:i/>
                <w:sz w:val="18"/>
                <w:szCs w:val="18"/>
              </w:rPr>
            </w:pPr>
            <w:r w:rsidRPr="008833AE">
              <w:rPr>
                <w:sz w:val="18"/>
                <w:szCs w:val="18"/>
              </w:rPr>
              <w:t>Expenses from transactions</w:t>
            </w:r>
            <w:r w:rsidRPr="008833AE">
              <w:rPr>
                <w:i/>
                <w:sz w:val="18"/>
                <w:szCs w:val="18"/>
              </w:rPr>
              <w:t xml:space="preserve"> </w:t>
            </w:r>
          </w:p>
        </w:tc>
        <w:tc>
          <w:tcPr>
            <w:tcW w:w="1179" w:type="dxa"/>
            <w:tcBorders>
              <w:top w:val="nil"/>
              <w:left w:val="nil"/>
              <w:bottom w:val="single" w:sz="4" w:space="0" w:color="auto"/>
              <w:right w:val="nil"/>
            </w:tcBorders>
            <w:vAlign w:val="center"/>
          </w:tcPr>
          <w:p w14:paraId="524D1004" w14:textId="25902FC3" w:rsidR="002E5AB4" w:rsidRPr="008833AE" w:rsidRDefault="00AE251E" w:rsidP="008833AE">
            <w:pPr>
              <w:spacing w:before="20" w:after="20"/>
              <w:ind w:left="-392" w:right="218"/>
              <w:jc w:val="right"/>
              <w:rPr>
                <w:sz w:val="18"/>
                <w:szCs w:val="18"/>
              </w:rPr>
            </w:pPr>
            <w:r w:rsidRPr="008833AE">
              <w:rPr>
                <w:sz w:val="18"/>
                <w:szCs w:val="18"/>
              </w:rPr>
              <w:t>98</w:t>
            </w:r>
          </w:p>
        </w:tc>
        <w:tc>
          <w:tcPr>
            <w:tcW w:w="1179" w:type="dxa"/>
            <w:tcBorders>
              <w:top w:val="nil"/>
              <w:left w:val="nil"/>
              <w:bottom w:val="single" w:sz="4" w:space="0" w:color="auto"/>
              <w:right w:val="nil"/>
            </w:tcBorders>
            <w:vAlign w:val="center"/>
          </w:tcPr>
          <w:p w14:paraId="716C5593" w14:textId="3C1EF56A" w:rsidR="002E5AB4" w:rsidRPr="008833AE" w:rsidRDefault="00AE251E" w:rsidP="008833AE">
            <w:pPr>
              <w:spacing w:before="20" w:after="20"/>
              <w:ind w:left="-392" w:right="218"/>
              <w:jc w:val="right"/>
              <w:rPr>
                <w:sz w:val="18"/>
                <w:szCs w:val="18"/>
              </w:rPr>
            </w:pPr>
            <w:r w:rsidRPr="008833AE">
              <w:rPr>
                <w:sz w:val="18"/>
                <w:szCs w:val="18"/>
              </w:rPr>
              <w:t>78</w:t>
            </w:r>
          </w:p>
        </w:tc>
        <w:tc>
          <w:tcPr>
            <w:tcW w:w="1179" w:type="dxa"/>
            <w:tcBorders>
              <w:top w:val="nil"/>
              <w:left w:val="nil"/>
              <w:bottom w:val="single" w:sz="4" w:space="0" w:color="auto"/>
              <w:right w:val="nil"/>
            </w:tcBorders>
            <w:vAlign w:val="center"/>
          </w:tcPr>
          <w:p w14:paraId="641BD1D3" w14:textId="10714A3A" w:rsidR="002E5AB4" w:rsidRPr="008833AE" w:rsidRDefault="00AE251E" w:rsidP="008833AE">
            <w:pPr>
              <w:spacing w:before="20" w:after="20"/>
              <w:ind w:left="-392" w:right="218"/>
              <w:jc w:val="right"/>
              <w:rPr>
                <w:sz w:val="18"/>
                <w:szCs w:val="18"/>
              </w:rPr>
            </w:pPr>
            <w:r w:rsidRPr="008833AE">
              <w:rPr>
                <w:sz w:val="18"/>
                <w:szCs w:val="18"/>
              </w:rPr>
              <w:t>66</w:t>
            </w:r>
          </w:p>
        </w:tc>
        <w:tc>
          <w:tcPr>
            <w:tcW w:w="1179" w:type="dxa"/>
            <w:tcBorders>
              <w:top w:val="nil"/>
              <w:left w:val="nil"/>
              <w:bottom w:val="single" w:sz="4" w:space="0" w:color="auto"/>
              <w:right w:val="nil"/>
            </w:tcBorders>
            <w:vAlign w:val="center"/>
          </w:tcPr>
          <w:p w14:paraId="1A4D7B60" w14:textId="60F55ECC" w:rsidR="002E5AB4" w:rsidRPr="008833AE" w:rsidRDefault="00AE251E" w:rsidP="008833AE">
            <w:pPr>
              <w:spacing w:before="20" w:after="20"/>
              <w:ind w:left="-392" w:right="218"/>
              <w:jc w:val="right"/>
              <w:rPr>
                <w:sz w:val="18"/>
                <w:szCs w:val="18"/>
              </w:rPr>
            </w:pPr>
            <w:r w:rsidRPr="008833AE">
              <w:rPr>
                <w:sz w:val="18"/>
                <w:szCs w:val="18"/>
              </w:rPr>
              <w:t>44</w:t>
            </w:r>
          </w:p>
        </w:tc>
      </w:tr>
      <w:tr w:rsidR="008833AE" w:rsidRPr="008833AE" w14:paraId="6F7CA049" w14:textId="77777777" w:rsidTr="002F5437">
        <w:trPr>
          <w:trHeight w:val="92"/>
        </w:trPr>
        <w:tc>
          <w:tcPr>
            <w:tcW w:w="4960" w:type="dxa"/>
            <w:tcBorders>
              <w:top w:val="single" w:sz="4" w:space="0" w:color="auto"/>
              <w:left w:val="nil"/>
              <w:right w:val="nil"/>
            </w:tcBorders>
            <w:shd w:val="clear" w:color="000000" w:fill="FFFFFF"/>
            <w:vAlign w:val="center"/>
          </w:tcPr>
          <w:p w14:paraId="17DA0AE1" w14:textId="77777777" w:rsidR="002E5AB4" w:rsidRPr="008833AE" w:rsidRDefault="002E5AB4" w:rsidP="002E5AB4">
            <w:pPr>
              <w:spacing w:before="40" w:after="40"/>
              <w:rPr>
                <w:b/>
                <w:color w:val="00ABE6"/>
                <w:sz w:val="18"/>
                <w:szCs w:val="18"/>
              </w:rPr>
            </w:pPr>
            <w:r w:rsidRPr="008833AE">
              <w:rPr>
                <w:b/>
                <w:color w:val="00ABE6"/>
                <w:sz w:val="18"/>
                <w:szCs w:val="18"/>
              </w:rPr>
              <w:t xml:space="preserve">Budget result </w:t>
            </w:r>
          </w:p>
        </w:tc>
        <w:tc>
          <w:tcPr>
            <w:tcW w:w="1179" w:type="dxa"/>
            <w:tcBorders>
              <w:top w:val="single" w:sz="4" w:space="0" w:color="auto"/>
              <w:left w:val="nil"/>
              <w:right w:val="nil"/>
            </w:tcBorders>
            <w:shd w:val="clear" w:color="000000" w:fill="FFFFFF"/>
            <w:vAlign w:val="center"/>
          </w:tcPr>
          <w:p w14:paraId="22E02245" w14:textId="5F2D36BE" w:rsidR="002E5AB4" w:rsidRPr="008833AE" w:rsidRDefault="00AE251E" w:rsidP="008833AE">
            <w:pPr>
              <w:spacing w:before="20" w:after="20"/>
              <w:ind w:left="-392" w:right="218"/>
              <w:jc w:val="right"/>
              <w:rPr>
                <w:b/>
                <w:color w:val="00ABE6"/>
                <w:sz w:val="18"/>
                <w:szCs w:val="18"/>
              </w:rPr>
            </w:pPr>
            <w:r w:rsidRPr="008833AE">
              <w:rPr>
                <w:b/>
                <w:color w:val="00ABE6"/>
                <w:sz w:val="18"/>
                <w:szCs w:val="18"/>
              </w:rPr>
              <w:t>(116)</w:t>
            </w:r>
          </w:p>
        </w:tc>
        <w:tc>
          <w:tcPr>
            <w:tcW w:w="1179" w:type="dxa"/>
            <w:tcBorders>
              <w:top w:val="single" w:sz="4" w:space="0" w:color="auto"/>
              <w:left w:val="nil"/>
              <w:right w:val="nil"/>
            </w:tcBorders>
            <w:shd w:val="clear" w:color="000000" w:fill="FFFFFF"/>
            <w:vAlign w:val="center"/>
          </w:tcPr>
          <w:p w14:paraId="0B8F8451" w14:textId="4D2A74B3" w:rsidR="002E5AB4" w:rsidRPr="008833AE" w:rsidRDefault="00AE251E" w:rsidP="008833AE">
            <w:pPr>
              <w:spacing w:before="20" w:after="20"/>
              <w:ind w:left="-392" w:right="218"/>
              <w:jc w:val="right"/>
              <w:rPr>
                <w:b/>
                <w:color w:val="00ABE6"/>
                <w:sz w:val="18"/>
                <w:szCs w:val="18"/>
              </w:rPr>
            </w:pPr>
            <w:r w:rsidRPr="008833AE">
              <w:rPr>
                <w:b/>
                <w:color w:val="00ABE6"/>
                <w:sz w:val="18"/>
                <w:szCs w:val="18"/>
              </w:rPr>
              <w:t>(97)</w:t>
            </w:r>
          </w:p>
        </w:tc>
        <w:tc>
          <w:tcPr>
            <w:tcW w:w="1179" w:type="dxa"/>
            <w:tcBorders>
              <w:top w:val="single" w:sz="4" w:space="0" w:color="auto"/>
              <w:left w:val="nil"/>
              <w:right w:val="nil"/>
            </w:tcBorders>
            <w:shd w:val="clear" w:color="000000" w:fill="FFFFFF"/>
            <w:vAlign w:val="center"/>
          </w:tcPr>
          <w:p w14:paraId="1BD3C356" w14:textId="1AAA6B38" w:rsidR="002E5AB4" w:rsidRPr="008833AE" w:rsidRDefault="00AE251E" w:rsidP="008833AE">
            <w:pPr>
              <w:spacing w:before="20" w:after="20"/>
              <w:ind w:left="-392" w:right="218"/>
              <w:jc w:val="right"/>
              <w:rPr>
                <w:b/>
                <w:color w:val="00ABE6"/>
                <w:sz w:val="18"/>
                <w:szCs w:val="18"/>
              </w:rPr>
            </w:pPr>
            <w:r w:rsidRPr="008833AE">
              <w:rPr>
                <w:b/>
                <w:color w:val="00ABE6"/>
                <w:sz w:val="18"/>
                <w:szCs w:val="18"/>
              </w:rPr>
              <w:t>(86)</w:t>
            </w:r>
          </w:p>
        </w:tc>
        <w:tc>
          <w:tcPr>
            <w:tcW w:w="1179" w:type="dxa"/>
            <w:tcBorders>
              <w:top w:val="single" w:sz="4" w:space="0" w:color="auto"/>
              <w:left w:val="nil"/>
              <w:right w:val="nil"/>
            </w:tcBorders>
            <w:shd w:val="clear" w:color="000000" w:fill="FFFFFF"/>
            <w:vAlign w:val="center"/>
          </w:tcPr>
          <w:p w14:paraId="25F97EA7" w14:textId="2E73FEFE" w:rsidR="002E5AB4" w:rsidRPr="008833AE" w:rsidRDefault="00AE251E" w:rsidP="008833AE">
            <w:pPr>
              <w:spacing w:before="20" w:after="20"/>
              <w:ind w:left="-392" w:right="218"/>
              <w:jc w:val="right"/>
              <w:rPr>
                <w:b/>
                <w:color w:val="00ABE6"/>
                <w:sz w:val="18"/>
                <w:szCs w:val="18"/>
              </w:rPr>
            </w:pPr>
            <w:r w:rsidRPr="008833AE">
              <w:rPr>
                <w:b/>
                <w:color w:val="00ABE6"/>
                <w:sz w:val="18"/>
                <w:szCs w:val="18"/>
              </w:rPr>
              <w:t>(64)</w:t>
            </w:r>
          </w:p>
        </w:tc>
      </w:tr>
      <w:tr w:rsidR="002D6743" w:rsidRPr="008833AE" w14:paraId="0EB9757E" w14:textId="77777777" w:rsidTr="002F5437">
        <w:trPr>
          <w:trHeight w:val="61"/>
        </w:trPr>
        <w:tc>
          <w:tcPr>
            <w:tcW w:w="4960" w:type="dxa"/>
            <w:tcBorders>
              <w:left w:val="nil"/>
              <w:bottom w:val="single" w:sz="4" w:space="0" w:color="auto"/>
              <w:right w:val="nil"/>
            </w:tcBorders>
            <w:shd w:val="clear" w:color="000000" w:fill="FFFFFF"/>
          </w:tcPr>
          <w:p w14:paraId="1B1E05A3" w14:textId="1C5B149A" w:rsidR="00F56426" w:rsidRPr="008833AE" w:rsidRDefault="00F56426" w:rsidP="00F56426">
            <w:pPr>
              <w:spacing w:before="40" w:after="40"/>
              <w:rPr>
                <w:sz w:val="18"/>
                <w:szCs w:val="18"/>
              </w:rPr>
            </w:pPr>
            <w:r w:rsidRPr="008833AE">
              <w:rPr>
                <w:sz w:val="18"/>
                <w:szCs w:val="18"/>
              </w:rPr>
              <w:t>Other economic flows - included in operating result</w:t>
            </w:r>
          </w:p>
        </w:tc>
        <w:tc>
          <w:tcPr>
            <w:tcW w:w="1179" w:type="dxa"/>
            <w:tcBorders>
              <w:left w:val="nil"/>
              <w:bottom w:val="single" w:sz="4" w:space="0" w:color="auto"/>
              <w:right w:val="nil"/>
            </w:tcBorders>
            <w:shd w:val="clear" w:color="000000" w:fill="FFFFFF"/>
            <w:vAlign w:val="center"/>
          </w:tcPr>
          <w:p w14:paraId="69CAEE18" w14:textId="543A1874" w:rsidR="00F56426" w:rsidRPr="008833AE" w:rsidRDefault="008833AE" w:rsidP="008833AE">
            <w:pPr>
              <w:spacing w:before="20" w:after="20"/>
              <w:ind w:left="-392" w:right="218"/>
              <w:jc w:val="right"/>
              <w:rPr>
                <w:sz w:val="18"/>
                <w:szCs w:val="18"/>
              </w:rPr>
            </w:pPr>
            <w:r>
              <w:rPr>
                <w:sz w:val="18"/>
                <w:szCs w:val="18"/>
              </w:rPr>
              <w:t>…</w:t>
            </w:r>
          </w:p>
        </w:tc>
        <w:tc>
          <w:tcPr>
            <w:tcW w:w="1179" w:type="dxa"/>
            <w:tcBorders>
              <w:left w:val="nil"/>
              <w:bottom w:val="single" w:sz="4" w:space="0" w:color="auto"/>
              <w:right w:val="nil"/>
            </w:tcBorders>
            <w:shd w:val="clear" w:color="000000" w:fill="FFFFFF"/>
            <w:vAlign w:val="center"/>
          </w:tcPr>
          <w:p w14:paraId="291CEB2F" w14:textId="3EBA3EFD" w:rsidR="00F56426" w:rsidRPr="008833AE" w:rsidRDefault="008833AE" w:rsidP="008833AE">
            <w:pPr>
              <w:spacing w:before="20" w:after="20"/>
              <w:ind w:left="-392" w:right="218"/>
              <w:jc w:val="right"/>
              <w:rPr>
                <w:sz w:val="18"/>
                <w:szCs w:val="18"/>
              </w:rPr>
            </w:pPr>
            <w:r>
              <w:rPr>
                <w:sz w:val="18"/>
                <w:szCs w:val="18"/>
              </w:rPr>
              <w:t>…</w:t>
            </w:r>
          </w:p>
        </w:tc>
        <w:tc>
          <w:tcPr>
            <w:tcW w:w="1179" w:type="dxa"/>
            <w:tcBorders>
              <w:left w:val="nil"/>
              <w:bottom w:val="single" w:sz="4" w:space="0" w:color="auto"/>
              <w:right w:val="nil"/>
            </w:tcBorders>
            <w:shd w:val="clear" w:color="000000" w:fill="FFFFFF"/>
            <w:vAlign w:val="center"/>
          </w:tcPr>
          <w:p w14:paraId="55772318" w14:textId="42B04DC7" w:rsidR="00F56426" w:rsidRPr="008833AE" w:rsidRDefault="008833AE" w:rsidP="008833AE">
            <w:pPr>
              <w:spacing w:before="20" w:after="20"/>
              <w:ind w:left="-392" w:right="218"/>
              <w:jc w:val="right"/>
              <w:rPr>
                <w:sz w:val="18"/>
                <w:szCs w:val="18"/>
              </w:rPr>
            </w:pPr>
            <w:r>
              <w:rPr>
                <w:sz w:val="18"/>
                <w:szCs w:val="18"/>
              </w:rPr>
              <w:t>…</w:t>
            </w:r>
          </w:p>
        </w:tc>
        <w:tc>
          <w:tcPr>
            <w:tcW w:w="1179" w:type="dxa"/>
            <w:tcBorders>
              <w:left w:val="nil"/>
              <w:bottom w:val="single" w:sz="4" w:space="0" w:color="auto"/>
              <w:right w:val="nil"/>
            </w:tcBorders>
            <w:shd w:val="clear" w:color="000000" w:fill="FFFFFF"/>
            <w:vAlign w:val="center"/>
          </w:tcPr>
          <w:p w14:paraId="568A3253" w14:textId="4EA4B7E3" w:rsidR="00F56426" w:rsidRPr="008833AE" w:rsidRDefault="008833AE" w:rsidP="008833AE">
            <w:pPr>
              <w:spacing w:before="20" w:after="20"/>
              <w:ind w:left="-392" w:right="218"/>
              <w:jc w:val="right"/>
              <w:rPr>
                <w:sz w:val="18"/>
                <w:szCs w:val="18"/>
              </w:rPr>
            </w:pPr>
            <w:r>
              <w:rPr>
                <w:sz w:val="18"/>
                <w:szCs w:val="18"/>
              </w:rPr>
              <w:t>…</w:t>
            </w:r>
          </w:p>
        </w:tc>
      </w:tr>
      <w:tr w:rsidR="008833AE" w:rsidRPr="008833AE" w14:paraId="415EF1DF" w14:textId="77777777" w:rsidTr="002F5437">
        <w:trPr>
          <w:trHeight w:val="340"/>
        </w:trPr>
        <w:tc>
          <w:tcPr>
            <w:tcW w:w="4960" w:type="dxa"/>
            <w:tcBorders>
              <w:top w:val="single" w:sz="4" w:space="0" w:color="auto"/>
              <w:left w:val="nil"/>
              <w:bottom w:val="single" w:sz="4" w:space="0" w:color="auto"/>
              <w:right w:val="nil"/>
            </w:tcBorders>
            <w:shd w:val="clear" w:color="000000" w:fill="FFFFFF"/>
          </w:tcPr>
          <w:p w14:paraId="27949480" w14:textId="16E32CC9" w:rsidR="00AE251E" w:rsidRPr="008833AE" w:rsidRDefault="00AE251E" w:rsidP="00AE251E">
            <w:pPr>
              <w:spacing w:before="40" w:after="40"/>
              <w:rPr>
                <w:b/>
                <w:color w:val="00ABE6"/>
                <w:sz w:val="18"/>
                <w:szCs w:val="18"/>
              </w:rPr>
            </w:pPr>
            <w:r w:rsidRPr="008833AE">
              <w:rPr>
                <w:b/>
                <w:color w:val="00ABE6"/>
                <w:sz w:val="18"/>
                <w:szCs w:val="18"/>
              </w:rPr>
              <w:t>Operating result</w:t>
            </w:r>
          </w:p>
        </w:tc>
        <w:tc>
          <w:tcPr>
            <w:tcW w:w="1179" w:type="dxa"/>
            <w:tcBorders>
              <w:top w:val="single" w:sz="4" w:space="0" w:color="auto"/>
              <w:left w:val="nil"/>
              <w:bottom w:val="single" w:sz="4" w:space="0" w:color="auto"/>
              <w:right w:val="nil"/>
            </w:tcBorders>
            <w:shd w:val="clear" w:color="000000" w:fill="FFFFFF"/>
            <w:vAlign w:val="center"/>
          </w:tcPr>
          <w:p w14:paraId="0A11CA8B" w14:textId="49EB7E21" w:rsidR="00AE251E" w:rsidRPr="008833AE" w:rsidRDefault="00AE251E" w:rsidP="008833AE">
            <w:pPr>
              <w:spacing w:before="20" w:after="20"/>
              <w:ind w:left="-392" w:right="218"/>
              <w:jc w:val="right"/>
              <w:rPr>
                <w:b/>
                <w:color w:val="00ABE6"/>
                <w:sz w:val="18"/>
                <w:szCs w:val="18"/>
              </w:rPr>
            </w:pPr>
            <w:r w:rsidRPr="008833AE">
              <w:rPr>
                <w:b/>
                <w:color w:val="00ABE6"/>
                <w:sz w:val="18"/>
                <w:szCs w:val="18"/>
              </w:rPr>
              <w:t>(116)</w:t>
            </w:r>
          </w:p>
        </w:tc>
        <w:tc>
          <w:tcPr>
            <w:tcW w:w="1179" w:type="dxa"/>
            <w:tcBorders>
              <w:top w:val="single" w:sz="4" w:space="0" w:color="auto"/>
              <w:left w:val="nil"/>
              <w:bottom w:val="single" w:sz="4" w:space="0" w:color="auto"/>
              <w:right w:val="nil"/>
            </w:tcBorders>
            <w:shd w:val="clear" w:color="000000" w:fill="FFFFFF"/>
            <w:vAlign w:val="center"/>
          </w:tcPr>
          <w:p w14:paraId="6793FA61" w14:textId="6A528264" w:rsidR="00AE251E" w:rsidRPr="008833AE" w:rsidRDefault="00AE251E" w:rsidP="008833AE">
            <w:pPr>
              <w:spacing w:before="20" w:after="20"/>
              <w:ind w:left="-392" w:right="218"/>
              <w:jc w:val="right"/>
              <w:rPr>
                <w:b/>
                <w:color w:val="00ABE6"/>
                <w:sz w:val="18"/>
                <w:szCs w:val="18"/>
              </w:rPr>
            </w:pPr>
            <w:r w:rsidRPr="008833AE">
              <w:rPr>
                <w:b/>
                <w:color w:val="00ABE6"/>
                <w:sz w:val="18"/>
                <w:szCs w:val="18"/>
              </w:rPr>
              <w:t>(97)</w:t>
            </w:r>
          </w:p>
        </w:tc>
        <w:tc>
          <w:tcPr>
            <w:tcW w:w="1179" w:type="dxa"/>
            <w:tcBorders>
              <w:top w:val="single" w:sz="4" w:space="0" w:color="auto"/>
              <w:left w:val="nil"/>
              <w:bottom w:val="single" w:sz="4" w:space="0" w:color="auto"/>
              <w:right w:val="nil"/>
            </w:tcBorders>
            <w:shd w:val="clear" w:color="000000" w:fill="FFFFFF"/>
            <w:vAlign w:val="center"/>
          </w:tcPr>
          <w:p w14:paraId="32F94ACF" w14:textId="7A611E53" w:rsidR="00AE251E" w:rsidRPr="008833AE" w:rsidRDefault="00AE251E" w:rsidP="008833AE">
            <w:pPr>
              <w:spacing w:before="20" w:after="20"/>
              <w:ind w:left="-392" w:right="218"/>
              <w:jc w:val="right"/>
              <w:rPr>
                <w:b/>
                <w:color w:val="00ABE6"/>
                <w:sz w:val="18"/>
                <w:szCs w:val="18"/>
              </w:rPr>
            </w:pPr>
            <w:r w:rsidRPr="008833AE">
              <w:rPr>
                <w:b/>
                <w:color w:val="00ABE6"/>
                <w:sz w:val="18"/>
                <w:szCs w:val="18"/>
              </w:rPr>
              <w:t>(86)</w:t>
            </w:r>
          </w:p>
        </w:tc>
        <w:tc>
          <w:tcPr>
            <w:tcW w:w="1179" w:type="dxa"/>
            <w:tcBorders>
              <w:top w:val="single" w:sz="4" w:space="0" w:color="auto"/>
              <w:left w:val="nil"/>
              <w:bottom w:val="single" w:sz="4" w:space="0" w:color="auto"/>
              <w:right w:val="nil"/>
            </w:tcBorders>
            <w:shd w:val="clear" w:color="000000" w:fill="FFFFFF"/>
            <w:vAlign w:val="center"/>
          </w:tcPr>
          <w:p w14:paraId="20B7AC6F" w14:textId="7AD55AD9" w:rsidR="00AE251E" w:rsidRPr="008833AE" w:rsidRDefault="00AE251E" w:rsidP="008833AE">
            <w:pPr>
              <w:spacing w:before="20" w:after="20"/>
              <w:ind w:left="-392" w:right="218"/>
              <w:jc w:val="right"/>
              <w:rPr>
                <w:b/>
                <w:color w:val="00ABE6"/>
                <w:sz w:val="18"/>
                <w:szCs w:val="18"/>
              </w:rPr>
            </w:pPr>
            <w:r w:rsidRPr="008833AE">
              <w:rPr>
                <w:b/>
                <w:color w:val="00ABE6"/>
                <w:sz w:val="18"/>
                <w:szCs w:val="18"/>
              </w:rPr>
              <w:t>(64)</w:t>
            </w:r>
          </w:p>
        </w:tc>
      </w:tr>
      <w:tr w:rsidR="008833AE" w:rsidRPr="008833AE" w14:paraId="38923E05" w14:textId="77777777" w:rsidTr="002F5437">
        <w:trPr>
          <w:trHeight w:val="61"/>
        </w:trPr>
        <w:tc>
          <w:tcPr>
            <w:tcW w:w="4960" w:type="dxa"/>
            <w:tcBorders>
              <w:top w:val="single" w:sz="4" w:space="0" w:color="auto"/>
              <w:left w:val="nil"/>
              <w:right w:val="nil"/>
            </w:tcBorders>
            <w:shd w:val="clear" w:color="000000" w:fill="FFFFFF"/>
            <w:vAlign w:val="center"/>
          </w:tcPr>
          <w:p w14:paraId="72A7D254" w14:textId="15664A56" w:rsidR="00AE251E" w:rsidRPr="008833AE" w:rsidRDefault="00AE251E" w:rsidP="00AE251E">
            <w:pPr>
              <w:spacing w:before="40" w:after="40"/>
              <w:rPr>
                <w:b/>
                <w:i/>
                <w:color w:val="00ABE6"/>
                <w:sz w:val="18"/>
                <w:szCs w:val="18"/>
              </w:rPr>
            </w:pPr>
            <w:r w:rsidRPr="008833AE">
              <w:rPr>
                <w:b/>
                <w:color w:val="00ABE6"/>
                <w:sz w:val="18"/>
                <w:szCs w:val="18"/>
              </w:rPr>
              <w:t>Estimated GGS balance sheet</w:t>
            </w:r>
          </w:p>
        </w:tc>
        <w:tc>
          <w:tcPr>
            <w:tcW w:w="1179" w:type="dxa"/>
            <w:tcBorders>
              <w:top w:val="single" w:sz="4" w:space="0" w:color="auto"/>
              <w:left w:val="nil"/>
              <w:right w:val="nil"/>
            </w:tcBorders>
            <w:vAlign w:val="center"/>
          </w:tcPr>
          <w:p w14:paraId="2B3CE836" w14:textId="77777777" w:rsidR="00AE251E" w:rsidRPr="008833AE" w:rsidRDefault="00AE251E" w:rsidP="008833AE">
            <w:pPr>
              <w:spacing w:before="20" w:after="20"/>
              <w:ind w:left="-392" w:right="218"/>
              <w:jc w:val="right"/>
              <w:rPr>
                <w:color w:val="00ABE6"/>
                <w:sz w:val="18"/>
                <w:szCs w:val="18"/>
              </w:rPr>
            </w:pPr>
          </w:p>
        </w:tc>
        <w:tc>
          <w:tcPr>
            <w:tcW w:w="1179" w:type="dxa"/>
            <w:tcBorders>
              <w:top w:val="single" w:sz="4" w:space="0" w:color="auto"/>
              <w:left w:val="nil"/>
              <w:right w:val="nil"/>
            </w:tcBorders>
            <w:vAlign w:val="center"/>
          </w:tcPr>
          <w:p w14:paraId="5AA537A8" w14:textId="77777777" w:rsidR="00AE251E" w:rsidRPr="008833AE" w:rsidRDefault="00AE251E" w:rsidP="008833AE">
            <w:pPr>
              <w:spacing w:before="20" w:after="20"/>
              <w:ind w:left="-392" w:right="218"/>
              <w:jc w:val="right"/>
              <w:rPr>
                <w:color w:val="00ABE6"/>
                <w:sz w:val="18"/>
                <w:szCs w:val="18"/>
              </w:rPr>
            </w:pPr>
          </w:p>
        </w:tc>
        <w:tc>
          <w:tcPr>
            <w:tcW w:w="1179" w:type="dxa"/>
            <w:tcBorders>
              <w:top w:val="single" w:sz="4" w:space="0" w:color="auto"/>
              <w:left w:val="nil"/>
              <w:right w:val="nil"/>
            </w:tcBorders>
            <w:vAlign w:val="center"/>
          </w:tcPr>
          <w:p w14:paraId="0F551248" w14:textId="77777777" w:rsidR="00AE251E" w:rsidRPr="008833AE" w:rsidRDefault="00AE251E" w:rsidP="008833AE">
            <w:pPr>
              <w:spacing w:before="20" w:after="20"/>
              <w:ind w:left="-392" w:right="218"/>
              <w:jc w:val="right"/>
              <w:rPr>
                <w:color w:val="00ABE6"/>
                <w:sz w:val="18"/>
                <w:szCs w:val="18"/>
              </w:rPr>
            </w:pPr>
          </w:p>
        </w:tc>
        <w:tc>
          <w:tcPr>
            <w:tcW w:w="1179" w:type="dxa"/>
            <w:tcBorders>
              <w:top w:val="single" w:sz="4" w:space="0" w:color="auto"/>
              <w:left w:val="nil"/>
              <w:right w:val="nil"/>
            </w:tcBorders>
            <w:vAlign w:val="center"/>
          </w:tcPr>
          <w:p w14:paraId="4DAB1D5C" w14:textId="77777777" w:rsidR="00AE251E" w:rsidRPr="008833AE" w:rsidRDefault="00AE251E" w:rsidP="008833AE">
            <w:pPr>
              <w:spacing w:before="20" w:after="20"/>
              <w:ind w:left="-392" w:right="218"/>
              <w:jc w:val="right"/>
              <w:rPr>
                <w:color w:val="00ABE6"/>
                <w:sz w:val="18"/>
                <w:szCs w:val="18"/>
              </w:rPr>
            </w:pPr>
          </w:p>
        </w:tc>
      </w:tr>
      <w:tr w:rsidR="00C37C07" w:rsidRPr="008833AE" w14:paraId="747D45F0" w14:textId="77777777" w:rsidTr="002F5437">
        <w:trPr>
          <w:trHeight w:val="61"/>
        </w:trPr>
        <w:tc>
          <w:tcPr>
            <w:tcW w:w="4960" w:type="dxa"/>
            <w:tcBorders>
              <w:left w:val="nil"/>
              <w:right w:val="nil"/>
            </w:tcBorders>
            <w:shd w:val="clear" w:color="000000" w:fill="FFFFFF"/>
            <w:vAlign w:val="center"/>
          </w:tcPr>
          <w:p w14:paraId="016870A7" w14:textId="4D330A2A" w:rsidR="00C37C07" w:rsidRPr="008833AE" w:rsidRDefault="00C37C07" w:rsidP="00C37C07">
            <w:pPr>
              <w:spacing w:before="40" w:after="40"/>
              <w:rPr>
                <w:sz w:val="18"/>
                <w:szCs w:val="18"/>
              </w:rPr>
            </w:pPr>
            <w:r w:rsidRPr="008833AE">
              <w:rPr>
                <w:sz w:val="18"/>
                <w:szCs w:val="18"/>
              </w:rPr>
              <w:t>Other financial assets</w:t>
            </w:r>
          </w:p>
        </w:tc>
        <w:tc>
          <w:tcPr>
            <w:tcW w:w="1179" w:type="dxa"/>
            <w:tcBorders>
              <w:left w:val="nil"/>
              <w:right w:val="nil"/>
            </w:tcBorders>
            <w:vAlign w:val="center"/>
          </w:tcPr>
          <w:p w14:paraId="1EB6687F" w14:textId="7B91DA08" w:rsidR="00C37C07" w:rsidRPr="008833AE" w:rsidRDefault="00C37C07" w:rsidP="008833AE">
            <w:pPr>
              <w:spacing w:before="20" w:after="20"/>
              <w:ind w:left="-392" w:right="218"/>
              <w:jc w:val="right"/>
              <w:rPr>
                <w:sz w:val="18"/>
                <w:szCs w:val="18"/>
              </w:rPr>
            </w:pPr>
            <w:r w:rsidRPr="008833AE">
              <w:rPr>
                <w:sz w:val="18"/>
                <w:szCs w:val="18"/>
              </w:rPr>
              <w:t xml:space="preserve">101 </w:t>
            </w:r>
          </w:p>
        </w:tc>
        <w:tc>
          <w:tcPr>
            <w:tcW w:w="1179" w:type="dxa"/>
            <w:tcBorders>
              <w:left w:val="nil"/>
              <w:right w:val="nil"/>
            </w:tcBorders>
            <w:vAlign w:val="center"/>
          </w:tcPr>
          <w:p w14:paraId="56D3A1F5" w14:textId="2566670F" w:rsidR="00C37C07" w:rsidRPr="008833AE" w:rsidRDefault="00C37C07" w:rsidP="008833AE">
            <w:pPr>
              <w:spacing w:before="20" w:after="20"/>
              <w:ind w:left="-392" w:right="218"/>
              <w:jc w:val="right"/>
              <w:rPr>
                <w:sz w:val="18"/>
                <w:szCs w:val="18"/>
              </w:rPr>
            </w:pPr>
            <w:r w:rsidRPr="008833AE">
              <w:rPr>
                <w:sz w:val="18"/>
                <w:szCs w:val="18"/>
              </w:rPr>
              <w:t xml:space="preserve">93 </w:t>
            </w:r>
          </w:p>
        </w:tc>
        <w:tc>
          <w:tcPr>
            <w:tcW w:w="1179" w:type="dxa"/>
            <w:tcBorders>
              <w:left w:val="nil"/>
              <w:right w:val="nil"/>
            </w:tcBorders>
            <w:vAlign w:val="center"/>
          </w:tcPr>
          <w:p w14:paraId="0FF926D6" w14:textId="648C718E" w:rsidR="00C37C07" w:rsidRPr="008833AE" w:rsidRDefault="00C37C07" w:rsidP="008833AE">
            <w:pPr>
              <w:spacing w:before="20" w:after="20"/>
              <w:ind w:left="-392" w:right="218"/>
              <w:jc w:val="right"/>
              <w:rPr>
                <w:sz w:val="18"/>
                <w:szCs w:val="18"/>
              </w:rPr>
            </w:pPr>
            <w:r w:rsidRPr="008833AE">
              <w:rPr>
                <w:sz w:val="18"/>
                <w:szCs w:val="18"/>
              </w:rPr>
              <w:t xml:space="preserve">80 </w:t>
            </w:r>
          </w:p>
        </w:tc>
        <w:tc>
          <w:tcPr>
            <w:tcW w:w="1179" w:type="dxa"/>
            <w:tcBorders>
              <w:left w:val="nil"/>
              <w:right w:val="nil"/>
            </w:tcBorders>
            <w:vAlign w:val="center"/>
          </w:tcPr>
          <w:p w14:paraId="64538E0C" w14:textId="7AED3CE2" w:rsidR="00C37C07" w:rsidRPr="008833AE" w:rsidRDefault="00C37C07" w:rsidP="008833AE">
            <w:pPr>
              <w:spacing w:before="20" w:after="20"/>
              <w:ind w:left="-392" w:right="218"/>
              <w:jc w:val="right"/>
              <w:rPr>
                <w:sz w:val="18"/>
                <w:szCs w:val="18"/>
              </w:rPr>
            </w:pPr>
            <w:r w:rsidRPr="008833AE">
              <w:rPr>
                <w:sz w:val="18"/>
                <w:szCs w:val="18"/>
              </w:rPr>
              <w:t xml:space="preserve">64 </w:t>
            </w:r>
          </w:p>
        </w:tc>
      </w:tr>
      <w:tr w:rsidR="00C37C07" w:rsidRPr="008833AE" w14:paraId="3023B87C" w14:textId="77777777" w:rsidTr="002F5437">
        <w:trPr>
          <w:trHeight w:val="61"/>
        </w:trPr>
        <w:tc>
          <w:tcPr>
            <w:tcW w:w="4960" w:type="dxa"/>
            <w:tcBorders>
              <w:top w:val="nil"/>
              <w:left w:val="nil"/>
              <w:bottom w:val="single" w:sz="4" w:space="0" w:color="auto"/>
              <w:right w:val="nil"/>
            </w:tcBorders>
            <w:shd w:val="clear" w:color="000000" w:fill="FFFFFF"/>
            <w:vAlign w:val="center"/>
          </w:tcPr>
          <w:p w14:paraId="30E1E8AC" w14:textId="4D7AE6ED" w:rsidR="00C37C07" w:rsidRPr="008833AE" w:rsidRDefault="00C37C07" w:rsidP="00C37C07">
            <w:pPr>
              <w:spacing w:before="40" w:after="40"/>
              <w:rPr>
                <w:sz w:val="18"/>
                <w:szCs w:val="18"/>
              </w:rPr>
            </w:pPr>
            <w:r w:rsidRPr="008833AE">
              <w:rPr>
                <w:sz w:val="18"/>
                <w:szCs w:val="18"/>
              </w:rPr>
              <w:t>Property, plant and equipment</w:t>
            </w:r>
          </w:p>
        </w:tc>
        <w:tc>
          <w:tcPr>
            <w:tcW w:w="1179" w:type="dxa"/>
            <w:tcBorders>
              <w:top w:val="nil"/>
              <w:left w:val="nil"/>
              <w:bottom w:val="single" w:sz="4" w:space="0" w:color="auto"/>
              <w:right w:val="nil"/>
            </w:tcBorders>
            <w:vAlign w:val="center"/>
          </w:tcPr>
          <w:p w14:paraId="65A7D9EF" w14:textId="5CBD4E6D" w:rsidR="00C37C07" w:rsidRPr="008833AE" w:rsidRDefault="00C37C07" w:rsidP="008833AE">
            <w:pPr>
              <w:spacing w:before="20" w:after="20"/>
              <w:ind w:left="-392" w:right="218"/>
              <w:jc w:val="right"/>
              <w:rPr>
                <w:sz w:val="18"/>
                <w:szCs w:val="18"/>
              </w:rPr>
            </w:pPr>
            <w:r w:rsidRPr="008833AE">
              <w:rPr>
                <w:sz w:val="18"/>
                <w:szCs w:val="18"/>
              </w:rPr>
              <w:t xml:space="preserve">3,613 </w:t>
            </w:r>
          </w:p>
        </w:tc>
        <w:tc>
          <w:tcPr>
            <w:tcW w:w="1179" w:type="dxa"/>
            <w:tcBorders>
              <w:top w:val="nil"/>
              <w:left w:val="nil"/>
              <w:bottom w:val="single" w:sz="4" w:space="0" w:color="auto"/>
              <w:right w:val="nil"/>
            </w:tcBorders>
            <w:vAlign w:val="center"/>
          </w:tcPr>
          <w:p w14:paraId="7360A2A7" w14:textId="1350B8AB" w:rsidR="00C37C07" w:rsidRPr="008833AE" w:rsidRDefault="00C37C07" w:rsidP="008833AE">
            <w:pPr>
              <w:spacing w:before="20" w:after="20"/>
              <w:ind w:left="-392" w:right="218"/>
              <w:jc w:val="right"/>
              <w:rPr>
                <w:sz w:val="18"/>
                <w:szCs w:val="18"/>
              </w:rPr>
            </w:pPr>
            <w:r w:rsidRPr="008833AE">
              <w:rPr>
                <w:sz w:val="18"/>
                <w:szCs w:val="18"/>
              </w:rPr>
              <w:t xml:space="preserve">3,306 </w:t>
            </w:r>
          </w:p>
        </w:tc>
        <w:tc>
          <w:tcPr>
            <w:tcW w:w="1179" w:type="dxa"/>
            <w:tcBorders>
              <w:top w:val="nil"/>
              <w:left w:val="nil"/>
              <w:bottom w:val="single" w:sz="4" w:space="0" w:color="auto"/>
              <w:right w:val="nil"/>
            </w:tcBorders>
            <w:vAlign w:val="center"/>
          </w:tcPr>
          <w:p w14:paraId="5D4CD208" w14:textId="31E82646" w:rsidR="00C37C07" w:rsidRPr="008833AE" w:rsidRDefault="00C37C07" w:rsidP="008833AE">
            <w:pPr>
              <w:spacing w:before="20" w:after="20"/>
              <w:ind w:left="-392" w:right="218"/>
              <w:jc w:val="right"/>
              <w:rPr>
                <w:sz w:val="18"/>
                <w:szCs w:val="18"/>
              </w:rPr>
            </w:pPr>
            <w:r w:rsidRPr="008833AE">
              <w:rPr>
                <w:sz w:val="18"/>
                <w:szCs w:val="18"/>
              </w:rPr>
              <w:t xml:space="preserve">3,049 </w:t>
            </w:r>
          </w:p>
        </w:tc>
        <w:tc>
          <w:tcPr>
            <w:tcW w:w="1179" w:type="dxa"/>
            <w:tcBorders>
              <w:top w:val="nil"/>
              <w:left w:val="nil"/>
              <w:bottom w:val="single" w:sz="4" w:space="0" w:color="auto"/>
              <w:right w:val="nil"/>
            </w:tcBorders>
            <w:vAlign w:val="center"/>
          </w:tcPr>
          <w:p w14:paraId="6722765D" w14:textId="54CA3104" w:rsidR="00C37C07" w:rsidRPr="008833AE" w:rsidRDefault="00C37C07" w:rsidP="008833AE">
            <w:pPr>
              <w:spacing w:before="20" w:after="20"/>
              <w:ind w:left="-392" w:right="218"/>
              <w:jc w:val="right"/>
              <w:rPr>
                <w:sz w:val="18"/>
                <w:szCs w:val="18"/>
              </w:rPr>
            </w:pPr>
            <w:r w:rsidRPr="008833AE">
              <w:rPr>
                <w:sz w:val="18"/>
                <w:szCs w:val="18"/>
              </w:rPr>
              <w:t xml:space="preserve">2,767 </w:t>
            </w:r>
          </w:p>
        </w:tc>
      </w:tr>
      <w:tr w:rsidR="008833AE" w:rsidRPr="008833AE" w14:paraId="3E0AA793" w14:textId="77777777" w:rsidTr="002F5437">
        <w:trPr>
          <w:trHeight w:val="61"/>
        </w:trPr>
        <w:tc>
          <w:tcPr>
            <w:tcW w:w="4960" w:type="dxa"/>
            <w:tcBorders>
              <w:top w:val="single" w:sz="4" w:space="0" w:color="auto"/>
              <w:left w:val="nil"/>
              <w:right w:val="nil"/>
            </w:tcBorders>
            <w:shd w:val="clear" w:color="000000" w:fill="FFFFFF"/>
            <w:vAlign w:val="center"/>
          </w:tcPr>
          <w:p w14:paraId="7271BFCA" w14:textId="77777777" w:rsidR="00C37C07" w:rsidRPr="008833AE" w:rsidRDefault="00C37C07" w:rsidP="00C37C07">
            <w:pPr>
              <w:spacing w:before="40" w:after="40"/>
              <w:rPr>
                <w:b/>
                <w:color w:val="00ABE6"/>
                <w:sz w:val="18"/>
                <w:szCs w:val="18"/>
              </w:rPr>
            </w:pPr>
            <w:r w:rsidRPr="008833AE">
              <w:rPr>
                <w:b/>
                <w:color w:val="00ABE6"/>
                <w:sz w:val="18"/>
                <w:szCs w:val="18"/>
              </w:rPr>
              <w:t>Total assets</w:t>
            </w:r>
          </w:p>
        </w:tc>
        <w:tc>
          <w:tcPr>
            <w:tcW w:w="1179" w:type="dxa"/>
            <w:tcBorders>
              <w:top w:val="single" w:sz="4" w:space="0" w:color="auto"/>
              <w:left w:val="nil"/>
              <w:right w:val="nil"/>
            </w:tcBorders>
            <w:shd w:val="clear" w:color="000000" w:fill="FFFFFF"/>
            <w:vAlign w:val="center"/>
          </w:tcPr>
          <w:p w14:paraId="10D7A90A" w14:textId="7AB593C6" w:rsidR="00C37C07" w:rsidRPr="008833AE" w:rsidRDefault="00C37C07" w:rsidP="008833AE">
            <w:pPr>
              <w:spacing w:before="20" w:after="20"/>
              <w:ind w:left="-392" w:right="218"/>
              <w:jc w:val="right"/>
              <w:rPr>
                <w:b/>
                <w:color w:val="00ABE6"/>
                <w:sz w:val="18"/>
                <w:szCs w:val="18"/>
              </w:rPr>
            </w:pPr>
            <w:r w:rsidRPr="008833AE">
              <w:rPr>
                <w:b/>
                <w:color w:val="00ABE6"/>
                <w:sz w:val="18"/>
                <w:szCs w:val="18"/>
              </w:rPr>
              <w:t xml:space="preserve">3,714 </w:t>
            </w:r>
          </w:p>
        </w:tc>
        <w:tc>
          <w:tcPr>
            <w:tcW w:w="1179" w:type="dxa"/>
            <w:tcBorders>
              <w:top w:val="single" w:sz="4" w:space="0" w:color="auto"/>
              <w:left w:val="nil"/>
              <w:right w:val="nil"/>
            </w:tcBorders>
            <w:shd w:val="clear" w:color="000000" w:fill="FFFFFF"/>
            <w:vAlign w:val="center"/>
          </w:tcPr>
          <w:p w14:paraId="3C7C9377" w14:textId="6088643D" w:rsidR="00C37C07" w:rsidRPr="008833AE" w:rsidRDefault="00C37C07" w:rsidP="008833AE">
            <w:pPr>
              <w:spacing w:before="20" w:after="20"/>
              <w:ind w:left="-392" w:right="218"/>
              <w:jc w:val="right"/>
              <w:rPr>
                <w:b/>
                <w:color w:val="00ABE6"/>
                <w:sz w:val="18"/>
                <w:szCs w:val="18"/>
              </w:rPr>
            </w:pPr>
            <w:r w:rsidRPr="008833AE">
              <w:rPr>
                <w:b/>
                <w:color w:val="00ABE6"/>
                <w:sz w:val="18"/>
                <w:szCs w:val="18"/>
              </w:rPr>
              <w:t xml:space="preserve">3,399 </w:t>
            </w:r>
          </w:p>
        </w:tc>
        <w:tc>
          <w:tcPr>
            <w:tcW w:w="1179" w:type="dxa"/>
            <w:tcBorders>
              <w:top w:val="single" w:sz="4" w:space="0" w:color="auto"/>
              <w:left w:val="nil"/>
              <w:right w:val="nil"/>
            </w:tcBorders>
            <w:shd w:val="clear" w:color="000000" w:fill="FFFFFF"/>
            <w:vAlign w:val="center"/>
          </w:tcPr>
          <w:p w14:paraId="123203DD" w14:textId="4F0D3725" w:rsidR="00C37C07" w:rsidRPr="008833AE" w:rsidRDefault="00C37C07" w:rsidP="008833AE">
            <w:pPr>
              <w:spacing w:before="20" w:after="20"/>
              <w:ind w:left="-392" w:right="218"/>
              <w:jc w:val="right"/>
              <w:rPr>
                <w:b/>
                <w:color w:val="00ABE6"/>
                <w:sz w:val="18"/>
                <w:szCs w:val="18"/>
              </w:rPr>
            </w:pPr>
            <w:r w:rsidRPr="008833AE">
              <w:rPr>
                <w:b/>
                <w:color w:val="00ABE6"/>
                <w:sz w:val="18"/>
                <w:szCs w:val="18"/>
              </w:rPr>
              <w:t xml:space="preserve">3,129 </w:t>
            </w:r>
          </w:p>
        </w:tc>
        <w:tc>
          <w:tcPr>
            <w:tcW w:w="1179" w:type="dxa"/>
            <w:tcBorders>
              <w:top w:val="single" w:sz="4" w:space="0" w:color="auto"/>
              <w:left w:val="nil"/>
              <w:right w:val="nil"/>
            </w:tcBorders>
            <w:shd w:val="clear" w:color="000000" w:fill="FFFFFF"/>
            <w:vAlign w:val="center"/>
          </w:tcPr>
          <w:p w14:paraId="23CB01A4" w14:textId="0912AC92" w:rsidR="00C37C07" w:rsidRPr="008833AE" w:rsidRDefault="00C37C07" w:rsidP="008833AE">
            <w:pPr>
              <w:spacing w:before="20" w:after="20"/>
              <w:ind w:left="-392" w:right="218"/>
              <w:jc w:val="right"/>
              <w:rPr>
                <w:b/>
                <w:color w:val="00ABE6"/>
                <w:sz w:val="18"/>
                <w:szCs w:val="18"/>
              </w:rPr>
            </w:pPr>
            <w:r w:rsidRPr="008833AE">
              <w:rPr>
                <w:b/>
                <w:color w:val="00ABE6"/>
                <w:sz w:val="18"/>
                <w:szCs w:val="18"/>
              </w:rPr>
              <w:t xml:space="preserve">2,831 </w:t>
            </w:r>
          </w:p>
        </w:tc>
      </w:tr>
      <w:tr w:rsidR="00B15525" w:rsidRPr="008833AE" w14:paraId="4B95A603" w14:textId="77777777" w:rsidTr="002F5437">
        <w:trPr>
          <w:trHeight w:val="61"/>
        </w:trPr>
        <w:tc>
          <w:tcPr>
            <w:tcW w:w="4960" w:type="dxa"/>
            <w:tcBorders>
              <w:left w:val="nil"/>
              <w:bottom w:val="single" w:sz="4" w:space="0" w:color="auto"/>
              <w:right w:val="nil"/>
            </w:tcBorders>
            <w:shd w:val="clear" w:color="000000" w:fill="FFFFFF"/>
            <w:vAlign w:val="center"/>
          </w:tcPr>
          <w:p w14:paraId="1ADD49A0" w14:textId="5365FDA0" w:rsidR="00B15525" w:rsidRPr="008833AE" w:rsidRDefault="00B15525" w:rsidP="00B15525">
            <w:pPr>
              <w:spacing w:before="40" w:after="40"/>
              <w:rPr>
                <w:sz w:val="18"/>
                <w:szCs w:val="18"/>
              </w:rPr>
            </w:pPr>
            <w:r w:rsidRPr="008833AE">
              <w:rPr>
                <w:sz w:val="18"/>
                <w:szCs w:val="18"/>
              </w:rPr>
              <w:t>Borrowings at amortised cost</w:t>
            </w:r>
          </w:p>
        </w:tc>
        <w:tc>
          <w:tcPr>
            <w:tcW w:w="1179" w:type="dxa"/>
            <w:tcBorders>
              <w:left w:val="nil"/>
              <w:bottom w:val="single" w:sz="4" w:space="0" w:color="auto"/>
              <w:right w:val="nil"/>
            </w:tcBorders>
            <w:shd w:val="clear" w:color="000000" w:fill="FFFFFF"/>
            <w:vAlign w:val="center"/>
          </w:tcPr>
          <w:p w14:paraId="365E493B" w14:textId="4C075BAC" w:rsidR="00B15525" w:rsidRPr="008833AE" w:rsidRDefault="00B15525" w:rsidP="008833AE">
            <w:pPr>
              <w:spacing w:before="20" w:after="20"/>
              <w:ind w:left="-392" w:right="218"/>
              <w:jc w:val="right"/>
              <w:rPr>
                <w:sz w:val="18"/>
                <w:szCs w:val="18"/>
              </w:rPr>
            </w:pPr>
            <w:r w:rsidRPr="008833AE">
              <w:rPr>
                <w:sz w:val="18"/>
                <w:szCs w:val="18"/>
              </w:rPr>
              <w:t xml:space="preserve">3,830 </w:t>
            </w:r>
          </w:p>
        </w:tc>
        <w:tc>
          <w:tcPr>
            <w:tcW w:w="1179" w:type="dxa"/>
            <w:tcBorders>
              <w:left w:val="nil"/>
              <w:bottom w:val="single" w:sz="4" w:space="0" w:color="auto"/>
              <w:right w:val="nil"/>
            </w:tcBorders>
            <w:shd w:val="clear" w:color="000000" w:fill="FFFFFF"/>
            <w:vAlign w:val="center"/>
          </w:tcPr>
          <w:p w14:paraId="5A2C288F" w14:textId="5154B0BF" w:rsidR="00B15525" w:rsidRPr="008833AE" w:rsidRDefault="00B15525" w:rsidP="008833AE">
            <w:pPr>
              <w:spacing w:before="20" w:after="20"/>
              <w:ind w:left="-392" w:right="218"/>
              <w:jc w:val="right"/>
              <w:rPr>
                <w:sz w:val="18"/>
                <w:szCs w:val="18"/>
              </w:rPr>
            </w:pPr>
            <w:r w:rsidRPr="008833AE">
              <w:rPr>
                <w:sz w:val="18"/>
                <w:szCs w:val="18"/>
              </w:rPr>
              <w:t xml:space="preserve">3,612 </w:t>
            </w:r>
          </w:p>
        </w:tc>
        <w:tc>
          <w:tcPr>
            <w:tcW w:w="1179" w:type="dxa"/>
            <w:tcBorders>
              <w:left w:val="nil"/>
              <w:bottom w:val="single" w:sz="4" w:space="0" w:color="auto"/>
              <w:right w:val="nil"/>
            </w:tcBorders>
            <w:shd w:val="clear" w:color="000000" w:fill="FFFFFF"/>
            <w:vAlign w:val="center"/>
          </w:tcPr>
          <w:p w14:paraId="6B1CE4C4" w14:textId="390D725E" w:rsidR="00B15525" w:rsidRPr="008833AE" w:rsidRDefault="00B15525" w:rsidP="008833AE">
            <w:pPr>
              <w:spacing w:before="20" w:after="20"/>
              <w:ind w:left="-392" w:right="218"/>
              <w:jc w:val="right"/>
              <w:rPr>
                <w:sz w:val="18"/>
                <w:szCs w:val="18"/>
              </w:rPr>
            </w:pPr>
            <w:r w:rsidRPr="008833AE">
              <w:rPr>
                <w:sz w:val="18"/>
                <w:szCs w:val="18"/>
              </w:rPr>
              <w:t xml:space="preserve">3,428 </w:t>
            </w:r>
          </w:p>
        </w:tc>
        <w:tc>
          <w:tcPr>
            <w:tcW w:w="1179" w:type="dxa"/>
            <w:tcBorders>
              <w:left w:val="nil"/>
              <w:bottom w:val="single" w:sz="4" w:space="0" w:color="auto"/>
              <w:right w:val="nil"/>
            </w:tcBorders>
            <w:shd w:val="clear" w:color="000000" w:fill="FFFFFF"/>
            <w:vAlign w:val="center"/>
          </w:tcPr>
          <w:p w14:paraId="4E8125D8" w14:textId="53E957F7" w:rsidR="00B15525" w:rsidRPr="008833AE" w:rsidRDefault="00B15525" w:rsidP="008833AE">
            <w:pPr>
              <w:spacing w:before="20" w:after="20"/>
              <w:ind w:left="-392" w:right="218"/>
              <w:jc w:val="right"/>
              <w:rPr>
                <w:sz w:val="18"/>
                <w:szCs w:val="18"/>
              </w:rPr>
            </w:pPr>
            <w:r w:rsidRPr="008833AE">
              <w:rPr>
                <w:sz w:val="18"/>
                <w:szCs w:val="18"/>
              </w:rPr>
              <w:t xml:space="preserve">3,194 </w:t>
            </w:r>
          </w:p>
        </w:tc>
      </w:tr>
      <w:tr w:rsidR="008833AE" w:rsidRPr="008833AE" w14:paraId="5C3DB4DF" w14:textId="77777777" w:rsidTr="002F5437">
        <w:trPr>
          <w:trHeight w:val="340"/>
        </w:trPr>
        <w:tc>
          <w:tcPr>
            <w:tcW w:w="4960" w:type="dxa"/>
            <w:tcBorders>
              <w:top w:val="single" w:sz="4" w:space="0" w:color="auto"/>
              <w:left w:val="nil"/>
              <w:bottom w:val="single" w:sz="4" w:space="0" w:color="auto"/>
              <w:right w:val="nil"/>
            </w:tcBorders>
            <w:shd w:val="clear" w:color="000000" w:fill="FFFFFF"/>
            <w:vAlign w:val="center"/>
          </w:tcPr>
          <w:p w14:paraId="39CB98AE" w14:textId="77777777" w:rsidR="00B15525" w:rsidRPr="008833AE" w:rsidRDefault="00B15525" w:rsidP="00B15525">
            <w:pPr>
              <w:spacing w:before="40" w:after="40"/>
              <w:rPr>
                <w:b/>
                <w:color w:val="00ABE6"/>
                <w:sz w:val="18"/>
                <w:szCs w:val="18"/>
              </w:rPr>
            </w:pPr>
            <w:r w:rsidRPr="008833AE">
              <w:rPr>
                <w:b/>
                <w:color w:val="00ABE6"/>
                <w:sz w:val="18"/>
                <w:szCs w:val="18"/>
              </w:rPr>
              <w:t>Total liabilities</w:t>
            </w:r>
          </w:p>
        </w:tc>
        <w:tc>
          <w:tcPr>
            <w:tcW w:w="1179" w:type="dxa"/>
            <w:tcBorders>
              <w:top w:val="single" w:sz="4" w:space="0" w:color="auto"/>
              <w:left w:val="nil"/>
              <w:bottom w:val="single" w:sz="4" w:space="0" w:color="auto"/>
              <w:right w:val="nil"/>
            </w:tcBorders>
            <w:shd w:val="clear" w:color="000000" w:fill="FFFFFF"/>
            <w:vAlign w:val="center"/>
          </w:tcPr>
          <w:p w14:paraId="52AD22BA" w14:textId="39E07413" w:rsidR="00B15525" w:rsidRPr="008833AE" w:rsidRDefault="00B15525" w:rsidP="008833AE">
            <w:pPr>
              <w:spacing w:before="20" w:after="20"/>
              <w:ind w:left="-392" w:right="218"/>
              <w:jc w:val="right"/>
              <w:rPr>
                <w:b/>
                <w:color w:val="00ABE6"/>
                <w:sz w:val="18"/>
                <w:szCs w:val="18"/>
              </w:rPr>
            </w:pPr>
            <w:r w:rsidRPr="008833AE">
              <w:rPr>
                <w:b/>
                <w:color w:val="00ABE6"/>
                <w:sz w:val="18"/>
                <w:szCs w:val="18"/>
              </w:rPr>
              <w:t xml:space="preserve">3,830 </w:t>
            </w:r>
          </w:p>
        </w:tc>
        <w:tc>
          <w:tcPr>
            <w:tcW w:w="1179" w:type="dxa"/>
            <w:tcBorders>
              <w:top w:val="single" w:sz="4" w:space="0" w:color="auto"/>
              <w:left w:val="nil"/>
              <w:bottom w:val="single" w:sz="4" w:space="0" w:color="auto"/>
              <w:right w:val="nil"/>
            </w:tcBorders>
            <w:shd w:val="clear" w:color="000000" w:fill="FFFFFF"/>
            <w:vAlign w:val="center"/>
          </w:tcPr>
          <w:p w14:paraId="571A1967" w14:textId="72D1D278" w:rsidR="00B15525" w:rsidRPr="008833AE" w:rsidRDefault="00B15525" w:rsidP="008833AE">
            <w:pPr>
              <w:spacing w:before="20" w:after="20"/>
              <w:ind w:left="-392" w:right="218"/>
              <w:jc w:val="right"/>
              <w:rPr>
                <w:b/>
                <w:color w:val="00ABE6"/>
                <w:sz w:val="18"/>
                <w:szCs w:val="18"/>
              </w:rPr>
            </w:pPr>
            <w:r w:rsidRPr="008833AE">
              <w:rPr>
                <w:b/>
                <w:color w:val="00ABE6"/>
                <w:sz w:val="18"/>
                <w:szCs w:val="18"/>
              </w:rPr>
              <w:t xml:space="preserve">3,612 </w:t>
            </w:r>
          </w:p>
        </w:tc>
        <w:tc>
          <w:tcPr>
            <w:tcW w:w="1179" w:type="dxa"/>
            <w:tcBorders>
              <w:top w:val="single" w:sz="4" w:space="0" w:color="auto"/>
              <w:left w:val="nil"/>
              <w:bottom w:val="single" w:sz="4" w:space="0" w:color="auto"/>
              <w:right w:val="nil"/>
            </w:tcBorders>
            <w:shd w:val="clear" w:color="000000" w:fill="FFFFFF"/>
            <w:vAlign w:val="center"/>
          </w:tcPr>
          <w:p w14:paraId="1F4D6A79" w14:textId="76843010" w:rsidR="00B15525" w:rsidRPr="008833AE" w:rsidRDefault="00B15525" w:rsidP="008833AE">
            <w:pPr>
              <w:spacing w:before="20" w:after="20"/>
              <w:ind w:left="-392" w:right="218"/>
              <w:jc w:val="right"/>
              <w:rPr>
                <w:b/>
                <w:color w:val="00ABE6"/>
                <w:sz w:val="18"/>
                <w:szCs w:val="18"/>
              </w:rPr>
            </w:pPr>
            <w:r w:rsidRPr="008833AE">
              <w:rPr>
                <w:b/>
                <w:color w:val="00ABE6"/>
                <w:sz w:val="18"/>
                <w:szCs w:val="18"/>
              </w:rPr>
              <w:t xml:space="preserve">3,428 </w:t>
            </w:r>
          </w:p>
        </w:tc>
        <w:tc>
          <w:tcPr>
            <w:tcW w:w="1179" w:type="dxa"/>
            <w:tcBorders>
              <w:top w:val="single" w:sz="4" w:space="0" w:color="auto"/>
              <w:left w:val="nil"/>
              <w:bottom w:val="single" w:sz="4" w:space="0" w:color="auto"/>
              <w:right w:val="nil"/>
            </w:tcBorders>
            <w:shd w:val="clear" w:color="000000" w:fill="FFFFFF"/>
            <w:vAlign w:val="center"/>
          </w:tcPr>
          <w:p w14:paraId="77FA6691" w14:textId="4834DA5C" w:rsidR="00B15525" w:rsidRPr="008833AE" w:rsidRDefault="00B15525" w:rsidP="008833AE">
            <w:pPr>
              <w:spacing w:before="20" w:after="20"/>
              <w:ind w:left="-392" w:right="218"/>
              <w:jc w:val="right"/>
              <w:rPr>
                <w:b/>
                <w:color w:val="00ABE6"/>
                <w:sz w:val="18"/>
                <w:szCs w:val="18"/>
              </w:rPr>
            </w:pPr>
            <w:r w:rsidRPr="008833AE">
              <w:rPr>
                <w:b/>
                <w:color w:val="00ABE6"/>
                <w:sz w:val="18"/>
                <w:szCs w:val="18"/>
              </w:rPr>
              <w:t xml:space="preserve">3,194 </w:t>
            </w:r>
          </w:p>
        </w:tc>
      </w:tr>
      <w:tr w:rsidR="008833AE" w:rsidRPr="008833AE" w14:paraId="2B530CFB" w14:textId="77777777" w:rsidTr="002F5437">
        <w:trPr>
          <w:trHeight w:val="42"/>
        </w:trPr>
        <w:tc>
          <w:tcPr>
            <w:tcW w:w="4960" w:type="dxa"/>
            <w:tcBorders>
              <w:top w:val="single" w:sz="4" w:space="0" w:color="auto"/>
              <w:left w:val="nil"/>
              <w:right w:val="nil"/>
            </w:tcBorders>
            <w:shd w:val="clear" w:color="000000" w:fill="FFFFFF"/>
            <w:vAlign w:val="center"/>
          </w:tcPr>
          <w:p w14:paraId="4650B3F1" w14:textId="77777777" w:rsidR="00C37C07" w:rsidRPr="008833AE" w:rsidRDefault="00C37C07" w:rsidP="00C37C07">
            <w:pPr>
              <w:spacing w:before="40" w:after="40"/>
              <w:rPr>
                <w:b/>
                <w:color w:val="00ABE6"/>
                <w:sz w:val="18"/>
                <w:szCs w:val="18"/>
              </w:rPr>
            </w:pPr>
            <w:r w:rsidRPr="008833AE">
              <w:rPr>
                <w:b/>
                <w:color w:val="00ABE6"/>
                <w:sz w:val="18"/>
                <w:szCs w:val="18"/>
              </w:rPr>
              <w:t>Net worth</w:t>
            </w:r>
          </w:p>
        </w:tc>
        <w:tc>
          <w:tcPr>
            <w:tcW w:w="1179" w:type="dxa"/>
            <w:tcBorders>
              <w:top w:val="single" w:sz="4" w:space="0" w:color="auto"/>
              <w:left w:val="nil"/>
              <w:right w:val="nil"/>
            </w:tcBorders>
            <w:shd w:val="clear" w:color="000000" w:fill="FFFFFF"/>
            <w:vAlign w:val="center"/>
          </w:tcPr>
          <w:p w14:paraId="2113F1BB" w14:textId="29224637" w:rsidR="00C37C07" w:rsidRPr="008833AE" w:rsidRDefault="00C37C07" w:rsidP="008833AE">
            <w:pPr>
              <w:spacing w:before="20" w:after="20"/>
              <w:ind w:left="-392" w:right="218"/>
              <w:jc w:val="right"/>
              <w:rPr>
                <w:b/>
                <w:color w:val="00ABE6"/>
                <w:sz w:val="18"/>
                <w:szCs w:val="18"/>
              </w:rPr>
            </w:pPr>
            <w:r w:rsidRPr="008833AE">
              <w:rPr>
                <w:b/>
                <w:color w:val="00ABE6"/>
                <w:sz w:val="18"/>
                <w:szCs w:val="18"/>
              </w:rPr>
              <w:t>(116)</w:t>
            </w:r>
          </w:p>
        </w:tc>
        <w:tc>
          <w:tcPr>
            <w:tcW w:w="1179" w:type="dxa"/>
            <w:tcBorders>
              <w:top w:val="single" w:sz="4" w:space="0" w:color="auto"/>
              <w:left w:val="nil"/>
              <w:right w:val="nil"/>
            </w:tcBorders>
            <w:shd w:val="clear" w:color="000000" w:fill="FFFFFF"/>
            <w:vAlign w:val="center"/>
          </w:tcPr>
          <w:p w14:paraId="152D49DC" w14:textId="62057271" w:rsidR="00C37C07" w:rsidRPr="008833AE" w:rsidRDefault="00C37C07" w:rsidP="008833AE">
            <w:pPr>
              <w:spacing w:before="20" w:after="20"/>
              <w:ind w:left="-392" w:right="218"/>
              <w:jc w:val="right"/>
              <w:rPr>
                <w:b/>
                <w:color w:val="00ABE6"/>
                <w:sz w:val="18"/>
                <w:szCs w:val="18"/>
              </w:rPr>
            </w:pPr>
            <w:r w:rsidRPr="008833AE">
              <w:rPr>
                <w:b/>
                <w:color w:val="00ABE6"/>
                <w:sz w:val="18"/>
                <w:szCs w:val="18"/>
              </w:rPr>
              <w:t>(214)</w:t>
            </w:r>
          </w:p>
        </w:tc>
        <w:tc>
          <w:tcPr>
            <w:tcW w:w="1179" w:type="dxa"/>
            <w:tcBorders>
              <w:top w:val="single" w:sz="4" w:space="0" w:color="auto"/>
              <w:left w:val="nil"/>
              <w:right w:val="nil"/>
            </w:tcBorders>
            <w:shd w:val="clear" w:color="000000" w:fill="FFFFFF"/>
            <w:vAlign w:val="center"/>
          </w:tcPr>
          <w:p w14:paraId="057735DF" w14:textId="6A8B81B6" w:rsidR="00C37C07" w:rsidRPr="008833AE" w:rsidRDefault="00C37C07" w:rsidP="008833AE">
            <w:pPr>
              <w:spacing w:before="20" w:after="20"/>
              <w:ind w:left="-392" w:right="218"/>
              <w:jc w:val="right"/>
              <w:rPr>
                <w:b/>
                <w:color w:val="00ABE6"/>
                <w:sz w:val="18"/>
                <w:szCs w:val="18"/>
              </w:rPr>
            </w:pPr>
            <w:r w:rsidRPr="008833AE">
              <w:rPr>
                <w:b/>
                <w:color w:val="00ABE6"/>
                <w:sz w:val="18"/>
                <w:szCs w:val="18"/>
              </w:rPr>
              <w:t>(299)</w:t>
            </w:r>
          </w:p>
        </w:tc>
        <w:tc>
          <w:tcPr>
            <w:tcW w:w="1179" w:type="dxa"/>
            <w:tcBorders>
              <w:top w:val="single" w:sz="4" w:space="0" w:color="auto"/>
              <w:left w:val="nil"/>
              <w:right w:val="nil"/>
            </w:tcBorders>
            <w:shd w:val="clear" w:color="000000" w:fill="FFFFFF"/>
            <w:vAlign w:val="center"/>
          </w:tcPr>
          <w:p w14:paraId="495A6149" w14:textId="57F7F18E" w:rsidR="00C37C07" w:rsidRPr="008833AE" w:rsidRDefault="00C37C07" w:rsidP="008833AE">
            <w:pPr>
              <w:spacing w:before="20" w:after="20"/>
              <w:ind w:left="-392" w:right="218"/>
              <w:jc w:val="right"/>
              <w:rPr>
                <w:b/>
                <w:color w:val="00ABE6"/>
                <w:sz w:val="18"/>
                <w:szCs w:val="18"/>
              </w:rPr>
            </w:pPr>
            <w:r w:rsidRPr="008833AE">
              <w:rPr>
                <w:b/>
                <w:color w:val="00ABE6"/>
                <w:sz w:val="18"/>
                <w:szCs w:val="18"/>
              </w:rPr>
              <w:t>(364)</w:t>
            </w:r>
          </w:p>
        </w:tc>
      </w:tr>
      <w:tr w:rsidR="00C37C07" w:rsidRPr="008833AE" w14:paraId="37303FAD" w14:textId="77777777" w:rsidTr="002F5437">
        <w:trPr>
          <w:trHeight w:val="42"/>
        </w:trPr>
        <w:tc>
          <w:tcPr>
            <w:tcW w:w="4960" w:type="dxa"/>
            <w:tcBorders>
              <w:left w:val="nil"/>
              <w:right w:val="nil"/>
            </w:tcBorders>
            <w:shd w:val="clear" w:color="000000" w:fill="FFFFFF"/>
            <w:vAlign w:val="center"/>
          </w:tcPr>
          <w:p w14:paraId="77751F40" w14:textId="4B2D1042" w:rsidR="00C37C07" w:rsidRPr="008833AE" w:rsidRDefault="00C37C07" w:rsidP="00C37C07">
            <w:pPr>
              <w:spacing w:before="40" w:after="40"/>
              <w:rPr>
                <w:sz w:val="18"/>
                <w:szCs w:val="18"/>
              </w:rPr>
            </w:pPr>
            <w:r w:rsidRPr="008833AE">
              <w:rPr>
                <w:sz w:val="18"/>
                <w:szCs w:val="18"/>
              </w:rPr>
              <w:t>Accumulated funds</w:t>
            </w:r>
          </w:p>
        </w:tc>
        <w:tc>
          <w:tcPr>
            <w:tcW w:w="1179" w:type="dxa"/>
            <w:tcBorders>
              <w:left w:val="nil"/>
              <w:right w:val="nil"/>
            </w:tcBorders>
            <w:shd w:val="clear" w:color="000000" w:fill="FFFFFF"/>
            <w:vAlign w:val="center"/>
          </w:tcPr>
          <w:p w14:paraId="633CBF67" w14:textId="765E2D9E" w:rsidR="00C37C07" w:rsidRPr="008833AE" w:rsidRDefault="00C37C07" w:rsidP="008833AE">
            <w:pPr>
              <w:spacing w:before="20" w:after="20"/>
              <w:ind w:left="-392" w:right="218"/>
              <w:jc w:val="right"/>
              <w:rPr>
                <w:sz w:val="18"/>
                <w:szCs w:val="18"/>
              </w:rPr>
            </w:pPr>
            <w:r w:rsidRPr="008833AE">
              <w:rPr>
                <w:sz w:val="18"/>
                <w:szCs w:val="18"/>
              </w:rPr>
              <w:t>(116)</w:t>
            </w:r>
          </w:p>
        </w:tc>
        <w:tc>
          <w:tcPr>
            <w:tcW w:w="1179" w:type="dxa"/>
            <w:tcBorders>
              <w:left w:val="nil"/>
              <w:right w:val="nil"/>
            </w:tcBorders>
            <w:shd w:val="clear" w:color="000000" w:fill="FFFFFF"/>
            <w:vAlign w:val="center"/>
          </w:tcPr>
          <w:p w14:paraId="2C87B4A7" w14:textId="7340B469" w:rsidR="00C37C07" w:rsidRPr="008833AE" w:rsidRDefault="00C37C07" w:rsidP="008833AE">
            <w:pPr>
              <w:spacing w:before="20" w:after="20"/>
              <w:ind w:left="-392" w:right="218"/>
              <w:jc w:val="right"/>
              <w:rPr>
                <w:sz w:val="18"/>
                <w:szCs w:val="18"/>
              </w:rPr>
            </w:pPr>
            <w:r w:rsidRPr="008833AE">
              <w:rPr>
                <w:sz w:val="18"/>
                <w:szCs w:val="18"/>
              </w:rPr>
              <w:t>(214)</w:t>
            </w:r>
          </w:p>
        </w:tc>
        <w:tc>
          <w:tcPr>
            <w:tcW w:w="1179" w:type="dxa"/>
            <w:tcBorders>
              <w:left w:val="nil"/>
              <w:right w:val="nil"/>
            </w:tcBorders>
            <w:shd w:val="clear" w:color="000000" w:fill="FFFFFF"/>
            <w:vAlign w:val="center"/>
          </w:tcPr>
          <w:p w14:paraId="6D2A2329" w14:textId="467FEF86" w:rsidR="00C37C07" w:rsidRPr="008833AE" w:rsidRDefault="00C37C07" w:rsidP="008833AE">
            <w:pPr>
              <w:spacing w:before="20" w:after="20"/>
              <w:ind w:left="-392" w:right="218"/>
              <w:jc w:val="right"/>
              <w:rPr>
                <w:sz w:val="18"/>
                <w:szCs w:val="18"/>
              </w:rPr>
            </w:pPr>
            <w:r w:rsidRPr="008833AE">
              <w:rPr>
                <w:sz w:val="18"/>
                <w:szCs w:val="18"/>
              </w:rPr>
              <w:t>(299)</w:t>
            </w:r>
          </w:p>
        </w:tc>
        <w:tc>
          <w:tcPr>
            <w:tcW w:w="1179" w:type="dxa"/>
            <w:tcBorders>
              <w:left w:val="nil"/>
              <w:right w:val="nil"/>
            </w:tcBorders>
            <w:shd w:val="clear" w:color="000000" w:fill="FFFFFF"/>
            <w:vAlign w:val="center"/>
          </w:tcPr>
          <w:p w14:paraId="0493DA74" w14:textId="7B0B5D8F" w:rsidR="00C37C07" w:rsidRPr="008833AE" w:rsidRDefault="00C37C07" w:rsidP="008833AE">
            <w:pPr>
              <w:spacing w:before="20" w:after="20"/>
              <w:ind w:left="-392" w:right="218"/>
              <w:jc w:val="right"/>
              <w:rPr>
                <w:sz w:val="18"/>
                <w:szCs w:val="18"/>
              </w:rPr>
            </w:pPr>
            <w:r w:rsidRPr="008833AE">
              <w:rPr>
                <w:sz w:val="18"/>
                <w:szCs w:val="18"/>
              </w:rPr>
              <w:t>(364)</w:t>
            </w:r>
          </w:p>
        </w:tc>
      </w:tr>
    </w:tbl>
    <w:p w14:paraId="688842E4" w14:textId="563B9C6C" w:rsidR="00F465B8" w:rsidRPr="008833AE" w:rsidRDefault="00491F5D" w:rsidP="00AD1127">
      <w:pPr>
        <w:pStyle w:val="BodyText"/>
      </w:pPr>
      <w:r w:rsidRPr="008833AE">
        <w:t xml:space="preserve">The State </w:t>
      </w:r>
      <w:r w:rsidR="00F70CFA" w:rsidRPr="008833AE">
        <w:t>plans to</w:t>
      </w:r>
      <w:r w:rsidR="006B2130" w:rsidRPr="008833AE">
        <w:t xml:space="preserve"> adopt the full retrospective </w:t>
      </w:r>
      <w:r w:rsidR="00EF7489" w:rsidRPr="008833AE">
        <w:t xml:space="preserve">approach </w:t>
      </w:r>
      <w:r w:rsidR="002F4BAE" w:rsidRPr="008833AE">
        <w:t>option in transitioning to</w:t>
      </w:r>
      <w:r w:rsidR="006B2130" w:rsidRPr="008833AE">
        <w:t xml:space="preserve"> AASB 15 and AASB 1058</w:t>
      </w:r>
      <w:r w:rsidR="002F4BAE" w:rsidRPr="008833AE">
        <w:t>. This</w:t>
      </w:r>
      <w:r w:rsidR="00E472E9" w:rsidRPr="008833AE">
        <w:t xml:space="preserve"> requires the </w:t>
      </w:r>
      <w:r w:rsidR="002D4920" w:rsidRPr="008833AE">
        <w:t xml:space="preserve">restatement of </w:t>
      </w:r>
      <w:r w:rsidR="009638E1" w:rsidRPr="008833AE">
        <w:t xml:space="preserve">all </w:t>
      </w:r>
      <w:r w:rsidR="002D4920" w:rsidRPr="008833AE">
        <w:t xml:space="preserve">comparative years presented </w:t>
      </w:r>
      <w:r w:rsidR="007636FF" w:rsidRPr="008833AE">
        <w:t xml:space="preserve">as if AASB 15 and AASB 1058 </w:t>
      </w:r>
      <w:r w:rsidR="00687414" w:rsidRPr="008833AE">
        <w:t xml:space="preserve">have always been </w:t>
      </w:r>
      <w:r w:rsidR="007636FF" w:rsidRPr="008833AE">
        <w:t>applied</w:t>
      </w:r>
      <w:r w:rsidR="00704A63" w:rsidRPr="008833AE">
        <w:t xml:space="preserve"> </w:t>
      </w:r>
      <w:r w:rsidR="000E60D8" w:rsidRPr="008833AE">
        <w:t>for the comparative years presented</w:t>
      </w:r>
      <w:r w:rsidR="007636FF" w:rsidRPr="008833AE">
        <w:t>. For AASB 16</w:t>
      </w:r>
      <w:r w:rsidR="00BC3458" w:rsidRPr="008833AE">
        <w:t xml:space="preserve">, the State plans to adopt </w:t>
      </w:r>
      <w:r w:rsidR="006B2130" w:rsidRPr="008833AE">
        <w:t xml:space="preserve">the </w:t>
      </w:r>
      <w:r w:rsidR="00A632BF" w:rsidRPr="008833AE">
        <w:t>modified</w:t>
      </w:r>
      <w:r w:rsidR="006B2130" w:rsidRPr="008833AE">
        <w:t xml:space="preserve"> retrospective approach</w:t>
      </w:r>
      <w:r w:rsidR="00BC3458" w:rsidRPr="008833AE">
        <w:t xml:space="preserve"> option</w:t>
      </w:r>
      <w:r w:rsidR="002D4920" w:rsidRPr="008833AE">
        <w:t xml:space="preserve">, </w:t>
      </w:r>
      <w:r w:rsidR="00911EBE" w:rsidRPr="008833AE">
        <w:t>under which compar</w:t>
      </w:r>
      <w:r w:rsidR="0037731C" w:rsidRPr="008833AE">
        <w:t>ative years are not restated for AASB 16. Instead, the modified retrospective approach</w:t>
      </w:r>
      <w:r w:rsidR="002D4920" w:rsidRPr="008833AE">
        <w:t xml:space="preserve"> </w:t>
      </w:r>
      <w:r w:rsidR="003F69D3" w:rsidRPr="008833AE">
        <w:t xml:space="preserve">requires the </w:t>
      </w:r>
      <w:r w:rsidR="0037731C" w:rsidRPr="008833AE">
        <w:t xml:space="preserve">impact </w:t>
      </w:r>
      <w:r w:rsidR="003F69D3" w:rsidRPr="008833AE">
        <w:t>of prior period</w:t>
      </w:r>
      <w:r w:rsidR="00616BBC" w:rsidRPr="008833AE">
        <w:t>s</w:t>
      </w:r>
      <w:r w:rsidR="00DB7776" w:rsidRPr="008833AE">
        <w:t xml:space="preserve"> to be presented</w:t>
      </w:r>
      <w:r w:rsidR="00B53192" w:rsidRPr="008833AE">
        <w:t xml:space="preserve"> only</w:t>
      </w:r>
      <w:r w:rsidR="00DB7776" w:rsidRPr="008833AE">
        <w:t xml:space="preserve"> in the opening balance of accumulated funds</w:t>
      </w:r>
      <w:r w:rsidR="007C0E7F" w:rsidRPr="008833AE">
        <w:t xml:space="preserve"> of the transition year</w:t>
      </w:r>
      <w:r w:rsidR="006B2130" w:rsidRPr="008833AE">
        <w:t>.</w:t>
      </w:r>
      <w:r w:rsidR="00E472E9" w:rsidRPr="008833AE">
        <w:t xml:space="preserve">  </w:t>
      </w:r>
      <w:r w:rsidR="00350019" w:rsidRPr="008833AE">
        <w:t>F</w:t>
      </w:r>
      <w:r w:rsidR="00DB7776" w:rsidRPr="008833AE">
        <w:t xml:space="preserve">or the purposes of the Estimated Financial Statements, </w:t>
      </w:r>
      <w:r w:rsidR="005D7180" w:rsidRPr="008833AE">
        <w:t>the State has present</w:t>
      </w:r>
      <w:r w:rsidR="00350019" w:rsidRPr="008833AE">
        <w:t>ed</w:t>
      </w:r>
      <w:r w:rsidR="005D7180" w:rsidRPr="008833AE">
        <w:t xml:space="preserve"> the impact of </w:t>
      </w:r>
      <w:r w:rsidR="00994AA3" w:rsidRPr="008833AE">
        <w:t xml:space="preserve">adopting </w:t>
      </w:r>
      <w:r w:rsidR="005D7180" w:rsidRPr="008833AE">
        <w:t>the new standards only to the opening</w:t>
      </w:r>
      <w:r w:rsidR="005319E1" w:rsidRPr="008833AE">
        <w:t xml:space="preserve"> balance</w:t>
      </w:r>
      <w:r w:rsidR="00E472E9" w:rsidRPr="008833AE">
        <w:t xml:space="preserve"> </w:t>
      </w:r>
      <w:r w:rsidR="005319E1" w:rsidRPr="008833AE">
        <w:t xml:space="preserve">of the accumulated funds </w:t>
      </w:r>
      <w:r w:rsidR="009638E1" w:rsidRPr="008833AE">
        <w:t xml:space="preserve">of the budget year </w:t>
      </w:r>
      <w:r w:rsidR="00FD019C" w:rsidRPr="008833AE">
        <w:t>20</w:t>
      </w:r>
      <w:r w:rsidR="009638E1" w:rsidRPr="008833AE">
        <w:t>19-20</w:t>
      </w:r>
      <w:r w:rsidR="000C7DDE" w:rsidRPr="008833AE">
        <w:t>, which is also the transition year</w:t>
      </w:r>
      <w:r w:rsidR="009638E1" w:rsidRPr="008833AE">
        <w:t xml:space="preserve">. </w:t>
      </w:r>
      <w:r w:rsidR="00C6634E" w:rsidRPr="008833AE">
        <w:t xml:space="preserve">The </w:t>
      </w:r>
      <w:r w:rsidR="00D6457D" w:rsidRPr="008833AE">
        <w:t>revised estimates for 2018-19</w:t>
      </w:r>
      <w:r w:rsidR="005F29A7">
        <w:t>,</w:t>
      </w:r>
      <w:r w:rsidR="00D6457D" w:rsidRPr="008833AE">
        <w:t xml:space="preserve"> therefore</w:t>
      </w:r>
      <w:r w:rsidR="005F29A7">
        <w:t>,</w:t>
      </w:r>
      <w:r w:rsidR="00D6457D" w:rsidRPr="008833AE">
        <w:t xml:space="preserve"> </w:t>
      </w:r>
      <w:r w:rsidR="00CD53C1" w:rsidRPr="008833AE">
        <w:t xml:space="preserve">do not </w:t>
      </w:r>
      <w:r w:rsidR="00D6457D" w:rsidRPr="008833AE">
        <w:t>reflect the impact of AASB 15</w:t>
      </w:r>
      <w:r w:rsidR="008A7E44" w:rsidRPr="008833AE">
        <w:t xml:space="preserve">, </w:t>
      </w:r>
      <w:r w:rsidR="00D6457D" w:rsidRPr="008833AE">
        <w:t>AASB 1058</w:t>
      </w:r>
      <w:r w:rsidR="00154360" w:rsidRPr="008833AE">
        <w:t xml:space="preserve"> or </w:t>
      </w:r>
      <w:r w:rsidR="005F29A7">
        <w:br/>
      </w:r>
      <w:r w:rsidR="00154360" w:rsidRPr="008833AE">
        <w:t>AASB 16</w:t>
      </w:r>
      <w:r w:rsidR="00D6457D" w:rsidRPr="008833AE">
        <w:t>.</w:t>
      </w:r>
      <w:r w:rsidR="009638E1" w:rsidRPr="008833AE">
        <w:t xml:space="preserve"> </w:t>
      </w:r>
    </w:p>
    <w:p w14:paraId="3B09EDD3" w14:textId="62DC5E2E" w:rsidR="00520206" w:rsidRPr="008833AE" w:rsidRDefault="004E1541" w:rsidP="00CF2037">
      <w:pPr>
        <w:pStyle w:val="BodyText"/>
      </w:pPr>
      <w:r w:rsidRPr="008833AE">
        <w:t>For the purposes of the Estimated Financial Statements, t</w:t>
      </w:r>
      <w:r w:rsidR="00520206" w:rsidRPr="008833AE">
        <w:t xml:space="preserve">he impact of transition </w:t>
      </w:r>
      <w:r w:rsidR="007942D1" w:rsidRPr="008833AE">
        <w:t xml:space="preserve">to AASB 15, AASB 1058 and AASB 16 </w:t>
      </w:r>
      <w:r w:rsidR="00A75B96" w:rsidRPr="008833AE">
        <w:t xml:space="preserve">on </w:t>
      </w:r>
      <w:r w:rsidR="002D2A1D">
        <w:t xml:space="preserve">the </w:t>
      </w:r>
      <w:r w:rsidR="00857B4E" w:rsidRPr="008833AE">
        <w:t xml:space="preserve">GGS </w:t>
      </w:r>
      <w:r w:rsidR="007942D1" w:rsidRPr="008833AE">
        <w:t xml:space="preserve">accumulated funds </w:t>
      </w:r>
      <w:r w:rsidR="00A75B96" w:rsidRPr="008833AE">
        <w:t xml:space="preserve">as </w:t>
      </w:r>
      <w:r w:rsidR="00A87F4D" w:rsidRPr="008833AE">
        <w:t>at 1 July 2019</w:t>
      </w:r>
      <w:r w:rsidR="00ED2BFF" w:rsidRPr="008833AE">
        <w:t xml:space="preserve"> </w:t>
      </w:r>
      <w:r w:rsidR="00194A18" w:rsidRPr="008833AE">
        <w:t>are</w:t>
      </w:r>
      <w:r w:rsidR="00ED2BFF" w:rsidRPr="008833AE">
        <w:t xml:space="preserve"> as follows:</w:t>
      </w:r>
    </w:p>
    <w:p w14:paraId="473FC723" w14:textId="3B15EF6A" w:rsidR="002D6743" w:rsidRPr="008833AE" w:rsidRDefault="002D6743" w:rsidP="00F4408C">
      <w:pPr>
        <w:pStyle w:val="TableA2X"/>
        <w:spacing w:before="240"/>
        <w:ind w:left="357" w:hanging="357"/>
      </w:pPr>
      <w:r w:rsidRPr="008833AE">
        <w:t xml:space="preserve">Impact of new standards </w:t>
      </w:r>
      <w:r w:rsidR="001530AE">
        <w:t>on</w:t>
      </w:r>
      <w:r w:rsidRPr="008833AE">
        <w:t xml:space="preserve"> accumulated funds as at 1 July 2019</w:t>
      </w:r>
    </w:p>
    <w:tbl>
      <w:tblPr>
        <w:tblW w:w="4853" w:type="pct"/>
        <w:tblLook w:val="04A0" w:firstRow="1" w:lastRow="0" w:firstColumn="1" w:lastColumn="0" w:noHBand="0" w:noVBand="1"/>
      </w:tblPr>
      <w:tblGrid>
        <w:gridCol w:w="7655"/>
        <w:gridCol w:w="1701"/>
      </w:tblGrid>
      <w:tr w:rsidR="007D015E" w:rsidRPr="004160A6" w14:paraId="5BA21D04" w14:textId="77777777" w:rsidTr="00F4408C">
        <w:trPr>
          <w:trHeight w:val="202"/>
        </w:trPr>
        <w:tc>
          <w:tcPr>
            <w:tcW w:w="4091" w:type="pct"/>
            <w:tcBorders>
              <w:top w:val="single" w:sz="4" w:space="0" w:color="auto"/>
              <w:left w:val="nil"/>
              <w:bottom w:val="nil"/>
              <w:right w:val="nil"/>
            </w:tcBorders>
            <w:shd w:val="clear" w:color="000000" w:fill="FFFFFF"/>
            <w:vAlign w:val="center"/>
          </w:tcPr>
          <w:p w14:paraId="1F69CB67" w14:textId="77777777" w:rsidR="007D015E" w:rsidRPr="004160A6" w:rsidRDefault="007D015E" w:rsidP="002D6743">
            <w:pPr>
              <w:spacing w:before="20" w:after="20"/>
              <w:ind w:left="174" w:hanging="174"/>
              <w:rPr>
                <w:sz w:val="18"/>
                <w:szCs w:val="18"/>
              </w:rPr>
            </w:pPr>
          </w:p>
        </w:tc>
        <w:tc>
          <w:tcPr>
            <w:tcW w:w="909" w:type="pct"/>
            <w:tcBorders>
              <w:top w:val="single" w:sz="4" w:space="0" w:color="auto"/>
              <w:left w:val="nil"/>
              <w:bottom w:val="nil"/>
              <w:right w:val="nil"/>
            </w:tcBorders>
            <w:shd w:val="clear" w:color="auto" w:fill="auto"/>
            <w:vAlign w:val="bottom"/>
          </w:tcPr>
          <w:p w14:paraId="38ACE38B" w14:textId="36567189" w:rsidR="007D015E" w:rsidRPr="004160A6" w:rsidDel="005337B3" w:rsidRDefault="007D015E" w:rsidP="00C815E0">
            <w:pPr>
              <w:spacing w:before="20" w:after="20"/>
              <w:ind w:left="-392" w:right="218"/>
              <w:jc w:val="right"/>
              <w:rPr>
                <w:sz w:val="18"/>
                <w:szCs w:val="18"/>
              </w:rPr>
            </w:pPr>
            <w:r>
              <w:rPr>
                <w:sz w:val="18"/>
                <w:szCs w:val="18"/>
              </w:rPr>
              <w:t>$m</w:t>
            </w:r>
          </w:p>
        </w:tc>
      </w:tr>
      <w:tr w:rsidR="004160A6" w:rsidRPr="004160A6" w14:paraId="71EB0873" w14:textId="256833C6" w:rsidTr="00F4408C">
        <w:trPr>
          <w:trHeight w:val="202"/>
        </w:trPr>
        <w:tc>
          <w:tcPr>
            <w:tcW w:w="4091" w:type="pct"/>
            <w:tcBorders>
              <w:top w:val="nil"/>
              <w:left w:val="nil"/>
              <w:bottom w:val="nil"/>
              <w:right w:val="nil"/>
            </w:tcBorders>
            <w:shd w:val="clear" w:color="000000" w:fill="FFFFFF"/>
            <w:vAlign w:val="center"/>
            <w:hideMark/>
          </w:tcPr>
          <w:p w14:paraId="5169D0C3" w14:textId="31E38BFC" w:rsidR="004160A6" w:rsidRPr="004160A6" w:rsidRDefault="004160A6" w:rsidP="002D6743">
            <w:pPr>
              <w:spacing w:before="20" w:after="20"/>
              <w:ind w:left="174" w:hanging="174"/>
              <w:rPr>
                <w:sz w:val="18"/>
                <w:szCs w:val="18"/>
              </w:rPr>
            </w:pPr>
            <w:r w:rsidRPr="004160A6">
              <w:rPr>
                <w:sz w:val="18"/>
                <w:szCs w:val="18"/>
              </w:rPr>
              <w:t xml:space="preserve">Balance at 1 July 2019 – before new accounting standards </w:t>
            </w:r>
          </w:p>
        </w:tc>
        <w:tc>
          <w:tcPr>
            <w:tcW w:w="909" w:type="pct"/>
            <w:tcBorders>
              <w:top w:val="nil"/>
              <w:left w:val="nil"/>
              <w:bottom w:val="nil"/>
              <w:right w:val="nil"/>
            </w:tcBorders>
            <w:shd w:val="clear" w:color="auto" w:fill="auto"/>
            <w:vAlign w:val="bottom"/>
          </w:tcPr>
          <w:p w14:paraId="637A9D22" w14:textId="1FD612BB" w:rsidR="004160A6" w:rsidRPr="004160A6" w:rsidRDefault="005337B3" w:rsidP="003C34CE">
            <w:pPr>
              <w:spacing w:before="20" w:after="20"/>
              <w:ind w:left="-392" w:right="39"/>
              <w:jc w:val="right"/>
              <w:rPr>
                <w:sz w:val="18"/>
                <w:szCs w:val="18"/>
              </w:rPr>
            </w:pPr>
            <w:r>
              <w:rPr>
                <w:sz w:val="18"/>
                <w:szCs w:val="18"/>
              </w:rPr>
              <w:t>84,</w:t>
            </w:r>
            <w:r w:rsidR="001530AE">
              <w:rPr>
                <w:sz w:val="18"/>
                <w:szCs w:val="18"/>
              </w:rPr>
              <w:t>579</w:t>
            </w:r>
          </w:p>
        </w:tc>
      </w:tr>
      <w:tr w:rsidR="004160A6" w:rsidRPr="008833AE" w14:paraId="412BBF51" w14:textId="0DD6D731" w:rsidTr="00F4408C">
        <w:trPr>
          <w:trHeight w:val="202"/>
        </w:trPr>
        <w:tc>
          <w:tcPr>
            <w:tcW w:w="4091" w:type="pct"/>
            <w:tcBorders>
              <w:top w:val="nil"/>
              <w:left w:val="nil"/>
              <w:bottom w:val="nil"/>
              <w:right w:val="nil"/>
            </w:tcBorders>
            <w:shd w:val="clear" w:color="000000" w:fill="FFFFFF"/>
            <w:vAlign w:val="center"/>
            <w:hideMark/>
          </w:tcPr>
          <w:p w14:paraId="60B02195" w14:textId="76302956" w:rsidR="004160A6" w:rsidRPr="008833AE" w:rsidRDefault="004160A6" w:rsidP="005560F4">
            <w:pPr>
              <w:spacing w:before="20" w:after="20"/>
              <w:rPr>
                <w:sz w:val="18"/>
                <w:szCs w:val="18"/>
              </w:rPr>
            </w:pPr>
            <w:r w:rsidRPr="008833AE">
              <w:rPr>
                <w:sz w:val="18"/>
                <w:szCs w:val="18"/>
              </w:rPr>
              <w:t xml:space="preserve">Impact of AASB 15 </w:t>
            </w:r>
          </w:p>
        </w:tc>
        <w:tc>
          <w:tcPr>
            <w:tcW w:w="909" w:type="pct"/>
            <w:tcBorders>
              <w:top w:val="nil"/>
              <w:left w:val="nil"/>
              <w:bottom w:val="nil"/>
              <w:right w:val="nil"/>
            </w:tcBorders>
            <w:shd w:val="clear" w:color="auto" w:fill="auto"/>
            <w:vAlign w:val="center"/>
          </w:tcPr>
          <w:p w14:paraId="60052A11" w14:textId="729947C1" w:rsidR="004160A6" w:rsidRPr="008833AE" w:rsidRDefault="004160A6" w:rsidP="003C34CE">
            <w:pPr>
              <w:spacing w:before="20" w:after="20"/>
              <w:ind w:left="-392" w:right="39"/>
              <w:jc w:val="right"/>
              <w:rPr>
                <w:sz w:val="18"/>
                <w:szCs w:val="18"/>
              </w:rPr>
            </w:pPr>
            <w:r>
              <w:rPr>
                <w:sz w:val="18"/>
                <w:szCs w:val="18"/>
              </w:rPr>
              <w:t>405</w:t>
            </w:r>
          </w:p>
        </w:tc>
      </w:tr>
      <w:tr w:rsidR="004160A6" w:rsidRPr="008833AE" w14:paraId="24CA1D1C" w14:textId="77777777" w:rsidTr="00F4408C">
        <w:trPr>
          <w:trHeight w:val="202"/>
        </w:trPr>
        <w:tc>
          <w:tcPr>
            <w:tcW w:w="4091" w:type="pct"/>
            <w:tcBorders>
              <w:top w:val="nil"/>
              <w:left w:val="nil"/>
              <w:bottom w:val="nil"/>
              <w:right w:val="nil"/>
            </w:tcBorders>
            <w:shd w:val="clear" w:color="000000" w:fill="FFFFFF"/>
            <w:vAlign w:val="center"/>
          </w:tcPr>
          <w:p w14:paraId="6BAA53F6" w14:textId="30AECC44" w:rsidR="004160A6" w:rsidRPr="008833AE" w:rsidRDefault="004160A6" w:rsidP="005560F4">
            <w:pPr>
              <w:spacing w:before="20" w:after="20"/>
              <w:rPr>
                <w:sz w:val="18"/>
                <w:szCs w:val="18"/>
              </w:rPr>
            </w:pPr>
            <w:r w:rsidRPr="008833AE">
              <w:rPr>
                <w:sz w:val="18"/>
                <w:szCs w:val="18"/>
              </w:rPr>
              <w:t>Impact of AASB 1058</w:t>
            </w:r>
          </w:p>
        </w:tc>
        <w:tc>
          <w:tcPr>
            <w:tcW w:w="909" w:type="pct"/>
            <w:tcBorders>
              <w:top w:val="nil"/>
              <w:left w:val="nil"/>
              <w:right w:val="nil"/>
            </w:tcBorders>
            <w:shd w:val="clear" w:color="auto" w:fill="auto"/>
            <w:vAlign w:val="center"/>
          </w:tcPr>
          <w:p w14:paraId="0063F9A2" w14:textId="5524E0A0" w:rsidR="004160A6" w:rsidRPr="008833AE" w:rsidRDefault="004160A6" w:rsidP="003C34CE">
            <w:pPr>
              <w:spacing w:before="20" w:after="20"/>
              <w:ind w:left="-392" w:right="39"/>
              <w:jc w:val="right"/>
              <w:rPr>
                <w:sz w:val="18"/>
                <w:szCs w:val="18"/>
              </w:rPr>
            </w:pPr>
            <w:r w:rsidRPr="008833AE">
              <w:rPr>
                <w:sz w:val="18"/>
                <w:szCs w:val="18"/>
              </w:rPr>
              <w:t>(494)</w:t>
            </w:r>
          </w:p>
        </w:tc>
      </w:tr>
      <w:tr w:rsidR="004160A6" w:rsidRPr="008833AE" w14:paraId="644C12BD" w14:textId="66E8AC8D" w:rsidTr="00F4408C">
        <w:trPr>
          <w:trHeight w:val="229"/>
        </w:trPr>
        <w:tc>
          <w:tcPr>
            <w:tcW w:w="4091" w:type="pct"/>
            <w:tcBorders>
              <w:top w:val="nil"/>
              <w:left w:val="nil"/>
              <w:bottom w:val="single" w:sz="4" w:space="0" w:color="auto"/>
              <w:right w:val="nil"/>
            </w:tcBorders>
            <w:shd w:val="clear" w:color="000000" w:fill="FFFFFF"/>
            <w:vAlign w:val="center"/>
            <w:hideMark/>
          </w:tcPr>
          <w:p w14:paraId="46576AE8" w14:textId="0AAC359C" w:rsidR="004160A6" w:rsidRPr="008833AE" w:rsidRDefault="004160A6" w:rsidP="005560F4">
            <w:pPr>
              <w:spacing w:before="20" w:after="20"/>
              <w:rPr>
                <w:sz w:val="18"/>
                <w:szCs w:val="18"/>
              </w:rPr>
            </w:pPr>
            <w:r w:rsidRPr="008833AE">
              <w:rPr>
                <w:sz w:val="18"/>
                <w:szCs w:val="18"/>
              </w:rPr>
              <w:t>Impact of AASB 16</w:t>
            </w:r>
          </w:p>
        </w:tc>
        <w:tc>
          <w:tcPr>
            <w:tcW w:w="909" w:type="pct"/>
            <w:tcBorders>
              <w:top w:val="nil"/>
              <w:left w:val="nil"/>
              <w:bottom w:val="single" w:sz="4" w:space="0" w:color="auto"/>
              <w:right w:val="nil"/>
            </w:tcBorders>
            <w:shd w:val="clear" w:color="000000" w:fill="FFFFFF"/>
            <w:vAlign w:val="center"/>
          </w:tcPr>
          <w:p w14:paraId="22AD1003" w14:textId="7D629D50" w:rsidR="004160A6" w:rsidRPr="008833AE" w:rsidRDefault="00260B1B" w:rsidP="003C34CE">
            <w:pPr>
              <w:spacing w:before="20" w:after="20"/>
              <w:ind w:left="-392" w:right="39"/>
              <w:jc w:val="right"/>
              <w:rPr>
                <w:sz w:val="18"/>
                <w:szCs w:val="18"/>
              </w:rPr>
            </w:pPr>
            <w:r>
              <w:rPr>
                <w:sz w:val="18"/>
                <w:szCs w:val="18"/>
              </w:rPr>
              <w:t>…</w:t>
            </w:r>
          </w:p>
        </w:tc>
      </w:tr>
      <w:tr w:rsidR="004160A6" w:rsidRPr="004160A6" w14:paraId="01E320AD" w14:textId="18A2B39E" w:rsidTr="00F4408C">
        <w:trPr>
          <w:trHeight w:val="340"/>
        </w:trPr>
        <w:tc>
          <w:tcPr>
            <w:tcW w:w="4091" w:type="pct"/>
            <w:tcBorders>
              <w:top w:val="single" w:sz="4" w:space="0" w:color="auto"/>
              <w:left w:val="nil"/>
              <w:bottom w:val="single" w:sz="4" w:space="0" w:color="auto"/>
              <w:right w:val="nil"/>
            </w:tcBorders>
            <w:shd w:val="clear" w:color="000000" w:fill="FFFFFF"/>
            <w:vAlign w:val="center"/>
            <w:hideMark/>
          </w:tcPr>
          <w:p w14:paraId="5577B9B8" w14:textId="65D98E34" w:rsidR="004160A6" w:rsidRPr="004160A6" w:rsidRDefault="004160A6" w:rsidP="00EE7B27">
            <w:pPr>
              <w:spacing w:before="20" w:after="20"/>
              <w:rPr>
                <w:b/>
                <w:color w:val="00ABE6"/>
                <w:sz w:val="18"/>
                <w:szCs w:val="18"/>
              </w:rPr>
            </w:pPr>
            <w:r w:rsidRPr="004160A6">
              <w:rPr>
                <w:b/>
                <w:color w:val="00ABE6"/>
                <w:sz w:val="18"/>
                <w:szCs w:val="18"/>
              </w:rPr>
              <w:t>Restated balance at 1 July 2019</w:t>
            </w:r>
            <w:r w:rsidR="00C815E0">
              <w:rPr>
                <w:b/>
                <w:color w:val="00ABE6"/>
                <w:sz w:val="18"/>
                <w:szCs w:val="18"/>
              </w:rPr>
              <w:t xml:space="preserve"> </w:t>
            </w:r>
            <w:r w:rsidR="00C815E0" w:rsidRPr="00C815E0">
              <w:rPr>
                <w:b/>
                <w:color w:val="00ABE6"/>
                <w:sz w:val="18"/>
                <w:szCs w:val="18"/>
              </w:rPr>
              <w:t>– after new accounting standards</w:t>
            </w:r>
          </w:p>
        </w:tc>
        <w:tc>
          <w:tcPr>
            <w:tcW w:w="909" w:type="pct"/>
            <w:tcBorders>
              <w:top w:val="single" w:sz="4" w:space="0" w:color="auto"/>
              <w:left w:val="nil"/>
              <w:bottom w:val="single" w:sz="4" w:space="0" w:color="auto"/>
              <w:right w:val="nil"/>
            </w:tcBorders>
            <w:shd w:val="clear" w:color="000000" w:fill="FFFFFF"/>
            <w:vAlign w:val="center"/>
          </w:tcPr>
          <w:p w14:paraId="6D1CB89C" w14:textId="53A741B1" w:rsidR="004160A6" w:rsidRPr="00C815E0" w:rsidRDefault="001530AE" w:rsidP="003C34CE">
            <w:pPr>
              <w:spacing w:before="20" w:after="20"/>
              <w:ind w:left="-392" w:right="39"/>
              <w:jc w:val="right"/>
              <w:rPr>
                <w:b/>
                <w:color w:val="00B0F0"/>
                <w:sz w:val="18"/>
                <w:szCs w:val="18"/>
              </w:rPr>
            </w:pPr>
            <w:r>
              <w:rPr>
                <w:b/>
                <w:color w:val="00B0F0"/>
                <w:sz w:val="18"/>
                <w:szCs w:val="18"/>
              </w:rPr>
              <w:t>84,490</w:t>
            </w:r>
          </w:p>
        </w:tc>
      </w:tr>
    </w:tbl>
    <w:p w14:paraId="6AC2D6ED" w14:textId="06F591DF" w:rsidR="00ED2BFF" w:rsidRPr="008833AE" w:rsidRDefault="00ED2BFF" w:rsidP="00AD1127">
      <w:pPr>
        <w:pStyle w:val="BodyText"/>
        <w:sectPr w:rsidR="00ED2BFF" w:rsidRPr="008833AE" w:rsidSect="008833AE">
          <w:headerReference w:type="even" r:id="rId11"/>
          <w:headerReference w:type="default" r:id="rId12"/>
          <w:footerReference w:type="even" r:id="rId13"/>
          <w:footerReference w:type="default" r:id="rId14"/>
          <w:headerReference w:type="first" r:id="rId15"/>
          <w:footerReference w:type="first" r:id="rId16"/>
          <w:pgSz w:w="11907" w:h="16840" w:code="9"/>
          <w:pgMar w:top="1134" w:right="1134" w:bottom="567" w:left="1134" w:header="454" w:footer="454" w:gutter="0"/>
          <w:cols w:space="720"/>
          <w:titlePg/>
          <w:docGrid w:linePitch="272"/>
        </w:sectPr>
      </w:pPr>
    </w:p>
    <w:p w14:paraId="744017A3" w14:textId="2700295A" w:rsidR="00464D76" w:rsidRPr="008833AE" w:rsidRDefault="00464D76" w:rsidP="00464D76">
      <w:pPr>
        <w:widowControl/>
        <w:tabs>
          <w:tab w:val="clear" w:pos="4196"/>
          <w:tab w:val="clear" w:pos="5046"/>
          <w:tab w:val="clear" w:pos="5897"/>
          <w:tab w:val="clear" w:pos="6747"/>
          <w:tab w:val="clear" w:pos="7598"/>
        </w:tabs>
        <w:autoSpaceDE/>
        <w:autoSpaceDN/>
      </w:pPr>
      <w:r w:rsidRPr="008833AE">
        <w:lastRenderedPageBreak/>
        <w:t>The expected aggregate impacts of applying the above new accounting standards are reported in the table below.</w:t>
      </w:r>
    </w:p>
    <w:p w14:paraId="3EAC4EE1" w14:textId="6BD6253F" w:rsidR="002D6743" w:rsidRPr="008833AE" w:rsidRDefault="002D6743" w:rsidP="00F4408C">
      <w:pPr>
        <w:pStyle w:val="TableA2X"/>
        <w:spacing w:before="240"/>
        <w:ind w:left="357" w:hanging="357"/>
      </w:pPr>
      <w:r w:rsidRPr="008833AE">
        <w:t xml:space="preserve">Aggregate impact of new standards to </w:t>
      </w:r>
      <w:r w:rsidR="005A1065" w:rsidRPr="008833AE">
        <w:t>key financial information</w:t>
      </w:r>
    </w:p>
    <w:tbl>
      <w:tblPr>
        <w:tblW w:w="14604" w:type="dxa"/>
        <w:tblInd w:w="108" w:type="dxa"/>
        <w:tblLayout w:type="fixed"/>
        <w:tblLook w:val="04A0" w:firstRow="1" w:lastRow="0" w:firstColumn="1" w:lastColumn="0" w:noHBand="0" w:noVBand="1"/>
      </w:tblPr>
      <w:tblGrid>
        <w:gridCol w:w="2302"/>
        <w:gridCol w:w="1001"/>
        <w:gridCol w:w="1002"/>
        <w:gridCol w:w="1001"/>
        <w:gridCol w:w="1002"/>
        <w:gridCol w:w="1037"/>
        <w:gridCol w:w="1037"/>
        <w:gridCol w:w="1037"/>
        <w:gridCol w:w="1037"/>
        <w:gridCol w:w="1037"/>
        <w:gridCol w:w="1037"/>
        <w:gridCol w:w="1037"/>
        <w:gridCol w:w="1037"/>
      </w:tblGrid>
      <w:tr w:rsidR="00B25631" w:rsidRPr="002F5437" w14:paraId="40A994B4" w14:textId="77777777" w:rsidTr="001A5E3F">
        <w:trPr>
          <w:trHeight w:val="300"/>
        </w:trPr>
        <w:tc>
          <w:tcPr>
            <w:tcW w:w="2302" w:type="dxa"/>
            <w:tcBorders>
              <w:top w:val="nil"/>
              <w:left w:val="nil"/>
              <w:bottom w:val="nil"/>
              <w:right w:val="nil"/>
            </w:tcBorders>
            <w:shd w:val="clear" w:color="auto" w:fill="002664"/>
            <w:vAlign w:val="center"/>
          </w:tcPr>
          <w:p w14:paraId="4620BE50" w14:textId="77777777" w:rsidR="00B25631" w:rsidRPr="002F5437" w:rsidRDefault="00B25631" w:rsidP="00305922">
            <w:pPr>
              <w:jc w:val="both"/>
              <w:rPr>
                <w:color w:val="FFFFFF"/>
                <w:sz w:val="18"/>
                <w:szCs w:val="18"/>
              </w:rPr>
            </w:pPr>
          </w:p>
        </w:tc>
        <w:tc>
          <w:tcPr>
            <w:tcW w:w="4006" w:type="dxa"/>
            <w:gridSpan w:val="4"/>
            <w:tcBorders>
              <w:top w:val="nil"/>
              <w:left w:val="nil"/>
              <w:bottom w:val="nil"/>
              <w:right w:val="nil"/>
            </w:tcBorders>
            <w:shd w:val="clear" w:color="auto" w:fill="002664"/>
            <w:vAlign w:val="center"/>
          </w:tcPr>
          <w:p w14:paraId="07529571" w14:textId="7F5A9E6D" w:rsidR="00B25631" w:rsidRPr="002F5437" w:rsidRDefault="00B25631" w:rsidP="00626609">
            <w:pPr>
              <w:jc w:val="center"/>
              <w:rPr>
                <w:color w:val="FFFFFF"/>
                <w:sz w:val="18"/>
                <w:szCs w:val="18"/>
              </w:rPr>
            </w:pPr>
            <w:r w:rsidRPr="002F5437">
              <w:rPr>
                <w:color w:val="FFFFFF"/>
                <w:sz w:val="18"/>
                <w:szCs w:val="18"/>
              </w:rPr>
              <w:t>Before new accounting standard impacts</w:t>
            </w:r>
          </w:p>
        </w:tc>
        <w:tc>
          <w:tcPr>
            <w:tcW w:w="4148" w:type="dxa"/>
            <w:gridSpan w:val="4"/>
            <w:tcBorders>
              <w:top w:val="nil"/>
              <w:left w:val="nil"/>
              <w:bottom w:val="nil"/>
              <w:right w:val="nil"/>
            </w:tcBorders>
            <w:shd w:val="clear" w:color="auto" w:fill="002664"/>
            <w:vAlign w:val="center"/>
          </w:tcPr>
          <w:p w14:paraId="28CBECFB" w14:textId="0D0FDE7B" w:rsidR="00B25631" w:rsidRPr="002F5437" w:rsidRDefault="00B25631" w:rsidP="00626609">
            <w:pPr>
              <w:jc w:val="center"/>
              <w:rPr>
                <w:color w:val="FFFFFF"/>
                <w:sz w:val="18"/>
                <w:szCs w:val="18"/>
              </w:rPr>
            </w:pPr>
            <w:r w:rsidRPr="002F5437">
              <w:rPr>
                <w:color w:val="FFFFFF"/>
                <w:sz w:val="18"/>
                <w:szCs w:val="18"/>
              </w:rPr>
              <w:t>Impact of new accounting standards</w:t>
            </w:r>
          </w:p>
        </w:tc>
        <w:tc>
          <w:tcPr>
            <w:tcW w:w="4148" w:type="dxa"/>
            <w:gridSpan w:val="4"/>
            <w:tcBorders>
              <w:top w:val="nil"/>
              <w:left w:val="nil"/>
              <w:bottom w:val="nil"/>
              <w:right w:val="nil"/>
            </w:tcBorders>
            <w:shd w:val="clear" w:color="auto" w:fill="002664"/>
            <w:vAlign w:val="center"/>
          </w:tcPr>
          <w:p w14:paraId="28AE4569" w14:textId="408E65AA" w:rsidR="00B25631" w:rsidRPr="002F5437" w:rsidRDefault="00B25631" w:rsidP="00626609">
            <w:pPr>
              <w:jc w:val="center"/>
              <w:rPr>
                <w:color w:val="FFFFFF"/>
                <w:sz w:val="18"/>
                <w:szCs w:val="18"/>
              </w:rPr>
            </w:pPr>
            <w:r w:rsidRPr="002F5437">
              <w:rPr>
                <w:color w:val="FFFFFF"/>
                <w:sz w:val="18"/>
                <w:szCs w:val="18"/>
              </w:rPr>
              <w:t>After new accounting standard impacts</w:t>
            </w:r>
          </w:p>
        </w:tc>
      </w:tr>
      <w:tr w:rsidR="00A96655" w:rsidRPr="002F5437" w14:paraId="74F555FB" w14:textId="77777777" w:rsidTr="001A5E3F">
        <w:trPr>
          <w:trHeight w:val="300"/>
        </w:trPr>
        <w:tc>
          <w:tcPr>
            <w:tcW w:w="2302" w:type="dxa"/>
            <w:tcBorders>
              <w:top w:val="nil"/>
              <w:left w:val="nil"/>
              <w:bottom w:val="nil"/>
              <w:right w:val="nil"/>
            </w:tcBorders>
            <w:shd w:val="clear" w:color="auto" w:fill="00ABE6"/>
            <w:vAlign w:val="center"/>
            <w:hideMark/>
          </w:tcPr>
          <w:p w14:paraId="22215417" w14:textId="77777777" w:rsidR="00305922" w:rsidRPr="002F5437" w:rsidRDefault="00305922" w:rsidP="00305922">
            <w:pPr>
              <w:jc w:val="both"/>
              <w:rPr>
                <w:color w:val="FFFFFF"/>
                <w:sz w:val="18"/>
                <w:szCs w:val="18"/>
              </w:rPr>
            </w:pPr>
          </w:p>
        </w:tc>
        <w:tc>
          <w:tcPr>
            <w:tcW w:w="1001" w:type="dxa"/>
            <w:tcBorders>
              <w:top w:val="nil"/>
              <w:left w:val="nil"/>
              <w:bottom w:val="nil"/>
              <w:right w:val="nil"/>
            </w:tcBorders>
            <w:shd w:val="clear" w:color="auto" w:fill="00ABE6"/>
            <w:vAlign w:val="center"/>
          </w:tcPr>
          <w:p w14:paraId="62F70902" w14:textId="23A42672" w:rsidR="00305922" w:rsidRPr="002F5437" w:rsidRDefault="00305922" w:rsidP="00626609">
            <w:pPr>
              <w:jc w:val="center"/>
              <w:rPr>
                <w:color w:val="FFFFFF"/>
                <w:sz w:val="18"/>
                <w:szCs w:val="18"/>
              </w:rPr>
            </w:pPr>
            <w:r w:rsidRPr="002F5437">
              <w:rPr>
                <w:color w:val="FFFFFF"/>
                <w:sz w:val="18"/>
                <w:szCs w:val="18"/>
              </w:rPr>
              <w:t>2019-20</w:t>
            </w:r>
          </w:p>
        </w:tc>
        <w:tc>
          <w:tcPr>
            <w:tcW w:w="1002" w:type="dxa"/>
            <w:tcBorders>
              <w:top w:val="nil"/>
              <w:left w:val="nil"/>
              <w:bottom w:val="nil"/>
              <w:right w:val="nil"/>
            </w:tcBorders>
            <w:shd w:val="clear" w:color="auto" w:fill="00ABE6"/>
            <w:vAlign w:val="center"/>
          </w:tcPr>
          <w:p w14:paraId="6111070A" w14:textId="28537B17" w:rsidR="00305922" w:rsidRPr="002F5437" w:rsidRDefault="00305922" w:rsidP="00626609">
            <w:pPr>
              <w:jc w:val="center"/>
              <w:rPr>
                <w:color w:val="FFFFFF"/>
                <w:sz w:val="18"/>
                <w:szCs w:val="18"/>
              </w:rPr>
            </w:pPr>
            <w:r w:rsidRPr="002F5437">
              <w:rPr>
                <w:color w:val="FFFFFF"/>
                <w:sz w:val="18"/>
                <w:szCs w:val="18"/>
              </w:rPr>
              <w:t>2020-21</w:t>
            </w:r>
          </w:p>
        </w:tc>
        <w:tc>
          <w:tcPr>
            <w:tcW w:w="1001" w:type="dxa"/>
            <w:tcBorders>
              <w:top w:val="nil"/>
              <w:left w:val="nil"/>
              <w:bottom w:val="nil"/>
              <w:right w:val="nil"/>
            </w:tcBorders>
            <w:shd w:val="clear" w:color="auto" w:fill="00ABE6"/>
            <w:vAlign w:val="center"/>
          </w:tcPr>
          <w:p w14:paraId="6D7536D8" w14:textId="25A5F667" w:rsidR="00305922" w:rsidRPr="002F5437" w:rsidRDefault="00305922" w:rsidP="00626609">
            <w:pPr>
              <w:jc w:val="center"/>
              <w:rPr>
                <w:color w:val="FFFFFF"/>
                <w:sz w:val="18"/>
                <w:szCs w:val="18"/>
              </w:rPr>
            </w:pPr>
            <w:r w:rsidRPr="002F5437">
              <w:rPr>
                <w:color w:val="FFFFFF"/>
                <w:sz w:val="18"/>
                <w:szCs w:val="18"/>
              </w:rPr>
              <w:t>2021-22</w:t>
            </w:r>
          </w:p>
        </w:tc>
        <w:tc>
          <w:tcPr>
            <w:tcW w:w="1002" w:type="dxa"/>
            <w:tcBorders>
              <w:top w:val="nil"/>
              <w:left w:val="nil"/>
              <w:bottom w:val="nil"/>
              <w:right w:val="nil"/>
            </w:tcBorders>
            <w:shd w:val="clear" w:color="auto" w:fill="00ABE6"/>
            <w:vAlign w:val="center"/>
          </w:tcPr>
          <w:p w14:paraId="11AFC58D" w14:textId="6AEA871C" w:rsidR="00305922" w:rsidRPr="002F5437" w:rsidRDefault="00305922" w:rsidP="00626609">
            <w:pPr>
              <w:jc w:val="center"/>
              <w:rPr>
                <w:color w:val="FFFFFF"/>
                <w:sz w:val="18"/>
                <w:szCs w:val="18"/>
              </w:rPr>
            </w:pPr>
            <w:r w:rsidRPr="002F5437">
              <w:rPr>
                <w:color w:val="FFFFFF"/>
                <w:sz w:val="18"/>
                <w:szCs w:val="18"/>
              </w:rPr>
              <w:t>2022-23</w:t>
            </w:r>
          </w:p>
        </w:tc>
        <w:tc>
          <w:tcPr>
            <w:tcW w:w="1037" w:type="dxa"/>
            <w:tcBorders>
              <w:top w:val="nil"/>
              <w:left w:val="nil"/>
              <w:bottom w:val="nil"/>
              <w:right w:val="nil"/>
            </w:tcBorders>
            <w:shd w:val="clear" w:color="auto" w:fill="00ABE6"/>
            <w:vAlign w:val="center"/>
          </w:tcPr>
          <w:p w14:paraId="0CF980A7" w14:textId="0377F9C5" w:rsidR="00305922" w:rsidRPr="002F5437" w:rsidRDefault="00305922" w:rsidP="00626609">
            <w:pPr>
              <w:jc w:val="center"/>
              <w:rPr>
                <w:color w:val="FFFFFF"/>
                <w:sz w:val="18"/>
                <w:szCs w:val="18"/>
              </w:rPr>
            </w:pPr>
            <w:r w:rsidRPr="002F5437">
              <w:rPr>
                <w:color w:val="FFFFFF"/>
                <w:sz w:val="18"/>
                <w:szCs w:val="18"/>
              </w:rPr>
              <w:t>2019-20</w:t>
            </w:r>
          </w:p>
        </w:tc>
        <w:tc>
          <w:tcPr>
            <w:tcW w:w="1037" w:type="dxa"/>
            <w:tcBorders>
              <w:top w:val="nil"/>
              <w:left w:val="nil"/>
              <w:bottom w:val="nil"/>
              <w:right w:val="nil"/>
            </w:tcBorders>
            <w:shd w:val="clear" w:color="auto" w:fill="00ABE6"/>
            <w:vAlign w:val="center"/>
          </w:tcPr>
          <w:p w14:paraId="32034D85" w14:textId="052F91D0" w:rsidR="00305922" w:rsidRPr="002F5437" w:rsidRDefault="00305922" w:rsidP="00626609">
            <w:pPr>
              <w:jc w:val="center"/>
              <w:rPr>
                <w:color w:val="FFFFFF"/>
                <w:sz w:val="18"/>
                <w:szCs w:val="18"/>
              </w:rPr>
            </w:pPr>
            <w:r w:rsidRPr="002F5437">
              <w:rPr>
                <w:color w:val="FFFFFF"/>
                <w:sz w:val="18"/>
                <w:szCs w:val="18"/>
              </w:rPr>
              <w:t>2020-21</w:t>
            </w:r>
          </w:p>
        </w:tc>
        <w:tc>
          <w:tcPr>
            <w:tcW w:w="1037" w:type="dxa"/>
            <w:tcBorders>
              <w:top w:val="nil"/>
              <w:left w:val="nil"/>
              <w:bottom w:val="nil"/>
              <w:right w:val="nil"/>
            </w:tcBorders>
            <w:shd w:val="clear" w:color="auto" w:fill="00ABE6"/>
            <w:vAlign w:val="center"/>
          </w:tcPr>
          <w:p w14:paraId="6750BFC4" w14:textId="67839048" w:rsidR="00305922" w:rsidRPr="002F5437" w:rsidRDefault="00305922" w:rsidP="00626609">
            <w:pPr>
              <w:jc w:val="center"/>
              <w:rPr>
                <w:color w:val="FFFFFF"/>
                <w:sz w:val="18"/>
                <w:szCs w:val="18"/>
              </w:rPr>
            </w:pPr>
            <w:r w:rsidRPr="002F5437">
              <w:rPr>
                <w:color w:val="FFFFFF"/>
                <w:sz w:val="18"/>
                <w:szCs w:val="18"/>
              </w:rPr>
              <w:t>2021-22</w:t>
            </w:r>
          </w:p>
        </w:tc>
        <w:tc>
          <w:tcPr>
            <w:tcW w:w="1037" w:type="dxa"/>
            <w:tcBorders>
              <w:top w:val="nil"/>
              <w:left w:val="nil"/>
              <w:bottom w:val="nil"/>
              <w:right w:val="nil"/>
            </w:tcBorders>
            <w:shd w:val="clear" w:color="auto" w:fill="00ABE6"/>
            <w:vAlign w:val="center"/>
          </w:tcPr>
          <w:p w14:paraId="16AF711F" w14:textId="3D430754" w:rsidR="00305922" w:rsidRPr="002F5437" w:rsidRDefault="00305922" w:rsidP="00626609">
            <w:pPr>
              <w:jc w:val="center"/>
              <w:rPr>
                <w:color w:val="FFFFFF"/>
                <w:sz w:val="18"/>
                <w:szCs w:val="18"/>
              </w:rPr>
            </w:pPr>
            <w:r w:rsidRPr="002F5437">
              <w:rPr>
                <w:color w:val="FFFFFF"/>
                <w:sz w:val="18"/>
                <w:szCs w:val="18"/>
              </w:rPr>
              <w:t>2022-23</w:t>
            </w:r>
          </w:p>
        </w:tc>
        <w:tc>
          <w:tcPr>
            <w:tcW w:w="1037" w:type="dxa"/>
            <w:tcBorders>
              <w:top w:val="nil"/>
              <w:left w:val="nil"/>
              <w:bottom w:val="nil"/>
              <w:right w:val="nil"/>
            </w:tcBorders>
            <w:shd w:val="clear" w:color="auto" w:fill="00ABE6"/>
            <w:vAlign w:val="center"/>
          </w:tcPr>
          <w:p w14:paraId="3F86EFCD" w14:textId="52475C5E" w:rsidR="00305922" w:rsidRPr="002F5437" w:rsidRDefault="00305922" w:rsidP="00626609">
            <w:pPr>
              <w:jc w:val="center"/>
              <w:rPr>
                <w:color w:val="FFFFFF"/>
                <w:sz w:val="18"/>
                <w:szCs w:val="18"/>
              </w:rPr>
            </w:pPr>
            <w:r w:rsidRPr="002F5437">
              <w:rPr>
                <w:color w:val="FFFFFF"/>
                <w:sz w:val="18"/>
                <w:szCs w:val="18"/>
              </w:rPr>
              <w:t>2019-20</w:t>
            </w:r>
          </w:p>
        </w:tc>
        <w:tc>
          <w:tcPr>
            <w:tcW w:w="1037" w:type="dxa"/>
            <w:tcBorders>
              <w:top w:val="nil"/>
              <w:left w:val="nil"/>
              <w:bottom w:val="nil"/>
              <w:right w:val="nil"/>
            </w:tcBorders>
            <w:shd w:val="clear" w:color="auto" w:fill="00ABE6"/>
            <w:vAlign w:val="center"/>
          </w:tcPr>
          <w:p w14:paraId="36AA532E" w14:textId="77777777" w:rsidR="00305922" w:rsidRPr="002F5437" w:rsidRDefault="00305922" w:rsidP="00626609">
            <w:pPr>
              <w:jc w:val="center"/>
              <w:rPr>
                <w:color w:val="FFFFFF"/>
                <w:sz w:val="18"/>
                <w:szCs w:val="18"/>
              </w:rPr>
            </w:pPr>
            <w:r w:rsidRPr="002F5437">
              <w:rPr>
                <w:color w:val="FFFFFF"/>
                <w:sz w:val="18"/>
                <w:szCs w:val="18"/>
              </w:rPr>
              <w:t>2020-21</w:t>
            </w:r>
          </w:p>
        </w:tc>
        <w:tc>
          <w:tcPr>
            <w:tcW w:w="1037" w:type="dxa"/>
            <w:tcBorders>
              <w:top w:val="nil"/>
              <w:left w:val="nil"/>
              <w:bottom w:val="nil"/>
              <w:right w:val="nil"/>
            </w:tcBorders>
            <w:shd w:val="clear" w:color="auto" w:fill="00ABE6"/>
            <w:vAlign w:val="center"/>
          </w:tcPr>
          <w:p w14:paraId="3F45DF08" w14:textId="77777777" w:rsidR="00305922" w:rsidRPr="002F5437" w:rsidRDefault="00305922" w:rsidP="00626609">
            <w:pPr>
              <w:jc w:val="center"/>
              <w:rPr>
                <w:color w:val="FFFFFF"/>
                <w:sz w:val="18"/>
                <w:szCs w:val="18"/>
              </w:rPr>
            </w:pPr>
            <w:r w:rsidRPr="002F5437">
              <w:rPr>
                <w:color w:val="FFFFFF"/>
                <w:sz w:val="18"/>
                <w:szCs w:val="18"/>
              </w:rPr>
              <w:t>2021-22</w:t>
            </w:r>
          </w:p>
        </w:tc>
        <w:tc>
          <w:tcPr>
            <w:tcW w:w="1037" w:type="dxa"/>
            <w:tcBorders>
              <w:top w:val="nil"/>
              <w:left w:val="nil"/>
              <w:bottom w:val="nil"/>
              <w:right w:val="nil"/>
            </w:tcBorders>
            <w:shd w:val="clear" w:color="auto" w:fill="00ABE6"/>
            <w:vAlign w:val="center"/>
          </w:tcPr>
          <w:p w14:paraId="768A0F25" w14:textId="77777777" w:rsidR="00305922" w:rsidRPr="002F5437" w:rsidRDefault="00305922" w:rsidP="00626609">
            <w:pPr>
              <w:jc w:val="center"/>
              <w:rPr>
                <w:color w:val="FFFFFF"/>
                <w:sz w:val="18"/>
                <w:szCs w:val="18"/>
              </w:rPr>
            </w:pPr>
            <w:r w:rsidRPr="002F5437">
              <w:rPr>
                <w:color w:val="FFFFFF"/>
                <w:sz w:val="18"/>
                <w:szCs w:val="18"/>
              </w:rPr>
              <w:t>2022-23</w:t>
            </w:r>
          </w:p>
        </w:tc>
      </w:tr>
      <w:tr w:rsidR="00305922" w:rsidRPr="002F5437" w14:paraId="13297063" w14:textId="77777777" w:rsidTr="001A5E3F">
        <w:trPr>
          <w:trHeight w:val="300"/>
        </w:trPr>
        <w:tc>
          <w:tcPr>
            <w:tcW w:w="2302" w:type="dxa"/>
            <w:tcBorders>
              <w:top w:val="nil"/>
              <w:left w:val="nil"/>
              <w:bottom w:val="nil"/>
              <w:right w:val="nil"/>
            </w:tcBorders>
            <w:shd w:val="clear" w:color="auto" w:fill="00ABE6"/>
            <w:vAlign w:val="center"/>
            <w:hideMark/>
          </w:tcPr>
          <w:p w14:paraId="02F06F68" w14:textId="77777777" w:rsidR="00305922" w:rsidRPr="002F5437" w:rsidRDefault="00305922" w:rsidP="00305922">
            <w:pPr>
              <w:jc w:val="both"/>
              <w:rPr>
                <w:color w:val="FFFFFF"/>
                <w:sz w:val="18"/>
                <w:szCs w:val="18"/>
              </w:rPr>
            </w:pPr>
          </w:p>
        </w:tc>
        <w:tc>
          <w:tcPr>
            <w:tcW w:w="2003" w:type="dxa"/>
            <w:gridSpan w:val="2"/>
            <w:tcBorders>
              <w:top w:val="nil"/>
              <w:left w:val="nil"/>
              <w:bottom w:val="nil"/>
              <w:right w:val="nil"/>
            </w:tcBorders>
            <w:shd w:val="clear" w:color="auto" w:fill="00ABE6"/>
            <w:vAlign w:val="center"/>
          </w:tcPr>
          <w:p w14:paraId="0D96EC21" w14:textId="4F7CEDF1" w:rsidR="00305922" w:rsidRPr="002F5437" w:rsidRDefault="00305922" w:rsidP="00626609">
            <w:pPr>
              <w:jc w:val="center"/>
              <w:rPr>
                <w:color w:val="FFFFFF"/>
                <w:sz w:val="18"/>
                <w:szCs w:val="18"/>
              </w:rPr>
            </w:pPr>
            <w:r w:rsidRPr="002F5437">
              <w:rPr>
                <w:color w:val="FFFFFF"/>
                <w:sz w:val="18"/>
                <w:szCs w:val="18"/>
              </w:rPr>
              <w:t>Budget</w:t>
            </w:r>
          </w:p>
        </w:tc>
        <w:tc>
          <w:tcPr>
            <w:tcW w:w="2003" w:type="dxa"/>
            <w:gridSpan w:val="2"/>
            <w:tcBorders>
              <w:top w:val="nil"/>
              <w:left w:val="nil"/>
              <w:bottom w:val="nil"/>
              <w:right w:val="nil"/>
            </w:tcBorders>
            <w:shd w:val="clear" w:color="auto" w:fill="00ABE6"/>
            <w:vAlign w:val="center"/>
          </w:tcPr>
          <w:p w14:paraId="02E0432E" w14:textId="12AF19C4" w:rsidR="00305922" w:rsidRPr="002F5437" w:rsidRDefault="00305922" w:rsidP="00626609">
            <w:pPr>
              <w:jc w:val="center"/>
              <w:rPr>
                <w:color w:val="FFFFFF"/>
                <w:sz w:val="18"/>
                <w:szCs w:val="18"/>
              </w:rPr>
            </w:pPr>
            <w:r w:rsidRPr="002F5437">
              <w:rPr>
                <w:color w:val="FFFFFF"/>
                <w:sz w:val="18"/>
                <w:szCs w:val="18"/>
              </w:rPr>
              <w:t>Forward Estimates</w:t>
            </w:r>
          </w:p>
        </w:tc>
        <w:tc>
          <w:tcPr>
            <w:tcW w:w="1037" w:type="dxa"/>
            <w:tcBorders>
              <w:top w:val="nil"/>
              <w:left w:val="nil"/>
              <w:bottom w:val="nil"/>
              <w:right w:val="nil"/>
            </w:tcBorders>
            <w:shd w:val="clear" w:color="auto" w:fill="00ABE6"/>
            <w:vAlign w:val="center"/>
          </w:tcPr>
          <w:p w14:paraId="2627C8C7" w14:textId="2CB5ADAB" w:rsidR="00305922" w:rsidRPr="002F5437" w:rsidRDefault="00305922" w:rsidP="00626609">
            <w:pPr>
              <w:jc w:val="center"/>
              <w:rPr>
                <w:color w:val="FFFFFF"/>
                <w:sz w:val="18"/>
                <w:szCs w:val="18"/>
              </w:rPr>
            </w:pPr>
            <w:r w:rsidRPr="002F5437">
              <w:rPr>
                <w:color w:val="FFFFFF"/>
                <w:sz w:val="18"/>
                <w:szCs w:val="18"/>
              </w:rPr>
              <w:t>Budget</w:t>
            </w:r>
          </w:p>
        </w:tc>
        <w:tc>
          <w:tcPr>
            <w:tcW w:w="3111" w:type="dxa"/>
            <w:gridSpan w:val="3"/>
            <w:tcBorders>
              <w:top w:val="nil"/>
              <w:left w:val="nil"/>
              <w:bottom w:val="nil"/>
              <w:right w:val="nil"/>
            </w:tcBorders>
            <w:shd w:val="clear" w:color="auto" w:fill="00ABE6"/>
            <w:vAlign w:val="center"/>
          </w:tcPr>
          <w:p w14:paraId="36CE714E" w14:textId="7B6328F9" w:rsidR="00305922" w:rsidRPr="002F5437" w:rsidRDefault="00305922" w:rsidP="00626609">
            <w:pPr>
              <w:jc w:val="center"/>
              <w:rPr>
                <w:color w:val="FFFFFF"/>
                <w:sz w:val="18"/>
                <w:szCs w:val="18"/>
              </w:rPr>
            </w:pPr>
            <w:r w:rsidRPr="002F5437">
              <w:rPr>
                <w:color w:val="FFFFFF"/>
                <w:sz w:val="18"/>
                <w:szCs w:val="18"/>
              </w:rPr>
              <w:t>Forward Estimates</w:t>
            </w:r>
          </w:p>
        </w:tc>
        <w:tc>
          <w:tcPr>
            <w:tcW w:w="1037" w:type="dxa"/>
            <w:tcBorders>
              <w:top w:val="nil"/>
              <w:left w:val="nil"/>
              <w:bottom w:val="nil"/>
              <w:right w:val="nil"/>
            </w:tcBorders>
            <w:shd w:val="clear" w:color="auto" w:fill="00ABE6"/>
            <w:vAlign w:val="center"/>
          </w:tcPr>
          <w:p w14:paraId="71DDE3DF" w14:textId="170F08B9" w:rsidR="00305922" w:rsidRPr="002F5437" w:rsidRDefault="00305922" w:rsidP="00626609">
            <w:pPr>
              <w:jc w:val="center"/>
              <w:rPr>
                <w:color w:val="FFFFFF"/>
                <w:sz w:val="18"/>
                <w:szCs w:val="18"/>
              </w:rPr>
            </w:pPr>
            <w:r w:rsidRPr="002F5437">
              <w:rPr>
                <w:color w:val="FFFFFF"/>
                <w:sz w:val="18"/>
                <w:szCs w:val="18"/>
              </w:rPr>
              <w:t>Budget</w:t>
            </w:r>
          </w:p>
        </w:tc>
        <w:tc>
          <w:tcPr>
            <w:tcW w:w="3111" w:type="dxa"/>
            <w:gridSpan w:val="3"/>
            <w:tcBorders>
              <w:top w:val="nil"/>
              <w:left w:val="nil"/>
              <w:bottom w:val="nil"/>
              <w:right w:val="nil"/>
            </w:tcBorders>
            <w:shd w:val="clear" w:color="auto" w:fill="00ABE6"/>
            <w:vAlign w:val="center"/>
          </w:tcPr>
          <w:p w14:paraId="687BD938" w14:textId="77777777" w:rsidR="00305922" w:rsidRPr="002F5437" w:rsidRDefault="00305922" w:rsidP="00626609">
            <w:pPr>
              <w:jc w:val="center"/>
              <w:rPr>
                <w:color w:val="FFFFFF"/>
                <w:sz w:val="18"/>
                <w:szCs w:val="18"/>
              </w:rPr>
            </w:pPr>
            <w:r w:rsidRPr="002F5437">
              <w:rPr>
                <w:color w:val="FFFFFF"/>
                <w:sz w:val="18"/>
                <w:szCs w:val="18"/>
              </w:rPr>
              <w:t>Forward Estimates</w:t>
            </w:r>
          </w:p>
        </w:tc>
      </w:tr>
      <w:tr w:rsidR="00D142FD" w:rsidRPr="002F5437" w14:paraId="5454ADAD" w14:textId="77777777" w:rsidTr="001A5E3F">
        <w:trPr>
          <w:trHeight w:val="64"/>
        </w:trPr>
        <w:tc>
          <w:tcPr>
            <w:tcW w:w="2302" w:type="dxa"/>
            <w:tcBorders>
              <w:top w:val="nil"/>
              <w:left w:val="nil"/>
              <w:bottom w:val="nil"/>
              <w:right w:val="nil"/>
            </w:tcBorders>
            <w:shd w:val="clear" w:color="auto" w:fill="0A7CB9"/>
            <w:vAlign w:val="center"/>
          </w:tcPr>
          <w:p w14:paraId="6ED4B854" w14:textId="77777777" w:rsidR="007D015E" w:rsidRPr="00D142FD" w:rsidRDefault="007D015E" w:rsidP="00F71F89">
            <w:pPr>
              <w:spacing w:before="40" w:after="40"/>
              <w:ind w:right="-108"/>
              <w:rPr>
                <w:color w:val="FFFFFF" w:themeColor="background1"/>
                <w:sz w:val="18"/>
                <w:szCs w:val="18"/>
              </w:rPr>
            </w:pPr>
          </w:p>
        </w:tc>
        <w:tc>
          <w:tcPr>
            <w:tcW w:w="1001" w:type="dxa"/>
            <w:tcBorders>
              <w:top w:val="nil"/>
              <w:left w:val="nil"/>
              <w:right w:val="nil"/>
            </w:tcBorders>
            <w:shd w:val="clear" w:color="auto" w:fill="0A7CB9"/>
            <w:vAlign w:val="center"/>
          </w:tcPr>
          <w:p w14:paraId="71B069D8" w14:textId="0A2BAE34" w:rsidR="007D015E" w:rsidRPr="00D142FD" w:rsidRDefault="007D015E" w:rsidP="00D142FD">
            <w:pPr>
              <w:spacing w:before="20" w:after="20"/>
              <w:jc w:val="center"/>
              <w:rPr>
                <w:color w:val="FFFFFF" w:themeColor="background1"/>
                <w:sz w:val="18"/>
                <w:szCs w:val="18"/>
              </w:rPr>
            </w:pPr>
            <w:r w:rsidRPr="00D142FD">
              <w:rPr>
                <w:color w:val="FFFFFF" w:themeColor="background1"/>
                <w:sz w:val="18"/>
                <w:szCs w:val="18"/>
              </w:rPr>
              <w:t>$m</w:t>
            </w:r>
          </w:p>
        </w:tc>
        <w:tc>
          <w:tcPr>
            <w:tcW w:w="1002" w:type="dxa"/>
            <w:tcBorders>
              <w:top w:val="nil"/>
              <w:left w:val="nil"/>
              <w:right w:val="nil"/>
            </w:tcBorders>
            <w:shd w:val="clear" w:color="auto" w:fill="0A7CB9"/>
            <w:vAlign w:val="center"/>
          </w:tcPr>
          <w:p w14:paraId="17D98313" w14:textId="0A7DE643" w:rsidR="007D015E" w:rsidRPr="00D142FD" w:rsidRDefault="007D015E" w:rsidP="00D142FD">
            <w:pPr>
              <w:spacing w:before="20" w:after="20"/>
              <w:jc w:val="center"/>
              <w:rPr>
                <w:color w:val="FFFFFF" w:themeColor="background1"/>
                <w:sz w:val="18"/>
                <w:szCs w:val="18"/>
              </w:rPr>
            </w:pPr>
            <w:r w:rsidRPr="00D142FD">
              <w:rPr>
                <w:color w:val="FFFFFF" w:themeColor="background1"/>
                <w:sz w:val="18"/>
                <w:szCs w:val="18"/>
              </w:rPr>
              <w:t>$m</w:t>
            </w:r>
          </w:p>
        </w:tc>
        <w:tc>
          <w:tcPr>
            <w:tcW w:w="1001" w:type="dxa"/>
            <w:tcBorders>
              <w:top w:val="nil"/>
              <w:left w:val="nil"/>
              <w:right w:val="nil"/>
            </w:tcBorders>
            <w:shd w:val="clear" w:color="auto" w:fill="0A7CB9"/>
            <w:vAlign w:val="center"/>
          </w:tcPr>
          <w:p w14:paraId="0E863045" w14:textId="1E43AA28" w:rsidR="007D015E" w:rsidRPr="00D142FD" w:rsidRDefault="007D015E" w:rsidP="00D142FD">
            <w:pPr>
              <w:spacing w:before="20" w:after="20"/>
              <w:jc w:val="center"/>
              <w:rPr>
                <w:color w:val="FFFFFF" w:themeColor="background1"/>
                <w:sz w:val="18"/>
                <w:szCs w:val="18"/>
              </w:rPr>
            </w:pPr>
            <w:r w:rsidRPr="00D142FD">
              <w:rPr>
                <w:color w:val="FFFFFF" w:themeColor="background1"/>
                <w:sz w:val="18"/>
                <w:szCs w:val="18"/>
              </w:rPr>
              <w:t>$m</w:t>
            </w:r>
          </w:p>
        </w:tc>
        <w:tc>
          <w:tcPr>
            <w:tcW w:w="1002" w:type="dxa"/>
            <w:tcBorders>
              <w:top w:val="nil"/>
              <w:left w:val="nil"/>
              <w:right w:val="nil"/>
            </w:tcBorders>
            <w:shd w:val="clear" w:color="auto" w:fill="0A7CB9"/>
            <w:vAlign w:val="center"/>
          </w:tcPr>
          <w:p w14:paraId="4CF67BAA" w14:textId="48D73501" w:rsidR="007D015E" w:rsidRPr="00D142FD" w:rsidRDefault="007D015E" w:rsidP="00D142FD">
            <w:pPr>
              <w:spacing w:before="20" w:after="20"/>
              <w:jc w:val="center"/>
              <w:rPr>
                <w:color w:val="FFFFFF" w:themeColor="background1"/>
                <w:sz w:val="18"/>
                <w:szCs w:val="18"/>
              </w:rPr>
            </w:pPr>
            <w:r w:rsidRPr="00D142FD">
              <w:rPr>
                <w:color w:val="FFFFFF" w:themeColor="background1"/>
                <w:sz w:val="18"/>
                <w:szCs w:val="18"/>
              </w:rPr>
              <w:t>$m</w:t>
            </w:r>
          </w:p>
        </w:tc>
        <w:tc>
          <w:tcPr>
            <w:tcW w:w="1037" w:type="dxa"/>
            <w:tcBorders>
              <w:top w:val="nil"/>
              <w:left w:val="nil"/>
              <w:right w:val="nil"/>
            </w:tcBorders>
            <w:shd w:val="clear" w:color="auto" w:fill="0A7CB9"/>
            <w:vAlign w:val="center"/>
          </w:tcPr>
          <w:p w14:paraId="26F3163B" w14:textId="7C8806CF" w:rsidR="007D015E" w:rsidRPr="00D142FD" w:rsidRDefault="007D015E" w:rsidP="00D142FD">
            <w:pPr>
              <w:spacing w:before="20" w:after="20"/>
              <w:jc w:val="center"/>
              <w:rPr>
                <w:color w:val="FFFFFF" w:themeColor="background1"/>
                <w:sz w:val="18"/>
                <w:szCs w:val="18"/>
              </w:rPr>
            </w:pPr>
            <w:r w:rsidRPr="00D142FD">
              <w:rPr>
                <w:color w:val="FFFFFF" w:themeColor="background1"/>
                <w:sz w:val="18"/>
                <w:szCs w:val="18"/>
              </w:rPr>
              <w:t>$m</w:t>
            </w:r>
          </w:p>
        </w:tc>
        <w:tc>
          <w:tcPr>
            <w:tcW w:w="1037" w:type="dxa"/>
            <w:tcBorders>
              <w:top w:val="nil"/>
              <w:left w:val="nil"/>
              <w:right w:val="nil"/>
            </w:tcBorders>
            <w:shd w:val="clear" w:color="auto" w:fill="0A7CB9"/>
            <w:vAlign w:val="center"/>
          </w:tcPr>
          <w:p w14:paraId="56A8975F" w14:textId="2CB1A619" w:rsidR="007D015E" w:rsidRPr="00D142FD" w:rsidRDefault="007D015E" w:rsidP="00D142FD">
            <w:pPr>
              <w:spacing w:before="20" w:after="20"/>
              <w:jc w:val="center"/>
              <w:rPr>
                <w:color w:val="FFFFFF" w:themeColor="background1"/>
                <w:sz w:val="18"/>
                <w:szCs w:val="18"/>
              </w:rPr>
            </w:pPr>
            <w:r w:rsidRPr="00D142FD">
              <w:rPr>
                <w:color w:val="FFFFFF" w:themeColor="background1"/>
                <w:sz w:val="18"/>
                <w:szCs w:val="18"/>
              </w:rPr>
              <w:t>$m</w:t>
            </w:r>
          </w:p>
        </w:tc>
        <w:tc>
          <w:tcPr>
            <w:tcW w:w="1037" w:type="dxa"/>
            <w:tcBorders>
              <w:top w:val="nil"/>
              <w:left w:val="nil"/>
              <w:right w:val="nil"/>
            </w:tcBorders>
            <w:shd w:val="clear" w:color="auto" w:fill="0A7CB9"/>
            <w:vAlign w:val="center"/>
          </w:tcPr>
          <w:p w14:paraId="1CC3EB5C" w14:textId="7B9ACDE6" w:rsidR="007D015E" w:rsidRPr="00D142FD" w:rsidRDefault="007D015E" w:rsidP="00D142FD">
            <w:pPr>
              <w:spacing w:before="20" w:after="20"/>
              <w:jc w:val="center"/>
              <w:rPr>
                <w:color w:val="FFFFFF" w:themeColor="background1"/>
                <w:sz w:val="18"/>
                <w:szCs w:val="18"/>
              </w:rPr>
            </w:pPr>
            <w:r w:rsidRPr="00D142FD">
              <w:rPr>
                <w:color w:val="FFFFFF" w:themeColor="background1"/>
                <w:sz w:val="18"/>
                <w:szCs w:val="18"/>
              </w:rPr>
              <w:t>$m</w:t>
            </w:r>
          </w:p>
        </w:tc>
        <w:tc>
          <w:tcPr>
            <w:tcW w:w="1037" w:type="dxa"/>
            <w:tcBorders>
              <w:top w:val="nil"/>
              <w:left w:val="nil"/>
              <w:right w:val="nil"/>
            </w:tcBorders>
            <w:shd w:val="clear" w:color="auto" w:fill="0A7CB9"/>
            <w:vAlign w:val="center"/>
          </w:tcPr>
          <w:p w14:paraId="2328E5B7" w14:textId="5185A252" w:rsidR="007D015E" w:rsidRPr="00D142FD" w:rsidRDefault="007D015E" w:rsidP="00D142FD">
            <w:pPr>
              <w:spacing w:before="20" w:after="20"/>
              <w:jc w:val="center"/>
              <w:rPr>
                <w:color w:val="FFFFFF" w:themeColor="background1"/>
                <w:sz w:val="18"/>
                <w:szCs w:val="18"/>
              </w:rPr>
            </w:pPr>
            <w:r w:rsidRPr="00D142FD">
              <w:rPr>
                <w:color w:val="FFFFFF" w:themeColor="background1"/>
                <w:sz w:val="18"/>
                <w:szCs w:val="18"/>
              </w:rPr>
              <w:t>$m</w:t>
            </w:r>
          </w:p>
        </w:tc>
        <w:tc>
          <w:tcPr>
            <w:tcW w:w="1037" w:type="dxa"/>
            <w:tcBorders>
              <w:top w:val="nil"/>
              <w:left w:val="nil"/>
              <w:right w:val="nil"/>
            </w:tcBorders>
            <w:shd w:val="clear" w:color="auto" w:fill="0A7CB9"/>
          </w:tcPr>
          <w:p w14:paraId="73016748" w14:textId="396BBF3A" w:rsidR="007D015E" w:rsidRPr="00D142FD" w:rsidRDefault="007D015E" w:rsidP="00D142FD">
            <w:pPr>
              <w:spacing w:before="20" w:after="20"/>
              <w:jc w:val="center"/>
              <w:rPr>
                <w:color w:val="FFFFFF" w:themeColor="background1"/>
                <w:sz w:val="18"/>
                <w:szCs w:val="18"/>
              </w:rPr>
            </w:pPr>
            <w:r w:rsidRPr="00D142FD">
              <w:rPr>
                <w:color w:val="FFFFFF" w:themeColor="background1"/>
                <w:sz w:val="18"/>
                <w:szCs w:val="18"/>
              </w:rPr>
              <w:t>$m</w:t>
            </w:r>
          </w:p>
        </w:tc>
        <w:tc>
          <w:tcPr>
            <w:tcW w:w="1037" w:type="dxa"/>
            <w:tcBorders>
              <w:top w:val="nil"/>
              <w:left w:val="nil"/>
              <w:right w:val="nil"/>
            </w:tcBorders>
            <w:shd w:val="clear" w:color="auto" w:fill="0A7CB9"/>
          </w:tcPr>
          <w:p w14:paraId="17E43224" w14:textId="45DEA38B" w:rsidR="007D015E" w:rsidRPr="00D142FD" w:rsidRDefault="007D015E" w:rsidP="00D142FD">
            <w:pPr>
              <w:spacing w:before="20" w:after="20"/>
              <w:jc w:val="center"/>
              <w:rPr>
                <w:color w:val="FFFFFF" w:themeColor="background1"/>
                <w:sz w:val="18"/>
                <w:szCs w:val="18"/>
              </w:rPr>
            </w:pPr>
            <w:r w:rsidRPr="00D142FD">
              <w:rPr>
                <w:color w:val="FFFFFF" w:themeColor="background1"/>
                <w:sz w:val="18"/>
                <w:szCs w:val="18"/>
              </w:rPr>
              <w:t>$m</w:t>
            </w:r>
          </w:p>
        </w:tc>
        <w:tc>
          <w:tcPr>
            <w:tcW w:w="1037" w:type="dxa"/>
            <w:tcBorders>
              <w:top w:val="nil"/>
              <w:left w:val="nil"/>
              <w:right w:val="nil"/>
            </w:tcBorders>
            <w:shd w:val="clear" w:color="auto" w:fill="0A7CB9"/>
          </w:tcPr>
          <w:p w14:paraId="286441A8" w14:textId="4C2F72D9" w:rsidR="007D015E" w:rsidRPr="00D142FD" w:rsidRDefault="007D015E" w:rsidP="00D142FD">
            <w:pPr>
              <w:spacing w:before="20" w:after="20"/>
              <w:jc w:val="center"/>
              <w:rPr>
                <w:color w:val="FFFFFF" w:themeColor="background1"/>
                <w:sz w:val="18"/>
                <w:szCs w:val="18"/>
              </w:rPr>
            </w:pPr>
            <w:r w:rsidRPr="00D142FD">
              <w:rPr>
                <w:color w:val="FFFFFF" w:themeColor="background1"/>
                <w:sz w:val="18"/>
                <w:szCs w:val="18"/>
              </w:rPr>
              <w:t>$m</w:t>
            </w:r>
          </w:p>
        </w:tc>
        <w:tc>
          <w:tcPr>
            <w:tcW w:w="1037" w:type="dxa"/>
            <w:tcBorders>
              <w:top w:val="nil"/>
              <w:left w:val="nil"/>
              <w:right w:val="nil"/>
            </w:tcBorders>
            <w:shd w:val="clear" w:color="auto" w:fill="0A7CB9"/>
          </w:tcPr>
          <w:p w14:paraId="293794D0" w14:textId="1B739201" w:rsidR="007D015E" w:rsidRPr="00D142FD" w:rsidRDefault="007D015E" w:rsidP="00D142FD">
            <w:pPr>
              <w:spacing w:before="20" w:after="20"/>
              <w:jc w:val="center"/>
              <w:rPr>
                <w:color w:val="FFFFFF" w:themeColor="background1"/>
                <w:sz w:val="18"/>
                <w:szCs w:val="18"/>
              </w:rPr>
            </w:pPr>
            <w:r w:rsidRPr="00D142FD">
              <w:rPr>
                <w:color w:val="FFFFFF" w:themeColor="background1"/>
                <w:sz w:val="18"/>
                <w:szCs w:val="18"/>
              </w:rPr>
              <w:t>$m</w:t>
            </w:r>
          </w:p>
        </w:tc>
      </w:tr>
      <w:tr w:rsidR="00F71F89" w:rsidRPr="002F5437" w14:paraId="655DEF35" w14:textId="77777777" w:rsidTr="001A5E3F">
        <w:trPr>
          <w:trHeight w:val="64"/>
        </w:trPr>
        <w:tc>
          <w:tcPr>
            <w:tcW w:w="2302" w:type="dxa"/>
            <w:tcBorders>
              <w:top w:val="nil"/>
              <w:left w:val="nil"/>
              <w:bottom w:val="nil"/>
              <w:right w:val="nil"/>
            </w:tcBorders>
            <w:shd w:val="clear" w:color="auto" w:fill="FFFFFF" w:themeFill="background1"/>
            <w:vAlign w:val="center"/>
          </w:tcPr>
          <w:p w14:paraId="378435A7" w14:textId="4F116EDD" w:rsidR="00F71F89" w:rsidRPr="002F5437" w:rsidRDefault="00F71F89" w:rsidP="00F71F89">
            <w:pPr>
              <w:spacing w:before="40" w:after="40"/>
              <w:ind w:right="-108"/>
              <w:rPr>
                <w:i/>
                <w:sz w:val="18"/>
                <w:szCs w:val="18"/>
              </w:rPr>
            </w:pPr>
            <w:r w:rsidRPr="002F5437">
              <w:rPr>
                <w:sz w:val="18"/>
                <w:szCs w:val="18"/>
              </w:rPr>
              <w:t>Revenue from transactions</w:t>
            </w:r>
          </w:p>
        </w:tc>
        <w:tc>
          <w:tcPr>
            <w:tcW w:w="1001" w:type="dxa"/>
            <w:tcBorders>
              <w:top w:val="nil"/>
              <w:left w:val="nil"/>
              <w:right w:val="nil"/>
            </w:tcBorders>
            <w:vAlign w:val="center"/>
          </w:tcPr>
          <w:p w14:paraId="0BFA6C62" w14:textId="52900BAD" w:rsidR="00F71F89" w:rsidRPr="008D0072" w:rsidRDefault="00F71F89" w:rsidP="00736E06">
            <w:pPr>
              <w:spacing w:before="20" w:after="20"/>
              <w:ind w:left="-385" w:right="76"/>
              <w:jc w:val="right"/>
              <w:rPr>
                <w:sz w:val="18"/>
                <w:szCs w:val="18"/>
              </w:rPr>
            </w:pPr>
            <w:r w:rsidRPr="008D0072">
              <w:rPr>
                <w:sz w:val="18"/>
                <w:szCs w:val="18"/>
              </w:rPr>
              <w:t xml:space="preserve">84,185 </w:t>
            </w:r>
          </w:p>
        </w:tc>
        <w:tc>
          <w:tcPr>
            <w:tcW w:w="1002" w:type="dxa"/>
            <w:tcBorders>
              <w:top w:val="nil"/>
              <w:left w:val="nil"/>
              <w:right w:val="nil"/>
            </w:tcBorders>
            <w:vAlign w:val="center"/>
          </w:tcPr>
          <w:p w14:paraId="50C05517" w14:textId="7B1CC6A8" w:rsidR="00F71F89" w:rsidRPr="008D0072" w:rsidRDefault="00F71F89" w:rsidP="00736E06">
            <w:pPr>
              <w:spacing w:before="20" w:after="20"/>
              <w:ind w:left="-385" w:right="76"/>
              <w:jc w:val="right"/>
              <w:rPr>
                <w:sz w:val="18"/>
                <w:szCs w:val="18"/>
              </w:rPr>
            </w:pPr>
            <w:r w:rsidRPr="008D0072">
              <w:rPr>
                <w:sz w:val="18"/>
                <w:szCs w:val="18"/>
              </w:rPr>
              <w:t xml:space="preserve">87,817 </w:t>
            </w:r>
          </w:p>
        </w:tc>
        <w:tc>
          <w:tcPr>
            <w:tcW w:w="1001" w:type="dxa"/>
            <w:tcBorders>
              <w:top w:val="nil"/>
              <w:left w:val="nil"/>
              <w:right w:val="nil"/>
            </w:tcBorders>
            <w:vAlign w:val="center"/>
          </w:tcPr>
          <w:p w14:paraId="5CD04C32" w14:textId="19FE20EE" w:rsidR="00F71F89" w:rsidRPr="008D0072" w:rsidRDefault="00F71F89" w:rsidP="00736E06">
            <w:pPr>
              <w:spacing w:before="20" w:after="20"/>
              <w:ind w:left="-385" w:right="76"/>
              <w:jc w:val="right"/>
              <w:rPr>
                <w:sz w:val="18"/>
                <w:szCs w:val="18"/>
              </w:rPr>
            </w:pPr>
            <w:r w:rsidRPr="008D0072">
              <w:rPr>
                <w:sz w:val="18"/>
                <w:szCs w:val="18"/>
              </w:rPr>
              <w:t xml:space="preserve">89,829 </w:t>
            </w:r>
          </w:p>
        </w:tc>
        <w:tc>
          <w:tcPr>
            <w:tcW w:w="1002" w:type="dxa"/>
            <w:tcBorders>
              <w:top w:val="nil"/>
              <w:left w:val="nil"/>
              <w:right w:val="nil"/>
            </w:tcBorders>
            <w:vAlign w:val="center"/>
          </w:tcPr>
          <w:p w14:paraId="4EF00F63" w14:textId="454214B7" w:rsidR="00F71F89" w:rsidRPr="008D0072" w:rsidRDefault="00F71F89" w:rsidP="00736E06">
            <w:pPr>
              <w:spacing w:before="20" w:after="20"/>
              <w:ind w:left="-385" w:right="76"/>
              <w:jc w:val="right"/>
              <w:rPr>
                <w:sz w:val="18"/>
                <w:szCs w:val="18"/>
              </w:rPr>
            </w:pPr>
            <w:r w:rsidRPr="008D0072">
              <w:rPr>
                <w:sz w:val="18"/>
                <w:szCs w:val="18"/>
              </w:rPr>
              <w:t xml:space="preserve">92,085 </w:t>
            </w:r>
          </w:p>
        </w:tc>
        <w:tc>
          <w:tcPr>
            <w:tcW w:w="1037" w:type="dxa"/>
            <w:tcBorders>
              <w:top w:val="nil"/>
              <w:left w:val="nil"/>
              <w:right w:val="nil"/>
            </w:tcBorders>
            <w:vAlign w:val="center"/>
          </w:tcPr>
          <w:p w14:paraId="73CAFE7D" w14:textId="0AE2AE32" w:rsidR="00F71F89" w:rsidRPr="002F5437" w:rsidRDefault="00F71F89" w:rsidP="00F71F89">
            <w:pPr>
              <w:spacing w:before="20" w:after="20"/>
              <w:ind w:left="-385" w:right="76"/>
              <w:jc w:val="right"/>
              <w:rPr>
                <w:sz w:val="18"/>
                <w:szCs w:val="18"/>
              </w:rPr>
            </w:pPr>
            <w:r w:rsidRPr="002F5437">
              <w:rPr>
                <w:sz w:val="18"/>
                <w:szCs w:val="18"/>
              </w:rPr>
              <w:t>131</w:t>
            </w:r>
          </w:p>
        </w:tc>
        <w:tc>
          <w:tcPr>
            <w:tcW w:w="1037" w:type="dxa"/>
            <w:tcBorders>
              <w:top w:val="nil"/>
              <w:left w:val="nil"/>
              <w:right w:val="nil"/>
            </w:tcBorders>
            <w:vAlign w:val="center"/>
          </w:tcPr>
          <w:p w14:paraId="664B5866" w14:textId="1C30B069" w:rsidR="00F71F89" w:rsidRPr="002F5437" w:rsidRDefault="00F71F89" w:rsidP="00F71F89">
            <w:pPr>
              <w:spacing w:before="20" w:after="20"/>
              <w:ind w:left="-385" w:right="76"/>
              <w:jc w:val="right"/>
              <w:rPr>
                <w:sz w:val="18"/>
                <w:szCs w:val="18"/>
              </w:rPr>
            </w:pPr>
            <w:r w:rsidRPr="002F5437">
              <w:rPr>
                <w:sz w:val="18"/>
                <w:szCs w:val="18"/>
              </w:rPr>
              <w:t>(185)</w:t>
            </w:r>
          </w:p>
        </w:tc>
        <w:tc>
          <w:tcPr>
            <w:tcW w:w="1037" w:type="dxa"/>
            <w:tcBorders>
              <w:top w:val="nil"/>
              <w:left w:val="nil"/>
              <w:right w:val="nil"/>
            </w:tcBorders>
            <w:vAlign w:val="center"/>
          </w:tcPr>
          <w:p w14:paraId="243BCF84" w14:textId="354178B9" w:rsidR="00F71F89" w:rsidRPr="002F5437" w:rsidRDefault="00F71F89" w:rsidP="00F71F89">
            <w:pPr>
              <w:spacing w:before="20" w:after="20"/>
              <w:ind w:left="-385" w:right="76"/>
              <w:jc w:val="right"/>
              <w:rPr>
                <w:sz w:val="18"/>
                <w:szCs w:val="18"/>
              </w:rPr>
            </w:pPr>
            <w:r w:rsidRPr="002F5437">
              <w:rPr>
                <w:sz w:val="18"/>
                <w:szCs w:val="18"/>
              </w:rPr>
              <w:t>189</w:t>
            </w:r>
          </w:p>
        </w:tc>
        <w:tc>
          <w:tcPr>
            <w:tcW w:w="1037" w:type="dxa"/>
            <w:tcBorders>
              <w:top w:val="nil"/>
              <w:left w:val="nil"/>
              <w:right w:val="nil"/>
            </w:tcBorders>
            <w:vAlign w:val="center"/>
          </w:tcPr>
          <w:p w14:paraId="7E4AC0FB" w14:textId="155BB78D" w:rsidR="00F71F89" w:rsidRPr="002F5437" w:rsidRDefault="00F71F89" w:rsidP="00F71F89">
            <w:pPr>
              <w:spacing w:before="20" w:after="20"/>
              <w:ind w:left="-385" w:right="76"/>
              <w:jc w:val="right"/>
              <w:rPr>
                <w:sz w:val="18"/>
                <w:szCs w:val="18"/>
              </w:rPr>
            </w:pPr>
            <w:r w:rsidRPr="002F5437">
              <w:rPr>
                <w:sz w:val="18"/>
                <w:szCs w:val="18"/>
              </w:rPr>
              <w:t>(76)</w:t>
            </w:r>
          </w:p>
        </w:tc>
        <w:tc>
          <w:tcPr>
            <w:tcW w:w="1037" w:type="dxa"/>
            <w:tcBorders>
              <w:top w:val="nil"/>
              <w:left w:val="nil"/>
              <w:right w:val="nil"/>
            </w:tcBorders>
          </w:tcPr>
          <w:p w14:paraId="620E8969" w14:textId="13218A8C" w:rsidR="00F71F89" w:rsidRPr="008C7480" w:rsidRDefault="00F71F89" w:rsidP="00F71F89">
            <w:pPr>
              <w:spacing w:before="20" w:after="20"/>
              <w:ind w:left="-385" w:right="76"/>
              <w:jc w:val="right"/>
              <w:rPr>
                <w:sz w:val="18"/>
                <w:szCs w:val="18"/>
              </w:rPr>
            </w:pPr>
            <w:r w:rsidRPr="008C7480">
              <w:rPr>
                <w:sz w:val="18"/>
                <w:szCs w:val="18"/>
              </w:rPr>
              <w:t xml:space="preserve">84,316 </w:t>
            </w:r>
          </w:p>
        </w:tc>
        <w:tc>
          <w:tcPr>
            <w:tcW w:w="1037" w:type="dxa"/>
            <w:tcBorders>
              <w:top w:val="nil"/>
              <w:left w:val="nil"/>
              <w:right w:val="nil"/>
            </w:tcBorders>
          </w:tcPr>
          <w:p w14:paraId="62BA6745" w14:textId="08CCDD14" w:rsidR="00F71F89" w:rsidRPr="008C7480" w:rsidRDefault="00F71F89" w:rsidP="00F71F89">
            <w:pPr>
              <w:spacing w:before="20" w:after="20"/>
              <w:ind w:left="-385" w:right="76"/>
              <w:jc w:val="right"/>
              <w:rPr>
                <w:sz w:val="18"/>
                <w:szCs w:val="18"/>
              </w:rPr>
            </w:pPr>
            <w:r w:rsidRPr="008C7480">
              <w:rPr>
                <w:sz w:val="18"/>
                <w:szCs w:val="18"/>
              </w:rPr>
              <w:t xml:space="preserve">87,632 </w:t>
            </w:r>
          </w:p>
        </w:tc>
        <w:tc>
          <w:tcPr>
            <w:tcW w:w="1037" w:type="dxa"/>
            <w:tcBorders>
              <w:top w:val="nil"/>
              <w:left w:val="nil"/>
              <w:right w:val="nil"/>
            </w:tcBorders>
          </w:tcPr>
          <w:p w14:paraId="2418B203" w14:textId="3649EEEE" w:rsidR="00F71F89" w:rsidRPr="008C7480" w:rsidRDefault="00F71F89" w:rsidP="00F71F89">
            <w:pPr>
              <w:spacing w:before="20" w:after="20"/>
              <w:ind w:left="-385" w:right="76"/>
              <w:jc w:val="right"/>
              <w:rPr>
                <w:sz w:val="18"/>
                <w:szCs w:val="18"/>
              </w:rPr>
            </w:pPr>
            <w:r w:rsidRPr="008C7480">
              <w:rPr>
                <w:sz w:val="18"/>
                <w:szCs w:val="18"/>
              </w:rPr>
              <w:t xml:space="preserve">90,018 </w:t>
            </w:r>
          </w:p>
        </w:tc>
        <w:tc>
          <w:tcPr>
            <w:tcW w:w="1037" w:type="dxa"/>
            <w:tcBorders>
              <w:top w:val="nil"/>
              <w:left w:val="nil"/>
              <w:right w:val="nil"/>
            </w:tcBorders>
          </w:tcPr>
          <w:p w14:paraId="6271DECD" w14:textId="4D5FEFCF" w:rsidR="00F71F89" w:rsidRPr="008C7480" w:rsidRDefault="00F71F89" w:rsidP="00F71F89">
            <w:pPr>
              <w:spacing w:before="20" w:after="20"/>
              <w:ind w:left="-385" w:right="76"/>
              <w:jc w:val="right"/>
              <w:rPr>
                <w:sz w:val="18"/>
                <w:szCs w:val="18"/>
              </w:rPr>
            </w:pPr>
            <w:r w:rsidRPr="008C7480">
              <w:rPr>
                <w:sz w:val="18"/>
                <w:szCs w:val="18"/>
              </w:rPr>
              <w:t xml:space="preserve">92,009 </w:t>
            </w:r>
          </w:p>
        </w:tc>
      </w:tr>
      <w:tr w:rsidR="00F71F89" w:rsidRPr="002F5437" w14:paraId="7E9BF37F" w14:textId="77777777" w:rsidTr="001A5E3F">
        <w:trPr>
          <w:trHeight w:val="64"/>
        </w:trPr>
        <w:tc>
          <w:tcPr>
            <w:tcW w:w="2302" w:type="dxa"/>
            <w:tcBorders>
              <w:top w:val="nil"/>
              <w:left w:val="nil"/>
              <w:bottom w:val="single" w:sz="4" w:space="0" w:color="auto"/>
              <w:right w:val="nil"/>
            </w:tcBorders>
            <w:shd w:val="clear" w:color="auto" w:fill="FFFFFF" w:themeFill="background1"/>
            <w:vAlign w:val="center"/>
          </w:tcPr>
          <w:p w14:paraId="38C56956" w14:textId="6AD6F0AB" w:rsidR="00F71F89" w:rsidRPr="002F5437" w:rsidRDefault="00F71F89" w:rsidP="00F71F89">
            <w:pPr>
              <w:spacing w:before="40" w:after="40"/>
              <w:ind w:right="-108"/>
              <w:rPr>
                <w:i/>
                <w:sz w:val="18"/>
                <w:szCs w:val="18"/>
              </w:rPr>
            </w:pPr>
            <w:r w:rsidRPr="002F5437">
              <w:rPr>
                <w:sz w:val="18"/>
                <w:szCs w:val="18"/>
              </w:rPr>
              <w:t>Expenses from transactions</w:t>
            </w:r>
            <w:r w:rsidRPr="002F5437">
              <w:rPr>
                <w:i/>
                <w:sz w:val="18"/>
                <w:szCs w:val="18"/>
              </w:rPr>
              <w:t xml:space="preserve"> </w:t>
            </w:r>
          </w:p>
        </w:tc>
        <w:tc>
          <w:tcPr>
            <w:tcW w:w="1001" w:type="dxa"/>
            <w:tcBorders>
              <w:top w:val="nil"/>
              <w:left w:val="nil"/>
              <w:bottom w:val="single" w:sz="4" w:space="0" w:color="auto"/>
              <w:right w:val="nil"/>
            </w:tcBorders>
            <w:vAlign w:val="center"/>
          </w:tcPr>
          <w:p w14:paraId="2CCE6BA3" w14:textId="747FBFBF" w:rsidR="00F71F89" w:rsidRPr="008D0072" w:rsidRDefault="00F71F89" w:rsidP="00736E06">
            <w:pPr>
              <w:spacing w:before="20" w:after="20"/>
              <w:ind w:left="-385" w:right="76"/>
              <w:jc w:val="right"/>
              <w:rPr>
                <w:sz w:val="18"/>
                <w:szCs w:val="18"/>
              </w:rPr>
            </w:pPr>
            <w:r w:rsidRPr="008D0072">
              <w:rPr>
                <w:sz w:val="18"/>
                <w:szCs w:val="18"/>
              </w:rPr>
              <w:t xml:space="preserve">83,201 </w:t>
            </w:r>
          </w:p>
        </w:tc>
        <w:tc>
          <w:tcPr>
            <w:tcW w:w="1002" w:type="dxa"/>
            <w:tcBorders>
              <w:top w:val="nil"/>
              <w:left w:val="nil"/>
              <w:bottom w:val="single" w:sz="4" w:space="0" w:color="auto"/>
              <w:right w:val="nil"/>
            </w:tcBorders>
            <w:vAlign w:val="center"/>
          </w:tcPr>
          <w:p w14:paraId="41E12692" w14:textId="63EC03A3" w:rsidR="00F71F89" w:rsidRPr="008D0072" w:rsidRDefault="00F71F89" w:rsidP="00736E06">
            <w:pPr>
              <w:spacing w:before="20" w:after="20"/>
              <w:ind w:left="-385" w:right="76"/>
              <w:jc w:val="right"/>
              <w:rPr>
                <w:sz w:val="18"/>
                <w:szCs w:val="18"/>
              </w:rPr>
            </w:pPr>
            <w:r w:rsidRPr="008D0072">
              <w:rPr>
                <w:sz w:val="18"/>
                <w:szCs w:val="18"/>
              </w:rPr>
              <w:t xml:space="preserve">86,326 </w:t>
            </w:r>
          </w:p>
        </w:tc>
        <w:tc>
          <w:tcPr>
            <w:tcW w:w="1001" w:type="dxa"/>
            <w:tcBorders>
              <w:top w:val="nil"/>
              <w:left w:val="nil"/>
              <w:bottom w:val="single" w:sz="4" w:space="0" w:color="auto"/>
              <w:right w:val="nil"/>
            </w:tcBorders>
            <w:vAlign w:val="center"/>
          </w:tcPr>
          <w:p w14:paraId="75827F90" w14:textId="70546ACA" w:rsidR="00F71F89" w:rsidRPr="008D0072" w:rsidRDefault="00F71F89" w:rsidP="00736E06">
            <w:pPr>
              <w:spacing w:before="20" w:after="20"/>
              <w:ind w:left="-385" w:right="76"/>
              <w:jc w:val="right"/>
              <w:rPr>
                <w:sz w:val="18"/>
                <w:szCs w:val="18"/>
              </w:rPr>
            </w:pPr>
            <w:r w:rsidRPr="008D0072">
              <w:rPr>
                <w:sz w:val="18"/>
                <w:szCs w:val="18"/>
              </w:rPr>
              <w:t xml:space="preserve">87,950 </w:t>
            </w:r>
          </w:p>
        </w:tc>
        <w:tc>
          <w:tcPr>
            <w:tcW w:w="1002" w:type="dxa"/>
            <w:tcBorders>
              <w:top w:val="nil"/>
              <w:left w:val="nil"/>
              <w:bottom w:val="single" w:sz="4" w:space="0" w:color="auto"/>
              <w:right w:val="nil"/>
            </w:tcBorders>
            <w:vAlign w:val="center"/>
          </w:tcPr>
          <w:p w14:paraId="19871406" w14:textId="7191BAC5" w:rsidR="00F71F89" w:rsidRPr="008D0072" w:rsidRDefault="00F71F89" w:rsidP="00736E06">
            <w:pPr>
              <w:spacing w:before="20" w:after="20"/>
              <w:ind w:left="-385" w:right="76"/>
              <w:jc w:val="right"/>
              <w:rPr>
                <w:sz w:val="18"/>
                <w:szCs w:val="18"/>
              </w:rPr>
            </w:pPr>
            <w:r w:rsidRPr="008D0072">
              <w:rPr>
                <w:sz w:val="18"/>
                <w:szCs w:val="18"/>
              </w:rPr>
              <w:t xml:space="preserve">89,366 </w:t>
            </w:r>
          </w:p>
        </w:tc>
        <w:tc>
          <w:tcPr>
            <w:tcW w:w="1037" w:type="dxa"/>
            <w:tcBorders>
              <w:top w:val="nil"/>
              <w:left w:val="nil"/>
              <w:bottom w:val="single" w:sz="4" w:space="0" w:color="auto"/>
              <w:right w:val="nil"/>
            </w:tcBorders>
            <w:vAlign w:val="center"/>
          </w:tcPr>
          <w:p w14:paraId="2C32E78D" w14:textId="2BC132C4" w:rsidR="00F71F89" w:rsidRPr="002F5437" w:rsidRDefault="00F71F89" w:rsidP="00F71F89">
            <w:pPr>
              <w:spacing w:before="20" w:after="20"/>
              <w:ind w:left="-385" w:right="76"/>
              <w:jc w:val="right"/>
              <w:rPr>
                <w:sz w:val="18"/>
                <w:szCs w:val="18"/>
              </w:rPr>
            </w:pPr>
            <w:r w:rsidRPr="002F5437">
              <w:rPr>
                <w:sz w:val="18"/>
                <w:szCs w:val="18"/>
              </w:rPr>
              <w:t>98</w:t>
            </w:r>
          </w:p>
        </w:tc>
        <w:tc>
          <w:tcPr>
            <w:tcW w:w="1037" w:type="dxa"/>
            <w:tcBorders>
              <w:top w:val="nil"/>
              <w:left w:val="nil"/>
              <w:bottom w:val="single" w:sz="4" w:space="0" w:color="auto"/>
              <w:right w:val="nil"/>
            </w:tcBorders>
            <w:vAlign w:val="center"/>
          </w:tcPr>
          <w:p w14:paraId="33F79969" w14:textId="2DC54FB6" w:rsidR="00F71F89" w:rsidRPr="002F5437" w:rsidRDefault="00F71F89" w:rsidP="00F71F89">
            <w:pPr>
              <w:spacing w:before="20" w:after="20"/>
              <w:ind w:left="-385" w:right="76"/>
              <w:jc w:val="right"/>
              <w:rPr>
                <w:sz w:val="18"/>
                <w:szCs w:val="18"/>
              </w:rPr>
            </w:pPr>
            <w:r w:rsidRPr="002F5437">
              <w:rPr>
                <w:sz w:val="18"/>
                <w:szCs w:val="18"/>
              </w:rPr>
              <w:t>78</w:t>
            </w:r>
          </w:p>
        </w:tc>
        <w:tc>
          <w:tcPr>
            <w:tcW w:w="1037" w:type="dxa"/>
            <w:tcBorders>
              <w:top w:val="nil"/>
              <w:left w:val="nil"/>
              <w:bottom w:val="single" w:sz="4" w:space="0" w:color="auto"/>
              <w:right w:val="nil"/>
            </w:tcBorders>
            <w:vAlign w:val="center"/>
          </w:tcPr>
          <w:p w14:paraId="2A25AB4A" w14:textId="058FD00A" w:rsidR="00F71F89" w:rsidRPr="002F5437" w:rsidRDefault="00F71F89" w:rsidP="00F71F89">
            <w:pPr>
              <w:spacing w:before="20" w:after="20"/>
              <w:ind w:left="-385" w:right="76"/>
              <w:jc w:val="right"/>
              <w:rPr>
                <w:sz w:val="18"/>
                <w:szCs w:val="18"/>
              </w:rPr>
            </w:pPr>
            <w:r w:rsidRPr="002F5437">
              <w:rPr>
                <w:sz w:val="18"/>
                <w:szCs w:val="18"/>
              </w:rPr>
              <w:t>66</w:t>
            </w:r>
          </w:p>
        </w:tc>
        <w:tc>
          <w:tcPr>
            <w:tcW w:w="1037" w:type="dxa"/>
            <w:tcBorders>
              <w:top w:val="nil"/>
              <w:left w:val="nil"/>
              <w:bottom w:val="single" w:sz="4" w:space="0" w:color="auto"/>
              <w:right w:val="nil"/>
            </w:tcBorders>
            <w:vAlign w:val="center"/>
          </w:tcPr>
          <w:p w14:paraId="38312E5C" w14:textId="792CB7B7" w:rsidR="00F71F89" w:rsidRPr="002F5437" w:rsidRDefault="00F71F89" w:rsidP="00F71F89">
            <w:pPr>
              <w:spacing w:before="20" w:after="20"/>
              <w:ind w:left="-385" w:right="76"/>
              <w:jc w:val="right"/>
              <w:rPr>
                <w:sz w:val="18"/>
                <w:szCs w:val="18"/>
              </w:rPr>
            </w:pPr>
            <w:r w:rsidRPr="002F5437">
              <w:rPr>
                <w:sz w:val="18"/>
                <w:szCs w:val="18"/>
              </w:rPr>
              <w:t>44</w:t>
            </w:r>
          </w:p>
        </w:tc>
        <w:tc>
          <w:tcPr>
            <w:tcW w:w="1037" w:type="dxa"/>
            <w:tcBorders>
              <w:top w:val="nil"/>
              <w:left w:val="nil"/>
              <w:bottom w:val="single" w:sz="4" w:space="0" w:color="auto"/>
              <w:right w:val="nil"/>
            </w:tcBorders>
          </w:tcPr>
          <w:p w14:paraId="57C3B316" w14:textId="7EB70D46" w:rsidR="00F71F89" w:rsidRPr="008C7480" w:rsidRDefault="00F71F89" w:rsidP="00F71F89">
            <w:pPr>
              <w:spacing w:before="20" w:after="20"/>
              <w:ind w:left="-385" w:right="76"/>
              <w:jc w:val="right"/>
              <w:rPr>
                <w:sz w:val="18"/>
                <w:szCs w:val="18"/>
              </w:rPr>
            </w:pPr>
            <w:r w:rsidRPr="008C7480">
              <w:rPr>
                <w:sz w:val="18"/>
                <w:szCs w:val="18"/>
              </w:rPr>
              <w:t xml:space="preserve">83,300 </w:t>
            </w:r>
          </w:p>
        </w:tc>
        <w:tc>
          <w:tcPr>
            <w:tcW w:w="1037" w:type="dxa"/>
            <w:tcBorders>
              <w:top w:val="nil"/>
              <w:left w:val="nil"/>
              <w:bottom w:val="single" w:sz="4" w:space="0" w:color="auto"/>
              <w:right w:val="nil"/>
            </w:tcBorders>
          </w:tcPr>
          <w:p w14:paraId="09BA469C" w14:textId="4F85446B" w:rsidR="00F71F89" w:rsidRPr="008C7480" w:rsidRDefault="00F71F89" w:rsidP="00F71F89">
            <w:pPr>
              <w:spacing w:before="20" w:after="20"/>
              <w:ind w:left="-385" w:right="76"/>
              <w:jc w:val="right"/>
              <w:rPr>
                <w:sz w:val="18"/>
                <w:szCs w:val="18"/>
              </w:rPr>
            </w:pPr>
            <w:r w:rsidRPr="008C7480">
              <w:rPr>
                <w:sz w:val="18"/>
                <w:szCs w:val="18"/>
              </w:rPr>
              <w:t xml:space="preserve">86,405 </w:t>
            </w:r>
          </w:p>
        </w:tc>
        <w:tc>
          <w:tcPr>
            <w:tcW w:w="1037" w:type="dxa"/>
            <w:tcBorders>
              <w:top w:val="nil"/>
              <w:left w:val="nil"/>
              <w:bottom w:val="single" w:sz="4" w:space="0" w:color="auto"/>
              <w:right w:val="nil"/>
            </w:tcBorders>
          </w:tcPr>
          <w:p w14:paraId="4A338C90" w14:textId="469E9ECD" w:rsidR="00F71F89" w:rsidRPr="008C7480" w:rsidRDefault="00F71F89" w:rsidP="00F71F89">
            <w:pPr>
              <w:spacing w:before="20" w:after="20"/>
              <w:ind w:left="-385" w:right="76"/>
              <w:jc w:val="right"/>
              <w:rPr>
                <w:sz w:val="18"/>
                <w:szCs w:val="18"/>
              </w:rPr>
            </w:pPr>
            <w:r w:rsidRPr="008C7480">
              <w:rPr>
                <w:sz w:val="18"/>
                <w:szCs w:val="18"/>
              </w:rPr>
              <w:t xml:space="preserve">88,016 </w:t>
            </w:r>
          </w:p>
        </w:tc>
        <w:tc>
          <w:tcPr>
            <w:tcW w:w="1037" w:type="dxa"/>
            <w:tcBorders>
              <w:top w:val="nil"/>
              <w:left w:val="nil"/>
              <w:bottom w:val="single" w:sz="4" w:space="0" w:color="auto"/>
              <w:right w:val="nil"/>
            </w:tcBorders>
          </w:tcPr>
          <w:p w14:paraId="36A44B80" w14:textId="4E3F07D2" w:rsidR="00F71F89" w:rsidRPr="008C7480" w:rsidRDefault="00F71F89" w:rsidP="00F71F89">
            <w:pPr>
              <w:spacing w:before="20" w:after="20"/>
              <w:ind w:left="-385" w:right="76"/>
              <w:jc w:val="right"/>
              <w:rPr>
                <w:sz w:val="18"/>
                <w:szCs w:val="18"/>
              </w:rPr>
            </w:pPr>
            <w:r w:rsidRPr="008C7480">
              <w:rPr>
                <w:sz w:val="18"/>
                <w:szCs w:val="18"/>
              </w:rPr>
              <w:t xml:space="preserve">89,410 </w:t>
            </w:r>
          </w:p>
        </w:tc>
      </w:tr>
      <w:tr w:rsidR="00F71F89" w:rsidRPr="002F5437" w14:paraId="58FE24E2" w14:textId="77777777" w:rsidTr="001A5E3F">
        <w:trPr>
          <w:trHeight w:val="96"/>
        </w:trPr>
        <w:tc>
          <w:tcPr>
            <w:tcW w:w="2302" w:type="dxa"/>
            <w:tcBorders>
              <w:top w:val="single" w:sz="4" w:space="0" w:color="auto"/>
              <w:left w:val="nil"/>
              <w:bottom w:val="single" w:sz="4" w:space="0" w:color="auto"/>
              <w:right w:val="nil"/>
            </w:tcBorders>
            <w:shd w:val="clear" w:color="auto" w:fill="FFFFFF" w:themeFill="background1"/>
            <w:vAlign w:val="center"/>
          </w:tcPr>
          <w:p w14:paraId="185895B7" w14:textId="52DBCEE6" w:rsidR="00F71F89" w:rsidRPr="002F5437" w:rsidRDefault="00F71F89" w:rsidP="00F71F89">
            <w:pPr>
              <w:spacing w:before="40" w:after="40"/>
              <w:ind w:right="-108"/>
              <w:rPr>
                <w:b/>
                <w:color w:val="00ABE6"/>
                <w:sz w:val="18"/>
                <w:szCs w:val="18"/>
              </w:rPr>
            </w:pPr>
            <w:r w:rsidRPr="002F5437">
              <w:rPr>
                <w:b/>
                <w:color w:val="00ABE6"/>
                <w:sz w:val="18"/>
                <w:szCs w:val="18"/>
              </w:rPr>
              <w:t xml:space="preserve">Budget result </w:t>
            </w:r>
          </w:p>
        </w:tc>
        <w:tc>
          <w:tcPr>
            <w:tcW w:w="1001" w:type="dxa"/>
            <w:tcBorders>
              <w:top w:val="single" w:sz="4" w:space="0" w:color="auto"/>
              <w:left w:val="nil"/>
              <w:bottom w:val="single" w:sz="4" w:space="0" w:color="auto"/>
              <w:right w:val="nil"/>
            </w:tcBorders>
            <w:shd w:val="clear" w:color="auto" w:fill="FFFFFF" w:themeFill="background1"/>
            <w:vAlign w:val="center"/>
          </w:tcPr>
          <w:p w14:paraId="38F2925A" w14:textId="631BEBF6" w:rsidR="00F71F89" w:rsidRPr="0037730D" w:rsidRDefault="00F71F89" w:rsidP="00736E06">
            <w:pPr>
              <w:spacing w:before="20" w:after="20"/>
              <w:ind w:left="-385" w:right="76"/>
              <w:jc w:val="right"/>
              <w:rPr>
                <w:b/>
                <w:color w:val="00ABE6"/>
                <w:sz w:val="18"/>
                <w:szCs w:val="18"/>
              </w:rPr>
            </w:pPr>
            <w:r w:rsidRPr="0037730D">
              <w:rPr>
                <w:b/>
                <w:color w:val="00ABE6"/>
                <w:sz w:val="18"/>
                <w:szCs w:val="18"/>
              </w:rPr>
              <w:t xml:space="preserve">984 </w:t>
            </w:r>
          </w:p>
        </w:tc>
        <w:tc>
          <w:tcPr>
            <w:tcW w:w="1002" w:type="dxa"/>
            <w:tcBorders>
              <w:top w:val="single" w:sz="4" w:space="0" w:color="auto"/>
              <w:left w:val="nil"/>
              <w:bottom w:val="single" w:sz="4" w:space="0" w:color="auto"/>
              <w:right w:val="nil"/>
            </w:tcBorders>
            <w:shd w:val="clear" w:color="auto" w:fill="FFFFFF" w:themeFill="background1"/>
            <w:vAlign w:val="center"/>
          </w:tcPr>
          <w:p w14:paraId="4C9EF907" w14:textId="4138330E" w:rsidR="00F71F89" w:rsidRPr="0037730D" w:rsidRDefault="00F71F89" w:rsidP="00736E06">
            <w:pPr>
              <w:spacing w:before="20" w:after="20"/>
              <w:ind w:left="-385" w:right="76"/>
              <w:jc w:val="right"/>
              <w:rPr>
                <w:b/>
                <w:color w:val="00ABE6"/>
                <w:sz w:val="18"/>
                <w:szCs w:val="18"/>
              </w:rPr>
            </w:pPr>
            <w:r w:rsidRPr="0037730D">
              <w:rPr>
                <w:b/>
                <w:color w:val="00ABE6"/>
                <w:sz w:val="18"/>
                <w:szCs w:val="18"/>
              </w:rPr>
              <w:t xml:space="preserve">1,491 </w:t>
            </w:r>
          </w:p>
        </w:tc>
        <w:tc>
          <w:tcPr>
            <w:tcW w:w="1001" w:type="dxa"/>
            <w:tcBorders>
              <w:top w:val="single" w:sz="4" w:space="0" w:color="auto"/>
              <w:left w:val="nil"/>
              <w:bottom w:val="single" w:sz="4" w:space="0" w:color="auto"/>
              <w:right w:val="nil"/>
            </w:tcBorders>
            <w:shd w:val="clear" w:color="auto" w:fill="FFFFFF" w:themeFill="background1"/>
            <w:vAlign w:val="center"/>
          </w:tcPr>
          <w:p w14:paraId="5173927D" w14:textId="240B6F23" w:rsidR="00F71F89" w:rsidRPr="0037730D" w:rsidRDefault="00F71F89" w:rsidP="00736E06">
            <w:pPr>
              <w:spacing w:before="20" w:after="20"/>
              <w:ind w:left="-385" w:right="76"/>
              <w:jc w:val="right"/>
              <w:rPr>
                <w:b/>
                <w:color w:val="00ABE6"/>
                <w:sz w:val="18"/>
                <w:szCs w:val="18"/>
              </w:rPr>
            </w:pPr>
            <w:r w:rsidRPr="0037730D">
              <w:rPr>
                <w:b/>
                <w:color w:val="00ABE6"/>
                <w:sz w:val="18"/>
                <w:szCs w:val="18"/>
              </w:rPr>
              <w:t xml:space="preserve">1,880 </w:t>
            </w:r>
          </w:p>
        </w:tc>
        <w:tc>
          <w:tcPr>
            <w:tcW w:w="1002" w:type="dxa"/>
            <w:tcBorders>
              <w:top w:val="single" w:sz="4" w:space="0" w:color="auto"/>
              <w:left w:val="nil"/>
              <w:bottom w:val="single" w:sz="4" w:space="0" w:color="auto"/>
              <w:right w:val="nil"/>
            </w:tcBorders>
            <w:shd w:val="clear" w:color="auto" w:fill="FFFFFF" w:themeFill="background1"/>
            <w:vAlign w:val="center"/>
          </w:tcPr>
          <w:p w14:paraId="3D0467B3" w14:textId="65B35D64" w:rsidR="00F71F89" w:rsidRPr="0037730D" w:rsidRDefault="00F71F89" w:rsidP="00736E06">
            <w:pPr>
              <w:spacing w:before="20" w:after="20"/>
              <w:ind w:left="-385" w:right="76"/>
              <w:jc w:val="right"/>
              <w:rPr>
                <w:b/>
                <w:color w:val="00ABE6"/>
                <w:sz w:val="18"/>
                <w:szCs w:val="18"/>
              </w:rPr>
            </w:pPr>
            <w:r w:rsidRPr="0037730D">
              <w:rPr>
                <w:b/>
                <w:color w:val="00ABE6"/>
                <w:sz w:val="18"/>
                <w:szCs w:val="18"/>
              </w:rPr>
              <w:t xml:space="preserve">2,719 </w:t>
            </w:r>
          </w:p>
        </w:tc>
        <w:tc>
          <w:tcPr>
            <w:tcW w:w="1037" w:type="dxa"/>
            <w:tcBorders>
              <w:top w:val="single" w:sz="4" w:space="0" w:color="auto"/>
              <w:left w:val="nil"/>
              <w:bottom w:val="single" w:sz="4" w:space="0" w:color="auto"/>
              <w:right w:val="nil"/>
            </w:tcBorders>
            <w:shd w:val="clear" w:color="auto" w:fill="FFFFFF" w:themeFill="background1"/>
            <w:vAlign w:val="center"/>
          </w:tcPr>
          <w:p w14:paraId="0EA3A26A" w14:textId="4390EE80" w:rsidR="00F71F89" w:rsidRPr="002F5437" w:rsidRDefault="00F71F89" w:rsidP="00F71F89">
            <w:pPr>
              <w:spacing w:before="20" w:after="20"/>
              <w:ind w:left="-385" w:right="76"/>
              <w:jc w:val="right"/>
              <w:rPr>
                <w:b/>
                <w:color w:val="00ABE6"/>
                <w:sz w:val="18"/>
                <w:szCs w:val="18"/>
              </w:rPr>
            </w:pPr>
            <w:r w:rsidRPr="002F5437">
              <w:rPr>
                <w:b/>
                <w:color w:val="00ABE6"/>
                <w:sz w:val="18"/>
                <w:szCs w:val="18"/>
              </w:rPr>
              <w:t>32</w:t>
            </w:r>
          </w:p>
        </w:tc>
        <w:tc>
          <w:tcPr>
            <w:tcW w:w="1037" w:type="dxa"/>
            <w:tcBorders>
              <w:top w:val="single" w:sz="4" w:space="0" w:color="auto"/>
              <w:left w:val="nil"/>
              <w:bottom w:val="single" w:sz="4" w:space="0" w:color="auto"/>
              <w:right w:val="nil"/>
            </w:tcBorders>
            <w:shd w:val="clear" w:color="auto" w:fill="FFFFFF" w:themeFill="background1"/>
            <w:vAlign w:val="center"/>
          </w:tcPr>
          <w:p w14:paraId="6FB6BD1A" w14:textId="7E868415" w:rsidR="00F71F89" w:rsidRPr="002F5437" w:rsidRDefault="00F71F89" w:rsidP="00F71F89">
            <w:pPr>
              <w:spacing w:before="20" w:after="20"/>
              <w:ind w:left="-385" w:right="76"/>
              <w:jc w:val="right"/>
              <w:rPr>
                <w:b/>
                <w:color w:val="00ABE6"/>
                <w:sz w:val="18"/>
                <w:szCs w:val="18"/>
              </w:rPr>
            </w:pPr>
            <w:r w:rsidRPr="002F5437">
              <w:rPr>
                <w:b/>
                <w:color w:val="00ABE6"/>
                <w:sz w:val="18"/>
                <w:szCs w:val="18"/>
              </w:rPr>
              <w:t>(264)</w:t>
            </w:r>
          </w:p>
        </w:tc>
        <w:tc>
          <w:tcPr>
            <w:tcW w:w="1037" w:type="dxa"/>
            <w:tcBorders>
              <w:top w:val="single" w:sz="4" w:space="0" w:color="auto"/>
              <w:left w:val="nil"/>
              <w:bottom w:val="single" w:sz="4" w:space="0" w:color="auto"/>
              <w:right w:val="nil"/>
            </w:tcBorders>
            <w:shd w:val="clear" w:color="auto" w:fill="FFFFFF" w:themeFill="background1"/>
            <w:vAlign w:val="center"/>
          </w:tcPr>
          <w:p w14:paraId="52E73D83" w14:textId="2A1A8AA1" w:rsidR="00F71F89" w:rsidRPr="002F5437" w:rsidRDefault="00F71F89" w:rsidP="00F71F89">
            <w:pPr>
              <w:spacing w:before="20" w:after="20"/>
              <w:ind w:left="-385" w:right="76"/>
              <w:jc w:val="right"/>
              <w:rPr>
                <w:b/>
                <w:color w:val="00ABE6"/>
                <w:sz w:val="18"/>
                <w:szCs w:val="18"/>
              </w:rPr>
            </w:pPr>
            <w:r w:rsidRPr="002F5437">
              <w:rPr>
                <w:b/>
                <w:color w:val="00ABE6"/>
                <w:sz w:val="18"/>
                <w:szCs w:val="18"/>
              </w:rPr>
              <w:t>123</w:t>
            </w:r>
          </w:p>
        </w:tc>
        <w:tc>
          <w:tcPr>
            <w:tcW w:w="1037" w:type="dxa"/>
            <w:tcBorders>
              <w:top w:val="single" w:sz="4" w:space="0" w:color="auto"/>
              <w:left w:val="nil"/>
              <w:bottom w:val="single" w:sz="4" w:space="0" w:color="auto"/>
              <w:right w:val="nil"/>
            </w:tcBorders>
            <w:shd w:val="clear" w:color="auto" w:fill="FFFFFF" w:themeFill="background1"/>
            <w:vAlign w:val="center"/>
          </w:tcPr>
          <w:p w14:paraId="37F6A89A" w14:textId="76410D3A" w:rsidR="00F71F89" w:rsidRPr="002F5437" w:rsidRDefault="00F71F89" w:rsidP="00F71F89">
            <w:pPr>
              <w:spacing w:before="20" w:after="20"/>
              <w:ind w:left="-385" w:right="76"/>
              <w:jc w:val="right"/>
              <w:rPr>
                <w:b/>
                <w:color w:val="00ABE6"/>
                <w:sz w:val="18"/>
                <w:szCs w:val="18"/>
              </w:rPr>
            </w:pPr>
            <w:r w:rsidRPr="002F5437">
              <w:rPr>
                <w:b/>
                <w:color w:val="00ABE6"/>
                <w:sz w:val="18"/>
                <w:szCs w:val="18"/>
              </w:rPr>
              <w:t>(120)</w:t>
            </w:r>
          </w:p>
        </w:tc>
        <w:tc>
          <w:tcPr>
            <w:tcW w:w="1037" w:type="dxa"/>
            <w:tcBorders>
              <w:top w:val="single" w:sz="4" w:space="0" w:color="auto"/>
              <w:left w:val="nil"/>
              <w:bottom w:val="single" w:sz="4" w:space="0" w:color="auto"/>
              <w:right w:val="nil"/>
            </w:tcBorders>
            <w:shd w:val="clear" w:color="auto" w:fill="FFFFFF" w:themeFill="background1"/>
          </w:tcPr>
          <w:p w14:paraId="197E0B1D" w14:textId="2D12B0B4" w:rsidR="00F71F89" w:rsidRPr="008C7480" w:rsidRDefault="00F71F89" w:rsidP="00F71F89">
            <w:pPr>
              <w:spacing w:before="20" w:after="20"/>
              <w:ind w:left="-385" w:right="76"/>
              <w:jc w:val="right"/>
              <w:rPr>
                <w:b/>
                <w:color w:val="00ABE6"/>
                <w:sz w:val="18"/>
                <w:szCs w:val="18"/>
              </w:rPr>
            </w:pPr>
            <w:r w:rsidRPr="008C7480">
              <w:rPr>
                <w:b/>
                <w:color w:val="00ABE6"/>
                <w:sz w:val="18"/>
                <w:szCs w:val="18"/>
              </w:rPr>
              <w:t xml:space="preserve">1,016 </w:t>
            </w:r>
          </w:p>
        </w:tc>
        <w:tc>
          <w:tcPr>
            <w:tcW w:w="1037" w:type="dxa"/>
            <w:tcBorders>
              <w:top w:val="single" w:sz="4" w:space="0" w:color="auto"/>
              <w:left w:val="nil"/>
              <w:bottom w:val="single" w:sz="4" w:space="0" w:color="auto"/>
              <w:right w:val="nil"/>
            </w:tcBorders>
            <w:shd w:val="clear" w:color="auto" w:fill="FFFFFF" w:themeFill="background1"/>
          </w:tcPr>
          <w:p w14:paraId="137D14AE" w14:textId="4111A808" w:rsidR="00F71F89" w:rsidRPr="008C7480" w:rsidRDefault="00F71F89" w:rsidP="00F71F89">
            <w:pPr>
              <w:spacing w:before="20" w:after="20"/>
              <w:ind w:left="-385" w:right="76"/>
              <w:jc w:val="right"/>
              <w:rPr>
                <w:b/>
                <w:color w:val="00ABE6"/>
                <w:sz w:val="18"/>
                <w:szCs w:val="18"/>
              </w:rPr>
            </w:pPr>
            <w:r w:rsidRPr="008C7480">
              <w:rPr>
                <w:b/>
                <w:color w:val="00ABE6"/>
                <w:sz w:val="18"/>
                <w:szCs w:val="18"/>
              </w:rPr>
              <w:t xml:space="preserve">1,227 </w:t>
            </w:r>
          </w:p>
        </w:tc>
        <w:tc>
          <w:tcPr>
            <w:tcW w:w="1037" w:type="dxa"/>
            <w:tcBorders>
              <w:top w:val="single" w:sz="4" w:space="0" w:color="auto"/>
              <w:left w:val="nil"/>
              <w:bottom w:val="single" w:sz="4" w:space="0" w:color="auto"/>
              <w:right w:val="nil"/>
            </w:tcBorders>
            <w:shd w:val="clear" w:color="auto" w:fill="FFFFFF" w:themeFill="background1"/>
          </w:tcPr>
          <w:p w14:paraId="408F1314" w14:textId="5D680F0D" w:rsidR="00F71F89" w:rsidRPr="008C7480" w:rsidRDefault="00F71F89" w:rsidP="00F71F89">
            <w:pPr>
              <w:spacing w:before="20" w:after="20"/>
              <w:ind w:left="-385" w:right="76"/>
              <w:jc w:val="right"/>
              <w:rPr>
                <w:b/>
                <w:color w:val="00ABE6"/>
                <w:sz w:val="18"/>
                <w:szCs w:val="18"/>
              </w:rPr>
            </w:pPr>
            <w:r w:rsidRPr="008C7480">
              <w:rPr>
                <w:b/>
                <w:color w:val="00ABE6"/>
                <w:sz w:val="18"/>
                <w:szCs w:val="18"/>
              </w:rPr>
              <w:t xml:space="preserve">2,002 </w:t>
            </w:r>
          </w:p>
        </w:tc>
        <w:tc>
          <w:tcPr>
            <w:tcW w:w="1037" w:type="dxa"/>
            <w:tcBorders>
              <w:top w:val="single" w:sz="4" w:space="0" w:color="auto"/>
              <w:left w:val="nil"/>
              <w:bottom w:val="single" w:sz="4" w:space="0" w:color="auto"/>
              <w:right w:val="nil"/>
            </w:tcBorders>
            <w:shd w:val="clear" w:color="auto" w:fill="FFFFFF" w:themeFill="background1"/>
          </w:tcPr>
          <w:p w14:paraId="4BDBC520" w14:textId="7C163EE2" w:rsidR="00F71F89" w:rsidRPr="008C7480" w:rsidRDefault="00F71F89" w:rsidP="00F71F89">
            <w:pPr>
              <w:spacing w:before="20" w:after="20"/>
              <w:ind w:left="-385" w:right="76"/>
              <w:jc w:val="right"/>
              <w:rPr>
                <w:b/>
                <w:color w:val="00ABE6"/>
                <w:sz w:val="18"/>
                <w:szCs w:val="18"/>
              </w:rPr>
            </w:pPr>
            <w:r w:rsidRPr="008C7480">
              <w:rPr>
                <w:b/>
                <w:color w:val="00ABE6"/>
                <w:sz w:val="18"/>
                <w:szCs w:val="18"/>
              </w:rPr>
              <w:t xml:space="preserve">2,599 </w:t>
            </w:r>
          </w:p>
        </w:tc>
      </w:tr>
      <w:tr w:rsidR="00736E5C" w:rsidRPr="002F5437" w14:paraId="43A86D57" w14:textId="77777777" w:rsidTr="001A5E3F">
        <w:trPr>
          <w:trHeight w:val="96"/>
        </w:trPr>
        <w:tc>
          <w:tcPr>
            <w:tcW w:w="5304" w:type="dxa"/>
            <w:gridSpan w:val="4"/>
            <w:tcBorders>
              <w:top w:val="single" w:sz="4" w:space="0" w:color="auto"/>
              <w:left w:val="nil"/>
              <w:right w:val="nil"/>
            </w:tcBorders>
            <w:shd w:val="clear" w:color="auto" w:fill="FFFFFF" w:themeFill="background1"/>
            <w:vAlign w:val="center"/>
          </w:tcPr>
          <w:p w14:paraId="31B69299" w14:textId="4D32CFCE" w:rsidR="00736E5C" w:rsidRPr="008D0072" w:rsidRDefault="00736E5C" w:rsidP="00736E5C">
            <w:pPr>
              <w:spacing w:before="40" w:after="40"/>
              <w:ind w:right="-108"/>
              <w:rPr>
                <w:sz w:val="18"/>
                <w:szCs w:val="18"/>
              </w:rPr>
            </w:pPr>
            <w:r w:rsidRPr="008D0072">
              <w:rPr>
                <w:sz w:val="18"/>
                <w:szCs w:val="18"/>
              </w:rPr>
              <w:t>Less: Net acquisition of non-financial assets</w:t>
            </w:r>
          </w:p>
        </w:tc>
        <w:tc>
          <w:tcPr>
            <w:tcW w:w="1002" w:type="dxa"/>
            <w:tcBorders>
              <w:top w:val="single" w:sz="4" w:space="0" w:color="auto"/>
              <w:left w:val="nil"/>
              <w:right w:val="nil"/>
            </w:tcBorders>
            <w:shd w:val="clear" w:color="auto" w:fill="FFFFFF" w:themeFill="background1"/>
            <w:vAlign w:val="center"/>
          </w:tcPr>
          <w:p w14:paraId="4422B70C" w14:textId="77777777" w:rsidR="00736E5C" w:rsidRPr="00F5525E" w:rsidRDefault="00736E5C" w:rsidP="004420E5">
            <w:pPr>
              <w:spacing w:before="20" w:after="20"/>
              <w:ind w:left="-385" w:right="76"/>
              <w:jc w:val="right"/>
              <w:rPr>
                <w:b/>
                <w:color w:val="00ABE6"/>
                <w:sz w:val="18"/>
                <w:szCs w:val="18"/>
                <w:highlight w:val="yellow"/>
              </w:rPr>
            </w:pPr>
          </w:p>
        </w:tc>
        <w:tc>
          <w:tcPr>
            <w:tcW w:w="1037" w:type="dxa"/>
            <w:tcBorders>
              <w:top w:val="single" w:sz="4" w:space="0" w:color="auto"/>
              <w:left w:val="nil"/>
              <w:right w:val="nil"/>
            </w:tcBorders>
            <w:shd w:val="clear" w:color="auto" w:fill="FFFFFF" w:themeFill="background1"/>
            <w:vAlign w:val="center"/>
          </w:tcPr>
          <w:p w14:paraId="02D51B6F" w14:textId="77777777" w:rsidR="00736E5C" w:rsidRPr="002F5437" w:rsidRDefault="00736E5C" w:rsidP="004420E5">
            <w:pPr>
              <w:spacing w:before="20" w:after="20"/>
              <w:ind w:left="-385" w:right="76"/>
              <w:jc w:val="right"/>
              <w:rPr>
                <w:b/>
                <w:color w:val="00ABE6"/>
                <w:sz w:val="18"/>
                <w:szCs w:val="18"/>
              </w:rPr>
            </w:pPr>
          </w:p>
        </w:tc>
        <w:tc>
          <w:tcPr>
            <w:tcW w:w="1037" w:type="dxa"/>
            <w:tcBorders>
              <w:top w:val="single" w:sz="4" w:space="0" w:color="auto"/>
              <w:left w:val="nil"/>
              <w:right w:val="nil"/>
            </w:tcBorders>
            <w:shd w:val="clear" w:color="auto" w:fill="FFFFFF" w:themeFill="background1"/>
            <w:vAlign w:val="center"/>
          </w:tcPr>
          <w:p w14:paraId="448A1D28" w14:textId="77777777" w:rsidR="00736E5C" w:rsidRPr="002F5437" w:rsidRDefault="00736E5C" w:rsidP="004420E5">
            <w:pPr>
              <w:spacing w:before="20" w:after="20"/>
              <w:ind w:left="-385" w:right="76"/>
              <w:jc w:val="right"/>
              <w:rPr>
                <w:b/>
                <w:color w:val="00ABE6"/>
                <w:sz w:val="18"/>
                <w:szCs w:val="18"/>
              </w:rPr>
            </w:pPr>
          </w:p>
        </w:tc>
        <w:tc>
          <w:tcPr>
            <w:tcW w:w="1037" w:type="dxa"/>
            <w:tcBorders>
              <w:top w:val="single" w:sz="4" w:space="0" w:color="auto"/>
              <w:left w:val="nil"/>
              <w:right w:val="nil"/>
            </w:tcBorders>
            <w:shd w:val="clear" w:color="auto" w:fill="FFFFFF" w:themeFill="background1"/>
            <w:vAlign w:val="center"/>
          </w:tcPr>
          <w:p w14:paraId="018D6B58" w14:textId="77777777" w:rsidR="00736E5C" w:rsidRPr="002F5437" w:rsidRDefault="00736E5C" w:rsidP="004420E5">
            <w:pPr>
              <w:spacing w:before="20" w:after="20"/>
              <w:ind w:left="-385" w:right="76"/>
              <w:jc w:val="right"/>
              <w:rPr>
                <w:b/>
                <w:color w:val="00ABE6"/>
                <w:sz w:val="18"/>
                <w:szCs w:val="18"/>
              </w:rPr>
            </w:pPr>
          </w:p>
        </w:tc>
        <w:tc>
          <w:tcPr>
            <w:tcW w:w="1037" w:type="dxa"/>
            <w:tcBorders>
              <w:top w:val="single" w:sz="4" w:space="0" w:color="auto"/>
              <w:left w:val="nil"/>
              <w:right w:val="nil"/>
            </w:tcBorders>
            <w:shd w:val="clear" w:color="auto" w:fill="FFFFFF" w:themeFill="background1"/>
            <w:vAlign w:val="center"/>
          </w:tcPr>
          <w:p w14:paraId="295BB0FD" w14:textId="77777777" w:rsidR="00736E5C" w:rsidRPr="002F5437" w:rsidRDefault="00736E5C" w:rsidP="004420E5">
            <w:pPr>
              <w:spacing w:before="20" w:after="20"/>
              <w:ind w:left="-385" w:right="76"/>
              <w:jc w:val="right"/>
              <w:rPr>
                <w:b/>
                <w:color w:val="00ABE6"/>
                <w:sz w:val="18"/>
                <w:szCs w:val="18"/>
              </w:rPr>
            </w:pPr>
          </w:p>
        </w:tc>
        <w:tc>
          <w:tcPr>
            <w:tcW w:w="1037" w:type="dxa"/>
            <w:tcBorders>
              <w:top w:val="single" w:sz="4" w:space="0" w:color="auto"/>
              <w:left w:val="nil"/>
              <w:right w:val="nil"/>
            </w:tcBorders>
            <w:shd w:val="clear" w:color="auto" w:fill="FFFFFF" w:themeFill="background1"/>
          </w:tcPr>
          <w:p w14:paraId="3DA19F38" w14:textId="77777777" w:rsidR="00736E5C" w:rsidRPr="008C7480" w:rsidRDefault="00736E5C" w:rsidP="004420E5">
            <w:pPr>
              <w:spacing w:before="20" w:after="20"/>
              <w:ind w:left="-385" w:right="76"/>
              <w:jc w:val="right"/>
              <w:rPr>
                <w:b/>
                <w:color w:val="00ABE6"/>
                <w:sz w:val="18"/>
                <w:szCs w:val="18"/>
              </w:rPr>
            </w:pPr>
          </w:p>
        </w:tc>
        <w:tc>
          <w:tcPr>
            <w:tcW w:w="1037" w:type="dxa"/>
            <w:tcBorders>
              <w:top w:val="single" w:sz="4" w:space="0" w:color="auto"/>
              <w:left w:val="nil"/>
              <w:right w:val="nil"/>
            </w:tcBorders>
            <w:shd w:val="clear" w:color="auto" w:fill="FFFFFF" w:themeFill="background1"/>
          </w:tcPr>
          <w:p w14:paraId="7C660D5B" w14:textId="77777777" w:rsidR="00736E5C" w:rsidRPr="008C7480" w:rsidRDefault="00736E5C" w:rsidP="004420E5">
            <w:pPr>
              <w:spacing w:before="20" w:after="20"/>
              <w:ind w:left="-385" w:right="76"/>
              <w:jc w:val="right"/>
              <w:rPr>
                <w:b/>
                <w:color w:val="00ABE6"/>
                <w:sz w:val="18"/>
                <w:szCs w:val="18"/>
              </w:rPr>
            </w:pPr>
          </w:p>
        </w:tc>
        <w:tc>
          <w:tcPr>
            <w:tcW w:w="1037" w:type="dxa"/>
            <w:tcBorders>
              <w:top w:val="single" w:sz="4" w:space="0" w:color="auto"/>
              <w:left w:val="nil"/>
              <w:right w:val="nil"/>
            </w:tcBorders>
            <w:shd w:val="clear" w:color="auto" w:fill="FFFFFF" w:themeFill="background1"/>
          </w:tcPr>
          <w:p w14:paraId="721B54B1" w14:textId="77777777" w:rsidR="00736E5C" w:rsidRPr="008C7480" w:rsidRDefault="00736E5C" w:rsidP="004420E5">
            <w:pPr>
              <w:spacing w:before="20" w:after="20"/>
              <w:ind w:left="-385" w:right="76"/>
              <w:jc w:val="right"/>
              <w:rPr>
                <w:b/>
                <w:color w:val="00ABE6"/>
                <w:sz w:val="18"/>
                <w:szCs w:val="18"/>
              </w:rPr>
            </w:pPr>
          </w:p>
        </w:tc>
        <w:tc>
          <w:tcPr>
            <w:tcW w:w="1037" w:type="dxa"/>
            <w:tcBorders>
              <w:top w:val="single" w:sz="4" w:space="0" w:color="auto"/>
              <w:left w:val="nil"/>
              <w:right w:val="nil"/>
            </w:tcBorders>
            <w:shd w:val="clear" w:color="auto" w:fill="FFFFFF" w:themeFill="background1"/>
          </w:tcPr>
          <w:p w14:paraId="1D8CF53A" w14:textId="77777777" w:rsidR="00736E5C" w:rsidRPr="008C7480" w:rsidRDefault="00736E5C" w:rsidP="004420E5">
            <w:pPr>
              <w:spacing w:before="20" w:after="20"/>
              <w:ind w:left="-385" w:right="76"/>
              <w:jc w:val="right"/>
              <w:rPr>
                <w:b/>
                <w:color w:val="00ABE6"/>
                <w:sz w:val="18"/>
                <w:szCs w:val="18"/>
              </w:rPr>
            </w:pPr>
          </w:p>
        </w:tc>
      </w:tr>
      <w:tr w:rsidR="00D923D2" w:rsidRPr="002F5437" w14:paraId="42579BB0" w14:textId="77777777" w:rsidTr="001A5E3F">
        <w:trPr>
          <w:trHeight w:val="64"/>
        </w:trPr>
        <w:tc>
          <w:tcPr>
            <w:tcW w:w="2302" w:type="dxa"/>
            <w:tcBorders>
              <w:left w:val="nil"/>
              <w:bottom w:val="nil"/>
              <w:right w:val="nil"/>
            </w:tcBorders>
            <w:shd w:val="clear" w:color="auto" w:fill="FFFFFF" w:themeFill="background1"/>
            <w:vAlign w:val="center"/>
          </w:tcPr>
          <w:p w14:paraId="0C8F96D1" w14:textId="119D1153" w:rsidR="00D923D2" w:rsidRPr="002F5437" w:rsidRDefault="00D923D2" w:rsidP="006E0CCF">
            <w:pPr>
              <w:spacing w:before="40" w:after="40"/>
              <w:ind w:left="315" w:right="-108"/>
              <w:rPr>
                <w:sz w:val="18"/>
                <w:szCs w:val="18"/>
              </w:rPr>
            </w:pPr>
            <w:r w:rsidRPr="002F5437">
              <w:rPr>
                <w:sz w:val="18"/>
                <w:szCs w:val="18"/>
              </w:rPr>
              <w:t>Capital expenditure</w:t>
            </w:r>
          </w:p>
        </w:tc>
        <w:tc>
          <w:tcPr>
            <w:tcW w:w="1001" w:type="dxa"/>
            <w:tcBorders>
              <w:left w:val="nil"/>
              <w:bottom w:val="nil"/>
              <w:right w:val="nil"/>
            </w:tcBorders>
            <w:shd w:val="clear" w:color="auto" w:fill="FFFFFF" w:themeFill="background1"/>
          </w:tcPr>
          <w:p w14:paraId="7B99795C" w14:textId="7C776A25" w:rsidR="00D923D2" w:rsidRPr="008D0072" w:rsidRDefault="00D923D2" w:rsidP="00D923D2">
            <w:pPr>
              <w:spacing w:before="20" w:after="20"/>
              <w:ind w:left="-385" w:right="76"/>
              <w:jc w:val="right"/>
              <w:rPr>
                <w:sz w:val="18"/>
                <w:szCs w:val="18"/>
              </w:rPr>
            </w:pPr>
            <w:r w:rsidRPr="00D923D2">
              <w:rPr>
                <w:sz w:val="18"/>
                <w:szCs w:val="18"/>
              </w:rPr>
              <w:t xml:space="preserve">21,932 </w:t>
            </w:r>
          </w:p>
        </w:tc>
        <w:tc>
          <w:tcPr>
            <w:tcW w:w="1002" w:type="dxa"/>
            <w:tcBorders>
              <w:left w:val="nil"/>
              <w:bottom w:val="nil"/>
              <w:right w:val="nil"/>
            </w:tcBorders>
            <w:shd w:val="clear" w:color="auto" w:fill="FFFFFF" w:themeFill="background1"/>
          </w:tcPr>
          <w:p w14:paraId="49D1A96B" w14:textId="0C300C00" w:rsidR="00D923D2" w:rsidRPr="008D0072" w:rsidRDefault="00D923D2" w:rsidP="00D923D2">
            <w:pPr>
              <w:spacing w:before="20" w:after="20"/>
              <w:ind w:left="-385" w:right="76"/>
              <w:jc w:val="right"/>
              <w:rPr>
                <w:sz w:val="18"/>
                <w:szCs w:val="18"/>
              </w:rPr>
            </w:pPr>
            <w:r w:rsidRPr="00D923D2">
              <w:rPr>
                <w:sz w:val="18"/>
                <w:szCs w:val="18"/>
              </w:rPr>
              <w:t xml:space="preserve">17,400 </w:t>
            </w:r>
          </w:p>
        </w:tc>
        <w:tc>
          <w:tcPr>
            <w:tcW w:w="1001" w:type="dxa"/>
            <w:tcBorders>
              <w:left w:val="nil"/>
              <w:bottom w:val="nil"/>
              <w:right w:val="nil"/>
            </w:tcBorders>
            <w:shd w:val="clear" w:color="auto" w:fill="FFFFFF" w:themeFill="background1"/>
          </w:tcPr>
          <w:p w14:paraId="0B5D5666" w14:textId="2A490789" w:rsidR="00D923D2" w:rsidRPr="008D0072" w:rsidRDefault="00D923D2" w:rsidP="00D923D2">
            <w:pPr>
              <w:spacing w:before="20" w:after="20"/>
              <w:ind w:left="-385" w:right="76"/>
              <w:jc w:val="right"/>
              <w:rPr>
                <w:sz w:val="18"/>
                <w:szCs w:val="18"/>
              </w:rPr>
            </w:pPr>
            <w:r w:rsidRPr="00D923D2">
              <w:rPr>
                <w:sz w:val="18"/>
                <w:szCs w:val="18"/>
              </w:rPr>
              <w:t xml:space="preserve">16,838 </w:t>
            </w:r>
          </w:p>
        </w:tc>
        <w:tc>
          <w:tcPr>
            <w:tcW w:w="1002" w:type="dxa"/>
            <w:tcBorders>
              <w:left w:val="nil"/>
              <w:bottom w:val="nil"/>
              <w:right w:val="nil"/>
            </w:tcBorders>
            <w:shd w:val="clear" w:color="auto" w:fill="FFFFFF" w:themeFill="background1"/>
          </w:tcPr>
          <w:p w14:paraId="16C84972" w14:textId="4EB2DAB3" w:rsidR="00D923D2" w:rsidRPr="008D0072" w:rsidRDefault="00D923D2" w:rsidP="00D923D2">
            <w:pPr>
              <w:spacing w:before="20" w:after="20"/>
              <w:ind w:left="-385" w:right="76"/>
              <w:jc w:val="right"/>
              <w:rPr>
                <w:sz w:val="18"/>
                <w:szCs w:val="18"/>
              </w:rPr>
            </w:pPr>
            <w:r w:rsidRPr="00D923D2">
              <w:rPr>
                <w:sz w:val="18"/>
                <w:szCs w:val="18"/>
              </w:rPr>
              <w:t xml:space="preserve">13,964 </w:t>
            </w:r>
          </w:p>
        </w:tc>
        <w:tc>
          <w:tcPr>
            <w:tcW w:w="1037" w:type="dxa"/>
            <w:tcBorders>
              <w:left w:val="nil"/>
              <w:bottom w:val="nil"/>
              <w:right w:val="nil"/>
            </w:tcBorders>
            <w:shd w:val="clear" w:color="auto" w:fill="FFFFFF" w:themeFill="background1"/>
          </w:tcPr>
          <w:p w14:paraId="1CB64B58" w14:textId="3E7CED41" w:rsidR="00D923D2" w:rsidRPr="002F5437" w:rsidRDefault="00D923D2" w:rsidP="00D923D2">
            <w:pPr>
              <w:spacing w:before="20" w:after="20"/>
              <w:ind w:left="-385" w:right="76"/>
              <w:jc w:val="right"/>
              <w:rPr>
                <w:sz w:val="18"/>
                <w:szCs w:val="18"/>
              </w:rPr>
            </w:pPr>
            <w:r w:rsidRPr="00D923D2">
              <w:rPr>
                <w:sz w:val="18"/>
                <w:szCs w:val="18"/>
              </w:rPr>
              <w:t xml:space="preserve">414 </w:t>
            </w:r>
          </w:p>
        </w:tc>
        <w:tc>
          <w:tcPr>
            <w:tcW w:w="1037" w:type="dxa"/>
            <w:tcBorders>
              <w:left w:val="nil"/>
              <w:bottom w:val="nil"/>
              <w:right w:val="nil"/>
            </w:tcBorders>
            <w:shd w:val="clear" w:color="auto" w:fill="FFFFFF" w:themeFill="background1"/>
          </w:tcPr>
          <w:p w14:paraId="187539E6" w14:textId="59A6A37D" w:rsidR="00D923D2" w:rsidRPr="002F5437" w:rsidRDefault="00D923D2" w:rsidP="00D923D2">
            <w:pPr>
              <w:spacing w:before="20" w:after="20"/>
              <w:ind w:left="-385" w:right="76"/>
              <w:jc w:val="right"/>
              <w:rPr>
                <w:sz w:val="18"/>
                <w:szCs w:val="18"/>
              </w:rPr>
            </w:pPr>
            <w:r w:rsidRPr="00D923D2">
              <w:rPr>
                <w:sz w:val="18"/>
                <w:szCs w:val="18"/>
              </w:rPr>
              <w:t xml:space="preserve">350 </w:t>
            </w:r>
          </w:p>
        </w:tc>
        <w:tc>
          <w:tcPr>
            <w:tcW w:w="1037" w:type="dxa"/>
            <w:tcBorders>
              <w:left w:val="nil"/>
              <w:bottom w:val="nil"/>
              <w:right w:val="nil"/>
            </w:tcBorders>
            <w:shd w:val="clear" w:color="auto" w:fill="FFFFFF" w:themeFill="background1"/>
          </w:tcPr>
          <w:p w14:paraId="643AF89B" w14:textId="68DADA2F" w:rsidR="00D923D2" w:rsidRPr="002F5437" w:rsidRDefault="00D923D2" w:rsidP="00D923D2">
            <w:pPr>
              <w:spacing w:before="20" w:after="20"/>
              <w:ind w:left="-385" w:right="76"/>
              <w:jc w:val="right"/>
              <w:rPr>
                <w:sz w:val="18"/>
                <w:szCs w:val="18"/>
              </w:rPr>
            </w:pPr>
            <w:r w:rsidRPr="00D923D2">
              <w:rPr>
                <w:sz w:val="18"/>
                <w:szCs w:val="18"/>
              </w:rPr>
              <w:t xml:space="preserve">409 </w:t>
            </w:r>
          </w:p>
        </w:tc>
        <w:tc>
          <w:tcPr>
            <w:tcW w:w="1037" w:type="dxa"/>
            <w:tcBorders>
              <w:left w:val="nil"/>
              <w:bottom w:val="nil"/>
              <w:right w:val="nil"/>
            </w:tcBorders>
            <w:shd w:val="clear" w:color="auto" w:fill="FFFFFF" w:themeFill="background1"/>
          </w:tcPr>
          <w:p w14:paraId="45603A29" w14:textId="2EF12CDE" w:rsidR="00D923D2" w:rsidRPr="002F5437" w:rsidRDefault="00D923D2" w:rsidP="00D923D2">
            <w:pPr>
              <w:spacing w:before="20" w:after="20"/>
              <w:ind w:left="-385" w:right="76"/>
              <w:jc w:val="right"/>
              <w:rPr>
                <w:sz w:val="18"/>
                <w:szCs w:val="18"/>
              </w:rPr>
            </w:pPr>
            <w:r w:rsidRPr="00D923D2">
              <w:rPr>
                <w:sz w:val="18"/>
                <w:szCs w:val="18"/>
              </w:rPr>
              <w:t xml:space="preserve">385 </w:t>
            </w:r>
          </w:p>
        </w:tc>
        <w:tc>
          <w:tcPr>
            <w:tcW w:w="1037" w:type="dxa"/>
            <w:tcBorders>
              <w:left w:val="nil"/>
              <w:bottom w:val="nil"/>
              <w:right w:val="nil"/>
            </w:tcBorders>
            <w:shd w:val="clear" w:color="auto" w:fill="FFFFFF" w:themeFill="background1"/>
          </w:tcPr>
          <w:p w14:paraId="17A4074C" w14:textId="75531AC9" w:rsidR="00D923D2" w:rsidRPr="008C7480" w:rsidRDefault="00D923D2" w:rsidP="00D923D2">
            <w:pPr>
              <w:spacing w:before="20" w:after="20"/>
              <w:ind w:left="-385" w:right="76"/>
              <w:jc w:val="right"/>
              <w:rPr>
                <w:sz w:val="18"/>
                <w:szCs w:val="18"/>
              </w:rPr>
            </w:pPr>
            <w:r w:rsidRPr="00D923D2">
              <w:rPr>
                <w:sz w:val="18"/>
                <w:szCs w:val="18"/>
              </w:rPr>
              <w:t xml:space="preserve">22,345 </w:t>
            </w:r>
          </w:p>
        </w:tc>
        <w:tc>
          <w:tcPr>
            <w:tcW w:w="1037" w:type="dxa"/>
            <w:tcBorders>
              <w:left w:val="nil"/>
              <w:bottom w:val="nil"/>
              <w:right w:val="nil"/>
            </w:tcBorders>
            <w:shd w:val="clear" w:color="auto" w:fill="FFFFFF" w:themeFill="background1"/>
          </w:tcPr>
          <w:p w14:paraId="0AB89E44" w14:textId="10377E91" w:rsidR="00D923D2" w:rsidRPr="008C7480" w:rsidRDefault="00D923D2" w:rsidP="00D923D2">
            <w:pPr>
              <w:spacing w:before="20" w:after="20"/>
              <w:ind w:left="-385" w:right="76"/>
              <w:jc w:val="right"/>
              <w:rPr>
                <w:sz w:val="18"/>
                <w:szCs w:val="18"/>
              </w:rPr>
            </w:pPr>
            <w:r w:rsidRPr="00D923D2">
              <w:rPr>
                <w:sz w:val="18"/>
                <w:szCs w:val="18"/>
              </w:rPr>
              <w:t xml:space="preserve">17,750 </w:t>
            </w:r>
          </w:p>
        </w:tc>
        <w:tc>
          <w:tcPr>
            <w:tcW w:w="1037" w:type="dxa"/>
            <w:tcBorders>
              <w:left w:val="nil"/>
              <w:bottom w:val="nil"/>
              <w:right w:val="nil"/>
            </w:tcBorders>
            <w:shd w:val="clear" w:color="auto" w:fill="FFFFFF" w:themeFill="background1"/>
          </w:tcPr>
          <w:p w14:paraId="679C5E42" w14:textId="3BFF49BB" w:rsidR="00D923D2" w:rsidRPr="008C7480" w:rsidRDefault="00D923D2" w:rsidP="00D923D2">
            <w:pPr>
              <w:spacing w:before="20" w:after="20"/>
              <w:ind w:left="-385" w:right="76"/>
              <w:jc w:val="right"/>
              <w:rPr>
                <w:sz w:val="18"/>
                <w:szCs w:val="18"/>
              </w:rPr>
            </w:pPr>
            <w:r w:rsidRPr="00D923D2">
              <w:rPr>
                <w:sz w:val="18"/>
                <w:szCs w:val="18"/>
              </w:rPr>
              <w:t xml:space="preserve">17,247 </w:t>
            </w:r>
          </w:p>
        </w:tc>
        <w:tc>
          <w:tcPr>
            <w:tcW w:w="1037" w:type="dxa"/>
            <w:tcBorders>
              <w:left w:val="nil"/>
              <w:bottom w:val="nil"/>
              <w:right w:val="nil"/>
            </w:tcBorders>
            <w:shd w:val="clear" w:color="auto" w:fill="FFFFFF" w:themeFill="background1"/>
          </w:tcPr>
          <w:p w14:paraId="74D8F5B8" w14:textId="4BBC6898" w:rsidR="00D923D2" w:rsidRPr="008C7480" w:rsidRDefault="00D923D2" w:rsidP="00D923D2">
            <w:pPr>
              <w:spacing w:before="20" w:after="20"/>
              <w:ind w:left="-385" w:right="76"/>
              <w:jc w:val="right"/>
              <w:rPr>
                <w:sz w:val="18"/>
                <w:szCs w:val="18"/>
              </w:rPr>
            </w:pPr>
            <w:r w:rsidRPr="00D923D2">
              <w:rPr>
                <w:sz w:val="18"/>
                <w:szCs w:val="18"/>
              </w:rPr>
              <w:t xml:space="preserve">14,349 </w:t>
            </w:r>
          </w:p>
        </w:tc>
      </w:tr>
      <w:tr w:rsidR="00371A49" w:rsidRPr="002F5437" w14:paraId="5253B480" w14:textId="77777777" w:rsidTr="001A5E3F">
        <w:trPr>
          <w:trHeight w:val="74"/>
        </w:trPr>
        <w:tc>
          <w:tcPr>
            <w:tcW w:w="2302" w:type="dxa"/>
            <w:tcBorders>
              <w:top w:val="nil"/>
              <w:left w:val="nil"/>
              <w:bottom w:val="nil"/>
              <w:right w:val="nil"/>
            </w:tcBorders>
            <w:shd w:val="clear" w:color="auto" w:fill="FFFFFF" w:themeFill="background1"/>
            <w:vAlign w:val="center"/>
          </w:tcPr>
          <w:p w14:paraId="6D31B8E2" w14:textId="51AE6635" w:rsidR="00371A49" w:rsidRPr="002F5437" w:rsidRDefault="00371A49" w:rsidP="00371A49">
            <w:pPr>
              <w:spacing w:before="40" w:after="40"/>
              <w:ind w:left="315" w:right="-108"/>
              <w:rPr>
                <w:sz w:val="18"/>
                <w:szCs w:val="18"/>
              </w:rPr>
            </w:pPr>
            <w:r w:rsidRPr="002F5437">
              <w:rPr>
                <w:sz w:val="18"/>
                <w:szCs w:val="18"/>
              </w:rPr>
              <w:t>Less: depreciation</w:t>
            </w:r>
          </w:p>
        </w:tc>
        <w:tc>
          <w:tcPr>
            <w:tcW w:w="1001" w:type="dxa"/>
            <w:tcBorders>
              <w:left w:val="nil"/>
              <w:bottom w:val="nil"/>
              <w:right w:val="nil"/>
            </w:tcBorders>
            <w:shd w:val="clear" w:color="auto" w:fill="FFFFFF" w:themeFill="background1"/>
          </w:tcPr>
          <w:p w14:paraId="278E9C15" w14:textId="16056B02" w:rsidR="00371A49" w:rsidRPr="008D0072" w:rsidRDefault="00371A49" w:rsidP="00371A49">
            <w:pPr>
              <w:spacing w:before="20" w:after="20"/>
              <w:ind w:left="-385" w:right="76"/>
              <w:jc w:val="right"/>
              <w:rPr>
                <w:sz w:val="18"/>
                <w:szCs w:val="18"/>
              </w:rPr>
            </w:pPr>
            <w:r w:rsidRPr="00371A49">
              <w:rPr>
                <w:sz w:val="18"/>
                <w:szCs w:val="18"/>
              </w:rPr>
              <w:t xml:space="preserve">5,429 </w:t>
            </w:r>
          </w:p>
        </w:tc>
        <w:tc>
          <w:tcPr>
            <w:tcW w:w="1002" w:type="dxa"/>
            <w:tcBorders>
              <w:left w:val="nil"/>
              <w:bottom w:val="nil"/>
              <w:right w:val="nil"/>
            </w:tcBorders>
            <w:shd w:val="clear" w:color="auto" w:fill="FFFFFF" w:themeFill="background1"/>
          </w:tcPr>
          <w:p w14:paraId="25068D59" w14:textId="68E6F2C2" w:rsidR="00371A49" w:rsidRPr="008D0072" w:rsidRDefault="00371A49" w:rsidP="00371A49">
            <w:pPr>
              <w:spacing w:before="20" w:after="20"/>
              <w:ind w:left="-385" w:right="76"/>
              <w:jc w:val="right"/>
              <w:rPr>
                <w:sz w:val="18"/>
                <w:szCs w:val="18"/>
              </w:rPr>
            </w:pPr>
            <w:r w:rsidRPr="00371A49">
              <w:rPr>
                <w:sz w:val="18"/>
                <w:szCs w:val="18"/>
              </w:rPr>
              <w:t xml:space="preserve">5,801 </w:t>
            </w:r>
          </w:p>
        </w:tc>
        <w:tc>
          <w:tcPr>
            <w:tcW w:w="1001" w:type="dxa"/>
            <w:tcBorders>
              <w:left w:val="nil"/>
              <w:bottom w:val="nil"/>
              <w:right w:val="nil"/>
            </w:tcBorders>
            <w:shd w:val="clear" w:color="auto" w:fill="FFFFFF" w:themeFill="background1"/>
          </w:tcPr>
          <w:p w14:paraId="07696042" w14:textId="7EFBDDCE" w:rsidR="00371A49" w:rsidRPr="008D0072" w:rsidRDefault="00371A49" w:rsidP="00371A49">
            <w:pPr>
              <w:spacing w:before="20" w:after="20"/>
              <w:ind w:left="-385" w:right="76"/>
              <w:jc w:val="right"/>
              <w:rPr>
                <w:sz w:val="18"/>
                <w:szCs w:val="18"/>
              </w:rPr>
            </w:pPr>
            <w:r w:rsidRPr="00371A49">
              <w:rPr>
                <w:sz w:val="18"/>
                <w:szCs w:val="18"/>
              </w:rPr>
              <w:t xml:space="preserve">5,921 </w:t>
            </w:r>
          </w:p>
        </w:tc>
        <w:tc>
          <w:tcPr>
            <w:tcW w:w="1002" w:type="dxa"/>
            <w:tcBorders>
              <w:left w:val="nil"/>
              <w:bottom w:val="nil"/>
              <w:right w:val="nil"/>
            </w:tcBorders>
            <w:shd w:val="clear" w:color="auto" w:fill="FFFFFF" w:themeFill="background1"/>
          </w:tcPr>
          <w:p w14:paraId="709E7E0B" w14:textId="1F79262B" w:rsidR="00371A49" w:rsidRPr="008D0072" w:rsidRDefault="00371A49" w:rsidP="00371A49">
            <w:pPr>
              <w:spacing w:before="20" w:after="20"/>
              <w:ind w:left="-385" w:right="76"/>
              <w:jc w:val="right"/>
              <w:rPr>
                <w:sz w:val="18"/>
                <w:szCs w:val="18"/>
              </w:rPr>
            </w:pPr>
            <w:r w:rsidRPr="00371A49">
              <w:rPr>
                <w:sz w:val="18"/>
                <w:szCs w:val="18"/>
              </w:rPr>
              <w:t xml:space="preserve">6,085 </w:t>
            </w:r>
          </w:p>
        </w:tc>
        <w:tc>
          <w:tcPr>
            <w:tcW w:w="1037" w:type="dxa"/>
            <w:tcBorders>
              <w:left w:val="nil"/>
              <w:bottom w:val="nil"/>
              <w:right w:val="nil"/>
            </w:tcBorders>
            <w:shd w:val="clear" w:color="auto" w:fill="FFFFFF" w:themeFill="background1"/>
          </w:tcPr>
          <w:p w14:paraId="0B56636F" w14:textId="05B9FCB1" w:rsidR="00371A49" w:rsidRPr="002F5437" w:rsidRDefault="00371A49" w:rsidP="00371A49">
            <w:pPr>
              <w:spacing w:before="20" w:after="20"/>
              <w:ind w:left="-385" w:right="76"/>
              <w:jc w:val="right"/>
              <w:rPr>
                <w:sz w:val="18"/>
                <w:szCs w:val="18"/>
              </w:rPr>
            </w:pPr>
            <w:r w:rsidRPr="00371A49">
              <w:rPr>
                <w:sz w:val="18"/>
                <w:szCs w:val="18"/>
              </w:rPr>
              <w:t xml:space="preserve">681 </w:t>
            </w:r>
          </w:p>
        </w:tc>
        <w:tc>
          <w:tcPr>
            <w:tcW w:w="1037" w:type="dxa"/>
            <w:tcBorders>
              <w:left w:val="nil"/>
              <w:bottom w:val="nil"/>
              <w:right w:val="nil"/>
            </w:tcBorders>
            <w:shd w:val="clear" w:color="auto" w:fill="FFFFFF" w:themeFill="background1"/>
          </w:tcPr>
          <w:p w14:paraId="0C31617C" w14:textId="4B1FC733" w:rsidR="00371A49" w:rsidRPr="002F5437" w:rsidRDefault="00371A49" w:rsidP="00371A49">
            <w:pPr>
              <w:spacing w:before="20" w:after="20"/>
              <w:ind w:left="-385" w:right="76"/>
              <w:jc w:val="right"/>
              <w:rPr>
                <w:sz w:val="18"/>
                <w:szCs w:val="18"/>
              </w:rPr>
            </w:pPr>
            <w:r w:rsidRPr="00371A49">
              <w:rPr>
                <w:sz w:val="18"/>
                <w:szCs w:val="18"/>
              </w:rPr>
              <w:t xml:space="preserve">690 </w:t>
            </w:r>
          </w:p>
        </w:tc>
        <w:tc>
          <w:tcPr>
            <w:tcW w:w="1037" w:type="dxa"/>
            <w:tcBorders>
              <w:left w:val="nil"/>
              <w:bottom w:val="nil"/>
              <w:right w:val="nil"/>
            </w:tcBorders>
            <w:shd w:val="clear" w:color="auto" w:fill="FFFFFF" w:themeFill="background1"/>
          </w:tcPr>
          <w:p w14:paraId="5D758273" w14:textId="1D29D283" w:rsidR="00371A49" w:rsidRPr="002F5437" w:rsidRDefault="00371A49" w:rsidP="00371A49">
            <w:pPr>
              <w:spacing w:before="20" w:after="20"/>
              <w:ind w:left="-385" w:right="76"/>
              <w:jc w:val="right"/>
              <w:rPr>
                <w:sz w:val="18"/>
                <w:szCs w:val="18"/>
              </w:rPr>
            </w:pPr>
            <w:r w:rsidRPr="00371A49">
              <w:rPr>
                <w:sz w:val="18"/>
                <w:szCs w:val="18"/>
              </w:rPr>
              <w:t xml:space="preserve">701 </w:t>
            </w:r>
          </w:p>
        </w:tc>
        <w:tc>
          <w:tcPr>
            <w:tcW w:w="1037" w:type="dxa"/>
            <w:tcBorders>
              <w:left w:val="nil"/>
              <w:bottom w:val="nil"/>
              <w:right w:val="nil"/>
            </w:tcBorders>
            <w:shd w:val="clear" w:color="auto" w:fill="FFFFFF" w:themeFill="background1"/>
          </w:tcPr>
          <w:p w14:paraId="001A5CA8" w14:textId="687D9D0A" w:rsidR="00371A49" w:rsidRPr="002F5437" w:rsidRDefault="00371A49" w:rsidP="00371A49">
            <w:pPr>
              <w:spacing w:before="20" w:after="20"/>
              <w:ind w:left="-385" w:right="76"/>
              <w:jc w:val="right"/>
              <w:rPr>
                <w:sz w:val="18"/>
                <w:szCs w:val="18"/>
              </w:rPr>
            </w:pPr>
            <w:r w:rsidRPr="00371A49">
              <w:rPr>
                <w:sz w:val="18"/>
                <w:szCs w:val="18"/>
              </w:rPr>
              <w:t xml:space="preserve">710 </w:t>
            </w:r>
          </w:p>
        </w:tc>
        <w:tc>
          <w:tcPr>
            <w:tcW w:w="1037" w:type="dxa"/>
            <w:tcBorders>
              <w:left w:val="nil"/>
              <w:bottom w:val="nil"/>
              <w:right w:val="nil"/>
            </w:tcBorders>
            <w:shd w:val="clear" w:color="auto" w:fill="FFFFFF" w:themeFill="background1"/>
          </w:tcPr>
          <w:p w14:paraId="0E615B92" w14:textId="35FE8457" w:rsidR="00371A49" w:rsidRPr="008C7480" w:rsidRDefault="00371A49" w:rsidP="00371A49">
            <w:pPr>
              <w:spacing w:before="20" w:after="20"/>
              <w:ind w:left="-385" w:right="76"/>
              <w:jc w:val="right"/>
              <w:rPr>
                <w:sz w:val="18"/>
                <w:szCs w:val="18"/>
              </w:rPr>
            </w:pPr>
            <w:r w:rsidRPr="00371A49">
              <w:rPr>
                <w:sz w:val="18"/>
                <w:szCs w:val="18"/>
              </w:rPr>
              <w:t xml:space="preserve">6,110 </w:t>
            </w:r>
          </w:p>
        </w:tc>
        <w:tc>
          <w:tcPr>
            <w:tcW w:w="1037" w:type="dxa"/>
            <w:tcBorders>
              <w:left w:val="nil"/>
              <w:bottom w:val="nil"/>
              <w:right w:val="nil"/>
            </w:tcBorders>
            <w:shd w:val="clear" w:color="auto" w:fill="FFFFFF" w:themeFill="background1"/>
          </w:tcPr>
          <w:p w14:paraId="4802AEE8" w14:textId="0027D32E" w:rsidR="00371A49" w:rsidRPr="008C7480" w:rsidRDefault="00371A49" w:rsidP="00371A49">
            <w:pPr>
              <w:spacing w:before="20" w:after="20"/>
              <w:ind w:left="-385" w:right="76"/>
              <w:jc w:val="right"/>
              <w:rPr>
                <w:sz w:val="18"/>
                <w:szCs w:val="18"/>
              </w:rPr>
            </w:pPr>
            <w:r w:rsidRPr="00371A49">
              <w:rPr>
                <w:sz w:val="18"/>
                <w:szCs w:val="18"/>
              </w:rPr>
              <w:t xml:space="preserve">6,491 </w:t>
            </w:r>
          </w:p>
        </w:tc>
        <w:tc>
          <w:tcPr>
            <w:tcW w:w="1037" w:type="dxa"/>
            <w:tcBorders>
              <w:left w:val="nil"/>
              <w:bottom w:val="nil"/>
              <w:right w:val="nil"/>
            </w:tcBorders>
            <w:shd w:val="clear" w:color="auto" w:fill="FFFFFF" w:themeFill="background1"/>
          </w:tcPr>
          <w:p w14:paraId="29FCCB56" w14:textId="12DD2976" w:rsidR="00371A49" w:rsidRPr="008C7480" w:rsidRDefault="00371A49" w:rsidP="00371A49">
            <w:pPr>
              <w:spacing w:before="20" w:after="20"/>
              <w:ind w:left="-385" w:right="76"/>
              <w:jc w:val="right"/>
              <w:rPr>
                <w:sz w:val="18"/>
                <w:szCs w:val="18"/>
              </w:rPr>
            </w:pPr>
            <w:r w:rsidRPr="00371A49">
              <w:rPr>
                <w:sz w:val="18"/>
                <w:szCs w:val="18"/>
              </w:rPr>
              <w:t xml:space="preserve">6,623 </w:t>
            </w:r>
          </w:p>
        </w:tc>
        <w:tc>
          <w:tcPr>
            <w:tcW w:w="1037" w:type="dxa"/>
            <w:tcBorders>
              <w:left w:val="nil"/>
              <w:bottom w:val="nil"/>
              <w:right w:val="nil"/>
            </w:tcBorders>
            <w:shd w:val="clear" w:color="auto" w:fill="FFFFFF" w:themeFill="background1"/>
          </w:tcPr>
          <w:p w14:paraId="6211721D" w14:textId="498C4B9D" w:rsidR="00371A49" w:rsidRPr="008C7480" w:rsidRDefault="00371A49" w:rsidP="00371A49">
            <w:pPr>
              <w:spacing w:before="20" w:after="20"/>
              <w:ind w:left="-385" w:right="76"/>
              <w:jc w:val="right"/>
              <w:rPr>
                <w:sz w:val="18"/>
                <w:szCs w:val="18"/>
              </w:rPr>
            </w:pPr>
            <w:r w:rsidRPr="00371A49">
              <w:rPr>
                <w:sz w:val="18"/>
                <w:szCs w:val="18"/>
              </w:rPr>
              <w:t xml:space="preserve">6,795 </w:t>
            </w:r>
          </w:p>
        </w:tc>
      </w:tr>
      <w:tr w:rsidR="003E20A8" w:rsidRPr="002F5437" w14:paraId="3F6614BD" w14:textId="77777777" w:rsidTr="001A5E3F">
        <w:trPr>
          <w:trHeight w:val="64"/>
        </w:trPr>
        <w:tc>
          <w:tcPr>
            <w:tcW w:w="2302" w:type="dxa"/>
            <w:tcBorders>
              <w:top w:val="nil"/>
              <w:left w:val="nil"/>
              <w:bottom w:val="single" w:sz="4" w:space="0" w:color="auto"/>
              <w:right w:val="nil"/>
            </w:tcBorders>
            <w:shd w:val="clear" w:color="auto" w:fill="FFFFFF" w:themeFill="background1"/>
            <w:vAlign w:val="center"/>
          </w:tcPr>
          <w:p w14:paraId="488CB2E9" w14:textId="28214BF5" w:rsidR="003E20A8" w:rsidRPr="002F5437" w:rsidRDefault="00D467E2" w:rsidP="003E20A8">
            <w:pPr>
              <w:spacing w:before="40" w:after="40"/>
              <w:ind w:left="315" w:right="-108"/>
              <w:rPr>
                <w:sz w:val="18"/>
                <w:szCs w:val="18"/>
              </w:rPr>
            </w:pPr>
            <w:r>
              <w:rPr>
                <w:sz w:val="18"/>
                <w:szCs w:val="18"/>
              </w:rPr>
              <w:t xml:space="preserve">Less: </w:t>
            </w:r>
            <w:r w:rsidR="003E20A8" w:rsidRPr="002F5437">
              <w:rPr>
                <w:sz w:val="18"/>
                <w:szCs w:val="18"/>
              </w:rPr>
              <w:t>other items</w:t>
            </w:r>
          </w:p>
        </w:tc>
        <w:tc>
          <w:tcPr>
            <w:tcW w:w="1001" w:type="dxa"/>
            <w:tcBorders>
              <w:left w:val="nil"/>
              <w:bottom w:val="single" w:sz="4" w:space="0" w:color="auto"/>
              <w:right w:val="nil"/>
            </w:tcBorders>
            <w:shd w:val="clear" w:color="auto" w:fill="FFFFFF" w:themeFill="background1"/>
            <w:vAlign w:val="center"/>
          </w:tcPr>
          <w:p w14:paraId="58B866B1" w14:textId="206BC462" w:rsidR="003E20A8" w:rsidRPr="008D0072" w:rsidRDefault="003E20A8" w:rsidP="003E20A8">
            <w:pPr>
              <w:spacing w:before="20" w:after="20"/>
              <w:ind w:left="-385" w:right="76"/>
              <w:jc w:val="right"/>
              <w:rPr>
                <w:sz w:val="18"/>
                <w:szCs w:val="18"/>
              </w:rPr>
            </w:pPr>
            <w:r w:rsidRPr="003E20A8">
              <w:rPr>
                <w:sz w:val="18"/>
                <w:szCs w:val="18"/>
              </w:rPr>
              <w:t xml:space="preserve">712 </w:t>
            </w:r>
          </w:p>
        </w:tc>
        <w:tc>
          <w:tcPr>
            <w:tcW w:w="1002" w:type="dxa"/>
            <w:tcBorders>
              <w:left w:val="nil"/>
              <w:bottom w:val="single" w:sz="4" w:space="0" w:color="auto"/>
              <w:right w:val="nil"/>
            </w:tcBorders>
            <w:shd w:val="clear" w:color="auto" w:fill="FFFFFF" w:themeFill="background1"/>
            <w:vAlign w:val="center"/>
          </w:tcPr>
          <w:p w14:paraId="35486A2B" w14:textId="615996ED" w:rsidR="003E20A8" w:rsidRPr="008D0072" w:rsidRDefault="003E20A8" w:rsidP="003E20A8">
            <w:pPr>
              <w:spacing w:before="20" w:after="20"/>
              <w:ind w:left="-385" w:right="76"/>
              <w:jc w:val="right"/>
              <w:rPr>
                <w:sz w:val="18"/>
                <w:szCs w:val="18"/>
              </w:rPr>
            </w:pPr>
            <w:r w:rsidRPr="003E20A8">
              <w:rPr>
                <w:sz w:val="18"/>
                <w:szCs w:val="18"/>
              </w:rPr>
              <w:t xml:space="preserve">1,428 </w:t>
            </w:r>
          </w:p>
        </w:tc>
        <w:tc>
          <w:tcPr>
            <w:tcW w:w="1001" w:type="dxa"/>
            <w:tcBorders>
              <w:left w:val="nil"/>
              <w:bottom w:val="single" w:sz="4" w:space="0" w:color="auto"/>
              <w:right w:val="nil"/>
            </w:tcBorders>
            <w:shd w:val="clear" w:color="auto" w:fill="FFFFFF" w:themeFill="background1"/>
            <w:vAlign w:val="center"/>
          </w:tcPr>
          <w:p w14:paraId="361DD39B" w14:textId="44FFEC32" w:rsidR="003E20A8" w:rsidRPr="008D0072" w:rsidRDefault="003E20A8" w:rsidP="003E20A8">
            <w:pPr>
              <w:spacing w:before="20" w:after="20"/>
              <w:ind w:left="-385" w:right="76"/>
              <w:jc w:val="right"/>
              <w:rPr>
                <w:sz w:val="18"/>
                <w:szCs w:val="18"/>
              </w:rPr>
            </w:pPr>
            <w:r w:rsidRPr="003E20A8">
              <w:rPr>
                <w:sz w:val="18"/>
                <w:szCs w:val="18"/>
              </w:rPr>
              <w:t xml:space="preserve">1,007 </w:t>
            </w:r>
          </w:p>
        </w:tc>
        <w:tc>
          <w:tcPr>
            <w:tcW w:w="1002" w:type="dxa"/>
            <w:tcBorders>
              <w:left w:val="nil"/>
              <w:bottom w:val="single" w:sz="4" w:space="0" w:color="auto"/>
              <w:right w:val="nil"/>
            </w:tcBorders>
            <w:shd w:val="clear" w:color="auto" w:fill="FFFFFF" w:themeFill="background1"/>
            <w:vAlign w:val="center"/>
          </w:tcPr>
          <w:p w14:paraId="314BAEEF" w14:textId="29151BCC" w:rsidR="003E20A8" w:rsidRPr="008D0072" w:rsidRDefault="003E20A8" w:rsidP="003E20A8">
            <w:pPr>
              <w:spacing w:before="20" w:after="20"/>
              <w:ind w:left="-385" w:right="76"/>
              <w:jc w:val="right"/>
              <w:rPr>
                <w:sz w:val="18"/>
                <w:szCs w:val="18"/>
              </w:rPr>
            </w:pPr>
            <w:r w:rsidRPr="003E20A8">
              <w:rPr>
                <w:sz w:val="18"/>
                <w:szCs w:val="18"/>
              </w:rPr>
              <w:t xml:space="preserve">559 </w:t>
            </w:r>
          </w:p>
        </w:tc>
        <w:tc>
          <w:tcPr>
            <w:tcW w:w="1037" w:type="dxa"/>
            <w:tcBorders>
              <w:left w:val="nil"/>
              <w:bottom w:val="single" w:sz="4" w:space="0" w:color="auto"/>
              <w:right w:val="nil"/>
            </w:tcBorders>
            <w:shd w:val="clear" w:color="auto" w:fill="FFFFFF" w:themeFill="background1"/>
            <w:vAlign w:val="center"/>
          </w:tcPr>
          <w:p w14:paraId="3F82E78F" w14:textId="29D82E96" w:rsidR="003E20A8" w:rsidRPr="002F5437" w:rsidRDefault="003E20A8" w:rsidP="003E20A8">
            <w:pPr>
              <w:spacing w:before="20" w:after="20"/>
              <w:ind w:left="-385" w:right="76"/>
              <w:jc w:val="right"/>
              <w:rPr>
                <w:sz w:val="18"/>
                <w:szCs w:val="18"/>
              </w:rPr>
            </w:pPr>
            <w:r>
              <w:rPr>
                <w:sz w:val="18"/>
                <w:szCs w:val="18"/>
              </w:rPr>
              <w:t>…</w:t>
            </w:r>
            <w:r w:rsidRPr="00371A49">
              <w:rPr>
                <w:sz w:val="18"/>
                <w:szCs w:val="18"/>
              </w:rPr>
              <w:t xml:space="preserve"> </w:t>
            </w:r>
          </w:p>
        </w:tc>
        <w:tc>
          <w:tcPr>
            <w:tcW w:w="1037" w:type="dxa"/>
            <w:tcBorders>
              <w:left w:val="nil"/>
              <w:bottom w:val="single" w:sz="4" w:space="0" w:color="auto"/>
              <w:right w:val="nil"/>
            </w:tcBorders>
            <w:shd w:val="clear" w:color="auto" w:fill="FFFFFF" w:themeFill="background1"/>
            <w:vAlign w:val="center"/>
          </w:tcPr>
          <w:p w14:paraId="1BFA1F89" w14:textId="65800349" w:rsidR="003E20A8" w:rsidRPr="002F5437" w:rsidRDefault="003E20A8" w:rsidP="003E20A8">
            <w:pPr>
              <w:spacing w:before="20" w:after="20"/>
              <w:ind w:left="-385" w:right="76"/>
              <w:jc w:val="right"/>
              <w:rPr>
                <w:sz w:val="18"/>
                <w:szCs w:val="18"/>
              </w:rPr>
            </w:pPr>
            <w:r w:rsidRPr="006B12ED">
              <w:rPr>
                <w:sz w:val="18"/>
                <w:szCs w:val="18"/>
              </w:rPr>
              <w:t>…</w:t>
            </w:r>
          </w:p>
        </w:tc>
        <w:tc>
          <w:tcPr>
            <w:tcW w:w="1037" w:type="dxa"/>
            <w:tcBorders>
              <w:left w:val="nil"/>
              <w:bottom w:val="single" w:sz="4" w:space="0" w:color="auto"/>
              <w:right w:val="nil"/>
            </w:tcBorders>
            <w:shd w:val="clear" w:color="auto" w:fill="FFFFFF" w:themeFill="background1"/>
            <w:vAlign w:val="center"/>
          </w:tcPr>
          <w:p w14:paraId="6598824A" w14:textId="7B0AFCB4" w:rsidR="003E20A8" w:rsidRPr="002F5437" w:rsidRDefault="003E20A8" w:rsidP="003E20A8">
            <w:pPr>
              <w:spacing w:before="20" w:after="20"/>
              <w:ind w:left="-385" w:right="76"/>
              <w:jc w:val="right"/>
              <w:rPr>
                <w:sz w:val="18"/>
                <w:szCs w:val="18"/>
              </w:rPr>
            </w:pPr>
            <w:r w:rsidRPr="006B12ED">
              <w:rPr>
                <w:sz w:val="18"/>
                <w:szCs w:val="18"/>
              </w:rPr>
              <w:t>…</w:t>
            </w:r>
          </w:p>
        </w:tc>
        <w:tc>
          <w:tcPr>
            <w:tcW w:w="1037" w:type="dxa"/>
            <w:tcBorders>
              <w:left w:val="nil"/>
              <w:bottom w:val="single" w:sz="4" w:space="0" w:color="auto"/>
              <w:right w:val="nil"/>
            </w:tcBorders>
            <w:shd w:val="clear" w:color="auto" w:fill="FFFFFF" w:themeFill="background1"/>
            <w:vAlign w:val="center"/>
          </w:tcPr>
          <w:p w14:paraId="26CB4194" w14:textId="6F8D88E3" w:rsidR="003E20A8" w:rsidRPr="002F5437" w:rsidRDefault="003E20A8" w:rsidP="003E20A8">
            <w:pPr>
              <w:spacing w:before="20" w:after="20"/>
              <w:ind w:left="-385" w:right="76"/>
              <w:jc w:val="right"/>
              <w:rPr>
                <w:sz w:val="18"/>
                <w:szCs w:val="18"/>
              </w:rPr>
            </w:pPr>
            <w:r w:rsidRPr="006B12ED">
              <w:rPr>
                <w:sz w:val="18"/>
                <w:szCs w:val="18"/>
              </w:rPr>
              <w:t>…</w:t>
            </w:r>
          </w:p>
        </w:tc>
        <w:tc>
          <w:tcPr>
            <w:tcW w:w="1037" w:type="dxa"/>
            <w:tcBorders>
              <w:left w:val="nil"/>
              <w:bottom w:val="single" w:sz="4" w:space="0" w:color="auto"/>
              <w:right w:val="nil"/>
            </w:tcBorders>
            <w:shd w:val="clear" w:color="auto" w:fill="FFFFFF" w:themeFill="background1"/>
            <w:vAlign w:val="center"/>
          </w:tcPr>
          <w:p w14:paraId="5E9F856F" w14:textId="23C96447" w:rsidR="003E20A8" w:rsidRPr="008C7480" w:rsidRDefault="003E20A8" w:rsidP="003E20A8">
            <w:pPr>
              <w:spacing w:before="20" w:after="20"/>
              <w:ind w:left="-385" w:right="76"/>
              <w:jc w:val="right"/>
              <w:rPr>
                <w:sz w:val="18"/>
                <w:szCs w:val="18"/>
              </w:rPr>
            </w:pPr>
            <w:r w:rsidRPr="003E20A8">
              <w:rPr>
                <w:sz w:val="18"/>
                <w:szCs w:val="18"/>
              </w:rPr>
              <w:t xml:space="preserve">712 </w:t>
            </w:r>
          </w:p>
        </w:tc>
        <w:tc>
          <w:tcPr>
            <w:tcW w:w="1037" w:type="dxa"/>
            <w:tcBorders>
              <w:left w:val="nil"/>
              <w:bottom w:val="single" w:sz="4" w:space="0" w:color="auto"/>
              <w:right w:val="nil"/>
            </w:tcBorders>
            <w:shd w:val="clear" w:color="auto" w:fill="FFFFFF" w:themeFill="background1"/>
            <w:vAlign w:val="center"/>
          </w:tcPr>
          <w:p w14:paraId="28CED5C8" w14:textId="0018BC5B" w:rsidR="003E20A8" w:rsidRPr="008C7480" w:rsidRDefault="003E20A8" w:rsidP="003E20A8">
            <w:pPr>
              <w:spacing w:before="20" w:after="20"/>
              <w:ind w:left="-385" w:right="76"/>
              <w:jc w:val="right"/>
              <w:rPr>
                <w:sz w:val="18"/>
                <w:szCs w:val="18"/>
              </w:rPr>
            </w:pPr>
            <w:r w:rsidRPr="003E20A8">
              <w:rPr>
                <w:sz w:val="18"/>
                <w:szCs w:val="18"/>
              </w:rPr>
              <w:t xml:space="preserve">1,428 </w:t>
            </w:r>
          </w:p>
        </w:tc>
        <w:tc>
          <w:tcPr>
            <w:tcW w:w="1037" w:type="dxa"/>
            <w:tcBorders>
              <w:left w:val="nil"/>
              <w:bottom w:val="single" w:sz="4" w:space="0" w:color="auto"/>
              <w:right w:val="nil"/>
            </w:tcBorders>
            <w:shd w:val="clear" w:color="auto" w:fill="FFFFFF" w:themeFill="background1"/>
            <w:vAlign w:val="center"/>
          </w:tcPr>
          <w:p w14:paraId="21EC270F" w14:textId="4FFEAA40" w:rsidR="003E20A8" w:rsidRPr="008C7480" w:rsidRDefault="003E20A8" w:rsidP="003E20A8">
            <w:pPr>
              <w:spacing w:before="20" w:after="20"/>
              <w:ind w:left="-385" w:right="76"/>
              <w:jc w:val="right"/>
              <w:rPr>
                <w:sz w:val="18"/>
                <w:szCs w:val="18"/>
              </w:rPr>
            </w:pPr>
            <w:r w:rsidRPr="003E20A8">
              <w:rPr>
                <w:sz w:val="18"/>
                <w:szCs w:val="18"/>
              </w:rPr>
              <w:t xml:space="preserve">1,007 </w:t>
            </w:r>
          </w:p>
        </w:tc>
        <w:tc>
          <w:tcPr>
            <w:tcW w:w="1037" w:type="dxa"/>
            <w:tcBorders>
              <w:left w:val="nil"/>
              <w:bottom w:val="single" w:sz="4" w:space="0" w:color="auto"/>
              <w:right w:val="nil"/>
            </w:tcBorders>
            <w:shd w:val="clear" w:color="auto" w:fill="FFFFFF" w:themeFill="background1"/>
            <w:vAlign w:val="center"/>
          </w:tcPr>
          <w:p w14:paraId="7BA33646" w14:textId="77D6461E" w:rsidR="003E20A8" w:rsidRPr="008C7480" w:rsidRDefault="003E20A8" w:rsidP="003E20A8">
            <w:pPr>
              <w:spacing w:before="20" w:after="20"/>
              <w:ind w:left="-385" w:right="76"/>
              <w:jc w:val="right"/>
              <w:rPr>
                <w:sz w:val="18"/>
                <w:szCs w:val="18"/>
              </w:rPr>
            </w:pPr>
            <w:r w:rsidRPr="003E20A8">
              <w:rPr>
                <w:sz w:val="18"/>
                <w:szCs w:val="18"/>
              </w:rPr>
              <w:t xml:space="preserve">559 </w:t>
            </w:r>
          </w:p>
        </w:tc>
      </w:tr>
      <w:tr w:rsidR="002F4A8E" w:rsidRPr="002F5437" w14:paraId="1A7AF561" w14:textId="77777777" w:rsidTr="001A5E3F">
        <w:trPr>
          <w:trHeight w:val="64"/>
        </w:trPr>
        <w:tc>
          <w:tcPr>
            <w:tcW w:w="2302" w:type="dxa"/>
            <w:tcBorders>
              <w:top w:val="nil"/>
              <w:left w:val="nil"/>
              <w:bottom w:val="single" w:sz="4" w:space="0" w:color="auto"/>
              <w:right w:val="nil"/>
            </w:tcBorders>
            <w:shd w:val="clear" w:color="auto" w:fill="FFFFFF" w:themeFill="background1"/>
            <w:vAlign w:val="center"/>
          </w:tcPr>
          <w:p w14:paraId="455DC0E8" w14:textId="3A0AC046" w:rsidR="002F4A8E" w:rsidRPr="002F5437" w:rsidRDefault="00D923D2" w:rsidP="006E0CCF">
            <w:pPr>
              <w:spacing w:before="40" w:after="40"/>
              <w:ind w:left="315" w:right="-108"/>
              <w:rPr>
                <w:sz w:val="18"/>
                <w:szCs w:val="18"/>
              </w:rPr>
            </w:pPr>
            <w:r>
              <w:rPr>
                <w:sz w:val="18"/>
                <w:szCs w:val="18"/>
              </w:rPr>
              <w:t>Total n</w:t>
            </w:r>
            <w:r w:rsidRPr="00D923D2">
              <w:rPr>
                <w:sz w:val="18"/>
                <w:szCs w:val="18"/>
              </w:rPr>
              <w:t xml:space="preserve">et acquisition of </w:t>
            </w:r>
            <w:r>
              <w:rPr>
                <w:sz w:val="18"/>
                <w:szCs w:val="18"/>
              </w:rPr>
              <w:br/>
            </w:r>
            <w:r w:rsidRPr="00D923D2">
              <w:rPr>
                <w:sz w:val="18"/>
                <w:szCs w:val="18"/>
              </w:rPr>
              <w:t>non-financial assets</w:t>
            </w:r>
          </w:p>
        </w:tc>
        <w:tc>
          <w:tcPr>
            <w:tcW w:w="1001" w:type="dxa"/>
            <w:tcBorders>
              <w:left w:val="nil"/>
              <w:bottom w:val="single" w:sz="4" w:space="0" w:color="auto"/>
              <w:right w:val="nil"/>
            </w:tcBorders>
            <w:shd w:val="clear" w:color="auto" w:fill="FFFFFF" w:themeFill="background1"/>
            <w:vAlign w:val="center"/>
          </w:tcPr>
          <w:p w14:paraId="38BE6E01" w14:textId="1B62F919" w:rsidR="002F4A8E" w:rsidRPr="008D0072" w:rsidRDefault="002F4A8E" w:rsidP="00D923D2">
            <w:pPr>
              <w:spacing w:before="20" w:after="20"/>
              <w:ind w:left="-385" w:right="76"/>
              <w:jc w:val="right"/>
              <w:rPr>
                <w:sz w:val="18"/>
                <w:szCs w:val="18"/>
              </w:rPr>
            </w:pPr>
            <w:r w:rsidRPr="008D0072">
              <w:rPr>
                <w:sz w:val="18"/>
                <w:szCs w:val="18"/>
              </w:rPr>
              <w:t xml:space="preserve">15,790 </w:t>
            </w:r>
          </w:p>
        </w:tc>
        <w:tc>
          <w:tcPr>
            <w:tcW w:w="1002" w:type="dxa"/>
            <w:tcBorders>
              <w:left w:val="nil"/>
              <w:bottom w:val="single" w:sz="4" w:space="0" w:color="auto"/>
              <w:right w:val="nil"/>
            </w:tcBorders>
            <w:shd w:val="clear" w:color="auto" w:fill="FFFFFF" w:themeFill="background1"/>
            <w:vAlign w:val="center"/>
          </w:tcPr>
          <w:p w14:paraId="7C8F0183" w14:textId="3EFAFAF7" w:rsidR="002F4A8E" w:rsidRPr="008D0072" w:rsidRDefault="002F4A8E" w:rsidP="00D923D2">
            <w:pPr>
              <w:spacing w:before="20" w:after="20"/>
              <w:ind w:left="-385" w:right="76"/>
              <w:jc w:val="right"/>
              <w:rPr>
                <w:sz w:val="18"/>
                <w:szCs w:val="18"/>
              </w:rPr>
            </w:pPr>
            <w:r w:rsidRPr="008D0072">
              <w:rPr>
                <w:sz w:val="18"/>
                <w:szCs w:val="18"/>
              </w:rPr>
              <w:t xml:space="preserve">10,171 </w:t>
            </w:r>
          </w:p>
        </w:tc>
        <w:tc>
          <w:tcPr>
            <w:tcW w:w="1001" w:type="dxa"/>
            <w:tcBorders>
              <w:left w:val="nil"/>
              <w:bottom w:val="single" w:sz="4" w:space="0" w:color="auto"/>
              <w:right w:val="nil"/>
            </w:tcBorders>
            <w:shd w:val="clear" w:color="auto" w:fill="FFFFFF" w:themeFill="background1"/>
            <w:vAlign w:val="center"/>
          </w:tcPr>
          <w:p w14:paraId="153A070A" w14:textId="3D7AA920" w:rsidR="002F4A8E" w:rsidRPr="008D0072" w:rsidRDefault="002F4A8E" w:rsidP="00D923D2">
            <w:pPr>
              <w:spacing w:before="20" w:after="20"/>
              <w:ind w:left="-385" w:right="76"/>
              <w:jc w:val="right"/>
              <w:rPr>
                <w:sz w:val="18"/>
                <w:szCs w:val="18"/>
              </w:rPr>
            </w:pPr>
            <w:r w:rsidRPr="008D0072">
              <w:rPr>
                <w:sz w:val="18"/>
                <w:szCs w:val="18"/>
              </w:rPr>
              <w:t xml:space="preserve">9,910 </w:t>
            </w:r>
          </w:p>
        </w:tc>
        <w:tc>
          <w:tcPr>
            <w:tcW w:w="1002" w:type="dxa"/>
            <w:tcBorders>
              <w:left w:val="nil"/>
              <w:bottom w:val="single" w:sz="4" w:space="0" w:color="auto"/>
              <w:right w:val="nil"/>
            </w:tcBorders>
            <w:shd w:val="clear" w:color="auto" w:fill="FFFFFF" w:themeFill="background1"/>
            <w:vAlign w:val="center"/>
          </w:tcPr>
          <w:p w14:paraId="6E2CB544" w14:textId="25B710D6" w:rsidR="002F4A8E" w:rsidRPr="008D0072" w:rsidRDefault="002F4A8E" w:rsidP="00D923D2">
            <w:pPr>
              <w:spacing w:before="20" w:after="20"/>
              <w:ind w:left="-385" w:right="76"/>
              <w:jc w:val="right"/>
              <w:rPr>
                <w:sz w:val="18"/>
                <w:szCs w:val="18"/>
              </w:rPr>
            </w:pPr>
            <w:r w:rsidRPr="008D0072">
              <w:rPr>
                <w:sz w:val="18"/>
                <w:szCs w:val="18"/>
              </w:rPr>
              <w:t xml:space="preserve">7,320 </w:t>
            </w:r>
          </w:p>
        </w:tc>
        <w:tc>
          <w:tcPr>
            <w:tcW w:w="1037" w:type="dxa"/>
            <w:tcBorders>
              <w:left w:val="nil"/>
              <w:bottom w:val="single" w:sz="4" w:space="0" w:color="auto"/>
              <w:right w:val="nil"/>
            </w:tcBorders>
            <w:shd w:val="clear" w:color="auto" w:fill="FFFFFF" w:themeFill="background1"/>
            <w:vAlign w:val="center"/>
          </w:tcPr>
          <w:p w14:paraId="4432D91B" w14:textId="3786DE1F" w:rsidR="002F4A8E" w:rsidRDefault="002F4A8E" w:rsidP="00D923D2">
            <w:pPr>
              <w:spacing w:before="20" w:after="20"/>
              <w:ind w:left="-385" w:right="76"/>
              <w:jc w:val="right"/>
              <w:rPr>
                <w:sz w:val="18"/>
                <w:szCs w:val="18"/>
              </w:rPr>
            </w:pPr>
            <w:r w:rsidRPr="002F4A8E">
              <w:rPr>
                <w:sz w:val="18"/>
                <w:szCs w:val="18"/>
              </w:rPr>
              <w:t>(267)</w:t>
            </w:r>
          </w:p>
        </w:tc>
        <w:tc>
          <w:tcPr>
            <w:tcW w:w="1037" w:type="dxa"/>
            <w:tcBorders>
              <w:left w:val="nil"/>
              <w:bottom w:val="single" w:sz="4" w:space="0" w:color="auto"/>
              <w:right w:val="nil"/>
            </w:tcBorders>
            <w:shd w:val="clear" w:color="auto" w:fill="FFFFFF" w:themeFill="background1"/>
            <w:vAlign w:val="center"/>
          </w:tcPr>
          <w:p w14:paraId="6DBFADC2" w14:textId="4C041BCF" w:rsidR="002F4A8E" w:rsidRDefault="002F4A8E" w:rsidP="00D923D2">
            <w:pPr>
              <w:spacing w:before="20" w:after="20"/>
              <w:ind w:left="-385" w:right="76"/>
              <w:jc w:val="right"/>
              <w:rPr>
                <w:sz w:val="18"/>
                <w:szCs w:val="18"/>
              </w:rPr>
            </w:pPr>
            <w:r w:rsidRPr="002F4A8E">
              <w:rPr>
                <w:sz w:val="18"/>
                <w:szCs w:val="18"/>
              </w:rPr>
              <w:t>(340)</w:t>
            </w:r>
          </w:p>
        </w:tc>
        <w:tc>
          <w:tcPr>
            <w:tcW w:w="1037" w:type="dxa"/>
            <w:tcBorders>
              <w:left w:val="nil"/>
              <w:bottom w:val="single" w:sz="4" w:space="0" w:color="auto"/>
              <w:right w:val="nil"/>
            </w:tcBorders>
            <w:shd w:val="clear" w:color="auto" w:fill="FFFFFF" w:themeFill="background1"/>
            <w:vAlign w:val="center"/>
          </w:tcPr>
          <w:p w14:paraId="6D79DA38" w14:textId="54ABB827" w:rsidR="002F4A8E" w:rsidRDefault="002F4A8E" w:rsidP="00D923D2">
            <w:pPr>
              <w:spacing w:before="20" w:after="20"/>
              <w:ind w:left="-385" w:right="76"/>
              <w:jc w:val="right"/>
              <w:rPr>
                <w:sz w:val="18"/>
                <w:szCs w:val="18"/>
              </w:rPr>
            </w:pPr>
            <w:r w:rsidRPr="002F4A8E">
              <w:rPr>
                <w:sz w:val="18"/>
                <w:szCs w:val="18"/>
              </w:rPr>
              <w:t>(293)</w:t>
            </w:r>
          </w:p>
        </w:tc>
        <w:tc>
          <w:tcPr>
            <w:tcW w:w="1037" w:type="dxa"/>
            <w:tcBorders>
              <w:left w:val="nil"/>
              <w:bottom w:val="single" w:sz="4" w:space="0" w:color="auto"/>
              <w:right w:val="nil"/>
            </w:tcBorders>
            <w:shd w:val="clear" w:color="auto" w:fill="FFFFFF" w:themeFill="background1"/>
            <w:vAlign w:val="center"/>
          </w:tcPr>
          <w:p w14:paraId="76B5822A" w14:textId="5AC495D8" w:rsidR="002F4A8E" w:rsidRDefault="002F4A8E" w:rsidP="00D923D2">
            <w:pPr>
              <w:spacing w:before="20" w:after="20"/>
              <w:ind w:left="-385" w:right="76"/>
              <w:jc w:val="right"/>
              <w:rPr>
                <w:sz w:val="18"/>
                <w:szCs w:val="18"/>
              </w:rPr>
            </w:pPr>
            <w:r w:rsidRPr="002F4A8E">
              <w:rPr>
                <w:sz w:val="18"/>
                <w:szCs w:val="18"/>
              </w:rPr>
              <w:t>(325)</w:t>
            </w:r>
          </w:p>
        </w:tc>
        <w:tc>
          <w:tcPr>
            <w:tcW w:w="1037" w:type="dxa"/>
            <w:tcBorders>
              <w:left w:val="nil"/>
              <w:bottom w:val="single" w:sz="4" w:space="0" w:color="auto"/>
              <w:right w:val="nil"/>
            </w:tcBorders>
            <w:shd w:val="clear" w:color="auto" w:fill="FFFFFF" w:themeFill="background1"/>
            <w:vAlign w:val="center"/>
          </w:tcPr>
          <w:p w14:paraId="2C4F6DC9" w14:textId="2DAC70AD" w:rsidR="002F4A8E" w:rsidRPr="008C7480" w:rsidRDefault="002F4A8E" w:rsidP="00D923D2">
            <w:pPr>
              <w:spacing w:before="20" w:after="20"/>
              <w:ind w:left="-385" w:right="76"/>
              <w:jc w:val="right"/>
              <w:rPr>
                <w:sz w:val="18"/>
                <w:szCs w:val="18"/>
              </w:rPr>
            </w:pPr>
            <w:r w:rsidRPr="002A5599">
              <w:rPr>
                <w:sz w:val="18"/>
                <w:szCs w:val="18"/>
              </w:rPr>
              <w:t xml:space="preserve">15,523 </w:t>
            </w:r>
          </w:p>
        </w:tc>
        <w:tc>
          <w:tcPr>
            <w:tcW w:w="1037" w:type="dxa"/>
            <w:tcBorders>
              <w:left w:val="nil"/>
              <w:bottom w:val="single" w:sz="4" w:space="0" w:color="auto"/>
              <w:right w:val="nil"/>
            </w:tcBorders>
            <w:shd w:val="clear" w:color="auto" w:fill="FFFFFF" w:themeFill="background1"/>
            <w:vAlign w:val="center"/>
          </w:tcPr>
          <w:p w14:paraId="7E337A7A" w14:textId="4B6B709E" w:rsidR="002F4A8E" w:rsidRPr="008C7480" w:rsidRDefault="002F4A8E" w:rsidP="00D923D2">
            <w:pPr>
              <w:spacing w:before="20" w:after="20"/>
              <w:ind w:left="-385" w:right="76"/>
              <w:jc w:val="right"/>
              <w:rPr>
                <w:sz w:val="18"/>
                <w:szCs w:val="18"/>
              </w:rPr>
            </w:pPr>
            <w:r w:rsidRPr="002A5599">
              <w:rPr>
                <w:sz w:val="18"/>
                <w:szCs w:val="18"/>
              </w:rPr>
              <w:t xml:space="preserve">9,831 </w:t>
            </w:r>
          </w:p>
        </w:tc>
        <w:tc>
          <w:tcPr>
            <w:tcW w:w="1037" w:type="dxa"/>
            <w:tcBorders>
              <w:left w:val="nil"/>
              <w:bottom w:val="single" w:sz="4" w:space="0" w:color="auto"/>
              <w:right w:val="nil"/>
            </w:tcBorders>
            <w:shd w:val="clear" w:color="auto" w:fill="FFFFFF" w:themeFill="background1"/>
            <w:vAlign w:val="center"/>
          </w:tcPr>
          <w:p w14:paraId="17EE9EF2" w14:textId="2672CD7B" w:rsidR="002F4A8E" w:rsidRPr="008C7480" w:rsidRDefault="002F4A8E" w:rsidP="00D923D2">
            <w:pPr>
              <w:spacing w:before="20" w:after="20"/>
              <w:ind w:left="-385" w:right="76"/>
              <w:jc w:val="right"/>
              <w:rPr>
                <w:sz w:val="18"/>
                <w:szCs w:val="18"/>
              </w:rPr>
            </w:pPr>
            <w:r w:rsidRPr="002A5599">
              <w:rPr>
                <w:sz w:val="18"/>
                <w:szCs w:val="18"/>
              </w:rPr>
              <w:t>9,61</w:t>
            </w:r>
            <w:r w:rsidR="00831536">
              <w:rPr>
                <w:sz w:val="18"/>
                <w:szCs w:val="18"/>
              </w:rPr>
              <w:t>8</w:t>
            </w:r>
            <w:r w:rsidRPr="002A5599">
              <w:rPr>
                <w:sz w:val="18"/>
                <w:szCs w:val="18"/>
              </w:rPr>
              <w:t xml:space="preserve"> </w:t>
            </w:r>
          </w:p>
        </w:tc>
        <w:tc>
          <w:tcPr>
            <w:tcW w:w="1037" w:type="dxa"/>
            <w:tcBorders>
              <w:left w:val="nil"/>
              <w:bottom w:val="single" w:sz="4" w:space="0" w:color="auto"/>
              <w:right w:val="nil"/>
            </w:tcBorders>
            <w:shd w:val="clear" w:color="auto" w:fill="FFFFFF" w:themeFill="background1"/>
            <w:vAlign w:val="center"/>
          </w:tcPr>
          <w:p w14:paraId="385470DF" w14:textId="7CDD2BEA" w:rsidR="002F4A8E" w:rsidRPr="008C7480" w:rsidRDefault="002F4A8E" w:rsidP="00D923D2">
            <w:pPr>
              <w:spacing w:before="20" w:after="20"/>
              <w:ind w:left="-385" w:right="76"/>
              <w:jc w:val="right"/>
              <w:rPr>
                <w:sz w:val="18"/>
                <w:szCs w:val="18"/>
              </w:rPr>
            </w:pPr>
            <w:r w:rsidRPr="002A5599">
              <w:rPr>
                <w:sz w:val="18"/>
                <w:szCs w:val="18"/>
              </w:rPr>
              <w:t xml:space="preserve">6,995 </w:t>
            </w:r>
          </w:p>
        </w:tc>
      </w:tr>
      <w:tr w:rsidR="00A430A8" w:rsidRPr="002F5437" w14:paraId="700DB595" w14:textId="77777777" w:rsidTr="001A5E3F">
        <w:trPr>
          <w:trHeight w:val="186"/>
        </w:trPr>
        <w:tc>
          <w:tcPr>
            <w:tcW w:w="2302" w:type="dxa"/>
            <w:tcBorders>
              <w:top w:val="single" w:sz="4" w:space="0" w:color="auto"/>
              <w:left w:val="nil"/>
              <w:bottom w:val="single" w:sz="4" w:space="0" w:color="auto"/>
              <w:right w:val="nil"/>
            </w:tcBorders>
            <w:shd w:val="clear" w:color="auto" w:fill="FFFFFF" w:themeFill="background1"/>
            <w:vAlign w:val="center"/>
          </w:tcPr>
          <w:p w14:paraId="6473A38B" w14:textId="559D3448" w:rsidR="00A430A8" w:rsidRPr="002F5437" w:rsidRDefault="00A430A8" w:rsidP="00A430A8">
            <w:pPr>
              <w:spacing w:before="40" w:after="40"/>
              <w:ind w:right="-108"/>
              <w:rPr>
                <w:b/>
                <w:color w:val="00ABE6"/>
                <w:sz w:val="18"/>
                <w:szCs w:val="18"/>
              </w:rPr>
            </w:pPr>
            <w:r w:rsidRPr="002F5437">
              <w:rPr>
                <w:b/>
                <w:color w:val="00ABE6"/>
                <w:sz w:val="18"/>
                <w:szCs w:val="18"/>
              </w:rPr>
              <w:t>Net lending / (borrowing)</w:t>
            </w:r>
          </w:p>
        </w:tc>
        <w:tc>
          <w:tcPr>
            <w:tcW w:w="1001" w:type="dxa"/>
            <w:tcBorders>
              <w:top w:val="single" w:sz="4" w:space="0" w:color="auto"/>
              <w:left w:val="nil"/>
              <w:bottom w:val="single" w:sz="4" w:space="0" w:color="auto"/>
              <w:right w:val="nil"/>
            </w:tcBorders>
            <w:shd w:val="clear" w:color="auto" w:fill="FFFFFF" w:themeFill="background1"/>
            <w:vAlign w:val="center"/>
          </w:tcPr>
          <w:p w14:paraId="4355F6F2" w14:textId="724CF7D0" w:rsidR="00A430A8" w:rsidRPr="00AB0BB2" w:rsidRDefault="00A430A8" w:rsidP="00736E06">
            <w:pPr>
              <w:spacing w:before="20" w:after="20"/>
              <w:ind w:left="-385" w:right="76"/>
              <w:jc w:val="right"/>
              <w:rPr>
                <w:b/>
                <w:color w:val="00ABE6"/>
                <w:sz w:val="18"/>
                <w:szCs w:val="18"/>
              </w:rPr>
            </w:pPr>
            <w:r w:rsidRPr="00AB0BB2">
              <w:rPr>
                <w:b/>
                <w:color w:val="00ABE6"/>
                <w:sz w:val="18"/>
                <w:szCs w:val="18"/>
              </w:rPr>
              <w:t>(14,807)</w:t>
            </w:r>
          </w:p>
        </w:tc>
        <w:tc>
          <w:tcPr>
            <w:tcW w:w="1002" w:type="dxa"/>
            <w:tcBorders>
              <w:top w:val="single" w:sz="4" w:space="0" w:color="auto"/>
              <w:left w:val="nil"/>
              <w:bottom w:val="single" w:sz="4" w:space="0" w:color="auto"/>
              <w:right w:val="nil"/>
            </w:tcBorders>
            <w:shd w:val="clear" w:color="auto" w:fill="FFFFFF" w:themeFill="background1"/>
            <w:vAlign w:val="center"/>
          </w:tcPr>
          <w:p w14:paraId="53EF6786" w14:textId="0DCBDDC7" w:rsidR="00A430A8" w:rsidRPr="00AB0BB2" w:rsidRDefault="00A430A8" w:rsidP="00736E06">
            <w:pPr>
              <w:spacing w:before="20" w:after="20"/>
              <w:ind w:left="-385" w:right="76"/>
              <w:jc w:val="right"/>
              <w:rPr>
                <w:b/>
                <w:color w:val="00ABE6"/>
                <w:sz w:val="18"/>
                <w:szCs w:val="18"/>
              </w:rPr>
            </w:pPr>
            <w:r w:rsidRPr="00AB0BB2">
              <w:rPr>
                <w:b/>
                <w:color w:val="00ABE6"/>
                <w:sz w:val="18"/>
                <w:szCs w:val="18"/>
              </w:rPr>
              <w:t>(8,680)</w:t>
            </w:r>
          </w:p>
        </w:tc>
        <w:tc>
          <w:tcPr>
            <w:tcW w:w="1001" w:type="dxa"/>
            <w:tcBorders>
              <w:top w:val="single" w:sz="4" w:space="0" w:color="auto"/>
              <w:left w:val="nil"/>
              <w:bottom w:val="single" w:sz="4" w:space="0" w:color="auto"/>
              <w:right w:val="nil"/>
            </w:tcBorders>
            <w:shd w:val="clear" w:color="auto" w:fill="FFFFFF" w:themeFill="background1"/>
            <w:vAlign w:val="center"/>
          </w:tcPr>
          <w:p w14:paraId="22634FB5" w14:textId="6107CE78" w:rsidR="00A430A8" w:rsidRPr="00AB0BB2" w:rsidRDefault="00A430A8" w:rsidP="00736E06">
            <w:pPr>
              <w:spacing w:before="20" w:after="20"/>
              <w:ind w:left="-385" w:right="76"/>
              <w:jc w:val="right"/>
              <w:rPr>
                <w:b/>
                <w:color w:val="00ABE6"/>
                <w:sz w:val="18"/>
                <w:szCs w:val="18"/>
              </w:rPr>
            </w:pPr>
            <w:r w:rsidRPr="00AB0BB2">
              <w:rPr>
                <w:b/>
                <w:color w:val="00ABE6"/>
                <w:sz w:val="18"/>
                <w:szCs w:val="18"/>
              </w:rPr>
              <w:t>(8,030)</w:t>
            </w:r>
          </w:p>
        </w:tc>
        <w:tc>
          <w:tcPr>
            <w:tcW w:w="1002" w:type="dxa"/>
            <w:tcBorders>
              <w:top w:val="single" w:sz="4" w:space="0" w:color="auto"/>
              <w:left w:val="nil"/>
              <w:bottom w:val="single" w:sz="4" w:space="0" w:color="auto"/>
              <w:right w:val="nil"/>
            </w:tcBorders>
            <w:shd w:val="clear" w:color="auto" w:fill="FFFFFF" w:themeFill="background1"/>
            <w:vAlign w:val="center"/>
          </w:tcPr>
          <w:p w14:paraId="56F585EE" w14:textId="0388ADC2" w:rsidR="00A430A8" w:rsidRPr="00AB0BB2" w:rsidRDefault="00A430A8" w:rsidP="00736E06">
            <w:pPr>
              <w:spacing w:before="20" w:after="20"/>
              <w:ind w:left="-385" w:right="76"/>
              <w:jc w:val="right"/>
              <w:rPr>
                <w:b/>
                <w:color w:val="00ABE6"/>
                <w:sz w:val="18"/>
                <w:szCs w:val="18"/>
              </w:rPr>
            </w:pPr>
            <w:r w:rsidRPr="00AB0BB2">
              <w:rPr>
                <w:b/>
                <w:color w:val="00ABE6"/>
                <w:sz w:val="18"/>
                <w:szCs w:val="18"/>
              </w:rPr>
              <w:t>(4,601)</w:t>
            </w:r>
          </w:p>
        </w:tc>
        <w:tc>
          <w:tcPr>
            <w:tcW w:w="1037" w:type="dxa"/>
            <w:tcBorders>
              <w:top w:val="single" w:sz="4" w:space="0" w:color="auto"/>
              <w:left w:val="nil"/>
              <w:bottom w:val="single" w:sz="4" w:space="0" w:color="auto"/>
              <w:right w:val="nil"/>
            </w:tcBorders>
            <w:shd w:val="clear" w:color="auto" w:fill="FFFFFF" w:themeFill="background1"/>
            <w:vAlign w:val="center"/>
          </w:tcPr>
          <w:p w14:paraId="241FD7A0" w14:textId="244FAC35" w:rsidR="00A430A8" w:rsidRPr="002F5437" w:rsidRDefault="00A430A8" w:rsidP="00A430A8">
            <w:pPr>
              <w:spacing w:before="20" w:after="20"/>
              <w:ind w:left="-385" w:right="76"/>
              <w:jc w:val="right"/>
              <w:rPr>
                <w:b/>
                <w:color w:val="00ABE6"/>
                <w:sz w:val="18"/>
                <w:szCs w:val="18"/>
              </w:rPr>
            </w:pPr>
            <w:r w:rsidRPr="002F5437">
              <w:rPr>
                <w:b/>
                <w:color w:val="00ABE6"/>
                <w:sz w:val="18"/>
                <w:szCs w:val="18"/>
              </w:rPr>
              <w:t>299</w:t>
            </w:r>
          </w:p>
        </w:tc>
        <w:tc>
          <w:tcPr>
            <w:tcW w:w="1037" w:type="dxa"/>
            <w:tcBorders>
              <w:top w:val="single" w:sz="4" w:space="0" w:color="auto"/>
              <w:left w:val="nil"/>
              <w:bottom w:val="single" w:sz="4" w:space="0" w:color="auto"/>
              <w:right w:val="nil"/>
            </w:tcBorders>
            <w:shd w:val="clear" w:color="auto" w:fill="FFFFFF" w:themeFill="background1"/>
            <w:vAlign w:val="center"/>
          </w:tcPr>
          <w:p w14:paraId="749FD8A2" w14:textId="1F8E2813" w:rsidR="00A430A8" w:rsidRPr="002F5437" w:rsidRDefault="00A430A8" w:rsidP="00A430A8">
            <w:pPr>
              <w:spacing w:before="20" w:after="20"/>
              <w:ind w:left="-385" w:right="76"/>
              <w:jc w:val="right"/>
              <w:rPr>
                <w:b/>
                <w:color w:val="00ABE6"/>
                <w:sz w:val="18"/>
                <w:szCs w:val="18"/>
              </w:rPr>
            </w:pPr>
            <w:r w:rsidRPr="002F5437">
              <w:rPr>
                <w:b/>
                <w:color w:val="00ABE6"/>
                <w:sz w:val="18"/>
                <w:szCs w:val="18"/>
              </w:rPr>
              <w:t>76</w:t>
            </w:r>
          </w:p>
        </w:tc>
        <w:tc>
          <w:tcPr>
            <w:tcW w:w="1037" w:type="dxa"/>
            <w:tcBorders>
              <w:top w:val="single" w:sz="4" w:space="0" w:color="auto"/>
              <w:left w:val="nil"/>
              <w:bottom w:val="single" w:sz="4" w:space="0" w:color="auto"/>
              <w:right w:val="nil"/>
            </w:tcBorders>
            <w:shd w:val="clear" w:color="auto" w:fill="FFFFFF" w:themeFill="background1"/>
            <w:vAlign w:val="center"/>
          </w:tcPr>
          <w:p w14:paraId="3346B1F1" w14:textId="2BA42AEF" w:rsidR="00A430A8" w:rsidRPr="002F5437" w:rsidRDefault="00A430A8" w:rsidP="00A430A8">
            <w:pPr>
              <w:spacing w:before="20" w:after="20"/>
              <w:ind w:left="-385" w:right="76"/>
              <w:jc w:val="right"/>
              <w:rPr>
                <w:b/>
                <w:color w:val="00ABE6"/>
                <w:sz w:val="18"/>
                <w:szCs w:val="18"/>
              </w:rPr>
            </w:pPr>
            <w:r w:rsidRPr="002F5437">
              <w:rPr>
                <w:b/>
                <w:color w:val="00ABE6"/>
                <w:sz w:val="18"/>
                <w:szCs w:val="18"/>
              </w:rPr>
              <w:t>415</w:t>
            </w:r>
          </w:p>
        </w:tc>
        <w:tc>
          <w:tcPr>
            <w:tcW w:w="1037" w:type="dxa"/>
            <w:tcBorders>
              <w:top w:val="single" w:sz="4" w:space="0" w:color="auto"/>
              <w:left w:val="nil"/>
              <w:bottom w:val="single" w:sz="4" w:space="0" w:color="auto"/>
              <w:right w:val="nil"/>
            </w:tcBorders>
            <w:shd w:val="clear" w:color="auto" w:fill="FFFFFF" w:themeFill="background1"/>
            <w:vAlign w:val="center"/>
          </w:tcPr>
          <w:p w14:paraId="3A254464" w14:textId="540FD7FB" w:rsidR="00A430A8" w:rsidRPr="002F5437" w:rsidRDefault="00A430A8" w:rsidP="00A430A8">
            <w:pPr>
              <w:spacing w:before="20" w:after="20"/>
              <w:ind w:left="-385" w:right="76"/>
              <w:jc w:val="right"/>
              <w:rPr>
                <w:b/>
                <w:color w:val="00ABE6"/>
                <w:sz w:val="18"/>
                <w:szCs w:val="18"/>
              </w:rPr>
            </w:pPr>
            <w:r w:rsidRPr="002F5437">
              <w:rPr>
                <w:b/>
                <w:color w:val="00ABE6"/>
                <w:sz w:val="18"/>
                <w:szCs w:val="18"/>
              </w:rPr>
              <w:t>205</w:t>
            </w:r>
          </w:p>
        </w:tc>
        <w:tc>
          <w:tcPr>
            <w:tcW w:w="1037" w:type="dxa"/>
            <w:tcBorders>
              <w:top w:val="single" w:sz="4" w:space="0" w:color="auto"/>
              <w:left w:val="nil"/>
              <w:bottom w:val="single" w:sz="4" w:space="0" w:color="auto"/>
              <w:right w:val="nil"/>
            </w:tcBorders>
            <w:shd w:val="clear" w:color="auto" w:fill="FFFFFF" w:themeFill="background1"/>
          </w:tcPr>
          <w:p w14:paraId="42BD8200" w14:textId="2D7EAEFD" w:rsidR="00A430A8" w:rsidRPr="008C7480" w:rsidRDefault="00A430A8" w:rsidP="00A430A8">
            <w:pPr>
              <w:spacing w:before="20" w:after="20"/>
              <w:ind w:left="-385" w:right="76"/>
              <w:jc w:val="right"/>
              <w:rPr>
                <w:b/>
                <w:color w:val="00ABE6"/>
                <w:sz w:val="18"/>
                <w:szCs w:val="18"/>
              </w:rPr>
            </w:pPr>
            <w:r w:rsidRPr="008C7480">
              <w:rPr>
                <w:b/>
                <w:color w:val="00ABE6"/>
                <w:sz w:val="18"/>
                <w:szCs w:val="18"/>
              </w:rPr>
              <w:t>(14,507)</w:t>
            </w:r>
          </w:p>
        </w:tc>
        <w:tc>
          <w:tcPr>
            <w:tcW w:w="1037" w:type="dxa"/>
            <w:tcBorders>
              <w:top w:val="single" w:sz="4" w:space="0" w:color="auto"/>
              <w:left w:val="nil"/>
              <w:bottom w:val="single" w:sz="4" w:space="0" w:color="auto"/>
              <w:right w:val="nil"/>
            </w:tcBorders>
            <w:shd w:val="clear" w:color="auto" w:fill="FFFFFF" w:themeFill="background1"/>
          </w:tcPr>
          <w:p w14:paraId="7B311363" w14:textId="700BECA2" w:rsidR="00A430A8" w:rsidRPr="008C7480" w:rsidRDefault="00A430A8" w:rsidP="00A430A8">
            <w:pPr>
              <w:spacing w:before="20" w:after="20"/>
              <w:ind w:left="-385" w:right="76"/>
              <w:jc w:val="right"/>
              <w:rPr>
                <w:b/>
                <w:color w:val="00ABE6"/>
                <w:sz w:val="18"/>
                <w:szCs w:val="18"/>
              </w:rPr>
            </w:pPr>
            <w:r w:rsidRPr="008C7480">
              <w:rPr>
                <w:b/>
                <w:color w:val="00ABE6"/>
                <w:sz w:val="18"/>
                <w:szCs w:val="18"/>
              </w:rPr>
              <w:t>(8,604)</w:t>
            </w:r>
          </w:p>
        </w:tc>
        <w:tc>
          <w:tcPr>
            <w:tcW w:w="1037" w:type="dxa"/>
            <w:tcBorders>
              <w:top w:val="single" w:sz="4" w:space="0" w:color="auto"/>
              <w:left w:val="nil"/>
              <w:bottom w:val="single" w:sz="4" w:space="0" w:color="auto"/>
              <w:right w:val="nil"/>
            </w:tcBorders>
            <w:shd w:val="clear" w:color="auto" w:fill="FFFFFF" w:themeFill="background1"/>
          </w:tcPr>
          <w:p w14:paraId="24C1B18E" w14:textId="1482030F" w:rsidR="00A430A8" w:rsidRPr="008C7480" w:rsidRDefault="00A430A8" w:rsidP="00A430A8">
            <w:pPr>
              <w:spacing w:before="20" w:after="20"/>
              <w:ind w:left="-385" w:right="76"/>
              <w:jc w:val="right"/>
              <w:rPr>
                <w:b/>
                <w:color w:val="00ABE6"/>
                <w:sz w:val="18"/>
                <w:szCs w:val="18"/>
              </w:rPr>
            </w:pPr>
            <w:r w:rsidRPr="008C7480">
              <w:rPr>
                <w:b/>
                <w:color w:val="00ABE6"/>
                <w:sz w:val="18"/>
                <w:szCs w:val="18"/>
              </w:rPr>
              <w:t>(7,615)</w:t>
            </w:r>
          </w:p>
        </w:tc>
        <w:tc>
          <w:tcPr>
            <w:tcW w:w="1037" w:type="dxa"/>
            <w:tcBorders>
              <w:top w:val="single" w:sz="4" w:space="0" w:color="auto"/>
              <w:left w:val="nil"/>
              <w:bottom w:val="single" w:sz="4" w:space="0" w:color="auto"/>
              <w:right w:val="nil"/>
            </w:tcBorders>
            <w:shd w:val="clear" w:color="auto" w:fill="FFFFFF" w:themeFill="background1"/>
          </w:tcPr>
          <w:p w14:paraId="35C56057" w14:textId="5ABC01D5" w:rsidR="00A430A8" w:rsidRPr="008C7480" w:rsidRDefault="00A430A8" w:rsidP="00A430A8">
            <w:pPr>
              <w:spacing w:before="20" w:after="20"/>
              <w:ind w:left="-385" w:right="76"/>
              <w:jc w:val="right"/>
              <w:rPr>
                <w:b/>
                <w:color w:val="00ABE6"/>
                <w:sz w:val="18"/>
                <w:szCs w:val="18"/>
              </w:rPr>
            </w:pPr>
            <w:r w:rsidRPr="008C7480">
              <w:rPr>
                <w:b/>
                <w:color w:val="00ABE6"/>
                <w:sz w:val="18"/>
                <w:szCs w:val="18"/>
              </w:rPr>
              <w:t>(4,396)</w:t>
            </w:r>
          </w:p>
        </w:tc>
      </w:tr>
      <w:tr w:rsidR="00A430A8" w:rsidRPr="002F5437" w14:paraId="0E8ADDFE" w14:textId="77777777" w:rsidTr="001A5E3F">
        <w:trPr>
          <w:trHeight w:val="64"/>
        </w:trPr>
        <w:tc>
          <w:tcPr>
            <w:tcW w:w="2302" w:type="dxa"/>
            <w:tcBorders>
              <w:top w:val="single" w:sz="4" w:space="0" w:color="auto"/>
              <w:left w:val="nil"/>
              <w:right w:val="nil"/>
            </w:tcBorders>
            <w:shd w:val="clear" w:color="auto" w:fill="FFFFFF" w:themeFill="background1"/>
            <w:vAlign w:val="center"/>
          </w:tcPr>
          <w:p w14:paraId="252FDCD0" w14:textId="77777777" w:rsidR="00A430A8" w:rsidRPr="002F5437" w:rsidRDefault="00A430A8" w:rsidP="00A430A8">
            <w:pPr>
              <w:spacing w:before="40" w:after="40"/>
              <w:ind w:right="-108"/>
              <w:rPr>
                <w:sz w:val="18"/>
                <w:szCs w:val="18"/>
              </w:rPr>
            </w:pPr>
            <w:r w:rsidRPr="002F5437">
              <w:rPr>
                <w:sz w:val="18"/>
                <w:szCs w:val="18"/>
              </w:rPr>
              <w:t>Total assets</w:t>
            </w:r>
          </w:p>
        </w:tc>
        <w:tc>
          <w:tcPr>
            <w:tcW w:w="1001" w:type="dxa"/>
            <w:tcBorders>
              <w:top w:val="single" w:sz="4" w:space="0" w:color="auto"/>
              <w:left w:val="nil"/>
              <w:right w:val="nil"/>
            </w:tcBorders>
            <w:shd w:val="clear" w:color="auto" w:fill="FFFFFF" w:themeFill="background1"/>
            <w:vAlign w:val="center"/>
          </w:tcPr>
          <w:p w14:paraId="2C8583FE" w14:textId="799F28BC" w:rsidR="00A430A8" w:rsidRPr="008D0072" w:rsidRDefault="00A430A8" w:rsidP="00736E06">
            <w:pPr>
              <w:spacing w:before="20" w:after="20"/>
              <w:ind w:left="-385" w:right="76"/>
              <w:jc w:val="right"/>
              <w:rPr>
                <w:sz w:val="18"/>
                <w:szCs w:val="18"/>
              </w:rPr>
            </w:pPr>
            <w:r w:rsidRPr="008D0072">
              <w:rPr>
                <w:sz w:val="18"/>
                <w:szCs w:val="18"/>
              </w:rPr>
              <w:t xml:space="preserve">416,505 </w:t>
            </w:r>
          </w:p>
        </w:tc>
        <w:tc>
          <w:tcPr>
            <w:tcW w:w="1002" w:type="dxa"/>
            <w:tcBorders>
              <w:top w:val="single" w:sz="4" w:space="0" w:color="auto"/>
              <w:left w:val="nil"/>
              <w:right w:val="nil"/>
            </w:tcBorders>
            <w:shd w:val="clear" w:color="auto" w:fill="FFFFFF" w:themeFill="background1"/>
            <w:vAlign w:val="center"/>
          </w:tcPr>
          <w:p w14:paraId="4121B4E5" w14:textId="69EAA4C3" w:rsidR="00A430A8" w:rsidRPr="008D0072" w:rsidRDefault="00A430A8" w:rsidP="00736E06">
            <w:pPr>
              <w:spacing w:before="20" w:after="20"/>
              <w:ind w:left="-385" w:right="76"/>
              <w:jc w:val="right"/>
              <w:rPr>
                <w:sz w:val="18"/>
                <w:szCs w:val="18"/>
              </w:rPr>
            </w:pPr>
            <w:r w:rsidRPr="008D0072">
              <w:rPr>
                <w:sz w:val="18"/>
                <w:szCs w:val="18"/>
              </w:rPr>
              <w:t xml:space="preserve">432,393 </w:t>
            </w:r>
          </w:p>
        </w:tc>
        <w:tc>
          <w:tcPr>
            <w:tcW w:w="1001" w:type="dxa"/>
            <w:tcBorders>
              <w:top w:val="single" w:sz="4" w:space="0" w:color="auto"/>
              <w:left w:val="nil"/>
              <w:right w:val="nil"/>
            </w:tcBorders>
            <w:shd w:val="clear" w:color="auto" w:fill="FFFFFF" w:themeFill="background1"/>
            <w:vAlign w:val="center"/>
          </w:tcPr>
          <w:p w14:paraId="2B42E85C" w14:textId="69BFBF67" w:rsidR="00A430A8" w:rsidRPr="008D0072" w:rsidRDefault="00A430A8" w:rsidP="00736E06">
            <w:pPr>
              <w:spacing w:before="20" w:after="20"/>
              <w:ind w:left="-385" w:right="76"/>
              <w:jc w:val="right"/>
              <w:rPr>
                <w:sz w:val="18"/>
                <w:szCs w:val="18"/>
              </w:rPr>
            </w:pPr>
            <w:r w:rsidRPr="008D0072">
              <w:rPr>
                <w:sz w:val="18"/>
                <w:szCs w:val="18"/>
              </w:rPr>
              <w:t xml:space="preserve">448,012 </w:t>
            </w:r>
          </w:p>
        </w:tc>
        <w:tc>
          <w:tcPr>
            <w:tcW w:w="1002" w:type="dxa"/>
            <w:tcBorders>
              <w:top w:val="single" w:sz="4" w:space="0" w:color="auto"/>
              <w:left w:val="nil"/>
              <w:right w:val="nil"/>
            </w:tcBorders>
            <w:shd w:val="clear" w:color="auto" w:fill="FFFFFF" w:themeFill="background1"/>
            <w:vAlign w:val="center"/>
          </w:tcPr>
          <w:p w14:paraId="53491C1D" w14:textId="7C1EC834" w:rsidR="00A430A8" w:rsidRPr="008D0072" w:rsidRDefault="00A430A8" w:rsidP="00736E06">
            <w:pPr>
              <w:spacing w:before="20" w:after="20"/>
              <w:ind w:left="-385" w:right="76"/>
              <w:jc w:val="right"/>
              <w:rPr>
                <w:sz w:val="18"/>
                <w:szCs w:val="18"/>
              </w:rPr>
            </w:pPr>
            <w:r w:rsidRPr="008D0072">
              <w:rPr>
                <w:sz w:val="18"/>
                <w:szCs w:val="18"/>
              </w:rPr>
              <w:t xml:space="preserve">467,523 </w:t>
            </w:r>
          </w:p>
        </w:tc>
        <w:tc>
          <w:tcPr>
            <w:tcW w:w="1037" w:type="dxa"/>
            <w:tcBorders>
              <w:top w:val="single" w:sz="4" w:space="0" w:color="auto"/>
              <w:left w:val="nil"/>
              <w:right w:val="nil"/>
            </w:tcBorders>
            <w:shd w:val="clear" w:color="auto" w:fill="FFFFFF" w:themeFill="background1"/>
            <w:vAlign w:val="center"/>
          </w:tcPr>
          <w:p w14:paraId="7387B9C2" w14:textId="309B2020" w:rsidR="00A430A8" w:rsidRPr="002F5437" w:rsidRDefault="00A430A8" w:rsidP="00A430A8">
            <w:pPr>
              <w:spacing w:before="20" w:after="20"/>
              <w:ind w:left="-385" w:right="76"/>
              <w:jc w:val="right"/>
              <w:rPr>
                <w:sz w:val="18"/>
                <w:szCs w:val="18"/>
              </w:rPr>
            </w:pPr>
            <w:r w:rsidRPr="002F5437">
              <w:rPr>
                <w:sz w:val="18"/>
                <w:szCs w:val="18"/>
              </w:rPr>
              <w:t>3,775</w:t>
            </w:r>
          </w:p>
        </w:tc>
        <w:tc>
          <w:tcPr>
            <w:tcW w:w="1037" w:type="dxa"/>
            <w:tcBorders>
              <w:top w:val="single" w:sz="4" w:space="0" w:color="auto"/>
              <w:left w:val="nil"/>
              <w:right w:val="nil"/>
            </w:tcBorders>
            <w:shd w:val="clear" w:color="auto" w:fill="FFFFFF" w:themeFill="background1"/>
            <w:vAlign w:val="center"/>
          </w:tcPr>
          <w:p w14:paraId="52F46AFB" w14:textId="4A2C4B9C" w:rsidR="00A430A8" w:rsidRPr="002F5437" w:rsidRDefault="00A430A8" w:rsidP="00A430A8">
            <w:pPr>
              <w:spacing w:before="20" w:after="20"/>
              <w:ind w:left="-385" w:right="76"/>
              <w:jc w:val="right"/>
              <w:rPr>
                <w:sz w:val="18"/>
                <w:szCs w:val="18"/>
              </w:rPr>
            </w:pPr>
            <w:r w:rsidRPr="002F5437">
              <w:rPr>
                <w:sz w:val="18"/>
                <w:szCs w:val="18"/>
              </w:rPr>
              <w:t>3,461</w:t>
            </w:r>
          </w:p>
        </w:tc>
        <w:tc>
          <w:tcPr>
            <w:tcW w:w="1037" w:type="dxa"/>
            <w:tcBorders>
              <w:top w:val="single" w:sz="4" w:space="0" w:color="auto"/>
              <w:left w:val="nil"/>
              <w:right w:val="nil"/>
            </w:tcBorders>
            <w:shd w:val="clear" w:color="auto" w:fill="FFFFFF" w:themeFill="background1"/>
            <w:vAlign w:val="center"/>
          </w:tcPr>
          <w:p w14:paraId="65B3A9E7" w14:textId="205D6D4D" w:rsidR="00A430A8" w:rsidRPr="002F5437" w:rsidRDefault="00A430A8" w:rsidP="00A430A8">
            <w:pPr>
              <w:spacing w:before="20" w:after="20"/>
              <w:ind w:left="-385" w:right="76"/>
              <w:jc w:val="right"/>
              <w:rPr>
                <w:sz w:val="18"/>
                <w:szCs w:val="18"/>
              </w:rPr>
            </w:pPr>
            <w:r w:rsidRPr="002F5437">
              <w:rPr>
                <w:sz w:val="18"/>
                <w:szCs w:val="18"/>
              </w:rPr>
              <w:t>3,193</w:t>
            </w:r>
          </w:p>
        </w:tc>
        <w:tc>
          <w:tcPr>
            <w:tcW w:w="1037" w:type="dxa"/>
            <w:tcBorders>
              <w:top w:val="single" w:sz="4" w:space="0" w:color="auto"/>
              <w:left w:val="nil"/>
              <w:right w:val="nil"/>
            </w:tcBorders>
            <w:shd w:val="clear" w:color="auto" w:fill="FFFFFF" w:themeFill="background1"/>
            <w:vAlign w:val="center"/>
          </w:tcPr>
          <w:p w14:paraId="29CF7394" w14:textId="3B36DD58" w:rsidR="00A430A8" w:rsidRPr="002F5437" w:rsidRDefault="00A430A8" w:rsidP="00A430A8">
            <w:pPr>
              <w:spacing w:before="20" w:after="20"/>
              <w:ind w:left="-385" w:right="76"/>
              <w:jc w:val="right"/>
              <w:rPr>
                <w:sz w:val="18"/>
                <w:szCs w:val="18"/>
              </w:rPr>
            </w:pPr>
            <w:r w:rsidRPr="002F5437">
              <w:rPr>
                <w:sz w:val="18"/>
                <w:szCs w:val="18"/>
              </w:rPr>
              <w:t>2,896</w:t>
            </w:r>
          </w:p>
        </w:tc>
        <w:tc>
          <w:tcPr>
            <w:tcW w:w="1037" w:type="dxa"/>
            <w:tcBorders>
              <w:top w:val="single" w:sz="4" w:space="0" w:color="auto"/>
              <w:left w:val="nil"/>
              <w:right w:val="nil"/>
            </w:tcBorders>
            <w:shd w:val="clear" w:color="auto" w:fill="FFFFFF" w:themeFill="background1"/>
          </w:tcPr>
          <w:p w14:paraId="1EF96D9C" w14:textId="43F36169" w:rsidR="00A430A8" w:rsidRPr="008C7480" w:rsidRDefault="00A430A8" w:rsidP="00A430A8">
            <w:pPr>
              <w:spacing w:before="20" w:after="20"/>
              <w:ind w:left="-385" w:right="76"/>
              <w:jc w:val="right"/>
              <w:rPr>
                <w:sz w:val="18"/>
                <w:szCs w:val="18"/>
              </w:rPr>
            </w:pPr>
            <w:r w:rsidRPr="008C7480">
              <w:rPr>
                <w:sz w:val="18"/>
                <w:szCs w:val="18"/>
              </w:rPr>
              <w:t xml:space="preserve">420,280 </w:t>
            </w:r>
          </w:p>
        </w:tc>
        <w:tc>
          <w:tcPr>
            <w:tcW w:w="1037" w:type="dxa"/>
            <w:tcBorders>
              <w:top w:val="single" w:sz="4" w:space="0" w:color="auto"/>
              <w:left w:val="nil"/>
              <w:right w:val="nil"/>
            </w:tcBorders>
            <w:shd w:val="clear" w:color="auto" w:fill="FFFFFF" w:themeFill="background1"/>
          </w:tcPr>
          <w:p w14:paraId="61EEB670" w14:textId="6AECCFFC" w:rsidR="00A430A8" w:rsidRPr="008C7480" w:rsidRDefault="00A430A8" w:rsidP="00A430A8">
            <w:pPr>
              <w:spacing w:before="20" w:after="20"/>
              <w:ind w:left="-385" w:right="76"/>
              <w:jc w:val="right"/>
              <w:rPr>
                <w:sz w:val="18"/>
                <w:szCs w:val="18"/>
              </w:rPr>
            </w:pPr>
            <w:r w:rsidRPr="008C7480">
              <w:rPr>
                <w:sz w:val="18"/>
                <w:szCs w:val="18"/>
              </w:rPr>
              <w:t xml:space="preserve">435,854 </w:t>
            </w:r>
          </w:p>
        </w:tc>
        <w:tc>
          <w:tcPr>
            <w:tcW w:w="1037" w:type="dxa"/>
            <w:tcBorders>
              <w:top w:val="single" w:sz="4" w:space="0" w:color="auto"/>
              <w:left w:val="nil"/>
              <w:right w:val="nil"/>
            </w:tcBorders>
            <w:shd w:val="clear" w:color="auto" w:fill="FFFFFF" w:themeFill="background1"/>
          </w:tcPr>
          <w:p w14:paraId="1DD9CC71" w14:textId="19F3E465" w:rsidR="00A430A8" w:rsidRPr="008C7480" w:rsidRDefault="00A430A8" w:rsidP="00A430A8">
            <w:pPr>
              <w:spacing w:before="20" w:after="20"/>
              <w:ind w:left="-385" w:right="76"/>
              <w:jc w:val="right"/>
              <w:rPr>
                <w:sz w:val="18"/>
                <w:szCs w:val="18"/>
              </w:rPr>
            </w:pPr>
            <w:r w:rsidRPr="008C7480">
              <w:rPr>
                <w:sz w:val="18"/>
                <w:szCs w:val="18"/>
              </w:rPr>
              <w:t xml:space="preserve">451,205 </w:t>
            </w:r>
          </w:p>
        </w:tc>
        <w:tc>
          <w:tcPr>
            <w:tcW w:w="1037" w:type="dxa"/>
            <w:tcBorders>
              <w:top w:val="single" w:sz="4" w:space="0" w:color="auto"/>
              <w:left w:val="nil"/>
              <w:right w:val="nil"/>
            </w:tcBorders>
            <w:shd w:val="clear" w:color="auto" w:fill="FFFFFF" w:themeFill="background1"/>
          </w:tcPr>
          <w:p w14:paraId="4784D827" w14:textId="3C8DB542" w:rsidR="00A430A8" w:rsidRPr="008C7480" w:rsidRDefault="00A430A8" w:rsidP="00A430A8">
            <w:pPr>
              <w:spacing w:before="20" w:after="20"/>
              <w:ind w:left="-385" w:right="76"/>
              <w:jc w:val="right"/>
              <w:rPr>
                <w:sz w:val="18"/>
                <w:szCs w:val="18"/>
              </w:rPr>
            </w:pPr>
            <w:r w:rsidRPr="008C7480">
              <w:rPr>
                <w:sz w:val="18"/>
                <w:szCs w:val="18"/>
              </w:rPr>
              <w:t xml:space="preserve">470,419 </w:t>
            </w:r>
          </w:p>
        </w:tc>
      </w:tr>
      <w:tr w:rsidR="00A430A8" w:rsidRPr="002F5437" w14:paraId="55BE8FBA" w14:textId="77777777" w:rsidTr="001A5E3F">
        <w:trPr>
          <w:trHeight w:val="144"/>
        </w:trPr>
        <w:tc>
          <w:tcPr>
            <w:tcW w:w="2302" w:type="dxa"/>
            <w:tcBorders>
              <w:left w:val="nil"/>
              <w:bottom w:val="single" w:sz="4" w:space="0" w:color="auto"/>
              <w:right w:val="nil"/>
            </w:tcBorders>
            <w:shd w:val="clear" w:color="auto" w:fill="FFFFFF" w:themeFill="background1"/>
            <w:vAlign w:val="center"/>
          </w:tcPr>
          <w:p w14:paraId="13AE557D" w14:textId="77777777" w:rsidR="00A430A8" w:rsidRPr="002F5437" w:rsidRDefault="00A430A8" w:rsidP="00A430A8">
            <w:pPr>
              <w:spacing w:before="40" w:after="40"/>
              <w:ind w:right="-108"/>
              <w:rPr>
                <w:sz w:val="18"/>
                <w:szCs w:val="18"/>
              </w:rPr>
            </w:pPr>
            <w:r w:rsidRPr="002F5437">
              <w:rPr>
                <w:sz w:val="18"/>
                <w:szCs w:val="18"/>
              </w:rPr>
              <w:t>Total liabilities</w:t>
            </w:r>
          </w:p>
        </w:tc>
        <w:tc>
          <w:tcPr>
            <w:tcW w:w="1001" w:type="dxa"/>
            <w:tcBorders>
              <w:left w:val="nil"/>
              <w:bottom w:val="single" w:sz="4" w:space="0" w:color="auto"/>
              <w:right w:val="nil"/>
            </w:tcBorders>
            <w:shd w:val="clear" w:color="auto" w:fill="FFFFFF" w:themeFill="background1"/>
            <w:vAlign w:val="center"/>
          </w:tcPr>
          <w:p w14:paraId="543CE2B5" w14:textId="236F7228" w:rsidR="00A430A8" w:rsidRPr="008D0072" w:rsidRDefault="00A430A8" w:rsidP="00736E06">
            <w:pPr>
              <w:spacing w:before="20" w:after="20"/>
              <w:ind w:left="-385" w:right="76"/>
              <w:jc w:val="right"/>
              <w:rPr>
                <w:sz w:val="18"/>
                <w:szCs w:val="18"/>
              </w:rPr>
            </w:pPr>
            <w:r w:rsidRPr="008D0072">
              <w:rPr>
                <w:sz w:val="18"/>
                <w:szCs w:val="18"/>
              </w:rPr>
              <w:t xml:space="preserve">149,496 </w:t>
            </w:r>
          </w:p>
        </w:tc>
        <w:tc>
          <w:tcPr>
            <w:tcW w:w="1002" w:type="dxa"/>
            <w:tcBorders>
              <w:left w:val="nil"/>
              <w:bottom w:val="single" w:sz="4" w:space="0" w:color="auto"/>
              <w:right w:val="nil"/>
            </w:tcBorders>
            <w:shd w:val="clear" w:color="auto" w:fill="FFFFFF" w:themeFill="background1"/>
            <w:vAlign w:val="center"/>
          </w:tcPr>
          <w:p w14:paraId="115B726E" w14:textId="057B1F75" w:rsidR="00A430A8" w:rsidRPr="008D0072" w:rsidRDefault="00A430A8" w:rsidP="00736E06">
            <w:pPr>
              <w:spacing w:before="20" w:after="20"/>
              <w:ind w:left="-385" w:right="76"/>
              <w:jc w:val="right"/>
              <w:rPr>
                <w:sz w:val="18"/>
                <w:szCs w:val="18"/>
              </w:rPr>
            </w:pPr>
            <w:r w:rsidRPr="008D0072">
              <w:rPr>
                <w:sz w:val="18"/>
                <w:szCs w:val="18"/>
              </w:rPr>
              <w:t xml:space="preserve">151,243 </w:t>
            </w:r>
          </w:p>
        </w:tc>
        <w:tc>
          <w:tcPr>
            <w:tcW w:w="1001" w:type="dxa"/>
            <w:tcBorders>
              <w:left w:val="nil"/>
              <w:bottom w:val="single" w:sz="4" w:space="0" w:color="auto"/>
              <w:right w:val="nil"/>
            </w:tcBorders>
            <w:shd w:val="clear" w:color="auto" w:fill="FFFFFF" w:themeFill="background1"/>
            <w:vAlign w:val="center"/>
          </w:tcPr>
          <w:p w14:paraId="7DE1BEED" w14:textId="5F728473" w:rsidR="00A430A8" w:rsidRPr="008D0072" w:rsidRDefault="00A430A8" w:rsidP="00736E06">
            <w:pPr>
              <w:spacing w:before="20" w:after="20"/>
              <w:ind w:left="-385" w:right="76"/>
              <w:jc w:val="right"/>
              <w:rPr>
                <w:sz w:val="18"/>
                <w:szCs w:val="18"/>
              </w:rPr>
            </w:pPr>
            <w:r w:rsidRPr="008D0072">
              <w:rPr>
                <w:sz w:val="18"/>
                <w:szCs w:val="18"/>
              </w:rPr>
              <w:t xml:space="preserve">154,296 </w:t>
            </w:r>
          </w:p>
        </w:tc>
        <w:tc>
          <w:tcPr>
            <w:tcW w:w="1002" w:type="dxa"/>
            <w:tcBorders>
              <w:left w:val="nil"/>
              <w:bottom w:val="single" w:sz="4" w:space="0" w:color="auto"/>
              <w:right w:val="nil"/>
            </w:tcBorders>
            <w:shd w:val="clear" w:color="auto" w:fill="FFFFFF" w:themeFill="background1"/>
            <w:vAlign w:val="center"/>
          </w:tcPr>
          <w:p w14:paraId="1CC75AFA" w14:textId="47500B6A" w:rsidR="00A430A8" w:rsidRPr="008D0072" w:rsidRDefault="00A430A8" w:rsidP="00736E06">
            <w:pPr>
              <w:spacing w:before="20" w:after="20"/>
              <w:ind w:left="-385" w:right="76"/>
              <w:jc w:val="right"/>
              <w:rPr>
                <w:sz w:val="18"/>
                <w:szCs w:val="18"/>
              </w:rPr>
            </w:pPr>
            <w:r w:rsidRPr="008D0072">
              <w:rPr>
                <w:sz w:val="18"/>
                <w:szCs w:val="18"/>
              </w:rPr>
              <w:t xml:space="preserve">156,167 </w:t>
            </w:r>
          </w:p>
        </w:tc>
        <w:tc>
          <w:tcPr>
            <w:tcW w:w="1037" w:type="dxa"/>
            <w:tcBorders>
              <w:left w:val="nil"/>
              <w:bottom w:val="single" w:sz="4" w:space="0" w:color="auto"/>
              <w:right w:val="nil"/>
            </w:tcBorders>
            <w:shd w:val="clear" w:color="auto" w:fill="FFFFFF" w:themeFill="background1"/>
            <w:vAlign w:val="center"/>
          </w:tcPr>
          <w:p w14:paraId="36F780D8" w14:textId="20AE3875" w:rsidR="00A430A8" w:rsidRPr="002F5437" w:rsidRDefault="00A430A8" w:rsidP="00A430A8">
            <w:pPr>
              <w:spacing w:before="20" w:after="20"/>
              <w:ind w:left="-385" w:right="76"/>
              <w:jc w:val="right"/>
              <w:rPr>
                <w:sz w:val="18"/>
                <w:szCs w:val="18"/>
              </w:rPr>
            </w:pPr>
            <w:r w:rsidRPr="002F5437">
              <w:rPr>
                <w:sz w:val="18"/>
                <w:szCs w:val="18"/>
              </w:rPr>
              <w:t>3,838</w:t>
            </w:r>
          </w:p>
        </w:tc>
        <w:tc>
          <w:tcPr>
            <w:tcW w:w="1037" w:type="dxa"/>
            <w:tcBorders>
              <w:left w:val="nil"/>
              <w:bottom w:val="single" w:sz="4" w:space="0" w:color="auto"/>
              <w:right w:val="nil"/>
            </w:tcBorders>
            <w:shd w:val="clear" w:color="auto" w:fill="FFFFFF" w:themeFill="background1"/>
            <w:vAlign w:val="center"/>
          </w:tcPr>
          <w:p w14:paraId="66A4A147" w14:textId="56B8B5C5" w:rsidR="00A430A8" w:rsidRPr="002F5437" w:rsidRDefault="00A430A8" w:rsidP="00A430A8">
            <w:pPr>
              <w:spacing w:before="20" w:after="20"/>
              <w:ind w:left="-385" w:right="76"/>
              <w:jc w:val="right"/>
              <w:rPr>
                <w:sz w:val="18"/>
                <w:szCs w:val="18"/>
              </w:rPr>
            </w:pPr>
            <w:r w:rsidRPr="002F5437">
              <w:rPr>
                <w:sz w:val="18"/>
                <w:szCs w:val="18"/>
              </w:rPr>
              <w:t>3,795</w:t>
            </w:r>
          </w:p>
        </w:tc>
        <w:tc>
          <w:tcPr>
            <w:tcW w:w="1037" w:type="dxa"/>
            <w:tcBorders>
              <w:left w:val="nil"/>
              <w:bottom w:val="single" w:sz="4" w:space="0" w:color="auto"/>
              <w:right w:val="nil"/>
            </w:tcBorders>
            <w:shd w:val="clear" w:color="auto" w:fill="FFFFFF" w:themeFill="background1"/>
            <w:vAlign w:val="center"/>
          </w:tcPr>
          <w:p w14:paraId="23FEE4A5" w14:textId="07223B89" w:rsidR="00A430A8" w:rsidRPr="002F5437" w:rsidRDefault="00A430A8" w:rsidP="00A430A8">
            <w:pPr>
              <w:spacing w:before="20" w:after="20"/>
              <w:ind w:left="-385" w:right="76"/>
              <w:jc w:val="right"/>
              <w:rPr>
                <w:sz w:val="18"/>
                <w:szCs w:val="18"/>
              </w:rPr>
            </w:pPr>
            <w:r w:rsidRPr="002F5437">
              <w:rPr>
                <w:sz w:val="18"/>
                <w:szCs w:val="18"/>
              </w:rPr>
              <w:t>3,409</w:t>
            </w:r>
          </w:p>
        </w:tc>
        <w:tc>
          <w:tcPr>
            <w:tcW w:w="1037" w:type="dxa"/>
            <w:tcBorders>
              <w:left w:val="nil"/>
              <w:bottom w:val="single" w:sz="4" w:space="0" w:color="auto"/>
              <w:right w:val="nil"/>
            </w:tcBorders>
            <w:shd w:val="clear" w:color="auto" w:fill="FFFFFF" w:themeFill="background1"/>
            <w:vAlign w:val="center"/>
          </w:tcPr>
          <w:p w14:paraId="7B73A702" w14:textId="475298A3" w:rsidR="00A430A8" w:rsidRPr="002F5437" w:rsidRDefault="00A430A8" w:rsidP="00A430A8">
            <w:pPr>
              <w:spacing w:before="20" w:after="20"/>
              <w:ind w:left="-385" w:right="76"/>
              <w:jc w:val="right"/>
              <w:rPr>
                <w:sz w:val="18"/>
                <w:szCs w:val="18"/>
              </w:rPr>
            </w:pPr>
            <w:r w:rsidRPr="002F5437">
              <w:rPr>
                <w:sz w:val="18"/>
                <w:szCs w:val="18"/>
              </w:rPr>
              <w:t>3,239</w:t>
            </w:r>
          </w:p>
        </w:tc>
        <w:tc>
          <w:tcPr>
            <w:tcW w:w="1037" w:type="dxa"/>
            <w:tcBorders>
              <w:left w:val="nil"/>
              <w:bottom w:val="single" w:sz="4" w:space="0" w:color="auto"/>
              <w:right w:val="nil"/>
            </w:tcBorders>
            <w:shd w:val="clear" w:color="auto" w:fill="FFFFFF" w:themeFill="background1"/>
          </w:tcPr>
          <w:p w14:paraId="58A9260B" w14:textId="64D2C0F7" w:rsidR="00A430A8" w:rsidRPr="008C7480" w:rsidRDefault="00A430A8" w:rsidP="00A430A8">
            <w:pPr>
              <w:spacing w:before="20" w:after="20"/>
              <w:ind w:left="-385" w:right="76"/>
              <w:jc w:val="right"/>
              <w:rPr>
                <w:sz w:val="18"/>
                <w:szCs w:val="18"/>
              </w:rPr>
            </w:pPr>
            <w:r w:rsidRPr="008C7480">
              <w:rPr>
                <w:sz w:val="18"/>
                <w:szCs w:val="18"/>
              </w:rPr>
              <w:t xml:space="preserve">153,334 </w:t>
            </w:r>
          </w:p>
        </w:tc>
        <w:tc>
          <w:tcPr>
            <w:tcW w:w="1037" w:type="dxa"/>
            <w:tcBorders>
              <w:left w:val="nil"/>
              <w:bottom w:val="single" w:sz="4" w:space="0" w:color="auto"/>
              <w:right w:val="nil"/>
            </w:tcBorders>
            <w:shd w:val="clear" w:color="auto" w:fill="FFFFFF" w:themeFill="background1"/>
          </w:tcPr>
          <w:p w14:paraId="6C256C1B" w14:textId="0441AD4F" w:rsidR="00A430A8" w:rsidRPr="008C7480" w:rsidRDefault="00A430A8" w:rsidP="00A430A8">
            <w:pPr>
              <w:spacing w:before="20" w:after="20"/>
              <w:ind w:left="-385" w:right="76"/>
              <w:jc w:val="right"/>
              <w:rPr>
                <w:sz w:val="18"/>
                <w:szCs w:val="18"/>
              </w:rPr>
            </w:pPr>
            <w:r w:rsidRPr="008C7480">
              <w:rPr>
                <w:sz w:val="18"/>
                <w:szCs w:val="18"/>
              </w:rPr>
              <w:t xml:space="preserve">155,038 </w:t>
            </w:r>
          </w:p>
        </w:tc>
        <w:tc>
          <w:tcPr>
            <w:tcW w:w="1037" w:type="dxa"/>
            <w:tcBorders>
              <w:left w:val="nil"/>
              <w:bottom w:val="single" w:sz="4" w:space="0" w:color="auto"/>
              <w:right w:val="nil"/>
            </w:tcBorders>
            <w:shd w:val="clear" w:color="auto" w:fill="FFFFFF" w:themeFill="background1"/>
          </w:tcPr>
          <w:p w14:paraId="72B1282A" w14:textId="66A2608D" w:rsidR="00A430A8" w:rsidRPr="008C7480" w:rsidRDefault="00A430A8" w:rsidP="00A430A8">
            <w:pPr>
              <w:spacing w:before="20" w:after="20"/>
              <w:ind w:left="-385" w:right="76"/>
              <w:jc w:val="right"/>
              <w:rPr>
                <w:sz w:val="18"/>
                <w:szCs w:val="18"/>
              </w:rPr>
            </w:pPr>
            <w:r w:rsidRPr="008C7480">
              <w:rPr>
                <w:sz w:val="18"/>
                <w:szCs w:val="18"/>
              </w:rPr>
              <w:t xml:space="preserve">157,705 </w:t>
            </w:r>
          </w:p>
        </w:tc>
        <w:tc>
          <w:tcPr>
            <w:tcW w:w="1037" w:type="dxa"/>
            <w:tcBorders>
              <w:left w:val="nil"/>
              <w:bottom w:val="single" w:sz="4" w:space="0" w:color="auto"/>
              <w:right w:val="nil"/>
            </w:tcBorders>
            <w:shd w:val="clear" w:color="auto" w:fill="FFFFFF" w:themeFill="background1"/>
          </w:tcPr>
          <w:p w14:paraId="115EC3E1" w14:textId="7E5EEB8B" w:rsidR="00A430A8" w:rsidRPr="008C7480" w:rsidRDefault="00A430A8" w:rsidP="00A430A8">
            <w:pPr>
              <w:spacing w:before="20" w:after="20"/>
              <w:ind w:left="-385" w:right="76"/>
              <w:jc w:val="right"/>
              <w:rPr>
                <w:sz w:val="18"/>
                <w:szCs w:val="18"/>
              </w:rPr>
            </w:pPr>
            <w:r w:rsidRPr="008C7480">
              <w:rPr>
                <w:sz w:val="18"/>
                <w:szCs w:val="18"/>
              </w:rPr>
              <w:t xml:space="preserve">159,406 </w:t>
            </w:r>
          </w:p>
        </w:tc>
      </w:tr>
      <w:tr w:rsidR="00A430A8" w:rsidRPr="002F5437" w14:paraId="030A19D1" w14:textId="77777777" w:rsidTr="001A5E3F">
        <w:trPr>
          <w:trHeight w:val="44"/>
        </w:trPr>
        <w:tc>
          <w:tcPr>
            <w:tcW w:w="2302" w:type="dxa"/>
            <w:tcBorders>
              <w:top w:val="single" w:sz="4" w:space="0" w:color="auto"/>
              <w:left w:val="nil"/>
              <w:bottom w:val="double" w:sz="4" w:space="0" w:color="auto"/>
              <w:right w:val="nil"/>
            </w:tcBorders>
            <w:shd w:val="clear" w:color="auto" w:fill="FFFFFF" w:themeFill="background1"/>
            <w:vAlign w:val="center"/>
          </w:tcPr>
          <w:p w14:paraId="0A9CBBD9" w14:textId="77777777" w:rsidR="00A430A8" w:rsidRPr="002F5437" w:rsidRDefault="00A430A8" w:rsidP="00A430A8">
            <w:pPr>
              <w:spacing w:before="40" w:after="40"/>
              <w:ind w:right="-108"/>
              <w:rPr>
                <w:b/>
                <w:color w:val="00ABE6"/>
                <w:sz w:val="18"/>
                <w:szCs w:val="18"/>
              </w:rPr>
            </w:pPr>
            <w:r w:rsidRPr="002F5437">
              <w:rPr>
                <w:b/>
                <w:color w:val="00ABE6"/>
                <w:sz w:val="18"/>
                <w:szCs w:val="18"/>
              </w:rPr>
              <w:t>Net worth</w:t>
            </w:r>
          </w:p>
        </w:tc>
        <w:tc>
          <w:tcPr>
            <w:tcW w:w="1001" w:type="dxa"/>
            <w:tcBorders>
              <w:top w:val="single" w:sz="4" w:space="0" w:color="auto"/>
              <w:left w:val="nil"/>
              <w:bottom w:val="double" w:sz="4" w:space="0" w:color="auto"/>
              <w:right w:val="nil"/>
            </w:tcBorders>
            <w:shd w:val="clear" w:color="auto" w:fill="FFFFFF" w:themeFill="background1"/>
            <w:vAlign w:val="center"/>
          </w:tcPr>
          <w:p w14:paraId="4E4A9B23" w14:textId="1A7F2A09" w:rsidR="00A430A8" w:rsidRPr="008D0072" w:rsidRDefault="00A430A8" w:rsidP="00736E06">
            <w:pPr>
              <w:spacing w:before="20" w:after="20"/>
              <w:ind w:left="-385" w:right="76"/>
              <w:jc w:val="right"/>
              <w:rPr>
                <w:b/>
                <w:color w:val="00ABE6"/>
                <w:sz w:val="18"/>
                <w:szCs w:val="18"/>
              </w:rPr>
            </w:pPr>
            <w:r w:rsidRPr="008D0072">
              <w:rPr>
                <w:b/>
                <w:color w:val="00ABE6"/>
                <w:sz w:val="18"/>
                <w:szCs w:val="18"/>
              </w:rPr>
              <w:t xml:space="preserve">267,008 </w:t>
            </w:r>
          </w:p>
        </w:tc>
        <w:tc>
          <w:tcPr>
            <w:tcW w:w="1002" w:type="dxa"/>
            <w:tcBorders>
              <w:top w:val="single" w:sz="4" w:space="0" w:color="auto"/>
              <w:left w:val="nil"/>
              <w:bottom w:val="double" w:sz="4" w:space="0" w:color="auto"/>
              <w:right w:val="nil"/>
            </w:tcBorders>
            <w:shd w:val="clear" w:color="auto" w:fill="FFFFFF" w:themeFill="background1"/>
            <w:vAlign w:val="center"/>
          </w:tcPr>
          <w:p w14:paraId="5EEF0CF6" w14:textId="1B7C5C89" w:rsidR="00A430A8" w:rsidRPr="008D0072" w:rsidRDefault="00A430A8" w:rsidP="00736E06">
            <w:pPr>
              <w:spacing w:before="20" w:after="20"/>
              <w:ind w:left="-385" w:right="76"/>
              <w:jc w:val="right"/>
              <w:rPr>
                <w:b/>
                <w:color w:val="00ABE6"/>
                <w:sz w:val="18"/>
                <w:szCs w:val="18"/>
              </w:rPr>
            </w:pPr>
            <w:r w:rsidRPr="008D0072">
              <w:rPr>
                <w:b/>
                <w:color w:val="00ABE6"/>
                <w:sz w:val="18"/>
                <w:szCs w:val="18"/>
              </w:rPr>
              <w:t xml:space="preserve">281,150 </w:t>
            </w:r>
          </w:p>
        </w:tc>
        <w:tc>
          <w:tcPr>
            <w:tcW w:w="1001" w:type="dxa"/>
            <w:tcBorders>
              <w:top w:val="single" w:sz="4" w:space="0" w:color="auto"/>
              <w:left w:val="nil"/>
              <w:bottom w:val="double" w:sz="4" w:space="0" w:color="auto"/>
              <w:right w:val="nil"/>
            </w:tcBorders>
            <w:shd w:val="clear" w:color="auto" w:fill="FFFFFF" w:themeFill="background1"/>
            <w:vAlign w:val="center"/>
          </w:tcPr>
          <w:p w14:paraId="1824EC53" w14:textId="0CF6AF44" w:rsidR="00A430A8" w:rsidRPr="008D0072" w:rsidRDefault="00A430A8" w:rsidP="00736E06">
            <w:pPr>
              <w:spacing w:before="20" w:after="20"/>
              <w:ind w:left="-385" w:right="76"/>
              <w:jc w:val="right"/>
              <w:rPr>
                <w:b/>
                <w:color w:val="00ABE6"/>
                <w:sz w:val="18"/>
                <w:szCs w:val="18"/>
              </w:rPr>
            </w:pPr>
            <w:r w:rsidRPr="008D0072">
              <w:rPr>
                <w:b/>
                <w:color w:val="00ABE6"/>
                <w:sz w:val="18"/>
                <w:szCs w:val="18"/>
              </w:rPr>
              <w:t xml:space="preserve">293,716 </w:t>
            </w:r>
          </w:p>
        </w:tc>
        <w:tc>
          <w:tcPr>
            <w:tcW w:w="1002" w:type="dxa"/>
            <w:tcBorders>
              <w:top w:val="single" w:sz="4" w:space="0" w:color="auto"/>
              <w:left w:val="nil"/>
              <w:bottom w:val="double" w:sz="4" w:space="0" w:color="auto"/>
              <w:right w:val="nil"/>
            </w:tcBorders>
            <w:shd w:val="clear" w:color="auto" w:fill="FFFFFF" w:themeFill="background1"/>
            <w:vAlign w:val="center"/>
          </w:tcPr>
          <w:p w14:paraId="731A3949" w14:textId="6EAE7FB8" w:rsidR="00A430A8" w:rsidRPr="008D0072" w:rsidRDefault="00A430A8" w:rsidP="00736E06">
            <w:pPr>
              <w:spacing w:before="20" w:after="20"/>
              <w:ind w:left="-385" w:right="76"/>
              <w:jc w:val="right"/>
              <w:rPr>
                <w:b/>
                <w:color w:val="00ABE6"/>
                <w:sz w:val="18"/>
                <w:szCs w:val="18"/>
              </w:rPr>
            </w:pPr>
            <w:r w:rsidRPr="008D0072">
              <w:rPr>
                <w:b/>
                <w:color w:val="00ABE6"/>
                <w:sz w:val="18"/>
                <w:szCs w:val="18"/>
              </w:rPr>
              <w:t xml:space="preserve">311,356 </w:t>
            </w:r>
          </w:p>
        </w:tc>
        <w:tc>
          <w:tcPr>
            <w:tcW w:w="1037" w:type="dxa"/>
            <w:tcBorders>
              <w:top w:val="single" w:sz="4" w:space="0" w:color="auto"/>
              <w:left w:val="nil"/>
              <w:bottom w:val="double" w:sz="4" w:space="0" w:color="auto"/>
              <w:right w:val="nil"/>
            </w:tcBorders>
            <w:shd w:val="clear" w:color="auto" w:fill="FFFFFF" w:themeFill="background1"/>
            <w:vAlign w:val="center"/>
          </w:tcPr>
          <w:p w14:paraId="351CA3DB" w14:textId="22706407" w:rsidR="00A430A8" w:rsidRPr="002F5437" w:rsidRDefault="00A430A8" w:rsidP="00A430A8">
            <w:pPr>
              <w:spacing w:before="20" w:after="20"/>
              <w:ind w:left="-385" w:right="76"/>
              <w:jc w:val="right"/>
              <w:rPr>
                <w:b/>
                <w:color w:val="00ABE6"/>
                <w:sz w:val="18"/>
                <w:szCs w:val="18"/>
              </w:rPr>
            </w:pPr>
            <w:r w:rsidRPr="002F5437">
              <w:rPr>
                <w:b/>
                <w:color w:val="00ABE6"/>
                <w:sz w:val="18"/>
                <w:szCs w:val="18"/>
              </w:rPr>
              <w:t>(63)</w:t>
            </w:r>
          </w:p>
        </w:tc>
        <w:tc>
          <w:tcPr>
            <w:tcW w:w="1037" w:type="dxa"/>
            <w:tcBorders>
              <w:top w:val="single" w:sz="4" w:space="0" w:color="auto"/>
              <w:left w:val="nil"/>
              <w:bottom w:val="double" w:sz="4" w:space="0" w:color="auto"/>
              <w:right w:val="nil"/>
            </w:tcBorders>
            <w:shd w:val="clear" w:color="auto" w:fill="FFFFFF" w:themeFill="background1"/>
            <w:vAlign w:val="center"/>
          </w:tcPr>
          <w:p w14:paraId="421BC43B" w14:textId="0C103CD4" w:rsidR="00A430A8" w:rsidRPr="002F5437" w:rsidRDefault="00A430A8" w:rsidP="00A430A8">
            <w:pPr>
              <w:spacing w:before="20" w:after="20"/>
              <w:ind w:left="-385" w:right="76"/>
              <w:jc w:val="right"/>
              <w:rPr>
                <w:b/>
                <w:color w:val="00ABE6"/>
                <w:sz w:val="18"/>
                <w:szCs w:val="18"/>
              </w:rPr>
            </w:pPr>
            <w:r w:rsidRPr="002F5437">
              <w:rPr>
                <w:b/>
                <w:color w:val="00ABE6"/>
                <w:sz w:val="18"/>
                <w:szCs w:val="18"/>
              </w:rPr>
              <w:t>(333)</w:t>
            </w:r>
          </w:p>
        </w:tc>
        <w:tc>
          <w:tcPr>
            <w:tcW w:w="1037" w:type="dxa"/>
            <w:tcBorders>
              <w:top w:val="single" w:sz="4" w:space="0" w:color="auto"/>
              <w:left w:val="nil"/>
              <w:bottom w:val="double" w:sz="4" w:space="0" w:color="auto"/>
              <w:right w:val="nil"/>
            </w:tcBorders>
            <w:shd w:val="clear" w:color="auto" w:fill="FFFFFF" w:themeFill="background1"/>
            <w:vAlign w:val="center"/>
          </w:tcPr>
          <w:p w14:paraId="57694A99" w14:textId="4F642D73" w:rsidR="00A430A8" w:rsidRPr="002F5437" w:rsidRDefault="00A430A8" w:rsidP="00A430A8">
            <w:pPr>
              <w:spacing w:before="20" w:after="20"/>
              <w:ind w:left="-385" w:right="76"/>
              <w:jc w:val="right"/>
              <w:rPr>
                <w:b/>
                <w:color w:val="00ABE6"/>
                <w:sz w:val="18"/>
                <w:szCs w:val="18"/>
              </w:rPr>
            </w:pPr>
            <w:r w:rsidRPr="002F5437">
              <w:rPr>
                <w:b/>
                <w:color w:val="00ABE6"/>
                <w:sz w:val="18"/>
                <w:szCs w:val="18"/>
              </w:rPr>
              <w:t>(216)</w:t>
            </w:r>
          </w:p>
        </w:tc>
        <w:tc>
          <w:tcPr>
            <w:tcW w:w="1037" w:type="dxa"/>
            <w:tcBorders>
              <w:top w:val="single" w:sz="4" w:space="0" w:color="auto"/>
              <w:left w:val="nil"/>
              <w:bottom w:val="double" w:sz="4" w:space="0" w:color="auto"/>
              <w:right w:val="nil"/>
            </w:tcBorders>
            <w:shd w:val="clear" w:color="auto" w:fill="FFFFFF" w:themeFill="background1"/>
            <w:vAlign w:val="center"/>
          </w:tcPr>
          <w:p w14:paraId="4399ADAF" w14:textId="4C57FAD1" w:rsidR="00A430A8" w:rsidRPr="002F5437" w:rsidRDefault="00A430A8" w:rsidP="00A430A8">
            <w:pPr>
              <w:spacing w:before="20" w:after="20"/>
              <w:ind w:left="-385" w:right="76"/>
              <w:jc w:val="right"/>
              <w:rPr>
                <w:b/>
                <w:color w:val="00ABE6"/>
                <w:sz w:val="18"/>
                <w:szCs w:val="18"/>
              </w:rPr>
            </w:pPr>
            <w:r w:rsidRPr="002F5437">
              <w:rPr>
                <w:b/>
                <w:color w:val="00ABE6"/>
                <w:sz w:val="18"/>
                <w:szCs w:val="18"/>
              </w:rPr>
              <w:t>(343)</w:t>
            </w:r>
          </w:p>
        </w:tc>
        <w:tc>
          <w:tcPr>
            <w:tcW w:w="1037" w:type="dxa"/>
            <w:tcBorders>
              <w:top w:val="single" w:sz="4" w:space="0" w:color="auto"/>
              <w:left w:val="nil"/>
              <w:bottom w:val="double" w:sz="4" w:space="0" w:color="auto"/>
              <w:right w:val="nil"/>
            </w:tcBorders>
            <w:shd w:val="clear" w:color="auto" w:fill="FFFFFF" w:themeFill="background1"/>
            <w:vAlign w:val="center"/>
          </w:tcPr>
          <w:p w14:paraId="59AC84F0" w14:textId="3766A2A4" w:rsidR="00A430A8" w:rsidRPr="008C7480" w:rsidRDefault="00A430A8" w:rsidP="00A430A8">
            <w:pPr>
              <w:spacing w:before="20" w:after="20"/>
              <w:ind w:left="-385" w:right="76"/>
              <w:jc w:val="right"/>
              <w:rPr>
                <w:b/>
                <w:color w:val="00ABE6"/>
                <w:sz w:val="18"/>
                <w:szCs w:val="18"/>
              </w:rPr>
            </w:pPr>
            <w:r w:rsidRPr="008C7480">
              <w:rPr>
                <w:b/>
                <w:color w:val="00ABE6"/>
                <w:sz w:val="18"/>
                <w:szCs w:val="18"/>
              </w:rPr>
              <w:t xml:space="preserve">266,946 </w:t>
            </w:r>
          </w:p>
        </w:tc>
        <w:tc>
          <w:tcPr>
            <w:tcW w:w="1037" w:type="dxa"/>
            <w:tcBorders>
              <w:top w:val="single" w:sz="4" w:space="0" w:color="auto"/>
              <w:left w:val="nil"/>
              <w:bottom w:val="double" w:sz="4" w:space="0" w:color="auto"/>
              <w:right w:val="nil"/>
            </w:tcBorders>
            <w:shd w:val="clear" w:color="auto" w:fill="FFFFFF" w:themeFill="background1"/>
            <w:vAlign w:val="center"/>
          </w:tcPr>
          <w:p w14:paraId="4A74CE51" w14:textId="777A3D86" w:rsidR="00A430A8" w:rsidRPr="008C7480" w:rsidRDefault="00A430A8" w:rsidP="00A430A8">
            <w:pPr>
              <w:spacing w:before="20" w:after="20"/>
              <w:ind w:left="-385" w:right="76"/>
              <w:jc w:val="right"/>
              <w:rPr>
                <w:b/>
                <w:color w:val="00ABE6"/>
                <w:sz w:val="18"/>
                <w:szCs w:val="18"/>
              </w:rPr>
            </w:pPr>
            <w:r w:rsidRPr="008C7480">
              <w:rPr>
                <w:b/>
                <w:color w:val="00ABE6"/>
                <w:sz w:val="18"/>
                <w:szCs w:val="18"/>
              </w:rPr>
              <w:t xml:space="preserve">280,816 </w:t>
            </w:r>
          </w:p>
        </w:tc>
        <w:tc>
          <w:tcPr>
            <w:tcW w:w="1037" w:type="dxa"/>
            <w:tcBorders>
              <w:top w:val="single" w:sz="4" w:space="0" w:color="auto"/>
              <w:left w:val="nil"/>
              <w:bottom w:val="double" w:sz="4" w:space="0" w:color="auto"/>
              <w:right w:val="nil"/>
            </w:tcBorders>
            <w:shd w:val="clear" w:color="auto" w:fill="FFFFFF" w:themeFill="background1"/>
            <w:vAlign w:val="center"/>
          </w:tcPr>
          <w:p w14:paraId="7E1BDF2D" w14:textId="2797369E" w:rsidR="00A430A8" w:rsidRPr="008C7480" w:rsidRDefault="00A430A8" w:rsidP="00A430A8">
            <w:pPr>
              <w:spacing w:before="20" w:after="20"/>
              <w:ind w:left="-385" w:right="76"/>
              <w:jc w:val="right"/>
              <w:rPr>
                <w:b/>
                <w:color w:val="00ABE6"/>
                <w:sz w:val="18"/>
                <w:szCs w:val="18"/>
              </w:rPr>
            </w:pPr>
            <w:r w:rsidRPr="008C7480">
              <w:rPr>
                <w:b/>
                <w:color w:val="00ABE6"/>
                <w:sz w:val="18"/>
                <w:szCs w:val="18"/>
              </w:rPr>
              <w:t xml:space="preserve">293,500 </w:t>
            </w:r>
          </w:p>
        </w:tc>
        <w:tc>
          <w:tcPr>
            <w:tcW w:w="1037" w:type="dxa"/>
            <w:tcBorders>
              <w:top w:val="single" w:sz="4" w:space="0" w:color="auto"/>
              <w:left w:val="nil"/>
              <w:bottom w:val="double" w:sz="4" w:space="0" w:color="auto"/>
              <w:right w:val="nil"/>
            </w:tcBorders>
            <w:shd w:val="clear" w:color="auto" w:fill="FFFFFF" w:themeFill="background1"/>
            <w:vAlign w:val="center"/>
          </w:tcPr>
          <w:p w14:paraId="0E4DB4D1" w14:textId="6F170577" w:rsidR="00A430A8" w:rsidRPr="008C7480" w:rsidRDefault="00A430A8" w:rsidP="00A430A8">
            <w:pPr>
              <w:spacing w:before="20" w:after="20"/>
              <w:ind w:left="-385" w:right="76"/>
              <w:jc w:val="right"/>
              <w:rPr>
                <w:b/>
                <w:color w:val="00ABE6"/>
                <w:sz w:val="18"/>
                <w:szCs w:val="18"/>
              </w:rPr>
            </w:pPr>
            <w:r w:rsidRPr="008C7480">
              <w:rPr>
                <w:b/>
                <w:color w:val="00ABE6"/>
                <w:sz w:val="18"/>
                <w:szCs w:val="18"/>
              </w:rPr>
              <w:t xml:space="preserve">311,013 </w:t>
            </w:r>
          </w:p>
        </w:tc>
      </w:tr>
      <w:tr w:rsidR="008D0072" w:rsidRPr="002F5437" w14:paraId="5C1B7987" w14:textId="77777777" w:rsidTr="001A5E3F">
        <w:trPr>
          <w:trHeight w:val="215"/>
        </w:trPr>
        <w:tc>
          <w:tcPr>
            <w:tcW w:w="2302" w:type="dxa"/>
            <w:tcBorders>
              <w:top w:val="double" w:sz="4" w:space="0" w:color="auto"/>
              <w:left w:val="nil"/>
              <w:bottom w:val="double" w:sz="4" w:space="0" w:color="auto"/>
              <w:right w:val="nil"/>
            </w:tcBorders>
            <w:shd w:val="clear" w:color="auto" w:fill="FFFFFF" w:themeFill="background1"/>
            <w:vAlign w:val="center"/>
          </w:tcPr>
          <w:p w14:paraId="6CD5EA6D" w14:textId="77777777" w:rsidR="008D0072" w:rsidRPr="002F5437" w:rsidRDefault="008D0072" w:rsidP="008D0072">
            <w:pPr>
              <w:spacing w:before="40" w:after="40"/>
              <w:ind w:right="-108"/>
              <w:rPr>
                <w:b/>
                <w:color w:val="00ABE6"/>
                <w:sz w:val="18"/>
                <w:szCs w:val="18"/>
              </w:rPr>
            </w:pPr>
            <w:r w:rsidRPr="002F5437">
              <w:rPr>
                <w:b/>
                <w:color w:val="00ABE6"/>
                <w:sz w:val="18"/>
                <w:szCs w:val="18"/>
              </w:rPr>
              <w:t>Net debt</w:t>
            </w:r>
          </w:p>
        </w:tc>
        <w:tc>
          <w:tcPr>
            <w:tcW w:w="1001" w:type="dxa"/>
            <w:tcBorders>
              <w:top w:val="double" w:sz="4" w:space="0" w:color="auto"/>
              <w:left w:val="nil"/>
              <w:bottom w:val="double" w:sz="4" w:space="0" w:color="auto"/>
              <w:right w:val="nil"/>
            </w:tcBorders>
            <w:shd w:val="clear" w:color="auto" w:fill="FFFFFF" w:themeFill="background1"/>
            <w:vAlign w:val="center"/>
          </w:tcPr>
          <w:p w14:paraId="49CE5215" w14:textId="61399DAA" w:rsidR="008D0072" w:rsidRPr="008D0072" w:rsidRDefault="008D0072" w:rsidP="00736E06">
            <w:pPr>
              <w:spacing w:before="20" w:after="20"/>
              <w:ind w:left="-385" w:right="76"/>
              <w:jc w:val="right"/>
              <w:rPr>
                <w:b/>
                <w:color w:val="00ABE6"/>
                <w:sz w:val="18"/>
                <w:szCs w:val="18"/>
              </w:rPr>
            </w:pPr>
            <w:r w:rsidRPr="008D0072">
              <w:rPr>
                <w:b/>
                <w:color w:val="00ABE6"/>
                <w:sz w:val="18"/>
                <w:szCs w:val="18"/>
              </w:rPr>
              <w:t xml:space="preserve">8,524 </w:t>
            </w:r>
          </w:p>
        </w:tc>
        <w:tc>
          <w:tcPr>
            <w:tcW w:w="1002" w:type="dxa"/>
            <w:tcBorders>
              <w:top w:val="double" w:sz="4" w:space="0" w:color="auto"/>
              <w:left w:val="nil"/>
              <w:bottom w:val="double" w:sz="4" w:space="0" w:color="auto"/>
              <w:right w:val="nil"/>
            </w:tcBorders>
            <w:shd w:val="clear" w:color="auto" w:fill="FFFFFF" w:themeFill="background1"/>
            <w:vAlign w:val="center"/>
          </w:tcPr>
          <w:p w14:paraId="49C1DF46" w14:textId="7A627146" w:rsidR="008D0072" w:rsidRPr="008D0072" w:rsidRDefault="008D0072" w:rsidP="00736E06">
            <w:pPr>
              <w:spacing w:before="20" w:after="20"/>
              <w:ind w:left="-385" w:right="76"/>
              <w:jc w:val="right"/>
              <w:rPr>
                <w:b/>
                <w:color w:val="00ABE6"/>
                <w:sz w:val="18"/>
                <w:szCs w:val="18"/>
              </w:rPr>
            </w:pPr>
            <w:r w:rsidRPr="008D0072">
              <w:rPr>
                <w:b/>
                <w:color w:val="00ABE6"/>
                <w:sz w:val="18"/>
                <w:szCs w:val="18"/>
              </w:rPr>
              <w:t xml:space="preserve">19,361 </w:t>
            </w:r>
          </w:p>
        </w:tc>
        <w:tc>
          <w:tcPr>
            <w:tcW w:w="1001" w:type="dxa"/>
            <w:tcBorders>
              <w:top w:val="double" w:sz="4" w:space="0" w:color="auto"/>
              <w:left w:val="nil"/>
              <w:bottom w:val="double" w:sz="4" w:space="0" w:color="auto"/>
              <w:right w:val="nil"/>
            </w:tcBorders>
            <w:shd w:val="clear" w:color="auto" w:fill="FFFFFF" w:themeFill="background1"/>
            <w:vAlign w:val="center"/>
          </w:tcPr>
          <w:p w14:paraId="7416E89B" w14:textId="2DA08790" w:rsidR="008D0072" w:rsidRPr="008D0072" w:rsidRDefault="008D0072" w:rsidP="00736E06">
            <w:pPr>
              <w:spacing w:before="20" w:after="20"/>
              <w:ind w:left="-385" w:right="76"/>
              <w:jc w:val="right"/>
              <w:rPr>
                <w:b/>
                <w:color w:val="00ABE6"/>
                <w:sz w:val="18"/>
                <w:szCs w:val="18"/>
              </w:rPr>
            </w:pPr>
            <w:r w:rsidRPr="008D0072">
              <w:rPr>
                <w:b/>
                <w:color w:val="00ABE6"/>
                <w:sz w:val="18"/>
                <w:szCs w:val="18"/>
              </w:rPr>
              <w:t xml:space="preserve">29,456 </w:t>
            </w:r>
          </w:p>
        </w:tc>
        <w:tc>
          <w:tcPr>
            <w:tcW w:w="1002" w:type="dxa"/>
            <w:tcBorders>
              <w:top w:val="double" w:sz="4" w:space="0" w:color="auto"/>
              <w:left w:val="nil"/>
              <w:bottom w:val="double" w:sz="4" w:space="0" w:color="auto"/>
              <w:right w:val="nil"/>
            </w:tcBorders>
            <w:shd w:val="clear" w:color="auto" w:fill="FFFFFF" w:themeFill="background1"/>
            <w:vAlign w:val="center"/>
          </w:tcPr>
          <w:p w14:paraId="4CB53975" w14:textId="027D5FFB" w:rsidR="008D0072" w:rsidRPr="008D0072" w:rsidRDefault="008D0072" w:rsidP="00736E06">
            <w:pPr>
              <w:spacing w:before="20" w:after="20"/>
              <w:ind w:left="-385" w:right="76"/>
              <w:jc w:val="right"/>
              <w:rPr>
                <w:b/>
                <w:color w:val="00ABE6"/>
                <w:sz w:val="18"/>
                <w:szCs w:val="18"/>
              </w:rPr>
            </w:pPr>
            <w:r w:rsidRPr="008D0072">
              <w:rPr>
                <w:b/>
                <w:color w:val="00ABE6"/>
                <w:sz w:val="18"/>
                <w:szCs w:val="18"/>
              </w:rPr>
              <w:t xml:space="preserve">35,445 </w:t>
            </w:r>
          </w:p>
        </w:tc>
        <w:tc>
          <w:tcPr>
            <w:tcW w:w="1037" w:type="dxa"/>
            <w:tcBorders>
              <w:top w:val="double" w:sz="4" w:space="0" w:color="auto"/>
              <w:left w:val="nil"/>
              <w:bottom w:val="double" w:sz="4" w:space="0" w:color="auto"/>
              <w:right w:val="nil"/>
            </w:tcBorders>
            <w:shd w:val="clear" w:color="auto" w:fill="FFFFFF" w:themeFill="background1"/>
            <w:vAlign w:val="center"/>
          </w:tcPr>
          <w:p w14:paraId="2856B82E" w14:textId="055420A1" w:rsidR="008D0072" w:rsidRPr="002F5437" w:rsidRDefault="008D0072" w:rsidP="008D0072">
            <w:pPr>
              <w:spacing w:before="20" w:after="20"/>
              <w:ind w:left="-385" w:right="76"/>
              <w:jc w:val="right"/>
              <w:rPr>
                <w:b/>
                <w:color w:val="00ABE6"/>
                <w:sz w:val="18"/>
                <w:szCs w:val="18"/>
              </w:rPr>
            </w:pPr>
            <w:r w:rsidRPr="002F5437">
              <w:rPr>
                <w:b/>
                <w:color w:val="00ABE6"/>
                <w:sz w:val="18"/>
                <w:szCs w:val="18"/>
              </w:rPr>
              <w:t>3,830</w:t>
            </w:r>
          </w:p>
        </w:tc>
        <w:tc>
          <w:tcPr>
            <w:tcW w:w="1037" w:type="dxa"/>
            <w:tcBorders>
              <w:top w:val="double" w:sz="4" w:space="0" w:color="auto"/>
              <w:left w:val="nil"/>
              <w:bottom w:val="double" w:sz="4" w:space="0" w:color="auto"/>
              <w:right w:val="nil"/>
            </w:tcBorders>
            <w:shd w:val="clear" w:color="auto" w:fill="FFFFFF" w:themeFill="background1"/>
            <w:vAlign w:val="center"/>
          </w:tcPr>
          <w:p w14:paraId="40A766A6" w14:textId="077471CB" w:rsidR="008D0072" w:rsidRPr="002F5437" w:rsidRDefault="008D0072" w:rsidP="008D0072">
            <w:pPr>
              <w:spacing w:before="20" w:after="20"/>
              <w:ind w:left="-385" w:right="76"/>
              <w:jc w:val="right"/>
              <w:rPr>
                <w:b/>
                <w:color w:val="00ABE6"/>
                <w:sz w:val="18"/>
                <w:szCs w:val="18"/>
              </w:rPr>
            </w:pPr>
            <w:r w:rsidRPr="002F5437">
              <w:rPr>
                <w:b/>
                <w:color w:val="00ABE6"/>
                <w:sz w:val="18"/>
                <w:szCs w:val="18"/>
              </w:rPr>
              <w:t>3,612</w:t>
            </w:r>
          </w:p>
        </w:tc>
        <w:tc>
          <w:tcPr>
            <w:tcW w:w="1037" w:type="dxa"/>
            <w:tcBorders>
              <w:top w:val="double" w:sz="4" w:space="0" w:color="auto"/>
              <w:left w:val="nil"/>
              <w:bottom w:val="double" w:sz="4" w:space="0" w:color="auto"/>
              <w:right w:val="nil"/>
            </w:tcBorders>
            <w:shd w:val="clear" w:color="auto" w:fill="FFFFFF" w:themeFill="background1"/>
            <w:vAlign w:val="center"/>
          </w:tcPr>
          <w:p w14:paraId="40954005" w14:textId="193E4028" w:rsidR="008D0072" w:rsidRPr="002F5437" w:rsidRDefault="008D0072" w:rsidP="008D0072">
            <w:pPr>
              <w:spacing w:before="20" w:after="20"/>
              <w:ind w:left="-385" w:right="76"/>
              <w:jc w:val="right"/>
              <w:rPr>
                <w:b/>
                <w:color w:val="00ABE6"/>
                <w:sz w:val="18"/>
                <w:szCs w:val="18"/>
              </w:rPr>
            </w:pPr>
            <w:r w:rsidRPr="002F5437">
              <w:rPr>
                <w:b/>
                <w:color w:val="00ABE6"/>
                <w:sz w:val="18"/>
                <w:szCs w:val="18"/>
              </w:rPr>
              <w:t>3,428</w:t>
            </w:r>
          </w:p>
        </w:tc>
        <w:tc>
          <w:tcPr>
            <w:tcW w:w="1037" w:type="dxa"/>
            <w:tcBorders>
              <w:top w:val="double" w:sz="4" w:space="0" w:color="auto"/>
              <w:left w:val="nil"/>
              <w:bottom w:val="double" w:sz="4" w:space="0" w:color="auto"/>
              <w:right w:val="nil"/>
            </w:tcBorders>
            <w:shd w:val="clear" w:color="auto" w:fill="FFFFFF" w:themeFill="background1"/>
            <w:vAlign w:val="center"/>
          </w:tcPr>
          <w:p w14:paraId="35F12B9A" w14:textId="042FF5FB" w:rsidR="008D0072" w:rsidRPr="002F5437" w:rsidRDefault="008D0072" w:rsidP="008D0072">
            <w:pPr>
              <w:spacing w:before="20" w:after="20"/>
              <w:ind w:left="-385" w:right="76"/>
              <w:jc w:val="right"/>
              <w:rPr>
                <w:b/>
                <w:color w:val="00ABE6"/>
                <w:sz w:val="18"/>
                <w:szCs w:val="18"/>
              </w:rPr>
            </w:pPr>
            <w:r w:rsidRPr="002F5437">
              <w:rPr>
                <w:b/>
                <w:color w:val="00ABE6"/>
                <w:sz w:val="18"/>
                <w:szCs w:val="18"/>
              </w:rPr>
              <w:t>3,194</w:t>
            </w:r>
          </w:p>
        </w:tc>
        <w:tc>
          <w:tcPr>
            <w:tcW w:w="1037" w:type="dxa"/>
            <w:tcBorders>
              <w:top w:val="double" w:sz="4" w:space="0" w:color="auto"/>
              <w:left w:val="nil"/>
              <w:bottom w:val="double" w:sz="4" w:space="0" w:color="auto"/>
              <w:right w:val="nil"/>
            </w:tcBorders>
            <w:shd w:val="clear" w:color="auto" w:fill="FFFFFF" w:themeFill="background1"/>
            <w:vAlign w:val="center"/>
          </w:tcPr>
          <w:p w14:paraId="6A5416D0" w14:textId="1ED7CA4C" w:rsidR="008D0072" w:rsidRPr="008C7480" w:rsidRDefault="008D0072" w:rsidP="008D0072">
            <w:pPr>
              <w:spacing w:before="20" w:after="20"/>
              <w:ind w:left="-385" w:right="76"/>
              <w:jc w:val="right"/>
              <w:rPr>
                <w:b/>
                <w:color w:val="00ABE6"/>
                <w:sz w:val="18"/>
                <w:szCs w:val="18"/>
              </w:rPr>
            </w:pPr>
            <w:r w:rsidRPr="008C7480">
              <w:rPr>
                <w:b/>
                <w:color w:val="00ABE6"/>
                <w:sz w:val="18"/>
                <w:szCs w:val="18"/>
              </w:rPr>
              <w:t xml:space="preserve">12,354 </w:t>
            </w:r>
          </w:p>
        </w:tc>
        <w:tc>
          <w:tcPr>
            <w:tcW w:w="1037" w:type="dxa"/>
            <w:tcBorders>
              <w:top w:val="double" w:sz="4" w:space="0" w:color="auto"/>
              <w:left w:val="nil"/>
              <w:bottom w:val="double" w:sz="4" w:space="0" w:color="auto"/>
              <w:right w:val="nil"/>
            </w:tcBorders>
            <w:shd w:val="clear" w:color="auto" w:fill="FFFFFF" w:themeFill="background1"/>
            <w:vAlign w:val="center"/>
          </w:tcPr>
          <w:p w14:paraId="36FC16BC" w14:textId="57787C3C" w:rsidR="008D0072" w:rsidRPr="008C7480" w:rsidRDefault="008D0072" w:rsidP="008D0072">
            <w:pPr>
              <w:spacing w:before="20" w:after="20"/>
              <w:ind w:left="-385" w:right="76"/>
              <w:jc w:val="right"/>
              <w:rPr>
                <w:b/>
                <w:color w:val="00ABE6"/>
                <w:sz w:val="18"/>
                <w:szCs w:val="18"/>
              </w:rPr>
            </w:pPr>
            <w:r w:rsidRPr="008C7480">
              <w:rPr>
                <w:b/>
                <w:color w:val="00ABE6"/>
                <w:sz w:val="18"/>
                <w:szCs w:val="18"/>
              </w:rPr>
              <w:t xml:space="preserve">22,973 </w:t>
            </w:r>
          </w:p>
        </w:tc>
        <w:tc>
          <w:tcPr>
            <w:tcW w:w="1037" w:type="dxa"/>
            <w:tcBorders>
              <w:top w:val="double" w:sz="4" w:space="0" w:color="auto"/>
              <w:left w:val="nil"/>
              <w:bottom w:val="double" w:sz="4" w:space="0" w:color="auto"/>
              <w:right w:val="nil"/>
            </w:tcBorders>
            <w:shd w:val="clear" w:color="auto" w:fill="FFFFFF" w:themeFill="background1"/>
            <w:vAlign w:val="center"/>
          </w:tcPr>
          <w:p w14:paraId="0000F6BA" w14:textId="4442E43C" w:rsidR="008D0072" w:rsidRPr="008C7480" w:rsidRDefault="008D0072" w:rsidP="008D0072">
            <w:pPr>
              <w:spacing w:before="20" w:after="20"/>
              <w:ind w:left="-385" w:right="76"/>
              <w:jc w:val="right"/>
              <w:rPr>
                <w:b/>
                <w:color w:val="00ABE6"/>
                <w:sz w:val="18"/>
                <w:szCs w:val="18"/>
              </w:rPr>
            </w:pPr>
            <w:r w:rsidRPr="008C7480">
              <w:rPr>
                <w:b/>
                <w:color w:val="00ABE6"/>
                <w:sz w:val="18"/>
                <w:szCs w:val="18"/>
              </w:rPr>
              <w:t xml:space="preserve">32,884 </w:t>
            </w:r>
          </w:p>
        </w:tc>
        <w:tc>
          <w:tcPr>
            <w:tcW w:w="1037" w:type="dxa"/>
            <w:tcBorders>
              <w:top w:val="double" w:sz="4" w:space="0" w:color="auto"/>
              <w:left w:val="nil"/>
              <w:bottom w:val="double" w:sz="4" w:space="0" w:color="auto"/>
              <w:right w:val="nil"/>
            </w:tcBorders>
            <w:shd w:val="clear" w:color="auto" w:fill="FFFFFF" w:themeFill="background1"/>
            <w:vAlign w:val="center"/>
          </w:tcPr>
          <w:p w14:paraId="4005FB89" w14:textId="553AB4DA" w:rsidR="008D0072" w:rsidRPr="008C7480" w:rsidRDefault="008D0072" w:rsidP="008D0072">
            <w:pPr>
              <w:spacing w:before="20" w:after="20"/>
              <w:ind w:left="-385" w:right="76"/>
              <w:jc w:val="right"/>
              <w:rPr>
                <w:b/>
                <w:color w:val="00ABE6"/>
                <w:sz w:val="18"/>
                <w:szCs w:val="18"/>
              </w:rPr>
            </w:pPr>
            <w:r w:rsidRPr="008C7480">
              <w:rPr>
                <w:b/>
                <w:color w:val="00ABE6"/>
                <w:sz w:val="18"/>
                <w:szCs w:val="18"/>
              </w:rPr>
              <w:t xml:space="preserve">38,640 </w:t>
            </w:r>
          </w:p>
        </w:tc>
      </w:tr>
    </w:tbl>
    <w:p w14:paraId="34BF14AF" w14:textId="77777777" w:rsidR="00464D76" w:rsidRPr="008833AE" w:rsidRDefault="00464D76" w:rsidP="005A41F5">
      <w:pPr>
        <w:widowControl/>
        <w:tabs>
          <w:tab w:val="clear" w:pos="4196"/>
          <w:tab w:val="clear" w:pos="5046"/>
          <w:tab w:val="clear" w:pos="5897"/>
          <w:tab w:val="clear" w:pos="6747"/>
          <w:tab w:val="clear" w:pos="7598"/>
        </w:tabs>
        <w:autoSpaceDE/>
        <w:autoSpaceDN/>
      </w:pPr>
    </w:p>
    <w:p w14:paraId="4D08F96E" w14:textId="51841BC7" w:rsidR="0032616E" w:rsidRPr="008833AE" w:rsidRDefault="0032616E">
      <w:pPr>
        <w:widowControl/>
        <w:tabs>
          <w:tab w:val="clear" w:pos="4196"/>
          <w:tab w:val="clear" w:pos="5046"/>
          <w:tab w:val="clear" w:pos="5897"/>
          <w:tab w:val="clear" w:pos="6747"/>
          <w:tab w:val="clear" w:pos="7598"/>
        </w:tabs>
        <w:autoSpaceDE/>
        <w:autoSpaceDN/>
        <w:sectPr w:rsidR="0032616E" w:rsidRPr="008833AE" w:rsidSect="008833AE">
          <w:headerReference w:type="first" r:id="rId17"/>
          <w:footerReference w:type="first" r:id="rId18"/>
          <w:pgSz w:w="16840" w:h="11907" w:orient="landscape" w:code="9"/>
          <w:pgMar w:top="1134" w:right="1134" w:bottom="1134" w:left="1134" w:header="454" w:footer="454" w:gutter="0"/>
          <w:cols w:space="720"/>
          <w:titlePg/>
          <w:docGrid w:linePitch="272"/>
        </w:sectPr>
      </w:pPr>
    </w:p>
    <w:p w14:paraId="219CAC17" w14:textId="77777777" w:rsidR="00E96872" w:rsidRPr="008833AE" w:rsidRDefault="00E96872" w:rsidP="00AD1127">
      <w:pPr>
        <w:pStyle w:val="BodyText"/>
      </w:pPr>
      <w:r w:rsidRPr="008833AE">
        <w:lastRenderedPageBreak/>
        <w:t xml:space="preserve">There are no other significant changes to AAS or accounting policies adopted in 2019-20 that would significantly impact the Estimated Financial Statements. </w:t>
      </w:r>
    </w:p>
    <w:bookmarkEnd w:id="1"/>
    <w:p w14:paraId="03C7CBDC" w14:textId="61A7AF4B" w:rsidR="00FC616E" w:rsidRPr="008833AE" w:rsidRDefault="00C405DB" w:rsidP="00690BCD">
      <w:pPr>
        <w:pStyle w:val="Heading3"/>
        <w:rPr>
          <w:rFonts w:ascii="Arial" w:hAnsi="Arial" w:cs="Arial"/>
        </w:rPr>
      </w:pPr>
      <w:r w:rsidRPr="008833AE">
        <w:rPr>
          <w:rFonts w:ascii="Arial" w:hAnsi="Arial" w:cs="Arial"/>
        </w:rPr>
        <w:t xml:space="preserve">New Accounting Standards </w:t>
      </w:r>
      <w:r w:rsidR="002D49DE" w:rsidRPr="008833AE">
        <w:rPr>
          <w:rFonts w:ascii="Arial" w:hAnsi="Arial" w:cs="Arial"/>
        </w:rPr>
        <w:t xml:space="preserve">issued </w:t>
      </w:r>
      <w:r w:rsidRPr="008833AE">
        <w:rPr>
          <w:rFonts w:ascii="Arial" w:hAnsi="Arial" w:cs="Arial"/>
        </w:rPr>
        <w:t xml:space="preserve">but </w:t>
      </w:r>
      <w:r w:rsidR="002D49DE" w:rsidRPr="008833AE">
        <w:rPr>
          <w:rFonts w:ascii="Arial" w:hAnsi="Arial" w:cs="Arial"/>
        </w:rPr>
        <w:t>not effective</w:t>
      </w:r>
    </w:p>
    <w:p w14:paraId="08B1E12D" w14:textId="3B545815" w:rsidR="00CF7334" w:rsidRPr="008833AE" w:rsidRDefault="00CF7334" w:rsidP="00AD1127">
      <w:pPr>
        <w:pStyle w:val="BodyText"/>
      </w:pPr>
      <w:r w:rsidRPr="008833AE">
        <w:t>Certain new accounting standards and interpretations have been published that are not mandatory for 2019-20</w:t>
      </w:r>
      <w:r w:rsidR="00253E27" w:rsidRPr="008833AE">
        <w:t xml:space="preserve">. The State has not adopted these early. </w:t>
      </w:r>
      <w:r w:rsidR="0011561A" w:rsidRPr="008833AE">
        <w:t>The asses</w:t>
      </w:r>
      <w:r w:rsidR="00750B8C" w:rsidRPr="008833AE">
        <w:t>s</w:t>
      </w:r>
      <w:r w:rsidR="00253E27" w:rsidRPr="008833AE">
        <w:t>ed</w:t>
      </w:r>
      <w:r w:rsidR="0011561A" w:rsidRPr="008833AE">
        <w:t xml:space="preserve"> impact of these new standards and interpretations is set out below</w:t>
      </w:r>
      <w:r w:rsidR="00F87388" w:rsidRPr="008833AE">
        <w:t>.</w:t>
      </w:r>
    </w:p>
    <w:p w14:paraId="2BCA6EFF" w14:textId="7514D1BD" w:rsidR="005F6629" w:rsidRPr="008833AE" w:rsidRDefault="00C405DB" w:rsidP="00A7136B">
      <w:pPr>
        <w:pStyle w:val="BodyText"/>
        <w:rPr>
          <w:b/>
          <w:i/>
        </w:rPr>
      </w:pPr>
      <w:bookmarkStart w:id="2" w:name="_Hlk514419543"/>
      <w:r w:rsidRPr="008833AE">
        <w:rPr>
          <w:b/>
        </w:rPr>
        <w:t xml:space="preserve">AASB 1059 </w:t>
      </w:r>
      <w:r w:rsidRPr="008833AE">
        <w:rPr>
          <w:b/>
          <w:i/>
        </w:rPr>
        <w:t>Service Co</w:t>
      </w:r>
      <w:r w:rsidR="005F6629" w:rsidRPr="008833AE">
        <w:rPr>
          <w:b/>
          <w:i/>
        </w:rPr>
        <w:t>ncession Arrangements: Grantors</w:t>
      </w:r>
      <w:r w:rsidR="002176AC" w:rsidRPr="008833AE">
        <w:rPr>
          <w:b/>
          <w:i/>
        </w:rPr>
        <w:t xml:space="preserve"> </w:t>
      </w:r>
    </w:p>
    <w:p w14:paraId="77360D16" w14:textId="3ABF2AD9" w:rsidR="00946F94" w:rsidRPr="008833AE" w:rsidRDefault="00A3555A" w:rsidP="00651E32">
      <w:pPr>
        <w:pStyle w:val="BodyText"/>
      </w:pPr>
      <w:r w:rsidRPr="008833AE">
        <w:t xml:space="preserve">AASB 1059 </w:t>
      </w:r>
      <w:r w:rsidRPr="008833AE">
        <w:rPr>
          <w:i/>
        </w:rPr>
        <w:t>Service Concession Arrangements: Grantors</w:t>
      </w:r>
      <w:r w:rsidRPr="008833AE">
        <w:t xml:space="preserve"> (</w:t>
      </w:r>
      <w:r w:rsidR="00946F94" w:rsidRPr="008833AE">
        <w:t>AASB 1059</w:t>
      </w:r>
      <w:r w:rsidRPr="008833AE">
        <w:t>)</w:t>
      </w:r>
      <w:r w:rsidR="00946F94" w:rsidRPr="008833AE">
        <w:t xml:space="preserve"> </w:t>
      </w:r>
      <w:r w:rsidR="00253E27" w:rsidRPr="008833AE">
        <w:t>will be</w:t>
      </w:r>
      <w:r w:rsidR="00946F94" w:rsidRPr="008833AE">
        <w:t xml:space="preserve"> effective </w:t>
      </w:r>
      <w:r w:rsidR="00B563D9" w:rsidRPr="008833AE">
        <w:t xml:space="preserve">for </w:t>
      </w:r>
      <w:r w:rsidR="00946F94" w:rsidRPr="008833AE">
        <w:t>reporting periods commencing on or after 1</w:t>
      </w:r>
      <w:r w:rsidR="00690BCD" w:rsidRPr="008833AE">
        <w:t> </w:t>
      </w:r>
      <w:r w:rsidR="00946F94" w:rsidRPr="008833AE">
        <w:t>January</w:t>
      </w:r>
      <w:r w:rsidR="00690BCD" w:rsidRPr="008833AE">
        <w:t> </w:t>
      </w:r>
      <w:r w:rsidR="004175EF" w:rsidRPr="008833AE">
        <w:t>2020</w:t>
      </w:r>
      <w:r w:rsidR="00946F94" w:rsidRPr="008833AE">
        <w:t xml:space="preserve">. Service concession arrangements (SCA) involve </w:t>
      </w:r>
      <w:r w:rsidR="00E562E9" w:rsidRPr="008833AE">
        <w:t>either a</w:t>
      </w:r>
      <w:r w:rsidR="00EC602D" w:rsidRPr="008833AE">
        <w:t xml:space="preserve"> public </w:t>
      </w:r>
      <w:r w:rsidR="00E562E9" w:rsidRPr="008833AE">
        <w:t>or</w:t>
      </w:r>
      <w:r w:rsidR="00EC602D" w:rsidRPr="008833AE">
        <w:t xml:space="preserve"> </w:t>
      </w:r>
      <w:r w:rsidR="00946F94" w:rsidRPr="008833AE">
        <w:t xml:space="preserve">private sector </w:t>
      </w:r>
      <w:r w:rsidR="006F37BF" w:rsidRPr="008833AE">
        <w:t>entit</w:t>
      </w:r>
      <w:r w:rsidR="006A0016" w:rsidRPr="008833AE">
        <w:t>y</w:t>
      </w:r>
      <w:r w:rsidR="006F37BF" w:rsidRPr="008833AE">
        <w:t xml:space="preserve"> </w:t>
      </w:r>
      <w:r w:rsidR="00946F94" w:rsidRPr="008833AE">
        <w:t>operating a service concession asset to deliver public services on behalf of a public sector grantor.</w:t>
      </w:r>
    </w:p>
    <w:p w14:paraId="6FA0E9FE" w14:textId="0D0355BA" w:rsidR="00946F94" w:rsidRPr="008833AE" w:rsidRDefault="00946F94" w:rsidP="00651E32">
      <w:pPr>
        <w:pStyle w:val="BodyText"/>
      </w:pPr>
      <w:r w:rsidRPr="008833AE">
        <w:t xml:space="preserve">Currently, under TPP 06-8 </w:t>
      </w:r>
      <w:r w:rsidRPr="00F61347">
        <w:rPr>
          <w:i/>
        </w:rPr>
        <w:t>Privately Financed Projects</w:t>
      </w:r>
      <w:r w:rsidRPr="008833AE">
        <w:t xml:space="preserve"> (TPP 06-8), most SCA</w:t>
      </w:r>
      <w:r w:rsidR="002844D2" w:rsidRPr="008833AE">
        <w:t>s</w:t>
      </w:r>
      <w:r w:rsidRPr="008833AE">
        <w:t xml:space="preserve"> in N</w:t>
      </w:r>
      <w:r w:rsidR="00690BCD" w:rsidRPr="008833AE">
        <w:t>ew </w:t>
      </w:r>
      <w:r w:rsidRPr="008833AE">
        <w:t>S</w:t>
      </w:r>
      <w:r w:rsidR="00690BCD" w:rsidRPr="008833AE">
        <w:t>outh </w:t>
      </w:r>
      <w:r w:rsidRPr="008833AE">
        <w:t>W</w:t>
      </w:r>
      <w:r w:rsidR="00690BCD" w:rsidRPr="008833AE">
        <w:t>ales</w:t>
      </w:r>
      <w:r w:rsidRPr="008833AE">
        <w:t xml:space="preserve"> are generally treated as leases or as assets gradually </w:t>
      </w:r>
      <w:r w:rsidR="00FB733B" w:rsidRPr="008833AE">
        <w:t>recognised</w:t>
      </w:r>
      <w:r w:rsidRPr="008833AE">
        <w:t xml:space="preserve"> over the concession period.</w:t>
      </w:r>
    </w:p>
    <w:p w14:paraId="0B3DAFC9" w14:textId="52DB8758" w:rsidR="00946F94" w:rsidRPr="008833AE" w:rsidRDefault="00946F94" w:rsidP="00651E32">
      <w:pPr>
        <w:pStyle w:val="BodyText"/>
      </w:pPr>
      <w:r w:rsidRPr="008833AE">
        <w:t>AASB 1059 will require service concession assets to be recognised immediately at the start of the arrangement</w:t>
      </w:r>
      <w:r w:rsidR="000E5CF2" w:rsidRPr="008833AE">
        <w:t xml:space="preserve"> or over the </w:t>
      </w:r>
      <w:r w:rsidR="006F37BF" w:rsidRPr="008833AE">
        <w:t>construction period</w:t>
      </w:r>
      <w:r w:rsidRPr="008833AE">
        <w:t xml:space="preserve">, with a corresponding liability to reflect any payments due, and/or the grant of a right, to the operator. Further, AASB 1059 has a broader scope than TPP 06-8, possibly resulting in more arrangements being recognised </w:t>
      </w:r>
      <w:r w:rsidR="0091402D" w:rsidRPr="008833AE">
        <w:t xml:space="preserve">in </w:t>
      </w:r>
      <w:r w:rsidRPr="008833AE">
        <w:t>the State’s statement of financial position.</w:t>
      </w:r>
    </w:p>
    <w:p w14:paraId="74E22290" w14:textId="6FBFA451" w:rsidR="000F586C" w:rsidRDefault="00946F94" w:rsidP="00651E32">
      <w:pPr>
        <w:pStyle w:val="BodyText"/>
      </w:pPr>
      <w:r w:rsidRPr="008833AE">
        <w:t xml:space="preserve">These changes are expected to significantly increase assets and liabilities </w:t>
      </w:r>
      <w:r w:rsidR="0091402D" w:rsidRPr="008833AE">
        <w:t xml:space="preserve">in </w:t>
      </w:r>
      <w:r w:rsidRPr="008833AE">
        <w:t xml:space="preserve">the State’s </w:t>
      </w:r>
      <w:r w:rsidR="006B6C39">
        <w:t>balance sheet</w:t>
      </w:r>
      <w:r w:rsidR="00B0321F" w:rsidRPr="008833AE">
        <w:t xml:space="preserve"> and impact the operating statement depreciation and amortisation expense</w:t>
      </w:r>
      <w:r w:rsidR="00630CE3" w:rsidRPr="008833AE">
        <w:t>s</w:t>
      </w:r>
      <w:r w:rsidR="00B0321F" w:rsidRPr="008833AE">
        <w:t xml:space="preserve"> and income from the amortisation of </w:t>
      </w:r>
      <w:r w:rsidR="00D1440D" w:rsidRPr="008833AE">
        <w:t xml:space="preserve">grant of right </w:t>
      </w:r>
      <w:r w:rsidR="00B0321F" w:rsidRPr="008833AE">
        <w:t>liabilit</w:t>
      </w:r>
      <w:r w:rsidR="000847C0">
        <w:t>ies</w:t>
      </w:r>
      <w:r w:rsidRPr="008833AE">
        <w:t xml:space="preserve">. </w:t>
      </w:r>
    </w:p>
    <w:p w14:paraId="118419AD" w14:textId="2ECDB599" w:rsidR="005708A6" w:rsidRPr="008833AE" w:rsidRDefault="00946F94" w:rsidP="00651E32">
      <w:pPr>
        <w:pStyle w:val="BodyText"/>
      </w:pPr>
      <w:r w:rsidRPr="008833AE">
        <w:t>The estimated impact of AASB 1059 on future estimated financial statements has not been sufficiently identified and quantified at this stage.</w:t>
      </w:r>
      <w:r w:rsidR="005708A6" w:rsidRPr="008833AE">
        <w:t xml:space="preserve"> </w:t>
      </w:r>
    </w:p>
    <w:bookmarkEnd w:id="2"/>
    <w:p w14:paraId="2F7083BB" w14:textId="15FC3583" w:rsidR="00C405DB" w:rsidRPr="008833AE" w:rsidRDefault="00C405DB" w:rsidP="00253E27">
      <w:pPr>
        <w:pStyle w:val="BodyText"/>
      </w:pPr>
      <w:r w:rsidRPr="008833AE">
        <w:t xml:space="preserve">There are no other standards that are not yet effective and that would be expected to have a material impact on the </w:t>
      </w:r>
      <w:r w:rsidR="00DA15D9" w:rsidRPr="008833AE">
        <w:t>Estimated Financial Statements</w:t>
      </w:r>
      <w:r w:rsidRPr="008833AE">
        <w:t xml:space="preserve">. </w:t>
      </w:r>
    </w:p>
    <w:p w14:paraId="0AA4937A" w14:textId="77777777" w:rsidR="00437D43" w:rsidRPr="008833AE" w:rsidRDefault="00437D43" w:rsidP="00437D43">
      <w:pPr>
        <w:pStyle w:val="Heading2"/>
        <w:rPr>
          <w:rFonts w:ascii="Arial" w:hAnsi="Arial" w:cs="Arial"/>
          <w:b w:val="0"/>
        </w:rPr>
      </w:pPr>
      <w:r w:rsidRPr="008833AE">
        <w:rPr>
          <w:rFonts w:ascii="Arial" w:hAnsi="Arial" w:cs="Arial"/>
        </w:rPr>
        <w:t>Presentation of the Estimated Financial Statements</w:t>
      </w:r>
    </w:p>
    <w:p w14:paraId="66BA66B1" w14:textId="70B85E41" w:rsidR="00437D43" w:rsidRPr="008833AE" w:rsidRDefault="00437D43" w:rsidP="00AD1127">
      <w:pPr>
        <w:pStyle w:val="BodyText"/>
      </w:pPr>
      <w:r w:rsidRPr="008833AE">
        <w:t xml:space="preserve">The Estimated Financial Statements follow the presentation requirements for </w:t>
      </w:r>
      <w:r w:rsidR="008B47CE" w:rsidRPr="008833AE">
        <w:t>GGS</w:t>
      </w:r>
      <w:r w:rsidR="008F5CD6" w:rsidRPr="008833AE">
        <w:t xml:space="preserve"> </w:t>
      </w:r>
      <w:r w:rsidRPr="008833AE">
        <w:t xml:space="preserve">reporting contained in </w:t>
      </w:r>
      <w:r w:rsidR="00B0321F" w:rsidRPr="008833AE">
        <w:t>AASB</w:t>
      </w:r>
      <w:r w:rsidR="002D26C1">
        <w:t xml:space="preserve"> </w:t>
      </w:r>
      <w:r w:rsidR="00B0321F" w:rsidRPr="008833AE">
        <w:t xml:space="preserve">1049 </w:t>
      </w:r>
      <w:r w:rsidR="00F36781" w:rsidRPr="008833AE">
        <w:rPr>
          <w:i/>
        </w:rPr>
        <w:t xml:space="preserve">Whole of Government and General Government Sector Financial Reporting </w:t>
      </w:r>
      <w:r w:rsidR="00F36781" w:rsidRPr="008833AE">
        <w:t>(</w:t>
      </w:r>
      <w:r w:rsidRPr="008833AE">
        <w:t>AASB 1049</w:t>
      </w:r>
      <w:r w:rsidR="00F36781" w:rsidRPr="008833AE">
        <w:t>)</w:t>
      </w:r>
      <w:r w:rsidRPr="008833AE">
        <w:t>.</w:t>
      </w:r>
    </w:p>
    <w:p w14:paraId="319E3D5D" w14:textId="4A5D34A5" w:rsidR="00437D43" w:rsidRPr="008833AE" w:rsidRDefault="00437D43" w:rsidP="00AD1127">
      <w:pPr>
        <w:pStyle w:val="BodyText"/>
      </w:pPr>
      <w:r w:rsidRPr="008833AE">
        <w:t xml:space="preserve">AASB 1049 harmonises </w:t>
      </w:r>
      <w:r w:rsidR="00B0321F" w:rsidRPr="008833AE">
        <w:t xml:space="preserve">generally accepted accounting principles (GAAP) </w:t>
      </w:r>
      <w:r w:rsidRPr="008833AE">
        <w:t xml:space="preserve">with </w:t>
      </w:r>
      <w:r w:rsidR="00B0321F" w:rsidRPr="008833AE">
        <w:t>Government Financial Statistics (</w:t>
      </w:r>
      <w:r w:rsidRPr="008833AE">
        <w:t>GFS</w:t>
      </w:r>
      <w:r w:rsidR="00B0321F" w:rsidRPr="008833AE">
        <w:t>)</w:t>
      </w:r>
      <w:r w:rsidRPr="008833AE">
        <w:t xml:space="preserve"> principles in accordance with the GFS framework adopted by the </w:t>
      </w:r>
      <w:r w:rsidR="00B0321F" w:rsidRPr="008833AE">
        <w:t>Australian Bureau of Statistics</w:t>
      </w:r>
      <w:r w:rsidRPr="008833AE">
        <w:t xml:space="preserve">. </w:t>
      </w:r>
      <w:r w:rsidR="002844D2" w:rsidRPr="008833AE">
        <w:t>T</w:t>
      </w:r>
      <w:r w:rsidRPr="008833AE">
        <w:t>he statement of comprehensive income (referred to as the operating statement) classifies income and expenses as either transactions or other economic flows</w:t>
      </w:r>
      <w:r w:rsidR="002844D2" w:rsidRPr="008833AE">
        <w:t xml:space="preserve">, </w:t>
      </w:r>
      <w:proofErr w:type="gramStart"/>
      <w:r w:rsidR="002844D2" w:rsidRPr="008833AE">
        <w:t>in order</w:t>
      </w:r>
      <w:r w:rsidRPr="008833AE">
        <w:t xml:space="preserve"> to</w:t>
      </w:r>
      <w:proofErr w:type="gramEnd"/>
      <w:r w:rsidRPr="008833AE">
        <w:t xml:space="preserve"> be consistent with GFS principles, applied from a GAAP perspective</w:t>
      </w:r>
      <w:r w:rsidR="000A6E0A" w:rsidRPr="008833AE">
        <w:t>.</w:t>
      </w:r>
    </w:p>
    <w:p w14:paraId="346ACA6F" w14:textId="1380DF4F" w:rsidR="00437D43" w:rsidRPr="008833AE" w:rsidRDefault="00437D43" w:rsidP="00AD1127">
      <w:pPr>
        <w:pStyle w:val="BodyText"/>
      </w:pPr>
      <w:r w:rsidRPr="008833AE">
        <w:t xml:space="preserve">The net operating balance (i.e. </w:t>
      </w:r>
      <w:r w:rsidR="00415C1F" w:rsidRPr="008833AE">
        <w:t xml:space="preserve">the </w:t>
      </w:r>
      <w:r w:rsidR="008F5CD6" w:rsidRPr="008833AE">
        <w:t>b</w:t>
      </w:r>
      <w:r w:rsidRPr="008833AE">
        <w:t>udget result) is the net result of harmonised GFS</w:t>
      </w:r>
      <w:r w:rsidRPr="008833AE">
        <w:noBreakHyphen/>
        <w:t xml:space="preserve">GAAP transactions for the </w:t>
      </w:r>
      <w:r w:rsidR="004308EA" w:rsidRPr="008833AE">
        <w:t>GGS</w:t>
      </w:r>
      <w:r w:rsidRPr="008833AE">
        <w:t>. In the operating statement:</w:t>
      </w:r>
    </w:p>
    <w:p w14:paraId="7FE4D2FF" w14:textId="6E8ADAA9" w:rsidR="00437D43" w:rsidRPr="008833AE" w:rsidRDefault="002844D2" w:rsidP="00E63990">
      <w:pPr>
        <w:pStyle w:val="Bullet1"/>
      </w:pPr>
      <w:r w:rsidRPr="008833AE">
        <w:t>T</w:t>
      </w:r>
      <w:r w:rsidR="00437D43" w:rsidRPr="008833AE">
        <w:t xml:space="preserve">he </w:t>
      </w:r>
      <w:r w:rsidR="00437D43" w:rsidRPr="008833AE">
        <w:rPr>
          <w:i/>
        </w:rPr>
        <w:t>net operating balance</w:t>
      </w:r>
      <w:r w:rsidR="00437D43" w:rsidRPr="008833AE">
        <w:t xml:space="preserve"> is the net result of </w:t>
      </w:r>
      <w:r w:rsidR="000168BA" w:rsidRPr="008833AE">
        <w:rPr>
          <w:i/>
        </w:rPr>
        <w:t>revenue</w:t>
      </w:r>
      <w:r w:rsidR="00437D43" w:rsidRPr="008833AE">
        <w:rPr>
          <w:i/>
        </w:rPr>
        <w:t xml:space="preserve"> and expense</w:t>
      </w:r>
      <w:r w:rsidR="000168BA" w:rsidRPr="008833AE">
        <w:rPr>
          <w:i/>
        </w:rPr>
        <w:t>s</w:t>
      </w:r>
      <w:r w:rsidR="00437D43" w:rsidRPr="008833AE">
        <w:rPr>
          <w:i/>
        </w:rPr>
        <w:t xml:space="preserve"> </w:t>
      </w:r>
      <w:r w:rsidR="00FE7314" w:rsidRPr="008833AE">
        <w:rPr>
          <w:i/>
        </w:rPr>
        <w:t>from</w:t>
      </w:r>
      <w:r w:rsidR="00FE7314" w:rsidRPr="008833AE">
        <w:t xml:space="preserve"> </w:t>
      </w:r>
      <w:r w:rsidR="00437D43" w:rsidRPr="008833AE">
        <w:rPr>
          <w:i/>
        </w:rPr>
        <w:t>transactions</w:t>
      </w:r>
      <w:r w:rsidR="00437D43" w:rsidRPr="008833AE">
        <w:t xml:space="preserve">. It excludes </w:t>
      </w:r>
      <w:r w:rsidR="00437D43" w:rsidRPr="008833AE">
        <w:rPr>
          <w:i/>
        </w:rPr>
        <w:t>other economic flows</w:t>
      </w:r>
      <w:r w:rsidR="00437D43" w:rsidRPr="008833AE">
        <w:t xml:space="preserve">, which </w:t>
      </w:r>
      <w:r w:rsidRPr="008833AE">
        <w:t>capture</w:t>
      </w:r>
      <w:r w:rsidR="00437D43" w:rsidRPr="008833AE">
        <w:t xml:space="preserve"> changes in the volume or value of assets or liabilities that do not arise from transactions with other entities </w:t>
      </w:r>
      <w:r w:rsidR="00E43C0E" w:rsidRPr="008833AE">
        <w:t>(</w:t>
      </w:r>
      <w:r w:rsidR="00437D43" w:rsidRPr="008833AE">
        <w:t>and which are often outside the control of government</w:t>
      </w:r>
      <w:r w:rsidR="00E43C0E" w:rsidRPr="008833AE">
        <w:t>)</w:t>
      </w:r>
    </w:p>
    <w:p w14:paraId="087F7634" w14:textId="5FF38811" w:rsidR="00437D43" w:rsidRPr="008833AE" w:rsidRDefault="008957D9" w:rsidP="00E63990">
      <w:pPr>
        <w:pStyle w:val="Bullet1"/>
      </w:pPr>
      <w:r w:rsidRPr="008833AE">
        <w:t>T</w:t>
      </w:r>
      <w:r w:rsidR="00437D43" w:rsidRPr="008833AE">
        <w:t xml:space="preserve">he </w:t>
      </w:r>
      <w:r w:rsidR="00437D43" w:rsidRPr="008833AE">
        <w:rPr>
          <w:i/>
        </w:rPr>
        <w:t>operating result</w:t>
      </w:r>
      <w:r w:rsidR="00437D43" w:rsidRPr="008833AE">
        <w:t xml:space="preserve"> is the same under both the harmonised GFS-GAAP and pure GAAP presentations.</w:t>
      </w:r>
    </w:p>
    <w:p w14:paraId="1CE65C38" w14:textId="44A3C31B" w:rsidR="00437D43" w:rsidRPr="008833AE" w:rsidRDefault="00437D43" w:rsidP="00AD1127">
      <w:pPr>
        <w:pStyle w:val="BodyText"/>
      </w:pPr>
      <w:r w:rsidRPr="008833AE">
        <w:lastRenderedPageBreak/>
        <w:t>Further, AASB 1049 requires:</w:t>
      </w:r>
    </w:p>
    <w:p w14:paraId="4C6C9414" w14:textId="77777777" w:rsidR="00437D43" w:rsidRPr="008833AE" w:rsidRDefault="00437D43" w:rsidP="00E63990">
      <w:pPr>
        <w:pStyle w:val="Bullet1"/>
      </w:pPr>
      <w:r w:rsidRPr="008833AE">
        <w:t xml:space="preserve">the </w:t>
      </w:r>
      <w:r w:rsidR="004308EA" w:rsidRPr="008833AE">
        <w:t xml:space="preserve">GGS </w:t>
      </w:r>
      <w:r w:rsidRPr="008833AE">
        <w:t>financial statements adopt the recognition, measurement and disclosure requirements of GAAP</w:t>
      </w:r>
    </w:p>
    <w:p w14:paraId="7C79A4E5" w14:textId="2D8361E3" w:rsidR="00015CAE" w:rsidRPr="008833AE" w:rsidRDefault="00437D43" w:rsidP="00E63990">
      <w:pPr>
        <w:pStyle w:val="Bullet1"/>
      </w:pPr>
      <w:r w:rsidRPr="008833AE">
        <w:t xml:space="preserve">where options exist in GAAP, the </w:t>
      </w:r>
      <w:r w:rsidR="004308EA" w:rsidRPr="008833AE">
        <w:t xml:space="preserve">GGS </w:t>
      </w:r>
      <w:r w:rsidRPr="008833AE">
        <w:t>financial statements adopt the option that is aligned with GFS, to minimise differences between GAAP and GFS</w:t>
      </w:r>
      <w:r w:rsidR="00157DFC" w:rsidRPr="008833AE">
        <w:t xml:space="preserve"> and/or</w:t>
      </w:r>
    </w:p>
    <w:p w14:paraId="61B7D907" w14:textId="77777777" w:rsidR="00437D43" w:rsidRPr="008833AE" w:rsidRDefault="00437D43" w:rsidP="00E63990">
      <w:pPr>
        <w:pStyle w:val="Bullet1"/>
      </w:pPr>
      <w:r w:rsidRPr="008833AE">
        <w:t>where options do not exist in GAAP and there is conflict between GAAP and GFS, GAAP prevails.</w:t>
      </w:r>
    </w:p>
    <w:p w14:paraId="650DDADA" w14:textId="6F9DCA56" w:rsidR="00437D43" w:rsidRPr="008833AE" w:rsidRDefault="00437D43" w:rsidP="00AD1127">
      <w:pPr>
        <w:pStyle w:val="BodyText"/>
      </w:pPr>
      <w:r w:rsidRPr="008833AE">
        <w:t xml:space="preserve">Due to the prospective nature of the statements, detailed notes to the </w:t>
      </w:r>
      <w:r w:rsidR="00F36781" w:rsidRPr="008833AE">
        <w:t>Estimated F</w:t>
      </w:r>
      <w:r w:rsidRPr="008833AE">
        <w:t xml:space="preserve">inancial </w:t>
      </w:r>
      <w:r w:rsidR="00F36781" w:rsidRPr="008833AE">
        <w:t>S</w:t>
      </w:r>
      <w:r w:rsidRPr="008833AE">
        <w:t>tatements</w:t>
      </w:r>
      <w:r w:rsidR="00D1440D" w:rsidRPr="008833AE">
        <w:t xml:space="preserve"> </w:t>
      </w:r>
      <w:r w:rsidRPr="008833AE">
        <w:t>are not required to be presented</w:t>
      </w:r>
      <w:r w:rsidR="0012765D" w:rsidRPr="008833AE">
        <w:t xml:space="preserve"> within the meaning of </w:t>
      </w:r>
      <w:r w:rsidR="00FF3BD7" w:rsidRPr="008833AE">
        <w:t>AAS</w:t>
      </w:r>
      <w:r w:rsidR="00D1440D" w:rsidRPr="008833AE">
        <w:t xml:space="preserve"> as outlined in Section</w:t>
      </w:r>
      <w:r w:rsidR="00453FD0">
        <w:t xml:space="preserve"> 27A</w:t>
      </w:r>
      <w:r w:rsidR="0026749D">
        <w:t xml:space="preserve"> </w:t>
      </w:r>
      <w:r w:rsidR="00453FD0">
        <w:t xml:space="preserve">(5) of the </w:t>
      </w:r>
      <w:r w:rsidR="00453FD0">
        <w:rPr>
          <w:i/>
        </w:rPr>
        <w:t xml:space="preserve">Public </w:t>
      </w:r>
      <w:r w:rsidR="00CD4414">
        <w:rPr>
          <w:i/>
        </w:rPr>
        <w:t>Finance</w:t>
      </w:r>
      <w:r w:rsidR="00453FD0">
        <w:rPr>
          <w:i/>
        </w:rPr>
        <w:t xml:space="preserve"> Audit Act </w:t>
      </w:r>
      <w:r w:rsidR="00CD4414">
        <w:rPr>
          <w:i/>
        </w:rPr>
        <w:t>1983</w:t>
      </w:r>
      <w:r w:rsidR="00CD4414">
        <w:t xml:space="preserve">. </w:t>
      </w:r>
    </w:p>
    <w:p w14:paraId="5F91B9F4" w14:textId="77777777" w:rsidR="00437D43" w:rsidRPr="008833AE" w:rsidRDefault="00437D43" w:rsidP="00AD1127">
      <w:pPr>
        <w:pStyle w:val="BodyText"/>
      </w:pPr>
      <w:r w:rsidRPr="008833AE">
        <w:t>Each year ends on 30 June</w:t>
      </w:r>
      <w:r w:rsidR="008F5CD6" w:rsidRPr="008833AE">
        <w:t>, a</w:t>
      </w:r>
      <w:r w:rsidRPr="008833AE">
        <w:t>ll monetary amounts are presented in Australian dollars and rounded to the nearest million dollars (</w:t>
      </w:r>
      <w:r w:rsidR="000236A7" w:rsidRPr="008833AE">
        <w:t>$</w:t>
      </w:r>
      <w:r w:rsidRPr="008833AE">
        <w:t>m).</w:t>
      </w:r>
    </w:p>
    <w:p w14:paraId="7497C0E5" w14:textId="77777777" w:rsidR="00437D43" w:rsidRPr="008833AE" w:rsidRDefault="00437D43" w:rsidP="00AD1127">
      <w:pPr>
        <w:pStyle w:val="BodyText"/>
      </w:pPr>
      <w:r w:rsidRPr="008833AE">
        <w:t>Use of a zero (“0”) represents amounts rounded to zero. Use of three dots (“…”) represents nil amounts.</w:t>
      </w:r>
    </w:p>
    <w:p w14:paraId="7CD009AC" w14:textId="77777777" w:rsidR="00437D43" w:rsidRPr="008833AE" w:rsidRDefault="00437D43" w:rsidP="00AD1127">
      <w:pPr>
        <w:pStyle w:val="BodyText"/>
      </w:pPr>
      <w:r w:rsidRPr="008833AE">
        <w:t>Tables may not add in all instances due to rounding to the nearest million dollars.</w:t>
      </w:r>
    </w:p>
    <w:p w14:paraId="54100EAF" w14:textId="77777777" w:rsidR="002F3EC9" w:rsidRPr="008833AE" w:rsidRDefault="002F3EC9" w:rsidP="003231EF">
      <w:pPr>
        <w:pStyle w:val="Heading3"/>
        <w:spacing w:before="240"/>
        <w:rPr>
          <w:rFonts w:ascii="Arial" w:hAnsi="Arial" w:cs="Arial"/>
        </w:rPr>
      </w:pPr>
      <w:r w:rsidRPr="008833AE">
        <w:rPr>
          <w:rFonts w:ascii="Arial" w:hAnsi="Arial" w:cs="Arial"/>
        </w:rPr>
        <w:t xml:space="preserve">Presentation </w:t>
      </w:r>
      <w:r w:rsidR="008E3211" w:rsidRPr="008833AE">
        <w:rPr>
          <w:rFonts w:ascii="Arial" w:hAnsi="Arial" w:cs="Arial"/>
        </w:rPr>
        <w:t>c</w:t>
      </w:r>
      <w:r w:rsidRPr="008833AE">
        <w:rPr>
          <w:rFonts w:ascii="Arial" w:hAnsi="Arial" w:cs="Arial"/>
        </w:rPr>
        <w:t>hanges</w:t>
      </w:r>
    </w:p>
    <w:p w14:paraId="07102B84" w14:textId="435E746B" w:rsidR="002F3EC9" w:rsidRPr="008833AE" w:rsidRDefault="002F3EC9" w:rsidP="00AD1127">
      <w:pPr>
        <w:pStyle w:val="BodyText"/>
      </w:pPr>
      <w:r w:rsidRPr="008833AE">
        <w:t xml:space="preserve">There </w:t>
      </w:r>
      <w:r w:rsidR="000A2757" w:rsidRPr="008833AE">
        <w:t xml:space="preserve">have been no presentation changes </w:t>
      </w:r>
      <w:r w:rsidRPr="008833AE">
        <w:t xml:space="preserve">since the release of the </w:t>
      </w:r>
      <w:r w:rsidR="0015527F" w:rsidRPr="008833AE">
        <w:t>2018</w:t>
      </w:r>
      <w:r w:rsidR="005A0E87" w:rsidRPr="008833AE">
        <w:t>-</w:t>
      </w:r>
      <w:r w:rsidR="0015527F" w:rsidRPr="008833AE">
        <w:t xml:space="preserve">19 </w:t>
      </w:r>
      <w:r w:rsidR="008F5CD6" w:rsidRPr="008833AE">
        <w:t xml:space="preserve">Budget </w:t>
      </w:r>
      <w:r w:rsidR="00D100DD" w:rsidRPr="008833AE">
        <w:t>Papers</w:t>
      </w:r>
      <w:r w:rsidRPr="008833AE">
        <w:t xml:space="preserve">. </w:t>
      </w:r>
      <w:r w:rsidR="00BA6759" w:rsidRPr="008833AE">
        <w:t xml:space="preserve">The presentation of information in the financial estimates </w:t>
      </w:r>
      <w:r w:rsidRPr="008833AE">
        <w:t>remains consistent with GAAP and GFS presentation requirements.</w:t>
      </w:r>
    </w:p>
    <w:p w14:paraId="12621590" w14:textId="77777777" w:rsidR="00437D43" w:rsidRPr="008833AE" w:rsidRDefault="00437D43" w:rsidP="003231EF">
      <w:pPr>
        <w:pStyle w:val="Heading3"/>
        <w:spacing w:before="240"/>
        <w:rPr>
          <w:rFonts w:ascii="Arial" w:hAnsi="Arial" w:cs="Arial"/>
        </w:rPr>
      </w:pPr>
      <w:r w:rsidRPr="008833AE">
        <w:rPr>
          <w:rFonts w:ascii="Arial" w:hAnsi="Arial" w:cs="Arial"/>
        </w:rPr>
        <w:t>Definitions</w:t>
      </w:r>
    </w:p>
    <w:p w14:paraId="57E1E80A" w14:textId="66B048F6" w:rsidR="00437D43" w:rsidRPr="008833AE" w:rsidRDefault="00437D43" w:rsidP="00AD1127">
      <w:pPr>
        <w:pStyle w:val="BodyText"/>
      </w:pPr>
      <w:r w:rsidRPr="008833AE">
        <w:t>Key technical terms, including fiscal aggregates, are defined in the Glossary to</w:t>
      </w:r>
      <w:r w:rsidR="004E114C" w:rsidRPr="008833AE">
        <w:t xml:space="preserve"> this</w:t>
      </w:r>
      <w:r w:rsidRPr="008833AE">
        <w:rPr>
          <w:i/>
        </w:rPr>
        <w:t xml:space="preserve"> Budget</w:t>
      </w:r>
      <w:r w:rsidR="004E114C" w:rsidRPr="008833AE">
        <w:rPr>
          <w:i/>
        </w:rPr>
        <w:t> Statement</w:t>
      </w:r>
      <w:r w:rsidRPr="008833AE">
        <w:t>.</w:t>
      </w:r>
    </w:p>
    <w:p w14:paraId="108FA05A" w14:textId="77777777" w:rsidR="00437D43" w:rsidRPr="008833AE" w:rsidRDefault="00437D43" w:rsidP="005D11BA">
      <w:pPr>
        <w:pStyle w:val="Heading3"/>
        <w:spacing w:before="200"/>
        <w:rPr>
          <w:rFonts w:ascii="Arial" w:hAnsi="Arial" w:cs="Arial"/>
          <w:lang w:eastAsia="en-AU"/>
        </w:rPr>
      </w:pPr>
      <w:r w:rsidRPr="008833AE">
        <w:rPr>
          <w:rFonts w:ascii="Arial" w:hAnsi="Arial" w:cs="Arial"/>
          <w:lang w:eastAsia="en-AU"/>
        </w:rPr>
        <w:t xml:space="preserve">Material </w:t>
      </w:r>
      <w:r w:rsidR="008E3211" w:rsidRPr="008833AE">
        <w:rPr>
          <w:rFonts w:ascii="Arial" w:hAnsi="Arial" w:cs="Arial"/>
          <w:lang w:eastAsia="en-AU"/>
        </w:rPr>
        <w:t>e</w:t>
      </w:r>
      <w:r w:rsidRPr="008833AE">
        <w:rPr>
          <w:rFonts w:ascii="Arial" w:hAnsi="Arial" w:cs="Arial"/>
          <w:lang w:eastAsia="en-AU"/>
        </w:rPr>
        <w:t xml:space="preserve">conomic and </w:t>
      </w:r>
      <w:r w:rsidR="008E3211" w:rsidRPr="008833AE">
        <w:rPr>
          <w:rFonts w:ascii="Arial" w:hAnsi="Arial" w:cs="Arial"/>
          <w:lang w:eastAsia="en-AU"/>
        </w:rPr>
        <w:t>o</w:t>
      </w:r>
      <w:r w:rsidRPr="008833AE">
        <w:rPr>
          <w:rFonts w:ascii="Arial" w:hAnsi="Arial" w:cs="Arial"/>
          <w:lang w:eastAsia="en-AU"/>
        </w:rPr>
        <w:t xml:space="preserve">ther </w:t>
      </w:r>
      <w:r w:rsidR="008E3211" w:rsidRPr="008833AE">
        <w:rPr>
          <w:rFonts w:ascii="Arial" w:hAnsi="Arial" w:cs="Arial"/>
          <w:lang w:eastAsia="en-AU"/>
        </w:rPr>
        <w:t>a</w:t>
      </w:r>
      <w:r w:rsidRPr="008833AE">
        <w:rPr>
          <w:rFonts w:ascii="Arial" w:hAnsi="Arial" w:cs="Arial"/>
          <w:lang w:eastAsia="en-AU"/>
        </w:rPr>
        <w:t>ssumptions</w:t>
      </w:r>
    </w:p>
    <w:p w14:paraId="40F77585" w14:textId="2691ADDD" w:rsidR="00FD05E6" w:rsidRPr="008833AE" w:rsidRDefault="00437D43" w:rsidP="00AD1127">
      <w:pPr>
        <w:pStyle w:val="BodyText"/>
      </w:pPr>
      <w:r w:rsidRPr="008833AE">
        <w:t>The Estimated Financial Statements have been prepared using the material economic and other a</w:t>
      </w:r>
      <w:r w:rsidR="00271652" w:rsidRPr="008833AE">
        <w:t xml:space="preserve">ssumptions as set out in Table </w:t>
      </w:r>
      <w:r w:rsidR="008F5CD6" w:rsidRPr="008833AE">
        <w:t>A</w:t>
      </w:r>
      <w:r w:rsidR="00271652" w:rsidRPr="008833AE">
        <w:t>2.</w:t>
      </w:r>
      <w:r w:rsidR="00B344BA" w:rsidRPr="008833AE">
        <w:t>6</w:t>
      </w:r>
      <w:r w:rsidRPr="008833AE">
        <w:t>.</w:t>
      </w:r>
    </w:p>
    <w:p w14:paraId="70643812" w14:textId="5AC21561" w:rsidR="005131ED" w:rsidRPr="008833AE" w:rsidRDefault="00A71926" w:rsidP="003231EF">
      <w:pPr>
        <w:pStyle w:val="TableA2X"/>
        <w:tabs>
          <w:tab w:val="left" w:pos="1276"/>
        </w:tabs>
        <w:spacing w:before="240"/>
        <w:ind w:left="357" w:hanging="357"/>
      </w:pPr>
      <w:r w:rsidRPr="008833AE">
        <w:t>Key economic performance assumptions</w:t>
      </w:r>
      <w:r w:rsidRPr="008833AE">
        <w:rPr>
          <w:vertAlign w:val="superscript"/>
        </w:rPr>
        <w:t>(a)</w:t>
      </w:r>
    </w:p>
    <w:p w14:paraId="4FC7F2B0" w14:textId="77777777" w:rsidR="00C82422" w:rsidRPr="008833AE" w:rsidRDefault="00C82422" w:rsidP="008A244A">
      <w:pPr>
        <w:rPr>
          <w:sz w:val="2"/>
        </w:rPr>
      </w:pPr>
    </w:p>
    <w:tbl>
      <w:tblPr>
        <w:tblW w:w="9910" w:type="dxa"/>
        <w:tblInd w:w="108" w:type="dxa"/>
        <w:tblLayout w:type="fixed"/>
        <w:tblLook w:val="04A0" w:firstRow="1" w:lastRow="0" w:firstColumn="1" w:lastColumn="0" w:noHBand="0" w:noVBand="1"/>
      </w:tblPr>
      <w:tblGrid>
        <w:gridCol w:w="3544"/>
        <w:gridCol w:w="1021"/>
        <w:gridCol w:w="1037"/>
        <w:gridCol w:w="1037"/>
        <w:gridCol w:w="1037"/>
        <w:gridCol w:w="1117"/>
        <w:gridCol w:w="1117"/>
      </w:tblGrid>
      <w:tr w:rsidR="003236D3" w:rsidRPr="008833AE" w14:paraId="19E4546C" w14:textId="77777777" w:rsidTr="005D11BA">
        <w:trPr>
          <w:trHeight w:val="300"/>
        </w:trPr>
        <w:tc>
          <w:tcPr>
            <w:tcW w:w="3544" w:type="dxa"/>
            <w:tcBorders>
              <w:top w:val="nil"/>
              <w:left w:val="nil"/>
              <w:bottom w:val="nil"/>
              <w:right w:val="nil"/>
            </w:tcBorders>
            <w:shd w:val="clear" w:color="auto" w:fill="00ABE6"/>
            <w:vAlign w:val="center"/>
            <w:hideMark/>
          </w:tcPr>
          <w:p w14:paraId="44B6365C" w14:textId="77777777" w:rsidR="00DA0ADB" w:rsidRPr="008833AE" w:rsidRDefault="00DA0ADB" w:rsidP="008B47CE">
            <w:pPr>
              <w:jc w:val="both"/>
              <w:rPr>
                <w:color w:val="FFFFFF"/>
                <w:sz w:val="18"/>
                <w:szCs w:val="18"/>
              </w:rPr>
            </w:pPr>
            <w:r w:rsidRPr="008833AE">
              <w:rPr>
                <w:color w:val="FFFFFF"/>
                <w:sz w:val="18"/>
                <w:szCs w:val="18"/>
              </w:rPr>
              <w:t> </w:t>
            </w:r>
          </w:p>
        </w:tc>
        <w:tc>
          <w:tcPr>
            <w:tcW w:w="1021" w:type="dxa"/>
            <w:tcBorders>
              <w:top w:val="nil"/>
              <w:left w:val="nil"/>
              <w:bottom w:val="nil"/>
              <w:right w:val="nil"/>
            </w:tcBorders>
            <w:shd w:val="clear" w:color="auto" w:fill="00ABE6"/>
            <w:vAlign w:val="center"/>
            <w:hideMark/>
          </w:tcPr>
          <w:p w14:paraId="1D503AE5" w14:textId="696CD7E4" w:rsidR="00DA0ADB" w:rsidRPr="007E1075" w:rsidRDefault="0015527F" w:rsidP="003231EF">
            <w:pPr>
              <w:ind w:left="-57" w:right="-57"/>
              <w:jc w:val="center"/>
              <w:rPr>
                <w:color w:val="FFFFFF"/>
                <w:sz w:val="18"/>
                <w:szCs w:val="18"/>
              </w:rPr>
            </w:pPr>
            <w:r w:rsidRPr="007E1075">
              <w:rPr>
                <w:color w:val="FFFFFF"/>
                <w:sz w:val="18"/>
                <w:szCs w:val="18"/>
              </w:rPr>
              <w:t>2017</w:t>
            </w:r>
            <w:r w:rsidR="00DA0ADB" w:rsidRPr="007E1075">
              <w:rPr>
                <w:color w:val="FFFFFF"/>
                <w:sz w:val="18"/>
                <w:szCs w:val="18"/>
              </w:rPr>
              <w:t>-</w:t>
            </w:r>
            <w:r w:rsidR="00A30229" w:rsidRPr="007E1075">
              <w:rPr>
                <w:color w:val="FFFFFF"/>
                <w:sz w:val="18"/>
                <w:szCs w:val="18"/>
              </w:rPr>
              <w:t>1</w:t>
            </w:r>
            <w:r w:rsidRPr="007E1075">
              <w:rPr>
                <w:color w:val="FFFFFF"/>
                <w:sz w:val="18"/>
                <w:szCs w:val="18"/>
              </w:rPr>
              <w:t>8</w:t>
            </w:r>
          </w:p>
        </w:tc>
        <w:tc>
          <w:tcPr>
            <w:tcW w:w="1037" w:type="dxa"/>
            <w:tcBorders>
              <w:top w:val="nil"/>
              <w:left w:val="nil"/>
              <w:bottom w:val="nil"/>
              <w:right w:val="nil"/>
            </w:tcBorders>
            <w:shd w:val="clear" w:color="auto" w:fill="00ABE6"/>
            <w:vAlign w:val="center"/>
            <w:hideMark/>
          </w:tcPr>
          <w:p w14:paraId="29F02402" w14:textId="178C3BA1" w:rsidR="00DA0ADB" w:rsidRPr="008833AE" w:rsidRDefault="0015527F" w:rsidP="003231EF">
            <w:pPr>
              <w:ind w:left="-57" w:right="-57"/>
              <w:jc w:val="center"/>
              <w:rPr>
                <w:color w:val="FFFFFF"/>
                <w:sz w:val="18"/>
                <w:szCs w:val="18"/>
              </w:rPr>
            </w:pPr>
            <w:r w:rsidRPr="008833AE">
              <w:rPr>
                <w:color w:val="FFFFFF"/>
                <w:sz w:val="18"/>
                <w:szCs w:val="18"/>
              </w:rPr>
              <w:t>2018</w:t>
            </w:r>
            <w:r w:rsidR="00DA0ADB" w:rsidRPr="008833AE">
              <w:rPr>
                <w:color w:val="FFFFFF"/>
                <w:sz w:val="18"/>
                <w:szCs w:val="18"/>
              </w:rPr>
              <w:t>-</w:t>
            </w:r>
            <w:r w:rsidRPr="008833AE">
              <w:rPr>
                <w:color w:val="FFFFFF"/>
                <w:sz w:val="18"/>
                <w:szCs w:val="18"/>
              </w:rPr>
              <w:t>19</w:t>
            </w:r>
          </w:p>
        </w:tc>
        <w:tc>
          <w:tcPr>
            <w:tcW w:w="1037" w:type="dxa"/>
            <w:tcBorders>
              <w:top w:val="nil"/>
              <w:left w:val="nil"/>
              <w:bottom w:val="nil"/>
              <w:right w:val="nil"/>
            </w:tcBorders>
            <w:shd w:val="clear" w:color="auto" w:fill="00ABE6"/>
            <w:vAlign w:val="center"/>
            <w:hideMark/>
          </w:tcPr>
          <w:p w14:paraId="7CA218C5" w14:textId="58F8C122" w:rsidR="00DA0ADB" w:rsidRPr="008833AE" w:rsidRDefault="0015527F" w:rsidP="003231EF">
            <w:pPr>
              <w:ind w:left="-57" w:right="-57"/>
              <w:jc w:val="center"/>
              <w:rPr>
                <w:color w:val="FFFFFF"/>
                <w:sz w:val="18"/>
                <w:szCs w:val="18"/>
              </w:rPr>
            </w:pPr>
            <w:r w:rsidRPr="008833AE">
              <w:rPr>
                <w:color w:val="FFFFFF"/>
                <w:sz w:val="18"/>
                <w:szCs w:val="18"/>
              </w:rPr>
              <w:t>2019-20</w:t>
            </w:r>
          </w:p>
        </w:tc>
        <w:tc>
          <w:tcPr>
            <w:tcW w:w="1037" w:type="dxa"/>
            <w:tcBorders>
              <w:top w:val="nil"/>
              <w:left w:val="nil"/>
              <w:bottom w:val="nil"/>
              <w:right w:val="nil"/>
            </w:tcBorders>
            <w:shd w:val="clear" w:color="auto" w:fill="00ABE6"/>
            <w:vAlign w:val="center"/>
            <w:hideMark/>
          </w:tcPr>
          <w:p w14:paraId="719D38AC" w14:textId="02AA947C" w:rsidR="00DA0ADB" w:rsidRPr="008833AE" w:rsidRDefault="0015527F" w:rsidP="003231EF">
            <w:pPr>
              <w:ind w:left="-57" w:right="-57"/>
              <w:jc w:val="center"/>
              <w:rPr>
                <w:color w:val="FFFFFF"/>
                <w:sz w:val="18"/>
                <w:szCs w:val="18"/>
              </w:rPr>
            </w:pPr>
            <w:r w:rsidRPr="008833AE">
              <w:rPr>
                <w:color w:val="FFFFFF"/>
                <w:sz w:val="18"/>
                <w:szCs w:val="18"/>
              </w:rPr>
              <w:t>2020-21</w:t>
            </w:r>
            <w:r w:rsidR="00DA0ADB" w:rsidRPr="008833AE">
              <w:rPr>
                <w:color w:val="FFFFFF"/>
                <w:sz w:val="18"/>
                <w:szCs w:val="18"/>
              </w:rPr>
              <w:t xml:space="preserve"> </w:t>
            </w:r>
          </w:p>
        </w:tc>
        <w:tc>
          <w:tcPr>
            <w:tcW w:w="1117" w:type="dxa"/>
            <w:tcBorders>
              <w:top w:val="nil"/>
              <w:left w:val="nil"/>
              <w:bottom w:val="nil"/>
              <w:right w:val="nil"/>
            </w:tcBorders>
            <w:shd w:val="clear" w:color="auto" w:fill="00ABE6"/>
            <w:vAlign w:val="center"/>
            <w:hideMark/>
          </w:tcPr>
          <w:p w14:paraId="3794091C" w14:textId="085D50A8" w:rsidR="00DA0ADB" w:rsidRPr="008833AE" w:rsidRDefault="0015527F" w:rsidP="003231EF">
            <w:pPr>
              <w:ind w:left="-57" w:right="-57"/>
              <w:jc w:val="center"/>
              <w:rPr>
                <w:color w:val="FFFFFF"/>
                <w:sz w:val="18"/>
                <w:szCs w:val="18"/>
              </w:rPr>
            </w:pPr>
            <w:r w:rsidRPr="008833AE">
              <w:rPr>
                <w:color w:val="FFFFFF"/>
                <w:sz w:val="18"/>
                <w:szCs w:val="18"/>
              </w:rPr>
              <w:t>2021-22</w:t>
            </w:r>
          </w:p>
        </w:tc>
        <w:tc>
          <w:tcPr>
            <w:tcW w:w="1117" w:type="dxa"/>
            <w:tcBorders>
              <w:top w:val="nil"/>
              <w:left w:val="nil"/>
              <w:bottom w:val="nil"/>
              <w:right w:val="nil"/>
            </w:tcBorders>
            <w:shd w:val="clear" w:color="auto" w:fill="00ABE6"/>
            <w:vAlign w:val="center"/>
            <w:hideMark/>
          </w:tcPr>
          <w:p w14:paraId="452E3CEE" w14:textId="5D77BC42" w:rsidR="00DA0ADB" w:rsidRPr="008833AE" w:rsidRDefault="0015527F" w:rsidP="003231EF">
            <w:pPr>
              <w:ind w:left="-57" w:right="-57"/>
              <w:jc w:val="center"/>
              <w:rPr>
                <w:color w:val="FFFFFF"/>
                <w:sz w:val="18"/>
                <w:szCs w:val="18"/>
              </w:rPr>
            </w:pPr>
            <w:r w:rsidRPr="008833AE">
              <w:rPr>
                <w:color w:val="FFFFFF"/>
                <w:sz w:val="18"/>
                <w:szCs w:val="18"/>
              </w:rPr>
              <w:t>2022-23</w:t>
            </w:r>
          </w:p>
        </w:tc>
      </w:tr>
      <w:tr w:rsidR="003236D3" w:rsidRPr="008833AE" w14:paraId="4263059F" w14:textId="77777777" w:rsidTr="005D11BA">
        <w:trPr>
          <w:trHeight w:val="300"/>
        </w:trPr>
        <w:tc>
          <w:tcPr>
            <w:tcW w:w="3544" w:type="dxa"/>
            <w:tcBorders>
              <w:top w:val="nil"/>
              <w:left w:val="nil"/>
              <w:bottom w:val="nil"/>
              <w:right w:val="nil"/>
            </w:tcBorders>
            <w:shd w:val="clear" w:color="auto" w:fill="0A7CB9"/>
            <w:vAlign w:val="center"/>
            <w:hideMark/>
          </w:tcPr>
          <w:p w14:paraId="67878488" w14:textId="77777777" w:rsidR="00F71781" w:rsidRPr="008833AE" w:rsidRDefault="00F71781" w:rsidP="008B47CE">
            <w:pPr>
              <w:jc w:val="both"/>
              <w:rPr>
                <w:color w:val="FFFFFF"/>
                <w:sz w:val="18"/>
                <w:szCs w:val="18"/>
              </w:rPr>
            </w:pPr>
            <w:r w:rsidRPr="008833AE">
              <w:rPr>
                <w:color w:val="FFFFFF"/>
                <w:sz w:val="18"/>
                <w:szCs w:val="18"/>
              </w:rPr>
              <w:t> </w:t>
            </w:r>
          </w:p>
        </w:tc>
        <w:tc>
          <w:tcPr>
            <w:tcW w:w="1021" w:type="dxa"/>
            <w:tcBorders>
              <w:top w:val="nil"/>
              <w:left w:val="nil"/>
              <w:bottom w:val="nil"/>
              <w:right w:val="nil"/>
            </w:tcBorders>
            <w:shd w:val="clear" w:color="auto" w:fill="0A7CB9"/>
            <w:vAlign w:val="center"/>
            <w:hideMark/>
          </w:tcPr>
          <w:p w14:paraId="54F43251" w14:textId="77777777" w:rsidR="00F71781" w:rsidRPr="007E1075" w:rsidRDefault="00F71781" w:rsidP="003231EF">
            <w:pPr>
              <w:ind w:left="-57" w:right="-57"/>
              <w:jc w:val="center"/>
              <w:rPr>
                <w:color w:val="FFFFFF"/>
                <w:sz w:val="18"/>
                <w:szCs w:val="18"/>
              </w:rPr>
            </w:pPr>
            <w:r w:rsidRPr="007E1075">
              <w:rPr>
                <w:color w:val="FFFFFF"/>
                <w:sz w:val="18"/>
                <w:szCs w:val="18"/>
              </w:rPr>
              <w:t>Outcomes</w:t>
            </w:r>
          </w:p>
        </w:tc>
        <w:tc>
          <w:tcPr>
            <w:tcW w:w="1037" w:type="dxa"/>
            <w:tcBorders>
              <w:top w:val="nil"/>
              <w:left w:val="nil"/>
              <w:bottom w:val="nil"/>
              <w:right w:val="nil"/>
            </w:tcBorders>
            <w:shd w:val="clear" w:color="auto" w:fill="0A7CB9"/>
            <w:vAlign w:val="center"/>
            <w:hideMark/>
          </w:tcPr>
          <w:p w14:paraId="373B3042" w14:textId="77777777" w:rsidR="00F71781" w:rsidRPr="008833AE" w:rsidRDefault="00F71781" w:rsidP="003231EF">
            <w:pPr>
              <w:ind w:left="-57" w:right="-57"/>
              <w:jc w:val="center"/>
              <w:rPr>
                <w:color w:val="FFFFFF"/>
                <w:sz w:val="18"/>
                <w:szCs w:val="18"/>
              </w:rPr>
            </w:pPr>
            <w:r w:rsidRPr="008833AE">
              <w:rPr>
                <w:color w:val="FFFFFF"/>
                <w:sz w:val="18"/>
                <w:szCs w:val="18"/>
              </w:rPr>
              <w:t>Forecasts</w:t>
            </w:r>
          </w:p>
        </w:tc>
        <w:tc>
          <w:tcPr>
            <w:tcW w:w="1037" w:type="dxa"/>
            <w:tcBorders>
              <w:top w:val="nil"/>
              <w:left w:val="nil"/>
              <w:bottom w:val="nil"/>
              <w:right w:val="nil"/>
            </w:tcBorders>
            <w:shd w:val="clear" w:color="auto" w:fill="0A7CB9"/>
            <w:vAlign w:val="center"/>
            <w:hideMark/>
          </w:tcPr>
          <w:p w14:paraId="74B71DDA" w14:textId="77777777" w:rsidR="00F71781" w:rsidRPr="008833AE" w:rsidRDefault="00F71781" w:rsidP="003231EF">
            <w:pPr>
              <w:ind w:left="-57" w:right="-57"/>
              <w:jc w:val="center"/>
              <w:rPr>
                <w:color w:val="FFFFFF"/>
                <w:sz w:val="18"/>
                <w:szCs w:val="18"/>
              </w:rPr>
            </w:pPr>
            <w:r w:rsidRPr="008833AE">
              <w:rPr>
                <w:color w:val="FFFFFF"/>
                <w:sz w:val="18"/>
                <w:szCs w:val="18"/>
              </w:rPr>
              <w:t>Forecasts</w:t>
            </w:r>
          </w:p>
        </w:tc>
        <w:tc>
          <w:tcPr>
            <w:tcW w:w="1037" w:type="dxa"/>
            <w:tcBorders>
              <w:top w:val="nil"/>
              <w:left w:val="nil"/>
              <w:bottom w:val="nil"/>
              <w:right w:val="nil"/>
            </w:tcBorders>
            <w:shd w:val="clear" w:color="auto" w:fill="0A7CB9"/>
            <w:vAlign w:val="center"/>
            <w:hideMark/>
          </w:tcPr>
          <w:p w14:paraId="30013825" w14:textId="77777777" w:rsidR="00F71781" w:rsidRPr="008833AE" w:rsidRDefault="00F71781" w:rsidP="003231EF">
            <w:pPr>
              <w:ind w:left="-57" w:right="-57"/>
              <w:jc w:val="center"/>
              <w:rPr>
                <w:color w:val="FFFFFF"/>
                <w:sz w:val="18"/>
                <w:szCs w:val="18"/>
              </w:rPr>
            </w:pPr>
            <w:r w:rsidRPr="008833AE">
              <w:rPr>
                <w:color w:val="FFFFFF"/>
                <w:sz w:val="18"/>
                <w:szCs w:val="18"/>
              </w:rPr>
              <w:t>Forecasts</w:t>
            </w:r>
          </w:p>
        </w:tc>
        <w:tc>
          <w:tcPr>
            <w:tcW w:w="1117" w:type="dxa"/>
            <w:tcBorders>
              <w:top w:val="nil"/>
              <w:left w:val="nil"/>
              <w:bottom w:val="nil"/>
              <w:right w:val="nil"/>
            </w:tcBorders>
            <w:shd w:val="clear" w:color="auto" w:fill="0A7CB9"/>
            <w:vAlign w:val="center"/>
            <w:hideMark/>
          </w:tcPr>
          <w:p w14:paraId="39D3B856" w14:textId="77777777" w:rsidR="00F71781" w:rsidRPr="008833AE" w:rsidRDefault="00F71781" w:rsidP="003231EF">
            <w:pPr>
              <w:ind w:left="-57" w:right="-57"/>
              <w:jc w:val="center"/>
              <w:rPr>
                <w:color w:val="FFFFFF"/>
                <w:sz w:val="18"/>
                <w:szCs w:val="18"/>
              </w:rPr>
            </w:pPr>
            <w:r w:rsidRPr="008833AE">
              <w:rPr>
                <w:color w:val="FFFFFF"/>
                <w:sz w:val="18"/>
                <w:szCs w:val="18"/>
              </w:rPr>
              <w:t>Projections</w:t>
            </w:r>
          </w:p>
        </w:tc>
        <w:tc>
          <w:tcPr>
            <w:tcW w:w="1117" w:type="dxa"/>
            <w:tcBorders>
              <w:top w:val="nil"/>
              <w:left w:val="nil"/>
              <w:bottom w:val="nil"/>
              <w:right w:val="nil"/>
            </w:tcBorders>
            <w:shd w:val="clear" w:color="auto" w:fill="0A7CB9"/>
            <w:vAlign w:val="center"/>
            <w:hideMark/>
          </w:tcPr>
          <w:p w14:paraId="0A538D5E" w14:textId="77777777" w:rsidR="00F71781" w:rsidRPr="008833AE" w:rsidRDefault="00F71781" w:rsidP="003231EF">
            <w:pPr>
              <w:ind w:left="-57" w:right="-57"/>
              <w:jc w:val="center"/>
              <w:rPr>
                <w:color w:val="FFFFFF"/>
                <w:sz w:val="18"/>
                <w:szCs w:val="18"/>
              </w:rPr>
            </w:pPr>
            <w:r w:rsidRPr="008833AE">
              <w:rPr>
                <w:color w:val="FFFFFF"/>
                <w:sz w:val="18"/>
                <w:szCs w:val="18"/>
              </w:rPr>
              <w:t>Projections</w:t>
            </w:r>
          </w:p>
        </w:tc>
      </w:tr>
      <w:tr w:rsidR="00674C5A" w:rsidRPr="008833AE" w14:paraId="191095DF" w14:textId="77777777" w:rsidTr="005D11BA">
        <w:trPr>
          <w:trHeight w:val="80"/>
        </w:trPr>
        <w:tc>
          <w:tcPr>
            <w:tcW w:w="3544" w:type="dxa"/>
            <w:tcBorders>
              <w:top w:val="nil"/>
              <w:left w:val="nil"/>
              <w:bottom w:val="nil"/>
              <w:right w:val="nil"/>
            </w:tcBorders>
            <w:shd w:val="clear" w:color="000000" w:fill="FFFFFF"/>
            <w:vAlign w:val="center"/>
            <w:hideMark/>
          </w:tcPr>
          <w:p w14:paraId="6BDB809F" w14:textId="77777777" w:rsidR="00674C5A" w:rsidRPr="008833AE" w:rsidRDefault="00674C5A" w:rsidP="005D11BA">
            <w:pPr>
              <w:spacing w:before="40" w:after="40"/>
              <w:rPr>
                <w:sz w:val="18"/>
                <w:szCs w:val="18"/>
              </w:rPr>
            </w:pPr>
            <w:r w:rsidRPr="008833AE">
              <w:rPr>
                <w:sz w:val="18"/>
                <w:szCs w:val="18"/>
              </w:rPr>
              <w:t>New South Wales population (persons)</w:t>
            </w:r>
            <w:r w:rsidRPr="008833AE">
              <w:rPr>
                <w:sz w:val="18"/>
                <w:szCs w:val="18"/>
                <w:vertAlign w:val="superscript"/>
              </w:rPr>
              <w:t>(b)</w:t>
            </w:r>
          </w:p>
        </w:tc>
        <w:tc>
          <w:tcPr>
            <w:tcW w:w="1021" w:type="dxa"/>
            <w:tcBorders>
              <w:top w:val="nil"/>
              <w:left w:val="nil"/>
              <w:bottom w:val="nil"/>
              <w:right w:val="nil"/>
            </w:tcBorders>
            <w:shd w:val="clear" w:color="auto" w:fill="auto"/>
            <w:vAlign w:val="center"/>
          </w:tcPr>
          <w:p w14:paraId="5EE24820" w14:textId="0D5D23E0" w:rsidR="00674C5A" w:rsidRPr="007E1075" w:rsidRDefault="00674C5A" w:rsidP="005D11BA">
            <w:pPr>
              <w:spacing w:before="40" w:after="40"/>
              <w:jc w:val="center"/>
              <w:rPr>
                <w:sz w:val="18"/>
                <w:szCs w:val="18"/>
              </w:rPr>
            </w:pPr>
            <w:r w:rsidRPr="007E1075">
              <w:rPr>
                <w:sz w:val="18"/>
                <w:szCs w:val="18"/>
              </w:rPr>
              <w:t>7,988,000</w:t>
            </w:r>
          </w:p>
        </w:tc>
        <w:tc>
          <w:tcPr>
            <w:tcW w:w="1037" w:type="dxa"/>
            <w:tcBorders>
              <w:top w:val="nil"/>
              <w:left w:val="nil"/>
              <w:bottom w:val="nil"/>
              <w:right w:val="nil"/>
            </w:tcBorders>
            <w:shd w:val="clear" w:color="auto" w:fill="auto"/>
            <w:vAlign w:val="center"/>
          </w:tcPr>
          <w:p w14:paraId="29F5D0EA" w14:textId="49360D3C" w:rsidR="00674C5A" w:rsidRPr="008833AE" w:rsidRDefault="00674C5A" w:rsidP="005D11BA">
            <w:pPr>
              <w:spacing w:before="40" w:after="40"/>
              <w:jc w:val="center"/>
              <w:rPr>
                <w:sz w:val="18"/>
                <w:szCs w:val="18"/>
              </w:rPr>
            </w:pPr>
            <w:r w:rsidRPr="008833AE">
              <w:rPr>
                <w:sz w:val="18"/>
                <w:szCs w:val="18"/>
              </w:rPr>
              <w:t>8,120,000</w:t>
            </w:r>
          </w:p>
        </w:tc>
        <w:tc>
          <w:tcPr>
            <w:tcW w:w="1037" w:type="dxa"/>
            <w:tcBorders>
              <w:top w:val="nil"/>
              <w:left w:val="nil"/>
              <w:bottom w:val="nil"/>
              <w:right w:val="nil"/>
            </w:tcBorders>
            <w:shd w:val="clear" w:color="auto" w:fill="auto"/>
            <w:vAlign w:val="center"/>
          </w:tcPr>
          <w:p w14:paraId="565C59F4" w14:textId="39A68DDD" w:rsidR="00674C5A" w:rsidRPr="008833AE" w:rsidRDefault="00674C5A" w:rsidP="005D11BA">
            <w:pPr>
              <w:spacing w:before="40" w:after="40"/>
              <w:jc w:val="center"/>
              <w:rPr>
                <w:sz w:val="18"/>
                <w:szCs w:val="18"/>
              </w:rPr>
            </w:pPr>
            <w:r w:rsidRPr="008833AE">
              <w:rPr>
                <w:sz w:val="18"/>
                <w:szCs w:val="18"/>
              </w:rPr>
              <w:t>8,250,000</w:t>
            </w:r>
          </w:p>
        </w:tc>
        <w:tc>
          <w:tcPr>
            <w:tcW w:w="1037" w:type="dxa"/>
            <w:tcBorders>
              <w:top w:val="nil"/>
              <w:left w:val="nil"/>
              <w:bottom w:val="nil"/>
              <w:right w:val="nil"/>
            </w:tcBorders>
            <w:shd w:val="clear" w:color="auto" w:fill="auto"/>
            <w:vAlign w:val="center"/>
          </w:tcPr>
          <w:p w14:paraId="2FF3C147" w14:textId="459D33AC" w:rsidR="00674C5A" w:rsidRPr="008833AE" w:rsidRDefault="00674C5A" w:rsidP="005D11BA">
            <w:pPr>
              <w:spacing w:before="40" w:after="40"/>
              <w:jc w:val="center"/>
              <w:rPr>
                <w:sz w:val="18"/>
                <w:szCs w:val="18"/>
              </w:rPr>
            </w:pPr>
            <w:r w:rsidRPr="008833AE">
              <w:rPr>
                <w:sz w:val="18"/>
                <w:szCs w:val="18"/>
              </w:rPr>
              <w:t>8,376,000</w:t>
            </w:r>
          </w:p>
        </w:tc>
        <w:tc>
          <w:tcPr>
            <w:tcW w:w="1117" w:type="dxa"/>
            <w:tcBorders>
              <w:top w:val="nil"/>
              <w:left w:val="nil"/>
              <w:bottom w:val="nil"/>
              <w:right w:val="nil"/>
            </w:tcBorders>
            <w:shd w:val="clear" w:color="auto" w:fill="auto"/>
            <w:vAlign w:val="center"/>
          </w:tcPr>
          <w:p w14:paraId="354AA041" w14:textId="3AD425E7" w:rsidR="00674C5A" w:rsidRPr="008833AE" w:rsidRDefault="00674C5A" w:rsidP="005D11BA">
            <w:pPr>
              <w:spacing w:before="40" w:after="40"/>
              <w:jc w:val="center"/>
              <w:rPr>
                <w:sz w:val="18"/>
                <w:szCs w:val="18"/>
              </w:rPr>
            </w:pPr>
            <w:r w:rsidRPr="008833AE">
              <w:rPr>
                <w:sz w:val="18"/>
                <w:szCs w:val="18"/>
              </w:rPr>
              <w:t>8,501,000</w:t>
            </w:r>
          </w:p>
        </w:tc>
        <w:tc>
          <w:tcPr>
            <w:tcW w:w="1117" w:type="dxa"/>
            <w:tcBorders>
              <w:top w:val="nil"/>
              <w:left w:val="nil"/>
              <w:bottom w:val="nil"/>
              <w:right w:val="nil"/>
            </w:tcBorders>
            <w:shd w:val="clear" w:color="auto" w:fill="auto"/>
            <w:vAlign w:val="center"/>
          </w:tcPr>
          <w:p w14:paraId="0AF2A0D4" w14:textId="77BECF47" w:rsidR="00674C5A" w:rsidRPr="008833AE" w:rsidRDefault="00674C5A" w:rsidP="005D11BA">
            <w:pPr>
              <w:spacing w:before="40" w:after="40"/>
              <w:jc w:val="center"/>
              <w:rPr>
                <w:sz w:val="18"/>
                <w:szCs w:val="18"/>
              </w:rPr>
            </w:pPr>
            <w:r w:rsidRPr="008833AE">
              <w:rPr>
                <w:sz w:val="18"/>
                <w:szCs w:val="18"/>
              </w:rPr>
              <w:t>8,624,000</w:t>
            </w:r>
          </w:p>
        </w:tc>
      </w:tr>
      <w:tr w:rsidR="00674C5A" w:rsidRPr="008833AE" w14:paraId="1B760214" w14:textId="77777777" w:rsidTr="005D11BA">
        <w:trPr>
          <w:trHeight w:val="80"/>
        </w:trPr>
        <w:tc>
          <w:tcPr>
            <w:tcW w:w="3544" w:type="dxa"/>
            <w:tcBorders>
              <w:top w:val="nil"/>
              <w:left w:val="nil"/>
              <w:bottom w:val="nil"/>
              <w:right w:val="nil"/>
            </w:tcBorders>
            <w:shd w:val="clear" w:color="000000" w:fill="FFFFFF"/>
            <w:vAlign w:val="center"/>
            <w:hideMark/>
          </w:tcPr>
          <w:p w14:paraId="2C524FF9" w14:textId="77777777" w:rsidR="00674C5A" w:rsidRPr="008833AE" w:rsidRDefault="00674C5A" w:rsidP="005D11BA">
            <w:pPr>
              <w:spacing w:before="40" w:after="40"/>
              <w:rPr>
                <w:sz w:val="18"/>
                <w:szCs w:val="18"/>
              </w:rPr>
            </w:pPr>
            <w:r w:rsidRPr="008833AE">
              <w:rPr>
                <w:sz w:val="18"/>
                <w:szCs w:val="18"/>
              </w:rPr>
              <w:t>Nominal gross state product ($million)</w:t>
            </w:r>
          </w:p>
        </w:tc>
        <w:tc>
          <w:tcPr>
            <w:tcW w:w="1021" w:type="dxa"/>
            <w:tcBorders>
              <w:top w:val="nil"/>
              <w:left w:val="nil"/>
              <w:bottom w:val="nil"/>
              <w:right w:val="nil"/>
            </w:tcBorders>
            <w:shd w:val="clear" w:color="auto" w:fill="auto"/>
            <w:vAlign w:val="center"/>
          </w:tcPr>
          <w:p w14:paraId="6CD2D3A1" w14:textId="0719E761" w:rsidR="00674C5A" w:rsidRPr="007E1075" w:rsidRDefault="00674C5A" w:rsidP="005D11BA">
            <w:pPr>
              <w:spacing w:before="40" w:after="40"/>
              <w:jc w:val="center"/>
              <w:rPr>
                <w:sz w:val="18"/>
                <w:szCs w:val="18"/>
              </w:rPr>
            </w:pPr>
            <w:r w:rsidRPr="007E1075">
              <w:rPr>
                <w:sz w:val="18"/>
                <w:szCs w:val="18"/>
              </w:rPr>
              <w:t>604,400</w:t>
            </w:r>
          </w:p>
        </w:tc>
        <w:tc>
          <w:tcPr>
            <w:tcW w:w="1037" w:type="dxa"/>
            <w:tcBorders>
              <w:top w:val="nil"/>
              <w:left w:val="nil"/>
              <w:bottom w:val="nil"/>
              <w:right w:val="nil"/>
            </w:tcBorders>
            <w:shd w:val="clear" w:color="auto" w:fill="auto"/>
            <w:vAlign w:val="center"/>
          </w:tcPr>
          <w:p w14:paraId="6F0DAEF6" w14:textId="07CE1955" w:rsidR="00674C5A" w:rsidRPr="008833AE" w:rsidRDefault="00674C5A" w:rsidP="005D11BA">
            <w:pPr>
              <w:spacing w:before="40" w:after="40"/>
              <w:jc w:val="center"/>
              <w:rPr>
                <w:sz w:val="18"/>
                <w:szCs w:val="18"/>
              </w:rPr>
            </w:pPr>
            <w:r w:rsidRPr="008833AE">
              <w:rPr>
                <w:sz w:val="18"/>
                <w:szCs w:val="18"/>
              </w:rPr>
              <w:t>626,200</w:t>
            </w:r>
          </w:p>
        </w:tc>
        <w:tc>
          <w:tcPr>
            <w:tcW w:w="1037" w:type="dxa"/>
            <w:tcBorders>
              <w:top w:val="nil"/>
              <w:left w:val="nil"/>
              <w:bottom w:val="nil"/>
              <w:right w:val="nil"/>
            </w:tcBorders>
            <w:shd w:val="clear" w:color="auto" w:fill="auto"/>
            <w:vAlign w:val="center"/>
          </w:tcPr>
          <w:p w14:paraId="7AFE0DB9" w14:textId="08AE81FD" w:rsidR="00674C5A" w:rsidRPr="008833AE" w:rsidRDefault="00674C5A" w:rsidP="005D11BA">
            <w:pPr>
              <w:spacing w:before="40" w:after="40"/>
              <w:jc w:val="center"/>
              <w:rPr>
                <w:sz w:val="18"/>
                <w:szCs w:val="18"/>
              </w:rPr>
            </w:pPr>
            <w:r w:rsidRPr="008833AE">
              <w:rPr>
                <w:sz w:val="18"/>
                <w:szCs w:val="18"/>
              </w:rPr>
              <w:t>649,000</w:t>
            </w:r>
          </w:p>
        </w:tc>
        <w:tc>
          <w:tcPr>
            <w:tcW w:w="1037" w:type="dxa"/>
            <w:tcBorders>
              <w:top w:val="nil"/>
              <w:left w:val="nil"/>
              <w:bottom w:val="nil"/>
              <w:right w:val="nil"/>
            </w:tcBorders>
            <w:shd w:val="clear" w:color="auto" w:fill="auto"/>
            <w:vAlign w:val="center"/>
          </w:tcPr>
          <w:p w14:paraId="7F6163DF" w14:textId="29BD6B8D" w:rsidR="00674C5A" w:rsidRPr="008833AE" w:rsidRDefault="00674C5A" w:rsidP="005D11BA">
            <w:pPr>
              <w:spacing w:before="40" w:after="40"/>
              <w:jc w:val="center"/>
              <w:rPr>
                <w:sz w:val="18"/>
                <w:szCs w:val="18"/>
              </w:rPr>
            </w:pPr>
            <w:r w:rsidRPr="008833AE">
              <w:rPr>
                <w:sz w:val="18"/>
                <w:szCs w:val="18"/>
              </w:rPr>
              <w:t>678,200</w:t>
            </w:r>
          </w:p>
        </w:tc>
        <w:tc>
          <w:tcPr>
            <w:tcW w:w="1117" w:type="dxa"/>
            <w:tcBorders>
              <w:top w:val="nil"/>
              <w:left w:val="nil"/>
              <w:bottom w:val="nil"/>
              <w:right w:val="nil"/>
            </w:tcBorders>
            <w:shd w:val="clear" w:color="auto" w:fill="auto"/>
            <w:vAlign w:val="center"/>
          </w:tcPr>
          <w:p w14:paraId="564150FB" w14:textId="62D3D33E" w:rsidR="00674C5A" w:rsidRPr="008833AE" w:rsidRDefault="00674C5A" w:rsidP="005D11BA">
            <w:pPr>
              <w:spacing w:before="40" w:after="40"/>
              <w:jc w:val="center"/>
              <w:rPr>
                <w:sz w:val="18"/>
                <w:szCs w:val="18"/>
              </w:rPr>
            </w:pPr>
            <w:r w:rsidRPr="008833AE">
              <w:rPr>
                <w:sz w:val="18"/>
                <w:szCs w:val="18"/>
              </w:rPr>
              <w:t>710,400</w:t>
            </w:r>
          </w:p>
        </w:tc>
        <w:tc>
          <w:tcPr>
            <w:tcW w:w="1117" w:type="dxa"/>
            <w:tcBorders>
              <w:top w:val="nil"/>
              <w:left w:val="nil"/>
              <w:bottom w:val="nil"/>
              <w:right w:val="nil"/>
            </w:tcBorders>
            <w:shd w:val="clear" w:color="auto" w:fill="auto"/>
            <w:vAlign w:val="center"/>
          </w:tcPr>
          <w:p w14:paraId="22CC8779" w14:textId="735BD540" w:rsidR="00674C5A" w:rsidRPr="008833AE" w:rsidRDefault="00674C5A" w:rsidP="005D11BA">
            <w:pPr>
              <w:spacing w:before="40" w:after="40"/>
              <w:jc w:val="center"/>
              <w:rPr>
                <w:sz w:val="18"/>
                <w:szCs w:val="18"/>
              </w:rPr>
            </w:pPr>
            <w:r w:rsidRPr="008833AE">
              <w:rPr>
                <w:sz w:val="18"/>
                <w:szCs w:val="18"/>
              </w:rPr>
              <w:t>745,700</w:t>
            </w:r>
          </w:p>
        </w:tc>
      </w:tr>
      <w:tr w:rsidR="002C1CA9" w:rsidRPr="008833AE" w14:paraId="64FDC51A" w14:textId="77777777" w:rsidTr="005D11BA">
        <w:trPr>
          <w:trHeight w:val="80"/>
        </w:trPr>
        <w:tc>
          <w:tcPr>
            <w:tcW w:w="3544" w:type="dxa"/>
            <w:tcBorders>
              <w:top w:val="nil"/>
              <w:left w:val="nil"/>
              <w:bottom w:val="nil"/>
              <w:right w:val="nil"/>
            </w:tcBorders>
            <w:shd w:val="clear" w:color="000000" w:fill="FFFFFF"/>
            <w:vAlign w:val="center"/>
            <w:hideMark/>
          </w:tcPr>
          <w:p w14:paraId="193A79EE" w14:textId="77777777" w:rsidR="002C1CA9" w:rsidRPr="008833AE" w:rsidRDefault="002C1CA9" w:rsidP="005D11BA">
            <w:pPr>
              <w:spacing w:before="40" w:after="40"/>
              <w:rPr>
                <w:sz w:val="18"/>
                <w:szCs w:val="18"/>
              </w:rPr>
            </w:pPr>
            <w:r w:rsidRPr="008833AE">
              <w:rPr>
                <w:sz w:val="18"/>
                <w:szCs w:val="18"/>
              </w:rPr>
              <w:t>Real gross state product (per cent)</w:t>
            </w:r>
          </w:p>
        </w:tc>
        <w:tc>
          <w:tcPr>
            <w:tcW w:w="1021" w:type="dxa"/>
            <w:tcBorders>
              <w:top w:val="nil"/>
              <w:left w:val="nil"/>
              <w:bottom w:val="nil"/>
              <w:right w:val="nil"/>
            </w:tcBorders>
            <w:shd w:val="clear" w:color="000000" w:fill="FFFFFF"/>
            <w:vAlign w:val="center"/>
            <w:hideMark/>
          </w:tcPr>
          <w:p w14:paraId="73646FEE" w14:textId="3DC7C4D6" w:rsidR="002C1CA9" w:rsidRPr="007E1075" w:rsidRDefault="002C1CA9" w:rsidP="005D11BA">
            <w:pPr>
              <w:spacing w:before="40" w:after="40"/>
              <w:jc w:val="center"/>
              <w:rPr>
                <w:sz w:val="18"/>
                <w:szCs w:val="18"/>
              </w:rPr>
            </w:pPr>
            <w:r w:rsidRPr="007E1075">
              <w:rPr>
                <w:sz w:val="18"/>
                <w:szCs w:val="18"/>
              </w:rPr>
              <w:t>2.</w:t>
            </w:r>
            <w:r w:rsidR="00674C5A" w:rsidRPr="007E1075">
              <w:rPr>
                <w:sz w:val="18"/>
                <w:szCs w:val="18"/>
              </w:rPr>
              <w:t>6</w:t>
            </w:r>
          </w:p>
        </w:tc>
        <w:tc>
          <w:tcPr>
            <w:tcW w:w="1037" w:type="dxa"/>
            <w:tcBorders>
              <w:top w:val="nil"/>
              <w:left w:val="nil"/>
              <w:bottom w:val="nil"/>
              <w:right w:val="nil"/>
            </w:tcBorders>
            <w:shd w:val="clear" w:color="000000" w:fill="FFFFFF"/>
            <w:vAlign w:val="center"/>
            <w:hideMark/>
          </w:tcPr>
          <w:p w14:paraId="6F2700CF" w14:textId="33D71F82" w:rsidR="002C1CA9" w:rsidRPr="008833AE" w:rsidRDefault="00AB7C4C" w:rsidP="005D11BA">
            <w:pPr>
              <w:spacing w:before="40" w:after="40"/>
              <w:jc w:val="center"/>
              <w:rPr>
                <w:sz w:val="18"/>
                <w:szCs w:val="18"/>
              </w:rPr>
            </w:pPr>
            <w:r w:rsidRPr="008833AE">
              <w:rPr>
                <w:sz w:val="18"/>
                <w:szCs w:val="18"/>
              </w:rPr>
              <w:t>2¼</w:t>
            </w:r>
          </w:p>
        </w:tc>
        <w:tc>
          <w:tcPr>
            <w:tcW w:w="1037" w:type="dxa"/>
            <w:tcBorders>
              <w:top w:val="nil"/>
              <w:left w:val="nil"/>
              <w:bottom w:val="nil"/>
              <w:right w:val="nil"/>
            </w:tcBorders>
            <w:shd w:val="clear" w:color="000000" w:fill="FFFFFF"/>
            <w:vAlign w:val="center"/>
            <w:hideMark/>
          </w:tcPr>
          <w:p w14:paraId="4656EF13" w14:textId="5EE088EE" w:rsidR="002C1CA9" w:rsidRPr="008833AE" w:rsidRDefault="002C1CA9" w:rsidP="005D11BA">
            <w:pPr>
              <w:spacing w:before="40" w:after="40"/>
              <w:jc w:val="center"/>
              <w:rPr>
                <w:sz w:val="18"/>
                <w:szCs w:val="18"/>
              </w:rPr>
            </w:pPr>
            <w:r w:rsidRPr="008833AE">
              <w:rPr>
                <w:sz w:val="18"/>
                <w:szCs w:val="18"/>
              </w:rPr>
              <w:t>2</w:t>
            </w:r>
            <w:r w:rsidR="00AB7C4C" w:rsidRPr="008833AE">
              <w:rPr>
                <w:sz w:val="18"/>
                <w:szCs w:val="18"/>
              </w:rPr>
              <w:t>¼</w:t>
            </w:r>
          </w:p>
        </w:tc>
        <w:tc>
          <w:tcPr>
            <w:tcW w:w="1037" w:type="dxa"/>
            <w:tcBorders>
              <w:top w:val="nil"/>
              <w:left w:val="nil"/>
              <w:bottom w:val="nil"/>
              <w:right w:val="nil"/>
            </w:tcBorders>
            <w:shd w:val="clear" w:color="000000" w:fill="FFFFFF"/>
            <w:vAlign w:val="center"/>
            <w:hideMark/>
          </w:tcPr>
          <w:p w14:paraId="101E78B5" w14:textId="66F1EFF8" w:rsidR="002C1CA9" w:rsidRPr="008833AE" w:rsidRDefault="002C1CA9" w:rsidP="005D11BA">
            <w:pPr>
              <w:spacing w:before="40" w:after="40"/>
              <w:jc w:val="center"/>
              <w:rPr>
                <w:sz w:val="18"/>
                <w:szCs w:val="18"/>
              </w:rPr>
            </w:pPr>
            <w:r w:rsidRPr="008833AE">
              <w:rPr>
                <w:sz w:val="18"/>
                <w:szCs w:val="18"/>
              </w:rPr>
              <w:t>2</w:t>
            </w:r>
            <w:r w:rsidR="00A03F98" w:rsidRPr="008833AE">
              <w:rPr>
                <w:sz w:val="18"/>
                <w:szCs w:val="18"/>
              </w:rPr>
              <w:t>½</w:t>
            </w:r>
          </w:p>
        </w:tc>
        <w:tc>
          <w:tcPr>
            <w:tcW w:w="1117" w:type="dxa"/>
            <w:tcBorders>
              <w:top w:val="nil"/>
              <w:left w:val="nil"/>
              <w:bottom w:val="nil"/>
              <w:right w:val="nil"/>
            </w:tcBorders>
            <w:shd w:val="clear" w:color="000000" w:fill="FFFFFF"/>
            <w:vAlign w:val="center"/>
            <w:hideMark/>
          </w:tcPr>
          <w:p w14:paraId="7C097232" w14:textId="32BD7BDE" w:rsidR="002C1CA9" w:rsidRPr="008833AE" w:rsidRDefault="002C1CA9" w:rsidP="005D11BA">
            <w:pPr>
              <w:spacing w:before="40" w:after="40"/>
              <w:jc w:val="center"/>
              <w:rPr>
                <w:sz w:val="18"/>
                <w:szCs w:val="18"/>
              </w:rPr>
            </w:pPr>
            <w:r w:rsidRPr="008833AE">
              <w:rPr>
                <w:sz w:val="18"/>
                <w:szCs w:val="18"/>
              </w:rPr>
              <w:t>2½</w:t>
            </w:r>
          </w:p>
        </w:tc>
        <w:tc>
          <w:tcPr>
            <w:tcW w:w="1117" w:type="dxa"/>
            <w:tcBorders>
              <w:top w:val="nil"/>
              <w:left w:val="nil"/>
              <w:bottom w:val="nil"/>
              <w:right w:val="nil"/>
            </w:tcBorders>
            <w:shd w:val="clear" w:color="000000" w:fill="FFFFFF"/>
            <w:vAlign w:val="center"/>
            <w:hideMark/>
          </w:tcPr>
          <w:p w14:paraId="116EDC15" w14:textId="2A45B5BD" w:rsidR="002C1CA9" w:rsidRPr="008833AE" w:rsidRDefault="002C1CA9" w:rsidP="005D11BA">
            <w:pPr>
              <w:spacing w:before="40" w:after="40"/>
              <w:jc w:val="center"/>
              <w:rPr>
                <w:sz w:val="18"/>
                <w:szCs w:val="18"/>
              </w:rPr>
            </w:pPr>
            <w:r w:rsidRPr="008833AE">
              <w:rPr>
                <w:sz w:val="18"/>
                <w:szCs w:val="18"/>
              </w:rPr>
              <w:t>2½</w:t>
            </w:r>
          </w:p>
        </w:tc>
      </w:tr>
      <w:tr w:rsidR="00A03F98" w:rsidRPr="008833AE" w14:paraId="23C1850E" w14:textId="77777777" w:rsidTr="005D11BA">
        <w:trPr>
          <w:trHeight w:val="80"/>
        </w:trPr>
        <w:tc>
          <w:tcPr>
            <w:tcW w:w="3544" w:type="dxa"/>
            <w:tcBorders>
              <w:top w:val="nil"/>
              <w:left w:val="nil"/>
              <w:bottom w:val="nil"/>
              <w:right w:val="nil"/>
            </w:tcBorders>
            <w:shd w:val="clear" w:color="000000" w:fill="FFFFFF"/>
            <w:vAlign w:val="center"/>
            <w:hideMark/>
          </w:tcPr>
          <w:p w14:paraId="767F6E7A" w14:textId="77777777" w:rsidR="00A03F98" w:rsidRPr="008833AE" w:rsidRDefault="00A03F98" w:rsidP="005D11BA">
            <w:pPr>
              <w:spacing w:before="40" w:after="40"/>
              <w:rPr>
                <w:sz w:val="18"/>
                <w:szCs w:val="18"/>
              </w:rPr>
            </w:pPr>
            <w:r w:rsidRPr="008833AE">
              <w:rPr>
                <w:sz w:val="18"/>
                <w:szCs w:val="18"/>
              </w:rPr>
              <w:t>Real state final demand (per cent)</w:t>
            </w:r>
          </w:p>
        </w:tc>
        <w:tc>
          <w:tcPr>
            <w:tcW w:w="1021" w:type="dxa"/>
            <w:tcBorders>
              <w:top w:val="nil"/>
              <w:left w:val="nil"/>
              <w:bottom w:val="nil"/>
              <w:right w:val="nil"/>
            </w:tcBorders>
            <w:shd w:val="clear" w:color="000000" w:fill="FFFFFF"/>
            <w:vAlign w:val="center"/>
            <w:hideMark/>
          </w:tcPr>
          <w:p w14:paraId="11BE3E14" w14:textId="6A8FF14E" w:rsidR="00A03F98" w:rsidRPr="007E1075" w:rsidRDefault="00A03F98" w:rsidP="005D11BA">
            <w:pPr>
              <w:spacing w:before="40" w:after="40"/>
              <w:jc w:val="center"/>
              <w:rPr>
                <w:sz w:val="18"/>
                <w:szCs w:val="18"/>
              </w:rPr>
            </w:pPr>
            <w:r w:rsidRPr="007E1075">
              <w:rPr>
                <w:sz w:val="18"/>
                <w:szCs w:val="18"/>
              </w:rPr>
              <w:t>3.4</w:t>
            </w:r>
          </w:p>
        </w:tc>
        <w:tc>
          <w:tcPr>
            <w:tcW w:w="1037" w:type="dxa"/>
            <w:tcBorders>
              <w:top w:val="nil"/>
              <w:left w:val="nil"/>
              <w:bottom w:val="nil"/>
              <w:right w:val="nil"/>
            </w:tcBorders>
            <w:shd w:val="clear" w:color="000000" w:fill="FFFFFF"/>
            <w:vAlign w:val="center"/>
            <w:hideMark/>
          </w:tcPr>
          <w:p w14:paraId="4A602D34" w14:textId="2F2932FA" w:rsidR="00A03F98" w:rsidRPr="008833AE" w:rsidRDefault="00A03F98" w:rsidP="005D11BA">
            <w:pPr>
              <w:spacing w:before="40" w:after="40"/>
              <w:jc w:val="center"/>
              <w:rPr>
                <w:sz w:val="18"/>
                <w:szCs w:val="18"/>
              </w:rPr>
            </w:pPr>
            <w:r w:rsidRPr="008833AE">
              <w:rPr>
                <w:sz w:val="18"/>
                <w:szCs w:val="18"/>
              </w:rPr>
              <w:t>2½</w:t>
            </w:r>
          </w:p>
        </w:tc>
        <w:tc>
          <w:tcPr>
            <w:tcW w:w="1037" w:type="dxa"/>
            <w:tcBorders>
              <w:top w:val="nil"/>
              <w:left w:val="nil"/>
              <w:bottom w:val="nil"/>
              <w:right w:val="nil"/>
            </w:tcBorders>
            <w:shd w:val="clear" w:color="000000" w:fill="FFFFFF"/>
            <w:vAlign w:val="center"/>
            <w:hideMark/>
          </w:tcPr>
          <w:p w14:paraId="66B2F69C" w14:textId="5A955B0A" w:rsidR="00A03F98" w:rsidRPr="008833AE" w:rsidRDefault="00A03F98" w:rsidP="005D11BA">
            <w:pPr>
              <w:spacing w:before="40" w:after="40"/>
              <w:jc w:val="center"/>
              <w:rPr>
                <w:sz w:val="18"/>
                <w:szCs w:val="18"/>
              </w:rPr>
            </w:pPr>
            <w:r w:rsidRPr="008833AE">
              <w:rPr>
                <w:sz w:val="18"/>
                <w:szCs w:val="18"/>
              </w:rPr>
              <w:t>2½</w:t>
            </w:r>
          </w:p>
        </w:tc>
        <w:tc>
          <w:tcPr>
            <w:tcW w:w="1037" w:type="dxa"/>
            <w:tcBorders>
              <w:top w:val="nil"/>
              <w:left w:val="nil"/>
              <w:bottom w:val="nil"/>
              <w:right w:val="nil"/>
            </w:tcBorders>
            <w:shd w:val="clear" w:color="000000" w:fill="FFFFFF"/>
            <w:vAlign w:val="center"/>
            <w:hideMark/>
          </w:tcPr>
          <w:p w14:paraId="7AABACE3" w14:textId="2ED26DA5" w:rsidR="00A03F98" w:rsidRPr="008833AE" w:rsidRDefault="00A03F98" w:rsidP="005D11BA">
            <w:pPr>
              <w:spacing w:before="40" w:after="40"/>
              <w:jc w:val="center"/>
              <w:rPr>
                <w:sz w:val="18"/>
                <w:szCs w:val="18"/>
              </w:rPr>
            </w:pPr>
            <w:r w:rsidRPr="008833AE">
              <w:rPr>
                <w:sz w:val="18"/>
                <w:szCs w:val="18"/>
              </w:rPr>
              <w:t>2½</w:t>
            </w:r>
          </w:p>
        </w:tc>
        <w:tc>
          <w:tcPr>
            <w:tcW w:w="1117" w:type="dxa"/>
            <w:tcBorders>
              <w:top w:val="nil"/>
              <w:left w:val="nil"/>
              <w:bottom w:val="nil"/>
              <w:right w:val="nil"/>
            </w:tcBorders>
            <w:shd w:val="clear" w:color="000000" w:fill="FFFFFF"/>
            <w:vAlign w:val="center"/>
            <w:hideMark/>
          </w:tcPr>
          <w:p w14:paraId="27148816" w14:textId="77777777" w:rsidR="00A03F98" w:rsidRPr="008833AE" w:rsidRDefault="00A03F98" w:rsidP="005D11BA">
            <w:pPr>
              <w:spacing w:before="40" w:after="40"/>
              <w:jc w:val="center"/>
              <w:rPr>
                <w:sz w:val="18"/>
                <w:szCs w:val="18"/>
              </w:rPr>
            </w:pPr>
            <w:r w:rsidRPr="008833AE">
              <w:rPr>
                <w:sz w:val="18"/>
                <w:szCs w:val="18"/>
              </w:rPr>
              <w:t>-</w:t>
            </w:r>
          </w:p>
        </w:tc>
        <w:tc>
          <w:tcPr>
            <w:tcW w:w="1117" w:type="dxa"/>
            <w:tcBorders>
              <w:top w:val="nil"/>
              <w:left w:val="nil"/>
              <w:bottom w:val="nil"/>
              <w:right w:val="nil"/>
            </w:tcBorders>
            <w:shd w:val="clear" w:color="000000" w:fill="FFFFFF"/>
            <w:vAlign w:val="center"/>
            <w:hideMark/>
          </w:tcPr>
          <w:p w14:paraId="59B58523" w14:textId="77777777" w:rsidR="00A03F98" w:rsidRPr="008833AE" w:rsidRDefault="00A03F98" w:rsidP="005D11BA">
            <w:pPr>
              <w:spacing w:before="40" w:after="40"/>
              <w:jc w:val="center"/>
              <w:rPr>
                <w:sz w:val="18"/>
                <w:szCs w:val="18"/>
              </w:rPr>
            </w:pPr>
            <w:r w:rsidRPr="008833AE">
              <w:rPr>
                <w:sz w:val="18"/>
                <w:szCs w:val="18"/>
              </w:rPr>
              <w:t>-</w:t>
            </w:r>
          </w:p>
        </w:tc>
      </w:tr>
      <w:tr w:rsidR="002C1CA9" w:rsidRPr="008833AE" w14:paraId="5B8FD06C" w14:textId="77777777" w:rsidTr="005D11BA">
        <w:trPr>
          <w:trHeight w:val="80"/>
        </w:trPr>
        <w:tc>
          <w:tcPr>
            <w:tcW w:w="3544" w:type="dxa"/>
            <w:tcBorders>
              <w:top w:val="nil"/>
              <w:left w:val="nil"/>
              <w:bottom w:val="nil"/>
              <w:right w:val="nil"/>
            </w:tcBorders>
            <w:shd w:val="clear" w:color="000000" w:fill="FFFFFF"/>
            <w:vAlign w:val="center"/>
            <w:hideMark/>
          </w:tcPr>
          <w:p w14:paraId="521A2ECB" w14:textId="77777777" w:rsidR="002C1CA9" w:rsidRPr="008833AE" w:rsidRDefault="002C1CA9" w:rsidP="005D11BA">
            <w:pPr>
              <w:spacing w:before="40" w:after="40"/>
              <w:rPr>
                <w:sz w:val="18"/>
                <w:szCs w:val="18"/>
              </w:rPr>
            </w:pPr>
            <w:r w:rsidRPr="008833AE">
              <w:rPr>
                <w:sz w:val="18"/>
                <w:szCs w:val="18"/>
              </w:rPr>
              <w:t>Employment (per cent)</w:t>
            </w:r>
          </w:p>
        </w:tc>
        <w:tc>
          <w:tcPr>
            <w:tcW w:w="1021" w:type="dxa"/>
            <w:tcBorders>
              <w:top w:val="nil"/>
              <w:left w:val="nil"/>
              <w:bottom w:val="nil"/>
              <w:right w:val="nil"/>
            </w:tcBorders>
            <w:shd w:val="clear" w:color="000000" w:fill="FFFFFF"/>
            <w:vAlign w:val="center"/>
            <w:hideMark/>
          </w:tcPr>
          <w:p w14:paraId="5182113D" w14:textId="59C512B4" w:rsidR="002C1CA9" w:rsidRPr="007E1075" w:rsidRDefault="002227E9" w:rsidP="005D11BA">
            <w:pPr>
              <w:spacing w:before="40" w:after="40"/>
              <w:jc w:val="center"/>
              <w:rPr>
                <w:sz w:val="18"/>
                <w:szCs w:val="18"/>
              </w:rPr>
            </w:pPr>
            <w:r w:rsidRPr="007E1075">
              <w:rPr>
                <w:sz w:val="18"/>
                <w:szCs w:val="18"/>
              </w:rPr>
              <w:t>3.2</w:t>
            </w:r>
          </w:p>
        </w:tc>
        <w:tc>
          <w:tcPr>
            <w:tcW w:w="1037" w:type="dxa"/>
            <w:tcBorders>
              <w:top w:val="nil"/>
              <w:left w:val="nil"/>
              <w:bottom w:val="nil"/>
              <w:right w:val="nil"/>
            </w:tcBorders>
            <w:shd w:val="clear" w:color="000000" w:fill="FFFFFF"/>
            <w:vAlign w:val="center"/>
            <w:hideMark/>
          </w:tcPr>
          <w:p w14:paraId="05DC35CB" w14:textId="7E34B836" w:rsidR="002C1CA9" w:rsidRPr="008833AE" w:rsidRDefault="002C1CA9" w:rsidP="005D11BA">
            <w:pPr>
              <w:spacing w:before="40" w:after="40"/>
              <w:jc w:val="center"/>
              <w:rPr>
                <w:sz w:val="18"/>
                <w:szCs w:val="18"/>
              </w:rPr>
            </w:pPr>
            <w:r w:rsidRPr="008833AE">
              <w:rPr>
                <w:sz w:val="18"/>
                <w:szCs w:val="18"/>
              </w:rPr>
              <w:t>3</w:t>
            </w:r>
            <w:r w:rsidR="00A03F98" w:rsidRPr="008833AE">
              <w:rPr>
                <w:sz w:val="18"/>
                <w:szCs w:val="18"/>
              </w:rPr>
              <w:t>¼</w:t>
            </w:r>
          </w:p>
        </w:tc>
        <w:tc>
          <w:tcPr>
            <w:tcW w:w="1037" w:type="dxa"/>
            <w:tcBorders>
              <w:top w:val="nil"/>
              <w:left w:val="nil"/>
              <w:bottom w:val="nil"/>
              <w:right w:val="nil"/>
            </w:tcBorders>
            <w:shd w:val="clear" w:color="000000" w:fill="FFFFFF"/>
            <w:vAlign w:val="center"/>
            <w:hideMark/>
          </w:tcPr>
          <w:p w14:paraId="6C085E0C" w14:textId="786B7355" w:rsidR="002C1CA9" w:rsidRPr="008833AE" w:rsidRDefault="002C1CA9" w:rsidP="005D11BA">
            <w:pPr>
              <w:spacing w:before="40" w:after="40"/>
              <w:jc w:val="center"/>
              <w:rPr>
                <w:sz w:val="18"/>
                <w:szCs w:val="18"/>
              </w:rPr>
            </w:pPr>
            <w:r w:rsidRPr="008833AE">
              <w:rPr>
                <w:sz w:val="18"/>
                <w:szCs w:val="18"/>
              </w:rPr>
              <w:t>1</w:t>
            </w:r>
            <w:r w:rsidR="00A03F98" w:rsidRPr="008833AE">
              <w:rPr>
                <w:sz w:val="18"/>
                <w:szCs w:val="18"/>
              </w:rPr>
              <w:t>½</w:t>
            </w:r>
          </w:p>
        </w:tc>
        <w:tc>
          <w:tcPr>
            <w:tcW w:w="1037" w:type="dxa"/>
            <w:tcBorders>
              <w:top w:val="nil"/>
              <w:left w:val="nil"/>
              <w:bottom w:val="nil"/>
              <w:right w:val="nil"/>
            </w:tcBorders>
            <w:shd w:val="clear" w:color="000000" w:fill="FFFFFF"/>
            <w:vAlign w:val="center"/>
            <w:hideMark/>
          </w:tcPr>
          <w:p w14:paraId="180CE022" w14:textId="4D346BF4" w:rsidR="002C1CA9" w:rsidRPr="008833AE" w:rsidRDefault="002C1CA9" w:rsidP="005D11BA">
            <w:pPr>
              <w:spacing w:before="40" w:after="40"/>
              <w:jc w:val="center"/>
              <w:rPr>
                <w:sz w:val="18"/>
                <w:szCs w:val="18"/>
              </w:rPr>
            </w:pPr>
            <w:r w:rsidRPr="008833AE">
              <w:rPr>
                <w:sz w:val="18"/>
                <w:szCs w:val="18"/>
              </w:rPr>
              <w:t>1</w:t>
            </w:r>
            <w:r w:rsidR="00420BD6" w:rsidRPr="008833AE">
              <w:rPr>
                <w:sz w:val="18"/>
                <w:szCs w:val="18"/>
              </w:rPr>
              <w:t>¼</w:t>
            </w:r>
          </w:p>
        </w:tc>
        <w:tc>
          <w:tcPr>
            <w:tcW w:w="1117" w:type="dxa"/>
            <w:tcBorders>
              <w:top w:val="nil"/>
              <w:left w:val="nil"/>
              <w:bottom w:val="nil"/>
              <w:right w:val="nil"/>
            </w:tcBorders>
            <w:shd w:val="clear" w:color="000000" w:fill="FFFFFF"/>
            <w:vAlign w:val="center"/>
            <w:hideMark/>
          </w:tcPr>
          <w:p w14:paraId="40FF2FE0" w14:textId="242B8FE1" w:rsidR="002C1CA9" w:rsidRPr="008833AE" w:rsidRDefault="002C1CA9" w:rsidP="005D11BA">
            <w:pPr>
              <w:spacing w:before="40" w:after="40"/>
              <w:jc w:val="center"/>
              <w:rPr>
                <w:sz w:val="18"/>
                <w:szCs w:val="18"/>
              </w:rPr>
            </w:pPr>
            <w:r w:rsidRPr="008833AE">
              <w:rPr>
                <w:sz w:val="18"/>
                <w:szCs w:val="18"/>
              </w:rPr>
              <w:t>1¼</w:t>
            </w:r>
          </w:p>
        </w:tc>
        <w:tc>
          <w:tcPr>
            <w:tcW w:w="1117" w:type="dxa"/>
            <w:tcBorders>
              <w:top w:val="nil"/>
              <w:left w:val="nil"/>
              <w:bottom w:val="nil"/>
              <w:right w:val="nil"/>
            </w:tcBorders>
            <w:shd w:val="clear" w:color="000000" w:fill="FFFFFF"/>
            <w:vAlign w:val="center"/>
            <w:hideMark/>
          </w:tcPr>
          <w:p w14:paraId="18DC6EB5" w14:textId="77777777" w:rsidR="002C1CA9" w:rsidRPr="008833AE" w:rsidRDefault="002C1CA9" w:rsidP="005D11BA">
            <w:pPr>
              <w:spacing w:before="40" w:after="40"/>
              <w:jc w:val="center"/>
              <w:rPr>
                <w:sz w:val="18"/>
                <w:szCs w:val="18"/>
              </w:rPr>
            </w:pPr>
            <w:r w:rsidRPr="008833AE">
              <w:rPr>
                <w:sz w:val="18"/>
                <w:szCs w:val="18"/>
              </w:rPr>
              <w:t>1¼</w:t>
            </w:r>
          </w:p>
        </w:tc>
      </w:tr>
      <w:tr w:rsidR="002C1CA9" w:rsidRPr="0092761C" w14:paraId="129B4720" w14:textId="77777777" w:rsidTr="005D11BA">
        <w:trPr>
          <w:trHeight w:val="80"/>
        </w:trPr>
        <w:tc>
          <w:tcPr>
            <w:tcW w:w="3544" w:type="dxa"/>
            <w:tcBorders>
              <w:top w:val="nil"/>
              <w:left w:val="nil"/>
              <w:bottom w:val="nil"/>
              <w:right w:val="nil"/>
            </w:tcBorders>
            <w:shd w:val="clear" w:color="000000" w:fill="FFFFFF"/>
            <w:vAlign w:val="center"/>
            <w:hideMark/>
          </w:tcPr>
          <w:p w14:paraId="373BA1B1" w14:textId="77777777" w:rsidR="002C1CA9" w:rsidRPr="0092761C" w:rsidRDefault="002C1CA9" w:rsidP="005D11BA">
            <w:pPr>
              <w:spacing w:before="40" w:after="40"/>
              <w:rPr>
                <w:sz w:val="18"/>
                <w:szCs w:val="18"/>
              </w:rPr>
            </w:pPr>
            <w:r w:rsidRPr="0092761C">
              <w:rPr>
                <w:sz w:val="18"/>
                <w:szCs w:val="18"/>
              </w:rPr>
              <w:t xml:space="preserve">Unemployment rate (per </w:t>
            </w:r>
            <w:proofErr w:type="gramStart"/>
            <w:r w:rsidRPr="0092761C">
              <w:rPr>
                <w:sz w:val="18"/>
                <w:szCs w:val="18"/>
              </w:rPr>
              <w:t>cent)</w:t>
            </w:r>
            <w:r w:rsidRPr="0092761C">
              <w:rPr>
                <w:sz w:val="18"/>
                <w:szCs w:val="18"/>
                <w:vertAlign w:val="superscript"/>
              </w:rPr>
              <w:t>(</w:t>
            </w:r>
            <w:proofErr w:type="gramEnd"/>
            <w:r w:rsidRPr="0092761C">
              <w:rPr>
                <w:sz w:val="18"/>
                <w:szCs w:val="18"/>
                <w:vertAlign w:val="superscript"/>
              </w:rPr>
              <w:t>c)</w:t>
            </w:r>
          </w:p>
        </w:tc>
        <w:tc>
          <w:tcPr>
            <w:tcW w:w="1021" w:type="dxa"/>
            <w:tcBorders>
              <w:top w:val="nil"/>
              <w:left w:val="nil"/>
              <w:bottom w:val="nil"/>
              <w:right w:val="nil"/>
            </w:tcBorders>
            <w:shd w:val="clear" w:color="000000" w:fill="FFFFFF"/>
            <w:vAlign w:val="center"/>
            <w:hideMark/>
          </w:tcPr>
          <w:p w14:paraId="05B6D0B5" w14:textId="6F1E5504" w:rsidR="002C1CA9" w:rsidRPr="0092761C" w:rsidRDefault="002227E9" w:rsidP="005D11BA">
            <w:pPr>
              <w:spacing w:before="40" w:after="40"/>
              <w:jc w:val="center"/>
              <w:rPr>
                <w:sz w:val="18"/>
                <w:szCs w:val="18"/>
              </w:rPr>
            </w:pPr>
            <w:r w:rsidRPr="0092761C">
              <w:rPr>
                <w:sz w:val="18"/>
                <w:szCs w:val="18"/>
              </w:rPr>
              <w:t>4.8</w:t>
            </w:r>
          </w:p>
        </w:tc>
        <w:tc>
          <w:tcPr>
            <w:tcW w:w="1037" w:type="dxa"/>
            <w:tcBorders>
              <w:top w:val="nil"/>
              <w:left w:val="nil"/>
              <w:bottom w:val="nil"/>
              <w:right w:val="nil"/>
            </w:tcBorders>
            <w:shd w:val="clear" w:color="000000" w:fill="FFFFFF"/>
            <w:vAlign w:val="center"/>
            <w:hideMark/>
          </w:tcPr>
          <w:p w14:paraId="51715538" w14:textId="79B07170" w:rsidR="002C1CA9" w:rsidRPr="0092761C" w:rsidRDefault="002C1CA9" w:rsidP="005D11BA">
            <w:pPr>
              <w:spacing w:before="40" w:after="40"/>
              <w:jc w:val="center"/>
              <w:rPr>
                <w:sz w:val="18"/>
                <w:szCs w:val="18"/>
              </w:rPr>
            </w:pPr>
            <w:r w:rsidRPr="0092761C">
              <w:rPr>
                <w:sz w:val="18"/>
                <w:szCs w:val="18"/>
              </w:rPr>
              <w:t>4</w:t>
            </w:r>
            <w:r w:rsidR="00420BD6" w:rsidRPr="0092761C">
              <w:rPr>
                <w:sz w:val="18"/>
                <w:szCs w:val="18"/>
              </w:rPr>
              <w:t>½</w:t>
            </w:r>
          </w:p>
        </w:tc>
        <w:tc>
          <w:tcPr>
            <w:tcW w:w="1037" w:type="dxa"/>
            <w:tcBorders>
              <w:top w:val="nil"/>
              <w:left w:val="nil"/>
              <w:bottom w:val="nil"/>
              <w:right w:val="nil"/>
            </w:tcBorders>
            <w:shd w:val="clear" w:color="000000" w:fill="FFFFFF"/>
            <w:vAlign w:val="center"/>
            <w:hideMark/>
          </w:tcPr>
          <w:p w14:paraId="03DF184B" w14:textId="00FCC09D" w:rsidR="002C1CA9" w:rsidRPr="0092761C" w:rsidRDefault="002C1CA9" w:rsidP="005D11BA">
            <w:pPr>
              <w:spacing w:before="40" w:after="40"/>
              <w:jc w:val="center"/>
              <w:rPr>
                <w:sz w:val="18"/>
                <w:szCs w:val="18"/>
              </w:rPr>
            </w:pPr>
            <w:r w:rsidRPr="0092761C">
              <w:rPr>
                <w:sz w:val="18"/>
                <w:szCs w:val="18"/>
              </w:rPr>
              <w:t>4</w:t>
            </w:r>
            <w:r w:rsidR="00420BD6" w:rsidRPr="0092761C">
              <w:rPr>
                <w:sz w:val="18"/>
                <w:szCs w:val="18"/>
              </w:rPr>
              <w:t>½</w:t>
            </w:r>
          </w:p>
        </w:tc>
        <w:tc>
          <w:tcPr>
            <w:tcW w:w="1037" w:type="dxa"/>
            <w:tcBorders>
              <w:top w:val="nil"/>
              <w:left w:val="nil"/>
              <w:bottom w:val="nil"/>
              <w:right w:val="nil"/>
            </w:tcBorders>
            <w:shd w:val="clear" w:color="000000" w:fill="FFFFFF"/>
            <w:vAlign w:val="center"/>
            <w:hideMark/>
          </w:tcPr>
          <w:p w14:paraId="20B3ABA5" w14:textId="7B76024D" w:rsidR="002C1CA9" w:rsidRPr="0092761C" w:rsidRDefault="002C1CA9" w:rsidP="005D11BA">
            <w:pPr>
              <w:spacing w:before="40" w:after="40"/>
              <w:jc w:val="center"/>
              <w:rPr>
                <w:sz w:val="18"/>
                <w:szCs w:val="18"/>
              </w:rPr>
            </w:pPr>
            <w:r w:rsidRPr="0092761C">
              <w:rPr>
                <w:sz w:val="18"/>
                <w:szCs w:val="18"/>
              </w:rPr>
              <w:t>4</w:t>
            </w:r>
            <w:r w:rsidR="00420BD6" w:rsidRPr="0092761C">
              <w:rPr>
                <w:sz w:val="18"/>
                <w:szCs w:val="18"/>
              </w:rPr>
              <w:t>½</w:t>
            </w:r>
          </w:p>
        </w:tc>
        <w:tc>
          <w:tcPr>
            <w:tcW w:w="1117" w:type="dxa"/>
            <w:tcBorders>
              <w:top w:val="nil"/>
              <w:left w:val="nil"/>
              <w:bottom w:val="nil"/>
              <w:right w:val="nil"/>
            </w:tcBorders>
            <w:shd w:val="clear" w:color="000000" w:fill="FFFFFF"/>
            <w:vAlign w:val="center"/>
            <w:hideMark/>
          </w:tcPr>
          <w:p w14:paraId="27CCADD6" w14:textId="794337CF" w:rsidR="002C1CA9" w:rsidRPr="0092761C" w:rsidRDefault="002C1CA9" w:rsidP="005D11BA">
            <w:pPr>
              <w:spacing w:before="40" w:after="40"/>
              <w:jc w:val="center"/>
              <w:rPr>
                <w:sz w:val="18"/>
                <w:szCs w:val="18"/>
              </w:rPr>
            </w:pPr>
            <w:r w:rsidRPr="0092761C">
              <w:rPr>
                <w:sz w:val="18"/>
                <w:szCs w:val="18"/>
              </w:rPr>
              <w:t>4</w:t>
            </w:r>
            <w:r w:rsidR="00420BD6" w:rsidRPr="0092761C">
              <w:rPr>
                <w:sz w:val="18"/>
                <w:szCs w:val="18"/>
              </w:rPr>
              <w:t>½</w:t>
            </w:r>
          </w:p>
        </w:tc>
        <w:tc>
          <w:tcPr>
            <w:tcW w:w="1117" w:type="dxa"/>
            <w:tcBorders>
              <w:top w:val="nil"/>
              <w:left w:val="nil"/>
              <w:bottom w:val="nil"/>
              <w:right w:val="nil"/>
            </w:tcBorders>
            <w:shd w:val="clear" w:color="000000" w:fill="FFFFFF"/>
            <w:vAlign w:val="center"/>
            <w:hideMark/>
          </w:tcPr>
          <w:p w14:paraId="7235BCDC" w14:textId="22C104E6" w:rsidR="002C1CA9" w:rsidRPr="0092761C" w:rsidRDefault="002C1CA9" w:rsidP="005D11BA">
            <w:pPr>
              <w:spacing w:before="40" w:after="40"/>
              <w:jc w:val="center"/>
              <w:rPr>
                <w:sz w:val="18"/>
                <w:szCs w:val="18"/>
              </w:rPr>
            </w:pPr>
            <w:r w:rsidRPr="0092761C">
              <w:rPr>
                <w:sz w:val="18"/>
                <w:szCs w:val="18"/>
              </w:rPr>
              <w:t>4</w:t>
            </w:r>
            <w:r w:rsidR="00420BD6" w:rsidRPr="0092761C">
              <w:rPr>
                <w:sz w:val="18"/>
                <w:szCs w:val="18"/>
              </w:rPr>
              <w:t>½</w:t>
            </w:r>
          </w:p>
        </w:tc>
      </w:tr>
      <w:tr w:rsidR="00420BD6" w:rsidRPr="0092761C" w14:paraId="08964E74" w14:textId="77777777" w:rsidTr="005D11BA">
        <w:trPr>
          <w:trHeight w:val="300"/>
        </w:trPr>
        <w:tc>
          <w:tcPr>
            <w:tcW w:w="3544" w:type="dxa"/>
            <w:tcBorders>
              <w:top w:val="nil"/>
              <w:left w:val="nil"/>
              <w:bottom w:val="nil"/>
              <w:right w:val="nil"/>
            </w:tcBorders>
            <w:shd w:val="clear" w:color="000000" w:fill="FFFFFF"/>
            <w:vAlign w:val="center"/>
            <w:hideMark/>
          </w:tcPr>
          <w:p w14:paraId="7490C341" w14:textId="4ABDC0DD" w:rsidR="00420BD6" w:rsidRPr="0092761C" w:rsidRDefault="00420BD6" w:rsidP="005D11BA">
            <w:pPr>
              <w:spacing w:before="40" w:after="40"/>
              <w:rPr>
                <w:sz w:val="18"/>
                <w:szCs w:val="18"/>
              </w:rPr>
            </w:pPr>
            <w:r w:rsidRPr="0092761C">
              <w:rPr>
                <w:sz w:val="18"/>
                <w:szCs w:val="18"/>
              </w:rPr>
              <w:t xml:space="preserve">Sydney consumer price index </w:t>
            </w:r>
            <w:r w:rsidRPr="0092761C">
              <w:rPr>
                <w:sz w:val="18"/>
                <w:szCs w:val="18"/>
              </w:rPr>
              <w:br/>
              <w:t xml:space="preserve">(per </w:t>
            </w:r>
            <w:proofErr w:type="gramStart"/>
            <w:r w:rsidRPr="0092761C">
              <w:rPr>
                <w:sz w:val="18"/>
                <w:szCs w:val="18"/>
              </w:rPr>
              <w:t>cent)</w:t>
            </w:r>
            <w:r w:rsidRPr="0092761C">
              <w:rPr>
                <w:sz w:val="18"/>
                <w:szCs w:val="18"/>
                <w:vertAlign w:val="superscript"/>
              </w:rPr>
              <w:t>(</w:t>
            </w:r>
            <w:proofErr w:type="gramEnd"/>
            <w:r w:rsidRPr="0092761C">
              <w:rPr>
                <w:sz w:val="18"/>
                <w:szCs w:val="18"/>
                <w:vertAlign w:val="superscript"/>
              </w:rPr>
              <w:t>d)</w:t>
            </w:r>
          </w:p>
        </w:tc>
        <w:tc>
          <w:tcPr>
            <w:tcW w:w="1021" w:type="dxa"/>
            <w:tcBorders>
              <w:top w:val="nil"/>
              <w:left w:val="nil"/>
              <w:bottom w:val="nil"/>
              <w:right w:val="nil"/>
            </w:tcBorders>
            <w:shd w:val="clear" w:color="000000" w:fill="FFFFFF"/>
            <w:vAlign w:val="bottom"/>
            <w:hideMark/>
          </w:tcPr>
          <w:p w14:paraId="709F7F3C" w14:textId="61E5B967" w:rsidR="00420BD6" w:rsidRPr="0092761C" w:rsidRDefault="00420BD6" w:rsidP="005D11BA">
            <w:pPr>
              <w:spacing w:before="40" w:after="40"/>
              <w:jc w:val="center"/>
              <w:rPr>
                <w:sz w:val="18"/>
                <w:szCs w:val="18"/>
              </w:rPr>
            </w:pPr>
            <w:r w:rsidRPr="0092761C">
              <w:rPr>
                <w:sz w:val="18"/>
                <w:szCs w:val="18"/>
              </w:rPr>
              <w:t>1.9</w:t>
            </w:r>
          </w:p>
        </w:tc>
        <w:tc>
          <w:tcPr>
            <w:tcW w:w="1037" w:type="dxa"/>
            <w:tcBorders>
              <w:top w:val="nil"/>
              <w:left w:val="nil"/>
              <w:bottom w:val="nil"/>
              <w:right w:val="nil"/>
            </w:tcBorders>
            <w:shd w:val="clear" w:color="000000" w:fill="FFFFFF"/>
            <w:vAlign w:val="bottom"/>
            <w:hideMark/>
          </w:tcPr>
          <w:p w14:paraId="31E10CEB" w14:textId="45069A0E" w:rsidR="00420BD6" w:rsidRPr="0092761C" w:rsidRDefault="00420BD6" w:rsidP="005D11BA">
            <w:pPr>
              <w:spacing w:before="40" w:after="40"/>
              <w:jc w:val="center"/>
              <w:rPr>
                <w:sz w:val="18"/>
                <w:szCs w:val="18"/>
              </w:rPr>
            </w:pPr>
            <w:r w:rsidRPr="0092761C">
              <w:rPr>
                <w:sz w:val="18"/>
                <w:szCs w:val="18"/>
              </w:rPr>
              <w:t xml:space="preserve">1½    </w:t>
            </w:r>
          </w:p>
        </w:tc>
        <w:tc>
          <w:tcPr>
            <w:tcW w:w="1037" w:type="dxa"/>
            <w:tcBorders>
              <w:top w:val="nil"/>
              <w:left w:val="nil"/>
              <w:bottom w:val="nil"/>
              <w:right w:val="nil"/>
            </w:tcBorders>
            <w:shd w:val="clear" w:color="000000" w:fill="FFFFFF"/>
            <w:vAlign w:val="bottom"/>
            <w:hideMark/>
          </w:tcPr>
          <w:p w14:paraId="21B97169" w14:textId="2950EBAC" w:rsidR="00420BD6" w:rsidRPr="0092761C" w:rsidRDefault="00420BD6" w:rsidP="005D11BA">
            <w:pPr>
              <w:spacing w:before="40" w:after="40"/>
              <w:jc w:val="center"/>
              <w:rPr>
                <w:sz w:val="18"/>
                <w:szCs w:val="18"/>
              </w:rPr>
            </w:pPr>
            <w:r w:rsidRPr="0092761C">
              <w:rPr>
                <w:sz w:val="18"/>
                <w:szCs w:val="18"/>
              </w:rPr>
              <w:t>1¾</w:t>
            </w:r>
          </w:p>
        </w:tc>
        <w:tc>
          <w:tcPr>
            <w:tcW w:w="1037" w:type="dxa"/>
            <w:tcBorders>
              <w:top w:val="nil"/>
              <w:left w:val="nil"/>
              <w:bottom w:val="nil"/>
              <w:right w:val="nil"/>
            </w:tcBorders>
            <w:shd w:val="clear" w:color="000000" w:fill="FFFFFF"/>
            <w:vAlign w:val="bottom"/>
            <w:hideMark/>
          </w:tcPr>
          <w:p w14:paraId="62407B0C" w14:textId="206DDE22" w:rsidR="00420BD6" w:rsidRPr="0092761C" w:rsidRDefault="00420BD6" w:rsidP="005D11BA">
            <w:pPr>
              <w:spacing w:before="40" w:after="40"/>
              <w:jc w:val="center"/>
              <w:rPr>
                <w:sz w:val="18"/>
                <w:szCs w:val="18"/>
              </w:rPr>
            </w:pPr>
            <w:r w:rsidRPr="0092761C">
              <w:rPr>
                <w:sz w:val="18"/>
                <w:szCs w:val="18"/>
              </w:rPr>
              <w:t>1¾</w:t>
            </w:r>
          </w:p>
        </w:tc>
        <w:tc>
          <w:tcPr>
            <w:tcW w:w="1117" w:type="dxa"/>
            <w:tcBorders>
              <w:top w:val="nil"/>
              <w:left w:val="nil"/>
              <w:bottom w:val="nil"/>
              <w:right w:val="nil"/>
            </w:tcBorders>
            <w:shd w:val="clear" w:color="000000" w:fill="FFFFFF"/>
            <w:vAlign w:val="bottom"/>
            <w:hideMark/>
          </w:tcPr>
          <w:p w14:paraId="5EBD5426" w14:textId="3074C347" w:rsidR="00420BD6" w:rsidRPr="0092761C" w:rsidRDefault="00420BD6" w:rsidP="005D11BA">
            <w:pPr>
              <w:spacing w:before="40" w:after="40"/>
              <w:jc w:val="center"/>
              <w:rPr>
                <w:sz w:val="18"/>
                <w:szCs w:val="18"/>
              </w:rPr>
            </w:pPr>
            <w:r w:rsidRPr="0092761C">
              <w:rPr>
                <w:sz w:val="18"/>
                <w:szCs w:val="18"/>
              </w:rPr>
              <w:t>2¼</w:t>
            </w:r>
          </w:p>
        </w:tc>
        <w:tc>
          <w:tcPr>
            <w:tcW w:w="1117" w:type="dxa"/>
            <w:tcBorders>
              <w:top w:val="nil"/>
              <w:left w:val="nil"/>
              <w:bottom w:val="nil"/>
              <w:right w:val="nil"/>
            </w:tcBorders>
            <w:shd w:val="clear" w:color="000000" w:fill="FFFFFF"/>
            <w:vAlign w:val="bottom"/>
            <w:hideMark/>
          </w:tcPr>
          <w:p w14:paraId="20521903" w14:textId="47F02568" w:rsidR="00420BD6" w:rsidRPr="0092761C" w:rsidRDefault="00420BD6" w:rsidP="005D11BA">
            <w:pPr>
              <w:spacing w:before="40" w:after="40"/>
              <w:jc w:val="center"/>
              <w:rPr>
                <w:sz w:val="18"/>
                <w:szCs w:val="18"/>
              </w:rPr>
            </w:pPr>
            <w:r w:rsidRPr="0092761C">
              <w:rPr>
                <w:sz w:val="18"/>
                <w:szCs w:val="18"/>
              </w:rPr>
              <w:t>2½</w:t>
            </w:r>
          </w:p>
        </w:tc>
      </w:tr>
      <w:tr w:rsidR="002C1CA9" w:rsidRPr="0092761C" w14:paraId="5E3F814E" w14:textId="77777777" w:rsidTr="005D11BA">
        <w:trPr>
          <w:trHeight w:val="80"/>
        </w:trPr>
        <w:tc>
          <w:tcPr>
            <w:tcW w:w="3544" w:type="dxa"/>
            <w:tcBorders>
              <w:top w:val="nil"/>
              <w:left w:val="nil"/>
              <w:bottom w:val="nil"/>
              <w:right w:val="nil"/>
            </w:tcBorders>
            <w:shd w:val="clear" w:color="000000" w:fill="FFFFFF"/>
            <w:vAlign w:val="center"/>
            <w:hideMark/>
          </w:tcPr>
          <w:p w14:paraId="4C76711D" w14:textId="62D7E8B6" w:rsidR="002C1CA9" w:rsidRPr="0092761C" w:rsidRDefault="002C1CA9" w:rsidP="005D11BA">
            <w:pPr>
              <w:spacing w:before="40" w:after="40"/>
              <w:rPr>
                <w:sz w:val="18"/>
                <w:szCs w:val="18"/>
              </w:rPr>
            </w:pPr>
            <w:r w:rsidRPr="0092761C">
              <w:rPr>
                <w:sz w:val="18"/>
                <w:szCs w:val="18"/>
              </w:rPr>
              <w:t>Wage price index</w:t>
            </w:r>
            <w:r w:rsidRPr="0092761C">
              <w:rPr>
                <w:sz w:val="18"/>
                <w:szCs w:val="18"/>
                <w:vertAlign w:val="superscript"/>
              </w:rPr>
              <w:t xml:space="preserve"> </w:t>
            </w:r>
            <w:r w:rsidRPr="0092761C">
              <w:rPr>
                <w:sz w:val="18"/>
                <w:szCs w:val="18"/>
              </w:rPr>
              <w:t xml:space="preserve">(per </w:t>
            </w:r>
            <w:proofErr w:type="gramStart"/>
            <w:r w:rsidRPr="0092761C">
              <w:rPr>
                <w:sz w:val="18"/>
                <w:szCs w:val="18"/>
              </w:rPr>
              <w:t>cent)</w:t>
            </w:r>
            <w:r w:rsidRPr="0092761C">
              <w:rPr>
                <w:sz w:val="18"/>
                <w:szCs w:val="18"/>
                <w:vertAlign w:val="superscript"/>
              </w:rPr>
              <w:t>(</w:t>
            </w:r>
            <w:proofErr w:type="gramEnd"/>
            <w:r w:rsidR="003079D8" w:rsidRPr="0092761C">
              <w:rPr>
                <w:sz w:val="18"/>
                <w:szCs w:val="18"/>
                <w:vertAlign w:val="superscript"/>
              </w:rPr>
              <w:t>e</w:t>
            </w:r>
            <w:r w:rsidRPr="0092761C">
              <w:rPr>
                <w:sz w:val="18"/>
                <w:szCs w:val="18"/>
                <w:vertAlign w:val="superscript"/>
              </w:rPr>
              <w:t>)</w:t>
            </w:r>
          </w:p>
        </w:tc>
        <w:tc>
          <w:tcPr>
            <w:tcW w:w="1021" w:type="dxa"/>
            <w:tcBorders>
              <w:top w:val="nil"/>
              <w:left w:val="nil"/>
              <w:bottom w:val="nil"/>
              <w:right w:val="nil"/>
            </w:tcBorders>
            <w:shd w:val="clear" w:color="000000" w:fill="FFFFFF"/>
            <w:vAlign w:val="center"/>
            <w:hideMark/>
          </w:tcPr>
          <w:p w14:paraId="76DE50AE" w14:textId="31EF7E1E" w:rsidR="002C1CA9" w:rsidRPr="0092761C" w:rsidRDefault="002C1CA9" w:rsidP="005D11BA">
            <w:pPr>
              <w:spacing w:before="40" w:after="40"/>
              <w:jc w:val="center"/>
              <w:rPr>
                <w:sz w:val="18"/>
                <w:szCs w:val="18"/>
              </w:rPr>
            </w:pPr>
            <w:r w:rsidRPr="0092761C">
              <w:rPr>
                <w:sz w:val="18"/>
                <w:szCs w:val="18"/>
              </w:rPr>
              <w:t>2.</w:t>
            </w:r>
            <w:r w:rsidR="00296D99" w:rsidRPr="0092761C">
              <w:rPr>
                <w:sz w:val="18"/>
                <w:szCs w:val="18"/>
              </w:rPr>
              <w:t>1</w:t>
            </w:r>
          </w:p>
        </w:tc>
        <w:tc>
          <w:tcPr>
            <w:tcW w:w="1037" w:type="dxa"/>
            <w:tcBorders>
              <w:top w:val="nil"/>
              <w:left w:val="nil"/>
              <w:bottom w:val="nil"/>
              <w:right w:val="nil"/>
            </w:tcBorders>
            <w:shd w:val="clear" w:color="000000" w:fill="FFFFFF"/>
            <w:vAlign w:val="center"/>
            <w:hideMark/>
          </w:tcPr>
          <w:p w14:paraId="49CA19AC" w14:textId="57A736EC" w:rsidR="002C1CA9" w:rsidRPr="0092761C" w:rsidRDefault="002C1CA9" w:rsidP="005D11BA">
            <w:pPr>
              <w:spacing w:before="40" w:after="40"/>
              <w:jc w:val="center"/>
              <w:rPr>
                <w:sz w:val="18"/>
                <w:szCs w:val="18"/>
              </w:rPr>
            </w:pPr>
            <w:r w:rsidRPr="0092761C">
              <w:rPr>
                <w:sz w:val="18"/>
                <w:szCs w:val="18"/>
              </w:rPr>
              <w:t>2</w:t>
            </w:r>
            <w:r w:rsidR="00420BD6" w:rsidRPr="0092761C">
              <w:rPr>
                <w:sz w:val="18"/>
                <w:szCs w:val="18"/>
              </w:rPr>
              <w:t>½</w:t>
            </w:r>
          </w:p>
        </w:tc>
        <w:tc>
          <w:tcPr>
            <w:tcW w:w="1037" w:type="dxa"/>
            <w:tcBorders>
              <w:top w:val="nil"/>
              <w:left w:val="nil"/>
              <w:bottom w:val="nil"/>
              <w:right w:val="nil"/>
            </w:tcBorders>
            <w:shd w:val="clear" w:color="000000" w:fill="FFFFFF"/>
            <w:vAlign w:val="center"/>
            <w:hideMark/>
          </w:tcPr>
          <w:p w14:paraId="6947BC11" w14:textId="246E19DF" w:rsidR="002C1CA9" w:rsidRPr="0092761C" w:rsidRDefault="002C1CA9" w:rsidP="005D11BA">
            <w:pPr>
              <w:spacing w:before="40" w:after="40"/>
              <w:jc w:val="center"/>
              <w:rPr>
                <w:sz w:val="18"/>
                <w:szCs w:val="18"/>
              </w:rPr>
            </w:pPr>
            <w:r w:rsidRPr="0092761C">
              <w:rPr>
                <w:sz w:val="18"/>
                <w:szCs w:val="18"/>
              </w:rPr>
              <w:t>2½</w:t>
            </w:r>
          </w:p>
        </w:tc>
        <w:tc>
          <w:tcPr>
            <w:tcW w:w="1037" w:type="dxa"/>
            <w:tcBorders>
              <w:top w:val="nil"/>
              <w:left w:val="nil"/>
              <w:bottom w:val="nil"/>
              <w:right w:val="nil"/>
            </w:tcBorders>
            <w:shd w:val="clear" w:color="000000" w:fill="FFFFFF"/>
            <w:vAlign w:val="center"/>
            <w:hideMark/>
          </w:tcPr>
          <w:p w14:paraId="0006B730" w14:textId="2EE35009" w:rsidR="002C1CA9" w:rsidRPr="0092761C" w:rsidRDefault="002C1CA9" w:rsidP="005D11BA">
            <w:pPr>
              <w:spacing w:before="40" w:after="40"/>
              <w:jc w:val="center"/>
              <w:rPr>
                <w:sz w:val="18"/>
                <w:szCs w:val="18"/>
              </w:rPr>
            </w:pPr>
            <w:r w:rsidRPr="0092761C">
              <w:rPr>
                <w:sz w:val="18"/>
                <w:szCs w:val="18"/>
              </w:rPr>
              <w:t>2¾</w:t>
            </w:r>
          </w:p>
        </w:tc>
        <w:tc>
          <w:tcPr>
            <w:tcW w:w="1117" w:type="dxa"/>
            <w:tcBorders>
              <w:top w:val="nil"/>
              <w:left w:val="nil"/>
              <w:bottom w:val="nil"/>
              <w:right w:val="nil"/>
            </w:tcBorders>
            <w:shd w:val="clear" w:color="000000" w:fill="FFFFFF"/>
            <w:vAlign w:val="center"/>
            <w:hideMark/>
          </w:tcPr>
          <w:p w14:paraId="1CAE6C34" w14:textId="50941CB0" w:rsidR="002C1CA9" w:rsidRPr="0092761C" w:rsidRDefault="002C1CA9" w:rsidP="005D11BA">
            <w:pPr>
              <w:spacing w:before="40" w:after="40"/>
              <w:jc w:val="center"/>
              <w:rPr>
                <w:sz w:val="18"/>
                <w:szCs w:val="18"/>
              </w:rPr>
            </w:pPr>
            <w:r w:rsidRPr="0092761C">
              <w:rPr>
                <w:sz w:val="18"/>
                <w:szCs w:val="18"/>
              </w:rPr>
              <w:t>3</w:t>
            </w:r>
          </w:p>
        </w:tc>
        <w:tc>
          <w:tcPr>
            <w:tcW w:w="1117" w:type="dxa"/>
            <w:tcBorders>
              <w:top w:val="nil"/>
              <w:left w:val="nil"/>
              <w:bottom w:val="nil"/>
              <w:right w:val="nil"/>
            </w:tcBorders>
            <w:shd w:val="clear" w:color="000000" w:fill="FFFFFF"/>
            <w:vAlign w:val="center"/>
            <w:hideMark/>
          </w:tcPr>
          <w:p w14:paraId="6A79D078" w14:textId="4BC60E7A" w:rsidR="002C1CA9" w:rsidRPr="0092761C" w:rsidRDefault="002C1CA9" w:rsidP="005D11BA">
            <w:pPr>
              <w:spacing w:before="40" w:after="40"/>
              <w:jc w:val="center"/>
              <w:rPr>
                <w:sz w:val="18"/>
                <w:szCs w:val="18"/>
              </w:rPr>
            </w:pPr>
            <w:r w:rsidRPr="0092761C">
              <w:rPr>
                <w:sz w:val="18"/>
                <w:szCs w:val="18"/>
              </w:rPr>
              <w:t>3</w:t>
            </w:r>
          </w:p>
        </w:tc>
      </w:tr>
      <w:tr w:rsidR="002C1CA9" w:rsidRPr="0092761C" w14:paraId="508662DA" w14:textId="77777777" w:rsidTr="005D11BA">
        <w:trPr>
          <w:trHeight w:val="80"/>
        </w:trPr>
        <w:tc>
          <w:tcPr>
            <w:tcW w:w="3544" w:type="dxa"/>
            <w:tcBorders>
              <w:top w:val="nil"/>
              <w:left w:val="nil"/>
              <w:bottom w:val="single" w:sz="8" w:space="0" w:color="auto"/>
              <w:right w:val="nil"/>
            </w:tcBorders>
            <w:shd w:val="clear" w:color="000000" w:fill="FFFFFF"/>
            <w:vAlign w:val="center"/>
            <w:hideMark/>
          </w:tcPr>
          <w:p w14:paraId="455074E3" w14:textId="302373F9" w:rsidR="002C1CA9" w:rsidRPr="0092761C" w:rsidRDefault="002C1CA9" w:rsidP="005D11BA">
            <w:pPr>
              <w:spacing w:before="40" w:after="40"/>
              <w:rPr>
                <w:sz w:val="18"/>
                <w:szCs w:val="18"/>
              </w:rPr>
            </w:pPr>
            <w:r w:rsidRPr="0092761C">
              <w:rPr>
                <w:sz w:val="18"/>
                <w:szCs w:val="18"/>
              </w:rPr>
              <w:t>Nominal gross state product (per cent)</w:t>
            </w:r>
          </w:p>
        </w:tc>
        <w:tc>
          <w:tcPr>
            <w:tcW w:w="1021" w:type="dxa"/>
            <w:tcBorders>
              <w:top w:val="nil"/>
              <w:left w:val="nil"/>
              <w:bottom w:val="single" w:sz="8" w:space="0" w:color="auto"/>
              <w:right w:val="nil"/>
            </w:tcBorders>
            <w:shd w:val="clear" w:color="000000" w:fill="FFFFFF"/>
            <w:vAlign w:val="bottom"/>
            <w:hideMark/>
          </w:tcPr>
          <w:p w14:paraId="3AA1035A" w14:textId="08264666" w:rsidR="002C1CA9" w:rsidRPr="0092761C" w:rsidRDefault="00AB7C4C" w:rsidP="005D11BA">
            <w:pPr>
              <w:spacing w:before="40" w:after="40"/>
              <w:jc w:val="center"/>
              <w:rPr>
                <w:sz w:val="18"/>
                <w:szCs w:val="18"/>
              </w:rPr>
            </w:pPr>
            <w:r w:rsidRPr="0092761C">
              <w:rPr>
                <w:sz w:val="18"/>
                <w:szCs w:val="18"/>
              </w:rPr>
              <w:t>4.5</w:t>
            </w:r>
          </w:p>
        </w:tc>
        <w:tc>
          <w:tcPr>
            <w:tcW w:w="1037" w:type="dxa"/>
            <w:tcBorders>
              <w:top w:val="nil"/>
              <w:left w:val="nil"/>
              <w:bottom w:val="single" w:sz="8" w:space="0" w:color="auto"/>
              <w:right w:val="nil"/>
            </w:tcBorders>
            <w:shd w:val="clear" w:color="000000" w:fill="FFFFFF"/>
            <w:vAlign w:val="bottom"/>
            <w:hideMark/>
          </w:tcPr>
          <w:p w14:paraId="4E0A7A32" w14:textId="3F6775FF" w:rsidR="002C1CA9" w:rsidRPr="0092761C" w:rsidRDefault="00420BD6" w:rsidP="005D11BA">
            <w:pPr>
              <w:spacing w:before="40" w:after="40"/>
              <w:jc w:val="center"/>
              <w:rPr>
                <w:sz w:val="18"/>
                <w:szCs w:val="18"/>
              </w:rPr>
            </w:pPr>
            <w:r w:rsidRPr="0092761C">
              <w:rPr>
                <w:sz w:val="18"/>
                <w:szCs w:val="18"/>
              </w:rPr>
              <w:t>3½</w:t>
            </w:r>
            <w:r w:rsidR="002C1CA9" w:rsidRPr="0092761C">
              <w:rPr>
                <w:sz w:val="18"/>
                <w:szCs w:val="18"/>
              </w:rPr>
              <w:t xml:space="preserve">   </w:t>
            </w:r>
          </w:p>
        </w:tc>
        <w:tc>
          <w:tcPr>
            <w:tcW w:w="1037" w:type="dxa"/>
            <w:tcBorders>
              <w:top w:val="nil"/>
              <w:left w:val="nil"/>
              <w:bottom w:val="single" w:sz="8" w:space="0" w:color="auto"/>
              <w:right w:val="nil"/>
            </w:tcBorders>
            <w:shd w:val="clear" w:color="000000" w:fill="FFFFFF"/>
            <w:vAlign w:val="bottom"/>
            <w:hideMark/>
          </w:tcPr>
          <w:p w14:paraId="02FEBC97" w14:textId="7F26814A" w:rsidR="002C1CA9" w:rsidRPr="0092761C" w:rsidRDefault="00420BD6" w:rsidP="005D11BA">
            <w:pPr>
              <w:spacing w:before="40" w:after="40"/>
              <w:jc w:val="center"/>
              <w:rPr>
                <w:sz w:val="18"/>
                <w:szCs w:val="18"/>
              </w:rPr>
            </w:pPr>
            <w:r w:rsidRPr="0092761C">
              <w:rPr>
                <w:sz w:val="18"/>
                <w:szCs w:val="18"/>
              </w:rPr>
              <w:t>3¾</w:t>
            </w:r>
            <w:r w:rsidR="002C1CA9" w:rsidRPr="0092761C">
              <w:rPr>
                <w:sz w:val="18"/>
                <w:szCs w:val="18"/>
              </w:rPr>
              <w:t xml:space="preserve">    </w:t>
            </w:r>
          </w:p>
        </w:tc>
        <w:tc>
          <w:tcPr>
            <w:tcW w:w="1037" w:type="dxa"/>
            <w:tcBorders>
              <w:top w:val="nil"/>
              <w:left w:val="nil"/>
              <w:bottom w:val="single" w:sz="8" w:space="0" w:color="auto"/>
              <w:right w:val="nil"/>
            </w:tcBorders>
            <w:shd w:val="clear" w:color="000000" w:fill="FFFFFF"/>
            <w:vAlign w:val="bottom"/>
            <w:hideMark/>
          </w:tcPr>
          <w:p w14:paraId="019599F7" w14:textId="63AB9A4D" w:rsidR="002C1CA9" w:rsidRPr="0092761C" w:rsidRDefault="002C1CA9" w:rsidP="005D11BA">
            <w:pPr>
              <w:spacing w:before="40" w:after="40"/>
              <w:jc w:val="center"/>
              <w:rPr>
                <w:sz w:val="18"/>
                <w:szCs w:val="18"/>
              </w:rPr>
            </w:pPr>
            <w:r w:rsidRPr="0092761C">
              <w:rPr>
                <w:sz w:val="18"/>
                <w:szCs w:val="18"/>
              </w:rPr>
              <w:t>4½</w:t>
            </w:r>
          </w:p>
        </w:tc>
        <w:tc>
          <w:tcPr>
            <w:tcW w:w="1117" w:type="dxa"/>
            <w:tcBorders>
              <w:top w:val="nil"/>
              <w:left w:val="nil"/>
              <w:bottom w:val="single" w:sz="8" w:space="0" w:color="auto"/>
              <w:right w:val="nil"/>
            </w:tcBorders>
            <w:shd w:val="clear" w:color="000000" w:fill="FFFFFF"/>
            <w:vAlign w:val="bottom"/>
            <w:hideMark/>
          </w:tcPr>
          <w:p w14:paraId="6340598B" w14:textId="033AE2EE" w:rsidR="002C1CA9" w:rsidRPr="0092761C" w:rsidRDefault="00420BD6" w:rsidP="005D11BA">
            <w:pPr>
              <w:spacing w:before="40" w:after="40"/>
              <w:jc w:val="center"/>
              <w:rPr>
                <w:sz w:val="18"/>
                <w:szCs w:val="18"/>
              </w:rPr>
            </w:pPr>
            <w:r w:rsidRPr="0092761C">
              <w:rPr>
                <w:sz w:val="18"/>
                <w:szCs w:val="18"/>
              </w:rPr>
              <w:t>4¾</w:t>
            </w:r>
          </w:p>
        </w:tc>
        <w:tc>
          <w:tcPr>
            <w:tcW w:w="1117" w:type="dxa"/>
            <w:tcBorders>
              <w:top w:val="nil"/>
              <w:left w:val="nil"/>
              <w:bottom w:val="single" w:sz="8" w:space="0" w:color="auto"/>
              <w:right w:val="nil"/>
            </w:tcBorders>
            <w:shd w:val="clear" w:color="000000" w:fill="FFFFFF"/>
            <w:vAlign w:val="bottom"/>
            <w:hideMark/>
          </w:tcPr>
          <w:p w14:paraId="36B81EE7" w14:textId="6A169F02" w:rsidR="002C1CA9" w:rsidRPr="0092761C" w:rsidRDefault="002C1CA9" w:rsidP="005D11BA">
            <w:pPr>
              <w:spacing w:before="40" w:after="40"/>
              <w:jc w:val="center"/>
              <w:rPr>
                <w:sz w:val="18"/>
                <w:szCs w:val="18"/>
              </w:rPr>
            </w:pPr>
            <w:r w:rsidRPr="0092761C">
              <w:rPr>
                <w:sz w:val="18"/>
                <w:szCs w:val="18"/>
              </w:rPr>
              <w:t xml:space="preserve">5    </w:t>
            </w:r>
          </w:p>
        </w:tc>
      </w:tr>
    </w:tbl>
    <w:p w14:paraId="4E8B245B" w14:textId="77777777" w:rsidR="0023426B" w:rsidRPr="0092761C" w:rsidRDefault="0023426B" w:rsidP="007B1632">
      <w:pPr>
        <w:rPr>
          <w:sz w:val="6"/>
          <w:szCs w:val="6"/>
        </w:rPr>
      </w:pPr>
    </w:p>
    <w:p w14:paraId="4AFE84C2" w14:textId="4D461FDD" w:rsidR="005131ED" w:rsidRPr="0092761C" w:rsidRDefault="005131ED" w:rsidP="00BF7B2E">
      <w:pPr>
        <w:pStyle w:val="ListParagraph"/>
        <w:numPr>
          <w:ilvl w:val="0"/>
          <w:numId w:val="1"/>
        </w:numPr>
        <w:ind w:left="357" w:hanging="357"/>
        <w:contextualSpacing w:val="0"/>
        <w:rPr>
          <w:sz w:val="17"/>
          <w:szCs w:val="17"/>
        </w:rPr>
      </w:pPr>
      <w:r w:rsidRPr="0092761C">
        <w:rPr>
          <w:sz w:val="17"/>
          <w:szCs w:val="17"/>
        </w:rPr>
        <w:t>Per cent change, year average, unless otherwise indicated</w:t>
      </w:r>
      <w:r w:rsidR="00013BF2" w:rsidRPr="0092761C">
        <w:rPr>
          <w:sz w:val="17"/>
          <w:szCs w:val="17"/>
        </w:rPr>
        <w:t>.</w:t>
      </w:r>
    </w:p>
    <w:p w14:paraId="2137EE2E" w14:textId="1FE144A3" w:rsidR="00126F84" w:rsidRPr="0092761C" w:rsidRDefault="00126F84" w:rsidP="00BF7B2E">
      <w:pPr>
        <w:pStyle w:val="ListParagraph"/>
        <w:numPr>
          <w:ilvl w:val="0"/>
          <w:numId w:val="1"/>
        </w:numPr>
        <w:ind w:left="357" w:hanging="357"/>
        <w:contextualSpacing w:val="0"/>
        <w:rPr>
          <w:sz w:val="17"/>
          <w:szCs w:val="17"/>
        </w:rPr>
      </w:pPr>
      <w:r w:rsidRPr="0092761C">
        <w:rPr>
          <w:sz w:val="17"/>
          <w:szCs w:val="17"/>
        </w:rPr>
        <w:t>As at 30 June each year</w:t>
      </w:r>
      <w:r w:rsidR="00013BF2" w:rsidRPr="0092761C">
        <w:rPr>
          <w:sz w:val="17"/>
          <w:szCs w:val="17"/>
        </w:rPr>
        <w:t>.</w:t>
      </w:r>
    </w:p>
    <w:p w14:paraId="79B91D2B" w14:textId="0A79DF26" w:rsidR="005131ED" w:rsidRPr="0092761C" w:rsidRDefault="005131ED" w:rsidP="00BF7B2E">
      <w:pPr>
        <w:pStyle w:val="ListParagraph"/>
        <w:numPr>
          <w:ilvl w:val="0"/>
          <w:numId w:val="1"/>
        </w:numPr>
        <w:ind w:left="357" w:hanging="357"/>
        <w:contextualSpacing w:val="0"/>
        <w:rPr>
          <w:sz w:val="17"/>
          <w:szCs w:val="17"/>
        </w:rPr>
      </w:pPr>
      <w:r w:rsidRPr="0092761C">
        <w:rPr>
          <w:sz w:val="17"/>
          <w:szCs w:val="17"/>
        </w:rPr>
        <w:t>Year average, per cent</w:t>
      </w:r>
      <w:r w:rsidR="00013BF2" w:rsidRPr="0092761C">
        <w:rPr>
          <w:sz w:val="17"/>
          <w:szCs w:val="17"/>
        </w:rPr>
        <w:t>.</w:t>
      </w:r>
    </w:p>
    <w:p w14:paraId="40CF8206" w14:textId="49799017" w:rsidR="003079D8" w:rsidRPr="0092761C" w:rsidRDefault="00107D9C" w:rsidP="00BF7B2E">
      <w:pPr>
        <w:pStyle w:val="ListParagraph"/>
        <w:numPr>
          <w:ilvl w:val="0"/>
          <w:numId w:val="1"/>
        </w:numPr>
        <w:ind w:left="357" w:hanging="357"/>
        <w:contextualSpacing w:val="0"/>
        <w:rPr>
          <w:sz w:val="17"/>
          <w:szCs w:val="17"/>
        </w:rPr>
      </w:pPr>
      <w:r w:rsidRPr="0092761C">
        <w:rPr>
          <w:sz w:val="17"/>
          <w:szCs w:val="17"/>
        </w:rPr>
        <w:t>201</w:t>
      </w:r>
      <w:r>
        <w:rPr>
          <w:sz w:val="17"/>
          <w:szCs w:val="17"/>
        </w:rPr>
        <w:t>7</w:t>
      </w:r>
      <w:r w:rsidR="003079D8" w:rsidRPr="0092761C">
        <w:rPr>
          <w:sz w:val="17"/>
          <w:szCs w:val="17"/>
        </w:rPr>
        <w:t>-</w:t>
      </w:r>
      <w:r w:rsidR="00C819F4" w:rsidRPr="0092761C">
        <w:rPr>
          <w:sz w:val="17"/>
          <w:szCs w:val="17"/>
        </w:rPr>
        <w:t>1</w:t>
      </w:r>
      <w:r>
        <w:rPr>
          <w:sz w:val="17"/>
          <w:szCs w:val="17"/>
        </w:rPr>
        <w:t>8</w:t>
      </w:r>
      <w:r w:rsidR="00C819F4" w:rsidRPr="0092761C">
        <w:rPr>
          <w:sz w:val="17"/>
          <w:szCs w:val="17"/>
        </w:rPr>
        <w:t xml:space="preserve"> </w:t>
      </w:r>
      <w:r w:rsidR="003079D8" w:rsidRPr="0092761C">
        <w:rPr>
          <w:sz w:val="17"/>
          <w:szCs w:val="17"/>
        </w:rPr>
        <w:t xml:space="preserve">to </w:t>
      </w:r>
      <w:r w:rsidR="009D2D56" w:rsidRPr="0092761C">
        <w:rPr>
          <w:sz w:val="17"/>
          <w:szCs w:val="17"/>
        </w:rPr>
        <w:t>202</w:t>
      </w:r>
      <w:r w:rsidR="009D2D56">
        <w:rPr>
          <w:sz w:val="17"/>
          <w:szCs w:val="17"/>
        </w:rPr>
        <w:t>0</w:t>
      </w:r>
      <w:r w:rsidR="0015527F" w:rsidRPr="0092761C">
        <w:rPr>
          <w:sz w:val="17"/>
          <w:szCs w:val="17"/>
        </w:rPr>
        <w:t>-</w:t>
      </w:r>
      <w:r w:rsidR="009D2D56" w:rsidRPr="0092761C">
        <w:rPr>
          <w:sz w:val="17"/>
          <w:szCs w:val="17"/>
        </w:rPr>
        <w:t>2</w:t>
      </w:r>
      <w:r w:rsidR="009D2D56">
        <w:rPr>
          <w:sz w:val="17"/>
          <w:szCs w:val="17"/>
        </w:rPr>
        <w:t>1</w:t>
      </w:r>
      <w:r w:rsidR="009D2D56" w:rsidRPr="0092761C">
        <w:rPr>
          <w:sz w:val="17"/>
          <w:szCs w:val="17"/>
        </w:rPr>
        <w:t xml:space="preserve"> </w:t>
      </w:r>
      <w:r w:rsidR="003079D8" w:rsidRPr="0092761C">
        <w:rPr>
          <w:sz w:val="17"/>
          <w:szCs w:val="17"/>
        </w:rPr>
        <w:t>excludes ¼ percentage point from tobacco excise increases.</w:t>
      </w:r>
    </w:p>
    <w:p w14:paraId="346CDAD8" w14:textId="10CB1CD9" w:rsidR="00DD260C" w:rsidRPr="008833AE" w:rsidRDefault="00DD260C" w:rsidP="00BF7B2E">
      <w:pPr>
        <w:pStyle w:val="ListParagraph"/>
        <w:numPr>
          <w:ilvl w:val="0"/>
          <w:numId w:val="1"/>
        </w:numPr>
        <w:ind w:left="357" w:hanging="357"/>
        <w:contextualSpacing w:val="0"/>
        <w:rPr>
          <w:sz w:val="17"/>
          <w:szCs w:val="17"/>
        </w:rPr>
      </w:pPr>
      <w:r w:rsidRPr="008833AE">
        <w:rPr>
          <w:sz w:val="17"/>
          <w:szCs w:val="17"/>
        </w:rPr>
        <w:t>Weighted private and public sector wages</w:t>
      </w:r>
      <w:r w:rsidR="00013BF2" w:rsidRPr="008833AE">
        <w:rPr>
          <w:sz w:val="17"/>
          <w:szCs w:val="17"/>
        </w:rPr>
        <w:t>.</w:t>
      </w:r>
    </w:p>
    <w:p w14:paraId="5D534977" w14:textId="77777777" w:rsidR="005131ED" w:rsidRPr="008833AE" w:rsidRDefault="005131ED" w:rsidP="005D11BA">
      <w:pPr>
        <w:spacing w:before="40"/>
        <w:rPr>
          <w:i/>
          <w:sz w:val="17"/>
          <w:szCs w:val="17"/>
        </w:rPr>
      </w:pPr>
      <w:r w:rsidRPr="008833AE">
        <w:rPr>
          <w:i/>
          <w:sz w:val="17"/>
          <w:szCs w:val="17"/>
        </w:rPr>
        <w:t xml:space="preserve">Source: ABS </w:t>
      </w:r>
      <w:r w:rsidR="00052892" w:rsidRPr="008833AE">
        <w:rPr>
          <w:i/>
          <w:sz w:val="17"/>
          <w:szCs w:val="17"/>
        </w:rPr>
        <w:t xml:space="preserve">3101.0, </w:t>
      </w:r>
      <w:r w:rsidRPr="008833AE">
        <w:rPr>
          <w:i/>
          <w:sz w:val="17"/>
          <w:szCs w:val="17"/>
        </w:rPr>
        <w:t>5206.0, 5220.0, 6202.0, 6401.0, 6345.0 and Treasury</w:t>
      </w:r>
    </w:p>
    <w:p w14:paraId="5F363D22" w14:textId="77777777" w:rsidR="008E628F" w:rsidRPr="008833AE" w:rsidRDefault="008E628F" w:rsidP="00B344BA">
      <w:pPr>
        <w:pStyle w:val="Heading3"/>
        <w:rPr>
          <w:rFonts w:ascii="Arial" w:hAnsi="Arial" w:cs="Arial"/>
        </w:rPr>
      </w:pPr>
      <w:r w:rsidRPr="008833AE">
        <w:rPr>
          <w:rFonts w:ascii="Arial" w:hAnsi="Arial" w:cs="Arial"/>
        </w:rPr>
        <w:lastRenderedPageBreak/>
        <w:t xml:space="preserve">Summary of </w:t>
      </w:r>
      <w:r w:rsidR="008E3211" w:rsidRPr="008833AE">
        <w:rPr>
          <w:rFonts w:ascii="Arial" w:hAnsi="Arial" w:cs="Arial"/>
        </w:rPr>
        <w:t>o</w:t>
      </w:r>
      <w:r w:rsidRPr="008833AE">
        <w:rPr>
          <w:rFonts w:ascii="Arial" w:hAnsi="Arial" w:cs="Arial"/>
        </w:rPr>
        <w:t xml:space="preserve">ther </w:t>
      </w:r>
      <w:r w:rsidR="008E3211" w:rsidRPr="008833AE">
        <w:rPr>
          <w:rFonts w:ascii="Arial" w:hAnsi="Arial" w:cs="Arial"/>
        </w:rPr>
        <w:t>k</w:t>
      </w:r>
      <w:r w:rsidRPr="008833AE">
        <w:rPr>
          <w:rFonts w:ascii="Arial" w:hAnsi="Arial" w:cs="Arial"/>
        </w:rPr>
        <w:t xml:space="preserve">ey </w:t>
      </w:r>
      <w:r w:rsidR="008E3211" w:rsidRPr="008833AE">
        <w:rPr>
          <w:rFonts w:ascii="Arial" w:hAnsi="Arial" w:cs="Arial"/>
        </w:rPr>
        <w:t>a</w:t>
      </w:r>
      <w:r w:rsidRPr="008833AE">
        <w:rPr>
          <w:rFonts w:ascii="Arial" w:hAnsi="Arial" w:cs="Arial"/>
        </w:rPr>
        <w:t>ssumptions</w:t>
      </w:r>
    </w:p>
    <w:p w14:paraId="3ED43890" w14:textId="77777777" w:rsidR="00437D43" w:rsidRPr="008833AE" w:rsidRDefault="00437D43" w:rsidP="00AD1127">
      <w:pPr>
        <w:pStyle w:val="BodyText"/>
      </w:pPr>
      <w:r w:rsidRPr="008833AE">
        <w:t xml:space="preserve">The following section outlines the other key assumptions used in the preparation of the Estimated Financial Statements. The summary </w:t>
      </w:r>
      <w:proofErr w:type="gramStart"/>
      <w:r w:rsidRPr="008833AE">
        <w:t>takes into account</w:t>
      </w:r>
      <w:proofErr w:type="gramEnd"/>
      <w:r w:rsidRPr="008833AE">
        <w:t xml:space="preserve"> materiality in relation to the </w:t>
      </w:r>
      <w:r w:rsidR="00FF3BD7" w:rsidRPr="008833AE">
        <w:t>GGS</w:t>
      </w:r>
      <w:r w:rsidRPr="008833AE">
        <w:t xml:space="preserve">’s overall financial position and sensitivity to changes in key economic assumptions.  </w:t>
      </w:r>
    </w:p>
    <w:p w14:paraId="6E8AC5C6" w14:textId="77777777" w:rsidR="00F71781" w:rsidRPr="008833AE" w:rsidRDefault="00437D43" w:rsidP="00AD1127">
      <w:pPr>
        <w:pStyle w:val="BodyText"/>
        <w:rPr>
          <w:rFonts w:eastAsia="Arial Unicode MS"/>
          <w:b/>
          <w:kern w:val="28"/>
          <w:szCs w:val="36"/>
        </w:rPr>
      </w:pPr>
      <w:r w:rsidRPr="008833AE">
        <w:t>Notwithstanding these key assumptions, agency finance officers apply appropriate professional judgement in determining estimated financial information.</w:t>
      </w:r>
    </w:p>
    <w:p w14:paraId="5CD2387C" w14:textId="3F3C8795" w:rsidR="00437D43" w:rsidRPr="008833AE" w:rsidRDefault="00437D43" w:rsidP="006A6BBE">
      <w:pPr>
        <w:pStyle w:val="Heading3"/>
        <w:rPr>
          <w:rFonts w:ascii="Arial" w:hAnsi="Arial" w:cs="Arial"/>
        </w:rPr>
      </w:pPr>
      <w:r w:rsidRPr="008833AE">
        <w:rPr>
          <w:rFonts w:ascii="Arial" w:hAnsi="Arial" w:cs="Arial"/>
        </w:rPr>
        <w:t xml:space="preserve">Revenue from </w:t>
      </w:r>
      <w:r w:rsidR="008E3211" w:rsidRPr="008833AE">
        <w:rPr>
          <w:rFonts w:ascii="Arial" w:hAnsi="Arial" w:cs="Arial"/>
        </w:rPr>
        <w:t>t</w:t>
      </w:r>
      <w:r w:rsidRPr="008833AE">
        <w:rPr>
          <w:rFonts w:ascii="Arial" w:hAnsi="Arial" w:cs="Arial"/>
        </w:rPr>
        <w:t>ransactions</w:t>
      </w:r>
    </w:p>
    <w:p w14:paraId="07CDDB1F" w14:textId="77777777" w:rsidR="00437D43" w:rsidRPr="008833AE" w:rsidRDefault="00437D43" w:rsidP="00461E92">
      <w:pPr>
        <w:pStyle w:val="Heading4"/>
        <w:rPr>
          <w:rFonts w:ascii="Arial" w:hAnsi="Arial" w:cs="Arial"/>
          <w:lang w:eastAsia="en-AU"/>
        </w:rPr>
      </w:pPr>
      <w:r w:rsidRPr="008833AE">
        <w:rPr>
          <w:rFonts w:ascii="Arial" w:hAnsi="Arial" w:cs="Arial"/>
          <w:lang w:eastAsia="en-AU"/>
        </w:rPr>
        <w:t>Taxation</w:t>
      </w:r>
      <w:r w:rsidR="0093471C" w:rsidRPr="008833AE">
        <w:rPr>
          <w:rFonts w:ascii="Arial" w:hAnsi="Arial" w:cs="Arial"/>
          <w:lang w:eastAsia="en-AU"/>
        </w:rPr>
        <w:t xml:space="preserve"> </w:t>
      </w:r>
    </w:p>
    <w:p w14:paraId="7F5BE137" w14:textId="57999B5F" w:rsidR="00437D43" w:rsidRPr="008833AE" w:rsidRDefault="00437D43" w:rsidP="00AD1127">
      <w:pPr>
        <w:pStyle w:val="BodyText"/>
      </w:pPr>
      <w:r w:rsidRPr="008833AE">
        <w:t xml:space="preserve">Taxation revenue is forecast by assessing economic and other factors that influence the various taxation bases. </w:t>
      </w:r>
      <w:r w:rsidR="00C50B55" w:rsidRPr="008833AE">
        <w:t>Payroll tax, f</w:t>
      </w:r>
      <w:r w:rsidRPr="008833AE">
        <w:t xml:space="preserve">or example, involves an assessment of the outlook for employment and wages. Forecasts of government </w:t>
      </w:r>
      <w:r w:rsidR="00B0321F" w:rsidRPr="008833AE">
        <w:t xml:space="preserve">debt </w:t>
      </w:r>
      <w:r w:rsidRPr="008833AE">
        <w:t xml:space="preserve">guarantee fees </w:t>
      </w:r>
      <w:proofErr w:type="gramStart"/>
      <w:r w:rsidRPr="008833AE">
        <w:t>take into account</w:t>
      </w:r>
      <w:proofErr w:type="gramEnd"/>
      <w:r w:rsidRPr="008833AE">
        <w:t xml:space="preserve"> an assessment of the level of debt of </w:t>
      </w:r>
      <w:r w:rsidR="00B517A0" w:rsidRPr="008833AE">
        <w:t xml:space="preserve">Public Non-Financial Corporations (PNFC) </w:t>
      </w:r>
      <w:r w:rsidRPr="008833AE">
        <w:t>and their credit rating differential compared with the State as a whole. The forecasts of taxation revenue also involve the analysis of historical information and relationships (using econometric and other statistical methods)</w:t>
      </w:r>
      <w:r w:rsidR="002D3196" w:rsidRPr="008833AE">
        <w:t>,</w:t>
      </w:r>
      <w:r w:rsidRPr="008833AE">
        <w:t xml:space="preserve"> and consultation with relevant government agencies.</w:t>
      </w:r>
    </w:p>
    <w:p w14:paraId="02DBFA96" w14:textId="77777777" w:rsidR="00437D43" w:rsidRPr="008833AE" w:rsidRDefault="00437D43" w:rsidP="00461E92">
      <w:pPr>
        <w:pStyle w:val="Heading4"/>
        <w:keepNext/>
        <w:rPr>
          <w:rFonts w:ascii="Arial" w:hAnsi="Arial" w:cs="Arial"/>
          <w:lang w:eastAsia="en-AU"/>
        </w:rPr>
      </w:pPr>
      <w:r w:rsidRPr="008833AE">
        <w:rPr>
          <w:rFonts w:ascii="Arial" w:hAnsi="Arial" w:cs="Arial"/>
          <w:lang w:eastAsia="en-AU"/>
        </w:rPr>
        <w:t xml:space="preserve">Grants </w:t>
      </w:r>
      <w:r w:rsidR="00436762" w:rsidRPr="008833AE">
        <w:rPr>
          <w:rFonts w:ascii="Arial" w:hAnsi="Arial" w:cs="Arial"/>
          <w:lang w:eastAsia="en-AU"/>
        </w:rPr>
        <w:t xml:space="preserve">and subsidies </w:t>
      </w:r>
      <w:r w:rsidRPr="008833AE">
        <w:rPr>
          <w:rFonts w:ascii="Arial" w:hAnsi="Arial" w:cs="Arial"/>
          <w:lang w:eastAsia="en-AU"/>
        </w:rPr>
        <w:t>revenue</w:t>
      </w:r>
    </w:p>
    <w:p w14:paraId="4C290CDB" w14:textId="241F572B" w:rsidR="00437D43" w:rsidRPr="008833AE" w:rsidRDefault="00437D43" w:rsidP="00AD1127">
      <w:pPr>
        <w:pStyle w:val="BodyText"/>
      </w:pPr>
      <w:r w:rsidRPr="008833AE">
        <w:t xml:space="preserve">Forecast grants from the </w:t>
      </w:r>
      <w:r w:rsidR="0038623D" w:rsidRPr="008833AE">
        <w:t>Commonwealth Government</w:t>
      </w:r>
      <w:r w:rsidRPr="008833AE">
        <w:t xml:space="preserve"> are based on the latest available information from the </w:t>
      </w:r>
      <w:r w:rsidR="0038623D" w:rsidRPr="008833AE">
        <w:t>Commonwealth Government</w:t>
      </w:r>
      <w:r w:rsidRPr="008833AE">
        <w:t xml:space="preserve"> and projections of timing of payments at the time of preparation of the Budget. This </w:t>
      </w:r>
      <w:proofErr w:type="gramStart"/>
      <w:r w:rsidRPr="008833AE">
        <w:t>takes into account</w:t>
      </w:r>
      <w:proofErr w:type="gramEnd"/>
      <w:r w:rsidRPr="008833AE">
        <w:t xml:space="preserve"> the conditions, payment timetable and escalation factors relevant to each type of grant.</w:t>
      </w:r>
    </w:p>
    <w:p w14:paraId="03B4A83E" w14:textId="3AEA5D42" w:rsidR="009B6C84" w:rsidRPr="008833AE" w:rsidRDefault="009B6C84" w:rsidP="00AD1127">
      <w:pPr>
        <w:pStyle w:val="BodyText"/>
      </w:pPr>
      <w:r w:rsidRPr="008833AE">
        <w:t>The adoption of AASB 1058 from 2019-20</w:t>
      </w:r>
      <w:r w:rsidR="00A625EB" w:rsidRPr="008833AE">
        <w:t xml:space="preserve"> onwards</w:t>
      </w:r>
      <w:r w:rsidRPr="008833AE">
        <w:t xml:space="preserve"> result</w:t>
      </w:r>
      <w:r w:rsidR="001530AE">
        <w:t>s</w:t>
      </w:r>
      <w:r w:rsidRPr="008833AE">
        <w:t xml:space="preserve"> </w:t>
      </w:r>
      <w:r w:rsidR="00FA177C" w:rsidRPr="008833AE">
        <w:t>in</w:t>
      </w:r>
      <w:r w:rsidRPr="008833AE">
        <w:t xml:space="preserve"> changes </w:t>
      </w:r>
      <w:r w:rsidR="00FA177C" w:rsidRPr="008833AE">
        <w:t>to</w:t>
      </w:r>
      <w:r w:rsidRPr="008833AE">
        <w:t xml:space="preserve"> estimates</w:t>
      </w:r>
      <w:r w:rsidR="00FA177C" w:rsidRPr="008833AE">
        <w:t>,</w:t>
      </w:r>
      <w:r w:rsidRPr="008833AE">
        <w:t xml:space="preserve"> as revenue recognition on certain grants with specific performance obligations </w:t>
      </w:r>
      <w:r w:rsidR="00FA177C" w:rsidRPr="008833AE">
        <w:t xml:space="preserve">are </w:t>
      </w:r>
      <w:r w:rsidRPr="008833AE">
        <w:t xml:space="preserve">aligned with the timing of the completion of the related performance obligations. </w:t>
      </w:r>
      <w:r w:rsidR="00FA177C" w:rsidRPr="008833AE">
        <w:t xml:space="preserve">For further </w:t>
      </w:r>
      <w:r w:rsidR="001E6301" w:rsidRPr="008833AE">
        <w:t>details,</w:t>
      </w:r>
      <w:r w:rsidR="00FA177C" w:rsidRPr="008833AE">
        <w:t xml:space="preserve"> r</w:t>
      </w:r>
      <w:r w:rsidRPr="008833AE">
        <w:t xml:space="preserve">efer to </w:t>
      </w:r>
      <w:r w:rsidRPr="008833AE">
        <w:rPr>
          <w:i/>
        </w:rPr>
        <w:t>Changes in accounting policies</w:t>
      </w:r>
      <w:r w:rsidRPr="008833AE">
        <w:t>.</w:t>
      </w:r>
    </w:p>
    <w:p w14:paraId="5DDF0886" w14:textId="4C088D55" w:rsidR="00437D43" w:rsidRPr="008833AE" w:rsidRDefault="00437D43" w:rsidP="00AD1127">
      <w:pPr>
        <w:pStyle w:val="BodyText"/>
      </w:pPr>
      <w:r w:rsidRPr="008833AE">
        <w:t xml:space="preserve">Goods and Services Tax (GST) grants are forecast based on estimates of the national GST pool by the </w:t>
      </w:r>
      <w:r w:rsidR="0038623D" w:rsidRPr="008833AE">
        <w:t>Commonwealth Government</w:t>
      </w:r>
      <w:r w:rsidRPr="008833AE">
        <w:t xml:space="preserve">. For </w:t>
      </w:r>
      <w:r w:rsidR="0015527F" w:rsidRPr="008833AE">
        <w:t>2019-20</w:t>
      </w:r>
      <w:r w:rsidRPr="008833AE">
        <w:t xml:space="preserve">, the GST forecast is based on the assessed relativity for New South Wales in </w:t>
      </w:r>
      <w:r w:rsidR="0015527F" w:rsidRPr="008833AE">
        <w:t>2019-20</w:t>
      </w:r>
      <w:r w:rsidR="005A0E87" w:rsidRPr="008833AE">
        <w:t xml:space="preserve"> </w:t>
      </w:r>
      <w:r w:rsidRPr="008833AE">
        <w:t xml:space="preserve">and the </w:t>
      </w:r>
      <w:r w:rsidR="001530AE">
        <w:t>Treasury</w:t>
      </w:r>
      <w:r w:rsidRPr="008833AE">
        <w:t>’s population projections. The assessed relativ</w:t>
      </w:r>
      <w:r w:rsidR="00F55F87" w:rsidRPr="008833AE">
        <w:t>it</w:t>
      </w:r>
      <w:r w:rsidRPr="008833AE">
        <w:t xml:space="preserve">y is </w:t>
      </w:r>
      <w:r w:rsidR="00C83B8C" w:rsidRPr="008833AE">
        <w:t>based on the three-year average of actual data (</w:t>
      </w:r>
      <w:r w:rsidR="00C819F4" w:rsidRPr="008833AE">
        <w:t>2015</w:t>
      </w:r>
      <w:r w:rsidR="00C83B8C" w:rsidRPr="008833AE">
        <w:t>-</w:t>
      </w:r>
      <w:r w:rsidR="00C819F4" w:rsidRPr="008833AE">
        <w:t>16</w:t>
      </w:r>
      <w:r w:rsidR="00C83B8C" w:rsidRPr="008833AE">
        <w:t xml:space="preserve">, </w:t>
      </w:r>
      <w:r w:rsidR="00C819F4" w:rsidRPr="008833AE">
        <w:t>2016</w:t>
      </w:r>
      <w:r w:rsidR="00C83B8C" w:rsidRPr="008833AE">
        <w:t>-</w:t>
      </w:r>
      <w:r w:rsidR="00C819F4" w:rsidRPr="008833AE">
        <w:t xml:space="preserve">17 </w:t>
      </w:r>
      <w:r w:rsidR="00C83B8C" w:rsidRPr="008833AE">
        <w:t xml:space="preserve">and </w:t>
      </w:r>
      <w:r w:rsidR="00C819F4" w:rsidRPr="008833AE">
        <w:t>2017</w:t>
      </w:r>
      <w:r w:rsidR="00C83B8C" w:rsidRPr="008833AE">
        <w:t>-</w:t>
      </w:r>
      <w:r w:rsidR="00C819F4" w:rsidRPr="008833AE">
        <w:t>18</w:t>
      </w:r>
      <w:r w:rsidR="00C83B8C" w:rsidRPr="008833AE">
        <w:t>) as published by the Commonwealth Grants Commission</w:t>
      </w:r>
      <w:r w:rsidRPr="008833AE">
        <w:t>.</w:t>
      </w:r>
    </w:p>
    <w:p w14:paraId="5056DACA" w14:textId="3CD1A781" w:rsidR="00437D43" w:rsidRPr="008833AE" w:rsidRDefault="00C83B8C" w:rsidP="00AD1127">
      <w:pPr>
        <w:pStyle w:val="BodyText"/>
      </w:pPr>
      <w:r w:rsidRPr="008833AE">
        <w:t xml:space="preserve">Beyond </w:t>
      </w:r>
      <w:r w:rsidR="0015527F" w:rsidRPr="008833AE">
        <w:t>2019-20</w:t>
      </w:r>
      <w:r w:rsidRPr="008833AE">
        <w:t xml:space="preserve">, the State’s share </w:t>
      </w:r>
      <w:r w:rsidR="00B0321F" w:rsidRPr="008833AE">
        <w:t xml:space="preserve">of GST </w:t>
      </w:r>
      <w:r w:rsidRPr="008833AE">
        <w:t xml:space="preserve">is based on </w:t>
      </w:r>
      <w:r w:rsidR="002D49DE" w:rsidRPr="008833AE">
        <w:t xml:space="preserve">New South Wales </w:t>
      </w:r>
      <w:r w:rsidR="00BA37B3">
        <w:t xml:space="preserve">Treasury’s </w:t>
      </w:r>
      <w:r w:rsidRPr="008833AE">
        <w:t>forecast relativities</w:t>
      </w:r>
      <w:r w:rsidR="00BA37B3">
        <w:t xml:space="preserve">, </w:t>
      </w:r>
      <w:r w:rsidR="002D7699">
        <w:t>s</w:t>
      </w:r>
      <w:r w:rsidR="00BA37B3">
        <w:t>tate populations</w:t>
      </w:r>
      <w:r w:rsidRPr="008833AE">
        <w:t xml:space="preserve"> and</w:t>
      </w:r>
      <w:r w:rsidR="00437D43" w:rsidRPr="008833AE">
        <w:t xml:space="preserve"> the </w:t>
      </w:r>
      <w:r w:rsidR="0038623D" w:rsidRPr="008833AE">
        <w:t>Commonwealth</w:t>
      </w:r>
      <w:r w:rsidRPr="008833AE">
        <w:t>’s</w:t>
      </w:r>
      <w:r w:rsidR="00437D43" w:rsidRPr="008833AE">
        <w:t xml:space="preserve"> GST pool </w:t>
      </w:r>
      <w:r w:rsidR="000A4302">
        <w:t>estimates</w:t>
      </w:r>
      <w:r w:rsidR="00437D43" w:rsidRPr="008833AE">
        <w:t xml:space="preserve">. The forecast per capita annual relativities are based on the </w:t>
      </w:r>
      <w:r w:rsidR="00B0321F" w:rsidRPr="008833AE">
        <w:t xml:space="preserve">projected </w:t>
      </w:r>
      <w:r w:rsidR="00437D43" w:rsidRPr="008833AE">
        <w:t xml:space="preserve">fiscal capacity of New South Wales compared </w:t>
      </w:r>
      <w:r w:rsidR="00C54621" w:rsidRPr="008833AE">
        <w:t xml:space="preserve">with </w:t>
      </w:r>
      <w:r w:rsidR="00437D43" w:rsidRPr="008833AE">
        <w:t xml:space="preserve">other </w:t>
      </w:r>
      <w:r w:rsidR="00C54621" w:rsidRPr="008833AE">
        <w:t xml:space="preserve">states </w:t>
      </w:r>
      <w:r w:rsidR="00437D43" w:rsidRPr="008833AE">
        <w:t xml:space="preserve">and </w:t>
      </w:r>
      <w:r w:rsidR="00C54621" w:rsidRPr="008833AE">
        <w:t>territories</w:t>
      </w:r>
      <w:r w:rsidR="00437D43" w:rsidRPr="008833AE">
        <w:t>.</w:t>
      </w:r>
    </w:p>
    <w:p w14:paraId="2F14569E" w14:textId="77777777" w:rsidR="00437D43" w:rsidRPr="008833AE" w:rsidRDefault="00437D43" w:rsidP="00A653C1">
      <w:pPr>
        <w:pStyle w:val="Heading4"/>
        <w:spacing w:before="300" w:after="80"/>
        <w:rPr>
          <w:rFonts w:ascii="Arial" w:hAnsi="Arial" w:cs="Arial"/>
          <w:lang w:eastAsia="en-AU"/>
        </w:rPr>
      </w:pPr>
      <w:r w:rsidRPr="008833AE">
        <w:rPr>
          <w:rFonts w:ascii="Arial" w:hAnsi="Arial" w:cs="Arial"/>
          <w:lang w:eastAsia="en-AU"/>
        </w:rPr>
        <w:t>Sale of goods and services</w:t>
      </w:r>
    </w:p>
    <w:p w14:paraId="24C476A4" w14:textId="77777777" w:rsidR="00FB6B60" w:rsidRPr="008833AE" w:rsidRDefault="00437D43" w:rsidP="00AD1127">
      <w:pPr>
        <w:pStyle w:val="BodyText"/>
      </w:pPr>
      <w:r w:rsidRPr="008833AE">
        <w:t xml:space="preserve">Revenue from the sale of goods and services is forecast </w:t>
      </w:r>
      <w:r w:rsidR="00FF3BD7" w:rsidRPr="008833AE">
        <w:t xml:space="preserve">by </w:t>
      </w:r>
      <w:proofErr w:type="gramStart"/>
      <w:r w:rsidRPr="008833AE">
        <w:t>taking into account</w:t>
      </w:r>
      <w:proofErr w:type="gramEnd"/>
      <w:r w:rsidRPr="008833AE">
        <w:t xml:space="preserve"> </w:t>
      </w:r>
      <w:r w:rsidR="00CE45E3" w:rsidRPr="008833AE">
        <w:t xml:space="preserve">all known </w:t>
      </w:r>
      <w:r w:rsidRPr="008833AE">
        <w:t>factors</w:t>
      </w:r>
      <w:r w:rsidR="00B0321F" w:rsidRPr="008833AE">
        <w:t>,</w:t>
      </w:r>
      <w:r w:rsidRPr="008833AE">
        <w:t xml:space="preserve"> including</w:t>
      </w:r>
      <w:r w:rsidR="00FB6B60" w:rsidRPr="008833AE">
        <w:t>:</w:t>
      </w:r>
    </w:p>
    <w:p w14:paraId="4EA0486E" w14:textId="3F4A997A" w:rsidR="00FB6B60" w:rsidRPr="008833AE" w:rsidRDefault="00437D43" w:rsidP="009B2AA3">
      <w:pPr>
        <w:pStyle w:val="BodyText"/>
        <w:numPr>
          <w:ilvl w:val="0"/>
          <w:numId w:val="39"/>
        </w:numPr>
        <w:ind w:left="426" w:hanging="426"/>
      </w:pPr>
      <w:r w:rsidRPr="008833AE">
        <w:t>estimates of changes in demand for services provided</w:t>
      </w:r>
    </w:p>
    <w:p w14:paraId="3A4BC011" w14:textId="2BEEAB79" w:rsidR="00437D43" w:rsidRPr="008833AE" w:rsidRDefault="00437D43" w:rsidP="009B2AA3">
      <w:pPr>
        <w:pStyle w:val="BodyText"/>
        <w:numPr>
          <w:ilvl w:val="0"/>
          <w:numId w:val="39"/>
        </w:numPr>
        <w:ind w:left="426" w:hanging="426"/>
      </w:pPr>
      <w:r w:rsidRPr="008833AE">
        <w:t>expected unit price variations based on proposed fee increases imposed by general government agencies and/or indexation.</w:t>
      </w:r>
    </w:p>
    <w:p w14:paraId="56A62E14" w14:textId="77777777" w:rsidR="005D11BA" w:rsidRDefault="005D11BA">
      <w:pPr>
        <w:widowControl/>
        <w:tabs>
          <w:tab w:val="clear" w:pos="4196"/>
          <w:tab w:val="clear" w:pos="5046"/>
          <w:tab w:val="clear" w:pos="5897"/>
          <w:tab w:val="clear" w:pos="6747"/>
          <w:tab w:val="clear" w:pos="7598"/>
        </w:tabs>
        <w:autoSpaceDE/>
        <w:autoSpaceDN/>
        <w:rPr>
          <w:rFonts w:eastAsia="Arial Unicode MS"/>
          <w:b/>
          <w:kern w:val="28"/>
          <w:sz w:val="24"/>
          <w:szCs w:val="36"/>
        </w:rPr>
      </w:pPr>
      <w:r>
        <w:br w:type="page"/>
      </w:r>
    </w:p>
    <w:p w14:paraId="07142FC2" w14:textId="29E1CDF0" w:rsidR="00437D43" w:rsidRPr="008833AE" w:rsidRDefault="00437D43" w:rsidP="00A653C1">
      <w:pPr>
        <w:pStyle w:val="Heading4"/>
        <w:spacing w:before="300" w:after="80"/>
        <w:rPr>
          <w:rFonts w:ascii="Arial" w:hAnsi="Arial" w:cs="Arial"/>
          <w:lang w:eastAsia="en-AU"/>
        </w:rPr>
      </w:pPr>
      <w:r w:rsidRPr="008833AE">
        <w:rPr>
          <w:rFonts w:ascii="Arial" w:hAnsi="Arial" w:cs="Arial"/>
          <w:lang w:eastAsia="en-AU"/>
        </w:rPr>
        <w:lastRenderedPageBreak/>
        <w:t>Dividend and income tax equivalents from other sectors</w:t>
      </w:r>
    </w:p>
    <w:p w14:paraId="2C78E850" w14:textId="604FD1E0" w:rsidR="00437D43" w:rsidRPr="008833AE" w:rsidRDefault="00437D43" w:rsidP="00AD1127">
      <w:pPr>
        <w:pStyle w:val="BodyText"/>
      </w:pPr>
      <w:r w:rsidRPr="008833AE">
        <w:t>Dividend and income tax equivalent revenue</w:t>
      </w:r>
      <w:r w:rsidR="00436762" w:rsidRPr="008833AE">
        <w:t xml:space="preserve"> from other sectors</w:t>
      </w:r>
      <w:r w:rsidRPr="008833AE">
        <w:t xml:space="preserve"> are estimated by </w:t>
      </w:r>
      <w:r w:rsidR="003B293E" w:rsidRPr="008833AE">
        <w:t xml:space="preserve">the </w:t>
      </w:r>
      <w:r w:rsidR="00FF3BD7" w:rsidRPr="008833AE">
        <w:t>P</w:t>
      </w:r>
      <w:r w:rsidR="00B140F1" w:rsidRPr="008833AE">
        <w:t>N</w:t>
      </w:r>
      <w:r w:rsidR="00FF3BD7" w:rsidRPr="008833AE">
        <w:t>FC</w:t>
      </w:r>
      <w:r w:rsidRPr="008833AE">
        <w:t xml:space="preserve"> and </w:t>
      </w:r>
      <w:r w:rsidR="00B140F1" w:rsidRPr="008833AE">
        <w:t>P</w:t>
      </w:r>
      <w:r w:rsidR="003B293E" w:rsidRPr="008833AE">
        <w:t xml:space="preserve">ublic </w:t>
      </w:r>
      <w:r w:rsidR="00FF3BD7" w:rsidRPr="008833AE">
        <w:t>F</w:t>
      </w:r>
      <w:r w:rsidR="003B293E" w:rsidRPr="008833AE">
        <w:t xml:space="preserve">inancial </w:t>
      </w:r>
      <w:r w:rsidR="00FF3BD7" w:rsidRPr="008833AE">
        <w:t>C</w:t>
      </w:r>
      <w:r w:rsidR="003B293E" w:rsidRPr="008833AE">
        <w:t>orporations</w:t>
      </w:r>
      <w:r w:rsidRPr="008833AE">
        <w:t xml:space="preserve"> </w:t>
      </w:r>
      <w:r w:rsidR="00270204" w:rsidRPr="008833AE">
        <w:t xml:space="preserve">(PFC) </w:t>
      </w:r>
      <w:r w:rsidR="00B140F1" w:rsidRPr="008833AE">
        <w:t>sectors</w:t>
      </w:r>
      <w:r w:rsidR="003B293E" w:rsidRPr="008833AE">
        <w:t>. They are</w:t>
      </w:r>
      <w:r w:rsidR="00B140F1" w:rsidRPr="008833AE">
        <w:t xml:space="preserve"> </w:t>
      </w:r>
      <w:r w:rsidRPr="008833AE">
        <w:t xml:space="preserve">based on expected profitability and the agreed dividend policy at the time of the Budget.  </w:t>
      </w:r>
    </w:p>
    <w:p w14:paraId="35751FCD" w14:textId="3CCB9B72" w:rsidR="00B93081" w:rsidRPr="008833AE" w:rsidRDefault="00B93081" w:rsidP="005D11BA">
      <w:pPr>
        <w:pStyle w:val="Heading4"/>
        <w:spacing w:before="300" w:after="80"/>
        <w:rPr>
          <w:rFonts w:ascii="Arial" w:hAnsi="Arial" w:cs="Arial"/>
          <w:i/>
          <w:lang w:eastAsia="en-AU"/>
        </w:rPr>
      </w:pPr>
      <w:r w:rsidRPr="008833AE">
        <w:rPr>
          <w:rFonts w:ascii="Arial" w:hAnsi="Arial" w:cs="Arial"/>
          <w:lang w:eastAsia="en-AU"/>
        </w:rPr>
        <w:t>Other dividends and distributions</w:t>
      </w:r>
    </w:p>
    <w:p w14:paraId="6951D409" w14:textId="77777777" w:rsidR="00B93081" w:rsidRPr="008833AE" w:rsidRDefault="00B93081" w:rsidP="00AD1127">
      <w:pPr>
        <w:pStyle w:val="BodyText"/>
      </w:pPr>
      <w:r w:rsidRPr="008833AE">
        <w:t>Other dividends include estimates of dividends to be received from investments in entities other than the PNFC and PFC sectors, with the revenue recognised when the right to receive payment is expected to be established. Estimates are based on advice from external parties.</w:t>
      </w:r>
    </w:p>
    <w:p w14:paraId="034051F0" w14:textId="77777777" w:rsidR="00B93081" w:rsidRPr="008833AE" w:rsidRDefault="00B93081" w:rsidP="00AD1127">
      <w:pPr>
        <w:pStyle w:val="BodyText"/>
      </w:pPr>
      <w:r w:rsidRPr="008833AE">
        <w:t xml:space="preserve">Distributions are mainly from managed fund investments administered by </w:t>
      </w:r>
      <w:proofErr w:type="spellStart"/>
      <w:r w:rsidRPr="008833AE">
        <w:t>TCorp</w:t>
      </w:r>
      <w:proofErr w:type="spellEnd"/>
      <w:r w:rsidRPr="008833AE">
        <w:t xml:space="preserve">, with the revenue recognised when the right to receive payment is expected to be established based on advice from </w:t>
      </w:r>
      <w:proofErr w:type="spellStart"/>
      <w:r w:rsidRPr="008833AE">
        <w:t>TCorp</w:t>
      </w:r>
      <w:proofErr w:type="spellEnd"/>
      <w:r w:rsidRPr="008833AE">
        <w:t>. It excludes estimated fair value movements in the unit price of the investments, which are recognised as ‘other economic flows – included in the operating result’.</w:t>
      </w:r>
    </w:p>
    <w:p w14:paraId="5594108B" w14:textId="6EE595EA" w:rsidR="00437D43" w:rsidRPr="008833AE" w:rsidRDefault="00437D43" w:rsidP="00A653C1">
      <w:pPr>
        <w:pStyle w:val="Heading4"/>
        <w:spacing w:before="300" w:after="80"/>
        <w:rPr>
          <w:rFonts w:ascii="Arial" w:hAnsi="Arial" w:cs="Arial"/>
          <w:lang w:eastAsia="en-AU"/>
        </w:rPr>
      </w:pPr>
      <w:r w:rsidRPr="008833AE">
        <w:rPr>
          <w:rFonts w:ascii="Arial" w:hAnsi="Arial" w:cs="Arial"/>
          <w:lang w:eastAsia="en-AU"/>
        </w:rPr>
        <w:t>Fines, regulatory fees and other revenue</w:t>
      </w:r>
      <w:r w:rsidR="00B66971" w:rsidRPr="008833AE">
        <w:rPr>
          <w:rFonts w:ascii="Arial" w:hAnsi="Arial" w:cs="Arial"/>
          <w:lang w:eastAsia="en-AU"/>
        </w:rPr>
        <w:t>s</w:t>
      </w:r>
    </w:p>
    <w:p w14:paraId="2C4B92B8" w14:textId="1138F7D9" w:rsidR="00437D43" w:rsidRPr="008833AE" w:rsidRDefault="00437D43" w:rsidP="00AD1127">
      <w:pPr>
        <w:pStyle w:val="BodyText"/>
      </w:pPr>
      <w:r w:rsidRPr="008833AE">
        <w:t>Fines, regulatory fees and other revenue</w:t>
      </w:r>
      <w:r w:rsidR="00B66971" w:rsidRPr="008833AE">
        <w:t>s</w:t>
      </w:r>
      <w:r w:rsidRPr="008833AE">
        <w:t xml:space="preserve"> include estimates of fines issue</w:t>
      </w:r>
      <w:r w:rsidR="005131ED" w:rsidRPr="008833AE">
        <w:t>d</w:t>
      </w:r>
      <w:r w:rsidRPr="008833AE">
        <w:t xml:space="preserve"> by the </w:t>
      </w:r>
      <w:r w:rsidR="00B21B7A" w:rsidRPr="008833AE">
        <w:t>c</w:t>
      </w:r>
      <w:r w:rsidRPr="008833AE">
        <w:t xml:space="preserve">ourts, estimated traffic infringement fines, estimated revenue from enforcement orders </w:t>
      </w:r>
      <w:r w:rsidR="00B0321F" w:rsidRPr="008833AE">
        <w:t xml:space="preserve">and </w:t>
      </w:r>
      <w:r w:rsidRPr="008833AE">
        <w:t>regulatory fees</w:t>
      </w:r>
      <w:r w:rsidR="00B0321F" w:rsidRPr="008833AE">
        <w:t xml:space="preserve"> and</w:t>
      </w:r>
      <w:r w:rsidRPr="008833AE">
        <w:t xml:space="preserve"> contributions</w:t>
      </w:r>
      <w:r w:rsidR="00CE45E3" w:rsidRPr="008833AE">
        <w:t>. It also includes estimated</w:t>
      </w:r>
      <w:r w:rsidRPr="008833AE">
        <w:t xml:space="preserve"> royalty revenue based on assessments of coal volumes and prices and the Australian dollar exchange rate. Other revenue forecasts are adjusted for indexation where appropriate.</w:t>
      </w:r>
    </w:p>
    <w:p w14:paraId="6A486EBD" w14:textId="3F750E45" w:rsidR="00437D43" w:rsidRPr="008833AE" w:rsidRDefault="00437D43" w:rsidP="00A653C1">
      <w:pPr>
        <w:pStyle w:val="Heading3"/>
        <w:keepNext w:val="0"/>
        <w:spacing w:before="300" w:after="80"/>
        <w:rPr>
          <w:rFonts w:ascii="Arial" w:hAnsi="Arial" w:cs="Arial"/>
          <w:b w:val="0"/>
          <w:lang w:eastAsia="en-AU"/>
        </w:rPr>
      </w:pPr>
      <w:r w:rsidRPr="008833AE">
        <w:rPr>
          <w:rFonts w:ascii="Arial" w:hAnsi="Arial" w:cs="Arial"/>
          <w:lang w:eastAsia="en-AU"/>
        </w:rPr>
        <w:t xml:space="preserve">Expenses from </w:t>
      </w:r>
      <w:r w:rsidR="008E3211" w:rsidRPr="008833AE">
        <w:rPr>
          <w:rFonts w:ascii="Arial" w:hAnsi="Arial" w:cs="Arial"/>
          <w:lang w:eastAsia="en-AU"/>
        </w:rPr>
        <w:t>t</w:t>
      </w:r>
      <w:r w:rsidRPr="008833AE">
        <w:rPr>
          <w:rFonts w:ascii="Arial" w:hAnsi="Arial" w:cs="Arial"/>
          <w:lang w:eastAsia="en-AU"/>
        </w:rPr>
        <w:t>ransactions</w:t>
      </w:r>
    </w:p>
    <w:p w14:paraId="77CD36F4" w14:textId="1FC38CF7" w:rsidR="003476B2" w:rsidRPr="008833AE" w:rsidRDefault="003476B2" w:rsidP="00AD1127">
      <w:pPr>
        <w:pStyle w:val="BodyText"/>
      </w:pPr>
      <w:r w:rsidRPr="008833AE">
        <w:t xml:space="preserve">To improve the accuracy of </w:t>
      </w:r>
      <w:r w:rsidR="00CE45E3" w:rsidRPr="008833AE">
        <w:t>budget</w:t>
      </w:r>
      <w:r w:rsidRPr="008833AE">
        <w:t xml:space="preserve"> estimates</w:t>
      </w:r>
      <w:r w:rsidR="00CE45E3" w:rsidRPr="008833AE">
        <w:t>,</w:t>
      </w:r>
      <w:r w:rsidRPr="008833AE">
        <w:t xml:space="preserve"> consistent with longstanding practice and reflecting historic trends, the </w:t>
      </w:r>
      <w:r w:rsidR="002D49DE" w:rsidRPr="008833AE">
        <w:t xml:space="preserve">Budget </w:t>
      </w:r>
      <w:r w:rsidRPr="008833AE">
        <w:t>includes adjustments:</w:t>
      </w:r>
    </w:p>
    <w:p w14:paraId="16C216DE" w14:textId="20B6A344" w:rsidR="003476B2" w:rsidRPr="008833AE" w:rsidRDefault="00F6108E" w:rsidP="00E63990">
      <w:pPr>
        <w:pStyle w:val="Bullet1"/>
      </w:pPr>
      <w:r>
        <w:t xml:space="preserve">to account </w:t>
      </w:r>
      <w:r w:rsidR="003476B2" w:rsidRPr="008833AE">
        <w:t>for parameter and technical adjustments expected to be required to maintain service provision on a no policy change basis</w:t>
      </w:r>
      <w:r w:rsidR="00C54621" w:rsidRPr="008833AE">
        <w:t>,</w:t>
      </w:r>
      <w:r w:rsidR="003476B2" w:rsidRPr="008833AE">
        <w:t xml:space="preserve"> reflecting the historic conservative bias </w:t>
      </w:r>
      <w:r w:rsidR="009D0A98" w:rsidRPr="008833AE">
        <w:t>in aggregate spending estimates</w:t>
      </w:r>
    </w:p>
    <w:p w14:paraId="2EF40F9A" w14:textId="16243D61" w:rsidR="003476B2" w:rsidRPr="008833AE" w:rsidRDefault="00F6108E" w:rsidP="00E63990">
      <w:pPr>
        <w:pStyle w:val="Bullet1"/>
      </w:pPr>
      <w:r>
        <w:t xml:space="preserve">to account </w:t>
      </w:r>
      <w:r w:rsidR="003476B2" w:rsidRPr="008833AE">
        <w:t>for expenses expected to be carried forward into future years reflecting changes in timing of delivery of government activity, consistent with the policy set out in</w:t>
      </w:r>
      <w:r w:rsidR="009D0A98" w:rsidRPr="008833AE">
        <w:t xml:space="preserve"> </w:t>
      </w:r>
      <w:r w:rsidR="009D0A98" w:rsidRPr="008833AE">
        <w:rPr>
          <w:i/>
        </w:rPr>
        <w:t>Treasury Circular NSW TC 15</w:t>
      </w:r>
      <w:r w:rsidR="002D49DE" w:rsidRPr="008833AE">
        <w:rPr>
          <w:i/>
        </w:rPr>
        <w:t>-</w:t>
      </w:r>
      <w:r w:rsidR="009D0A98" w:rsidRPr="008833AE">
        <w:rPr>
          <w:i/>
        </w:rPr>
        <w:t>08</w:t>
      </w:r>
    </w:p>
    <w:p w14:paraId="64074F53" w14:textId="2C519D5A" w:rsidR="003476B2" w:rsidRPr="008833AE" w:rsidRDefault="003476B2" w:rsidP="00E63990">
      <w:pPr>
        <w:pStyle w:val="Bullet1"/>
      </w:pPr>
      <w:r w:rsidRPr="008833AE">
        <w:t xml:space="preserve">to reflect </w:t>
      </w:r>
      <w:r w:rsidR="0028544A" w:rsidRPr="008833AE">
        <w:t>g</w:t>
      </w:r>
      <w:r w:rsidRPr="008833AE">
        <w:t>overnment decisions not yet included in agency estimates, for example due to timing or because they are commercial in confidence</w:t>
      </w:r>
      <w:r w:rsidR="00CE45E3" w:rsidRPr="008833AE">
        <w:t xml:space="preserve"> or subject to further requirements</w:t>
      </w:r>
      <w:r w:rsidRPr="008833AE">
        <w:t>.</w:t>
      </w:r>
    </w:p>
    <w:p w14:paraId="077B0ED4" w14:textId="77777777" w:rsidR="00437D43" w:rsidRPr="008833AE" w:rsidRDefault="00437D43" w:rsidP="003476B2">
      <w:pPr>
        <w:pStyle w:val="Heading4"/>
        <w:rPr>
          <w:rFonts w:ascii="Arial" w:hAnsi="Arial" w:cs="Arial"/>
          <w:lang w:eastAsia="en-AU"/>
        </w:rPr>
      </w:pPr>
      <w:r w:rsidRPr="008833AE">
        <w:rPr>
          <w:rFonts w:ascii="Arial" w:hAnsi="Arial" w:cs="Arial"/>
          <w:lang w:eastAsia="en-AU"/>
        </w:rPr>
        <w:t>Employee expenses</w:t>
      </w:r>
    </w:p>
    <w:p w14:paraId="16F48F2B" w14:textId="2CE26889" w:rsidR="00437D43" w:rsidRPr="008833AE" w:rsidRDefault="00437D43" w:rsidP="00AD1127">
      <w:pPr>
        <w:pStyle w:val="BodyText"/>
      </w:pPr>
      <w:r w:rsidRPr="008833AE">
        <w:t xml:space="preserve">Employee expenses are forecast based on expected staffing profiles, current salaries, conditions and on-costs. </w:t>
      </w:r>
      <w:r w:rsidR="00B5183A" w:rsidRPr="008833AE">
        <w:t>E</w:t>
      </w:r>
      <w:r w:rsidRPr="008833AE">
        <w:t xml:space="preserve">mployee expenses are adjusted </w:t>
      </w:r>
      <w:r w:rsidR="00B5183A" w:rsidRPr="008833AE">
        <w:t xml:space="preserve">over the forecast period </w:t>
      </w:r>
      <w:r w:rsidRPr="008833AE">
        <w:t xml:space="preserve">for approved wage agreements. Beyond the period of the agreements, allowance is made for further adjustments consistent with the </w:t>
      </w:r>
      <w:r w:rsidR="001919B6" w:rsidRPr="008833AE">
        <w:t>State’s</w:t>
      </w:r>
      <w:r w:rsidRPr="008833AE">
        <w:t xml:space="preserve"> wages policy at a net cost of 2.5</w:t>
      </w:r>
      <w:r w:rsidR="004E114C" w:rsidRPr="008833AE">
        <w:t> </w:t>
      </w:r>
      <w:r w:rsidRPr="008833AE">
        <w:t>per</w:t>
      </w:r>
      <w:r w:rsidR="004E114C" w:rsidRPr="008833AE">
        <w:t> </w:t>
      </w:r>
      <w:r w:rsidRPr="008833AE">
        <w:t>cent per</w:t>
      </w:r>
      <w:r w:rsidR="005E4466" w:rsidRPr="008833AE">
        <w:t> </w:t>
      </w:r>
      <w:r w:rsidRPr="008833AE">
        <w:t>annum</w:t>
      </w:r>
      <w:r w:rsidR="00CC205A" w:rsidRPr="008833AE">
        <w:t>,</w:t>
      </w:r>
      <w:r w:rsidRPr="008833AE">
        <w:t xml:space="preserve"> inclusive of scheduled increases in the superannuation guarantee levy. The forecasts for employee expenses also reflect the impact of new</w:t>
      </w:r>
      <w:r w:rsidR="00CC205A" w:rsidRPr="008833AE">
        <w:t>ly</w:t>
      </w:r>
      <w:r w:rsidRPr="008833AE">
        <w:t xml:space="preserve"> </w:t>
      </w:r>
      <w:r w:rsidR="00B5183A" w:rsidRPr="008833AE">
        <w:t xml:space="preserve">approved </w:t>
      </w:r>
      <w:r w:rsidRPr="008833AE">
        <w:t xml:space="preserve">initiatives and required efficiency savings. </w:t>
      </w:r>
    </w:p>
    <w:p w14:paraId="72A2B90E" w14:textId="77777777" w:rsidR="005D11BA" w:rsidRDefault="005D11BA">
      <w:pPr>
        <w:widowControl/>
        <w:tabs>
          <w:tab w:val="clear" w:pos="4196"/>
          <w:tab w:val="clear" w:pos="5046"/>
          <w:tab w:val="clear" w:pos="5897"/>
          <w:tab w:val="clear" w:pos="6747"/>
          <w:tab w:val="clear" w:pos="7598"/>
        </w:tabs>
        <w:autoSpaceDE/>
        <w:autoSpaceDN/>
        <w:rPr>
          <w:rFonts w:eastAsia="Arial Unicode MS"/>
          <w:b/>
          <w:kern w:val="28"/>
          <w:sz w:val="24"/>
          <w:szCs w:val="36"/>
        </w:rPr>
      </w:pPr>
      <w:r>
        <w:br w:type="page"/>
      </w:r>
    </w:p>
    <w:p w14:paraId="3F252848" w14:textId="4E6E2588" w:rsidR="00437D43" w:rsidRPr="008833AE" w:rsidRDefault="00437D43" w:rsidP="00461E92">
      <w:pPr>
        <w:pStyle w:val="Heading4"/>
        <w:rPr>
          <w:rFonts w:ascii="Arial" w:hAnsi="Arial" w:cs="Arial"/>
          <w:lang w:eastAsia="en-AU"/>
        </w:rPr>
      </w:pPr>
      <w:r w:rsidRPr="008833AE">
        <w:rPr>
          <w:rFonts w:ascii="Arial" w:hAnsi="Arial" w:cs="Arial"/>
          <w:lang w:eastAsia="en-AU"/>
        </w:rPr>
        <w:lastRenderedPageBreak/>
        <w:t>Superannuation expense (and liabilities)</w:t>
      </w:r>
    </w:p>
    <w:p w14:paraId="0F872CD3" w14:textId="77777777" w:rsidR="00437D43" w:rsidRPr="008833AE" w:rsidRDefault="00437D43" w:rsidP="00AD1127">
      <w:pPr>
        <w:pStyle w:val="BodyText"/>
      </w:pPr>
      <w:r w:rsidRPr="008833AE">
        <w:t>Superannuation expense comprise</w:t>
      </w:r>
      <w:r w:rsidR="00D9596E" w:rsidRPr="008833AE">
        <w:t>s</w:t>
      </w:r>
      <w:r w:rsidRPr="008833AE">
        <w:t>:</w:t>
      </w:r>
    </w:p>
    <w:p w14:paraId="4FCF45E3" w14:textId="5188F87A" w:rsidR="00437D43" w:rsidRPr="008833AE" w:rsidRDefault="00F70077" w:rsidP="00E63990">
      <w:pPr>
        <w:pStyle w:val="Bullet1"/>
      </w:pPr>
      <w:r w:rsidRPr="008833AE">
        <w:t>F</w:t>
      </w:r>
      <w:r w:rsidR="00437D43" w:rsidRPr="008833AE">
        <w:t xml:space="preserve">or the defined contribution plan, the </w:t>
      </w:r>
      <w:r w:rsidR="00F55F87" w:rsidRPr="008833AE">
        <w:t xml:space="preserve">forecast </w:t>
      </w:r>
      <w:r w:rsidR="00437D43" w:rsidRPr="008833AE">
        <w:t>accrued contribution for the period</w:t>
      </w:r>
    </w:p>
    <w:p w14:paraId="5DB8E7E2" w14:textId="3AF72002" w:rsidR="00437D43" w:rsidRPr="008833AE" w:rsidRDefault="00F70077" w:rsidP="00E63990">
      <w:pPr>
        <w:pStyle w:val="Bullet1"/>
      </w:pPr>
      <w:r w:rsidRPr="008833AE">
        <w:t>F</w:t>
      </w:r>
      <w:r w:rsidR="00437D43" w:rsidRPr="008833AE">
        <w:t xml:space="preserve">or defined benefit plans, the </w:t>
      </w:r>
      <w:r w:rsidR="00F55F87" w:rsidRPr="008833AE">
        <w:t xml:space="preserve">forecast </w:t>
      </w:r>
      <w:r w:rsidR="00437D43" w:rsidRPr="008833AE">
        <w:t xml:space="preserve">service cost and the net interest expense. This excludes </w:t>
      </w:r>
      <w:r w:rsidR="009D0118">
        <w:t xml:space="preserve">the </w:t>
      </w:r>
      <w:r w:rsidR="00437D43" w:rsidRPr="008833AE">
        <w:t>re-measurements</w:t>
      </w:r>
      <w:r w:rsidR="009D0118">
        <w:t xml:space="preserve"> (i.e. actuarial gains and losses and return on plan assets </w:t>
      </w:r>
      <w:proofErr w:type="gramStart"/>
      <w:r w:rsidR="009D0118">
        <w:t>in excess of</w:t>
      </w:r>
      <w:proofErr w:type="gramEnd"/>
      <w:r w:rsidR="009D0118">
        <w:t xml:space="preserve"> the long-term Commonwealth Government Securities (CGS) rate</w:t>
      </w:r>
      <w:r w:rsidR="0017688C">
        <w:t>)</w:t>
      </w:r>
      <w:r w:rsidR="00634693" w:rsidRPr="008833AE">
        <w:t xml:space="preserve">, </w:t>
      </w:r>
      <w:r w:rsidR="00437D43" w:rsidRPr="008833AE">
        <w:t>which are classified as ‘other economic flows – other comprehensive income’.</w:t>
      </w:r>
    </w:p>
    <w:p w14:paraId="19A4C1D0" w14:textId="3CB434A7" w:rsidR="00437D43" w:rsidRPr="008833AE" w:rsidRDefault="00437D43" w:rsidP="00AD1127">
      <w:pPr>
        <w:pStyle w:val="BodyText"/>
      </w:pPr>
      <w:r w:rsidRPr="008833AE">
        <w:t>Superannuation expenses for defined contribution plans are based on assumptions regarding future salaries and contribution rates.</w:t>
      </w:r>
    </w:p>
    <w:p w14:paraId="60AC13F0" w14:textId="791FE3D6" w:rsidR="00437D43" w:rsidRPr="008833AE" w:rsidRDefault="00437D43" w:rsidP="00AD1127">
      <w:pPr>
        <w:pStyle w:val="BodyText"/>
      </w:pPr>
      <w:r w:rsidRPr="008833AE">
        <w:t xml:space="preserve">Superannuation expenses for defined benefit plans are </w:t>
      </w:r>
      <w:r w:rsidR="00F55F87" w:rsidRPr="008833AE">
        <w:t xml:space="preserve">estimated </w:t>
      </w:r>
      <w:r w:rsidRPr="008833AE">
        <w:t>based on actuarial advice</w:t>
      </w:r>
      <w:r w:rsidR="00B140F1" w:rsidRPr="008833AE">
        <w:t>,</w:t>
      </w:r>
      <w:r w:rsidRPr="008833AE">
        <w:t xml:space="preserve"> applying the </w:t>
      </w:r>
      <w:r w:rsidR="00B5183A" w:rsidRPr="008833AE">
        <w:t>long</w:t>
      </w:r>
      <w:r w:rsidR="00B5183A" w:rsidRPr="008833AE">
        <w:noBreakHyphen/>
        <w:t xml:space="preserve">term </w:t>
      </w:r>
      <w:r w:rsidR="0038623D" w:rsidRPr="008833AE">
        <w:t>CG</w:t>
      </w:r>
      <w:r w:rsidR="00C50B55" w:rsidRPr="008833AE">
        <w:t>S</w:t>
      </w:r>
      <w:r w:rsidR="009875EC" w:rsidRPr="008833AE">
        <w:t xml:space="preserve"> </w:t>
      </w:r>
      <w:r w:rsidRPr="008833AE">
        <w:t xml:space="preserve">yield as at 30 June in the prior year to the opening value of net liabilities (gross superannuation liabilities less assets), less benefit payments at the mid-point of the contribution year, plus any accruing liability for the year. </w:t>
      </w:r>
    </w:p>
    <w:p w14:paraId="4485D40D" w14:textId="3D6EF1D8" w:rsidR="00437D43" w:rsidRPr="008833AE" w:rsidRDefault="00437D43" w:rsidP="00AD1127">
      <w:pPr>
        <w:pStyle w:val="BodyText"/>
      </w:pPr>
      <w:r w:rsidRPr="008833AE">
        <w:t>Forecasts of defined benefit superannuation liabilities are based on actuarial estimates of cash flows for the various defined benefit superannuation schemes</w:t>
      </w:r>
      <w:r w:rsidR="00B140F1" w:rsidRPr="008833AE">
        <w:t>,</w:t>
      </w:r>
      <w:r w:rsidRPr="008833AE">
        <w:t xml:space="preserve"> discounted using a nominal long</w:t>
      </w:r>
      <w:r w:rsidRPr="008833AE">
        <w:noBreakHyphen/>
        <w:t xml:space="preserve">term </w:t>
      </w:r>
      <w:r w:rsidR="0038623D" w:rsidRPr="008833AE">
        <w:t>CG</w:t>
      </w:r>
      <w:r w:rsidR="00C50B55" w:rsidRPr="008833AE">
        <w:t>S</w:t>
      </w:r>
      <w:r w:rsidR="0038623D" w:rsidRPr="008833AE">
        <w:t xml:space="preserve"> </w:t>
      </w:r>
      <w:r w:rsidRPr="008833AE">
        <w:t xml:space="preserve">yield as at 30 June. Gross liability estimates are based on </w:t>
      </w:r>
      <w:proofErr w:type="gramStart"/>
      <w:r w:rsidRPr="008833AE">
        <w:t>a number of</w:t>
      </w:r>
      <w:proofErr w:type="gramEnd"/>
      <w:r w:rsidRPr="008833AE">
        <w:t xml:space="preserve"> demographic and financial assumptions. </w:t>
      </w:r>
    </w:p>
    <w:p w14:paraId="5D24C5D8" w14:textId="7E61E619" w:rsidR="004E114C" w:rsidRPr="008833AE" w:rsidRDefault="00437D43" w:rsidP="00AD1127">
      <w:pPr>
        <w:pStyle w:val="BodyText"/>
      </w:pPr>
      <w:r w:rsidRPr="008833AE">
        <w:t xml:space="preserve">The table below sets out the major financial assumptions used to estimate the superannuation expense and liability in respect of defined benefit superannuation for the </w:t>
      </w:r>
      <w:r w:rsidR="002D49DE" w:rsidRPr="008833AE">
        <w:t xml:space="preserve">Budget </w:t>
      </w:r>
      <w:r w:rsidRPr="008833AE">
        <w:t>and forward estimates period.</w:t>
      </w:r>
    </w:p>
    <w:p w14:paraId="66C6E87A" w14:textId="411F7BC4" w:rsidR="00375061" w:rsidRPr="008833AE" w:rsidRDefault="00375061" w:rsidP="00601BA9">
      <w:pPr>
        <w:pStyle w:val="TableA2X"/>
        <w:keepNext/>
        <w:tabs>
          <w:tab w:val="left" w:pos="1276"/>
        </w:tabs>
      </w:pPr>
      <w:r w:rsidRPr="008833AE">
        <w:t xml:space="preserve">Superannuation </w:t>
      </w:r>
      <w:r w:rsidR="004E114C" w:rsidRPr="008833AE">
        <w:t xml:space="preserve">assumptions </w:t>
      </w:r>
      <w:r w:rsidRPr="008833AE">
        <w:t xml:space="preserve">– </w:t>
      </w:r>
      <w:r w:rsidR="004E114C" w:rsidRPr="008833AE">
        <w:t xml:space="preserve">pooled fund </w:t>
      </w:r>
      <w:r w:rsidRPr="008833AE">
        <w:t xml:space="preserve">/ </w:t>
      </w:r>
      <w:r w:rsidR="004E114C" w:rsidRPr="008833AE">
        <w:t>state super schemes</w:t>
      </w:r>
    </w:p>
    <w:tbl>
      <w:tblPr>
        <w:tblW w:w="0" w:type="auto"/>
        <w:tblInd w:w="108" w:type="dxa"/>
        <w:tblCellMar>
          <w:left w:w="0" w:type="dxa"/>
          <w:right w:w="0" w:type="dxa"/>
        </w:tblCellMar>
        <w:tblLook w:val="04A0" w:firstRow="1" w:lastRow="0" w:firstColumn="1" w:lastColumn="0" w:noHBand="0" w:noVBand="1"/>
      </w:tblPr>
      <w:tblGrid>
        <w:gridCol w:w="2809"/>
        <w:gridCol w:w="1344"/>
        <w:gridCol w:w="1344"/>
        <w:gridCol w:w="1345"/>
        <w:gridCol w:w="1344"/>
        <w:gridCol w:w="1345"/>
      </w:tblGrid>
      <w:tr w:rsidR="00D9596E" w:rsidRPr="008833AE" w14:paraId="6EF80057" w14:textId="77777777" w:rsidTr="00015CAE">
        <w:trPr>
          <w:trHeight w:val="74"/>
        </w:trPr>
        <w:tc>
          <w:tcPr>
            <w:tcW w:w="2842" w:type="dxa"/>
            <w:tcBorders>
              <w:left w:val="nil"/>
              <w:right w:val="nil"/>
            </w:tcBorders>
            <w:shd w:val="clear" w:color="auto" w:fill="00ABE6"/>
            <w:tcMar>
              <w:top w:w="0" w:type="dxa"/>
              <w:left w:w="108" w:type="dxa"/>
              <w:bottom w:w="0" w:type="dxa"/>
              <w:right w:w="108" w:type="dxa"/>
            </w:tcMar>
            <w:vAlign w:val="center"/>
          </w:tcPr>
          <w:p w14:paraId="77D17792" w14:textId="77777777" w:rsidR="00D9596E" w:rsidRPr="008833AE" w:rsidRDefault="00D9596E" w:rsidP="006A6BBE">
            <w:pPr>
              <w:spacing w:before="60"/>
              <w:ind w:right="477"/>
              <w:jc w:val="center"/>
              <w:rPr>
                <w:rFonts w:eastAsiaTheme="minorHAnsi"/>
                <w:color w:val="FFFFFF" w:themeColor="background1"/>
                <w:sz w:val="18"/>
                <w:szCs w:val="18"/>
              </w:rPr>
            </w:pPr>
          </w:p>
        </w:tc>
        <w:tc>
          <w:tcPr>
            <w:tcW w:w="1359" w:type="dxa"/>
            <w:tcBorders>
              <w:left w:val="nil"/>
              <w:right w:val="nil"/>
            </w:tcBorders>
            <w:shd w:val="clear" w:color="auto" w:fill="00ABE6"/>
            <w:tcMar>
              <w:top w:w="0" w:type="dxa"/>
              <w:left w:w="108" w:type="dxa"/>
              <w:bottom w:w="0" w:type="dxa"/>
              <w:right w:w="108" w:type="dxa"/>
            </w:tcMar>
            <w:vAlign w:val="center"/>
            <w:hideMark/>
          </w:tcPr>
          <w:p w14:paraId="39E5016B" w14:textId="5332EB71" w:rsidR="00D9596E" w:rsidRPr="008833AE" w:rsidRDefault="00C819F4" w:rsidP="006A6BBE">
            <w:pPr>
              <w:spacing w:before="60"/>
              <w:jc w:val="center"/>
              <w:rPr>
                <w:rFonts w:eastAsiaTheme="minorHAnsi"/>
                <w:bCs/>
                <w:color w:val="FFFFFF" w:themeColor="background1"/>
                <w:sz w:val="18"/>
                <w:szCs w:val="18"/>
              </w:rPr>
            </w:pPr>
            <w:r w:rsidRPr="008833AE">
              <w:rPr>
                <w:bCs/>
                <w:color w:val="FFFFFF" w:themeColor="background1"/>
                <w:sz w:val="18"/>
                <w:szCs w:val="18"/>
              </w:rPr>
              <w:t>2018</w:t>
            </w:r>
            <w:r w:rsidR="00D9596E" w:rsidRPr="008833AE">
              <w:rPr>
                <w:bCs/>
                <w:color w:val="FFFFFF" w:themeColor="background1"/>
                <w:sz w:val="18"/>
                <w:szCs w:val="18"/>
              </w:rPr>
              <w:t>-</w:t>
            </w:r>
            <w:r w:rsidRPr="008833AE">
              <w:rPr>
                <w:bCs/>
                <w:color w:val="FFFFFF" w:themeColor="background1"/>
                <w:sz w:val="18"/>
                <w:szCs w:val="18"/>
              </w:rPr>
              <w:t>19</w:t>
            </w:r>
          </w:p>
        </w:tc>
        <w:tc>
          <w:tcPr>
            <w:tcW w:w="1359" w:type="dxa"/>
            <w:tcBorders>
              <w:left w:val="nil"/>
              <w:right w:val="nil"/>
            </w:tcBorders>
            <w:shd w:val="clear" w:color="auto" w:fill="00ABE6"/>
            <w:tcMar>
              <w:top w:w="0" w:type="dxa"/>
              <w:left w:w="108" w:type="dxa"/>
              <w:bottom w:w="0" w:type="dxa"/>
              <w:right w:w="108" w:type="dxa"/>
            </w:tcMar>
            <w:vAlign w:val="center"/>
          </w:tcPr>
          <w:p w14:paraId="21743692" w14:textId="2DDE7B55" w:rsidR="00D9596E" w:rsidRPr="008833AE" w:rsidRDefault="0015527F" w:rsidP="006A6BBE">
            <w:pPr>
              <w:spacing w:before="60"/>
              <w:jc w:val="center"/>
              <w:rPr>
                <w:rFonts w:eastAsiaTheme="minorHAnsi"/>
                <w:bCs/>
                <w:color w:val="FFFFFF" w:themeColor="background1"/>
                <w:sz w:val="18"/>
                <w:szCs w:val="18"/>
              </w:rPr>
            </w:pPr>
            <w:r w:rsidRPr="008833AE">
              <w:rPr>
                <w:bCs/>
                <w:color w:val="FFFFFF" w:themeColor="background1"/>
                <w:sz w:val="18"/>
                <w:szCs w:val="18"/>
              </w:rPr>
              <w:t>2019-20</w:t>
            </w:r>
          </w:p>
        </w:tc>
        <w:tc>
          <w:tcPr>
            <w:tcW w:w="1360" w:type="dxa"/>
            <w:tcBorders>
              <w:left w:val="nil"/>
              <w:right w:val="nil"/>
            </w:tcBorders>
            <w:shd w:val="clear" w:color="auto" w:fill="00ABE6"/>
            <w:tcMar>
              <w:top w:w="0" w:type="dxa"/>
              <w:left w:w="108" w:type="dxa"/>
              <w:bottom w:w="0" w:type="dxa"/>
              <w:right w:w="108" w:type="dxa"/>
            </w:tcMar>
            <w:vAlign w:val="center"/>
          </w:tcPr>
          <w:p w14:paraId="025E4A92" w14:textId="227A3479" w:rsidR="00D9596E" w:rsidRPr="008833AE" w:rsidRDefault="0015527F" w:rsidP="006A6BBE">
            <w:pPr>
              <w:spacing w:before="60"/>
              <w:jc w:val="center"/>
              <w:rPr>
                <w:rFonts w:eastAsiaTheme="minorHAnsi"/>
                <w:bCs/>
                <w:color w:val="FFFFFF" w:themeColor="background1"/>
                <w:sz w:val="18"/>
                <w:szCs w:val="18"/>
              </w:rPr>
            </w:pPr>
            <w:r w:rsidRPr="008833AE">
              <w:rPr>
                <w:bCs/>
                <w:color w:val="FFFFFF" w:themeColor="background1"/>
                <w:sz w:val="18"/>
                <w:szCs w:val="18"/>
              </w:rPr>
              <w:t>2020-21</w:t>
            </w:r>
          </w:p>
        </w:tc>
        <w:tc>
          <w:tcPr>
            <w:tcW w:w="1359" w:type="dxa"/>
            <w:tcBorders>
              <w:left w:val="nil"/>
              <w:right w:val="nil"/>
            </w:tcBorders>
            <w:shd w:val="clear" w:color="auto" w:fill="00ABE6"/>
            <w:tcMar>
              <w:top w:w="0" w:type="dxa"/>
              <w:left w:w="108" w:type="dxa"/>
              <w:bottom w:w="0" w:type="dxa"/>
              <w:right w:w="108" w:type="dxa"/>
            </w:tcMar>
            <w:vAlign w:val="center"/>
          </w:tcPr>
          <w:p w14:paraId="765F7A1C" w14:textId="3973B80A" w:rsidR="00D9596E" w:rsidRPr="008833AE" w:rsidRDefault="0015527F" w:rsidP="006A6BBE">
            <w:pPr>
              <w:spacing w:before="60"/>
              <w:jc w:val="center"/>
              <w:rPr>
                <w:rFonts w:eastAsiaTheme="minorHAnsi"/>
                <w:bCs/>
                <w:color w:val="FFFFFF" w:themeColor="background1"/>
                <w:sz w:val="18"/>
                <w:szCs w:val="18"/>
              </w:rPr>
            </w:pPr>
            <w:r w:rsidRPr="008833AE">
              <w:rPr>
                <w:bCs/>
                <w:color w:val="FFFFFF" w:themeColor="background1"/>
                <w:sz w:val="18"/>
                <w:szCs w:val="18"/>
              </w:rPr>
              <w:t>2021-22</w:t>
            </w:r>
          </w:p>
        </w:tc>
        <w:tc>
          <w:tcPr>
            <w:tcW w:w="1360" w:type="dxa"/>
            <w:tcBorders>
              <w:left w:val="nil"/>
              <w:right w:val="nil"/>
            </w:tcBorders>
            <w:shd w:val="clear" w:color="auto" w:fill="00ABE6"/>
            <w:tcMar>
              <w:top w:w="0" w:type="dxa"/>
              <w:left w:w="108" w:type="dxa"/>
              <w:bottom w:w="0" w:type="dxa"/>
              <w:right w:w="108" w:type="dxa"/>
            </w:tcMar>
            <w:vAlign w:val="center"/>
          </w:tcPr>
          <w:p w14:paraId="47DC716B" w14:textId="7C3C7DC8" w:rsidR="00D9596E" w:rsidRPr="008833AE" w:rsidRDefault="0015527F" w:rsidP="00D9596E">
            <w:pPr>
              <w:spacing w:before="60"/>
              <w:jc w:val="center"/>
              <w:rPr>
                <w:rFonts w:eastAsiaTheme="minorHAnsi"/>
                <w:bCs/>
                <w:color w:val="FFFFFF" w:themeColor="background1"/>
                <w:sz w:val="18"/>
                <w:szCs w:val="18"/>
              </w:rPr>
            </w:pPr>
            <w:r w:rsidRPr="008833AE">
              <w:rPr>
                <w:bCs/>
                <w:color w:val="FFFFFF" w:themeColor="background1"/>
                <w:sz w:val="18"/>
                <w:szCs w:val="18"/>
              </w:rPr>
              <w:t>2022-23</w:t>
            </w:r>
          </w:p>
        </w:tc>
      </w:tr>
      <w:tr w:rsidR="006A6BBE" w:rsidRPr="008833AE" w14:paraId="0FD7F645" w14:textId="77777777" w:rsidTr="00015CAE">
        <w:trPr>
          <w:trHeight w:val="74"/>
        </w:trPr>
        <w:tc>
          <w:tcPr>
            <w:tcW w:w="2842" w:type="dxa"/>
            <w:tcBorders>
              <w:left w:val="nil"/>
              <w:right w:val="nil"/>
            </w:tcBorders>
            <w:shd w:val="clear" w:color="auto" w:fill="0A7CB9"/>
            <w:tcMar>
              <w:top w:w="0" w:type="dxa"/>
              <w:left w:w="108" w:type="dxa"/>
              <w:bottom w:w="0" w:type="dxa"/>
              <w:right w:w="108" w:type="dxa"/>
            </w:tcMar>
          </w:tcPr>
          <w:p w14:paraId="3B320E14" w14:textId="77777777" w:rsidR="006A6BBE" w:rsidRPr="008833AE" w:rsidRDefault="006A6BBE" w:rsidP="006A6BBE">
            <w:pPr>
              <w:spacing w:before="40"/>
              <w:ind w:right="477"/>
              <w:rPr>
                <w:rFonts w:eastAsiaTheme="minorHAnsi"/>
                <w:color w:val="FFFFFF" w:themeColor="background1"/>
                <w:sz w:val="18"/>
                <w:szCs w:val="18"/>
              </w:rPr>
            </w:pPr>
          </w:p>
        </w:tc>
        <w:tc>
          <w:tcPr>
            <w:tcW w:w="1359" w:type="dxa"/>
            <w:tcBorders>
              <w:left w:val="nil"/>
              <w:right w:val="nil"/>
            </w:tcBorders>
            <w:shd w:val="clear" w:color="auto" w:fill="0A7CB9"/>
            <w:tcMar>
              <w:top w:w="0" w:type="dxa"/>
              <w:left w:w="108" w:type="dxa"/>
              <w:bottom w:w="0" w:type="dxa"/>
              <w:right w:w="108" w:type="dxa"/>
            </w:tcMar>
          </w:tcPr>
          <w:p w14:paraId="0A52F481" w14:textId="77777777" w:rsidR="006A6BBE" w:rsidRPr="008833AE" w:rsidRDefault="006A6BBE" w:rsidP="006A6BBE">
            <w:pPr>
              <w:spacing w:before="40"/>
              <w:jc w:val="center"/>
              <w:rPr>
                <w:rFonts w:eastAsiaTheme="minorHAnsi"/>
                <w:b/>
                <w:bCs/>
                <w:color w:val="FFFFFF" w:themeColor="background1"/>
                <w:sz w:val="18"/>
                <w:szCs w:val="18"/>
              </w:rPr>
            </w:pPr>
            <w:r w:rsidRPr="008833AE">
              <w:rPr>
                <w:b/>
                <w:bCs/>
                <w:color w:val="FFFFFF" w:themeColor="background1"/>
                <w:sz w:val="18"/>
                <w:szCs w:val="18"/>
              </w:rPr>
              <w:t>%</w:t>
            </w:r>
          </w:p>
        </w:tc>
        <w:tc>
          <w:tcPr>
            <w:tcW w:w="1359" w:type="dxa"/>
            <w:tcBorders>
              <w:left w:val="nil"/>
              <w:right w:val="nil"/>
            </w:tcBorders>
            <w:shd w:val="clear" w:color="auto" w:fill="0A7CB9"/>
            <w:tcMar>
              <w:top w:w="0" w:type="dxa"/>
              <w:left w:w="108" w:type="dxa"/>
              <w:bottom w:w="0" w:type="dxa"/>
              <w:right w:w="108" w:type="dxa"/>
            </w:tcMar>
          </w:tcPr>
          <w:p w14:paraId="2B7AA72C" w14:textId="77777777" w:rsidR="006A6BBE" w:rsidRPr="008833AE" w:rsidRDefault="006A6BBE" w:rsidP="006A6BBE">
            <w:pPr>
              <w:spacing w:before="40"/>
              <w:jc w:val="center"/>
              <w:rPr>
                <w:rFonts w:eastAsiaTheme="minorHAnsi"/>
                <w:b/>
                <w:bCs/>
                <w:color w:val="FFFFFF" w:themeColor="background1"/>
                <w:sz w:val="18"/>
                <w:szCs w:val="18"/>
              </w:rPr>
            </w:pPr>
            <w:r w:rsidRPr="008833AE">
              <w:rPr>
                <w:b/>
                <w:bCs/>
                <w:color w:val="FFFFFF" w:themeColor="background1"/>
                <w:sz w:val="18"/>
                <w:szCs w:val="18"/>
              </w:rPr>
              <w:t>%</w:t>
            </w:r>
          </w:p>
        </w:tc>
        <w:tc>
          <w:tcPr>
            <w:tcW w:w="1360" w:type="dxa"/>
            <w:tcBorders>
              <w:left w:val="nil"/>
              <w:right w:val="nil"/>
            </w:tcBorders>
            <w:shd w:val="clear" w:color="auto" w:fill="0A7CB9"/>
            <w:tcMar>
              <w:top w:w="0" w:type="dxa"/>
              <w:left w:w="108" w:type="dxa"/>
              <w:bottom w:w="0" w:type="dxa"/>
              <w:right w:w="108" w:type="dxa"/>
            </w:tcMar>
          </w:tcPr>
          <w:p w14:paraId="1B6C0034" w14:textId="77777777" w:rsidR="006A6BBE" w:rsidRPr="008833AE" w:rsidRDefault="006A6BBE" w:rsidP="006A6BBE">
            <w:pPr>
              <w:spacing w:before="40"/>
              <w:jc w:val="center"/>
              <w:rPr>
                <w:rFonts w:eastAsiaTheme="minorHAnsi"/>
                <w:b/>
                <w:bCs/>
                <w:color w:val="FFFFFF" w:themeColor="background1"/>
                <w:sz w:val="18"/>
                <w:szCs w:val="18"/>
              </w:rPr>
            </w:pPr>
            <w:r w:rsidRPr="008833AE">
              <w:rPr>
                <w:b/>
                <w:bCs/>
                <w:color w:val="FFFFFF" w:themeColor="background1"/>
                <w:sz w:val="18"/>
                <w:szCs w:val="18"/>
              </w:rPr>
              <w:t>%</w:t>
            </w:r>
          </w:p>
        </w:tc>
        <w:tc>
          <w:tcPr>
            <w:tcW w:w="1359" w:type="dxa"/>
            <w:tcBorders>
              <w:left w:val="nil"/>
              <w:right w:val="nil"/>
            </w:tcBorders>
            <w:shd w:val="clear" w:color="auto" w:fill="0A7CB9"/>
            <w:tcMar>
              <w:top w:w="0" w:type="dxa"/>
              <w:left w:w="108" w:type="dxa"/>
              <w:bottom w:w="0" w:type="dxa"/>
              <w:right w:w="108" w:type="dxa"/>
            </w:tcMar>
          </w:tcPr>
          <w:p w14:paraId="19508DBB" w14:textId="77777777" w:rsidR="006A6BBE" w:rsidRPr="008833AE" w:rsidRDefault="006A6BBE" w:rsidP="006A6BBE">
            <w:pPr>
              <w:spacing w:before="40"/>
              <w:jc w:val="center"/>
              <w:rPr>
                <w:rFonts w:eastAsiaTheme="minorHAnsi"/>
                <w:b/>
                <w:bCs/>
                <w:color w:val="FFFFFF" w:themeColor="background1"/>
                <w:sz w:val="18"/>
                <w:szCs w:val="18"/>
              </w:rPr>
            </w:pPr>
            <w:r w:rsidRPr="008833AE">
              <w:rPr>
                <w:b/>
                <w:bCs/>
                <w:color w:val="FFFFFF" w:themeColor="background1"/>
                <w:sz w:val="18"/>
                <w:szCs w:val="18"/>
              </w:rPr>
              <w:t>%</w:t>
            </w:r>
          </w:p>
        </w:tc>
        <w:tc>
          <w:tcPr>
            <w:tcW w:w="1360" w:type="dxa"/>
            <w:tcBorders>
              <w:left w:val="nil"/>
              <w:right w:val="nil"/>
            </w:tcBorders>
            <w:shd w:val="clear" w:color="auto" w:fill="0A7CB9"/>
            <w:tcMar>
              <w:top w:w="0" w:type="dxa"/>
              <w:left w:w="108" w:type="dxa"/>
              <w:bottom w:w="0" w:type="dxa"/>
              <w:right w:w="108" w:type="dxa"/>
            </w:tcMar>
          </w:tcPr>
          <w:p w14:paraId="4259F34F" w14:textId="77777777" w:rsidR="006A6BBE" w:rsidRPr="008833AE" w:rsidRDefault="006A6BBE" w:rsidP="006A6BBE">
            <w:pPr>
              <w:spacing w:before="40"/>
              <w:jc w:val="center"/>
              <w:rPr>
                <w:rFonts w:eastAsiaTheme="minorHAnsi"/>
                <w:b/>
                <w:bCs/>
                <w:color w:val="FFFFFF" w:themeColor="background1"/>
                <w:sz w:val="18"/>
                <w:szCs w:val="18"/>
              </w:rPr>
            </w:pPr>
            <w:r w:rsidRPr="008833AE">
              <w:rPr>
                <w:b/>
                <w:bCs/>
                <w:color w:val="FFFFFF" w:themeColor="background1"/>
                <w:sz w:val="18"/>
                <w:szCs w:val="18"/>
              </w:rPr>
              <w:t>%</w:t>
            </w:r>
          </w:p>
        </w:tc>
      </w:tr>
      <w:tr w:rsidR="004A3359" w:rsidRPr="008833AE" w14:paraId="2F009609" w14:textId="77777777" w:rsidTr="004A3359">
        <w:tc>
          <w:tcPr>
            <w:tcW w:w="2842" w:type="dxa"/>
            <w:tcMar>
              <w:top w:w="0" w:type="dxa"/>
              <w:left w:w="108" w:type="dxa"/>
              <w:bottom w:w="0" w:type="dxa"/>
              <w:right w:w="108" w:type="dxa"/>
            </w:tcMar>
            <w:vAlign w:val="center"/>
            <w:hideMark/>
          </w:tcPr>
          <w:p w14:paraId="6B0F5D00" w14:textId="77777777" w:rsidR="004A3359" w:rsidRPr="008833AE" w:rsidRDefault="004A3359" w:rsidP="003F1823">
            <w:pPr>
              <w:spacing w:before="80" w:after="80"/>
              <w:rPr>
                <w:rFonts w:eastAsiaTheme="minorHAnsi"/>
                <w:color w:val="000000"/>
                <w:sz w:val="18"/>
                <w:szCs w:val="18"/>
              </w:rPr>
            </w:pPr>
            <w:r w:rsidRPr="008833AE">
              <w:rPr>
                <w:color w:val="000000"/>
                <w:sz w:val="18"/>
                <w:szCs w:val="18"/>
              </w:rPr>
              <w:t>Liability discount rate</w:t>
            </w:r>
          </w:p>
        </w:tc>
        <w:tc>
          <w:tcPr>
            <w:tcW w:w="1359" w:type="dxa"/>
            <w:tcMar>
              <w:top w:w="0" w:type="dxa"/>
              <w:left w:w="108" w:type="dxa"/>
              <w:bottom w:w="0" w:type="dxa"/>
              <w:right w:w="108" w:type="dxa"/>
            </w:tcMar>
            <w:vAlign w:val="center"/>
          </w:tcPr>
          <w:p w14:paraId="476FC216" w14:textId="2327E864" w:rsidR="004A3359" w:rsidRPr="008833AE" w:rsidRDefault="004A3359" w:rsidP="003F1823">
            <w:pPr>
              <w:spacing w:before="80" w:after="80"/>
              <w:jc w:val="center"/>
              <w:rPr>
                <w:color w:val="000000"/>
                <w:sz w:val="18"/>
                <w:szCs w:val="18"/>
              </w:rPr>
            </w:pPr>
            <w:r w:rsidRPr="008833AE">
              <w:rPr>
                <w:color w:val="000000"/>
                <w:sz w:val="18"/>
                <w:szCs w:val="18"/>
              </w:rPr>
              <w:t>1.75</w:t>
            </w:r>
          </w:p>
        </w:tc>
        <w:tc>
          <w:tcPr>
            <w:tcW w:w="1359" w:type="dxa"/>
            <w:tcMar>
              <w:top w:w="0" w:type="dxa"/>
              <w:left w:w="108" w:type="dxa"/>
              <w:bottom w:w="0" w:type="dxa"/>
              <w:right w:w="108" w:type="dxa"/>
            </w:tcMar>
            <w:vAlign w:val="center"/>
          </w:tcPr>
          <w:p w14:paraId="25758DDA" w14:textId="4D0B1686" w:rsidR="004A3359" w:rsidRPr="008833AE" w:rsidRDefault="004A3359" w:rsidP="003F1823">
            <w:pPr>
              <w:spacing w:before="80" w:after="80"/>
              <w:jc w:val="center"/>
              <w:rPr>
                <w:color w:val="000000"/>
                <w:sz w:val="18"/>
                <w:szCs w:val="18"/>
              </w:rPr>
            </w:pPr>
            <w:r w:rsidRPr="008833AE">
              <w:rPr>
                <w:color w:val="000000"/>
                <w:sz w:val="18"/>
                <w:szCs w:val="18"/>
              </w:rPr>
              <w:t>1.75</w:t>
            </w:r>
          </w:p>
        </w:tc>
        <w:tc>
          <w:tcPr>
            <w:tcW w:w="1360" w:type="dxa"/>
            <w:tcMar>
              <w:top w:w="0" w:type="dxa"/>
              <w:left w:w="108" w:type="dxa"/>
              <w:bottom w:w="0" w:type="dxa"/>
              <w:right w:w="108" w:type="dxa"/>
            </w:tcMar>
            <w:vAlign w:val="center"/>
          </w:tcPr>
          <w:p w14:paraId="29CF9F17" w14:textId="3D6BF67C" w:rsidR="004A3359" w:rsidRPr="008833AE" w:rsidRDefault="004A3359" w:rsidP="003F1823">
            <w:pPr>
              <w:spacing w:before="80" w:after="80"/>
              <w:jc w:val="center"/>
              <w:rPr>
                <w:color w:val="000000"/>
                <w:sz w:val="18"/>
                <w:szCs w:val="18"/>
              </w:rPr>
            </w:pPr>
            <w:r w:rsidRPr="008833AE">
              <w:rPr>
                <w:color w:val="000000"/>
                <w:sz w:val="18"/>
                <w:szCs w:val="18"/>
              </w:rPr>
              <w:t>2.00</w:t>
            </w:r>
          </w:p>
        </w:tc>
        <w:tc>
          <w:tcPr>
            <w:tcW w:w="1359" w:type="dxa"/>
            <w:tcMar>
              <w:top w:w="0" w:type="dxa"/>
              <w:left w:w="108" w:type="dxa"/>
              <w:bottom w:w="0" w:type="dxa"/>
              <w:right w:w="108" w:type="dxa"/>
            </w:tcMar>
            <w:vAlign w:val="center"/>
          </w:tcPr>
          <w:p w14:paraId="1D17065B" w14:textId="71DBCAC9" w:rsidR="004A3359" w:rsidRPr="008833AE" w:rsidRDefault="004A3359" w:rsidP="003F1823">
            <w:pPr>
              <w:spacing w:before="80" w:after="80"/>
              <w:jc w:val="center"/>
              <w:rPr>
                <w:color w:val="000000"/>
                <w:sz w:val="18"/>
                <w:szCs w:val="18"/>
              </w:rPr>
            </w:pPr>
            <w:r w:rsidRPr="008833AE">
              <w:rPr>
                <w:color w:val="000000"/>
                <w:sz w:val="18"/>
                <w:szCs w:val="18"/>
              </w:rPr>
              <w:t>2.25</w:t>
            </w:r>
          </w:p>
        </w:tc>
        <w:tc>
          <w:tcPr>
            <w:tcW w:w="1360" w:type="dxa"/>
            <w:tcMar>
              <w:top w:w="0" w:type="dxa"/>
              <w:left w:w="108" w:type="dxa"/>
              <w:bottom w:w="0" w:type="dxa"/>
              <w:right w:w="108" w:type="dxa"/>
            </w:tcMar>
            <w:vAlign w:val="center"/>
          </w:tcPr>
          <w:p w14:paraId="175B9219" w14:textId="17FF75C3" w:rsidR="004A3359" w:rsidRPr="008833AE" w:rsidRDefault="004A3359" w:rsidP="003F1823">
            <w:pPr>
              <w:spacing w:before="80" w:after="80"/>
              <w:jc w:val="center"/>
              <w:rPr>
                <w:color w:val="000000"/>
                <w:sz w:val="18"/>
                <w:szCs w:val="18"/>
              </w:rPr>
            </w:pPr>
            <w:r w:rsidRPr="008833AE">
              <w:rPr>
                <w:color w:val="000000"/>
                <w:sz w:val="18"/>
                <w:szCs w:val="18"/>
              </w:rPr>
              <w:t>2.75</w:t>
            </w:r>
          </w:p>
        </w:tc>
      </w:tr>
      <w:tr w:rsidR="004A3359" w:rsidRPr="008833AE" w14:paraId="3ABC2FFE" w14:textId="77777777" w:rsidTr="004A3359">
        <w:tc>
          <w:tcPr>
            <w:tcW w:w="2842" w:type="dxa"/>
            <w:tcMar>
              <w:top w:w="0" w:type="dxa"/>
              <w:left w:w="108" w:type="dxa"/>
              <w:bottom w:w="0" w:type="dxa"/>
              <w:right w:w="108" w:type="dxa"/>
            </w:tcMar>
            <w:vAlign w:val="center"/>
            <w:hideMark/>
          </w:tcPr>
          <w:p w14:paraId="44889FA6" w14:textId="77777777" w:rsidR="004A3359" w:rsidRPr="008833AE" w:rsidRDefault="004A3359" w:rsidP="003F1823">
            <w:pPr>
              <w:spacing w:before="80" w:after="80"/>
              <w:ind w:left="176" w:right="-108" w:hanging="176"/>
              <w:rPr>
                <w:rFonts w:eastAsiaTheme="minorHAnsi"/>
                <w:color w:val="000000"/>
                <w:sz w:val="18"/>
                <w:szCs w:val="18"/>
              </w:rPr>
            </w:pPr>
            <w:r w:rsidRPr="008833AE">
              <w:rPr>
                <w:color w:val="000000"/>
                <w:sz w:val="18"/>
                <w:szCs w:val="18"/>
              </w:rPr>
              <w:t>Expected return on investments</w:t>
            </w:r>
          </w:p>
        </w:tc>
        <w:tc>
          <w:tcPr>
            <w:tcW w:w="1359" w:type="dxa"/>
            <w:tcMar>
              <w:top w:w="0" w:type="dxa"/>
              <w:left w:w="108" w:type="dxa"/>
              <w:bottom w:w="0" w:type="dxa"/>
              <w:right w:w="108" w:type="dxa"/>
            </w:tcMar>
            <w:vAlign w:val="center"/>
          </w:tcPr>
          <w:p w14:paraId="48618EFA" w14:textId="3E556D51" w:rsidR="004A3359" w:rsidRPr="008833AE" w:rsidRDefault="004A3359" w:rsidP="003F1823">
            <w:pPr>
              <w:spacing w:before="80" w:after="80"/>
              <w:jc w:val="center"/>
              <w:rPr>
                <w:color w:val="000000"/>
                <w:sz w:val="18"/>
                <w:szCs w:val="18"/>
              </w:rPr>
            </w:pPr>
            <w:r w:rsidRPr="008833AE">
              <w:rPr>
                <w:color w:val="000000"/>
                <w:sz w:val="18"/>
                <w:szCs w:val="18"/>
              </w:rPr>
              <w:t>7.76</w:t>
            </w:r>
          </w:p>
        </w:tc>
        <w:tc>
          <w:tcPr>
            <w:tcW w:w="1359" w:type="dxa"/>
            <w:tcMar>
              <w:top w:w="0" w:type="dxa"/>
              <w:left w:w="108" w:type="dxa"/>
              <w:bottom w:w="0" w:type="dxa"/>
              <w:right w:w="108" w:type="dxa"/>
            </w:tcMar>
            <w:vAlign w:val="center"/>
          </w:tcPr>
          <w:p w14:paraId="61B6E755" w14:textId="6E4F8E18" w:rsidR="004A3359" w:rsidRPr="008833AE" w:rsidRDefault="004A3359" w:rsidP="003F1823">
            <w:pPr>
              <w:spacing w:before="80" w:after="80"/>
              <w:jc w:val="center"/>
              <w:rPr>
                <w:color w:val="000000"/>
                <w:sz w:val="18"/>
                <w:szCs w:val="18"/>
              </w:rPr>
            </w:pPr>
            <w:r w:rsidRPr="008833AE">
              <w:rPr>
                <w:color w:val="000000"/>
                <w:sz w:val="18"/>
                <w:szCs w:val="18"/>
              </w:rPr>
              <w:t>7.40</w:t>
            </w:r>
          </w:p>
        </w:tc>
        <w:tc>
          <w:tcPr>
            <w:tcW w:w="1360" w:type="dxa"/>
            <w:tcMar>
              <w:top w:w="0" w:type="dxa"/>
              <w:left w:w="108" w:type="dxa"/>
              <w:bottom w:w="0" w:type="dxa"/>
              <w:right w:w="108" w:type="dxa"/>
            </w:tcMar>
            <w:vAlign w:val="center"/>
          </w:tcPr>
          <w:p w14:paraId="40D591E7" w14:textId="7D0B2E78" w:rsidR="004A3359" w:rsidRPr="008833AE" w:rsidRDefault="004A3359" w:rsidP="003F1823">
            <w:pPr>
              <w:spacing w:before="80" w:after="80"/>
              <w:jc w:val="center"/>
              <w:rPr>
                <w:color w:val="000000"/>
                <w:sz w:val="18"/>
                <w:szCs w:val="18"/>
              </w:rPr>
            </w:pPr>
            <w:r w:rsidRPr="008833AE">
              <w:rPr>
                <w:color w:val="000000"/>
                <w:sz w:val="18"/>
                <w:szCs w:val="18"/>
              </w:rPr>
              <w:t>7.40</w:t>
            </w:r>
          </w:p>
        </w:tc>
        <w:tc>
          <w:tcPr>
            <w:tcW w:w="1359" w:type="dxa"/>
            <w:tcMar>
              <w:top w:w="0" w:type="dxa"/>
              <w:left w:w="108" w:type="dxa"/>
              <w:bottom w:w="0" w:type="dxa"/>
              <w:right w:w="108" w:type="dxa"/>
            </w:tcMar>
            <w:vAlign w:val="center"/>
          </w:tcPr>
          <w:p w14:paraId="5C4B2594" w14:textId="3102A642" w:rsidR="004A3359" w:rsidRPr="008833AE" w:rsidRDefault="004A3359" w:rsidP="003F1823">
            <w:pPr>
              <w:spacing w:before="80" w:after="80"/>
              <w:jc w:val="center"/>
              <w:rPr>
                <w:color w:val="000000"/>
                <w:sz w:val="18"/>
                <w:szCs w:val="18"/>
              </w:rPr>
            </w:pPr>
            <w:r w:rsidRPr="008833AE">
              <w:rPr>
                <w:color w:val="000000"/>
                <w:sz w:val="18"/>
                <w:szCs w:val="18"/>
              </w:rPr>
              <w:t>7.40</w:t>
            </w:r>
          </w:p>
        </w:tc>
        <w:tc>
          <w:tcPr>
            <w:tcW w:w="1360" w:type="dxa"/>
            <w:tcMar>
              <w:top w:w="0" w:type="dxa"/>
              <w:left w:w="108" w:type="dxa"/>
              <w:bottom w:w="0" w:type="dxa"/>
              <w:right w:w="108" w:type="dxa"/>
            </w:tcMar>
            <w:vAlign w:val="center"/>
          </w:tcPr>
          <w:p w14:paraId="49ED96BA" w14:textId="4DB104C6" w:rsidR="004A3359" w:rsidRPr="008833AE" w:rsidRDefault="004A3359" w:rsidP="003F1823">
            <w:pPr>
              <w:spacing w:before="80" w:after="80"/>
              <w:jc w:val="center"/>
              <w:rPr>
                <w:color w:val="000000"/>
                <w:sz w:val="18"/>
                <w:szCs w:val="18"/>
              </w:rPr>
            </w:pPr>
            <w:r w:rsidRPr="008833AE">
              <w:rPr>
                <w:color w:val="000000"/>
                <w:sz w:val="18"/>
                <w:szCs w:val="18"/>
              </w:rPr>
              <w:t>7.40</w:t>
            </w:r>
          </w:p>
        </w:tc>
      </w:tr>
      <w:tr w:rsidR="004A3359" w:rsidRPr="008833AE" w14:paraId="3EEA40A2" w14:textId="77777777" w:rsidTr="003F1823">
        <w:trPr>
          <w:trHeight w:val="70"/>
        </w:trPr>
        <w:tc>
          <w:tcPr>
            <w:tcW w:w="2842" w:type="dxa"/>
            <w:tcMar>
              <w:top w:w="0" w:type="dxa"/>
              <w:left w:w="108" w:type="dxa"/>
              <w:bottom w:w="0" w:type="dxa"/>
              <w:right w:w="108" w:type="dxa"/>
            </w:tcMar>
            <w:vAlign w:val="center"/>
            <w:hideMark/>
          </w:tcPr>
          <w:p w14:paraId="6089F59E" w14:textId="5FE9FCE7" w:rsidR="004A3359" w:rsidRPr="008833AE" w:rsidRDefault="004A3359" w:rsidP="003F1823">
            <w:pPr>
              <w:spacing w:before="80" w:after="80"/>
              <w:rPr>
                <w:rFonts w:eastAsiaTheme="minorHAnsi"/>
                <w:color w:val="000000"/>
                <w:sz w:val="18"/>
                <w:szCs w:val="18"/>
              </w:rPr>
            </w:pPr>
            <w:r w:rsidRPr="008833AE">
              <w:rPr>
                <w:color w:val="000000"/>
                <w:sz w:val="18"/>
                <w:szCs w:val="18"/>
              </w:rPr>
              <w:t>Expected salary increases</w:t>
            </w:r>
          </w:p>
        </w:tc>
        <w:tc>
          <w:tcPr>
            <w:tcW w:w="1359" w:type="dxa"/>
            <w:tcMar>
              <w:top w:w="0" w:type="dxa"/>
              <w:left w:w="108" w:type="dxa"/>
              <w:bottom w:w="0" w:type="dxa"/>
              <w:right w:w="108" w:type="dxa"/>
            </w:tcMar>
            <w:vAlign w:val="center"/>
          </w:tcPr>
          <w:p w14:paraId="27A0A024" w14:textId="1B10EEC2" w:rsidR="004A3359" w:rsidRPr="008833AE" w:rsidRDefault="004A3359" w:rsidP="003F1823">
            <w:pPr>
              <w:spacing w:before="80" w:after="80"/>
              <w:jc w:val="center"/>
              <w:rPr>
                <w:color w:val="000000"/>
                <w:sz w:val="18"/>
                <w:szCs w:val="18"/>
              </w:rPr>
            </w:pPr>
            <w:r w:rsidRPr="008833AE">
              <w:rPr>
                <w:color w:val="000000"/>
                <w:sz w:val="18"/>
                <w:szCs w:val="18"/>
              </w:rPr>
              <w:t>2.70</w:t>
            </w:r>
          </w:p>
        </w:tc>
        <w:tc>
          <w:tcPr>
            <w:tcW w:w="1359" w:type="dxa"/>
            <w:tcMar>
              <w:top w:w="0" w:type="dxa"/>
              <w:left w:w="108" w:type="dxa"/>
              <w:bottom w:w="0" w:type="dxa"/>
              <w:right w:w="108" w:type="dxa"/>
            </w:tcMar>
            <w:vAlign w:val="center"/>
          </w:tcPr>
          <w:p w14:paraId="582C5493" w14:textId="73A43F3F" w:rsidR="004A3359" w:rsidRPr="008833AE" w:rsidRDefault="004A3359" w:rsidP="003F1823">
            <w:pPr>
              <w:spacing w:before="80" w:after="80"/>
              <w:jc w:val="center"/>
              <w:rPr>
                <w:color w:val="000000"/>
                <w:sz w:val="18"/>
                <w:szCs w:val="18"/>
              </w:rPr>
            </w:pPr>
            <w:r w:rsidRPr="008833AE">
              <w:rPr>
                <w:color w:val="000000"/>
                <w:sz w:val="18"/>
                <w:szCs w:val="18"/>
              </w:rPr>
              <w:t>2.70</w:t>
            </w:r>
          </w:p>
        </w:tc>
        <w:tc>
          <w:tcPr>
            <w:tcW w:w="1360" w:type="dxa"/>
            <w:tcMar>
              <w:top w:w="0" w:type="dxa"/>
              <w:left w:w="108" w:type="dxa"/>
              <w:bottom w:w="0" w:type="dxa"/>
              <w:right w:w="108" w:type="dxa"/>
            </w:tcMar>
            <w:vAlign w:val="center"/>
          </w:tcPr>
          <w:p w14:paraId="37B580E4" w14:textId="7F1B4B9E" w:rsidR="004A3359" w:rsidRPr="008833AE" w:rsidRDefault="004A3359" w:rsidP="003F1823">
            <w:pPr>
              <w:spacing w:before="80" w:after="80"/>
              <w:jc w:val="center"/>
              <w:rPr>
                <w:color w:val="000000"/>
                <w:sz w:val="18"/>
                <w:szCs w:val="18"/>
              </w:rPr>
            </w:pPr>
            <w:r w:rsidRPr="008833AE">
              <w:rPr>
                <w:color w:val="000000"/>
                <w:sz w:val="18"/>
                <w:szCs w:val="18"/>
              </w:rPr>
              <w:t>3.20</w:t>
            </w:r>
          </w:p>
        </w:tc>
        <w:tc>
          <w:tcPr>
            <w:tcW w:w="1359" w:type="dxa"/>
            <w:tcMar>
              <w:top w:w="0" w:type="dxa"/>
              <w:left w:w="108" w:type="dxa"/>
              <w:bottom w:w="0" w:type="dxa"/>
              <w:right w:w="108" w:type="dxa"/>
            </w:tcMar>
            <w:vAlign w:val="center"/>
          </w:tcPr>
          <w:p w14:paraId="491E7D79" w14:textId="5530F6CA" w:rsidR="004A3359" w:rsidRPr="008833AE" w:rsidRDefault="004A3359" w:rsidP="003F1823">
            <w:pPr>
              <w:spacing w:before="80" w:after="80"/>
              <w:jc w:val="center"/>
              <w:rPr>
                <w:color w:val="000000"/>
                <w:sz w:val="18"/>
                <w:szCs w:val="18"/>
              </w:rPr>
            </w:pPr>
            <w:r w:rsidRPr="008833AE">
              <w:rPr>
                <w:color w:val="000000"/>
                <w:sz w:val="18"/>
                <w:szCs w:val="18"/>
              </w:rPr>
              <w:t>3.20</w:t>
            </w:r>
          </w:p>
        </w:tc>
        <w:tc>
          <w:tcPr>
            <w:tcW w:w="1360" w:type="dxa"/>
            <w:tcMar>
              <w:top w:w="0" w:type="dxa"/>
              <w:left w:w="108" w:type="dxa"/>
              <w:bottom w:w="0" w:type="dxa"/>
              <w:right w:w="108" w:type="dxa"/>
            </w:tcMar>
            <w:vAlign w:val="center"/>
          </w:tcPr>
          <w:p w14:paraId="31C07236" w14:textId="5278901A" w:rsidR="004A3359" w:rsidRPr="008833AE" w:rsidRDefault="004A3359" w:rsidP="003F1823">
            <w:pPr>
              <w:spacing w:before="80" w:after="80"/>
              <w:jc w:val="center"/>
              <w:rPr>
                <w:color w:val="000000"/>
                <w:sz w:val="18"/>
                <w:szCs w:val="18"/>
              </w:rPr>
            </w:pPr>
            <w:r w:rsidRPr="008833AE">
              <w:rPr>
                <w:color w:val="000000"/>
                <w:sz w:val="18"/>
                <w:szCs w:val="18"/>
              </w:rPr>
              <w:t>3.20</w:t>
            </w:r>
          </w:p>
        </w:tc>
      </w:tr>
      <w:tr w:rsidR="004A3359" w:rsidRPr="008833AE" w14:paraId="7371E1F3" w14:textId="77777777" w:rsidTr="004A3359">
        <w:tc>
          <w:tcPr>
            <w:tcW w:w="2842" w:type="dxa"/>
            <w:tcBorders>
              <w:top w:val="nil"/>
              <w:left w:val="nil"/>
              <w:bottom w:val="single" w:sz="8" w:space="0" w:color="auto"/>
              <w:right w:val="nil"/>
            </w:tcBorders>
            <w:tcMar>
              <w:top w:w="0" w:type="dxa"/>
              <w:left w:w="108" w:type="dxa"/>
              <w:bottom w:w="0" w:type="dxa"/>
              <w:right w:w="108" w:type="dxa"/>
            </w:tcMar>
            <w:vAlign w:val="center"/>
            <w:hideMark/>
          </w:tcPr>
          <w:p w14:paraId="66E2555B" w14:textId="032E0BF1" w:rsidR="004A3359" w:rsidRPr="008833AE" w:rsidRDefault="004A3359" w:rsidP="003F1823">
            <w:pPr>
              <w:spacing w:before="80" w:after="80"/>
              <w:rPr>
                <w:rFonts w:eastAsiaTheme="minorHAnsi"/>
                <w:color w:val="000000"/>
                <w:sz w:val="18"/>
                <w:szCs w:val="18"/>
              </w:rPr>
            </w:pPr>
            <w:r w:rsidRPr="008833AE">
              <w:rPr>
                <w:color w:val="000000"/>
                <w:sz w:val="18"/>
                <w:szCs w:val="18"/>
              </w:rPr>
              <w:t>Expected rate of CPI</w:t>
            </w:r>
            <w:r w:rsidR="001530AE" w:rsidRPr="001530AE">
              <w:rPr>
                <w:color w:val="000000"/>
                <w:sz w:val="18"/>
                <w:szCs w:val="18"/>
                <w:vertAlign w:val="superscript"/>
              </w:rPr>
              <w:t>(a)</w:t>
            </w:r>
            <w:r w:rsidR="001530AE">
              <w:rPr>
                <w:color w:val="000000"/>
                <w:sz w:val="18"/>
                <w:szCs w:val="18"/>
              </w:rPr>
              <w:t xml:space="preserve"> </w:t>
            </w:r>
          </w:p>
        </w:tc>
        <w:tc>
          <w:tcPr>
            <w:tcW w:w="1359" w:type="dxa"/>
            <w:tcBorders>
              <w:top w:val="nil"/>
              <w:left w:val="nil"/>
              <w:bottom w:val="single" w:sz="8" w:space="0" w:color="auto"/>
              <w:right w:val="nil"/>
            </w:tcBorders>
            <w:tcMar>
              <w:top w:w="0" w:type="dxa"/>
              <w:left w:w="108" w:type="dxa"/>
              <w:bottom w:w="0" w:type="dxa"/>
              <w:right w:w="108" w:type="dxa"/>
            </w:tcMar>
            <w:vAlign w:val="center"/>
          </w:tcPr>
          <w:p w14:paraId="13F16518" w14:textId="763D24C9" w:rsidR="004A3359" w:rsidRPr="008833AE" w:rsidRDefault="004A3359" w:rsidP="003F1823">
            <w:pPr>
              <w:spacing w:before="80" w:after="80"/>
              <w:jc w:val="center"/>
              <w:rPr>
                <w:color w:val="000000"/>
                <w:sz w:val="18"/>
                <w:szCs w:val="18"/>
              </w:rPr>
            </w:pPr>
            <w:r w:rsidRPr="008833AE">
              <w:rPr>
                <w:color w:val="000000"/>
                <w:sz w:val="18"/>
                <w:szCs w:val="18"/>
              </w:rPr>
              <w:t>1.75</w:t>
            </w:r>
          </w:p>
        </w:tc>
        <w:tc>
          <w:tcPr>
            <w:tcW w:w="1359" w:type="dxa"/>
            <w:tcBorders>
              <w:top w:val="nil"/>
              <w:left w:val="nil"/>
              <w:bottom w:val="single" w:sz="8" w:space="0" w:color="auto"/>
              <w:right w:val="nil"/>
            </w:tcBorders>
            <w:tcMar>
              <w:top w:w="0" w:type="dxa"/>
              <w:left w:w="108" w:type="dxa"/>
              <w:bottom w:w="0" w:type="dxa"/>
              <w:right w:w="108" w:type="dxa"/>
            </w:tcMar>
            <w:vAlign w:val="center"/>
          </w:tcPr>
          <w:p w14:paraId="2EC005D0" w14:textId="22B93014" w:rsidR="004A3359" w:rsidRPr="008833AE" w:rsidRDefault="004A3359" w:rsidP="003F1823">
            <w:pPr>
              <w:spacing w:before="80" w:after="80"/>
              <w:jc w:val="center"/>
              <w:rPr>
                <w:color w:val="000000"/>
                <w:sz w:val="18"/>
                <w:szCs w:val="18"/>
              </w:rPr>
            </w:pPr>
            <w:r w:rsidRPr="008833AE">
              <w:rPr>
                <w:color w:val="000000"/>
                <w:sz w:val="18"/>
                <w:szCs w:val="18"/>
              </w:rPr>
              <w:t>2.00</w:t>
            </w:r>
          </w:p>
        </w:tc>
        <w:tc>
          <w:tcPr>
            <w:tcW w:w="1360" w:type="dxa"/>
            <w:tcBorders>
              <w:top w:val="nil"/>
              <w:left w:val="nil"/>
              <w:bottom w:val="single" w:sz="8" w:space="0" w:color="auto"/>
              <w:right w:val="nil"/>
            </w:tcBorders>
            <w:tcMar>
              <w:top w:w="0" w:type="dxa"/>
              <w:left w:w="108" w:type="dxa"/>
              <w:bottom w:w="0" w:type="dxa"/>
              <w:right w:w="108" w:type="dxa"/>
            </w:tcMar>
            <w:vAlign w:val="center"/>
          </w:tcPr>
          <w:p w14:paraId="17ABC9F7" w14:textId="357628E3" w:rsidR="004A3359" w:rsidRPr="008833AE" w:rsidRDefault="004A3359" w:rsidP="003F1823">
            <w:pPr>
              <w:spacing w:before="80" w:after="80"/>
              <w:jc w:val="center"/>
              <w:rPr>
                <w:color w:val="000000"/>
                <w:sz w:val="18"/>
                <w:szCs w:val="18"/>
              </w:rPr>
            </w:pPr>
            <w:r w:rsidRPr="008833AE">
              <w:rPr>
                <w:color w:val="000000"/>
                <w:sz w:val="18"/>
                <w:szCs w:val="18"/>
              </w:rPr>
              <w:t>2.00</w:t>
            </w:r>
          </w:p>
        </w:tc>
        <w:tc>
          <w:tcPr>
            <w:tcW w:w="1359" w:type="dxa"/>
            <w:tcBorders>
              <w:top w:val="nil"/>
              <w:left w:val="nil"/>
              <w:bottom w:val="single" w:sz="8" w:space="0" w:color="auto"/>
              <w:right w:val="nil"/>
            </w:tcBorders>
            <w:tcMar>
              <w:top w:w="0" w:type="dxa"/>
              <w:left w:w="108" w:type="dxa"/>
              <w:bottom w:w="0" w:type="dxa"/>
              <w:right w:w="108" w:type="dxa"/>
            </w:tcMar>
            <w:vAlign w:val="center"/>
          </w:tcPr>
          <w:p w14:paraId="346FD48F" w14:textId="110B5A18" w:rsidR="004A3359" w:rsidRPr="008833AE" w:rsidRDefault="004A3359" w:rsidP="003F1823">
            <w:pPr>
              <w:spacing w:before="80" w:after="80"/>
              <w:jc w:val="center"/>
              <w:rPr>
                <w:color w:val="000000"/>
                <w:sz w:val="18"/>
                <w:szCs w:val="18"/>
              </w:rPr>
            </w:pPr>
            <w:r w:rsidRPr="008833AE">
              <w:rPr>
                <w:color w:val="000000"/>
                <w:sz w:val="18"/>
                <w:szCs w:val="18"/>
              </w:rPr>
              <w:t>2.25</w:t>
            </w:r>
          </w:p>
        </w:tc>
        <w:tc>
          <w:tcPr>
            <w:tcW w:w="1360" w:type="dxa"/>
            <w:tcBorders>
              <w:top w:val="nil"/>
              <w:left w:val="nil"/>
              <w:bottom w:val="single" w:sz="8" w:space="0" w:color="auto"/>
              <w:right w:val="nil"/>
            </w:tcBorders>
            <w:tcMar>
              <w:top w:w="0" w:type="dxa"/>
              <w:left w:w="108" w:type="dxa"/>
              <w:bottom w:w="0" w:type="dxa"/>
              <w:right w:w="108" w:type="dxa"/>
            </w:tcMar>
            <w:vAlign w:val="center"/>
          </w:tcPr>
          <w:p w14:paraId="413A44E5" w14:textId="7B8C0516" w:rsidR="004A3359" w:rsidRPr="008833AE" w:rsidRDefault="004A3359" w:rsidP="003F1823">
            <w:pPr>
              <w:spacing w:before="80" w:after="80"/>
              <w:jc w:val="center"/>
              <w:rPr>
                <w:color w:val="000000"/>
                <w:sz w:val="18"/>
                <w:szCs w:val="18"/>
              </w:rPr>
            </w:pPr>
            <w:r w:rsidRPr="008833AE">
              <w:rPr>
                <w:color w:val="000000"/>
                <w:sz w:val="18"/>
                <w:szCs w:val="18"/>
              </w:rPr>
              <w:t>2.50</w:t>
            </w:r>
          </w:p>
        </w:tc>
      </w:tr>
    </w:tbl>
    <w:p w14:paraId="48CC171D" w14:textId="77777777" w:rsidR="00601BA9" w:rsidRPr="00601BA9" w:rsidRDefault="00601BA9" w:rsidP="00601BA9">
      <w:pPr>
        <w:rPr>
          <w:sz w:val="6"/>
          <w:szCs w:val="6"/>
        </w:rPr>
      </w:pPr>
    </w:p>
    <w:p w14:paraId="45D308A2" w14:textId="3705E9E3" w:rsidR="001530AE" w:rsidRPr="00601BA9" w:rsidRDefault="001530AE" w:rsidP="00601BA9">
      <w:pPr>
        <w:pStyle w:val="ListParagraph"/>
        <w:numPr>
          <w:ilvl w:val="0"/>
          <w:numId w:val="43"/>
        </w:numPr>
        <w:ind w:left="357" w:hanging="357"/>
      </w:pPr>
      <w:r w:rsidRPr="00601BA9">
        <w:t>2017-18 to 2020-21 includes ¼ percentage point from tobacco excise increases</w:t>
      </w:r>
    </w:p>
    <w:p w14:paraId="76283ADA" w14:textId="2FB4CAC1" w:rsidR="00437D43" w:rsidRPr="008833AE" w:rsidRDefault="00437D43" w:rsidP="00FD05E6">
      <w:pPr>
        <w:pStyle w:val="Heading4"/>
        <w:rPr>
          <w:rFonts w:ascii="Arial" w:hAnsi="Arial" w:cs="Arial"/>
        </w:rPr>
      </w:pPr>
      <w:r w:rsidRPr="008833AE">
        <w:rPr>
          <w:rFonts w:ascii="Arial" w:hAnsi="Arial" w:cs="Arial"/>
        </w:rPr>
        <w:t>Depreciation</w:t>
      </w:r>
      <w:r w:rsidR="00B5183A" w:rsidRPr="008833AE">
        <w:rPr>
          <w:rFonts w:ascii="Arial" w:hAnsi="Arial" w:cs="Arial"/>
        </w:rPr>
        <w:t xml:space="preserve"> and amortisation</w:t>
      </w:r>
    </w:p>
    <w:p w14:paraId="0066BDA0" w14:textId="64BAF965" w:rsidR="00437D43" w:rsidRPr="008833AE" w:rsidRDefault="00437D43" w:rsidP="00AD1127">
      <w:pPr>
        <w:pStyle w:val="BodyText"/>
      </w:pPr>
      <w:r w:rsidRPr="008833AE">
        <w:t xml:space="preserve">Property, plant and equipment </w:t>
      </w:r>
      <w:r w:rsidR="00B140F1" w:rsidRPr="008833AE">
        <w:t xml:space="preserve">are </w:t>
      </w:r>
      <w:r w:rsidRPr="008833AE">
        <w:t xml:space="preserve">depreciated (net of residual value) over </w:t>
      </w:r>
      <w:r w:rsidR="00B140F1" w:rsidRPr="008833AE">
        <w:t xml:space="preserve">their respective </w:t>
      </w:r>
      <w:r w:rsidRPr="008833AE">
        <w:t xml:space="preserve">useful </w:t>
      </w:r>
      <w:r w:rsidR="00B140F1" w:rsidRPr="008833AE">
        <w:t>lives</w:t>
      </w:r>
      <w:r w:rsidR="00F70077" w:rsidRPr="008833AE">
        <w:t>.</w:t>
      </w:r>
      <w:r w:rsidR="00E654F6" w:rsidRPr="008833AE">
        <w:t xml:space="preserve">  </w:t>
      </w:r>
      <w:r w:rsidR="000773A3" w:rsidRPr="008833AE">
        <w:t>R</w:t>
      </w:r>
      <w:r w:rsidR="006B61A4" w:rsidRPr="008833AE">
        <w:t xml:space="preserve">ight-of-use </w:t>
      </w:r>
      <w:r w:rsidR="00E654F6" w:rsidRPr="008833AE">
        <w:t>assets</w:t>
      </w:r>
      <w:r w:rsidR="00F70077" w:rsidRPr="008833AE">
        <w:t xml:space="preserve"> are </w:t>
      </w:r>
      <w:r w:rsidR="0008352D">
        <w:t xml:space="preserve">generally </w:t>
      </w:r>
      <w:r w:rsidR="00F70077" w:rsidRPr="008833AE">
        <w:t>depreciated</w:t>
      </w:r>
      <w:r w:rsidR="00E654F6" w:rsidRPr="008833AE">
        <w:t xml:space="preserve"> </w:t>
      </w:r>
      <w:r w:rsidR="00E34233" w:rsidRPr="008833AE">
        <w:t>over their respective lease</w:t>
      </w:r>
      <w:r w:rsidR="005363FD">
        <w:t xml:space="preserve"> term</w:t>
      </w:r>
      <w:r w:rsidR="00E34233" w:rsidRPr="008833AE">
        <w:t xml:space="preserve"> </w:t>
      </w:r>
      <w:r w:rsidR="008B48CE" w:rsidRPr="008833AE">
        <w:t>(from 2019-20 onwards)</w:t>
      </w:r>
      <w:r w:rsidRPr="008833AE">
        <w:t>. Depreciation is generally allocated on a straight-line basis.</w:t>
      </w:r>
    </w:p>
    <w:p w14:paraId="0085637E" w14:textId="31259F58" w:rsidR="00437D43" w:rsidRPr="008833AE" w:rsidRDefault="00437D43" w:rsidP="00AD1127">
      <w:pPr>
        <w:pStyle w:val="BodyText"/>
      </w:pPr>
      <w:r w:rsidRPr="008833AE">
        <w:t xml:space="preserve">Depreciation is forecast </w:t>
      </w:r>
      <w:proofErr w:type="gramStart"/>
      <w:r w:rsidRPr="008833AE">
        <w:t>on the basis of</w:t>
      </w:r>
      <w:proofErr w:type="gramEnd"/>
      <w:r w:rsidRPr="008833AE">
        <w:t xml:space="preserve"> known asset carrying valuations, the expected economic life of assets, assumed new asset investment and asset sale programs. The </w:t>
      </w:r>
      <w:r w:rsidR="00B93081" w:rsidRPr="008833AE">
        <w:t xml:space="preserve">depreciation </w:t>
      </w:r>
      <w:r w:rsidRPr="008833AE">
        <w:t xml:space="preserve">expense </w:t>
      </w:r>
      <w:proofErr w:type="gramStart"/>
      <w:r w:rsidRPr="008833AE">
        <w:t>is based on the assumption</w:t>
      </w:r>
      <w:proofErr w:type="gramEnd"/>
      <w:r w:rsidRPr="008833AE">
        <w:t xml:space="preserve"> that there will be no change in depreciation rates over the forecast period but includes the estimated impact of the current and future revaluation of assets over the forecast period. The depreciation expense may also be impacted by future changes in useful lives, carrying value, residual value or valuation methodology.</w:t>
      </w:r>
    </w:p>
    <w:p w14:paraId="18468D61" w14:textId="77777777" w:rsidR="00437D43" w:rsidRPr="008833AE" w:rsidRDefault="00437D43" w:rsidP="00AD1127">
      <w:pPr>
        <w:pStyle w:val="BodyText"/>
      </w:pPr>
      <w:r w:rsidRPr="008833AE">
        <w:t xml:space="preserve">Certain heritage assets, including original artworks and collections and heritage buildings, may not have limited useful </w:t>
      </w:r>
      <w:r w:rsidR="00B93081" w:rsidRPr="008833AE">
        <w:t xml:space="preserve">lives </w:t>
      </w:r>
      <w:r w:rsidRPr="008833AE">
        <w:t>because appropriate custodial and preservation policies are adopted. Such assets are not subject to depreciation. Land is not a depreciable asset.</w:t>
      </w:r>
    </w:p>
    <w:p w14:paraId="65AA715A" w14:textId="0C51D1BB" w:rsidR="00437D43" w:rsidRPr="008833AE" w:rsidRDefault="00437D43" w:rsidP="00AD1127">
      <w:pPr>
        <w:pStyle w:val="BodyText"/>
      </w:pPr>
      <w:r w:rsidRPr="008833AE">
        <w:lastRenderedPageBreak/>
        <w:t xml:space="preserve">Intangible assets with finite </w:t>
      </w:r>
      <w:proofErr w:type="gramStart"/>
      <w:r w:rsidRPr="008833AE">
        <w:t>lives</w:t>
      </w:r>
      <w:proofErr w:type="gramEnd"/>
      <w:r w:rsidRPr="008833AE">
        <w:t xml:space="preserve"> are amortised </w:t>
      </w:r>
      <w:r w:rsidR="00DA15D9" w:rsidRPr="008833AE">
        <w:t xml:space="preserve">using </w:t>
      </w:r>
      <w:r w:rsidRPr="008833AE">
        <w:t xml:space="preserve">the </w:t>
      </w:r>
      <w:r w:rsidR="00B66971" w:rsidRPr="008833AE">
        <w:t>straight-</w:t>
      </w:r>
      <w:r w:rsidRPr="008833AE">
        <w:t>line method.</w:t>
      </w:r>
      <w:r w:rsidRPr="008833AE">
        <w:rPr>
          <w:i/>
        </w:rPr>
        <w:t xml:space="preserve"> </w:t>
      </w:r>
      <w:r w:rsidRPr="008833AE">
        <w:t xml:space="preserve">Intangible assets with indefinite </w:t>
      </w:r>
      <w:proofErr w:type="gramStart"/>
      <w:r w:rsidR="00B66971" w:rsidRPr="008833AE">
        <w:t>lives</w:t>
      </w:r>
      <w:proofErr w:type="gramEnd"/>
      <w:r w:rsidR="00B66971" w:rsidRPr="008833AE">
        <w:t xml:space="preserve"> </w:t>
      </w:r>
      <w:r w:rsidRPr="008833AE">
        <w:t>are not amortised, but tested for impairment annually.</w:t>
      </w:r>
    </w:p>
    <w:p w14:paraId="56CB882C" w14:textId="77777777" w:rsidR="00437D43" w:rsidRPr="008833AE" w:rsidRDefault="00437D43" w:rsidP="00461E92">
      <w:pPr>
        <w:pStyle w:val="Heading4"/>
        <w:keepNext/>
        <w:rPr>
          <w:rFonts w:ascii="Arial" w:hAnsi="Arial" w:cs="Arial"/>
          <w:lang w:eastAsia="en-AU"/>
        </w:rPr>
      </w:pPr>
      <w:r w:rsidRPr="008833AE">
        <w:rPr>
          <w:rFonts w:ascii="Arial" w:hAnsi="Arial" w:cs="Arial"/>
          <w:lang w:eastAsia="en-AU"/>
        </w:rPr>
        <w:t>Interest expense</w:t>
      </w:r>
    </w:p>
    <w:p w14:paraId="084813FD" w14:textId="73FE91D2" w:rsidR="00F71781" w:rsidRPr="008833AE" w:rsidRDefault="00AC7FBA" w:rsidP="00E63990">
      <w:pPr>
        <w:pStyle w:val="BodyText"/>
        <w:rPr>
          <w:rFonts w:eastAsia="Arial Unicode MS"/>
          <w:kern w:val="28"/>
          <w:szCs w:val="36"/>
        </w:rPr>
      </w:pPr>
      <w:r w:rsidRPr="008833AE">
        <w:t>Estimates f</w:t>
      </w:r>
      <w:r w:rsidR="00437D43" w:rsidRPr="008833AE">
        <w:t>or interest expense are based on</w:t>
      </w:r>
      <w:r w:rsidR="0008790C" w:rsidRPr="008833AE">
        <w:t xml:space="preserve"> </w:t>
      </w:r>
      <w:r w:rsidR="00BD75DE" w:rsidRPr="008833AE">
        <w:t xml:space="preserve">the forecast levels of </w:t>
      </w:r>
      <w:r w:rsidR="000168BA" w:rsidRPr="008833AE">
        <w:t>outstanding</w:t>
      </w:r>
      <w:r w:rsidR="00437D43" w:rsidRPr="008833AE">
        <w:t xml:space="preserve"> </w:t>
      </w:r>
      <w:r w:rsidR="007B050B" w:rsidRPr="008833AE">
        <w:t>borrowings</w:t>
      </w:r>
      <w:r w:rsidR="00876F71">
        <w:t xml:space="preserve"> </w:t>
      </w:r>
      <w:r w:rsidR="0067760D" w:rsidRPr="008833AE">
        <w:t>(</w:t>
      </w:r>
      <w:r w:rsidR="00876F71">
        <w:t xml:space="preserve">e.g. </w:t>
      </w:r>
      <w:r w:rsidR="0067760D" w:rsidRPr="008833AE">
        <w:t xml:space="preserve">debt facilities with NSW </w:t>
      </w:r>
      <w:proofErr w:type="spellStart"/>
      <w:r w:rsidR="0067760D" w:rsidRPr="008833AE">
        <w:t>TCorp</w:t>
      </w:r>
      <w:proofErr w:type="spellEnd"/>
      <w:r w:rsidR="0067760D" w:rsidRPr="008833AE">
        <w:t xml:space="preserve"> and lease liabilities)</w:t>
      </w:r>
      <w:r w:rsidR="00BD75DE" w:rsidRPr="008833AE">
        <w:t xml:space="preserve">, </w:t>
      </w:r>
      <w:r w:rsidR="007B050B" w:rsidRPr="008833AE">
        <w:t>other long-term</w:t>
      </w:r>
      <w:r w:rsidR="00BD75DE" w:rsidRPr="008833AE">
        <w:t xml:space="preserve"> financial liabilities and provisions. </w:t>
      </w:r>
      <w:r w:rsidR="00F35244" w:rsidRPr="008833AE">
        <w:t xml:space="preserve">Interest expense on </w:t>
      </w:r>
      <w:r w:rsidR="00D81F1F" w:rsidRPr="008833AE">
        <w:t xml:space="preserve">new borrowings (including any refinancing of existing borrowings) are based on forward estimates from </w:t>
      </w:r>
      <w:proofErr w:type="spellStart"/>
      <w:r w:rsidR="00D81F1F" w:rsidRPr="008833AE">
        <w:t>TCorp</w:t>
      </w:r>
      <w:proofErr w:type="spellEnd"/>
      <w:r w:rsidR="0064322C" w:rsidRPr="008833AE">
        <w:t>.</w:t>
      </w:r>
    </w:p>
    <w:p w14:paraId="50338416" w14:textId="60ED788B" w:rsidR="00437D43" w:rsidRPr="008833AE" w:rsidRDefault="00437D43" w:rsidP="00F2704A">
      <w:pPr>
        <w:pStyle w:val="Heading4"/>
        <w:keepNext/>
        <w:rPr>
          <w:rFonts w:ascii="Arial" w:hAnsi="Arial" w:cs="Arial"/>
          <w:lang w:eastAsia="en-AU"/>
        </w:rPr>
      </w:pPr>
      <w:r w:rsidRPr="008833AE">
        <w:rPr>
          <w:rFonts w:ascii="Arial" w:hAnsi="Arial" w:cs="Arial"/>
          <w:lang w:eastAsia="en-AU"/>
        </w:rPr>
        <w:t>Other operating expenses</w:t>
      </w:r>
    </w:p>
    <w:p w14:paraId="635F1C27" w14:textId="7AF7613B" w:rsidR="00437D43" w:rsidRPr="008833AE" w:rsidRDefault="00437D43" w:rsidP="00AD1127">
      <w:pPr>
        <w:pStyle w:val="BodyText"/>
      </w:pPr>
      <w:r w:rsidRPr="008833AE">
        <w:t>Other operating expenses mainly represent the day-to-day running costs incurred in the normal operations of agencies and include the cost of supplies and services. They are forecast by applying appropriate economic parameters and known activity changes</w:t>
      </w:r>
      <w:r w:rsidR="00B929CC" w:rsidRPr="008833AE">
        <w:t>. This</w:t>
      </w:r>
      <w:r w:rsidRPr="008833AE">
        <w:t xml:space="preserve"> includ</w:t>
      </w:r>
      <w:r w:rsidR="00B929CC" w:rsidRPr="008833AE">
        <w:t>es</w:t>
      </w:r>
      <w:r w:rsidRPr="008833AE">
        <w:t xml:space="preserve"> planned changes in the method of service delivery and the application of government </w:t>
      </w:r>
      <w:r w:rsidR="009F7EBF" w:rsidRPr="008833AE">
        <w:t>policies</w:t>
      </w:r>
      <w:r w:rsidRPr="008833AE">
        <w:t>. Other operating expenses also reflect the impact of government efficiency strategies, such as efficiency dividends.</w:t>
      </w:r>
    </w:p>
    <w:p w14:paraId="52C7EE0A" w14:textId="77777777" w:rsidR="00437D43" w:rsidRPr="008833AE" w:rsidRDefault="00437D43" w:rsidP="004E114C">
      <w:pPr>
        <w:pStyle w:val="Heading4"/>
        <w:keepNext/>
        <w:keepLines/>
        <w:rPr>
          <w:rFonts w:ascii="Arial" w:hAnsi="Arial" w:cs="Arial"/>
          <w:lang w:eastAsia="en-AU"/>
        </w:rPr>
      </w:pPr>
      <w:r w:rsidRPr="008833AE">
        <w:rPr>
          <w:rFonts w:ascii="Arial" w:hAnsi="Arial" w:cs="Arial"/>
          <w:lang w:eastAsia="en-AU"/>
        </w:rPr>
        <w:t>Grants and subsidies expense</w:t>
      </w:r>
    </w:p>
    <w:p w14:paraId="5B03E8B9" w14:textId="77777777" w:rsidR="00437D43" w:rsidRPr="008833AE" w:rsidRDefault="00437D43" w:rsidP="00AD1127">
      <w:pPr>
        <w:pStyle w:val="BodyText"/>
      </w:pPr>
      <w:r w:rsidRPr="008833AE">
        <w:t>Grant</w:t>
      </w:r>
      <w:r w:rsidR="00436762" w:rsidRPr="008833AE">
        <w:t>s</w:t>
      </w:r>
      <w:r w:rsidRPr="008833AE">
        <w:t xml:space="preserve"> and </w:t>
      </w:r>
      <w:r w:rsidR="00436762" w:rsidRPr="008833AE">
        <w:t xml:space="preserve">subsidies </w:t>
      </w:r>
      <w:r w:rsidRPr="008833AE">
        <w:t>expense</w:t>
      </w:r>
      <w:r w:rsidR="00A2039A" w:rsidRPr="008833AE">
        <w:t>s</w:t>
      </w:r>
      <w:r w:rsidRPr="008833AE">
        <w:t xml:space="preserve"> generally comprise cash contributions to local government authorities and non-government organisations. For the </w:t>
      </w:r>
      <w:r w:rsidR="00D9596E" w:rsidRPr="008833AE">
        <w:t>GGS,</w:t>
      </w:r>
      <w:r w:rsidRPr="008833AE">
        <w:t xml:space="preserve"> they include grants and subsidies paid to the </w:t>
      </w:r>
      <w:r w:rsidR="00D9596E" w:rsidRPr="008833AE">
        <w:t>PNFC</w:t>
      </w:r>
      <w:r w:rsidR="002840F4" w:rsidRPr="008833AE">
        <w:t xml:space="preserve"> </w:t>
      </w:r>
      <w:r w:rsidR="00271652" w:rsidRPr="008833AE">
        <w:t xml:space="preserve">and </w:t>
      </w:r>
      <w:r w:rsidR="00D9596E" w:rsidRPr="008833AE">
        <w:t>PFC</w:t>
      </w:r>
      <w:r w:rsidR="002840F4" w:rsidRPr="008833AE">
        <w:t xml:space="preserve"> </w:t>
      </w:r>
      <w:r w:rsidR="00CA0A5D" w:rsidRPr="008833AE">
        <w:t>sectors</w:t>
      </w:r>
      <w:r w:rsidR="00271652" w:rsidRPr="008833AE">
        <w:t>.</w:t>
      </w:r>
      <w:r w:rsidRPr="008833AE">
        <w:t xml:space="preserve"> The forecast grant payments are determined </w:t>
      </w:r>
      <w:r w:rsidR="00D9596E" w:rsidRPr="008833AE">
        <w:t xml:space="preserve">by </w:t>
      </w:r>
      <w:proofErr w:type="gramStart"/>
      <w:r w:rsidRPr="008833AE">
        <w:t>taking into account</w:t>
      </w:r>
      <w:proofErr w:type="gramEnd"/>
      <w:r w:rsidRPr="008833AE">
        <w:t xml:space="preserve"> current and past policy decisions, the forecast payment schedules and escalation factors relevant to each type of grant.</w:t>
      </w:r>
    </w:p>
    <w:p w14:paraId="4003DB0C" w14:textId="77777777" w:rsidR="00437D43" w:rsidRPr="008833AE" w:rsidRDefault="00437D43" w:rsidP="00E42BF4">
      <w:pPr>
        <w:pStyle w:val="Heading3"/>
        <w:rPr>
          <w:rFonts w:ascii="Arial" w:hAnsi="Arial" w:cs="Arial"/>
          <w:b w:val="0"/>
          <w:lang w:eastAsia="en-AU"/>
        </w:rPr>
      </w:pPr>
      <w:r w:rsidRPr="008833AE">
        <w:rPr>
          <w:rFonts w:ascii="Arial" w:hAnsi="Arial" w:cs="Arial"/>
          <w:lang w:eastAsia="en-AU"/>
        </w:rPr>
        <w:t xml:space="preserve">Other </w:t>
      </w:r>
      <w:r w:rsidR="008E3211" w:rsidRPr="008833AE">
        <w:rPr>
          <w:rFonts w:ascii="Arial" w:hAnsi="Arial" w:cs="Arial"/>
          <w:lang w:eastAsia="en-AU"/>
        </w:rPr>
        <w:t>e</w:t>
      </w:r>
      <w:r w:rsidRPr="008833AE">
        <w:rPr>
          <w:rFonts w:ascii="Arial" w:hAnsi="Arial" w:cs="Arial"/>
          <w:lang w:eastAsia="en-AU"/>
        </w:rPr>
        <w:t xml:space="preserve">conomic </w:t>
      </w:r>
      <w:r w:rsidR="008E3211" w:rsidRPr="008833AE">
        <w:rPr>
          <w:rFonts w:ascii="Arial" w:hAnsi="Arial" w:cs="Arial"/>
          <w:lang w:eastAsia="en-AU"/>
        </w:rPr>
        <w:t>f</w:t>
      </w:r>
      <w:r w:rsidRPr="008833AE">
        <w:rPr>
          <w:rFonts w:ascii="Arial" w:hAnsi="Arial" w:cs="Arial"/>
          <w:lang w:eastAsia="en-AU"/>
        </w:rPr>
        <w:t>lows</w:t>
      </w:r>
    </w:p>
    <w:p w14:paraId="6EF72D07" w14:textId="77777777" w:rsidR="00437D43" w:rsidRPr="008833AE" w:rsidRDefault="00437D43" w:rsidP="00E42BF4">
      <w:pPr>
        <w:pStyle w:val="Heading4"/>
        <w:keepNext/>
        <w:rPr>
          <w:rFonts w:ascii="Arial" w:hAnsi="Arial" w:cs="Arial"/>
          <w:lang w:eastAsia="en-AU"/>
        </w:rPr>
      </w:pPr>
      <w:r w:rsidRPr="008833AE">
        <w:rPr>
          <w:rFonts w:ascii="Arial" w:hAnsi="Arial" w:cs="Arial"/>
          <w:lang w:eastAsia="en-AU"/>
        </w:rPr>
        <w:t>Revaluations</w:t>
      </w:r>
    </w:p>
    <w:p w14:paraId="1B87654C" w14:textId="0016A976" w:rsidR="00437D43" w:rsidRPr="008833AE" w:rsidRDefault="00437D43" w:rsidP="00AD1127">
      <w:pPr>
        <w:pStyle w:val="BodyText"/>
      </w:pPr>
      <w:r w:rsidRPr="008833AE">
        <w:t xml:space="preserve">The estimates are based on an examination and extrapolation of historical trends in the valuation of </w:t>
      </w:r>
      <w:r w:rsidR="00D1440D" w:rsidRPr="008833AE">
        <w:t>property, plant and equipment</w:t>
      </w:r>
      <w:r w:rsidRPr="008833AE">
        <w:t xml:space="preserve">. The </w:t>
      </w:r>
      <w:r w:rsidR="00710AD9">
        <w:t>b</w:t>
      </w:r>
      <w:r w:rsidR="00876F71">
        <w:t xml:space="preserve">udget and </w:t>
      </w:r>
      <w:r w:rsidRPr="008833AE">
        <w:t xml:space="preserve">forward estimates </w:t>
      </w:r>
      <w:r w:rsidR="00710AD9">
        <w:t xml:space="preserve">years </w:t>
      </w:r>
      <w:r w:rsidRPr="008833AE">
        <w:t xml:space="preserve">include the estimated impact of revaluations of </w:t>
      </w:r>
      <w:r w:rsidR="00D1440D" w:rsidRPr="008833AE">
        <w:t>property, plant and equipment</w:t>
      </w:r>
      <w:r w:rsidRPr="008833AE">
        <w:t>.</w:t>
      </w:r>
    </w:p>
    <w:p w14:paraId="3445E2E9" w14:textId="77777777" w:rsidR="00437D43" w:rsidRPr="008833AE" w:rsidRDefault="00437D43" w:rsidP="00437D43">
      <w:pPr>
        <w:pStyle w:val="Heading4"/>
        <w:rPr>
          <w:rFonts w:ascii="Arial" w:hAnsi="Arial" w:cs="Arial"/>
          <w:lang w:eastAsia="en-AU"/>
        </w:rPr>
      </w:pPr>
      <w:r w:rsidRPr="008833AE">
        <w:rPr>
          <w:rFonts w:ascii="Arial" w:hAnsi="Arial" w:cs="Arial"/>
          <w:lang w:eastAsia="en-AU"/>
        </w:rPr>
        <w:t>Superannuation actuarial gains / losses</w:t>
      </w:r>
    </w:p>
    <w:p w14:paraId="781ED75D" w14:textId="77777777" w:rsidR="004D7CA3" w:rsidRPr="008833AE" w:rsidRDefault="00437D43" w:rsidP="00AD1127">
      <w:pPr>
        <w:pStyle w:val="BodyText"/>
      </w:pPr>
      <w:r w:rsidRPr="008833AE">
        <w:t xml:space="preserve">The forecast </w:t>
      </w:r>
      <w:r w:rsidR="00D9596E" w:rsidRPr="008833AE">
        <w:t xml:space="preserve">actuarial </w:t>
      </w:r>
      <w:r w:rsidRPr="008833AE">
        <w:t>gain</w:t>
      </w:r>
      <w:r w:rsidR="00A235CD" w:rsidRPr="008833AE">
        <w:t>s</w:t>
      </w:r>
      <w:r w:rsidRPr="008833AE">
        <w:t xml:space="preserve"> or loss</w:t>
      </w:r>
      <w:r w:rsidR="00A235CD" w:rsidRPr="008833AE">
        <w:t>es</w:t>
      </w:r>
      <w:r w:rsidRPr="008833AE">
        <w:t xml:space="preserve"> on defined benefit superannuation </w:t>
      </w:r>
      <w:r w:rsidR="002C305E" w:rsidRPr="008833AE">
        <w:t xml:space="preserve">are </w:t>
      </w:r>
      <w:r w:rsidRPr="008833AE">
        <w:t xml:space="preserve">based on the revised estimates of the margin of forecast fund earnings </w:t>
      </w:r>
      <w:proofErr w:type="gramStart"/>
      <w:r w:rsidRPr="008833AE">
        <w:t>in excess of</w:t>
      </w:r>
      <w:proofErr w:type="gramEnd"/>
      <w:r w:rsidRPr="008833AE">
        <w:t xml:space="preserve"> the expected discount rate.</w:t>
      </w:r>
    </w:p>
    <w:p w14:paraId="5238F901" w14:textId="77777777" w:rsidR="00437D43" w:rsidRPr="008833AE" w:rsidRDefault="00437D43" w:rsidP="009A27A9">
      <w:pPr>
        <w:pStyle w:val="Heading4"/>
        <w:rPr>
          <w:rFonts w:ascii="Arial" w:hAnsi="Arial" w:cs="Arial"/>
          <w:lang w:eastAsia="en-AU"/>
        </w:rPr>
      </w:pPr>
      <w:r w:rsidRPr="008833AE">
        <w:rPr>
          <w:rFonts w:ascii="Arial" w:hAnsi="Arial" w:cs="Arial"/>
          <w:lang w:eastAsia="en-AU"/>
        </w:rPr>
        <w:t>Net gain</w:t>
      </w:r>
      <w:r w:rsidR="009B04F5" w:rsidRPr="008833AE">
        <w:rPr>
          <w:rFonts w:ascii="Arial" w:hAnsi="Arial" w:cs="Arial"/>
          <w:lang w:eastAsia="en-AU"/>
        </w:rPr>
        <w:t xml:space="preserve"> / (loss)</w:t>
      </w:r>
      <w:r w:rsidRPr="008833AE">
        <w:rPr>
          <w:rFonts w:ascii="Arial" w:hAnsi="Arial" w:cs="Arial"/>
          <w:lang w:eastAsia="en-AU"/>
        </w:rPr>
        <w:t xml:space="preserve"> on equity investments in other sector</w:t>
      </w:r>
      <w:r w:rsidR="009F7EBF" w:rsidRPr="008833AE">
        <w:rPr>
          <w:rFonts w:ascii="Arial" w:hAnsi="Arial" w:cs="Arial"/>
          <w:lang w:eastAsia="en-AU"/>
        </w:rPr>
        <w:t>s</w:t>
      </w:r>
    </w:p>
    <w:p w14:paraId="6EB57CB1" w14:textId="0BD5C38F" w:rsidR="00437D43" w:rsidRPr="008833AE" w:rsidRDefault="00437D43" w:rsidP="00AD1127">
      <w:pPr>
        <w:pStyle w:val="BodyText"/>
      </w:pPr>
      <w:r w:rsidRPr="008833AE">
        <w:t xml:space="preserve">The </w:t>
      </w:r>
      <w:r w:rsidR="009B04F5" w:rsidRPr="008833AE">
        <w:t xml:space="preserve">net </w:t>
      </w:r>
      <w:r w:rsidRPr="008833AE">
        <w:t xml:space="preserve">gain </w:t>
      </w:r>
      <w:r w:rsidR="009B04F5" w:rsidRPr="008833AE">
        <w:t>/ (</w:t>
      </w:r>
      <w:r w:rsidRPr="008833AE">
        <w:t>loss</w:t>
      </w:r>
      <w:r w:rsidR="009B04F5" w:rsidRPr="008833AE">
        <w:t>)</w:t>
      </w:r>
      <w:r w:rsidRPr="008833AE">
        <w:t xml:space="preserve"> on equity investments in other sector</w:t>
      </w:r>
      <w:r w:rsidR="009F7EBF" w:rsidRPr="008833AE">
        <w:t>s</w:t>
      </w:r>
      <w:r w:rsidRPr="008833AE">
        <w:t xml:space="preserve"> is based on estimates of the </w:t>
      </w:r>
      <w:r w:rsidR="000D0CAE" w:rsidRPr="008833AE">
        <w:t>PNFC</w:t>
      </w:r>
      <w:r w:rsidRPr="008833AE">
        <w:t xml:space="preserve"> and </w:t>
      </w:r>
      <w:r w:rsidR="000D0CAE" w:rsidRPr="008833AE">
        <w:t>PFC</w:t>
      </w:r>
      <w:r w:rsidRPr="008833AE">
        <w:t xml:space="preserve"> sectors’ forward comprehensive results adjusted for transactions with owners. The underlying management estimates of future comprehensive results are based on current </w:t>
      </w:r>
      <w:r w:rsidR="006707A1" w:rsidRPr="008833AE">
        <w:t>S</w:t>
      </w:r>
      <w:r w:rsidRPr="008833AE">
        <w:t xml:space="preserve">tatements of </w:t>
      </w:r>
      <w:r w:rsidR="006707A1" w:rsidRPr="008833AE">
        <w:t>C</w:t>
      </w:r>
      <w:r w:rsidRPr="008833AE">
        <w:t xml:space="preserve">orporate </w:t>
      </w:r>
      <w:r w:rsidR="006707A1" w:rsidRPr="008833AE">
        <w:t>I</w:t>
      </w:r>
      <w:r w:rsidRPr="008833AE">
        <w:t xml:space="preserve">ntent. Future distributions to </w:t>
      </w:r>
      <w:r w:rsidR="00E63990" w:rsidRPr="008833AE">
        <w:t xml:space="preserve">equity holders </w:t>
      </w:r>
      <w:r w:rsidRPr="008833AE">
        <w:t>are based on Treasury</w:t>
      </w:r>
      <w:r w:rsidR="000D0CAE" w:rsidRPr="008833AE">
        <w:t>’s</w:t>
      </w:r>
      <w:r w:rsidRPr="008833AE">
        <w:t xml:space="preserve"> </w:t>
      </w:r>
      <w:r w:rsidRPr="008833AE">
        <w:rPr>
          <w:i/>
        </w:rPr>
        <w:t>Commercial Policy Framework</w:t>
      </w:r>
      <w:r w:rsidRPr="008833AE">
        <w:t>.</w:t>
      </w:r>
    </w:p>
    <w:p w14:paraId="69BADEEE" w14:textId="77777777" w:rsidR="00601BA9" w:rsidRDefault="00601BA9">
      <w:pPr>
        <w:widowControl/>
        <w:tabs>
          <w:tab w:val="clear" w:pos="4196"/>
          <w:tab w:val="clear" w:pos="5046"/>
          <w:tab w:val="clear" w:pos="5897"/>
          <w:tab w:val="clear" w:pos="6747"/>
          <w:tab w:val="clear" w:pos="7598"/>
        </w:tabs>
        <w:autoSpaceDE/>
        <w:autoSpaceDN/>
        <w:rPr>
          <w:b/>
          <w:kern w:val="28"/>
          <w:sz w:val="26"/>
          <w:szCs w:val="36"/>
        </w:rPr>
      </w:pPr>
      <w:r>
        <w:br w:type="page"/>
      </w:r>
    </w:p>
    <w:p w14:paraId="437D90A1" w14:textId="47DC4E76" w:rsidR="003476B2" w:rsidRPr="008833AE" w:rsidRDefault="00126849" w:rsidP="003476B2">
      <w:pPr>
        <w:pStyle w:val="Heading3"/>
        <w:rPr>
          <w:rFonts w:ascii="Arial" w:hAnsi="Arial" w:cs="Arial"/>
          <w:lang w:eastAsia="en-AU"/>
        </w:rPr>
      </w:pPr>
      <w:r w:rsidRPr="008833AE">
        <w:rPr>
          <w:rFonts w:ascii="Arial" w:hAnsi="Arial" w:cs="Arial"/>
          <w:lang w:eastAsia="en-AU"/>
        </w:rPr>
        <w:lastRenderedPageBreak/>
        <w:t>Net acquisition of non-financial assets</w:t>
      </w:r>
      <w:r w:rsidR="003476B2" w:rsidRPr="008833AE">
        <w:rPr>
          <w:rFonts w:ascii="Arial" w:hAnsi="Arial" w:cs="Arial"/>
          <w:lang w:eastAsia="en-AU"/>
        </w:rPr>
        <w:t xml:space="preserve"> </w:t>
      </w:r>
    </w:p>
    <w:p w14:paraId="432253EB" w14:textId="77777777" w:rsidR="003476B2" w:rsidRPr="008833AE" w:rsidRDefault="003476B2" w:rsidP="0028544A">
      <w:pPr>
        <w:pStyle w:val="Heading4"/>
        <w:rPr>
          <w:rFonts w:ascii="Arial" w:hAnsi="Arial" w:cs="Arial"/>
          <w:lang w:eastAsia="en-AU"/>
        </w:rPr>
      </w:pPr>
      <w:r w:rsidRPr="008833AE">
        <w:rPr>
          <w:rFonts w:ascii="Arial" w:hAnsi="Arial" w:cs="Arial"/>
          <w:lang w:eastAsia="en-AU"/>
        </w:rPr>
        <w:t>Sale of non-financial assets</w:t>
      </w:r>
    </w:p>
    <w:p w14:paraId="0D978760" w14:textId="47715F9B" w:rsidR="00BF7B2E" w:rsidRPr="008833AE" w:rsidRDefault="00126849" w:rsidP="00A3026A">
      <w:pPr>
        <w:pStyle w:val="BodyText"/>
        <w:rPr>
          <w:b/>
          <w:kern w:val="28"/>
          <w:sz w:val="26"/>
          <w:szCs w:val="36"/>
        </w:rPr>
      </w:pPr>
      <w:r w:rsidRPr="008833AE">
        <w:t>Sale of non-financial assets includes the proceeds from the sale of an intangible asset recognised upfront in GFS but amortised over the term of the arrangement for GAAP. This is presented consistently in the cash flow statement.</w:t>
      </w:r>
      <w:r w:rsidR="00A3026A">
        <w:t xml:space="preserve"> </w:t>
      </w:r>
    </w:p>
    <w:p w14:paraId="1881DED6" w14:textId="023D8803" w:rsidR="00437D43" w:rsidRPr="00A3026A" w:rsidRDefault="00437D43" w:rsidP="00A3026A">
      <w:pPr>
        <w:pStyle w:val="Heading3"/>
        <w:rPr>
          <w:rFonts w:ascii="Arial" w:hAnsi="Arial" w:cs="Arial"/>
          <w:lang w:eastAsia="en-AU"/>
        </w:rPr>
      </w:pPr>
      <w:r w:rsidRPr="008833AE">
        <w:rPr>
          <w:rFonts w:ascii="Arial" w:hAnsi="Arial" w:cs="Arial"/>
          <w:lang w:eastAsia="en-AU"/>
        </w:rPr>
        <w:t>Assets</w:t>
      </w:r>
    </w:p>
    <w:p w14:paraId="494E6932" w14:textId="137BDE7A" w:rsidR="00437D43" w:rsidRPr="008833AE" w:rsidRDefault="00B0321F" w:rsidP="005D11BA">
      <w:pPr>
        <w:pStyle w:val="Heading4"/>
        <w:spacing w:before="280" w:after="100"/>
        <w:rPr>
          <w:rFonts w:ascii="Arial" w:hAnsi="Arial" w:cs="Arial"/>
        </w:rPr>
      </w:pPr>
      <w:r w:rsidRPr="008833AE">
        <w:rPr>
          <w:rFonts w:ascii="Arial" w:hAnsi="Arial" w:cs="Arial"/>
        </w:rPr>
        <w:t>Property, plant and equipment</w:t>
      </w:r>
    </w:p>
    <w:p w14:paraId="60267881" w14:textId="29C4086F" w:rsidR="00437D43" w:rsidRPr="008833AE" w:rsidRDefault="00437D43" w:rsidP="00AD1127">
      <w:pPr>
        <w:pStyle w:val="BodyText"/>
      </w:pPr>
      <w:r w:rsidRPr="008833AE">
        <w:t xml:space="preserve">The estimates of </w:t>
      </w:r>
      <w:r w:rsidR="00B0321F" w:rsidRPr="008833AE">
        <w:t xml:space="preserve">property, plant and equipment </w:t>
      </w:r>
      <w:r w:rsidRPr="008833AE">
        <w:t xml:space="preserve">over the forecast period are at fair value and </w:t>
      </w:r>
      <w:proofErr w:type="gramStart"/>
      <w:r w:rsidRPr="008833AE">
        <w:t>take into account</w:t>
      </w:r>
      <w:proofErr w:type="gramEnd"/>
      <w:r w:rsidRPr="008833AE">
        <w:t xml:space="preserve"> planned acquisitions, disposals, and the impact of depreciation</w:t>
      </w:r>
      <w:r w:rsidR="00CE45E3" w:rsidRPr="008833AE">
        <w:t>, impairment</w:t>
      </w:r>
      <w:r w:rsidRPr="008833AE">
        <w:t xml:space="preserve"> and revaluations. New investments in assets are valued at the forecast purchase price and, where appropriate, recognised progressively over the estimated construction period. </w:t>
      </w:r>
    </w:p>
    <w:p w14:paraId="5BB104C5" w14:textId="53CFD30F" w:rsidR="003848A6" w:rsidRPr="008833AE" w:rsidRDefault="00E37EE5" w:rsidP="00AD1127">
      <w:pPr>
        <w:pStyle w:val="BodyText"/>
      </w:pPr>
      <w:r w:rsidRPr="008833AE">
        <w:t xml:space="preserve">The adoption of AASB 16 </w:t>
      </w:r>
      <w:r w:rsidR="00F944BB" w:rsidRPr="008833AE">
        <w:t>from</w:t>
      </w:r>
      <w:r w:rsidR="00D27DCB" w:rsidRPr="008833AE">
        <w:t xml:space="preserve"> 2019-20 </w:t>
      </w:r>
      <w:r w:rsidRPr="008833AE">
        <w:t>result</w:t>
      </w:r>
      <w:r w:rsidR="00143661">
        <w:t>s</w:t>
      </w:r>
      <w:r w:rsidRPr="008833AE">
        <w:t xml:space="preserve"> in </w:t>
      </w:r>
      <w:r w:rsidR="00B66909" w:rsidRPr="008833AE">
        <w:t xml:space="preserve">the recognition of </w:t>
      </w:r>
      <w:r w:rsidR="00F85A02">
        <w:t>right-of-use</w:t>
      </w:r>
      <w:r w:rsidR="00F85A02" w:rsidRPr="008833AE">
        <w:t xml:space="preserve"> </w:t>
      </w:r>
      <w:r w:rsidR="008409A4" w:rsidRPr="008833AE">
        <w:t>assets</w:t>
      </w:r>
      <w:r w:rsidR="00C610C4">
        <w:t>, including</w:t>
      </w:r>
      <w:r w:rsidR="00BE1019">
        <w:t xml:space="preserve"> those from</w:t>
      </w:r>
      <w:r w:rsidR="00C610C4">
        <w:t xml:space="preserve"> leases previously classified as</w:t>
      </w:r>
      <w:r w:rsidR="002A40D7" w:rsidRPr="008833AE">
        <w:t xml:space="preserve"> operating leases</w:t>
      </w:r>
      <w:r w:rsidR="00BE1019">
        <w:t>,</w:t>
      </w:r>
      <w:r w:rsidR="002A40D7" w:rsidRPr="008833AE">
        <w:t xml:space="preserve"> where the State is a lessee.  The </w:t>
      </w:r>
      <w:r w:rsidR="00D27DCB" w:rsidRPr="008833AE">
        <w:t xml:space="preserve">estimates </w:t>
      </w:r>
      <w:r w:rsidR="00F40D2F" w:rsidRPr="008833AE">
        <w:t>o</w:t>
      </w:r>
      <w:r w:rsidR="00F40D2F">
        <w:t>f</w:t>
      </w:r>
      <w:r w:rsidR="00F40D2F" w:rsidRPr="008833AE">
        <w:t xml:space="preserve"> </w:t>
      </w:r>
      <w:r w:rsidR="004A638C">
        <w:t>right-of-use</w:t>
      </w:r>
      <w:r w:rsidR="004A638C" w:rsidRPr="008833AE">
        <w:t xml:space="preserve"> </w:t>
      </w:r>
      <w:r w:rsidR="002A40D7" w:rsidRPr="008833AE">
        <w:t>asset</w:t>
      </w:r>
      <w:r w:rsidR="00D27DCB" w:rsidRPr="008833AE">
        <w:t>s</w:t>
      </w:r>
      <w:r w:rsidR="002A40D7" w:rsidRPr="008833AE">
        <w:t xml:space="preserve"> </w:t>
      </w:r>
      <w:r w:rsidR="00D27DCB" w:rsidRPr="008833AE">
        <w:t xml:space="preserve">are based on </w:t>
      </w:r>
      <w:r w:rsidR="00091122" w:rsidRPr="008833AE">
        <w:t>the State</w:t>
      </w:r>
      <w:r w:rsidR="00D27DCB" w:rsidRPr="008833AE">
        <w:t xml:space="preserve">’s best estimate of the timing of renewals of lease arrangements and </w:t>
      </w:r>
      <w:r w:rsidR="00F40D2F">
        <w:t xml:space="preserve">the </w:t>
      </w:r>
      <w:r w:rsidR="009B6C84" w:rsidRPr="008833AE">
        <w:t xml:space="preserve">impact of </w:t>
      </w:r>
      <w:r w:rsidR="00D27DCB" w:rsidRPr="008833AE">
        <w:t>depreciat</w:t>
      </w:r>
      <w:r w:rsidR="009B6C84" w:rsidRPr="008833AE">
        <w:t>ion</w:t>
      </w:r>
      <w:r w:rsidR="00D27DCB" w:rsidRPr="008833AE">
        <w:t>.</w:t>
      </w:r>
      <w:r w:rsidR="002A40D7" w:rsidRPr="008833AE">
        <w:t xml:space="preserve"> </w:t>
      </w:r>
      <w:r w:rsidR="00D27DCB" w:rsidRPr="008833AE">
        <w:t xml:space="preserve">Refer to </w:t>
      </w:r>
      <w:r w:rsidR="00D27DCB" w:rsidRPr="008833AE">
        <w:rPr>
          <w:i/>
        </w:rPr>
        <w:t>Changes in accounting policies</w:t>
      </w:r>
      <w:r w:rsidR="00D27DCB" w:rsidRPr="008833AE">
        <w:t xml:space="preserve"> for further details on the impacts of adopting AASB 16.  </w:t>
      </w:r>
    </w:p>
    <w:p w14:paraId="6869C90F" w14:textId="77777777" w:rsidR="00685490" w:rsidRPr="008833AE" w:rsidRDefault="00685490" w:rsidP="00AD1127">
      <w:pPr>
        <w:pStyle w:val="BodyText"/>
      </w:pPr>
      <w:r w:rsidRPr="008833AE">
        <w:t>The forward estimates include the estimated impact of revaluations of property, plant and equipment. These estimates are based on an examination of expected cost trends.</w:t>
      </w:r>
    </w:p>
    <w:p w14:paraId="0BD33806" w14:textId="77777777" w:rsidR="002D2A1D" w:rsidRPr="008833AE" w:rsidRDefault="002D2A1D" w:rsidP="002D2A1D">
      <w:pPr>
        <w:pStyle w:val="BodyText"/>
      </w:pPr>
      <w:r w:rsidRPr="008833AE">
        <w:t>To improve the accuracy of budget estimates, consistent with longstanding practice and reflecting historic trends, the Budget includes adjustments:</w:t>
      </w:r>
    </w:p>
    <w:p w14:paraId="6C7A2987" w14:textId="68099CC3" w:rsidR="002D2A1D" w:rsidRDefault="002D2A1D" w:rsidP="002D2A1D">
      <w:pPr>
        <w:pStyle w:val="Bullet1"/>
      </w:pPr>
      <w:r>
        <w:t xml:space="preserve">to account </w:t>
      </w:r>
      <w:r w:rsidRPr="008833AE">
        <w:t xml:space="preserve">for </w:t>
      </w:r>
      <w:r>
        <w:t>capital expenses</w:t>
      </w:r>
      <w:r w:rsidRPr="008833AE">
        <w:t xml:space="preserve"> expected to be carried forward into future years reflecting changes in timing of delivery of government activity, consistent with the policy set out in </w:t>
      </w:r>
      <w:r w:rsidRPr="008833AE">
        <w:rPr>
          <w:i/>
        </w:rPr>
        <w:t>Treasury Circular NSW TC 15-08</w:t>
      </w:r>
    </w:p>
    <w:p w14:paraId="3EE9E8CC" w14:textId="10E3DBA2" w:rsidR="00437D43" w:rsidRPr="008833AE" w:rsidRDefault="002D2A1D" w:rsidP="002D2A1D">
      <w:pPr>
        <w:pStyle w:val="Bullet1"/>
      </w:pPr>
      <w:r w:rsidRPr="008833AE">
        <w:t xml:space="preserve">to reflect government decisions </w:t>
      </w:r>
      <w:r>
        <w:t xml:space="preserve">on capital expenditure </w:t>
      </w:r>
      <w:r w:rsidR="002B39EC">
        <w:t xml:space="preserve">that are </w:t>
      </w:r>
      <w:r w:rsidRPr="008833AE">
        <w:t>not yet included in agency estimates, for example due to timing because they are commercial in confidence or subject to further requirements.</w:t>
      </w:r>
    </w:p>
    <w:p w14:paraId="2E949E38" w14:textId="77777777" w:rsidR="00437D43" w:rsidRPr="008833AE" w:rsidRDefault="00437D43" w:rsidP="00E42BF4">
      <w:pPr>
        <w:pStyle w:val="Heading3"/>
        <w:rPr>
          <w:rFonts w:ascii="Arial" w:hAnsi="Arial" w:cs="Arial"/>
          <w:b w:val="0"/>
        </w:rPr>
      </w:pPr>
      <w:r w:rsidRPr="008833AE">
        <w:rPr>
          <w:rFonts w:ascii="Arial" w:hAnsi="Arial" w:cs="Arial"/>
          <w:lang w:eastAsia="en-AU"/>
        </w:rPr>
        <w:t>Liabilities</w:t>
      </w:r>
    </w:p>
    <w:p w14:paraId="1686A875" w14:textId="77777777" w:rsidR="00437D43" w:rsidRPr="008833AE" w:rsidRDefault="00437D43" w:rsidP="005D11BA">
      <w:pPr>
        <w:pStyle w:val="Heading4"/>
        <w:keepNext/>
        <w:spacing w:before="280" w:after="100"/>
        <w:rPr>
          <w:rFonts w:ascii="Arial" w:hAnsi="Arial" w:cs="Arial"/>
        </w:rPr>
      </w:pPr>
      <w:r w:rsidRPr="008833AE">
        <w:rPr>
          <w:rFonts w:ascii="Arial" w:hAnsi="Arial" w:cs="Arial"/>
        </w:rPr>
        <w:t>Borrowings</w:t>
      </w:r>
    </w:p>
    <w:p w14:paraId="46F94960" w14:textId="5CB97A03" w:rsidR="00FD05E6" w:rsidRPr="008833AE" w:rsidRDefault="00437D43" w:rsidP="00AD1127">
      <w:pPr>
        <w:pStyle w:val="BodyText"/>
      </w:pPr>
      <w:r w:rsidRPr="008833AE">
        <w:t>Estimates for borrowings are based on current debt levels</w:t>
      </w:r>
      <w:r w:rsidR="00091122" w:rsidRPr="008833AE">
        <w:t xml:space="preserve"> (including lease liabilities)</w:t>
      </w:r>
      <w:r w:rsidRPr="008833AE">
        <w:t>, amortisation of any premiums or discounts</w:t>
      </w:r>
      <w:r w:rsidR="000D0CAE" w:rsidRPr="008833AE">
        <w:t>,</w:t>
      </w:r>
      <w:r w:rsidRPr="008833AE">
        <w:t xml:space="preserve"> and the cash flows expected to be required to fund future government activities.</w:t>
      </w:r>
    </w:p>
    <w:p w14:paraId="22EFE695" w14:textId="63832794" w:rsidR="00A61FE6" w:rsidRPr="008833AE" w:rsidRDefault="00A2012F" w:rsidP="00AD1127">
      <w:pPr>
        <w:pStyle w:val="BodyText"/>
      </w:pPr>
      <w:r w:rsidRPr="008833AE">
        <w:t xml:space="preserve">The adoption </w:t>
      </w:r>
      <w:r w:rsidR="00EF79C3" w:rsidRPr="008833AE">
        <w:t>of AASB 1</w:t>
      </w:r>
      <w:r w:rsidR="000C39A8" w:rsidRPr="008833AE">
        <w:t>6</w:t>
      </w:r>
      <w:r w:rsidR="00EF79C3" w:rsidRPr="008833AE">
        <w:t xml:space="preserve"> </w:t>
      </w:r>
      <w:r w:rsidR="00F944BB" w:rsidRPr="008833AE">
        <w:t>from</w:t>
      </w:r>
      <w:r w:rsidR="00D27DCB" w:rsidRPr="008833AE">
        <w:t xml:space="preserve"> 2019-20 </w:t>
      </w:r>
      <w:r w:rsidR="00B206B9" w:rsidRPr="008833AE">
        <w:t>result</w:t>
      </w:r>
      <w:r w:rsidR="00410F9A">
        <w:t>s</w:t>
      </w:r>
      <w:r w:rsidR="00B0156D" w:rsidRPr="008833AE">
        <w:t xml:space="preserve"> </w:t>
      </w:r>
      <w:r w:rsidR="00913776" w:rsidRPr="008833AE">
        <w:t>in</w:t>
      </w:r>
      <w:r w:rsidR="00B0156D" w:rsidRPr="008833AE">
        <w:t xml:space="preserve"> the recognition of additional l</w:t>
      </w:r>
      <w:r w:rsidR="00684448" w:rsidRPr="008833AE">
        <w:t xml:space="preserve">ease liabilities </w:t>
      </w:r>
      <w:r w:rsidR="00410F9A">
        <w:t>in relation to leases previously classified as</w:t>
      </w:r>
      <w:r w:rsidR="0033204E" w:rsidRPr="008833AE">
        <w:t xml:space="preserve"> operating leases </w:t>
      </w:r>
      <w:r w:rsidR="00B0156D" w:rsidRPr="008833AE">
        <w:t xml:space="preserve">where the State </w:t>
      </w:r>
      <w:r w:rsidR="00881BE6" w:rsidRPr="008833AE">
        <w:t xml:space="preserve">is a lessee. Estimates </w:t>
      </w:r>
      <w:r w:rsidR="00590CB0" w:rsidRPr="008833AE">
        <w:t>o</w:t>
      </w:r>
      <w:r w:rsidR="00590CB0">
        <w:t>f</w:t>
      </w:r>
      <w:r w:rsidR="00590CB0" w:rsidRPr="008833AE">
        <w:t xml:space="preserve"> </w:t>
      </w:r>
      <w:r w:rsidR="00881BE6" w:rsidRPr="008833AE">
        <w:t xml:space="preserve">lease liabilities are based on </w:t>
      </w:r>
      <w:r w:rsidR="00091122" w:rsidRPr="008833AE">
        <w:t xml:space="preserve">the </w:t>
      </w:r>
      <w:r w:rsidR="0033204E" w:rsidRPr="008833AE">
        <w:t>best estimate of the timing of renewals of lease arrangements</w:t>
      </w:r>
      <w:r w:rsidR="00D50C92" w:rsidRPr="008833AE">
        <w:t xml:space="preserve"> and </w:t>
      </w:r>
      <w:r w:rsidR="009B6C84" w:rsidRPr="008833AE">
        <w:t xml:space="preserve">impact of </w:t>
      </w:r>
      <w:r w:rsidR="00D50C92" w:rsidRPr="008833AE">
        <w:t xml:space="preserve">amortisation of the </w:t>
      </w:r>
      <w:r w:rsidR="00BF00B1" w:rsidRPr="008833AE">
        <w:t>liabilities</w:t>
      </w:r>
      <w:r w:rsidR="0033204E" w:rsidRPr="008833AE">
        <w:t xml:space="preserve">. </w:t>
      </w:r>
      <w:r w:rsidR="00A61FE6" w:rsidRPr="008833AE">
        <w:t xml:space="preserve">Refer to </w:t>
      </w:r>
      <w:r w:rsidR="00A61FE6" w:rsidRPr="008833AE">
        <w:rPr>
          <w:i/>
        </w:rPr>
        <w:t>Changes in accounting policies</w:t>
      </w:r>
      <w:r w:rsidR="00A61FE6" w:rsidRPr="008833AE">
        <w:t xml:space="preserve"> for </w:t>
      </w:r>
      <w:r w:rsidR="004F2C01" w:rsidRPr="008833AE">
        <w:t>further details on the impacts</w:t>
      </w:r>
      <w:r w:rsidR="00A01771" w:rsidRPr="008833AE">
        <w:t xml:space="preserve"> of</w:t>
      </w:r>
      <w:r w:rsidR="004C40CA" w:rsidRPr="008833AE">
        <w:t xml:space="preserve"> adopting</w:t>
      </w:r>
      <w:r w:rsidR="00A61FE6" w:rsidRPr="008833AE">
        <w:t xml:space="preserve"> AASB 16.</w:t>
      </w:r>
    </w:p>
    <w:p w14:paraId="4CD747A9" w14:textId="77777777" w:rsidR="00601BA9" w:rsidRDefault="00601BA9">
      <w:pPr>
        <w:widowControl/>
        <w:tabs>
          <w:tab w:val="clear" w:pos="4196"/>
          <w:tab w:val="clear" w:pos="5046"/>
          <w:tab w:val="clear" w:pos="5897"/>
          <w:tab w:val="clear" w:pos="6747"/>
          <w:tab w:val="clear" w:pos="7598"/>
        </w:tabs>
        <w:autoSpaceDE/>
        <w:autoSpaceDN/>
        <w:rPr>
          <w:rFonts w:eastAsia="Arial Unicode MS"/>
          <w:b/>
          <w:kern w:val="28"/>
          <w:sz w:val="24"/>
          <w:szCs w:val="36"/>
          <w:lang w:eastAsia="en-US"/>
        </w:rPr>
      </w:pPr>
      <w:r>
        <w:br w:type="page"/>
      </w:r>
    </w:p>
    <w:p w14:paraId="6480BC8B" w14:textId="4107370A" w:rsidR="00437D43" w:rsidRPr="008833AE" w:rsidRDefault="00437D43" w:rsidP="005D11BA">
      <w:pPr>
        <w:pStyle w:val="Heading4"/>
        <w:spacing w:before="280" w:after="100"/>
        <w:rPr>
          <w:rFonts w:ascii="Arial" w:hAnsi="Arial" w:cs="Arial"/>
        </w:rPr>
      </w:pPr>
      <w:r w:rsidRPr="008833AE">
        <w:rPr>
          <w:rFonts w:ascii="Arial" w:hAnsi="Arial" w:cs="Arial"/>
        </w:rPr>
        <w:lastRenderedPageBreak/>
        <w:t>Employee provisions</w:t>
      </w:r>
    </w:p>
    <w:p w14:paraId="39CE0414" w14:textId="41007104" w:rsidR="00437D43" w:rsidRPr="008833AE" w:rsidRDefault="00437D43" w:rsidP="00AD1127">
      <w:pPr>
        <w:pStyle w:val="BodyText"/>
      </w:pPr>
      <w:r w:rsidRPr="008833AE">
        <w:t xml:space="preserve">Employee provisions are </w:t>
      </w:r>
      <w:r w:rsidR="00590CB0">
        <w:t xml:space="preserve">forecast </w:t>
      </w:r>
      <w:r w:rsidRPr="008833AE">
        <w:t xml:space="preserve">based on expected staffing profiles and current salaries, conditions and on-costs. For the forecast period, employee </w:t>
      </w:r>
      <w:r w:rsidR="00A704B9" w:rsidRPr="008833AE">
        <w:t xml:space="preserve">benefits </w:t>
      </w:r>
      <w:r w:rsidRPr="008833AE">
        <w:t xml:space="preserve">are adjusted for approved wage agreements. Beyond the period of the agreements, allowance is made for further adjustments consistent with the </w:t>
      </w:r>
      <w:r w:rsidR="001919B6" w:rsidRPr="008833AE">
        <w:t>State’s</w:t>
      </w:r>
      <w:r w:rsidRPr="008833AE">
        <w:t xml:space="preserve"> wages policy at a net cost of 2.5</w:t>
      </w:r>
      <w:r w:rsidR="004E114C" w:rsidRPr="008833AE">
        <w:t> </w:t>
      </w:r>
      <w:r w:rsidRPr="008833AE">
        <w:t>per</w:t>
      </w:r>
      <w:r w:rsidR="004E114C" w:rsidRPr="008833AE">
        <w:t> </w:t>
      </w:r>
      <w:r w:rsidRPr="008833AE">
        <w:t>cent per annum</w:t>
      </w:r>
      <w:r w:rsidR="000D0CAE" w:rsidRPr="008833AE">
        <w:t>,</w:t>
      </w:r>
      <w:r w:rsidRPr="008833AE">
        <w:t xml:space="preserve"> inclusive of scheduled increases in the superannuation guarantee levy. The forecasts for employee expenses also reflect the impact of new initiatives and required efficiency savings.</w:t>
      </w:r>
    </w:p>
    <w:p w14:paraId="2F7F361A" w14:textId="77777777" w:rsidR="00437D43" w:rsidRPr="008833AE" w:rsidRDefault="00437D43" w:rsidP="005D11BA">
      <w:pPr>
        <w:pStyle w:val="Heading4"/>
        <w:spacing w:before="280" w:after="100"/>
        <w:rPr>
          <w:rFonts w:ascii="Arial" w:hAnsi="Arial" w:cs="Arial"/>
        </w:rPr>
      </w:pPr>
      <w:r w:rsidRPr="008833AE">
        <w:rPr>
          <w:rFonts w:ascii="Arial" w:hAnsi="Arial" w:cs="Arial"/>
        </w:rPr>
        <w:t>Superannuation provisions</w:t>
      </w:r>
    </w:p>
    <w:p w14:paraId="3E4B5E2F" w14:textId="0CC53875" w:rsidR="006F28AC" w:rsidRPr="008833AE" w:rsidRDefault="00437D43" w:rsidP="00AD1127">
      <w:pPr>
        <w:pStyle w:val="BodyText"/>
        <w:rPr>
          <w:rFonts w:eastAsia="Arial Unicode MS"/>
          <w:b/>
          <w:kern w:val="28"/>
          <w:sz w:val="24"/>
          <w:szCs w:val="36"/>
        </w:rPr>
      </w:pPr>
      <w:r w:rsidRPr="008833AE">
        <w:t xml:space="preserve">Refer to </w:t>
      </w:r>
      <w:r w:rsidR="002D49DE" w:rsidRPr="008833AE">
        <w:rPr>
          <w:i/>
        </w:rPr>
        <w:t xml:space="preserve">Superannuation </w:t>
      </w:r>
      <w:r w:rsidRPr="008833AE">
        <w:rPr>
          <w:i/>
        </w:rPr>
        <w:t xml:space="preserve">expense </w:t>
      </w:r>
      <w:r w:rsidR="000D0CAE" w:rsidRPr="008833AE">
        <w:rPr>
          <w:i/>
        </w:rPr>
        <w:t>(and liabilities)</w:t>
      </w:r>
      <w:r w:rsidR="000D0CAE" w:rsidRPr="008833AE">
        <w:t xml:space="preserve"> </w:t>
      </w:r>
      <w:r w:rsidRPr="008833AE">
        <w:t>(above) for information on assumptions that also impact the measurement of the superannuation provisions.</w:t>
      </w:r>
    </w:p>
    <w:p w14:paraId="6C6909A3" w14:textId="77777777" w:rsidR="00437D43" w:rsidRPr="008833AE" w:rsidRDefault="00437D43" w:rsidP="005D11BA">
      <w:pPr>
        <w:pStyle w:val="Heading4"/>
        <w:spacing w:before="280" w:after="100"/>
        <w:rPr>
          <w:rFonts w:ascii="Arial" w:hAnsi="Arial" w:cs="Arial"/>
        </w:rPr>
      </w:pPr>
      <w:r w:rsidRPr="008833AE">
        <w:rPr>
          <w:rFonts w:ascii="Arial" w:hAnsi="Arial" w:cs="Arial"/>
        </w:rPr>
        <w:t>Other provisions</w:t>
      </w:r>
    </w:p>
    <w:p w14:paraId="14A3A6E2" w14:textId="77777777" w:rsidR="00C626D7" w:rsidRPr="008833AE" w:rsidRDefault="00437D43" w:rsidP="00AD1127">
      <w:pPr>
        <w:pStyle w:val="BodyText"/>
      </w:pPr>
      <w:r w:rsidRPr="008833AE">
        <w:t>Other provisions include the State’s obligations for several insurance schemes. To estimate future claim liabilities, actuarial assumptions have been applied for future claims to be incurred, claim payments, inflation and liability discount rates. Actual liabilities may differ from estimates.</w:t>
      </w:r>
    </w:p>
    <w:sectPr w:rsidR="00C626D7" w:rsidRPr="008833AE" w:rsidSect="005D11BA">
      <w:headerReference w:type="even" r:id="rId19"/>
      <w:footerReference w:type="default" r:id="rId20"/>
      <w:headerReference w:type="first" r:id="rId21"/>
      <w:footerReference w:type="first" r:id="rId22"/>
      <w:pgSz w:w="11907" w:h="16840" w:code="9"/>
      <w:pgMar w:top="1134" w:right="1134" w:bottom="1134" w:left="1134" w:header="454" w:footer="454"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929C8" w14:textId="77777777" w:rsidR="00646F3A" w:rsidRDefault="00646F3A">
      <w:r>
        <w:separator/>
      </w:r>
    </w:p>
    <w:p w14:paraId="2534C3C9" w14:textId="77777777" w:rsidR="00646F3A" w:rsidRDefault="00646F3A"/>
  </w:endnote>
  <w:endnote w:type="continuationSeparator" w:id="0">
    <w:p w14:paraId="7F911886" w14:textId="77777777" w:rsidR="00646F3A" w:rsidRDefault="00646F3A">
      <w:r>
        <w:continuationSeparator/>
      </w:r>
    </w:p>
    <w:p w14:paraId="7C66D45F" w14:textId="77777777" w:rsidR="00646F3A" w:rsidRDefault="00646F3A"/>
  </w:endnote>
  <w:endnote w:type="continuationNotice" w:id="1">
    <w:p w14:paraId="41F08155" w14:textId="77777777" w:rsidR="00646F3A" w:rsidRDefault="00646F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inion Pro">
    <w:panose1 w:val="02040503050306020203"/>
    <w:charset w:val="00"/>
    <w:family w:val="roman"/>
    <w:notTrueType/>
    <w:pitch w:val="variable"/>
    <w:sig w:usb0="60000287" w:usb1="00000001"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1002A87" w:usb1="00000000" w:usb2="00000000" w:usb3="00000000" w:csb0="000100FF" w:csb1="00000000"/>
  </w:font>
  <w:font w:name="Arial Bold">
    <w:altName w:val="Arial"/>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ellGothic BT">
    <w:altName w:val="Arial Narrow"/>
    <w:charset w:val="00"/>
    <w:family w:val="swiss"/>
    <w:pitch w:val="variable"/>
    <w:sig w:usb0="00000087" w:usb1="00000000" w:usb2="00000000" w:usb3="00000000" w:csb0="0000001B" w:csb1="00000000"/>
  </w:font>
  <w:font w:name="Garamond">
    <w:panose1 w:val="02020404030301010803"/>
    <w:charset w:val="00"/>
    <w:family w:val="roman"/>
    <w:pitch w:val="variable"/>
    <w:sig w:usb0="00000287" w:usb1="00000000" w:usb2="00000000" w:usb3="00000000" w:csb0="0000009F" w:csb1="00000000"/>
  </w:font>
  <w:font w:name="..">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otham Narrow Light">
    <w:altName w:val="Tahom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C7887" w14:textId="420C8EB2" w:rsidR="00453FD0" w:rsidRDefault="00453FD0" w:rsidP="006F28AC">
    <w:pPr>
      <w:pStyle w:val="Footer"/>
      <w:pBdr>
        <w:top w:val="single" w:sz="4" w:space="4" w:color="auto"/>
      </w:pBdr>
      <w:tabs>
        <w:tab w:val="clear" w:pos="4513"/>
        <w:tab w:val="clear" w:pos="9026"/>
        <w:tab w:val="right" w:pos="9639"/>
      </w:tabs>
      <w:rPr>
        <w:sz w:val="18"/>
        <w:szCs w:val="18"/>
      </w:rPr>
    </w:pPr>
    <w:r w:rsidRPr="00B8249E">
      <w:rPr>
        <w:sz w:val="18"/>
        <w:szCs w:val="18"/>
      </w:rPr>
      <w:t xml:space="preserve">A2 - </w:t>
    </w:r>
    <w:r w:rsidRPr="00B8249E">
      <w:rPr>
        <w:sz w:val="18"/>
        <w:szCs w:val="18"/>
      </w:rPr>
      <w:fldChar w:fldCharType="begin"/>
    </w:r>
    <w:r w:rsidRPr="00B8249E">
      <w:rPr>
        <w:sz w:val="18"/>
        <w:szCs w:val="18"/>
      </w:rPr>
      <w:instrText xml:space="preserve"> PAGE  \* MERGEFORMAT </w:instrText>
    </w:r>
    <w:r w:rsidRPr="00B8249E">
      <w:rPr>
        <w:sz w:val="18"/>
        <w:szCs w:val="18"/>
      </w:rPr>
      <w:fldChar w:fldCharType="separate"/>
    </w:r>
    <w:r>
      <w:rPr>
        <w:noProof/>
        <w:sz w:val="18"/>
        <w:szCs w:val="18"/>
      </w:rPr>
      <w:t>14</w:t>
    </w:r>
    <w:r w:rsidRPr="00B8249E">
      <w:rPr>
        <w:sz w:val="18"/>
        <w:szCs w:val="18"/>
      </w:rPr>
      <w:fldChar w:fldCharType="end"/>
    </w:r>
    <w:r>
      <w:rPr>
        <w:sz w:val="18"/>
        <w:szCs w:val="18"/>
      </w:rPr>
      <w:tab/>
      <w:t>Budget Statement 2019-20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346BC" w14:textId="413487BC" w:rsidR="00453FD0" w:rsidRDefault="00453FD0" w:rsidP="005D11BA">
    <w:pPr>
      <w:pStyle w:val="Footer"/>
      <w:pBdr>
        <w:top w:val="single" w:sz="4" w:space="4" w:color="auto"/>
      </w:pBdr>
      <w:tabs>
        <w:tab w:val="clear" w:pos="4513"/>
        <w:tab w:val="clear" w:pos="9026"/>
        <w:tab w:val="right" w:pos="9639"/>
      </w:tabs>
      <w:rPr>
        <w:sz w:val="18"/>
        <w:szCs w:val="18"/>
      </w:rPr>
    </w:pPr>
    <w:r>
      <w:rPr>
        <w:sz w:val="18"/>
        <w:szCs w:val="18"/>
      </w:rPr>
      <w:t>Budget Statement 2019-20</w:t>
    </w:r>
    <w:r w:rsidR="00057E15" w:rsidRPr="00057E15">
      <w:rPr>
        <w:sz w:val="18"/>
        <w:szCs w:val="18"/>
      </w:rPr>
      <w:t xml:space="preserve"> </w:t>
    </w:r>
    <w:r w:rsidR="00057E15">
      <w:rPr>
        <w:sz w:val="18"/>
        <w:szCs w:val="18"/>
      </w:rPr>
      <w:tab/>
    </w:r>
    <w:r w:rsidR="00057E15" w:rsidRPr="00B8249E">
      <w:rPr>
        <w:sz w:val="18"/>
        <w:szCs w:val="18"/>
      </w:rPr>
      <w:t xml:space="preserve">A2 - </w:t>
    </w:r>
    <w:r w:rsidR="00057E15" w:rsidRPr="00B8249E">
      <w:rPr>
        <w:sz w:val="18"/>
        <w:szCs w:val="18"/>
      </w:rPr>
      <w:fldChar w:fldCharType="begin"/>
    </w:r>
    <w:r w:rsidR="00057E15" w:rsidRPr="00B8249E">
      <w:rPr>
        <w:sz w:val="18"/>
        <w:szCs w:val="18"/>
      </w:rPr>
      <w:instrText xml:space="preserve"> PAGE  \* MERGEFORMAT </w:instrText>
    </w:r>
    <w:r w:rsidR="00057E15" w:rsidRPr="00B8249E">
      <w:rPr>
        <w:sz w:val="18"/>
        <w:szCs w:val="18"/>
      </w:rPr>
      <w:fldChar w:fldCharType="separate"/>
    </w:r>
    <w:r w:rsidR="00057E15">
      <w:rPr>
        <w:sz w:val="18"/>
        <w:szCs w:val="18"/>
      </w:rPr>
      <w:t>3</w:t>
    </w:r>
    <w:r w:rsidR="00057E15" w:rsidRPr="00B8249E">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E10EF" w14:textId="10035301" w:rsidR="00453FD0" w:rsidRDefault="00453FD0" w:rsidP="006F28AC">
    <w:pPr>
      <w:pStyle w:val="Footer"/>
      <w:pBdr>
        <w:top w:val="single" w:sz="4" w:space="4" w:color="auto"/>
      </w:pBdr>
      <w:tabs>
        <w:tab w:val="clear" w:pos="4513"/>
        <w:tab w:val="clear" w:pos="9026"/>
        <w:tab w:val="right" w:pos="9639"/>
      </w:tabs>
      <w:rPr>
        <w:sz w:val="18"/>
        <w:szCs w:val="18"/>
      </w:rPr>
    </w:pPr>
    <w:r>
      <w:rPr>
        <w:sz w:val="18"/>
        <w:szCs w:val="18"/>
      </w:rPr>
      <w:t>Budget Statement 2019-20</w:t>
    </w:r>
    <w:r w:rsidRPr="006F28AC">
      <w:rPr>
        <w:sz w:val="18"/>
        <w:szCs w:val="18"/>
      </w:rPr>
      <w:t xml:space="preserve"> </w:t>
    </w:r>
    <w:r w:rsidR="00601BA9">
      <w:rPr>
        <w:sz w:val="18"/>
        <w:szCs w:val="18"/>
      </w:rPr>
      <w:tab/>
    </w:r>
    <w:r w:rsidR="00601BA9" w:rsidRPr="00B8249E">
      <w:rPr>
        <w:sz w:val="18"/>
        <w:szCs w:val="18"/>
      </w:rPr>
      <w:t xml:space="preserve">A2 - </w:t>
    </w:r>
    <w:r w:rsidR="00601BA9" w:rsidRPr="00B8249E">
      <w:rPr>
        <w:sz w:val="18"/>
        <w:szCs w:val="18"/>
      </w:rPr>
      <w:fldChar w:fldCharType="begin"/>
    </w:r>
    <w:r w:rsidR="00601BA9" w:rsidRPr="00B8249E">
      <w:rPr>
        <w:sz w:val="18"/>
        <w:szCs w:val="18"/>
      </w:rPr>
      <w:instrText xml:space="preserve"> PAGE  \* MERGEFORMAT </w:instrText>
    </w:r>
    <w:r w:rsidR="00601BA9" w:rsidRPr="00B8249E">
      <w:rPr>
        <w:sz w:val="18"/>
        <w:szCs w:val="18"/>
      </w:rPr>
      <w:fldChar w:fldCharType="separate"/>
    </w:r>
    <w:r w:rsidR="00601BA9">
      <w:rPr>
        <w:sz w:val="18"/>
        <w:szCs w:val="18"/>
      </w:rPr>
      <w:t>1</w:t>
    </w:r>
    <w:r w:rsidR="00601BA9" w:rsidRPr="00B8249E">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30F92" w14:textId="57C945B4" w:rsidR="00453FD0" w:rsidRPr="00153BA8" w:rsidRDefault="00453FD0" w:rsidP="00153BA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AF26E" w14:textId="5236B936" w:rsidR="00453FD0" w:rsidRDefault="00453FD0" w:rsidP="005D11BA">
    <w:pPr>
      <w:pStyle w:val="Footer"/>
      <w:pBdr>
        <w:top w:val="single" w:sz="4" w:space="4" w:color="auto"/>
      </w:pBdr>
      <w:tabs>
        <w:tab w:val="clear" w:pos="4513"/>
        <w:tab w:val="clear" w:pos="9026"/>
        <w:tab w:val="right" w:pos="9639"/>
      </w:tabs>
      <w:rPr>
        <w:sz w:val="18"/>
        <w:szCs w:val="18"/>
      </w:rPr>
    </w:pPr>
    <w:r>
      <w:rPr>
        <w:sz w:val="18"/>
        <w:szCs w:val="18"/>
      </w:rPr>
      <w:t>Budget Statement 2019-20</w:t>
    </w:r>
    <w:r w:rsidRPr="00153BA8">
      <w:rPr>
        <w:sz w:val="18"/>
        <w:szCs w:val="18"/>
      </w:rPr>
      <w:t xml:space="preserve"> </w:t>
    </w:r>
    <w:r>
      <w:rPr>
        <w:sz w:val="18"/>
        <w:szCs w:val="18"/>
      </w:rPr>
      <w:tab/>
    </w:r>
    <w:r w:rsidRPr="00B8249E">
      <w:rPr>
        <w:sz w:val="18"/>
        <w:szCs w:val="18"/>
      </w:rPr>
      <w:t xml:space="preserve">A2 - </w:t>
    </w:r>
    <w:r w:rsidRPr="00B8249E">
      <w:rPr>
        <w:sz w:val="18"/>
        <w:szCs w:val="18"/>
      </w:rPr>
      <w:fldChar w:fldCharType="begin"/>
    </w:r>
    <w:r w:rsidRPr="00B8249E">
      <w:rPr>
        <w:sz w:val="18"/>
        <w:szCs w:val="18"/>
      </w:rPr>
      <w:instrText xml:space="preserve"> PAGE  \* MERGEFORMAT </w:instrText>
    </w:r>
    <w:r w:rsidRPr="00B8249E">
      <w:rPr>
        <w:sz w:val="18"/>
        <w:szCs w:val="18"/>
      </w:rPr>
      <w:fldChar w:fldCharType="separate"/>
    </w:r>
    <w:r>
      <w:rPr>
        <w:sz w:val="18"/>
        <w:szCs w:val="18"/>
      </w:rPr>
      <w:t>9</w:t>
    </w:r>
    <w:r w:rsidRPr="00B8249E">
      <w:rPr>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E6ACE" w14:textId="18B5DDA2" w:rsidR="00453FD0" w:rsidRDefault="00453FD0" w:rsidP="00153BA8">
    <w:pPr>
      <w:pStyle w:val="Footer"/>
      <w:pBdr>
        <w:top w:val="single" w:sz="4" w:space="4" w:color="auto"/>
      </w:pBdr>
      <w:tabs>
        <w:tab w:val="clear" w:pos="4513"/>
        <w:tab w:val="clear" w:pos="9026"/>
        <w:tab w:val="right" w:pos="9639"/>
      </w:tabs>
      <w:rPr>
        <w:sz w:val="18"/>
        <w:szCs w:val="18"/>
      </w:rPr>
    </w:pPr>
    <w:r>
      <w:rPr>
        <w:sz w:val="18"/>
        <w:szCs w:val="18"/>
      </w:rPr>
      <w:t>Budget Statement 2019-20</w:t>
    </w:r>
    <w:r w:rsidRPr="00153BA8">
      <w:rPr>
        <w:sz w:val="18"/>
        <w:szCs w:val="18"/>
      </w:rPr>
      <w:t xml:space="preserve"> </w:t>
    </w:r>
    <w:r>
      <w:rPr>
        <w:sz w:val="18"/>
        <w:szCs w:val="18"/>
      </w:rPr>
      <w:tab/>
    </w:r>
    <w:r w:rsidRPr="00B8249E">
      <w:rPr>
        <w:sz w:val="18"/>
        <w:szCs w:val="18"/>
      </w:rPr>
      <w:t xml:space="preserve">A2 - </w:t>
    </w:r>
    <w:r w:rsidRPr="00B8249E">
      <w:rPr>
        <w:sz w:val="18"/>
        <w:szCs w:val="18"/>
      </w:rPr>
      <w:fldChar w:fldCharType="begin"/>
    </w:r>
    <w:r w:rsidRPr="00B8249E">
      <w:rPr>
        <w:sz w:val="18"/>
        <w:szCs w:val="18"/>
      </w:rPr>
      <w:instrText xml:space="preserve"> PAGE  \* MERGEFORMAT </w:instrText>
    </w:r>
    <w:r w:rsidRPr="00B8249E">
      <w:rPr>
        <w:sz w:val="18"/>
        <w:szCs w:val="18"/>
      </w:rPr>
      <w:fldChar w:fldCharType="separate"/>
    </w:r>
    <w:r>
      <w:rPr>
        <w:sz w:val="18"/>
        <w:szCs w:val="18"/>
      </w:rPr>
      <w:t>7</w:t>
    </w:r>
    <w:r w:rsidRPr="00B8249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CA724" w14:textId="77777777" w:rsidR="00646F3A" w:rsidRDefault="00646F3A">
      <w:pPr>
        <w:spacing w:before="120"/>
      </w:pPr>
      <w:r>
        <w:separator/>
      </w:r>
    </w:p>
    <w:p w14:paraId="4704E785" w14:textId="77777777" w:rsidR="00646F3A" w:rsidRDefault="00646F3A"/>
  </w:footnote>
  <w:footnote w:type="continuationSeparator" w:id="0">
    <w:p w14:paraId="0DEA78E3" w14:textId="77777777" w:rsidR="00646F3A" w:rsidRDefault="00646F3A">
      <w:pPr>
        <w:spacing w:before="120"/>
      </w:pPr>
      <w:r>
        <w:continuationSeparator/>
      </w:r>
    </w:p>
    <w:p w14:paraId="772C5EB3" w14:textId="77777777" w:rsidR="00646F3A" w:rsidRDefault="00646F3A"/>
  </w:footnote>
  <w:footnote w:type="continuationNotice" w:id="1">
    <w:p w14:paraId="54A2BAA2" w14:textId="77777777" w:rsidR="00646F3A" w:rsidRDefault="00646F3A">
      <w:pPr>
        <w:rPr>
          <w:sz w:val="16"/>
        </w:rPr>
      </w:pPr>
    </w:p>
    <w:p w14:paraId="01DEAB34" w14:textId="77777777" w:rsidR="00646F3A" w:rsidRDefault="00646F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1F561" w14:textId="77777777" w:rsidR="00453FD0" w:rsidRPr="00B8249E" w:rsidRDefault="00453FD0" w:rsidP="00B8249E">
    <w:pPr>
      <w:pStyle w:val="Header"/>
      <w:pBdr>
        <w:bottom w:val="single" w:sz="4" w:space="4" w:color="auto"/>
      </w:pBdr>
      <w:rPr>
        <w:sz w:val="18"/>
        <w:szCs w:val="18"/>
      </w:rPr>
    </w:pPr>
    <w:r w:rsidRPr="00B8249E">
      <w:rPr>
        <w:rFonts w:eastAsiaTheme="minorHAnsi"/>
        <w:sz w:val="18"/>
        <w:szCs w:val="18"/>
      </w:rPr>
      <w:t>Statement of Significant Accounting Policies and Forecast Assumptions</w:t>
    </w:r>
  </w:p>
  <w:p w14:paraId="2DDF52C5" w14:textId="77777777" w:rsidR="00453FD0" w:rsidRDefault="00453F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F57D5" w14:textId="77777777" w:rsidR="00453FD0" w:rsidRPr="006E5531" w:rsidRDefault="00453FD0" w:rsidP="006E5531">
    <w:pPr>
      <w:pStyle w:val="Header"/>
      <w:pBdr>
        <w:bottom w:val="single" w:sz="4" w:space="4" w:color="auto"/>
      </w:pBdr>
      <w:jc w:val="right"/>
      <w:rPr>
        <w:rFonts w:eastAsiaTheme="minorHAnsi"/>
        <w:sz w:val="18"/>
        <w:szCs w:val="18"/>
      </w:rPr>
    </w:pPr>
    <w:r w:rsidRPr="00B8249E">
      <w:rPr>
        <w:rFonts w:eastAsiaTheme="minorHAnsi"/>
        <w:sz w:val="18"/>
        <w:szCs w:val="18"/>
      </w:rPr>
      <w:t>Statement of Significant Accounting Policies and Forecast Assumptions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2348D" w14:textId="77777777" w:rsidR="00453FD0" w:rsidRPr="00491FBA" w:rsidRDefault="00453FD0" w:rsidP="00D42A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B7C35" w14:textId="2820497B" w:rsidR="00453FD0" w:rsidRPr="00491FBA" w:rsidRDefault="001A5E3F" w:rsidP="00D42AC2">
    <w:pPr>
      <w:pStyle w:val="Header"/>
    </w:pPr>
    <w:r>
      <w:rPr>
        <w:noProof/>
      </w:rPr>
      <mc:AlternateContent>
        <mc:Choice Requires="wps">
          <w:drawing>
            <wp:anchor distT="0" distB="0" distL="114300" distR="114300" simplePos="0" relativeHeight="251660288" behindDoc="0" locked="0" layoutInCell="1" allowOverlap="1" wp14:anchorId="79AFC308" wp14:editId="66D9F175">
              <wp:simplePos x="0" y="0"/>
              <wp:positionH relativeFrom="margin">
                <wp:posOffset>9262745</wp:posOffset>
              </wp:positionH>
              <wp:positionV relativeFrom="margin">
                <wp:posOffset>-3810</wp:posOffset>
              </wp:positionV>
              <wp:extent cx="457200" cy="6134400"/>
              <wp:effectExtent l="0" t="0" r="0" b="0"/>
              <wp:wrapNone/>
              <wp:docPr id="2"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13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098BA0" w14:textId="6247A61E" w:rsidR="001A5E3F" w:rsidRPr="008A22FB" w:rsidRDefault="001A5E3F" w:rsidP="001A5E3F">
                          <w:pPr>
                            <w:pStyle w:val="Header"/>
                            <w:pBdr>
                              <w:bottom w:val="single" w:sz="4" w:space="4" w:color="auto"/>
                            </w:pBdr>
                            <w:rPr>
                              <w:rFonts w:eastAsiaTheme="minorHAnsi"/>
                              <w:sz w:val="18"/>
                              <w:szCs w:val="18"/>
                            </w:rPr>
                          </w:pPr>
                          <w:r>
                            <w:rPr>
                              <w:rFonts w:eastAsiaTheme="minorHAnsi"/>
                              <w:sz w:val="18"/>
                              <w:szCs w:val="18"/>
                            </w:rPr>
                            <w:t>Statement of Significant Accounting Policies and Forecast Assumptions</w:t>
                          </w:r>
                        </w:p>
                        <w:p w14:paraId="4A3E5330" w14:textId="77777777" w:rsidR="001A5E3F" w:rsidRDefault="001A5E3F" w:rsidP="001A5E3F">
                          <w:pPr>
                            <w:pStyle w:val="Header"/>
                            <w:rPr>
                              <w:rFonts w:eastAsiaTheme="minorHAnsi"/>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AFC308" id="_x0000_t202" coordsize="21600,21600" o:spt="202" path="m,l,21600r21600,l21600,xe">
              <v:stroke joinstyle="miter"/>
              <v:path gradientshapeok="t" o:connecttype="rect"/>
            </v:shapetype>
            <v:shape id="Text Box 58" o:spid="_x0000_s1026" type="#_x0000_t202" style="position:absolute;margin-left:729.35pt;margin-top:-.3pt;width:36pt;height:483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xditAIAAMEFAAAOAAAAZHJzL2Uyb0RvYy54bWysVFtv2yAUfp+0/4B4d30pSWyrTtXG8TSp&#10;u0jtfgCxcYxmgwckdjX1v++AkzRtNWnaxgOCcw7fuX2cq+uxa9GeKc2lyHB4EWDERCkrLrYZ/vZQ&#10;eDFG2lBR0VYKluFHpvH18v27q6FPWSQb2VZMIQAROh36DDfG9Knv67JhHdUXsmcClLVUHTVwVVu/&#10;UnQA9K71oyCY+4NUVa9kybQGaT4p8dLh1zUrzZe61sygNsMQm3G7cvvG7v7yiqZbRfuGl4cw6F9E&#10;0VEuwOkJKqeGop3ib6A6XiqpZW0uStn5sq55yVwOkE0YvMrmvqE9c7lAcXR/KpP+f7Dl5/1XhXiV&#10;4QgjQTto0QMbDbqVI5rFtjxDr1Owuu/Bzowghza7VHV/J8vvGgm5aqjYshul5NAwWkF4oX3pnz2d&#10;cLQF2QyfZAV+6M5IBzTWqrO1g2ogQIc2PZ5aY2MpQUhmC2g3RiWo5uElIXCxLmh6fN0rbT4w2SF7&#10;yLCC1jt0ur/TZjI9mlhnQha8bUFO01a8EADmJAHf8NTqbBSumz+TIFnH65h4JJqvPRLkuXdTrIg3&#10;L8LFLL/MV6s8fLJ+Q5I2vKqYsG6OzArJn3XuwPGJEyduadnyysLZkLTablatQnsKzC7cOhTkzMx/&#10;GYarF+TyKqUwIsFtlHjFPF54pCAzL1kEsReEyW0yD0hC8uJlSndcsH9PCQ0ZTmbRbCLTb3ML3Hqb&#10;G007bmB2tLzLcHwyoqml4FpUrrWG8nY6n5XChv9cCmj3sdGOsJajE1vNuBnd13BstmTeyOoRGKwk&#10;EAzICHMPDnbHaIAZkmH9Y0cVw6j9KOAXJCHwFIaOuzgGY6TONZtzDRVlI2E0Adh0XJlpUO16xbcN&#10;eJr+nZA38HNq7kj9HNXhv8GccLkdZpodROd3Z/U8eZe/AAAA//8DAFBLAwQUAAYACAAAACEAc3ir&#10;790AAAALAQAADwAAAGRycy9kb3ducmV2LnhtbEyPwU7DMAyG70i8Q2QkblsKtKWUphMC7QZIK3DP&#10;GtMWEqdqsrW8Pd4Jjr/96ffnarM4K444hcGTgqt1AgKp9WagTsH723ZVgAhRk9HWEyr4wQCb+vys&#10;0qXxM+3w2MROcAmFUivoYxxLKUPbo9Nh7Uck3n36yenIceqkmfTM5c7K6yTJpdMD8YVej/jYY/vd&#10;HJyCLb7MzS7Vr8bGj+ep6L58YZ+UurxYHu5BRFziHwwnfVaHmp32/kAmCMs5zYpbZhWschAnILtJ&#10;eLBXcJdnKci6kv9/qH8BAAD//wMAUEsBAi0AFAAGAAgAAAAhALaDOJL+AAAA4QEAABMAAAAAAAAA&#10;AAAAAAAAAAAAAFtDb250ZW50X1R5cGVzXS54bWxQSwECLQAUAAYACAAAACEAOP0h/9YAAACUAQAA&#10;CwAAAAAAAAAAAAAAAAAvAQAAX3JlbHMvLnJlbHNQSwECLQAUAAYACAAAACEAjnMXYrQCAADBBQAA&#10;DgAAAAAAAAAAAAAAAAAuAgAAZHJzL2Uyb0RvYy54bWxQSwECLQAUAAYACAAAACEAc3ir790AAAAL&#10;AQAADwAAAAAAAAAAAAAAAAAOBQAAZHJzL2Rvd25yZXYueG1sUEsFBgAAAAAEAAQA8wAAABgGAAAA&#10;AA==&#10;" filled="f" stroked="f">
              <v:textbox style="layout-flow:vertical">
                <w:txbxContent>
                  <w:p w14:paraId="35098BA0" w14:textId="6247A61E" w:rsidR="001A5E3F" w:rsidRPr="008A22FB" w:rsidRDefault="001A5E3F" w:rsidP="001A5E3F">
                    <w:pPr>
                      <w:pStyle w:val="Header"/>
                      <w:pBdr>
                        <w:bottom w:val="single" w:sz="4" w:space="4" w:color="auto"/>
                      </w:pBdr>
                      <w:rPr>
                        <w:rFonts w:eastAsiaTheme="minorHAnsi"/>
                        <w:sz w:val="18"/>
                        <w:szCs w:val="18"/>
                      </w:rPr>
                    </w:pPr>
                    <w:r>
                      <w:rPr>
                        <w:rFonts w:eastAsiaTheme="minorHAnsi"/>
                        <w:sz w:val="18"/>
                        <w:szCs w:val="18"/>
                      </w:rPr>
                      <w:t>Statement of Significant Accounting Policies and Forecast Assumptions</w:t>
                    </w:r>
                  </w:p>
                  <w:p w14:paraId="4A3E5330" w14:textId="77777777" w:rsidR="001A5E3F" w:rsidRDefault="001A5E3F" w:rsidP="001A5E3F">
                    <w:pPr>
                      <w:pStyle w:val="Header"/>
                      <w:rPr>
                        <w:rFonts w:eastAsiaTheme="minorHAnsi"/>
                      </w:rPr>
                    </w:pPr>
                  </w:p>
                </w:txbxContent>
              </v:textbox>
              <w10:wrap anchorx="margin" anchory="margin"/>
            </v:shape>
          </w:pict>
        </mc:Fallback>
      </mc:AlternateContent>
    </w:r>
    <w:r w:rsidR="00453FD0">
      <w:rPr>
        <w:noProof/>
      </w:rPr>
      <mc:AlternateContent>
        <mc:Choice Requires="wps">
          <w:drawing>
            <wp:anchor distT="0" distB="0" distL="114300" distR="114300" simplePos="0" relativeHeight="251658240" behindDoc="0" locked="0" layoutInCell="1" allowOverlap="1" wp14:anchorId="6E83DD48" wp14:editId="53CCF4DD">
              <wp:simplePos x="0" y="0"/>
              <wp:positionH relativeFrom="margin">
                <wp:posOffset>-461010</wp:posOffset>
              </wp:positionH>
              <wp:positionV relativeFrom="margin">
                <wp:posOffset>-38100</wp:posOffset>
              </wp:positionV>
              <wp:extent cx="457200" cy="6134100"/>
              <wp:effectExtent l="0" t="0" r="0" b="0"/>
              <wp:wrapNone/>
              <wp:docPr id="1"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134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E25376" w14:textId="0C43ECCF" w:rsidR="00453FD0" w:rsidRPr="00AB3B4C" w:rsidRDefault="00601BA9" w:rsidP="00153BA8">
                          <w:pPr>
                            <w:pStyle w:val="Footer"/>
                            <w:pBdr>
                              <w:top w:val="single" w:sz="4" w:space="4" w:color="auto"/>
                            </w:pBdr>
                            <w:tabs>
                              <w:tab w:val="clear" w:pos="4513"/>
                              <w:tab w:val="clear" w:pos="9026"/>
                              <w:tab w:val="right" w:pos="9639"/>
                            </w:tabs>
                            <w:rPr>
                              <w:sz w:val="18"/>
                              <w:szCs w:val="18"/>
                            </w:rPr>
                          </w:pPr>
                          <w:r>
                            <w:rPr>
                              <w:sz w:val="18"/>
                              <w:szCs w:val="18"/>
                            </w:rPr>
                            <w:t>A2</w:t>
                          </w:r>
                          <w:r w:rsidR="00453FD0" w:rsidRPr="00AB3B4C">
                            <w:rPr>
                              <w:sz w:val="18"/>
                              <w:szCs w:val="18"/>
                            </w:rPr>
                            <w:t xml:space="preserve"> - </w:t>
                          </w:r>
                          <w:r w:rsidR="00453FD0" w:rsidRPr="00AB3B4C">
                            <w:rPr>
                              <w:sz w:val="18"/>
                              <w:szCs w:val="18"/>
                            </w:rPr>
                            <w:fldChar w:fldCharType="begin"/>
                          </w:r>
                          <w:r w:rsidR="00453FD0" w:rsidRPr="00AB3B4C">
                            <w:rPr>
                              <w:sz w:val="18"/>
                              <w:szCs w:val="18"/>
                            </w:rPr>
                            <w:instrText xml:space="preserve"> PAGE  \* MERGEFORMAT </w:instrText>
                          </w:r>
                          <w:r w:rsidR="00453FD0" w:rsidRPr="00AB3B4C">
                            <w:rPr>
                              <w:sz w:val="18"/>
                              <w:szCs w:val="18"/>
                            </w:rPr>
                            <w:fldChar w:fldCharType="separate"/>
                          </w:r>
                          <w:r w:rsidR="00453FD0">
                            <w:rPr>
                              <w:noProof/>
                              <w:sz w:val="18"/>
                              <w:szCs w:val="18"/>
                            </w:rPr>
                            <w:t>2</w:t>
                          </w:r>
                          <w:r w:rsidR="00453FD0" w:rsidRPr="00AB3B4C">
                            <w:rPr>
                              <w:sz w:val="18"/>
                              <w:szCs w:val="18"/>
                            </w:rPr>
                            <w:fldChar w:fldCharType="end"/>
                          </w:r>
                          <w:r w:rsidR="00453FD0">
                            <w:rPr>
                              <w:sz w:val="18"/>
                              <w:szCs w:val="18"/>
                            </w:rPr>
                            <w:tab/>
                          </w:r>
                          <w:r w:rsidR="00453FD0" w:rsidRPr="00AB3B4C">
                            <w:rPr>
                              <w:sz w:val="18"/>
                              <w:szCs w:val="18"/>
                            </w:rPr>
                            <w:t>Budget Statement 201</w:t>
                          </w:r>
                          <w:r w:rsidR="00453FD0">
                            <w:rPr>
                              <w:sz w:val="18"/>
                              <w:szCs w:val="18"/>
                            </w:rPr>
                            <w:t>9-20</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83DD48" id="_x0000_s1027" type="#_x0000_t202" style="position:absolute;margin-left:-36.3pt;margin-top:-3pt;width:36pt;height:483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SfhsAIAALoFAAAOAAAAZHJzL2Uyb0RvYy54bWysVG1vmzAQ/j5p/8HydwqkTgKopEpDmCZ1&#10;L1K7H+CACdbAZrYTqKb+951N3tpq0rSND5Z9Pj93z93D3dwObYP2TGkuRYrDqwAjJgpZcrFN8bfH&#10;3Isw0oaKkjZSsBQ/MY1vF+/f3fRdwiaylk3JFAIQoZO+S3FtTJf4vi5q1lJ9JTsm4LKSqqUGjmrr&#10;l4r2gN42/iQIZn4vVdkpWTCtwZqNl3jh8KuKFeZLVWlmUJNiyM24Vbl1Y1d/cUOTraJdzYtDGvQv&#10;smgpFxD0BJVRQ9FO8TdQLS+U1LIyV4VsfVlVvGCOA7AJg1dsHmraMccFiqO7U5n0/4MtPu+/KsRL&#10;6B1GgrbQokc2GHQnBzSNbHn6Tifg9dCBnxnAbl0tVd3dy+K7RkKuaiq2bKmU7GtGS0gvtC/9i6cj&#10;jrYgm/6TLCEO3RnpgIZKtRYQqoEAHdr0dGqNzaUAI5nOod0YFXA1C69JCAcbgibH153S5gOTLbKb&#10;FCtovUOn+3ttRtejiw0mZM6bBuw0acQLA2COFogNT+2dzcJ182ccxOtoHRGPTGZrjwRZ5i3zFfFm&#10;eTifZtfZapWFzzZuSJKalyUTNsxRWSH5s84dND5q4qQtLRteWjibklbbzapRaE9B2bn7DgW5cPNf&#10;puHqBVxeUQonJLibxF4+i+YeycnUi+dB5AVhfBfPAhKTLH9J6Z4L9u+UUJ/ieDqZjmL6LbfAfW+5&#10;0aTlBmZHw9sURycnmlgJrkXpWmsob8b9RSls+udSQLuPjXaCtRod1WqGzQAoVsUbWT6BdJUEZYEK&#10;YeDBxq4Y9TA8Uqx/7KhiGDUfBcg/Dgmx08YdnHQxUpc3m8sbKopawkwCsHG7MuOE2nWKb2uINP5w&#10;Qi7hl6m4U/M5q8OPBgPCkToMMzuBLs/O6zxyF78AAAD//wMAUEsDBBQABgAIAAAAIQCQW01T2gAA&#10;AAgBAAAPAAAAZHJzL2Rvd25yZXYueG1sTI/LTsMwEEX3SPyDNUjsUpsKhTSNUyFQd4DUAHs3HpKA&#10;PY5itwl/z7CC3VzN0X1Uu8U7ccYpDoE03KwUCKQ22IE6DW+v+6wAEZMha1wg1PCNEXb15UVlShtm&#10;OuC5SZ1gE4ql0dCnNJZSxrZHb+IqjEj8+wiTN4nl1Ek7mZnNvZNrpXLpzUCc0JsRH3psv5qT17DH&#10;57k53JoX69L701R0n6Fwj1pfXy33WxAJl/QHw299rg41dzqGE9konIbsbp0zykfOmxjIWB41bHKl&#10;QNaV/D+g/gEAAP//AwBQSwECLQAUAAYACAAAACEAtoM4kv4AAADhAQAAEwAAAAAAAAAAAAAAAAAA&#10;AAAAW0NvbnRlbnRfVHlwZXNdLnhtbFBLAQItABQABgAIAAAAIQA4/SH/1gAAAJQBAAALAAAAAAAA&#10;AAAAAAAAAC8BAABfcmVscy8ucmVsc1BLAQItABQABgAIAAAAIQCTeSfhsAIAALoFAAAOAAAAAAAA&#10;AAAAAAAAAC4CAABkcnMvZTJvRG9jLnhtbFBLAQItABQABgAIAAAAIQCQW01T2gAAAAgBAAAPAAAA&#10;AAAAAAAAAAAAAAoFAABkcnMvZG93bnJldi54bWxQSwUGAAAAAAQABADzAAAAEQYAAAAA&#10;" filled="f" stroked="f">
              <v:textbox style="layout-flow:vertical">
                <w:txbxContent>
                  <w:p w14:paraId="07E25376" w14:textId="0C43ECCF" w:rsidR="00453FD0" w:rsidRPr="00AB3B4C" w:rsidRDefault="00601BA9" w:rsidP="00153BA8">
                    <w:pPr>
                      <w:pStyle w:val="Footer"/>
                      <w:pBdr>
                        <w:top w:val="single" w:sz="4" w:space="4" w:color="auto"/>
                      </w:pBdr>
                      <w:tabs>
                        <w:tab w:val="clear" w:pos="4513"/>
                        <w:tab w:val="clear" w:pos="9026"/>
                        <w:tab w:val="right" w:pos="9639"/>
                      </w:tabs>
                      <w:rPr>
                        <w:sz w:val="18"/>
                        <w:szCs w:val="18"/>
                      </w:rPr>
                    </w:pPr>
                    <w:r>
                      <w:rPr>
                        <w:sz w:val="18"/>
                        <w:szCs w:val="18"/>
                      </w:rPr>
                      <w:t>A2</w:t>
                    </w:r>
                    <w:r w:rsidR="00453FD0" w:rsidRPr="00AB3B4C">
                      <w:rPr>
                        <w:sz w:val="18"/>
                        <w:szCs w:val="18"/>
                      </w:rPr>
                      <w:t xml:space="preserve"> - </w:t>
                    </w:r>
                    <w:r w:rsidR="00453FD0" w:rsidRPr="00AB3B4C">
                      <w:rPr>
                        <w:sz w:val="18"/>
                        <w:szCs w:val="18"/>
                      </w:rPr>
                      <w:fldChar w:fldCharType="begin"/>
                    </w:r>
                    <w:r w:rsidR="00453FD0" w:rsidRPr="00AB3B4C">
                      <w:rPr>
                        <w:sz w:val="18"/>
                        <w:szCs w:val="18"/>
                      </w:rPr>
                      <w:instrText xml:space="preserve"> PAGE  \* MERGEFORMAT </w:instrText>
                    </w:r>
                    <w:r w:rsidR="00453FD0" w:rsidRPr="00AB3B4C">
                      <w:rPr>
                        <w:sz w:val="18"/>
                        <w:szCs w:val="18"/>
                      </w:rPr>
                      <w:fldChar w:fldCharType="separate"/>
                    </w:r>
                    <w:r w:rsidR="00453FD0">
                      <w:rPr>
                        <w:noProof/>
                        <w:sz w:val="18"/>
                        <w:szCs w:val="18"/>
                      </w:rPr>
                      <w:t>2</w:t>
                    </w:r>
                    <w:r w:rsidR="00453FD0" w:rsidRPr="00AB3B4C">
                      <w:rPr>
                        <w:sz w:val="18"/>
                        <w:szCs w:val="18"/>
                      </w:rPr>
                      <w:fldChar w:fldCharType="end"/>
                    </w:r>
                    <w:r w:rsidR="00453FD0">
                      <w:rPr>
                        <w:sz w:val="18"/>
                        <w:szCs w:val="18"/>
                      </w:rPr>
                      <w:tab/>
                    </w:r>
                    <w:r w:rsidR="00453FD0" w:rsidRPr="00AB3B4C">
                      <w:rPr>
                        <w:sz w:val="18"/>
                        <w:szCs w:val="18"/>
                      </w:rPr>
                      <w:t>Budget Statement 201</w:t>
                    </w:r>
                    <w:r w:rsidR="00453FD0">
                      <w:rPr>
                        <w:sz w:val="18"/>
                        <w:szCs w:val="18"/>
                      </w:rPr>
                      <w:t>9-20</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0E4E7" w14:textId="77777777" w:rsidR="001A5E3F" w:rsidRPr="00B8249E" w:rsidRDefault="001A5E3F" w:rsidP="00B8249E">
    <w:pPr>
      <w:pStyle w:val="Header"/>
      <w:pBdr>
        <w:bottom w:val="single" w:sz="4" w:space="4" w:color="auto"/>
      </w:pBdr>
      <w:rPr>
        <w:sz w:val="18"/>
        <w:szCs w:val="18"/>
      </w:rPr>
    </w:pPr>
    <w:r w:rsidRPr="00B8249E">
      <w:rPr>
        <w:rFonts w:eastAsiaTheme="minorHAnsi"/>
        <w:sz w:val="18"/>
        <w:szCs w:val="18"/>
      </w:rPr>
      <w:t>Statement of Significant Accounting Policies and Forecast Assumptions</w:t>
    </w:r>
  </w:p>
  <w:p w14:paraId="0F9A71D3" w14:textId="77777777" w:rsidR="001A5E3F" w:rsidRDefault="001A5E3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BD749" w14:textId="77777777" w:rsidR="001A5E3F" w:rsidRPr="00B8249E" w:rsidRDefault="001A5E3F" w:rsidP="001A5E3F">
    <w:pPr>
      <w:pStyle w:val="Header"/>
      <w:pBdr>
        <w:bottom w:val="single" w:sz="4" w:space="4" w:color="auto"/>
      </w:pBdr>
      <w:jc w:val="right"/>
      <w:rPr>
        <w:sz w:val="18"/>
        <w:szCs w:val="18"/>
      </w:rPr>
    </w:pPr>
    <w:r w:rsidRPr="00B8249E">
      <w:rPr>
        <w:rFonts w:eastAsiaTheme="minorHAnsi"/>
        <w:sz w:val="18"/>
        <w:szCs w:val="18"/>
      </w:rPr>
      <w:t>Statement of Significant Accounting Policies and Forecast Assumptions</w:t>
    </w:r>
  </w:p>
  <w:p w14:paraId="3E4FA237" w14:textId="16CB9FC2" w:rsidR="00453FD0" w:rsidRPr="001A5E3F" w:rsidRDefault="00453FD0" w:rsidP="001A5E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082EFF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A74D4D0"/>
    <w:lvl w:ilvl="0">
      <w:start w:val="1"/>
      <w:numFmt w:val="bullet"/>
      <w:pStyle w:val="NormalWeb"/>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707A54F6"/>
    <w:lvl w:ilvl="0">
      <w:start w:val="1"/>
      <w:numFmt w:val="decimal"/>
      <w:pStyle w:val="ListNumber"/>
      <w:lvlText w:val="%1."/>
      <w:lvlJc w:val="left"/>
      <w:pPr>
        <w:tabs>
          <w:tab w:val="num" w:pos="360"/>
        </w:tabs>
        <w:ind w:left="360" w:hanging="360"/>
      </w:pPr>
    </w:lvl>
  </w:abstractNum>
  <w:abstractNum w:abstractNumId="3" w15:restartNumberingAfterBreak="0">
    <w:nsid w:val="081A0EA4"/>
    <w:multiLevelType w:val="hybridMultilevel"/>
    <w:tmpl w:val="CEEA8C76"/>
    <w:lvl w:ilvl="0" w:tplc="E4985A10">
      <w:start w:val="1"/>
      <w:numFmt w:val="lowerLetter"/>
      <w:lvlText w:val="(%1)"/>
      <w:lvlJc w:val="left"/>
      <w:pPr>
        <w:ind w:left="720" w:hanging="360"/>
      </w:pPr>
      <w:rPr>
        <w:rFonts w:ascii="Arial" w:hAnsi="Aria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B777EDC"/>
    <w:multiLevelType w:val="hybridMultilevel"/>
    <w:tmpl w:val="24309B1C"/>
    <w:lvl w:ilvl="0" w:tplc="22A0D0A6">
      <w:start w:val="1"/>
      <w:numFmt w:val="decimal"/>
      <w:pStyle w:val="Chart5X"/>
      <w:lvlText w:val="Chart 5.%1:"/>
      <w:lvlJc w:val="left"/>
      <w:pPr>
        <w:ind w:left="360" w:hanging="360"/>
      </w:pPr>
      <w:rPr>
        <w:rFonts w:cs="Times New Roman" w:hint="default"/>
        <w:b w:val="0"/>
        <w:i w:val="0"/>
        <w:iCs w:val="0"/>
        <w:caps w:val="0"/>
        <w:smallCaps w:val="0"/>
        <w:strike w:val="0"/>
        <w:dstrike w:val="0"/>
        <w:vanish w:val="0"/>
        <w:color w:val="00A1DE"/>
        <w:spacing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CAB29B1C">
      <w:numFmt w:val="bullet"/>
      <w:lvlText w:val="•"/>
      <w:lvlJc w:val="left"/>
      <w:pPr>
        <w:ind w:left="1800" w:hanging="720"/>
      </w:pPr>
      <w:rPr>
        <w:rFonts w:ascii="Minion Pro" w:eastAsia="Times New Roman" w:hAnsi="Minion Pro" w:cs="Aria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BA61D21"/>
    <w:multiLevelType w:val="hybridMultilevel"/>
    <w:tmpl w:val="00484CDE"/>
    <w:lvl w:ilvl="0" w:tplc="7C80C020">
      <w:start w:val="1"/>
      <w:numFmt w:val="decimal"/>
      <w:pStyle w:val="Table4x"/>
      <w:lvlText w:val="Table 4.%1:"/>
      <w:lvlJc w:val="left"/>
      <w:pPr>
        <w:ind w:left="360" w:hanging="360"/>
      </w:pPr>
      <w:rPr>
        <w:rFonts w:ascii="Arial" w:hAnsi="Arial" w:hint="default"/>
        <w:b w:val="0"/>
        <w:i/>
        <w:caps w:val="0"/>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0D523C68"/>
    <w:multiLevelType w:val="hybridMultilevel"/>
    <w:tmpl w:val="0E1A459C"/>
    <w:lvl w:ilvl="0" w:tplc="D3BC6114">
      <w:start w:val="1"/>
      <w:numFmt w:val="bullet"/>
      <w:pStyle w:val="Bullet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CB4AFF"/>
    <w:multiLevelType w:val="hybridMultilevel"/>
    <w:tmpl w:val="C4CC58DA"/>
    <w:lvl w:ilvl="0" w:tplc="D97AD104">
      <w:start w:val="1"/>
      <w:numFmt w:val="bullet"/>
      <w:pStyle w:val="ListBullet1"/>
      <w:lvlText w:val=""/>
      <w:lvlJc w:val="left"/>
      <w:pPr>
        <w:tabs>
          <w:tab w:val="num" w:pos="454"/>
        </w:tabs>
        <w:ind w:left="454" w:hanging="454"/>
      </w:pPr>
      <w:rPr>
        <w:rFonts w:ascii="Symbol" w:hAnsi="Symbol" w:hint="default"/>
      </w:rPr>
    </w:lvl>
    <w:lvl w:ilvl="1" w:tplc="5A70E5E4">
      <w:numFmt w:val="bullet"/>
      <w:lvlText w:val="-"/>
      <w:lvlJc w:val="left"/>
      <w:pPr>
        <w:tabs>
          <w:tab w:val="num" w:pos="1440"/>
        </w:tabs>
        <w:ind w:left="1440" w:hanging="360"/>
      </w:pPr>
      <w:rPr>
        <w:rFonts w:ascii="Arial" w:eastAsia="Times New Roman" w:hAnsi="Arial" w:cs="Arial"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7E4323"/>
    <w:multiLevelType w:val="hybridMultilevel"/>
    <w:tmpl w:val="EF703C6A"/>
    <w:lvl w:ilvl="0" w:tplc="9B742244">
      <w:start w:val="1"/>
      <w:numFmt w:val="decimal"/>
      <w:pStyle w:val="TableCX"/>
      <w:lvlText w:val="Table C.%1:"/>
      <w:lvlJc w:val="left"/>
      <w:pPr>
        <w:ind w:left="360" w:hanging="360"/>
      </w:pPr>
      <w:rPr>
        <w:rFonts w:ascii="Arial Unicode MS" w:eastAsia="Arial Unicode MS" w:hAnsi="Arial Unicode MS" w:hint="eastAsia"/>
        <w:b w:val="0"/>
        <w:i/>
        <w:caps w:val="0"/>
        <w:color w:val="57514D"/>
        <w:sz w:val="20"/>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19DF3B9E"/>
    <w:multiLevelType w:val="hybridMultilevel"/>
    <w:tmpl w:val="A926BEA2"/>
    <w:lvl w:ilvl="0" w:tplc="8DD6CCB8">
      <w:start w:val="1"/>
      <w:numFmt w:val="decimal"/>
      <w:pStyle w:val="Chart2X"/>
      <w:lvlText w:val="Chart 2.%1."/>
      <w:lvlJc w:val="left"/>
      <w:pPr>
        <w:ind w:left="720" w:hanging="360"/>
      </w:pPr>
      <w:rPr>
        <w:rFonts w:ascii="Arial" w:hAnsi="Arial" w:hint="default"/>
        <w:b w:val="0"/>
        <w:i/>
        <w:caps w:val="0"/>
        <w:color w:val="57514D"/>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1B5C5E00"/>
    <w:multiLevelType w:val="hybridMultilevel"/>
    <w:tmpl w:val="E2BE0E62"/>
    <w:lvl w:ilvl="0" w:tplc="F7481A46">
      <w:start w:val="1"/>
      <w:numFmt w:val="decimal"/>
      <w:pStyle w:val="Chart1X"/>
      <w:lvlText w:val="Chart 1.%1:"/>
      <w:lvlJc w:val="left"/>
      <w:pPr>
        <w:ind w:left="720" w:hanging="360"/>
      </w:pPr>
      <w:rPr>
        <w:rFonts w:ascii="Arial" w:hAnsi="Arial" w:hint="default"/>
        <w:b w:val="0"/>
        <w:i/>
        <w:color w:val="57514D"/>
        <w:sz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1BD73A11"/>
    <w:multiLevelType w:val="hybridMultilevel"/>
    <w:tmpl w:val="61E85D8E"/>
    <w:lvl w:ilvl="0" w:tplc="999A11A4">
      <w:start w:val="1"/>
      <w:numFmt w:val="bullet"/>
      <w:pStyle w:val="Bullet"/>
      <w:lvlText w:val=""/>
      <w:lvlJc w:val="left"/>
      <w:pPr>
        <w:tabs>
          <w:tab w:val="num" w:pos="113"/>
        </w:tabs>
        <w:ind w:left="0" w:firstLine="113"/>
      </w:pPr>
      <w:rPr>
        <w:rFonts w:ascii="Wingdings" w:hAnsi="Wingdings" w:hint="default"/>
      </w:rPr>
    </w:lvl>
    <w:lvl w:ilvl="1" w:tplc="0C090003" w:tentative="1">
      <w:start w:val="1"/>
      <w:numFmt w:val="bullet"/>
      <w:lvlText w:val="o"/>
      <w:lvlJc w:val="left"/>
      <w:pPr>
        <w:ind w:left="1193" w:hanging="360"/>
      </w:pPr>
      <w:rPr>
        <w:rFonts w:ascii="Courier New" w:hAnsi="Courier New" w:cs="Courier New" w:hint="default"/>
      </w:rPr>
    </w:lvl>
    <w:lvl w:ilvl="2" w:tplc="0C090005" w:tentative="1">
      <w:start w:val="1"/>
      <w:numFmt w:val="bullet"/>
      <w:lvlText w:val=""/>
      <w:lvlJc w:val="left"/>
      <w:pPr>
        <w:ind w:left="1913" w:hanging="360"/>
      </w:pPr>
      <w:rPr>
        <w:rFonts w:ascii="Wingdings" w:hAnsi="Wingdings" w:hint="default"/>
      </w:rPr>
    </w:lvl>
    <w:lvl w:ilvl="3" w:tplc="0C090001" w:tentative="1">
      <w:start w:val="1"/>
      <w:numFmt w:val="bullet"/>
      <w:lvlText w:val=""/>
      <w:lvlJc w:val="left"/>
      <w:pPr>
        <w:ind w:left="2633" w:hanging="360"/>
      </w:pPr>
      <w:rPr>
        <w:rFonts w:ascii="Symbol" w:hAnsi="Symbol" w:hint="default"/>
      </w:rPr>
    </w:lvl>
    <w:lvl w:ilvl="4" w:tplc="0C090003" w:tentative="1">
      <w:start w:val="1"/>
      <w:numFmt w:val="bullet"/>
      <w:lvlText w:val="o"/>
      <w:lvlJc w:val="left"/>
      <w:pPr>
        <w:ind w:left="3353" w:hanging="360"/>
      </w:pPr>
      <w:rPr>
        <w:rFonts w:ascii="Courier New" w:hAnsi="Courier New" w:cs="Courier New" w:hint="default"/>
      </w:rPr>
    </w:lvl>
    <w:lvl w:ilvl="5" w:tplc="0C090005" w:tentative="1">
      <w:start w:val="1"/>
      <w:numFmt w:val="bullet"/>
      <w:lvlText w:val=""/>
      <w:lvlJc w:val="left"/>
      <w:pPr>
        <w:ind w:left="4073" w:hanging="360"/>
      </w:pPr>
      <w:rPr>
        <w:rFonts w:ascii="Wingdings" w:hAnsi="Wingdings" w:hint="default"/>
      </w:rPr>
    </w:lvl>
    <w:lvl w:ilvl="6" w:tplc="0C090001" w:tentative="1">
      <w:start w:val="1"/>
      <w:numFmt w:val="bullet"/>
      <w:lvlText w:val=""/>
      <w:lvlJc w:val="left"/>
      <w:pPr>
        <w:ind w:left="4793" w:hanging="360"/>
      </w:pPr>
      <w:rPr>
        <w:rFonts w:ascii="Symbol" w:hAnsi="Symbol" w:hint="default"/>
      </w:rPr>
    </w:lvl>
    <w:lvl w:ilvl="7" w:tplc="0C090003" w:tentative="1">
      <w:start w:val="1"/>
      <w:numFmt w:val="bullet"/>
      <w:lvlText w:val="o"/>
      <w:lvlJc w:val="left"/>
      <w:pPr>
        <w:ind w:left="5513" w:hanging="360"/>
      </w:pPr>
      <w:rPr>
        <w:rFonts w:ascii="Courier New" w:hAnsi="Courier New" w:cs="Courier New" w:hint="default"/>
      </w:rPr>
    </w:lvl>
    <w:lvl w:ilvl="8" w:tplc="0C090005" w:tentative="1">
      <w:start w:val="1"/>
      <w:numFmt w:val="bullet"/>
      <w:lvlText w:val=""/>
      <w:lvlJc w:val="left"/>
      <w:pPr>
        <w:ind w:left="6233" w:hanging="360"/>
      </w:pPr>
      <w:rPr>
        <w:rFonts w:ascii="Wingdings" w:hAnsi="Wingdings" w:hint="default"/>
      </w:rPr>
    </w:lvl>
  </w:abstractNum>
  <w:abstractNum w:abstractNumId="12" w15:restartNumberingAfterBreak="0">
    <w:nsid w:val="1DAA3D06"/>
    <w:multiLevelType w:val="hybridMultilevel"/>
    <w:tmpl w:val="3BA0D3A0"/>
    <w:lvl w:ilvl="0" w:tplc="52724C64">
      <w:start w:val="1"/>
      <w:numFmt w:val="bullet"/>
      <w:lvlText w:val=""/>
      <w:lvlJc w:val="left"/>
      <w:pPr>
        <w:ind w:left="720" w:hanging="360"/>
      </w:pPr>
      <w:rPr>
        <w:rFonts w:ascii="Symbol" w:hAnsi="Symbol" w:hint="default"/>
        <w:sz w:val="18"/>
      </w:rPr>
    </w:lvl>
    <w:lvl w:ilvl="1" w:tplc="857A31B8">
      <w:start w:val="1"/>
      <w:numFmt w:val="bullet"/>
      <w:pStyle w:val="Bullet-2ndlevel"/>
      <w:lvlText w:val="-"/>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0E656E4"/>
    <w:multiLevelType w:val="hybridMultilevel"/>
    <w:tmpl w:val="3F949A3A"/>
    <w:lvl w:ilvl="0" w:tplc="594C4C22">
      <w:start w:val="1"/>
      <w:numFmt w:val="bullet"/>
      <w:pStyle w:val="Bullet3"/>
      <w:lvlText w:val="◊"/>
      <w:lvlJc w:val="left"/>
      <w:pPr>
        <w:ind w:left="2520" w:hanging="360"/>
      </w:pPr>
      <w:rPr>
        <w:rFonts w:ascii="Courier New" w:hAnsi="Courier New" w:hint="default"/>
      </w:rPr>
    </w:lvl>
    <w:lvl w:ilvl="1" w:tplc="0C090003" w:tentative="1">
      <w:start w:val="1"/>
      <w:numFmt w:val="bullet"/>
      <w:lvlText w:val="o"/>
      <w:lvlJc w:val="left"/>
      <w:pPr>
        <w:ind w:left="3240" w:hanging="360"/>
      </w:pPr>
      <w:rPr>
        <w:rFonts w:ascii="Courier New" w:hAnsi="Courier New" w:cs="Courier New" w:hint="default"/>
      </w:rPr>
    </w:lvl>
    <w:lvl w:ilvl="2" w:tplc="0C090005" w:tentative="1">
      <w:start w:val="1"/>
      <w:numFmt w:val="bullet"/>
      <w:lvlText w:val=""/>
      <w:lvlJc w:val="left"/>
      <w:pPr>
        <w:ind w:left="3960" w:hanging="360"/>
      </w:pPr>
      <w:rPr>
        <w:rFonts w:ascii="Wingdings" w:hAnsi="Wingdings" w:hint="default"/>
      </w:rPr>
    </w:lvl>
    <w:lvl w:ilvl="3" w:tplc="0C090001" w:tentative="1">
      <w:start w:val="1"/>
      <w:numFmt w:val="bullet"/>
      <w:lvlText w:val=""/>
      <w:lvlJc w:val="left"/>
      <w:pPr>
        <w:ind w:left="4680" w:hanging="360"/>
      </w:pPr>
      <w:rPr>
        <w:rFonts w:ascii="Symbol" w:hAnsi="Symbol" w:hint="default"/>
      </w:rPr>
    </w:lvl>
    <w:lvl w:ilvl="4" w:tplc="0C090003" w:tentative="1">
      <w:start w:val="1"/>
      <w:numFmt w:val="bullet"/>
      <w:lvlText w:val="o"/>
      <w:lvlJc w:val="left"/>
      <w:pPr>
        <w:ind w:left="5400" w:hanging="360"/>
      </w:pPr>
      <w:rPr>
        <w:rFonts w:ascii="Courier New" w:hAnsi="Courier New" w:cs="Courier New" w:hint="default"/>
      </w:rPr>
    </w:lvl>
    <w:lvl w:ilvl="5" w:tplc="0C090005" w:tentative="1">
      <w:start w:val="1"/>
      <w:numFmt w:val="bullet"/>
      <w:lvlText w:val=""/>
      <w:lvlJc w:val="left"/>
      <w:pPr>
        <w:ind w:left="6120" w:hanging="360"/>
      </w:pPr>
      <w:rPr>
        <w:rFonts w:ascii="Wingdings" w:hAnsi="Wingdings" w:hint="default"/>
      </w:rPr>
    </w:lvl>
    <w:lvl w:ilvl="6" w:tplc="0C090001" w:tentative="1">
      <w:start w:val="1"/>
      <w:numFmt w:val="bullet"/>
      <w:lvlText w:val=""/>
      <w:lvlJc w:val="left"/>
      <w:pPr>
        <w:ind w:left="6840" w:hanging="360"/>
      </w:pPr>
      <w:rPr>
        <w:rFonts w:ascii="Symbol" w:hAnsi="Symbol" w:hint="default"/>
      </w:rPr>
    </w:lvl>
    <w:lvl w:ilvl="7" w:tplc="0C090003" w:tentative="1">
      <w:start w:val="1"/>
      <w:numFmt w:val="bullet"/>
      <w:lvlText w:val="o"/>
      <w:lvlJc w:val="left"/>
      <w:pPr>
        <w:ind w:left="7560" w:hanging="360"/>
      </w:pPr>
      <w:rPr>
        <w:rFonts w:ascii="Courier New" w:hAnsi="Courier New" w:cs="Courier New" w:hint="default"/>
      </w:rPr>
    </w:lvl>
    <w:lvl w:ilvl="8" w:tplc="0C090005" w:tentative="1">
      <w:start w:val="1"/>
      <w:numFmt w:val="bullet"/>
      <w:lvlText w:val=""/>
      <w:lvlJc w:val="left"/>
      <w:pPr>
        <w:ind w:left="8280" w:hanging="360"/>
      </w:pPr>
      <w:rPr>
        <w:rFonts w:ascii="Wingdings" w:hAnsi="Wingdings" w:hint="default"/>
      </w:rPr>
    </w:lvl>
  </w:abstractNum>
  <w:abstractNum w:abstractNumId="14" w15:restartNumberingAfterBreak="0">
    <w:nsid w:val="231E7A8E"/>
    <w:multiLevelType w:val="multilevel"/>
    <w:tmpl w:val="0C09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33755A"/>
    <w:multiLevelType w:val="hybridMultilevel"/>
    <w:tmpl w:val="B2920730"/>
    <w:lvl w:ilvl="0" w:tplc="0C2E9E16">
      <w:start w:val="1"/>
      <w:numFmt w:val="decimal"/>
      <w:pStyle w:val="Chart8X"/>
      <w:lvlText w:val="Chart 8.%1:"/>
      <w:lvlJc w:val="left"/>
      <w:pPr>
        <w:ind w:left="720" w:hanging="360"/>
      </w:pPr>
      <w:rPr>
        <w:rFonts w:ascii="Arial" w:hAnsi="Arial" w:hint="default"/>
        <w:b w:val="0"/>
        <w:i/>
        <w:color w:val="auto"/>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252E0C34"/>
    <w:multiLevelType w:val="multilevel"/>
    <w:tmpl w:val="BB540AD0"/>
    <w:styleLink w:val="BulletPoints"/>
    <w:lvl w:ilvl="0">
      <w:start w:val="1"/>
      <w:numFmt w:val="bullet"/>
      <w:pStyle w:val="BulletPointStyle"/>
      <w:lvlText w:val=""/>
      <w:lvlJc w:val="left"/>
      <w:pPr>
        <w:ind w:left="357" w:hanging="357"/>
      </w:pPr>
      <w:rPr>
        <w:rFonts w:ascii="Wingdings" w:hAnsi="Wingdings" w:hint="default"/>
        <w:color w:val="auto"/>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hint="default"/>
      </w:rPr>
    </w:lvl>
    <w:lvl w:ilvl="8">
      <w:start w:val="1"/>
      <w:numFmt w:val="bullet"/>
      <w:lvlText w:val=""/>
      <w:lvlJc w:val="left"/>
      <w:pPr>
        <w:ind w:left="3213" w:hanging="357"/>
      </w:pPr>
      <w:rPr>
        <w:rFonts w:ascii="Wingdings" w:hAnsi="Wingdings" w:hint="default"/>
      </w:rPr>
    </w:lvl>
  </w:abstractNum>
  <w:abstractNum w:abstractNumId="17" w15:restartNumberingAfterBreak="0">
    <w:nsid w:val="27856019"/>
    <w:multiLevelType w:val="hybridMultilevel"/>
    <w:tmpl w:val="C1B03848"/>
    <w:lvl w:ilvl="0" w:tplc="DD84B1C6">
      <w:start w:val="1"/>
      <w:numFmt w:val="bullet"/>
      <w:pStyle w:val="Bullet1inabox"/>
      <w:lvlText w:val="•"/>
      <w:lvlJc w:val="left"/>
      <w:pPr>
        <w:ind w:left="360" w:hanging="360"/>
      </w:pPr>
      <w:rPr>
        <w:rFonts w:ascii="Arial" w:hAnsi="Arial" w:hint="default"/>
        <w:color w:val="0A7CB9"/>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28CF399F"/>
    <w:multiLevelType w:val="hybridMultilevel"/>
    <w:tmpl w:val="790064B6"/>
    <w:lvl w:ilvl="0" w:tplc="546E5910">
      <w:start w:val="1"/>
      <w:numFmt w:val="decimal"/>
      <w:pStyle w:val="Table3x"/>
      <w:lvlText w:val="Table 3.%1:"/>
      <w:lvlJc w:val="left"/>
      <w:pPr>
        <w:ind w:left="720" w:hanging="360"/>
      </w:pPr>
      <w:rPr>
        <w:rFonts w:ascii="Arial" w:hAnsi="Arial" w:hint="default"/>
        <w:b w:val="0"/>
        <w:i/>
        <w:caps w:val="0"/>
        <w:color w:val="57514D"/>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29B409D0"/>
    <w:multiLevelType w:val="hybridMultilevel"/>
    <w:tmpl w:val="20EA3C9E"/>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2E1E75AE"/>
    <w:multiLevelType w:val="hybridMultilevel"/>
    <w:tmpl w:val="9E4C36F0"/>
    <w:lvl w:ilvl="0" w:tplc="B1E63B5C">
      <w:start w:val="1"/>
      <w:numFmt w:val="decimal"/>
      <w:pStyle w:val="Tablex"/>
      <w:lvlText w:val="Table %1:"/>
      <w:lvlJc w:val="left"/>
      <w:pPr>
        <w:ind w:left="360" w:hanging="360"/>
      </w:pPr>
      <w:rPr>
        <w:rFonts w:ascii="Arial" w:hAnsi="Arial" w:hint="default"/>
        <w:b w:val="0"/>
        <w:i/>
        <w:caps w:val="0"/>
        <w:sz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2F230D21"/>
    <w:multiLevelType w:val="hybridMultilevel"/>
    <w:tmpl w:val="3B581196"/>
    <w:lvl w:ilvl="0" w:tplc="01989CEC">
      <w:start w:val="1"/>
      <w:numFmt w:val="bullet"/>
      <w:lvlText w:val=""/>
      <w:lvlJc w:val="left"/>
      <w:pPr>
        <w:ind w:left="1080" w:hanging="360"/>
      </w:pPr>
      <w:rPr>
        <w:rFonts w:ascii="Symbol" w:hAnsi="Symbol" w:hint="default"/>
        <w:sz w:val="18"/>
      </w:rPr>
    </w:lvl>
    <w:lvl w:ilvl="1" w:tplc="E6865E28">
      <w:start w:val="1"/>
      <w:numFmt w:val="bullet"/>
      <w:pStyle w:val="Bullet2ndlevel"/>
      <w:lvlText w:val="-"/>
      <w:lvlJc w:val="left"/>
      <w:pPr>
        <w:ind w:left="1800" w:hanging="360"/>
      </w:pPr>
      <w:rPr>
        <w:rFonts w:ascii="Courier New" w:hAnsi="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2" w15:restartNumberingAfterBreak="0">
    <w:nsid w:val="2F3B24A9"/>
    <w:multiLevelType w:val="hybridMultilevel"/>
    <w:tmpl w:val="37D69340"/>
    <w:lvl w:ilvl="0" w:tplc="111C9F6A">
      <w:start w:val="1"/>
      <w:numFmt w:val="decimal"/>
      <w:pStyle w:val="Chart9X"/>
      <w:lvlText w:val="Chart 9.%1:"/>
      <w:lvlJc w:val="left"/>
      <w:pPr>
        <w:ind w:left="360" w:hanging="360"/>
      </w:pPr>
      <w:rPr>
        <w:rFonts w:ascii="Arial" w:hAnsi="Arial" w:hint="default"/>
        <w:b w:val="0"/>
        <w:i/>
        <w:caps w:val="0"/>
        <w:color w:val="57514D"/>
        <w:sz w:val="22"/>
      </w:rPr>
    </w:lvl>
    <w:lvl w:ilvl="1" w:tplc="0C090019">
      <w:start w:val="1"/>
      <w:numFmt w:val="lowerLetter"/>
      <w:lvlText w:val="%2."/>
      <w:lvlJc w:val="left"/>
      <w:pPr>
        <w:ind w:left="1931" w:hanging="360"/>
      </w:pPr>
    </w:lvl>
    <w:lvl w:ilvl="2" w:tplc="0C09001B">
      <w:start w:val="1"/>
      <w:numFmt w:val="lowerRoman"/>
      <w:lvlText w:val="%3."/>
      <w:lvlJc w:val="right"/>
      <w:pPr>
        <w:ind w:left="2651" w:hanging="180"/>
      </w:pPr>
    </w:lvl>
    <w:lvl w:ilvl="3" w:tplc="0C09000F" w:tentative="1">
      <w:start w:val="1"/>
      <w:numFmt w:val="decimal"/>
      <w:lvlText w:val="%4."/>
      <w:lvlJc w:val="left"/>
      <w:pPr>
        <w:ind w:left="3371" w:hanging="360"/>
      </w:pPr>
    </w:lvl>
    <w:lvl w:ilvl="4" w:tplc="0C090019" w:tentative="1">
      <w:start w:val="1"/>
      <w:numFmt w:val="lowerLetter"/>
      <w:lvlText w:val="%5."/>
      <w:lvlJc w:val="left"/>
      <w:pPr>
        <w:ind w:left="4091" w:hanging="360"/>
      </w:pPr>
    </w:lvl>
    <w:lvl w:ilvl="5" w:tplc="0C09001B" w:tentative="1">
      <w:start w:val="1"/>
      <w:numFmt w:val="lowerRoman"/>
      <w:lvlText w:val="%6."/>
      <w:lvlJc w:val="right"/>
      <w:pPr>
        <w:ind w:left="4811" w:hanging="180"/>
      </w:pPr>
    </w:lvl>
    <w:lvl w:ilvl="6" w:tplc="0C09000F" w:tentative="1">
      <w:start w:val="1"/>
      <w:numFmt w:val="decimal"/>
      <w:lvlText w:val="%7."/>
      <w:lvlJc w:val="left"/>
      <w:pPr>
        <w:ind w:left="5531" w:hanging="360"/>
      </w:pPr>
    </w:lvl>
    <w:lvl w:ilvl="7" w:tplc="0C090019" w:tentative="1">
      <w:start w:val="1"/>
      <w:numFmt w:val="lowerLetter"/>
      <w:lvlText w:val="%8."/>
      <w:lvlJc w:val="left"/>
      <w:pPr>
        <w:ind w:left="6251" w:hanging="360"/>
      </w:pPr>
    </w:lvl>
    <w:lvl w:ilvl="8" w:tplc="0C09001B" w:tentative="1">
      <w:start w:val="1"/>
      <w:numFmt w:val="lowerRoman"/>
      <w:lvlText w:val="%9."/>
      <w:lvlJc w:val="right"/>
      <w:pPr>
        <w:ind w:left="6971" w:hanging="180"/>
      </w:pPr>
    </w:lvl>
  </w:abstractNum>
  <w:abstractNum w:abstractNumId="23" w15:restartNumberingAfterBreak="0">
    <w:nsid w:val="33B02147"/>
    <w:multiLevelType w:val="hybridMultilevel"/>
    <w:tmpl w:val="B866B280"/>
    <w:lvl w:ilvl="0" w:tplc="32205AD0">
      <w:start w:val="1"/>
      <w:numFmt w:val="decimal"/>
      <w:pStyle w:val="Table5"/>
      <w:lvlText w:val="Table 5.%1:"/>
      <w:lvlJc w:val="left"/>
      <w:pPr>
        <w:ind w:left="720" w:hanging="360"/>
      </w:pPr>
      <w:rPr>
        <w:rFonts w:cs="Times New Roman" w:hint="default"/>
        <w:b w:val="0"/>
        <w:i w:val="0"/>
        <w:caps w:val="0"/>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35331E4E"/>
    <w:multiLevelType w:val="singleLevel"/>
    <w:tmpl w:val="F42CF918"/>
    <w:lvl w:ilvl="0">
      <w:start w:val="1"/>
      <w:numFmt w:val="bullet"/>
      <w:pStyle w:val="Bullet1box"/>
      <w:lvlText w:val=""/>
      <w:lvlJc w:val="left"/>
      <w:pPr>
        <w:tabs>
          <w:tab w:val="num" w:pos="425"/>
        </w:tabs>
        <w:ind w:left="425" w:hanging="425"/>
      </w:pPr>
      <w:rPr>
        <w:rFonts w:ascii="Wingdings" w:hAnsi="Wingdings" w:hint="default"/>
        <w:sz w:val="21"/>
      </w:rPr>
    </w:lvl>
  </w:abstractNum>
  <w:abstractNum w:abstractNumId="25" w15:restartNumberingAfterBreak="0">
    <w:nsid w:val="365E6516"/>
    <w:multiLevelType w:val="hybridMultilevel"/>
    <w:tmpl w:val="7840D4C8"/>
    <w:lvl w:ilvl="0" w:tplc="0982036A">
      <w:start w:val="1"/>
      <w:numFmt w:val="decimal"/>
      <w:pStyle w:val="Graph1X"/>
      <w:lvlText w:val="Graph 1.%1:"/>
      <w:lvlJc w:val="left"/>
      <w:pPr>
        <w:ind w:left="720" w:hanging="360"/>
      </w:pPr>
      <w:rPr>
        <w:rFonts w:ascii="Lucida Sans" w:hAnsi="Lucida Sans" w:hint="default"/>
        <w:b w:val="0"/>
        <w:i w:val="0"/>
        <w:caps w:val="0"/>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3B3E065A"/>
    <w:multiLevelType w:val="hybridMultilevel"/>
    <w:tmpl w:val="57803C02"/>
    <w:lvl w:ilvl="0" w:tplc="AC548148">
      <w:start w:val="1"/>
      <w:numFmt w:val="decimal"/>
      <w:pStyle w:val="Chart7X"/>
      <w:lvlText w:val="Chart 7.%1"/>
      <w:lvlJc w:val="left"/>
      <w:pPr>
        <w:ind w:left="360" w:hanging="360"/>
      </w:pPr>
      <w:rPr>
        <w:rFonts w:ascii="Arial" w:hAnsi="Arial" w:hint="default"/>
        <w:b w:val="0"/>
        <w:i/>
        <w:color w:val="57514D"/>
        <w:sz w:val="22"/>
        <w:szCs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3DF944FB"/>
    <w:multiLevelType w:val="singleLevel"/>
    <w:tmpl w:val="96863882"/>
    <w:lvl w:ilvl="0">
      <w:start w:val="1"/>
      <w:numFmt w:val="bullet"/>
      <w:pStyle w:val="Bullet4"/>
      <w:lvlText w:val=""/>
      <w:lvlJc w:val="left"/>
      <w:pPr>
        <w:tabs>
          <w:tab w:val="num" w:pos="1701"/>
        </w:tabs>
        <w:ind w:left="1701" w:hanging="425"/>
      </w:pPr>
      <w:rPr>
        <w:rFonts w:ascii="Symbol" w:hAnsi="Symbol" w:hint="default"/>
        <w:sz w:val="22"/>
      </w:rPr>
    </w:lvl>
  </w:abstractNum>
  <w:abstractNum w:abstractNumId="28" w15:restartNumberingAfterBreak="0">
    <w:nsid w:val="3FEA2D39"/>
    <w:multiLevelType w:val="hybridMultilevel"/>
    <w:tmpl w:val="97BEF36E"/>
    <w:lvl w:ilvl="0" w:tplc="63A6588E">
      <w:start w:val="1"/>
      <w:numFmt w:val="decimal"/>
      <w:pStyle w:val="E-mailSignature"/>
      <w:lvlText w:val="Chart 1.%1:"/>
      <w:lvlJc w:val="left"/>
      <w:pPr>
        <w:ind w:left="720" w:hanging="360"/>
      </w:pPr>
      <w:rPr>
        <w:rFonts w:ascii="Lucida Sans" w:hAnsi="Lucida Sans" w:hint="default"/>
        <w:b w:val="0"/>
        <w:i w:val="0"/>
        <w:caps w:val="0"/>
        <w:sz w:val="22"/>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52BD70C2"/>
    <w:multiLevelType w:val="hybridMultilevel"/>
    <w:tmpl w:val="577A4FCA"/>
    <w:lvl w:ilvl="0" w:tplc="8A46047C">
      <w:start w:val="1"/>
      <w:numFmt w:val="bullet"/>
      <w:pStyle w:val="Bullet2"/>
      <w:lvlText w:val="–"/>
      <w:lvlJc w:val="left"/>
      <w:pPr>
        <w:tabs>
          <w:tab w:val="num" w:pos="785"/>
        </w:tabs>
        <w:ind w:left="785" w:hanging="360"/>
      </w:pPr>
      <w:rPr>
        <w:rFonts w:ascii="Lucida Sans" w:hAnsi="Lucida Sans" w:hint="default"/>
        <w:sz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7D575A"/>
    <w:multiLevelType w:val="hybridMultilevel"/>
    <w:tmpl w:val="D95E9C68"/>
    <w:lvl w:ilvl="0" w:tplc="6BF2B2C4">
      <w:start w:val="1"/>
      <w:numFmt w:val="decimal"/>
      <w:pStyle w:val="TableA2X"/>
      <w:lvlText w:val="Table A2.%1:"/>
      <w:lvlJc w:val="left"/>
      <w:pPr>
        <w:ind w:left="5039"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1" w15:restartNumberingAfterBreak="0">
    <w:nsid w:val="56041D7B"/>
    <w:multiLevelType w:val="singleLevel"/>
    <w:tmpl w:val="85B864FC"/>
    <w:lvl w:ilvl="0">
      <w:start w:val="1"/>
      <w:numFmt w:val="decimal"/>
      <w:pStyle w:val="Chartx"/>
      <w:lvlText w:val="Chart %1:"/>
      <w:lvlJc w:val="left"/>
      <w:pPr>
        <w:ind w:left="360" w:hanging="360"/>
      </w:pPr>
      <w:rPr>
        <w:rFonts w:ascii="Arial" w:hAnsi="Arial" w:hint="default"/>
        <w:b w:val="0"/>
        <w:i/>
        <w:caps w:val="0"/>
        <w:color w:val="57514D"/>
        <w:sz w:val="20"/>
      </w:rPr>
    </w:lvl>
  </w:abstractNum>
  <w:abstractNum w:abstractNumId="32" w15:restartNumberingAfterBreak="0">
    <w:nsid w:val="5A8316DE"/>
    <w:multiLevelType w:val="hybridMultilevel"/>
    <w:tmpl w:val="E23E1C36"/>
    <w:lvl w:ilvl="0" w:tplc="C3F42194">
      <w:start w:val="1"/>
      <w:numFmt w:val="bullet"/>
      <w:pStyle w:val="Instruction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5B150C89"/>
    <w:multiLevelType w:val="multilevel"/>
    <w:tmpl w:val="123AAB14"/>
    <w:lvl w:ilvl="0">
      <w:start w:val="1"/>
      <w:numFmt w:val="none"/>
      <w:pStyle w:val="TableXX"/>
      <w:lvlText w:val=""/>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4" w15:restartNumberingAfterBreak="0">
    <w:nsid w:val="5EC753BC"/>
    <w:multiLevelType w:val="hybridMultilevel"/>
    <w:tmpl w:val="617AE8C2"/>
    <w:lvl w:ilvl="0" w:tplc="BB16CCFE">
      <w:start w:val="1"/>
      <w:numFmt w:val="decimal"/>
      <w:pStyle w:val="Table8X"/>
      <w:lvlText w:val="Table 8.%1:"/>
      <w:lvlJc w:val="left"/>
      <w:pPr>
        <w:ind w:left="360" w:hanging="360"/>
      </w:pPr>
      <w:rPr>
        <w:rFonts w:ascii="Arial" w:hAnsi="Arial" w:hint="default"/>
        <w:b w:val="0"/>
        <w:i/>
        <w:caps w:val="0"/>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15:restartNumberingAfterBreak="0">
    <w:nsid w:val="63114A99"/>
    <w:multiLevelType w:val="hybridMultilevel"/>
    <w:tmpl w:val="49CC8E78"/>
    <w:lvl w:ilvl="0" w:tplc="7F461328">
      <w:start w:val="1"/>
      <w:numFmt w:val="decimal"/>
      <w:pStyle w:val="ChartB4X"/>
      <w:lvlText w:val="Chart B4.%1:"/>
      <w:lvlJc w:val="left"/>
      <w:pPr>
        <w:ind w:left="360" w:hanging="360"/>
      </w:pPr>
      <w:rPr>
        <w:rFonts w:ascii="Arial Bold" w:hAnsi="Arial Bold" w:hint="default"/>
        <w:b/>
        <w:i w:val="0"/>
        <w:caps w:val="0"/>
        <w:sz w:val="22"/>
      </w:rPr>
    </w:lvl>
    <w:lvl w:ilvl="1" w:tplc="0C090019" w:tentative="1">
      <w:start w:val="1"/>
      <w:numFmt w:val="lowerLetter"/>
      <w:lvlText w:val="%2."/>
      <w:lvlJc w:val="left"/>
      <w:pPr>
        <w:ind w:left="2354" w:hanging="360"/>
      </w:pPr>
    </w:lvl>
    <w:lvl w:ilvl="2" w:tplc="0C09001B" w:tentative="1">
      <w:start w:val="1"/>
      <w:numFmt w:val="lowerRoman"/>
      <w:lvlText w:val="%3."/>
      <w:lvlJc w:val="right"/>
      <w:pPr>
        <w:ind w:left="3074" w:hanging="180"/>
      </w:pPr>
    </w:lvl>
    <w:lvl w:ilvl="3" w:tplc="0C09000F" w:tentative="1">
      <w:start w:val="1"/>
      <w:numFmt w:val="decimal"/>
      <w:lvlText w:val="%4."/>
      <w:lvlJc w:val="left"/>
      <w:pPr>
        <w:ind w:left="3794" w:hanging="360"/>
      </w:pPr>
    </w:lvl>
    <w:lvl w:ilvl="4" w:tplc="0C090019" w:tentative="1">
      <w:start w:val="1"/>
      <w:numFmt w:val="lowerLetter"/>
      <w:lvlText w:val="%5."/>
      <w:lvlJc w:val="left"/>
      <w:pPr>
        <w:ind w:left="4514" w:hanging="360"/>
      </w:pPr>
    </w:lvl>
    <w:lvl w:ilvl="5" w:tplc="0C09001B" w:tentative="1">
      <w:start w:val="1"/>
      <w:numFmt w:val="lowerRoman"/>
      <w:lvlText w:val="%6."/>
      <w:lvlJc w:val="right"/>
      <w:pPr>
        <w:ind w:left="5234" w:hanging="180"/>
      </w:pPr>
    </w:lvl>
    <w:lvl w:ilvl="6" w:tplc="0C09000F" w:tentative="1">
      <w:start w:val="1"/>
      <w:numFmt w:val="decimal"/>
      <w:lvlText w:val="%7."/>
      <w:lvlJc w:val="left"/>
      <w:pPr>
        <w:ind w:left="5954" w:hanging="360"/>
      </w:pPr>
    </w:lvl>
    <w:lvl w:ilvl="7" w:tplc="0C090019" w:tentative="1">
      <w:start w:val="1"/>
      <w:numFmt w:val="lowerLetter"/>
      <w:lvlText w:val="%8."/>
      <w:lvlJc w:val="left"/>
      <w:pPr>
        <w:ind w:left="6674" w:hanging="360"/>
      </w:pPr>
    </w:lvl>
    <w:lvl w:ilvl="8" w:tplc="0C09001B" w:tentative="1">
      <w:start w:val="1"/>
      <w:numFmt w:val="lowerRoman"/>
      <w:lvlText w:val="%9."/>
      <w:lvlJc w:val="right"/>
      <w:pPr>
        <w:ind w:left="7394" w:hanging="180"/>
      </w:pPr>
    </w:lvl>
  </w:abstractNum>
  <w:abstractNum w:abstractNumId="36" w15:restartNumberingAfterBreak="0">
    <w:nsid w:val="6A73050C"/>
    <w:multiLevelType w:val="hybridMultilevel"/>
    <w:tmpl w:val="E0720B32"/>
    <w:lvl w:ilvl="0" w:tplc="8BEE9948">
      <w:start w:val="1"/>
      <w:numFmt w:val="bullet"/>
      <w:pStyle w:val="Bulletbodytext"/>
      <w:lvlText w:val=""/>
      <w:lvlJc w:val="left"/>
      <w:pPr>
        <w:tabs>
          <w:tab w:val="num" w:pos="425"/>
        </w:tabs>
        <w:ind w:left="425" w:hanging="425"/>
      </w:pPr>
      <w:rPr>
        <w:rFonts w:ascii="Wingdings" w:hAnsi="Wingdings" w:hint="default"/>
        <w:color w:val="000000"/>
      </w:rPr>
    </w:lvl>
    <w:lvl w:ilvl="1" w:tplc="0C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E812FE"/>
    <w:multiLevelType w:val="hybridMultilevel"/>
    <w:tmpl w:val="888268EA"/>
    <w:lvl w:ilvl="0" w:tplc="4BBCE72E">
      <w:start w:val="1"/>
      <w:numFmt w:val="bullet"/>
      <w:pStyle w:val="Bulletrecommendtext"/>
      <w:lvlText w:val=""/>
      <w:lvlJc w:val="left"/>
      <w:pPr>
        <w:ind w:left="360" w:hanging="360"/>
      </w:pPr>
      <w:rPr>
        <w:rFonts w:ascii="Wingdings" w:hAnsi="Wingding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8" w15:restartNumberingAfterBreak="0">
    <w:nsid w:val="6BF01266"/>
    <w:multiLevelType w:val="hybridMultilevel"/>
    <w:tmpl w:val="22DCD88A"/>
    <w:lvl w:ilvl="0" w:tplc="A1D016A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9944AF"/>
    <w:multiLevelType w:val="hybridMultilevel"/>
    <w:tmpl w:val="68E44EFA"/>
    <w:lvl w:ilvl="0" w:tplc="D474E530">
      <w:start w:val="1"/>
      <w:numFmt w:val="decimal"/>
      <w:pStyle w:val="TableB2X"/>
      <w:lvlText w:val="Table B2.%1:"/>
      <w:lvlJc w:val="left"/>
      <w:pPr>
        <w:ind w:left="720" w:hanging="360"/>
      </w:pPr>
      <w:rPr>
        <w:rFonts w:hint="default"/>
        <w:b w:val="0"/>
        <w:i/>
        <w:color w:val="57514D"/>
        <w:sz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0" w15:restartNumberingAfterBreak="0">
    <w:nsid w:val="78E95568"/>
    <w:multiLevelType w:val="hybridMultilevel"/>
    <w:tmpl w:val="CB8EBED4"/>
    <w:lvl w:ilvl="0" w:tplc="4B2A1908">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1" w15:restartNumberingAfterBreak="0">
    <w:nsid w:val="7A9030E6"/>
    <w:multiLevelType w:val="hybridMultilevel"/>
    <w:tmpl w:val="28BC14B8"/>
    <w:lvl w:ilvl="0" w:tplc="D95C4060">
      <w:start w:val="1"/>
      <w:numFmt w:val="decimal"/>
      <w:pStyle w:val="TableBX"/>
      <w:lvlText w:val="Table B.%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2" w15:restartNumberingAfterBreak="0">
    <w:nsid w:val="7CDD726F"/>
    <w:multiLevelType w:val="hybridMultilevel"/>
    <w:tmpl w:val="EA7E6810"/>
    <w:lvl w:ilvl="0" w:tplc="4590F40A">
      <w:start w:val="1"/>
      <w:numFmt w:val="decimal"/>
      <w:pStyle w:val="Table7x"/>
      <w:lvlText w:val="Table 7.%1"/>
      <w:lvlJc w:val="left"/>
      <w:pPr>
        <w:ind w:left="720" w:hanging="360"/>
      </w:pPr>
      <w:rPr>
        <w:rFonts w:ascii="Arial" w:hAnsi="Arial" w:hint="default"/>
        <w:b w:val="0"/>
        <w:i/>
        <w:color w:val="57514D"/>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3"/>
  </w:num>
  <w:num w:numId="2">
    <w:abstractNumId w:val="11"/>
  </w:num>
  <w:num w:numId="3">
    <w:abstractNumId w:val="12"/>
  </w:num>
  <w:num w:numId="4">
    <w:abstractNumId w:val="21"/>
  </w:num>
  <w:num w:numId="5">
    <w:abstractNumId w:val="24"/>
  </w:num>
  <w:num w:numId="6">
    <w:abstractNumId w:val="13"/>
  </w:num>
  <w:num w:numId="7">
    <w:abstractNumId w:val="27"/>
  </w:num>
  <w:num w:numId="8">
    <w:abstractNumId w:val="36"/>
  </w:num>
  <w:num w:numId="9">
    <w:abstractNumId w:val="16"/>
  </w:num>
  <w:num w:numId="1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9"/>
  </w:num>
  <w:num w:numId="13">
    <w:abstractNumId w:val="4"/>
  </w:num>
  <w:num w:numId="14">
    <w:abstractNumId w:val="26"/>
  </w:num>
  <w:num w:numId="15">
    <w:abstractNumId w:val="34"/>
  </w:num>
  <w:num w:numId="16">
    <w:abstractNumId w:val="15"/>
  </w:num>
  <w:num w:numId="17">
    <w:abstractNumId w:val="22"/>
  </w:num>
  <w:num w:numId="18">
    <w:abstractNumId w:val="35"/>
  </w:num>
  <w:num w:numId="19">
    <w:abstractNumId w:val="31"/>
  </w:num>
  <w:num w:numId="20">
    <w:abstractNumId w:val="28"/>
  </w:num>
  <w:num w:numId="21">
    <w:abstractNumId w:val="25"/>
  </w:num>
  <w:num w:numId="22">
    <w:abstractNumId w:val="32"/>
  </w:num>
  <w:num w:numId="23">
    <w:abstractNumId w:val="0"/>
  </w:num>
  <w:num w:numId="24">
    <w:abstractNumId w:val="7"/>
  </w:num>
  <w:num w:numId="25">
    <w:abstractNumId w:val="2"/>
  </w:num>
  <w:num w:numId="26">
    <w:abstractNumId w:val="1"/>
  </w:num>
  <w:num w:numId="27">
    <w:abstractNumId w:val="14"/>
  </w:num>
  <w:num w:numId="28">
    <w:abstractNumId w:val="18"/>
  </w:num>
  <w:num w:numId="29">
    <w:abstractNumId w:val="5"/>
  </w:num>
  <w:num w:numId="30">
    <w:abstractNumId w:val="23"/>
  </w:num>
  <w:num w:numId="31">
    <w:abstractNumId w:val="42"/>
  </w:num>
  <w:num w:numId="32">
    <w:abstractNumId w:val="30"/>
  </w:num>
  <w:num w:numId="33">
    <w:abstractNumId w:val="41"/>
  </w:num>
  <w:num w:numId="34">
    <w:abstractNumId w:val="39"/>
  </w:num>
  <w:num w:numId="35">
    <w:abstractNumId w:val="8"/>
  </w:num>
  <w:num w:numId="36">
    <w:abstractNumId w:val="20"/>
  </w:num>
  <w:num w:numId="37">
    <w:abstractNumId w:val="33"/>
  </w:num>
  <w:num w:numId="38">
    <w:abstractNumId w:val="6"/>
  </w:num>
  <w:num w:numId="39">
    <w:abstractNumId w:val="38"/>
  </w:num>
  <w:num w:numId="40">
    <w:abstractNumId w:val="17"/>
  </w:num>
  <w:num w:numId="41">
    <w:abstractNumId w:val="29"/>
  </w:num>
  <w:num w:numId="42">
    <w:abstractNumId w:val="19"/>
  </w:num>
  <w:num w:numId="43">
    <w:abstractNumId w:val="4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D43"/>
    <w:rsid w:val="00001079"/>
    <w:rsid w:val="0000169E"/>
    <w:rsid w:val="0000565D"/>
    <w:rsid w:val="000057C1"/>
    <w:rsid w:val="00006225"/>
    <w:rsid w:val="00006607"/>
    <w:rsid w:val="000068C4"/>
    <w:rsid w:val="00006984"/>
    <w:rsid w:val="0000719D"/>
    <w:rsid w:val="00011C94"/>
    <w:rsid w:val="00012B04"/>
    <w:rsid w:val="00013BF2"/>
    <w:rsid w:val="00014ED1"/>
    <w:rsid w:val="0001547C"/>
    <w:rsid w:val="00015CAE"/>
    <w:rsid w:val="000168BA"/>
    <w:rsid w:val="00020C07"/>
    <w:rsid w:val="00020C47"/>
    <w:rsid w:val="00021CDD"/>
    <w:rsid w:val="000236A7"/>
    <w:rsid w:val="000300E7"/>
    <w:rsid w:val="0003040C"/>
    <w:rsid w:val="00031FE4"/>
    <w:rsid w:val="00031FEE"/>
    <w:rsid w:val="00032619"/>
    <w:rsid w:val="00035AF9"/>
    <w:rsid w:val="00035D9A"/>
    <w:rsid w:val="00037279"/>
    <w:rsid w:val="000416F3"/>
    <w:rsid w:val="00043DF5"/>
    <w:rsid w:val="00043F27"/>
    <w:rsid w:val="00044825"/>
    <w:rsid w:val="000455AA"/>
    <w:rsid w:val="0005031F"/>
    <w:rsid w:val="00051224"/>
    <w:rsid w:val="00052892"/>
    <w:rsid w:val="00052A30"/>
    <w:rsid w:val="00055144"/>
    <w:rsid w:val="000566C7"/>
    <w:rsid w:val="00057550"/>
    <w:rsid w:val="00057E15"/>
    <w:rsid w:val="00060C4B"/>
    <w:rsid w:val="0006207E"/>
    <w:rsid w:val="00062B4E"/>
    <w:rsid w:val="00065DC9"/>
    <w:rsid w:val="00066A6A"/>
    <w:rsid w:val="00066CA6"/>
    <w:rsid w:val="00072B16"/>
    <w:rsid w:val="00073C60"/>
    <w:rsid w:val="000754A1"/>
    <w:rsid w:val="000773A3"/>
    <w:rsid w:val="00077BCC"/>
    <w:rsid w:val="00082419"/>
    <w:rsid w:val="00082CEA"/>
    <w:rsid w:val="0008352D"/>
    <w:rsid w:val="000847C0"/>
    <w:rsid w:val="00086303"/>
    <w:rsid w:val="00086ABB"/>
    <w:rsid w:val="0008790C"/>
    <w:rsid w:val="00087C95"/>
    <w:rsid w:val="00091122"/>
    <w:rsid w:val="000926FF"/>
    <w:rsid w:val="00093B0D"/>
    <w:rsid w:val="00094957"/>
    <w:rsid w:val="00096D54"/>
    <w:rsid w:val="000A2757"/>
    <w:rsid w:val="000A2D15"/>
    <w:rsid w:val="000A4302"/>
    <w:rsid w:val="000A53AB"/>
    <w:rsid w:val="000A5DCF"/>
    <w:rsid w:val="000A6E0A"/>
    <w:rsid w:val="000B317B"/>
    <w:rsid w:val="000B576D"/>
    <w:rsid w:val="000C0360"/>
    <w:rsid w:val="000C0BEE"/>
    <w:rsid w:val="000C39A8"/>
    <w:rsid w:val="000C452F"/>
    <w:rsid w:val="000C6FFB"/>
    <w:rsid w:val="000C7DDE"/>
    <w:rsid w:val="000D0890"/>
    <w:rsid w:val="000D0CAE"/>
    <w:rsid w:val="000D0D0E"/>
    <w:rsid w:val="000E26D5"/>
    <w:rsid w:val="000E3608"/>
    <w:rsid w:val="000E5CF2"/>
    <w:rsid w:val="000E60D8"/>
    <w:rsid w:val="000F0341"/>
    <w:rsid w:val="000F1A92"/>
    <w:rsid w:val="000F30AF"/>
    <w:rsid w:val="000F3E2F"/>
    <w:rsid w:val="000F4109"/>
    <w:rsid w:val="000F4622"/>
    <w:rsid w:val="000F5380"/>
    <w:rsid w:val="000F586C"/>
    <w:rsid w:val="00100FA5"/>
    <w:rsid w:val="001017EC"/>
    <w:rsid w:val="001049B5"/>
    <w:rsid w:val="00107D9C"/>
    <w:rsid w:val="0011482C"/>
    <w:rsid w:val="0011549B"/>
    <w:rsid w:val="0011561A"/>
    <w:rsid w:val="001222C9"/>
    <w:rsid w:val="00126849"/>
    <w:rsid w:val="00126F84"/>
    <w:rsid w:val="0012765D"/>
    <w:rsid w:val="001306A5"/>
    <w:rsid w:val="001309E9"/>
    <w:rsid w:val="00132110"/>
    <w:rsid w:val="001327A8"/>
    <w:rsid w:val="001327FF"/>
    <w:rsid w:val="00143661"/>
    <w:rsid w:val="00144484"/>
    <w:rsid w:val="0014574A"/>
    <w:rsid w:val="001458FF"/>
    <w:rsid w:val="001469B8"/>
    <w:rsid w:val="001530AE"/>
    <w:rsid w:val="00153BA8"/>
    <w:rsid w:val="00154360"/>
    <w:rsid w:val="00154A09"/>
    <w:rsid w:val="00154C04"/>
    <w:rsid w:val="0015527F"/>
    <w:rsid w:val="0015577E"/>
    <w:rsid w:val="00157DFC"/>
    <w:rsid w:val="00161BB9"/>
    <w:rsid w:val="001632BD"/>
    <w:rsid w:val="00163C89"/>
    <w:rsid w:val="00164168"/>
    <w:rsid w:val="00164DD0"/>
    <w:rsid w:val="00165CDB"/>
    <w:rsid w:val="001705C3"/>
    <w:rsid w:val="0017241F"/>
    <w:rsid w:val="0017254F"/>
    <w:rsid w:val="00172C8A"/>
    <w:rsid w:val="0017688C"/>
    <w:rsid w:val="00176F59"/>
    <w:rsid w:val="00180463"/>
    <w:rsid w:val="001807AB"/>
    <w:rsid w:val="00182202"/>
    <w:rsid w:val="001827F7"/>
    <w:rsid w:val="00184342"/>
    <w:rsid w:val="00186E0A"/>
    <w:rsid w:val="001919B6"/>
    <w:rsid w:val="001936AA"/>
    <w:rsid w:val="001938D2"/>
    <w:rsid w:val="00194A18"/>
    <w:rsid w:val="001A07B4"/>
    <w:rsid w:val="001A1D12"/>
    <w:rsid w:val="001A57B3"/>
    <w:rsid w:val="001A5E3F"/>
    <w:rsid w:val="001B0257"/>
    <w:rsid w:val="001B15DA"/>
    <w:rsid w:val="001B29B9"/>
    <w:rsid w:val="001B7165"/>
    <w:rsid w:val="001C1246"/>
    <w:rsid w:val="001C195B"/>
    <w:rsid w:val="001C381F"/>
    <w:rsid w:val="001C56DD"/>
    <w:rsid w:val="001C6181"/>
    <w:rsid w:val="001C693B"/>
    <w:rsid w:val="001D3457"/>
    <w:rsid w:val="001D38AA"/>
    <w:rsid w:val="001D3F71"/>
    <w:rsid w:val="001D5F18"/>
    <w:rsid w:val="001D7BB9"/>
    <w:rsid w:val="001E0588"/>
    <w:rsid w:val="001E0E4B"/>
    <w:rsid w:val="001E1246"/>
    <w:rsid w:val="001E2267"/>
    <w:rsid w:val="001E4121"/>
    <w:rsid w:val="001E6247"/>
    <w:rsid w:val="001E6301"/>
    <w:rsid w:val="001F1E5D"/>
    <w:rsid w:val="001F277D"/>
    <w:rsid w:val="001F29B6"/>
    <w:rsid w:val="001F4CC7"/>
    <w:rsid w:val="001F548F"/>
    <w:rsid w:val="001F6DCA"/>
    <w:rsid w:val="002052DA"/>
    <w:rsid w:val="002072BF"/>
    <w:rsid w:val="00213F6B"/>
    <w:rsid w:val="0021493E"/>
    <w:rsid w:val="002176AC"/>
    <w:rsid w:val="002206D7"/>
    <w:rsid w:val="00221FDD"/>
    <w:rsid w:val="002227E9"/>
    <w:rsid w:val="002269F8"/>
    <w:rsid w:val="0023426B"/>
    <w:rsid w:val="00234493"/>
    <w:rsid w:val="00234C78"/>
    <w:rsid w:val="00241519"/>
    <w:rsid w:val="00243A39"/>
    <w:rsid w:val="002477DA"/>
    <w:rsid w:val="00253E27"/>
    <w:rsid w:val="00255A52"/>
    <w:rsid w:val="002571E2"/>
    <w:rsid w:val="00260B1B"/>
    <w:rsid w:val="002641D5"/>
    <w:rsid w:val="00264E21"/>
    <w:rsid w:val="002654E2"/>
    <w:rsid w:val="0026749D"/>
    <w:rsid w:val="00267C02"/>
    <w:rsid w:val="002700A7"/>
    <w:rsid w:val="00270204"/>
    <w:rsid w:val="00271652"/>
    <w:rsid w:val="00277C73"/>
    <w:rsid w:val="00280211"/>
    <w:rsid w:val="0028072C"/>
    <w:rsid w:val="00281207"/>
    <w:rsid w:val="002816F2"/>
    <w:rsid w:val="00281A56"/>
    <w:rsid w:val="00282EDF"/>
    <w:rsid w:val="002831F2"/>
    <w:rsid w:val="002840F4"/>
    <w:rsid w:val="002844D2"/>
    <w:rsid w:val="00284A5D"/>
    <w:rsid w:val="0028544A"/>
    <w:rsid w:val="002878C6"/>
    <w:rsid w:val="00290158"/>
    <w:rsid w:val="002918EC"/>
    <w:rsid w:val="00291E64"/>
    <w:rsid w:val="002920B7"/>
    <w:rsid w:val="00292BF9"/>
    <w:rsid w:val="00293F5B"/>
    <w:rsid w:val="002963DC"/>
    <w:rsid w:val="002966A6"/>
    <w:rsid w:val="00296D99"/>
    <w:rsid w:val="00296E76"/>
    <w:rsid w:val="002A055D"/>
    <w:rsid w:val="002A3666"/>
    <w:rsid w:val="002A40D7"/>
    <w:rsid w:val="002A45C6"/>
    <w:rsid w:val="002A4F60"/>
    <w:rsid w:val="002A5599"/>
    <w:rsid w:val="002A6066"/>
    <w:rsid w:val="002A631B"/>
    <w:rsid w:val="002A645C"/>
    <w:rsid w:val="002A6472"/>
    <w:rsid w:val="002A7195"/>
    <w:rsid w:val="002B084A"/>
    <w:rsid w:val="002B13D2"/>
    <w:rsid w:val="002B162D"/>
    <w:rsid w:val="002B1AFE"/>
    <w:rsid w:val="002B39EC"/>
    <w:rsid w:val="002B4169"/>
    <w:rsid w:val="002B470B"/>
    <w:rsid w:val="002B7574"/>
    <w:rsid w:val="002C158C"/>
    <w:rsid w:val="002C1CA9"/>
    <w:rsid w:val="002C25D9"/>
    <w:rsid w:val="002C305E"/>
    <w:rsid w:val="002C3089"/>
    <w:rsid w:val="002C391C"/>
    <w:rsid w:val="002C446F"/>
    <w:rsid w:val="002C4669"/>
    <w:rsid w:val="002C7E5E"/>
    <w:rsid w:val="002D26C1"/>
    <w:rsid w:val="002D2A1D"/>
    <w:rsid w:val="002D3196"/>
    <w:rsid w:val="002D4611"/>
    <w:rsid w:val="002D4920"/>
    <w:rsid w:val="002D49DE"/>
    <w:rsid w:val="002D6743"/>
    <w:rsid w:val="002D7699"/>
    <w:rsid w:val="002D7BC0"/>
    <w:rsid w:val="002E141C"/>
    <w:rsid w:val="002E193F"/>
    <w:rsid w:val="002E2961"/>
    <w:rsid w:val="002E2CE6"/>
    <w:rsid w:val="002E5AB4"/>
    <w:rsid w:val="002E76CE"/>
    <w:rsid w:val="002F3102"/>
    <w:rsid w:val="002F3EC9"/>
    <w:rsid w:val="002F4A8E"/>
    <w:rsid w:val="002F4BAE"/>
    <w:rsid w:val="002F5437"/>
    <w:rsid w:val="003007D1"/>
    <w:rsid w:val="00303AB2"/>
    <w:rsid w:val="00303CCD"/>
    <w:rsid w:val="0030480F"/>
    <w:rsid w:val="00305922"/>
    <w:rsid w:val="00305CBF"/>
    <w:rsid w:val="00306E1D"/>
    <w:rsid w:val="003079D8"/>
    <w:rsid w:val="00307D79"/>
    <w:rsid w:val="003118E4"/>
    <w:rsid w:val="0031305D"/>
    <w:rsid w:val="003139B2"/>
    <w:rsid w:val="00314253"/>
    <w:rsid w:val="0031760C"/>
    <w:rsid w:val="00321462"/>
    <w:rsid w:val="00321D31"/>
    <w:rsid w:val="0032316C"/>
    <w:rsid w:val="003231EF"/>
    <w:rsid w:val="003236D3"/>
    <w:rsid w:val="0032581C"/>
    <w:rsid w:val="00325CC7"/>
    <w:rsid w:val="00325FFB"/>
    <w:rsid w:val="0032616E"/>
    <w:rsid w:val="00326EA0"/>
    <w:rsid w:val="00327193"/>
    <w:rsid w:val="003275D0"/>
    <w:rsid w:val="00331A99"/>
    <w:rsid w:val="0033204E"/>
    <w:rsid w:val="003338A2"/>
    <w:rsid w:val="00335D60"/>
    <w:rsid w:val="00340BC2"/>
    <w:rsid w:val="00342BD9"/>
    <w:rsid w:val="00343D6E"/>
    <w:rsid w:val="003450D3"/>
    <w:rsid w:val="003462EE"/>
    <w:rsid w:val="0034683E"/>
    <w:rsid w:val="003476B2"/>
    <w:rsid w:val="00347944"/>
    <w:rsid w:val="00347D2F"/>
    <w:rsid w:val="00350019"/>
    <w:rsid w:val="00352FD7"/>
    <w:rsid w:val="00353BEC"/>
    <w:rsid w:val="00355D28"/>
    <w:rsid w:val="00356182"/>
    <w:rsid w:val="00357844"/>
    <w:rsid w:val="00361161"/>
    <w:rsid w:val="0036295E"/>
    <w:rsid w:val="00366921"/>
    <w:rsid w:val="00366B66"/>
    <w:rsid w:val="00371712"/>
    <w:rsid w:val="00371A49"/>
    <w:rsid w:val="003733C7"/>
    <w:rsid w:val="00373847"/>
    <w:rsid w:val="00373C1C"/>
    <w:rsid w:val="00375061"/>
    <w:rsid w:val="003767C9"/>
    <w:rsid w:val="003772A5"/>
    <w:rsid w:val="0037730D"/>
    <w:rsid w:val="0037731C"/>
    <w:rsid w:val="003824B1"/>
    <w:rsid w:val="00382CF5"/>
    <w:rsid w:val="0038326C"/>
    <w:rsid w:val="003848A6"/>
    <w:rsid w:val="00385F1B"/>
    <w:rsid w:val="0038623D"/>
    <w:rsid w:val="00386E5F"/>
    <w:rsid w:val="00393E5B"/>
    <w:rsid w:val="00397B70"/>
    <w:rsid w:val="003A100A"/>
    <w:rsid w:val="003A2B0D"/>
    <w:rsid w:val="003A4796"/>
    <w:rsid w:val="003A5989"/>
    <w:rsid w:val="003A6FFD"/>
    <w:rsid w:val="003B1682"/>
    <w:rsid w:val="003B293E"/>
    <w:rsid w:val="003B41B5"/>
    <w:rsid w:val="003B58A7"/>
    <w:rsid w:val="003B58FE"/>
    <w:rsid w:val="003B5AAD"/>
    <w:rsid w:val="003B63B1"/>
    <w:rsid w:val="003C12F7"/>
    <w:rsid w:val="003C34CE"/>
    <w:rsid w:val="003C4A11"/>
    <w:rsid w:val="003C5119"/>
    <w:rsid w:val="003C5A80"/>
    <w:rsid w:val="003C61D3"/>
    <w:rsid w:val="003C7A7E"/>
    <w:rsid w:val="003D2616"/>
    <w:rsid w:val="003D43A7"/>
    <w:rsid w:val="003D7C63"/>
    <w:rsid w:val="003E20A8"/>
    <w:rsid w:val="003E235E"/>
    <w:rsid w:val="003F1473"/>
    <w:rsid w:val="003F1823"/>
    <w:rsid w:val="003F69D3"/>
    <w:rsid w:val="00401A5B"/>
    <w:rsid w:val="00406A65"/>
    <w:rsid w:val="00406C8E"/>
    <w:rsid w:val="00410F9A"/>
    <w:rsid w:val="00415C1F"/>
    <w:rsid w:val="00415EA1"/>
    <w:rsid w:val="004160A6"/>
    <w:rsid w:val="004175EF"/>
    <w:rsid w:val="00417CE9"/>
    <w:rsid w:val="00420BD6"/>
    <w:rsid w:val="00422A22"/>
    <w:rsid w:val="004240EB"/>
    <w:rsid w:val="0042567C"/>
    <w:rsid w:val="00427B62"/>
    <w:rsid w:val="004308EA"/>
    <w:rsid w:val="00431C53"/>
    <w:rsid w:val="00431DB6"/>
    <w:rsid w:val="00433345"/>
    <w:rsid w:val="004340B8"/>
    <w:rsid w:val="00436762"/>
    <w:rsid w:val="00437D43"/>
    <w:rsid w:val="004420E5"/>
    <w:rsid w:val="004439CD"/>
    <w:rsid w:val="00444D1E"/>
    <w:rsid w:val="00445EA7"/>
    <w:rsid w:val="00445EB1"/>
    <w:rsid w:val="00447876"/>
    <w:rsid w:val="0045174F"/>
    <w:rsid w:val="00453FD0"/>
    <w:rsid w:val="00457EB0"/>
    <w:rsid w:val="00461E92"/>
    <w:rsid w:val="0046478B"/>
    <w:rsid w:val="00464D76"/>
    <w:rsid w:val="0046502B"/>
    <w:rsid w:val="004660C5"/>
    <w:rsid w:val="0046791A"/>
    <w:rsid w:val="0047013A"/>
    <w:rsid w:val="00470272"/>
    <w:rsid w:val="00470846"/>
    <w:rsid w:val="00470E9E"/>
    <w:rsid w:val="00471D13"/>
    <w:rsid w:val="00473C47"/>
    <w:rsid w:val="00474F19"/>
    <w:rsid w:val="00477444"/>
    <w:rsid w:val="004810A4"/>
    <w:rsid w:val="0048589D"/>
    <w:rsid w:val="00487A1E"/>
    <w:rsid w:val="00490387"/>
    <w:rsid w:val="00491F5D"/>
    <w:rsid w:val="00491FBA"/>
    <w:rsid w:val="004937DB"/>
    <w:rsid w:val="00493F02"/>
    <w:rsid w:val="0049474D"/>
    <w:rsid w:val="00494C12"/>
    <w:rsid w:val="00497AD9"/>
    <w:rsid w:val="004A2910"/>
    <w:rsid w:val="004A2C26"/>
    <w:rsid w:val="004A3359"/>
    <w:rsid w:val="004A5948"/>
    <w:rsid w:val="004A638C"/>
    <w:rsid w:val="004A6455"/>
    <w:rsid w:val="004B5EB2"/>
    <w:rsid w:val="004B7973"/>
    <w:rsid w:val="004C30A5"/>
    <w:rsid w:val="004C3575"/>
    <w:rsid w:val="004C40CA"/>
    <w:rsid w:val="004C4A9A"/>
    <w:rsid w:val="004C4D92"/>
    <w:rsid w:val="004C53EF"/>
    <w:rsid w:val="004C62E1"/>
    <w:rsid w:val="004C6F2C"/>
    <w:rsid w:val="004C7476"/>
    <w:rsid w:val="004C76ED"/>
    <w:rsid w:val="004D1DFF"/>
    <w:rsid w:val="004D2181"/>
    <w:rsid w:val="004D3828"/>
    <w:rsid w:val="004D5E30"/>
    <w:rsid w:val="004D6213"/>
    <w:rsid w:val="004D7CA3"/>
    <w:rsid w:val="004D7D2C"/>
    <w:rsid w:val="004E0990"/>
    <w:rsid w:val="004E0BB7"/>
    <w:rsid w:val="004E114C"/>
    <w:rsid w:val="004E1541"/>
    <w:rsid w:val="004E15D8"/>
    <w:rsid w:val="004E5EA3"/>
    <w:rsid w:val="004F02FE"/>
    <w:rsid w:val="004F1244"/>
    <w:rsid w:val="004F2952"/>
    <w:rsid w:val="004F2C01"/>
    <w:rsid w:val="004F40C1"/>
    <w:rsid w:val="004F57DE"/>
    <w:rsid w:val="005067CB"/>
    <w:rsid w:val="00506DF9"/>
    <w:rsid w:val="005131ED"/>
    <w:rsid w:val="005157E5"/>
    <w:rsid w:val="00520206"/>
    <w:rsid w:val="005214F1"/>
    <w:rsid w:val="00523E12"/>
    <w:rsid w:val="005277EA"/>
    <w:rsid w:val="005319E1"/>
    <w:rsid w:val="00531F61"/>
    <w:rsid w:val="00532E66"/>
    <w:rsid w:val="005337B3"/>
    <w:rsid w:val="00533CA3"/>
    <w:rsid w:val="005363FD"/>
    <w:rsid w:val="0054170F"/>
    <w:rsid w:val="005422B6"/>
    <w:rsid w:val="00542A62"/>
    <w:rsid w:val="0054535B"/>
    <w:rsid w:val="00545C8C"/>
    <w:rsid w:val="00546EFE"/>
    <w:rsid w:val="0055277B"/>
    <w:rsid w:val="005531C2"/>
    <w:rsid w:val="0055370F"/>
    <w:rsid w:val="005537F7"/>
    <w:rsid w:val="005541CC"/>
    <w:rsid w:val="005553CC"/>
    <w:rsid w:val="005560F4"/>
    <w:rsid w:val="00556F5A"/>
    <w:rsid w:val="0056190C"/>
    <w:rsid w:val="005708A6"/>
    <w:rsid w:val="0057628E"/>
    <w:rsid w:val="00576B39"/>
    <w:rsid w:val="00576CBA"/>
    <w:rsid w:val="00580594"/>
    <w:rsid w:val="00580C53"/>
    <w:rsid w:val="00581109"/>
    <w:rsid w:val="00581A3C"/>
    <w:rsid w:val="00584F80"/>
    <w:rsid w:val="005858DE"/>
    <w:rsid w:val="00587B0A"/>
    <w:rsid w:val="00590507"/>
    <w:rsid w:val="00590CB0"/>
    <w:rsid w:val="0059147F"/>
    <w:rsid w:val="00593823"/>
    <w:rsid w:val="00597335"/>
    <w:rsid w:val="00597AD4"/>
    <w:rsid w:val="005A0E87"/>
    <w:rsid w:val="005A1065"/>
    <w:rsid w:val="005A2375"/>
    <w:rsid w:val="005A34F4"/>
    <w:rsid w:val="005A41F5"/>
    <w:rsid w:val="005A5547"/>
    <w:rsid w:val="005A67CB"/>
    <w:rsid w:val="005B1792"/>
    <w:rsid w:val="005B22FB"/>
    <w:rsid w:val="005B312E"/>
    <w:rsid w:val="005B33CC"/>
    <w:rsid w:val="005B34EA"/>
    <w:rsid w:val="005B49AE"/>
    <w:rsid w:val="005B63E8"/>
    <w:rsid w:val="005C2279"/>
    <w:rsid w:val="005C40F4"/>
    <w:rsid w:val="005C579F"/>
    <w:rsid w:val="005C725F"/>
    <w:rsid w:val="005C7D56"/>
    <w:rsid w:val="005D110C"/>
    <w:rsid w:val="005D11BA"/>
    <w:rsid w:val="005D6B2F"/>
    <w:rsid w:val="005D7180"/>
    <w:rsid w:val="005E04AF"/>
    <w:rsid w:val="005E33A3"/>
    <w:rsid w:val="005E4466"/>
    <w:rsid w:val="005F224A"/>
    <w:rsid w:val="005F29A7"/>
    <w:rsid w:val="005F32D3"/>
    <w:rsid w:val="005F62A4"/>
    <w:rsid w:val="005F6629"/>
    <w:rsid w:val="005F67BD"/>
    <w:rsid w:val="00601BA9"/>
    <w:rsid w:val="00602E7A"/>
    <w:rsid w:val="00604644"/>
    <w:rsid w:val="00605251"/>
    <w:rsid w:val="00605FE2"/>
    <w:rsid w:val="00607492"/>
    <w:rsid w:val="006106CC"/>
    <w:rsid w:val="00611822"/>
    <w:rsid w:val="006128BE"/>
    <w:rsid w:val="00612C6A"/>
    <w:rsid w:val="00612DCE"/>
    <w:rsid w:val="00613DC9"/>
    <w:rsid w:val="00614B29"/>
    <w:rsid w:val="00615118"/>
    <w:rsid w:val="00616BBC"/>
    <w:rsid w:val="0062165E"/>
    <w:rsid w:val="00624067"/>
    <w:rsid w:val="00626609"/>
    <w:rsid w:val="00630CE3"/>
    <w:rsid w:val="0063264A"/>
    <w:rsid w:val="006331B9"/>
    <w:rsid w:val="00634693"/>
    <w:rsid w:val="006352D2"/>
    <w:rsid w:val="006360E6"/>
    <w:rsid w:val="00636BFF"/>
    <w:rsid w:val="00636E90"/>
    <w:rsid w:val="0064134F"/>
    <w:rsid w:val="006428E1"/>
    <w:rsid w:val="0064322C"/>
    <w:rsid w:val="006457DD"/>
    <w:rsid w:val="006464FF"/>
    <w:rsid w:val="00646F3A"/>
    <w:rsid w:val="00650938"/>
    <w:rsid w:val="0065158B"/>
    <w:rsid w:val="00651E32"/>
    <w:rsid w:val="0065331F"/>
    <w:rsid w:val="00654DC9"/>
    <w:rsid w:val="00661F16"/>
    <w:rsid w:val="00665E29"/>
    <w:rsid w:val="0066746C"/>
    <w:rsid w:val="00667ADE"/>
    <w:rsid w:val="006707A1"/>
    <w:rsid w:val="00673F2E"/>
    <w:rsid w:val="00674C5A"/>
    <w:rsid w:val="0067685D"/>
    <w:rsid w:val="0067760D"/>
    <w:rsid w:val="00677728"/>
    <w:rsid w:val="00681DFC"/>
    <w:rsid w:val="00682BB2"/>
    <w:rsid w:val="0068432A"/>
    <w:rsid w:val="00684448"/>
    <w:rsid w:val="006850BD"/>
    <w:rsid w:val="00685490"/>
    <w:rsid w:val="00687414"/>
    <w:rsid w:val="006905D9"/>
    <w:rsid w:val="00690BCD"/>
    <w:rsid w:val="0069173B"/>
    <w:rsid w:val="00697415"/>
    <w:rsid w:val="0069761A"/>
    <w:rsid w:val="0069777B"/>
    <w:rsid w:val="006A0016"/>
    <w:rsid w:val="006A0149"/>
    <w:rsid w:val="006A0927"/>
    <w:rsid w:val="006A0D2F"/>
    <w:rsid w:val="006A1473"/>
    <w:rsid w:val="006A1C77"/>
    <w:rsid w:val="006A26A1"/>
    <w:rsid w:val="006A3350"/>
    <w:rsid w:val="006A6BBE"/>
    <w:rsid w:val="006A7990"/>
    <w:rsid w:val="006B049E"/>
    <w:rsid w:val="006B0615"/>
    <w:rsid w:val="006B124E"/>
    <w:rsid w:val="006B14E3"/>
    <w:rsid w:val="006B2130"/>
    <w:rsid w:val="006B2A09"/>
    <w:rsid w:val="006B3E7B"/>
    <w:rsid w:val="006B59C8"/>
    <w:rsid w:val="006B61A4"/>
    <w:rsid w:val="006B6785"/>
    <w:rsid w:val="006B6C39"/>
    <w:rsid w:val="006C2BE5"/>
    <w:rsid w:val="006C4353"/>
    <w:rsid w:val="006C57D2"/>
    <w:rsid w:val="006C6123"/>
    <w:rsid w:val="006C682B"/>
    <w:rsid w:val="006D00F8"/>
    <w:rsid w:val="006D0ECA"/>
    <w:rsid w:val="006D4B0E"/>
    <w:rsid w:val="006D4FC1"/>
    <w:rsid w:val="006E0CBF"/>
    <w:rsid w:val="006E0CCF"/>
    <w:rsid w:val="006E4056"/>
    <w:rsid w:val="006E5531"/>
    <w:rsid w:val="006E58BD"/>
    <w:rsid w:val="006E7DF4"/>
    <w:rsid w:val="006F1405"/>
    <w:rsid w:val="006F28AC"/>
    <w:rsid w:val="006F36B5"/>
    <w:rsid w:val="006F37BF"/>
    <w:rsid w:val="006F4E49"/>
    <w:rsid w:val="006F5934"/>
    <w:rsid w:val="006F6AB5"/>
    <w:rsid w:val="006F6D1A"/>
    <w:rsid w:val="00701591"/>
    <w:rsid w:val="00704A63"/>
    <w:rsid w:val="00704E2B"/>
    <w:rsid w:val="00706CF3"/>
    <w:rsid w:val="00710AD9"/>
    <w:rsid w:val="007146F6"/>
    <w:rsid w:val="00716950"/>
    <w:rsid w:val="00716B78"/>
    <w:rsid w:val="00717ABF"/>
    <w:rsid w:val="00717FED"/>
    <w:rsid w:val="0072026D"/>
    <w:rsid w:val="00722EF5"/>
    <w:rsid w:val="0072668B"/>
    <w:rsid w:val="00731594"/>
    <w:rsid w:val="00731EB7"/>
    <w:rsid w:val="00732D97"/>
    <w:rsid w:val="007344E3"/>
    <w:rsid w:val="00735E4B"/>
    <w:rsid w:val="007365DC"/>
    <w:rsid w:val="0073690F"/>
    <w:rsid w:val="00736D03"/>
    <w:rsid w:val="00736E06"/>
    <w:rsid w:val="00736E5C"/>
    <w:rsid w:val="00744FB0"/>
    <w:rsid w:val="00745D7C"/>
    <w:rsid w:val="007470DC"/>
    <w:rsid w:val="00747C27"/>
    <w:rsid w:val="00750B8C"/>
    <w:rsid w:val="007516C6"/>
    <w:rsid w:val="00751943"/>
    <w:rsid w:val="00751F6B"/>
    <w:rsid w:val="00752D22"/>
    <w:rsid w:val="0075396D"/>
    <w:rsid w:val="0075426A"/>
    <w:rsid w:val="00756A4D"/>
    <w:rsid w:val="007571B0"/>
    <w:rsid w:val="0076151B"/>
    <w:rsid w:val="007619C4"/>
    <w:rsid w:val="00762504"/>
    <w:rsid w:val="00762B23"/>
    <w:rsid w:val="007636FF"/>
    <w:rsid w:val="0076628F"/>
    <w:rsid w:val="007670D3"/>
    <w:rsid w:val="00767742"/>
    <w:rsid w:val="007712D8"/>
    <w:rsid w:val="00771E93"/>
    <w:rsid w:val="00776FA8"/>
    <w:rsid w:val="007808D0"/>
    <w:rsid w:val="0078348D"/>
    <w:rsid w:val="007843A9"/>
    <w:rsid w:val="00785385"/>
    <w:rsid w:val="0079256B"/>
    <w:rsid w:val="007942D1"/>
    <w:rsid w:val="007966F7"/>
    <w:rsid w:val="00796B99"/>
    <w:rsid w:val="007A1165"/>
    <w:rsid w:val="007A14B6"/>
    <w:rsid w:val="007A3BAE"/>
    <w:rsid w:val="007B050B"/>
    <w:rsid w:val="007B1632"/>
    <w:rsid w:val="007B2FC4"/>
    <w:rsid w:val="007B324D"/>
    <w:rsid w:val="007B38DE"/>
    <w:rsid w:val="007B3910"/>
    <w:rsid w:val="007C039D"/>
    <w:rsid w:val="007C08B8"/>
    <w:rsid w:val="007C0E7F"/>
    <w:rsid w:val="007C5D3F"/>
    <w:rsid w:val="007D015E"/>
    <w:rsid w:val="007D13CE"/>
    <w:rsid w:val="007D286F"/>
    <w:rsid w:val="007D6329"/>
    <w:rsid w:val="007D79FD"/>
    <w:rsid w:val="007D7B92"/>
    <w:rsid w:val="007E1075"/>
    <w:rsid w:val="007E1357"/>
    <w:rsid w:val="007E3EC8"/>
    <w:rsid w:val="007E6070"/>
    <w:rsid w:val="007E68B1"/>
    <w:rsid w:val="007E68B5"/>
    <w:rsid w:val="007F04B4"/>
    <w:rsid w:val="007F0809"/>
    <w:rsid w:val="007F121A"/>
    <w:rsid w:val="007F2DB5"/>
    <w:rsid w:val="007F4969"/>
    <w:rsid w:val="007F6B51"/>
    <w:rsid w:val="00800E75"/>
    <w:rsid w:val="00801D0A"/>
    <w:rsid w:val="0080612E"/>
    <w:rsid w:val="0080668A"/>
    <w:rsid w:val="008074CE"/>
    <w:rsid w:val="00810EB7"/>
    <w:rsid w:val="0081256F"/>
    <w:rsid w:val="008127AB"/>
    <w:rsid w:val="00813431"/>
    <w:rsid w:val="00813562"/>
    <w:rsid w:val="008153A9"/>
    <w:rsid w:val="00816F97"/>
    <w:rsid w:val="00821A97"/>
    <w:rsid w:val="008222B3"/>
    <w:rsid w:val="008227C9"/>
    <w:rsid w:val="00822A27"/>
    <w:rsid w:val="00822ABC"/>
    <w:rsid w:val="008230F3"/>
    <w:rsid w:val="00831536"/>
    <w:rsid w:val="00832865"/>
    <w:rsid w:val="00832FAC"/>
    <w:rsid w:val="00834DB8"/>
    <w:rsid w:val="00837A44"/>
    <w:rsid w:val="00840540"/>
    <w:rsid w:val="008409A4"/>
    <w:rsid w:val="008438AD"/>
    <w:rsid w:val="008441A2"/>
    <w:rsid w:val="0084572E"/>
    <w:rsid w:val="00846D04"/>
    <w:rsid w:val="008472C3"/>
    <w:rsid w:val="00852666"/>
    <w:rsid w:val="008575C1"/>
    <w:rsid w:val="00857B4E"/>
    <w:rsid w:val="00866863"/>
    <w:rsid w:val="008769E6"/>
    <w:rsid w:val="00876BD2"/>
    <w:rsid w:val="00876F71"/>
    <w:rsid w:val="00880544"/>
    <w:rsid w:val="00881BE6"/>
    <w:rsid w:val="008833AE"/>
    <w:rsid w:val="00885290"/>
    <w:rsid w:val="00885E51"/>
    <w:rsid w:val="00885E6B"/>
    <w:rsid w:val="008911D5"/>
    <w:rsid w:val="0089259B"/>
    <w:rsid w:val="0089528F"/>
    <w:rsid w:val="008957D9"/>
    <w:rsid w:val="008962C5"/>
    <w:rsid w:val="008A0F6E"/>
    <w:rsid w:val="008A244A"/>
    <w:rsid w:val="008A41D3"/>
    <w:rsid w:val="008A5B2C"/>
    <w:rsid w:val="008A5E75"/>
    <w:rsid w:val="008A69EB"/>
    <w:rsid w:val="008A7E44"/>
    <w:rsid w:val="008B47CE"/>
    <w:rsid w:val="008B48CE"/>
    <w:rsid w:val="008C0F4C"/>
    <w:rsid w:val="008C1A58"/>
    <w:rsid w:val="008C58ED"/>
    <w:rsid w:val="008C7480"/>
    <w:rsid w:val="008D0072"/>
    <w:rsid w:val="008D0708"/>
    <w:rsid w:val="008D440F"/>
    <w:rsid w:val="008D54CB"/>
    <w:rsid w:val="008E3211"/>
    <w:rsid w:val="008E4468"/>
    <w:rsid w:val="008E628F"/>
    <w:rsid w:val="008F0E48"/>
    <w:rsid w:val="008F3096"/>
    <w:rsid w:val="008F5BCE"/>
    <w:rsid w:val="008F5CD6"/>
    <w:rsid w:val="0090156D"/>
    <w:rsid w:val="00906285"/>
    <w:rsid w:val="009071A7"/>
    <w:rsid w:val="00911EBE"/>
    <w:rsid w:val="00913776"/>
    <w:rsid w:val="00913D58"/>
    <w:rsid w:val="0091402D"/>
    <w:rsid w:val="0091409C"/>
    <w:rsid w:val="009153E8"/>
    <w:rsid w:val="00923E8A"/>
    <w:rsid w:val="0092761C"/>
    <w:rsid w:val="00930FA4"/>
    <w:rsid w:val="00932776"/>
    <w:rsid w:val="00932909"/>
    <w:rsid w:val="0093388F"/>
    <w:rsid w:val="00933BE5"/>
    <w:rsid w:val="0093471C"/>
    <w:rsid w:val="009449DB"/>
    <w:rsid w:val="00945185"/>
    <w:rsid w:val="0094600C"/>
    <w:rsid w:val="00946055"/>
    <w:rsid w:val="00946364"/>
    <w:rsid w:val="009463F2"/>
    <w:rsid w:val="00946F94"/>
    <w:rsid w:val="009507C7"/>
    <w:rsid w:val="009522E4"/>
    <w:rsid w:val="009543D7"/>
    <w:rsid w:val="009552E7"/>
    <w:rsid w:val="0095547D"/>
    <w:rsid w:val="00955CBA"/>
    <w:rsid w:val="009562D6"/>
    <w:rsid w:val="009634C0"/>
    <w:rsid w:val="009638E1"/>
    <w:rsid w:val="0096418B"/>
    <w:rsid w:val="00964B64"/>
    <w:rsid w:val="00967623"/>
    <w:rsid w:val="00970C98"/>
    <w:rsid w:val="00971059"/>
    <w:rsid w:val="009724C6"/>
    <w:rsid w:val="00974255"/>
    <w:rsid w:val="009804BC"/>
    <w:rsid w:val="009816A7"/>
    <w:rsid w:val="009831A8"/>
    <w:rsid w:val="009833D5"/>
    <w:rsid w:val="00985DBC"/>
    <w:rsid w:val="009875EC"/>
    <w:rsid w:val="00993984"/>
    <w:rsid w:val="00993A1E"/>
    <w:rsid w:val="009940E4"/>
    <w:rsid w:val="00994AA3"/>
    <w:rsid w:val="00997105"/>
    <w:rsid w:val="009A1A77"/>
    <w:rsid w:val="009A2207"/>
    <w:rsid w:val="009A27A9"/>
    <w:rsid w:val="009A4BC1"/>
    <w:rsid w:val="009A4F3C"/>
    <w:rsid w:val="009B04F5"/>
    <w:rsid w:val="009B2AA3"/>
    <w:rsid w:val="009B5FAF"/>
    <w:rsid w:val="009B6C84"/>
    <w:rsid w:val="009B75F3"/>
    <w:rsid w:val="009C1300"/>
    <w:rsid w:val="009C1559"/>
    <w:rsid w:val="009C262D"/>
    <w:rsid w:val="009C2879"/>
    <w:rsid w:val="009C4781"/>
    <w:rsid w:val="009C4821"/>
    <w:rsid w:val="009C5AAE"/>
    <w:rsid w:val="009D0118"/>
    <w:rsid w:val="009D0A98"/>
    <w:rsid w:val="009D1C79"/>
    <w:rsid w:val="009D2D56"/>
    <w:rsid w:val="009D45C0"/>
    <w:rsid w:val="009D4BDE"/>
    <w:rsid w:val="009D6472"/>
    <w:rsid w:val="009E13A9"/>
    <w:rsid w:val="009E1510"/>
    <w:rsid w:val="009E2160"/>
    <w:rsid w:val="009E5A05"/>
    <w:rsid w:val="009E6E10"/>
    <w:rsid w:val="009F14E1"/>
    <w:rsid w:val="009F1537"/>
    <w:rsid w:val="009F4479"/>
    <w:rsid w:val="009F45C0"/>
    <w:rsid w:val="009F4A1C"/>
    <w:rsid w:val="009F7EBF"/>
    <w:rsid w:val="00A000A2"/>
    <w:rsid w:val="00A00733"/>
    <w:rsid w:val="00A013F5"/>
    <w:rsid w:val="00A01771"/>
    <w:rsid w:val="00A02008"/>
    <w:rsid w:val="00A03F98"/>
    <w:rsid w:val="00A05F63"/>
    <w:rsid w:val="00A16FDF"/>
    <w:rsid w:val="00A2012F"/>
    <w:rsid w:val="00A2039A"/>
    <w:rsid w:val="00A217FB"/>
    <w:rsid w:val="00A235CD"/>
    <w:rsid w:val="00A25519"/>
    <w:rsid w:val="00A30229"/>
    <w:rsid w:val="00A3026A"/>
    <w:rsid w:val="00A31ACD"/>
    <w:rsid w:val="00A31CCC"/>
    <w:rsid w:val="00A31FD2"/>
    <w:rsid w:val="00A3234B"/>
    <w:rsid w:val="00A3555A"/>
    <w:rsid w:val="00A36693"/>
    <w:rsid w:val="00A36DF7"/>
    <w:rsid w:val="00A406DF"/>
    <w:rsid w:val="00A423AD"/>
    <w:rsid w:val="00A430A8"/>
    <w:rsid w:val="00A4399C"/>
    <w:rsid w:val="00A44D25"/>
    <w:rsid w:val="00A45CC3"/>
    <w:rsid w:val="00A475BF"/>
    <w:rsid w:val="00A56B4F"/>
    <w:rsid w:val="00A61FE6"/>
    <w:rsid w:val="00A625EB"/>
    <w:rsid w:val="00A632BF"/>
    <w:rsid w:val="00A650BA"/>
    <w:rsid w:val="00A653C1"/>
    <w:rsid w:val="00A672B8"/>
    <w:rsid w:val="00A67ACF"/>
    <w:rsid w:val="00A702CA"/>
    <w:rsid w:val="00A704B9"/>
    <w:rsid w:val="00A7050D"/>
    <w:rsid w:val="00A7136B"/>
    <w:rsid w:val="00A71926"/>
    <w:rsid w:val="00A75B96"/>
    <w:rsid w:val="00A77E80"/>
    <w:rsid w:val="00A80FFF"/>
    <w:rsid w:val="00A81419"/>
    <w:rsid w:val="00A81FDE"/>
    <w:rsid w:val="00A83C4D"/>
    <w:rsid w:val="00A83CC2"/>
    <w:rsid w:val="00A85127"/>
    <w:rsid w:val="00A857B4"/>
    <w:rsid w:val="00A87E3E"/>
    <w:rsid w:val="00A87F4D"/>
    <w:rsid w:val="00A9040E"/>
    <w:rsid w:val="00A92F45"/>
    <w:rsid w:val="00A934AF"/>
    <w:rsid w:val="00A95289"/>
    <w:rsid w:val="00A96655"/>
    <w:rsid w:val="00AA34C5"/>
    <w:rsid w:val="00AA5387"/>
    <w:rsid w:val="00AA6C71"/>
    <w:rsid w:val="00AB0BB2"/>
    <w:rsid w:val="00AB7C4C"/>
    <w:rsid w:val="00AC20E5"/>
    <w:rsid w:val="00AC7FBA"/>
    <w:rsid w:val="00AD1127"/>
    <w:rsid w:val="00AD1CBC"/>
    <w:rsid w:val="00AD241E"/>
    <w:rsid w:val="00AD4D19"/>
    <w:rsid w:val="00AD6159"/>
    <w:rsid w:val="00AD7D99"/>
    <w:rsid w:val="00AE079C"/>
    <w:rsid w:val="00AE1E63"/>
    <w:rsid w:val="00AE251E"/>
    <w:rsid w:val="00AE29A5"/>
    <w:rsid w:val="00AE3662"/>
    <w:rsid w:val="00AE6014"/>
    <w:rsid w:val="00AF4628"/>
    <w:rsid w:val="00AF63A5"/>
    <w:rsid w:val="00AF6A78"/>
    <w:rsid w:val="00B00E21"/>
    <w:rsid w:val="00B01404"/>
    <w:rsid w:val="00B0156D"/>
    <w:rsid w:val="00B030F4"/>
    <w:rsid w:val="00B0321F"/>
    <w:rsid w:val="00B05175"/>
    <w:rsid w:val="00B13100"/>
    <w:rsid w:val="00B133DD"/>
    <w:rsid w:val="00B140F1"/>
    <w:rsid w:val="00B142BD"/>
    <w:rsid w:val="00B14476"/>
    <w:rsid w:val="00B15452"/>
    <w:rsid w:val="00B15525"/>
    <w:rsid w:val="00B15784"/>
    <w:rsid w:val="00B16F0F"/>
    <w:rsid w:val="00B16F8F"/>
    <w:rsid w:val="00B206B9"/>
    <w:rsid w:val="00B21B7A"/>
    <w:rsid w:val="00B246D3"/>
    <w:rsid w:val="00B25119"/>
    <w:rsid w:val="00B25631"/>
    <w:rsid w:val="00B2576E"/>
    <w:rsid w:val="00B328E2"/>
    <w:rsid w:val="00B344BA"/>
    <w:rsid w:val="00B41C14"/>
    <w:rsid w:val="00B46C5A"/>
    <w:rsid w:val="00B473D2"/>
    <w:rsid w:val="00B47CD8"/>
    <w:rsid w:val="00B517A0"/>
    <w:rsid w:val="00B517D2"/>
    <w:rsid w:val="00B5180C"/>
    <w:rsid w:val="00B5183A"/>
    <w:rsid w:val="00B53192"/>
    <w:rsid w:val="00B55A21"/>
    <w:rsid w:val="00B55D8C"/>
    <w:rsid w:val="00B563D9"/>
    <w:rsid w:val="00B56D67"/>
    <w:rsid w:val="00B61351"/>
    <w:rsid w:val="00B629F2"/>
    <w:rsid w:val="00B66387"/>
    <w:rsid w:val="00B66909"/>
    <w:rsid w:val="00B66971"/>
    <w:rsid w:val="00B66CA4"/>
    <w:rsid w:val="00B73A1D"/>
    <w:rsid w:val="00B746F2"/>
    <w:rsid w:val="00B8249E"/>
    <w:rsid w:val="00B848D2"/>
    <w:rsid w:val="00B85C8C"/>
    <w:rsid w:val="00B878E7"/>
    <w:rsid w:val="00B87C5D"/>
    <w:rsid w:val="00B91ADA"/>
    <w:rsid w:val="00B929CC"/>
    <w:rsid w:val="00B93081"/>
    <w:rsid w:val="00B93381"/>
    <w:rsid w:val="00B9605B"/>
    <w:rsid w:val="00BA2937"/>
    <w:rsid w:val="00BA2D5E"/>
    <w:rsid w:val="00BA37B3"/>
    <w:rsid w:val="00BA424A"/>
    <w:rsid w:val="00BA5B26"/>
    <w:rsid w:val="00BA6346"/>
    <w:rsid w:val="00BA6759"/>
    <w:rsid w:val="00BB35B2"/>
    <w:rsid w:val="00BB42AE"/>
    <w:rsid w:val="00BB5F94"/>
    <w:rsid w:val="00BB6A9F"/>
    <w:rsid w:val="00BB7852"/>
    <w:rsid w:val="00BC3458"/>
    <w:rsid w:val="00BC375A"/>
    <w:rsid w:val="00BC59E1"/>
    <w:rsid w:val="00BD053F"/>
    <w:rsid w:val="00BD0C92"/>
    <w:rsid w:val="00BD4E6A"/>
    <w:rsid w:val="00BD5176"/>
    <w:rsid w:val="00BD5A80"/>
    <w:rsid w:val="00BD6D34"/>
    <w:rsid w:val="00BD7180"/>
    <w:rsid w:val="00BD75DE"/>
    <w:rsid w:val="00BD79C2"/>
    <w:rsid w:val="00BE1019"/>
    <w:rsid w:val="00BE20A5"/>
    <w:rsid w:val="00BE402E"/>
    <w:rsid w:val="00BE44C5"/>
    <w:rsid w:val="00BE540B"/>
    <w:rsid w:val="00BE7FC3"/>
    <w:rsid w:val="00BF00B1"/>
    <w:rsid w:val="00BF1679"/>
    <w:rsid w:val="00BF1851"/>
    <w:rsid w:val="00BF7B2E"/>
    <w:rsid w:val="00BF7B30"/>
    <w:rsid w:val="00C00955"/>
    <w:rsid w:val="00C00CF5"/>
    <w:rsid w:val="00C013B2"/>
    <w:rsid w:val="00C0296B"/>
    <w:rsid w:val="00C04B6B"/>
    <w:rsid w:val="00C073DD"/>
    <w:rsid w:val="00C076B6"/>
    <w:rsid w:val="00C11377"/>
    <w:rsid w:val="00C11C6E"/>
    <w:rsid w:val="00C15E66"/>
    <w:rsid w:val="00C16DEF"/>
    <w:rsid w:val="00C216E0"/>
    <w:rsid w:val="00C22CFF"/>
    <w:rsid w:val="00C23E80"/>
    <w:rsid w:val="00C26384"/>
    <w:rsid w:val="00C34608"/>
    <w:rsid w:val="00C3516B"/>
    <w:rsid w:val="00C353E6"/>
    <w:rsid w:val="00C37C07"/>
    <w:rsid w:val="00C400F3"/>
    <w:rsid w:val="00C405DB"/>
    <w:rsid w:val="00C41AA2"/>
    <w:rsid w:val="00C44454"/>
    <w:rsid w:val="00C47543"/>
    <w:rsid w:val="00C50B55"/>
    <w:rsid w:val="00C54621"/>
    <w:rsid w:val="00C56B76"/>
    <w:rsid w:val="00C610C4"/>
    <w:rsid w:val="00C61229"/>
    <w:rsid w:val="00C626D7"/>
    <w:rsid w:val="00C64444"/>
    <w:rsid w:val="00C64845"/>
    <w:rsid w:val="00C65D95"/>
    <w:rsid w:val="00C6634E"/>
    <w:rsid w:val="00C70A07"/>
    <w:rsid w:val="00C716EC"/>
    <w:rsid w:val="00C73FB8"/>
    <w:rsid w:val="00C746EA"/>
    <w:rsid w:val="00C7539B"/>
    <w:rsid w:val="00C77F4F"/>
    <w:rsid w:val="00C81554"/>
    <w:rsid w:val="00C815E0"/>
    <w:rsid w:val="00C819F4"/>
    <w:rsid w:val="00C81F5B"/>
    <w:rsid w:val="00C82422"/>
    <w:rsid w:val="00C82476"/>
    <w:rsid w:val="00C83B8C"/>
    <w:rsid w:val="00C85B20"/>
    <w:rsid w:val="00C867A9"/>
    <w:rsid w:val="00CA0A5D"/>
    <w:rsid w:val="00CA1195"/>
    <w:rsid w:val="00CA22C7"/>
    <w:rsid w:val="00CA243E"/>
    <w:rsid w:val="00CA2E65"/>
    <w:rsid w:val="00CA2ECB"/>
    <w:rsid w:val="00CA7F48"/>
    <w:rsid w:val="00CAE5BC"/>
    <w:rsid w:val="00CB0A1F"/>
    <w:rsid w:val="00CB4144"/>
    <w:rsid w:val="00CB6A19"/>
    <w:rsid w:val="00CB6EAF"/>
    <w:rsid w:val="00CC205A"/>
    <w:rsid w:val="00CD29F9"/>
    <w:rsid w:val="00CD4414"/>
    <w:rsid w:val="00CD4919"/>
    <w:rsid w:val="00CD53C1"/>
    <w:rsid w:val="00CD5903"/>
    <w:rsid w:val="00CE04C3"/>
    <w:rsid w:val="00CE45E3"/>
    <w:rsid w:val="00CE508C"/>
    <w:rsid w:val="00CE5649"/>
    <w:rsid w:val="00CE7D57"/>
    <w:rsid w:val="00CF03A0"/>
    <w:rsid w:val="00CF0C68"/>
    <w:rsid w:val="00CF1AD3"/>
    <w:rsid w:val="00CF2037"/>
    <w:rsid w:val="00CF51B6"/>
    <w:rsid w:val="00CF7334"/>
    <w:rsid w:val="00D004A0"/>
    <w:rsid w:val="00D00B11"/>
    <w:rsid w:val="00D100DD"/>
    <w:rsid w:val="00D1144E"/>
    <w:rsid w:val="00D12AB7"/>
    <w:rsid w:val="00D142FD"/>
    <w:rsid w:val="00D1440D"/>
    <w:rsid w:val="00D15D69"/>
    <w:rsid w:val="00D24F81"/>
    <w:rsid w:val="00D251C8"/>
    <w:rsid w:val="00D253E2"/>
    <w:rsid w:val="00D25813"/>
    <w:rsid w:val="00D27DCB"/>
    <w:rsid w:val="00D34DDC"/>
    <w:rsid w:val="00D3535B"/>
    <w:rsid w:val="00D37784"/>
    <w:rsid w:val="00D41374"/>
    <w:rsid w:val="00D41BA2"/>
    <w:rsid w:val="00D425F1"/>
    <w:rsid w:val="00D42AC2"/>
    <w:rsid w:val="00D44D35"/>
    <w:rsid w:val="00D45AC4"/>
    <w:rsid w:val="00D45D55"/>
    <w:rsid w:val="00D467E2"/>
    <w:rsid w:val="00D50B4D"/>
    <w:rsid w:val="00D50C92"/>
    <w:rsid w:val="00D52B6F"/>
    <w:rsid w:val="00D52E8C"/>
    <w:rsid w:val="00D53714"/>
    <w:rsid w:val="00D57AAE"/>
    <w:rsid w:val="00D60062"/>
    <w:rsid w:val="00D60142"/>
    <w:rsid w:val="00D62E73"/>
    <w:rsid w:val="00D6457D"/>
    <w:rsid w:val="00D651D3"/>
    <w:rsid w:val="00D655ED"/>
    <w:rsid w:val="00D67DE7"/>
    <w:rsid w:val="00D71961"/>
    <w:rsid w:val="00D73737"/>
    <w:rsid w:val="00D73757"/>
    <w:rsid w:val="00D73CBB"/>
    <w:rsid w:val="00D73CCC"/>
    <w:rsid w:val="00D73FD8"/>
    <w:rsid w:val="00D74A5D"/>
    <w:rsid w:val="00D77B0D"/>
    <w:rsid w:val="00D814F8"/>
    <w:rsid w:val="00D81F1F"/>
    <w:rsid w:val="00D82FA0"/>
    <w:rsid w:val="00D84AF1"/>
    <w:rsid w:val="00D903F2"/>
    <w:rsid w:val="00D90FDA"/>
    <w:rsid w:val="00D923D2"/>
    <w:rsid w:val="00D92D79"/>
    <w:rsid w:val="00D937A1"/>
    <w:rsid w:val="00D95236"/>
    <w:rsid w:val="00D9596E"/>
    <w:rsid w:val="00D96388"/>
    <w:rsid w:val="00D97A01"/>
    <w:rsid w:val="00DA0ADB"/>
    <w:rsid w:val="00DA15D9"/>
    <w:rsid w:val="00DA22E7"/>
    <w:rsid w:val="00DA6135"/>
    <w:rsid w:val="00DB2832"/>
    <w:rsid w:val="00DB4F41"/>
    <w:rsid w:val="00DB7150"/>
    <w:rsid w:val="00DB7776"/>
    <w:rsid w:val="00DC4E82"/>
    <w:rsid w:val="00DC517E"/>
    <w:rsid w:val="00DC6978"/>
    <w:rsid w:val="00DD036A"/>
    <w:rsid w:val="00DD1B7E"/>
    <w:rsid w:val="00DD2313"/>
    <w:rsid w:val="00DD260C"/>
    <w:rsid w:val="00DD3B7B"/>
    <w:rsid w:val="00DD4A5C"/>
    <w:rsid w:val="00DD646F"/>
    <w:rsid w:val="00DE0115"/>
    <w:rsid w:val="00DE5746"/>
    <w:rsid w:val="00DF4C5F"/>
    <w:rsid w:val="00DF6986"/>
    <w:rsid w:val="00E01066"/>
    <w:rsid w:val="00E01692"/>
    <w:rsid w:val="00E027DA"/>
    <w:rsid w:val="00E04A14"/>
    <w:rsid w:val="00E0523F"/>
    <w:rsid w:val="00E11D72"/>
    <w:rsid w:val="00E1605B"/>
    <w:rsid w:val="00E2073B"/>
    <w:rsid w:val="00E21266"/>
    <w:rsid w:val="00E25558"/>
    <w:rsid w:val="00E27D7F"/>
    <w:rsid w:val="00E320F7"/>
    <w:rsid w:val="00E3343A"/>
    <w:rsid w:val="00E34233"/>
    <w:rsid w:val="00E3515A"/>
    <w:rsid w:val="00E36377"/>
    <w:rsid w:val="00E376F6"/>
    <w:rsid w:val="00E37EE5"/>
    <w:rsid w:val="00E417FE"/>
    <w:rsid w:val="00E41CAE"/>
    <w:rsid w:val="00E42BF4"/>
    <w:rsid w:val="00E43C0E"/>
    <w:rsid w:val="00E4416C"/>
    <w:rsid w:val="00E45F30"/>
    <w:rsid w:val="00E46E6D"/>
    <w:rsid w:val="00E472E9"/>
    <w:rsid w:val="00E473C6"/>
    <w:rsid w:val="00E50DCC"/>
    <w:rsid w:val="00E53559"/>
    <w:rsid w:val="00E54630"/>
    <w:rsid w:val="00E562E9"/>
    <w:rsid w:val="00E56424"/>
    <w:rsid w:val="00E573DF"/>
    <w:rsid w:val="00E57647"/>
    <w:rsid w:val="00E62498"/>
    <w:rsid w:val="00E633B6"/>
    <w:rsid w:val="00E63990"/>
    <w:rsid w:val="00E654F6"/>
    <w:rsid w:val="00E7221E"/>
    <w:rsid w:val="00E73DD4"/>
    <w:rsid w:val="00E75FF1"/>
    <w:rsid w:val="00E8248D"/>
    <w:rsid w:val="00E82833"/>
    <w:rsid w:val="00E83135"/>
    <w:rsid w:val="00E83C22"/>
    <w:rsid w:val="00E86BD2"/>
    <w:rsid w:val="00E90C89"/>
    <w:rsid w:val="00E91F0F"/>
    <w:rsid w:val="00E955BB"/>
    <w:rsid w:val="00E96872"/>
    <w:rsid w:val="00EA04FE"/>
    <w:rsid w:val="00EA1FC2"/>
    <w:rsid w:val="00EA1FD7"/>
    <w:rsid w:val="00EA28C1"/>
    <w:rsid w:val="00EA4DE8"/>
    <w:rsid w:val="00EA5F38"/>
    <w:rsid w:val="00EA6D74"/>
    <w:rsid w:val="00EA7524"/>
    <w:rsid w:val="00EB0791"/>
    <w:rsid w:val="00EB2EF8"/>
    <w:rsid w:val="00EB7107"/>
    <w:rsid w:val="00EB7F30"/>
    <w:rsid w:val="00EC5E4C"/>
    <w:rsid w:val="00EC602D"/>
    <w:rsid w:val="00EC6BE5"/>
    <w:rsid w:val="00ED2BFF"/>
    <w:rsid w:val="00ED2CA0"/>
    <w:rsid w:val="00ED3ABB"/>
    <w:rsid w:val="00ED4E33"/>
    <w:rsid w:val="00ED5608"/>
    <w:rsid w:val="00ED6470"/>
    <w:rsid w:val="00ED6AFD"/>
    <w:rsid w:val="00ED7AF2"/>
    <w:rsid w:val="00EE2192"/>
    <w:rsid w:val="00EE227E"/>
    <w:rsid w:val="00EE2604"/>
    <w:rsid w:val="00EE37F9"/>
    <w:rsid w:val="00EE6A20"/>
    <w:rsid w:val="00EE7B27"/>
    <w:rsid w:val="00EF11A2"/>
    <w:rsid w:val="00EF40A6"/>
    <w:rsid w:val="00EF5898"/>
    <w:rsid w:val="00EF5A10"/>
    <w:rsid w:val="00EF7489"/>
    <w:rsid w:val="00EF79C3"/>
    <w:rsid w:val="00F0028C"/>
    <w:rsid w:val="00F00EE9"/>
    <w:rsid w:val="00F012A3"/>
    <w:rsid w:val="00F024B2"/>
    <w:rsid w:val="00F03896"/>
    <w:rsid w:val="00F041CD"/>
    <w:rsid w:val="00F0501F"/>
    <w:rsid w:val="00F062A6"/>
    <w:rsid w:val="00F200C7"/>
    <w:rsid w:val="00F221BA"/>
    <w:rsid w:val="00F235E2"/>
    <w:rsid w:val="00F23E8B"/>
    <w:rsid w:val="00F24ED8"/>
    <w:rsid w:val="00F2704A"/>
    <w:rsid w:val="00F329CE"/>
    <w:rsid w:val="00F35244"/>
    <w:rsid w:val="00F36290"/>
    <w:rsid w:val="00F366C3"/>
    <w:rsid w:val="00F36781"/>
    <w:rsid w:val="00F400C9"/>
    <w:rsid w:val="00F40AFA"/>
    <w:rsid w:val="00F40D2F"/>
    <w:rsid w:val="00F4408C"/>
    <w:rsid w:val="00F443BD"/>
    <w:rsid w:val="00F45B89"/>
    <w:rsid w:val="00F465B8"/>
    <w:rsid w:val="00F47901"/>
    <w:rsid w:val="00F525C2"/>
    <w:rsid w:val="00F5522A"/>
    <w:rsid w:val="00F5525E"/>
    <w:rsid w:val="00F55F87"/>
    <w:rsid w:val="00F56426"/>
    <w:rsid w:val="00F5645E"/>
    <w:rsid w:val="00F57A56"/>
    <w:rsid w:val="00F6108E"/>
    <w:rsid w:val="00F61347"/>
    <w:rsid w:val="00F614D3"/>
    <w:rsid w:val="00F62679"/>
    <w:rsid w:val="00F62C0E"/>
    <w:rsid w:val="00F63659"/>
    <w:rsid w:val="00F636B1"/>
    <w:rsid w:val="00F63FFA"/>
    <w:rsid w:val="00F67D74"/>
    <w:rsid w:val="00F70077"/>
    <w:rsid w:val="00F70CF6"/>
    <w:rsid w:val="00F70CFA"/>
    <w:rsid w:val="00F71781"/>
    <w:rsid w:val="00F71F89"/>
    <w:rsid w:val="00F71FA4"/>
    <w:rsid w:val="00F802E5"/>
    <w:rsid w:val="00F81700"/>
    <w:rsid w:val="00F822E8"/>
    <w:rsid w:val="00F85A02"/>
    <w:rsid w:val="00F87388"/>
    <w:rsid w:val="00F9019A"/>
    <w:rsid w:val="00F914B9"/>
    <w:rsid w:val="00F91965"/>
    <w:rsid w:val="00F944BB"/>
    <w:rsid w:val="00FA177C"/>
    <w:rsid w:val="00FA19EF"/>
    <w:rsid w:val="00FA577C"/>
    <w:rsid w:val="00FA606B"/>
    <w:rsid w:val="00FA671C"/>
    <w:rsid w:val="00FA678D"/>
    <w:rsid w:val="00FA67F2"/>
    <w:rsid w:val="00FA7E42"/>
    <w:rsid w:val="00FB0BCD"/>
    <w:rsid w:val="00FB4A5F"/>
    <w:rsid w:val="00FB54AF"/>
    <w:rsid w:val="00FB5AD1"/>
    <w:rsid w:val="00FB6B60"/>
    <w:rsid w:val="00FB733B"/>
    <w:rsid w:val="00FC1BE8"/>
    <w:rsid w:val="00FC2B3A"/>
    <w:rsid w:val="00FC3114"/>
    <w:rsid w:val="00FC3EB7"/>
    <w:rsid w:val="00FC616E"/>
    <w:rsid w:val="00FC6A62"/>
    <w:rsid w:val="00FD019C"/>
    <w:rsid w:val="00FD05E6"/>
    <w:rsid w:val="00FD10CF"/>
    <w:rsid w:val="00FD4299"/>
    <w:rsid w:val="00FD5B30"/>
    <w:rsid w:val="00FD6BFF"/>
    <w:rsid w:val="00FD7896"/>
    <w:rsid w:val="00FE1025"/>
    <w:rsid w:val="00FE3C2E"/>
    <w:rsid w:val="00FE4643"/>
    <w:rsid w:val="00FE6390"/>
    <w:rsid w:val="00FE6975"/>
    <w:rsid w:val="00FE7314"/>
    <w:rsid w:val="00FF04A0"/>
    <w:rsid w:val="00FF0BC9"/>
    <w:rsid w:val="00FF155A"/>
    <w:rsid w:val="00FF1E60"/>
    <w:rsid w:val="00FF224F"/>
    <w:rsid w:val="00FF3BD7"/>
    <w:rsid w:val="00FF47FB"/>
    <w:rsid w:val="00FF5908"/>
    <w:rsid w:val="00FF5F4C"/>
    <w:rsid w:val="00FF6C16"/>
    <w:rsid w:val="0CE1058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C2F35"/>
  <w15:docId w15:val="{853B8AE7-164B-4C5F-AC17-3A5908FCF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1" w:qFormat="1"/>
    <w:lsdException w:name="List Number" w:uiPriority="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E4121"/>
    <w:pPr>
      <w:widowControl w:val="0"/>
      <w:tabs>
        <w:tab w:val="right" w:pos="4196"/>
        <w:tab w:val="right" w:pos="5046"/>
        <w:tab w:val="right" w:pos="5897"/>
        <w:tab w:val="right" w:pos="6747"/>
        <w:tab w:val="right" w:pos="7598"/>
      </w:tabs>
      <w:autoSpaceDE w:val="0"/>
      <w:autoSpaceDN w:val="0"/>
    </w:pPr>
    <w:rPr>
      <w:rFonts w:ascii="Arial" w:hAnsi="Arial" w:cs="Arial"/>
    </w:rPr>
  </w:style>
  <w:style w:type="paragraph" w:styleId="Heading1">
    <w:name w:val="heading 1"/>
    <w:basedOn w:val="Normal"/>
    <w:next w:val="Normal"/>
    <w:link w:val="Heading1Char"/>
    <w:qFormat/>
    <w:rsid w:val="001E4121"/>
    <w:pPr>
      <w:keepNext/>
      <w:keepLines/>
      <w:spacing w:before="480"/>
      <w:outlineLvl w:val="0"/>
    </w:pPr>
    <w:rPr>
      <w:rFonts w:cs="Times New Roman"/>
      <w:bCs/>
      <w:caps/>
      <w:color w:val="1D3278"/>
      <w:sz w:val="40"/>
      <w:szCs w:val="28"/>
    </w:rPr>
  </w:style>
  <w:style w:type="paragraph" w:styleId="Heading2">
    <w:name w:val="heading 2"/>
    <w:basedOn w:val="Normal"/>
    <w:next w:val="BodyText"/>
    <w:link w:val="Heading2Char"/>
    <w:qFormat/>
    <w:rsid w:val="004E114C"/>
    <w:pPr>
      <w:keepNext/>
      <w:pBdr>
        <w:bottom w:val="single" w:sz="4" w:space="4" w:color="25A9E1"/>
      </w:pBdr>
      <w:tabs>
        <w:tab w:val="clear" w:pos="4196"/>
        <w:tab w:val="clear" w:pos="5046"/>
        <w:tab w:val="clear" w:pos="5897"/>
        <w:tab w:val="clear" w:pos="6747"/>
        <w:tab w:val="clear" w:pos="7598"/>
      </w:tabs>
      <w:autoSpaceDE/>
      <w:autoSpaceDN/>
      <w:spacing w:before="240" w:after="100"/>
      <w:outlineLvl w:val="1"/>
    </w:pPr>
    <w:rPr>
      <w:rFonts w:ascii="Arial Bold" w:hAnsi="Arial Bold" w:cs="Times New Roman"/>
      <w:b/>
      <w:color w:val="00ABE6"/>
      <w:kern w:val="28"/>
      <w:sz w:val="28"/>
      <w:szCs w:val="36"/>
      <w:lang w:eastAsia="en-US"/>
    </w:rPr>
  </w:style>
  <w:style w:type="paragraph" w:styleId="Heading3">
    <w:name w:val="heading 3"/>
    <w:basedOn w:val="Heading2"/>
    <w:next w:val="BodyText"/>
    <w:link w:val="Heading3Char"/>
    <w:qFormat/>
    <w:rsid w:val="002F3102"/>
    <w:pPr>
      <w:pBdr>
        <w:bottom w:val="none" w:sz="0" w:space="0" w:color="auto"/>
      </w:pBdr>
      <w:spacing w:before="320" w:after="120" w:line="240" w:lineRule="atLeast"/>
      <w:outlineLvl w:val="2"/>
    </w:pPr>
    <w:rPr>
      <w:color w:val="auto"/>
      <w:sz w:val="26"/>
    </w:rPr>
  </w:style>
  <w:style w:type="paragraph" w:styleId="Heading4">
    <w:name w:val="heading 4"/>
    <w:basedOn w:val="Heading3"/>
    <w:next w:val="Normal"/>
    <w:link w:val="Heading4Char"/>
    <w:qFormat/>
    <w:rsid w:val="001E4121"/>
    <w:pPr>
      <w:keepNext w:val="0"/>
      <w:tabs>
        <w:tab w:val="left" w:pos="567"/>
      </w:tabs>
      <w:spacing w:before="360"/>
      <w:outlineLvl w:val="3"/>
    </w:pPr>
    <w:rPr>
      <w:rFonts w:eastAsia="Arial Unicode MS"/>
      <w:sz w:val="24"/>
    </w:rPr>
  </w:style>
  <w:style w:type="paragraph" w:styleId="Heading5">
    <w:name w:val="heading 5"/>
    <w:basedOn w:val="Normal"/>
    <w:next w:val="Normal"/>
    <w:link w:val="Heading5Char"/>
    <w:uiPriority w:val="9"/>
    <w:unhideWhenUsed/>
    <w:qFormat/>
    <w:rsid w:val="001E4121"/>
    <w:pPr>
      <w:keepNext/>
      <w:keepLines/>
      <w:spacing w:before="240"/>
      <w:outlineLvl w:val="4"/>
    </w:pPr>
    <w:rPr>
      <w:rFonts w:cs="Times New Roman"/>
      <w:b/>
      <w:sz w:val="22"/>
    </w:rPr>
  </w:style>
  <w:style w:type="paragraph" w:styleId="Heading6">
    <w:name w:val="heading 6"/>
    <w:basedOn w:val="Heading1"/>
    <w:next w:val="Normal"/>
    <w:link w:val="Heading6Char"/>
    <w:qFormat/>
    <w:rsid w:val="001E4121"/>
    <w:pPr>
      <w:spacing w:before="320" w:after="120"/>
      <w:outlineLvl w:val="5"/>
    </w:pPr>
    <w:rPr>
      <w:sz w:val="20"/>
    </w:rPr>
  </w:style>
  <w:style w:type="paragraph" w:styleId="Heading7">
    <w:name w:val="heading 7"/>
    <w:basedOn w:val="Heading5"/>
    <w:next w:val="Normal"/>
    <w:link w:val="Heading7Char"/>
    <w:qFormat/>
    <w:rsid w:val="001E4121"/>
    <w:pPr>
      <w:spacing w:before="120"/>
      <w:ind w:left="425"/>
      <w:jc w:val="both"/>
      <w:outlineLvl w:val="6"/>
    </w:pPr>
    <w:rPr>
      <w:i/>
      <w:sz w:val="23"/>
    </w:rPr>
  </w:style>
  <w:style w:type="paragraph" w:styleId="Heading8">
    <w:name w:val="heading 8"/>
    <w:basedOn w:val="Heading7"/>
    <w:next w:val="Normal"/>
    <w:link w:val="Heading8Char"/>
    <w:qFormat/>
    <w:rsid w:val="001E4121"/>
    <w:pPr>
      <w:outlineLvl w:val="7"/>
    </w:pPr>
    <w:rPr>
      <w:i w:val="0"/>
    </w:rPr>
  </w:style>
  <w:style w:type="paragraph" w:styleId="Heading9">
    <w:name w:val="heading 9"/>
    <w:basedOn w:val="Heading8"/>
    <w:next w:val="Normal"/>
    <w:link w:val="Heading9Char"/>
    <w:qFormat/>
    <w:rsid w:val="001E4121"/>
    <w:pPr>
      <w:ind w:left="851"/>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autoRedefine/>
    <w:uiPriority w:val="99"/>
    <w:rsid w:val="006A1C77"/>
    <w:pPr>
      <w:spacing w:before="160" w:after="100" w:line="240" w:lineRule="atLeast"/>
    </w:pPr>
    <w:rPr>
      <w:rFonts w:ascii="Arial" w:eastAsiaTheme="minorHAnsi" w:hAnsi="Arial" w:cs="Arial"/>
      <w:sz w:val="23"/>
      <w:lang w:eastAsia="en-US"/>
    </w:rPr>
  </w:style>
  <w:style w:type="paragraph" w:customStyle="1" w:styleId="BodyTextBox">
    <w:name w:val="Body Text Box"/>
    <w:basedOn w:val="Normal"/>
    <w:link w:val="BodyTextBoxChar"/>
    <w:autoRedefine/>
    <w:rsid w:val="006A1C77"/>
    <w:pPr>
      <w:widowControl/>
      <w:tabs>
        <w:tab w:val="clear" w:pos="4196"/>
        <w:tab w:val="clear" w:pos="5046"/>
        <w:tab w:val="clear" w:pos="5897"/>
        <w:tab w:val="clear" w:pos="6747"/>
        <w:tab w:val="clear" w:pos="7598"/>
      </w:tabs>
      <w:autoSpaceDE/>
      <w:autoSpaceDN/>
      <w:spacing w:before="80" w:after="80" w:line="240" w:lineRule="atLeast"/>
    </w:pPr>
    <w:rPr>
      <w:color w:val="0A7CB9"/>
      <w:sz w:val="23"/>
      <w:szCs w:val="19"/>
      <w:lang w:eastAsia="en-US"/>
    </w:rPr>
  </w:style>
  <w:style w:type="paragraph" w:customStyle="1" w:styleId="Bullet1">
    <w:name w:val="Bullet 1"/>
    <w:basedOn w:val="BodyText"/>
    <w:link w:val="Bullet1Char"/>
    <w:autoRedefine/>
    <w:uiPriority w:val="99"/>
    <w:rsid w:val="00E63990"/>
    <w:pPr>
      <w:numPr>
        <w:numId w:val="38"/>
      </w:numPr>
      <w:spacing w:before="120" w:after="80"/>
      <w:ind w:left="426" w:hanging="426"/>
    </w:pPr>
    <w:rPr>
      <w:rFonts w:eastAsia="Times New Roman"/>
    </w:rPr>
  </w:style>
  <w:style w:type="paragraph" w:customStyle="1" w:styleId="Bullet1inabox">
    <w:name w:val="Bullet 1 in a box"/>
    <w:basedOn w:val="Bullet1"/>
    <w:autoRedefine/>
    <w:rsid w:val="006A1C77"/>
    <w:pPr>
      <w:numPr>
        <w:numId w:val="40"/>
      </w:numPr>
      <w:spacing w:before="100" w:after="60"/>
    </w:pPr>
    <w:rPr>
      <w:rFonts w:cs="Times New Roman"/>
      <w:color w:val="0A7CB9"/>
    </w:rPr>
  </w:style>
  <w:style w:type="paragraph" w:customStyle="1" w:styleId="Bullet1Paragraph">
    <w:name w:val="Bullet 1 Paragraph"/>
    <w:basedOn w:val="Normal"/>
    <w:rsid w:val="001E4121"/>
    <w:pPr>
      <w:ind w:left="425"/>
    </w:pPr>
  </w:style>
  <w:style w:type="paragraph" w:customStyle="1" w:styleId="Bullet2">
    <w:name w:val="Bullet 2"/>
    <w:basedOn w:val="Bullet1"/>
    <w:rsid w:val="006A1C77"/>
    <w:pPr>
      <w:numPr>
        <w:numId w:val="41"/>
      </w:numPr>
      <w:tabs>
        <w:tab w:val="left" w:pos="851"/>
      </w:tabs>
      <w:spacing w:before="80" w:after="40"/>
    </w:pPr>
  </w:style>
  <w:style w:type="paragraph" w:customStyle="1" w:styleId="Bullet2innumberedlist">
    <w:name w:val="Bullet 2 in numbered list"/>
    <w:basedOn w:val="Bullet2"/>
    <w:rsid w:val="001E4121"/>
    <w:pPr>
      <w:numPr>
        <w:numId w:val="0"/>
      </w:numPr>
      <w:tabs>
        <w:tab w:val="num" w:pos="851"/>
      </w:tabs>
      <w:ind w:left="851" w:hanging="426"/>
    </w:pPr>
  </w:style>
  <w:style w:type="paragraph" w:customStyle="1" w:styleId="Bullet2Paragraph">
    <w:name w:val="Bullet 2 Paragraph"/>
    <w:basedOn w:val="Bullet1Paragraph"/>
    <w:rsid w:val="001E4121"/>
    <w:pPr>
      <w:ind w:left="851"/>
    </w:pPr>
  </w:style>
  <w:style w:type="paragraph" w:customStyle="1" w:styleId="Bullet3">
    <w:name w:val="Bullet 3"/>
    <w:basedOn w:val="Bullet1"/>
    <w:qFormat/>
    <w:rsid w:val="001E4121"/>
    <w:pPr>
      <w:numPr>
        <w:numId w:val="6"/>
      </w:numPr>
    </w:pPr>
  </w:style>
  <w:style w:type="paragraph" w:customStyle="1" w:styleId="Bullet3Paragraph">
    <w:name w:val="Bullet 3 Paragraph"/>
    <w:basedOn w:val="Bullet2Paragraph"/>
    <w:rsid w:val="001E4121"/>
    <w:pPr>
      <w:ind w:left="1276"/>
    </w:pPr>
  </w:style>
  <w:style w:type="paragraph" w:customStyle="1" w:styleId="Bullet4">
    <w:name w:val="Bullet 4"/>
    <w:basedOn w:val="Bullet3"/>
    <w:rsid w:val="001E4121"/>
    <w:pPr>
      <w:numPr>
        <w:numId w:val="7"/>
      </w:numPr>
    </w:pPr>
  </w:style>
  <w:style w:type="paragraph" w:customStyle="1" w:styleId="Bullet4Paragraph">
    <w:name w:val="Bullet 4 Paragraph"/>
    <w:basedOn w:val="Bullet3Paragraph"/>
    <w:rsid w:val="001E4121"/>
    <w:pPr>
      <w:ind w:left="1701"/>
    </w:pPr>
  </w:style>
  <w:style w:type="paragraph" w:customStyle="1" w:styleId="ChartHeading">
    <w:name w:val="Chart Heading"/>
    <w:basedOn w:val="Normal"/>
    <w:autoRedefine/>
    <w:rsid w:val="001E4121"/>
    <w:pPr>
      <w:keepNext/>
      <w:spacing w:before="240" w:after="120"/>
    </w:pPr>
    <w:rPr>
      <w:b/>
      <w:sz w:val="24"/>
    </w:rPr>
  </w:style>
  <w:style w:type="paragraph" w:styleId="Footer">
    <w:name w:val="footer"/>
    <w:basedOn w:val="Normal"/>
    <w:link w:val="FooterChar"/>
    <w:unhideWhenUsed/>
    <w:rsid w:val="001E4121"/>
    <w:pPr>
      <w:tabs>
        <w:tab w:val="clear" w:pos="4196"/>
        <w:tab w:val="clear" w:pos="5046"/>
        <w:tab w:val="clear" w:pos="5897"/>
        <w:tab w:val="clear" w:pos="6747"/>
        <w:tab w:val="clear" w:pos="7598"/>
        <w:tab w:val="center" w:pos="4513"/>
        <w:tab w:val="right" w:pos="9026"/>
      </w:tabs>
    </w:pPr>
  </w:style>
  <w:style w:type="character" w:styleId="FootnoteReference">
    <w:name w:val="footnote reference"/>
    <w:uiPriority w:val="99"/>
    <w:unhideWhenUsed/>
    <w:rsid w:val="001E4121"/>
    <w:rPr>
      <w:vertAlign w:val="superscript"/>
    </w:rPr>
  </w:style>
  <w:style w:type="paragraph" w:styleId="FootnoteText">
    <w:name w:val="footnote text"/>
    <w:basedOn w:val="Normal"/>
    <w:link w:val="FootnoteTextChar"/>
    <w:uiPriority w:val="99"/>
    <w:unhideWhenUsed/>
    <w:rsid w:val="001E4121"/>
  </w:style>
  <w:style w:type="paragraph" w:customStyle="1" w:styleId="Object">
    <w:name w:val="Object"/>
    <w:basedOn w:val="Normal"/>
    <w:next w:val="Normal"/>
    <w:rsid w:val="001E4121"/>
    <w:pPr>
      <w:jc w:val="center"/>
    </w:pPr>
  </w:style>
  <w:style w:type="paragraph" w:customStyle="1" w:styleId="ObjectFootnote">
    <w:name w:val="Object Footnote"/>
    <w:basedOn w:val="Object"/>
    <w:next w:val="Normal"/>
    <w:rsid w:val="001E4121"/>
    <w:pPr>
      <w:spacing w:after="60"/>
    </w:pPr>
    <w:rPr>
      <w:i/>
      <w:sz w:val="14"/>
    </w:rPr>
  </w:style>
  <w:style w:type="paragraph" w:customStyle="1" w:styleId="ObjectFootnotelettered">
    <w:name w:val="Object Footnote lettered"/>
    <w:basedOn w:val="ObjectFootnote"/>
    <w:rsid w:val="001E4121"/>
    <w:pPr>
      <w:tabs>
        <w:tab w:val="left" w:pos="709"/>
      </w:tabs>
      <w:ind w:left="426"/>
      <w:jc w:val="left"/>
    </w:pPr>
  </w:style>
  <w:style w:type="paragraph" w:customStyle="1" w:styleId="ObjectFootnoteleft">
    <w:name w:val="Object Footnote left"/>
    <w:basedOn w:val="ObjectFootnotelettered"/>
    <w:rsid w:val="001E4121"/>
    <w:pPr>
      <w:ind w:left="709" w:hanging="283"/>
    </w:pPr>
  </w:style>
  <w:style w:type="paragraph" w:customStyle="1" w:styleId="ObjectHeading">
    <w:name w:val="Object Heading"/>
    <w:basedOn w:val="Heading3"/>
    <w:next w:val="Normal"/>
    <w:rsid w:val="001E4121"/>
    <w:pPr>
      <w:tabs>
        <w:tab w:val="left" w:pos="1418"/>
      </w:tabs>
      <w:ind w:left="1418" w:hanging="1418"/>
    </w:pPr>
    <w:rPr>
      <w:kern w:val="0"/>
    </w:rPr>
  </w:style>
  <w:style w:type="character" w:styleId="PageNumber">
    <w:name w:val="page number"/>
    <w:rsid w:val="001E4121"/>
  </w:style>
  <w:style w:type="paragraph" w:customStyle="1" w:styleId="TableFootnote">
    <w:name w:val="Table Footnote"/>
    <w:basedOn w:val="Normal"/>
    <w:link w:val="TableFootnoteChar"/>
    <w:rsid w:val="001E4121"/>
    <w:pPr>
      <w:spacing w:before="60" w:after="60"/>
      <w:ind w:left="284"/>
    </w:pPr>
    <w:rPr>
      <w:i/>
      <w:sz w:val="14"/>
    </w:rPr>
  </w:style>
  <w:style w:type="paragraph" w:customStyle="1" w:styleId="TableHeading">
    <w:name w:val="Table Heading"/>
    <w:basedOn w:val="Normal"/>
    <w:link w:val="TableHeadingChar"/>
    <w:autoRedefine/>
    <w:rsid w:val="001E4121"/>
    <w:pPr>
      <w:keepNext/>
      <w:keepLines/>
      <w:spacing w:before="120" w:after="120"/>
    </w:pPr>
    <w:rPr>
      <w:b/>
      <w:sz w:val="24"/>
    </w:rPr>
  </w:style>
  <w:style w:type="paragraph" w:customStyle="1" w:styleId="TableHeadingCont">
    <w:name w:val="Table Heading Cont'"/>
    <w:basedOn w:val="TableHeading"/>
    <w:rsid w:val="001E4121"/>
    <w:pPr>
      <w:tabs>
        <w:tab w:val="left" w:pos="1418"/>
      </w:tabs>
    </w:pPr>
  </w:style>
  <w:style w:type="paragraph" w:styleId="Header">
    <w:name w:val="header"/>
    <w:basedOn w:val="Normal"/>
    <w:link w:val="HeaderChar"/>
    <w:unhideWhenUsed/>
    <w:rsid w:val="001E4121"/>
    <w:pPr>
      <w:tabs>
        <w:tab w:val="clear" w:pos="4196"/>
        <w:tab w:val="clear" w:pos="5046"/>
        <w:tab w:val="clear" w:pos="5897"/>
        <w:tab w:val="clear" w:pos="6747"/>
        <w:tab w:val="clear" w:pos="7598"/>
        <w:tab w:val="center" w:pos="4513"/>
        <w:tab w:val="right" w:pos="9026"/>
      </w:tabs>
    </w:pPr>
  </w:style>
  <w:style w:type="paragraph" w:customStyle="1" w:styleId="BoxHeading">
    <w:name w:val="Box Heading"/>
    <w:basedOn w:val="ObjectHeading"/>
    <w:link w:val="BoxHeadingChar"/>
    <w:autoRedefine/>
    <w:rsid w:val="001E4121"/>
    <w:pPr>
      <w:keepNext w:val="0"/>
      <w:tabs>
        <w:tab w:val="clear" w:pos="1418"/>
        <w:tab w:val="left" w:pos="-3510"/>
        <w:tab w:val="left" w:pos="-1384"/>
      </w:tabs>
      <w:spacing w:before="120" w:after="60"/>
      <w:ind w:left="1026" w:hanging="1026"/>
    </w:pPr>
    <w:rPr>
      <w:bCs/>
      <w:sz w:val="23"/>
      <w:szCs w:val="23"/>
      <w:lang w:val="en-US"/>
    </w:rPr>
  </w:style>
  <w:style w:type="paragraph" w:customStyle="1" w:styleId="Style211HeadingBold">
    <w:name w:val="Style 2.1.1 Heading + Bold"/>
    <w:basedOn w:val="Normal"/>
    <w:rsid w:val="001E4121"/>
    <w:rPr>
      <w:b/>
      <w:bCs/>
      <w:i/>
      <w:iCs/>
    </w:rPr>
  </w:style>
  <w:style w:type="character" w:styleId="EndnoteReference">
    <w:name w:val="endnote reference"/>
    <w:rsid w:val="001E4121"/>
    <w:rPr>
      <w:i/>
      <w:sz w:val="16"/>
      <w:vertAlign w:val="superscript"/>
    </w:rPr>
  </w:style>
  <w:style w:type="paragraph" w:customStyle="1" w:styleId="Heading1BP2">
    <w:name w:val="Heading 1 BP2"/>
    <w:rsid w:val="001E4121"/>
    <w:pPr>
      <w:keepNext/>
      <w:tabs>
        <w:tab w:val="left" w:pos="284"/>
      </w:tabs>
      <w:spacing w:before="400" w:after="240"/>
    </w:pPr>
    <w:rPr>
      <w:rFonts w:ascii="Arial" w:hAnsi="Arial"/>
      <w:color w:val="0579B9"/>
      <w:kern w:val="28"/>
      <w:sz w:val="36"/>
      <w:szCs w:val="36"/>
      <w:lang w:eastAsia="en-US"/>
    </w:rPr>
  </w:style>
  <w:style w:type="paragraph" w:customStyle="1" w:styleId="TableA2X">
    <w:name w:val="Table A2.X"/>
    <w:basedOn w:val="TableHeading"/>
    <w:rsid w:val="00601BA9"/>
    <w:pPr>
      <w:keepNext w:val="0"/>
      <w:keepLines w:val="0"/>
      <w:numPr>
        <w:numId w:val="32"/>
      </w:numPr>
      <w:tabs>
        <w:tab w:val="clear" w:pos="4196"/>
        <w:tab w:val="clear" w:pos="5046"/>
        <w:tab w:val="clear" w:pos="5897"/>
        <w:tab w:val="clear" w:pos="6747"/>
        <w:tab w:val="clear" w:pos="7598"/>
        <w:tab w:val="left" w:pos="1304"/>
      </w:tabs>
      <w:spacing w:before="360"/>
      <w:ind w:left="1304" w:hanging="1304"/>
    </w:pPr>
    <w:rPr>
      <w:b w:val="0"/>
      <w:bCs/>
      <w:i/>
      <w:color w:val="57514D"/>
      <w:kern w:val="28"/>
      <w:sz w:val="22"/>
      <w:szCs w:val="22"/>
    </w:rPr>
  </w:style>
  <w:style w:type="paragraph" w:styleId="BalloonText">
    <w:name w:val="Balloon Text"/>
    <w:basedOn w:val="Normal"/>
    <w:link w:val="BalloonTextChar"/>
    <w:uiPriority w:val="99"/>
    <w:unhideWhenUsed/>
    <w:rsid w:val="001E4121"/>
    <w:rPr>
      <w:rFonts w:ascii="Tahoma" w:hAnsi="Tahoma" w:cs="Tahoma"/>
      <w:sz w:val="16"/>
      <w:szCs w:val="16"/>
    </w:rPr>
  </w:style>
  <w:style w:type="character" w:customStyle="1" w:styleId="BalloonTextChar">
    <w:name w:val="Balloon Text Char"/>
    <w:link w:val="BalloonText"/>
    <w:uiPriority w:val="99"/>
    <w:rsid w:val="001E4121"/>
    <w:rPr>
      <w:rFonts w:ascii="Tahoma" w:hAnsi="Tahoma" w:cs="Tahoma"/>
      <w:sz w:val="16"/>
      <w:szCs w:val="16"/>
    </w:rPr>
  </w:style>
  <w:style w:type="paragraph" w:customStyle="1" w:styleId="Chart1X">
    <w:name w:val="Chart 1.X"/>
    <w:basedOn w:val="Normal"/>
    <w:rsid w:val="001E4121"/>
    <w:pPr>
      <w:keepLines/>
      <w:numPr>
        <w:numId w:val="11"/>
      </w:numPr>
      <w:tabs>
        <w:tab w:val="clear" w:pos="4196"/>
        <w:tab w:val="clear" w:pos="5046"/>
        <w:tab w:val="clear" w:pos="5897"/>
        <w:tab w:val="clear" w:pos="6747"/>
        <w:tab w:val="clear" w:pos="7598"/>
        <w:tab w:val="left" w:pos="1134"/>
      </w:tabs>
      <w:spacing w:before="240" w:after="120"/>
    </w:pPr>
    <w:rPr>
      <w:rFonts w:cs="Times New Roman"/>
      <w:i/>
      <w:color w:val="57514D"/>
    </w:rPr>
  </w:style>
  <w:style w:type="character" w:customStyle="1" w:styleId="BodyTextChar">
    <w:name w:val="Body Text Char"/>
    <w:basedOn w:val="DefaultParagraphFont"/>
    <w:link w:val="BodyText"/>
    <w:uiPriority w:val="99"/>
    <w:rsid w:val="006A1C77"/>
    <w:rPr>
      <w:rFonts w:ascii="Arial" w:eastAsiaTheme="minorHAnsi" w:hAnsi="Arial" w:cs="Arial"/>
      <w:sz w:val="23"/>
      <w:lang w:eastAsia="en-US"/>
    </w:rPr>
  </w:style>
  <w:style w:type="character" w:customStyle="1" w:styleId="Bullet1Char">
    <w:name w:val="Bullet 1 Char"/>
    <w:link w:val="Bullet1"/>
    <w:uiPriority w:val="99"/>
    <w:rsid w:val="00E63990"/>
    <w:rPr>
      <w:rFonts w:ascii="Arial" w:hAnsi="Arial" w:cs="Arial"/>
      <w:sz w:val="23"/>
      <w:lang w:eastAsia="en-US"/>
    </w:rPr>
  </w:style>
  <w:style w:type="character" w:customStyle="1" w:styleId="Heading2Char">
    <w:name w:val="Heading 2 Char"/>
    <w:link w:val="Heading2"/>
    <w:rsid w:val="004E114C"/>
    <w:rPr>
      <w:rFonts w:ascii="Arial Bold" w:hAnsi="Arial Bold"/>
      <w:b/>
      <w:color w:val="00ABE6"/>
      <w:kern w:val="28"/>
      <w:sz w:val="28"/>
      <w:szCs w:val="36"/>
      <w:lang w:eastAsia="en-US"/>
    </w:rPr>
  </w:style>
  <w:style w:type="character" w:customStyle="1" w:styleId="Heading3Char">
    <w:name w:val="Heading 3 Char"/>
    <w:link w:val="Heading3"/>
    <w:rsid w:val="002F3102"/>
    <w:rPr>
      <w:rFonts w:ascii="Arial Bold" w:hAnsi="Arial Bold"/>
      <w:b/>
      <w:kern w:val="28"/>
      <w:sz w:val="26"/>
      <w:szCs w:val="36"/>
      <w:lang w:eastAsia="en-US"/>
    </w:rPr>
  </w:style>
  <w:style w:type="character" w:styleId="CommentReference">
    <w:name w:val="annotation reference"/>
    <w:uiPriority w:val="99"/>
    <w:unhideWhenUsed/>
    <w:rsid w:val="001E4121"/>
    <w:rPr>
      <w:sz w:val="16"/>
      <w:szCs w:val="16"/>
    </w:rPr>
  </w:style>
  <w:style w:type="paragraph" w:styleId="CommentText">
    <w:name w:val="annotation text"/>
    <w:basedOn w:val="Normal"/>
    <w:link w:val="CommentTextChar"/>
    <w:uiPriority w:val="99"/>
    <w:unhideWhenUsed/>
    <w:rsid w:val="001E4121"/>
  </w:style>
  <w:style w:type="character" w:customStyle="1" w:styleId="CommentTextChar">
    <w:name w:val="Comment Text Char"/>
    <w:link w:val="CommentText"/>
    <w:uiPriority w:val="99"/>
    <w:rsid w:val="001E4121"/>
    <w:rPr>
      <w:rFonts w:ascii="Arial" w:hAnsi="Arial" w:cs="Arial"/>
    </w:rPr>
  </w:style>
  <w:style w:type="paragraph" w:styleId="ListBullet3">
    <w:name w:val="List Bullet 3"/>
    <w:basedOn w:val="Normal"/>
    <w:rsid w:val="001E4121"/>
    <w:pPr>
      <w:numPr>
        <w:numId w:val="23"/>
      </w:numPr>
    </w:pPr>
  </w:style>
  <w:style w:type="paragraph" w:customStyle="1" w:styleId="Default">
    <w:name w:val="Default"/>
    <w:rsid w:val="001E4121"/>
    <w:pPr>
      <w:autoSpaceDE w:val="0"/>
      <w:autoSpaceDN w:val="0"/>
      <w:adjustRightInd w:val="0"/>
    </w:pPr>
    <w:rPr>
      <w:rFonts w:ascii="Arial" w:eastAsia="Calibri" w:hAnsi="Arial" w:cs="Arial"/>
      <w:color w:val="000000"/>
      <w:sz w:val="24"/>
      <w:szCs w:val="24"/>
      <w:lang w:eastAsia="en-US"/>
    </w:rPr>
  </w:style>
  <w:style w:type="table" w:styleId="TableGrid">
    <w:name w:val="Table Grid"/>
    <w:basedOn w:val="TableNormal"/>
    <w:uiPriority w:val="59"/>
    <w:rsid w:val="001E412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box">
    <w:name w:val="Bullet 1 box"/>
    <w:basedOn w:val="Bullet1"/>
    <w:autoRedefine/>
    <w:rsid w:val="001E4121"/>
    <w:pPr>
      <w:numPr>
        <w:numId w:val="5"/>
      </w:numPr>
      <w:shd w:val="clear" w:color="auto" w:fill="FFFFFF"/>
      <w:spacing w:after="60" w:line="260" w:lineRule="exact"/>
    </w:pPr>
  </w:style>
  <w:style w:type="paragraph" w:styleId="CommentSubject">
    <w:name w:val="annotation subject"/>
    <w:basedOn w:val="CommentText"/>
    <w:next w:val="CommentText"/>
    <w:link w:val="CommentSubjectChar"/>
    <w:uiPriority w:val="99"/>
    <w:unhideWhenUsed/>
    <w:rsid w:val="001E4121"/>
    <w:rPr>
      <w:b/>
      <w:bCs/>
    </w:rPr>
  </w:style>
  <w:style w:type="character" w:customStyle="1" w:styleId="CommentSubjectChar">
    <w:name w:val="Comment Subject Char"/>
    <w:link w:val="CommentSubject"/>
    <w:uiPriority w:val="99"/>
    <w:rsid w:val="001E4121"/>
    <w:rPr>
      <w:rFonts w:ascii="Arial" w:hAnsi="Arial" w:cs="Arial"/>
      <w:b/>
      <w:bCs/>
    </w:rPr>
  </w:style>
  <w:style w:type="character" w:customStyle="1" w:styleId="FooterChar">
    <w:name w:val="Footer Char"/>
    <w:link w:val="Footer"/>
    <w:rsid w:val="001E4121"/>
    <w:rPr>
      <w:rFonts w:ascii="Arial" w:hAnsi="Arial" w:cs="Arial"/>
    </w:rPr>
  </w:style>
  <w:style w:type="paragraph" w:styleId="NoteHeading">
    <w:name w:val="Note Heading"/>
    <w:basedOn w:val="Normal"/>
    <w:next w:val="Normal"/>
    <w:link w:val="NoteHeadingChar"/>
    <w:rsid w:val="001E4121"/>
  </w:style>
  <w:style w:type="character" w:customStyle="1" w:styleId="NoteHeadingChar">
    <w:name w:val="Note Heading Char"/>
    <w:link w:val="NoteHeading"/>
    <w:rsid w:val="001E4121"/>
    <w:rPr>
      <w:rFonts w:ascii="Arial" w:hAnsi="Arial" w:cs="Arial"/>
    </w:rPr>
  </w:style>
  <w:style w:type="paragraph" w:customStyle="1" w:styleId="BlankPage">
    <w:name w:val="Blank Page"/>
    <w:basedOn w:val="NoteHeading"/>
    <w:rsid w:val="001E4121"/>
    <w:pPr>
      <w:keepNext/>
      <w:tabs>
        <w:tab w:val="clear" w:pos="5046"/>
        <w:tab w:val="num" w:pos="425"/>
        <w:tab w:val="left" w:pos="1440"/>
        <w:tab w:val="left" w:pos="1620"/>
        <w:tab w:val="left" w:pos="2160"/>
        <w:tab w:val="left" w:pos="2880"/>
        <w:tab w:val="left" w:pos="3402"/>
        <w:tab w:val="left" w:pos="3600"/>
        <w:tab w:val="left" w:pos="4320"/>
        <w:tab w:val="left" w:pos="5040"/>
        <w:tab w:val="left" w:pos="5760"/>
        <w:tab w:val="left" w:pos="6480"/>
        <w:tab w:val="left" w:pos="6804"/>
        <w:tab w:val="left" w:pos="7200"/>
        <w:tab w:val="left" w:pos="7920"/>
        <w:tab w:val="left" w:pos="8640"/>
      </w:tabs>
      <w:ind w:left="432" w:hanging="432"/>
      <w:jc w:val="center"/>
    </w:pPr>
    <w:rPr>
      <w:rFonts w:ascii="BellGothic BT" w:hAnsi="BellGothic BT"/>
      <w:b/>
      <w:caps/>
      <w:color w:val="808080"/>
      <w:sz w:val="32"/>
    </w:rPr>
  </w:style>
  <w:style w:type="character" w:customStyle="1" w:styleId="BodyTextBoxChar">
    <w:name w:val="Body Text Box Char"/>
    <w:link w:val="BodyTextBox"/>
    <w:locked/>
    <w:rsid w:val="001E4121"/>
    <w:rPr>
      <w:rFonts w:ascii="Arial" w:hAnsi="Arial" w:cs="Arial"/>
      <w:color w:val="0A7CB9"/>
      <w:sz w:val="23"/>
      <w:szCs w:val="19"/>
      <w:lang w:eastAsia="en-US"/>
    </w:rPr>
  </w:style>
  <w:style w:type="character" w:styleId="BookTitle">
    <w:name w:val="Book Title"/>
    <w:uiPriority w:val="33"/>
    <w:qFormat/>
    <w:rsid w:val="001E4121"/>
    <w:rPr>
      <w:b/>
      <w:bCs/>
      <w:smallCaps/>
      <w:spacing w:val="5"/>
    </w:rPr>
  </w:style>
  <w:style w:type="character" w:customStyle="1" w:styleId="BoxHeadingChar">
    <w:name w:val="Box Heading Char"/>
    <w:link w:val="BoxHeading"/>
    <w:rsid w:val="001E4121"/>
    <w:rPr>
      <w:rFonts w:ascii="Arial" w:hAnsi="Arial"/>
      <w:b/>
      <w:bCs/>
      <w:sz w:val="23"/>
      <w:szCs w:val="23"/>
      <w:lang w:val="en-US" w:eastAsia="en-US"/>
    </w:rPr>
  </w:style>
  <w:style w:type="paragraph" w:customStyle="1" w:styleId="Bullet-1stlevel">
    <w:name w:val="Bullet - 1st level"/>
    <w:basedOn w:val="Normal"/>
    <w:qFormat/>
    <w:rsid w:val="001E4121"/>
    <w:pPr>
      <w:spacing w:before="60" w:after="60"/>
    </w:pPr>
    <w:rPr>
      <w:szCs w:val="18"/>
      <w:lang w:bidi="en-US"/>
    </w:rPr>
  </w:style>
  <w:style w:type="paragraph" w:customStyle="1" w:styleId="Bullet1stlevel">
    <w:name w:val="Bullet – 1st level"/>
    <w:qFormat/>
    <w:rsid w:val="001E4121"/>
    <w:pPr>
      <w:spacing w:before="60" w:after="60"/>
      <w:ind w:left="1080" w:hanging="360"/>
    </w:pPr>
    <w:rPr>
      <w:rFonts w:ascii="Arial" w:hAnsi="Arial"/>
      <w:szCs w:val="22"/>
      <w:lang w:eastAsia="en-US" w:bidi="en-US"/>
    </w:rPr>
  </w:style>
  <w:style w:type="paragraph" w:customStyle="1" w:styleId="Bullet-2ndlevel">
    <w:name w:val="Bullet - 2nd level"/>
    <w:basedOn w:val="Normal"/>
    <w:qFormat/>
    <w:rsid w:val="001E4121"/>
    <w:pPr>
      <w:numPr>
        <w:ilvl w:val="1"/>
        <w:numId w:val="3"/>
      </w:numPr>
      <w:tabs>
        <w:tab w:val="left" w:pos="1134"/>
      </w:tabs>
      <w:spacing w:before="60" w:after="60"/>
    </w:pPr>
    <w:rPr>
      <w:szCs w:val="18"/>
      <w:lang w:bidi="en-US"/>
    </w:rPr>
  </w:style>
  <w:style w:type="paragraph" w:customStyle="1" w:styleId="Bullet2ndlevel">
    <w:name w:val="Bullet – 2nd level"/>
    <w:basedOn w:val="Normal"/>
    <w:qFormat/>
    <w:rsid w:val="001E4121"/>
    <w:pPr>
      <w:numPr>
        <w:ilvl w:val="1"/>
        <w:numId w:val="4"/>
      </w:numPr>
      <w:tabs>
        <w:tab w:val="left" w:pos="1134"/>
      </w:tabs>
      <w:spacing w:before="60" w:after="60"/>
    </w:pPr>
    <w:rPr>
      <w:szCs w:val="22"/>
      <w:lang w:bidi="en-US"/>
    </w:rPr>
  </w:style>
  <w:style w:type="paragraph" w:customStyle="1" w:styleId="BulletPointStyle">
    <w:name w:val="Bullet Point Style"/>
    <w:basedOn w:val="BodyText"/>
    <w:link w:val="BulletPointStyleChar"/>
    <w:qFormat/>
    <w:rsid w:val="001E4121"/>
    <w:pPr>
      <w:numPr>
        <w:numId w:val="9"/>
      </w:numPr>
      <w:spacing w:after="80"/>
    </w:pPr>
    <w:rPr>
      <w:rFonts w:ascii="Garamond" w:hAnsi="Garamond"/>
      <w:lang w:eastAsia="x-none"/>
    </w:rPr>
  </w:style>
  <w:style w:type="character" w:customStyle="1" w:styleId="BulletPointStyleChar">
    <w:name w:val="Bullet Point Style Char"/>
    <w:link w:val="BulletPointStyle"/>
    <w:rsid w:val="001E4121"/>
    <w:rPr>
      <w:rFonts w:ascii="Garamond" w:eastAsiaTheme="minorHAnsi" w:hAnsi="Garamond" w:cs="Arial"/>
      <w:sz w:val="23"/>
      <w:lang w:eastAsia="x-none"/>
    </w:rPr>
  </w:style>
  <w:style w:type="numbering" w:customStyle="1" w:styleId="BulletPoints">
    <w:name w:val="Bullet Points"/>
    <w:uiPriority w:val="99"/>
    <w:rsid w:val="001E4121"/>
    <w:pPr>
      <w:numPr>
        <w:numId w:val="9"/>
      </w:numPr>
    </w:pPr>
  </w:style>
  <w:style w:type="paragraph" w:styleId="Caption">
    <w:name w:val="caption"/>
    <w:basedOn w:val="Normal"/>
    <w:next w:val="Normal"/>
    <w:qFormat/>
    <w:rsid w:val="001E4121"/>
    <w:pPr>
      <w:spacing w:before="120" w:after="120"/>
    </w:pPr>
    <w:rPr>
      <w:b/>
    </w:rPr>
  </w:style>
  <w:style w:type="paragraph" w:customStyle="1" w:styleId="Table1X">
    <w:name w:val="Table 1.X"/>
    <w:basedOn w:val="Normal"/>
    <w:rsid w:val="001E4121"/>
    <w:pPr>
      <w:tabs>
        <w:tab w:val="clear" w:pos="4196"/>
        <w:tab w:val="clear" w:pos="5046"/>
        <w:tab w:val="clear" w:pos="5897"/>
        <w:tab w:val="clear" w:pos="6747"/>
        <w:tab w:val="clear" w:pos="7598"/>
        <w:tab w:val="left" w:pos="1232"/>
      </w:tabs>
      <w:autoSpaceDE/>
      <w:autoSpaceDN/>
      <w:spacing w:before="360" w:after="120"/>
    </w:pPr>
    <w:rPr>
      <w:rFonts w:ascii="Lucida Sans" w:hAnsi="Lucida Sans" w:cs="Times New Roman"/>
      <w:bCs/>
      <w:kern w:val="28"/>
      <w:sz w:val="22"/>
      <w:szCs w:val="22"/>
      <w:lang w:val="en-US" w:eastAsia="en-US"/>
    </w:rPr>
  </w:style>
  <w:style w:type="paragraph" w:customStyle="1" w:styleId="Chart2X">
    <w:name w:val="Chart 2.X"/>
    <w:basedOn w:val="Normal"/>
    <w:rsid w:val="001E4121"/>
    <w:pPr>
      <w:numPr>
        <w:numId w:val="12"/>
      </w:numPr>
      <w:tabs>
        <w:tab w:val="clear" w:pos="4196"/>
        <w:tab w:val="clear" w:pos="5046"/>
        <w:tab w:val="clear" w:pos="5897"/>
        <w:tab w:val="clear" w:pos="6747"/>
        <w:tab w:val="clear" w:pos="7598"/>
        <w:tab w:val="left" w:pos="1134"/>
      </w:tabs>
      <w:autoSpaceDE/>
      <w:autoSpaceDN/>
      <w:spacing w:before="240" w:after="120"/>
    </w:pPr>
    <w:rPr>
      <w:rFonts w:cs="Times New Roman"/>
      <w:bCs/>
      <w:i/>
      <w:color w:val="57514D"/>
      <w:kern w:val="28"/>
      <w:sz w:val="22"/>
      <w:szCs w:val="22"/>
      <w:lang w:val="en-US" w:eastAsia="en-US"/>
    </w:rPr>
  </w:style>
  <w:style w:type="paragraph" w:customStyle="1" w:styleId="Chart7X">
    <w:name w:val="Chart 7.X"/>
    <w:basedOn w:val="Normal"/>
    <w:rsid w:val="001E4121"/>
    <w:pPr>
      <w:numPr>
        <w:numId w:val="14"/>
      </w:numPr>
      <w:tabs>
        <w:tab w:val="clear" w:pos="4196"/>
        <w:tab w:val="clear" w:pos="5046"/>
        <w:tab w:val="clear" w:pos="5897"/>
        <w:tab w:val="clear" w:pos="6747"/>
        <w:tab w:val="clear" w:pos="7598"/>
        <w:tab w:val="left" w:pos="1134"/>
      </w:tabs>
      <w:autoSpaceDE/>
      <w:autoSpaceDN/>
      <w:spacing w:before="240" w:after="120"/>
    </w:pPr>
    <w:rPr>
      <w:rFonts w:cs="Times New Roman"/>
      <w:bCs/>
      <w:i/>
      <w:color w:val="57514D"/>
      <w:kern w:val="28"/>
      <w:sz w:val="22"/>
      <w:szCs w:val="22"/>
      <w:lang w:val="en-US" w:eastAsia="en-US"/>
    </w:rPr>
  </w:style>
  <w:style w:type="paragraph" w:customStyle="1" w:styleId="Chart9X">
    <w:name w:val="Chart 9.X"/>
    <w:basedOn w:val="Normal"/>
    <w:rsid w:val="001E4121"/>
    <w:pPr>
      <w:numPr>
        <w:numId w:val="17"/>
      </w:numPr>
      <w:tabs>
        <w:tab w:val="clear" w:pos="4196"/>
        <w:tab w:val="clear" w:pos="5046"/>
        <w:tab w:val="clear" w:pos="5897"/>
        <w:tab w:val="clear" w:pos="6747"/>
        <w:tab w:val="clear" w:pos="7598"/>
        <w:tab w:val="left" w:pos="1134"/>
      </w:tabs>
      <w:autoSpaceDE/>
      <w:autoSpaceDN/>
      <w:spacing w:before="240" w:after="120"/>
    </w:pPr>
    <w:rPr>
      <w:rFonts w:cs="Times New Roman"/>
      <w:bCs/>
      <w:i/>
      <w:color w:val="57514D"/>
      <w:kern w:val="28"/>
      <w:sz w:val="22"/>
      <w:szCs w:val="22"/>
      <w:lang w:val="en-US" w:eastAsia="en-US"/>
    </w:rPr>
  </w:style>
  <w:style w:type="paragraph" w:customStyle="1" w:styleId="ChartB4X">
    <w:name w:val="Chart B4.X"/>
    <w:basedOn w:val="Normal"/>
    <w:rsid w:val="001E4121"/>
    <w:pPr>
      <w:numPr>
        <w:numId w:val="18"/>
      </w:numPr>
      <w:spacing w:before="360" w:after="120"/>
    </w:pPr>
    <w:rPr>
      <w:b/>
      <w:bCs/>
      <w:kern w:val="28"/>
      <w:sz w:val="22"/>
      <w:szCs w:val="22"/>
    </w:rPr>
  </w:style>
  <w:style w:type="paragraph" w:customStyle="1" w:styleId="Chartpara">
    <w:name w:val="Chart para"/>
    <w:basedOn w:val="Normal"/>
    <w:semiHidden/>
    <w:rsid w:val="001E4121"/>
    <w:rPr>
      <w:rFonts w:ascii="Garamond" w:hAnsi="Garamond"/>
      <w:sz w:val="22"/>
    </w:rPr>
  </w:style>
  <w:style w:type="paragraph" w:customStyle="1" w:styleId="Chartx">
    <w:name w:val="Chart x"/>
    <w:basedOn w:val="Normal"/>
    <w:rsid w:val="001E4121"/>
    <w:pPr>
      <w:keepLines/>
      <w:numPr>
        <w:numId w:val="19"/>
      </w:numPr>
      <w:tabs>
        <w:tab w:val="left" w:pos="1134"/>
      </w:tabs>
      <w:spacing w:before="120" w:after="120"/>
    </w:pPr>
    <w:rPr>
      <w:i/>
      <w:color w:val="57514D"/>
    </w:rPr>
  </w:style>
  <w:style w:type="character" w:styleId="Emphasis">
    <w:name w:val="Emphasis"/>
    <w:qFormat/>
    <w:rsid w:val="001E4121"/>
    <w:rPr>
      <w:i/>
      <w:iCs/>
    </w:rPr>
  </w:style>
  <w:style w:type="paragraph" w:styleId="EndnoteText">
    <w:name w:val="endnote text"/>
    <w:basedOn w:val="Normal"/>
    <w:link w:val="EndnoteTextChar"/>
    <w:rsid w:val="001E4121"/>
  </w:style>
  <w:style w:type="character" w:customStyle="1" w:styleId="EndnoteTextChar">
    <w:name w:val="Endnote Text Char"/>
    <w:link w:val="EndnoteText"/>
    <w:rsid w:val="001E4121"/>
    <w:rPr>
      <w:rFonts w:ascii="Arial" w:hAnsi="Arial" w:cs="Arial"/>
    </w:rPr>
  </w:style>
  <w:style w:type="character" w:styleId="FollowedHyperlink">
    <w:name w:val="FollowedHyperlink"/>
    <w:rsid w:val="001E4121"/>
    <w:rPr>
      <w:color w:val="800080"/>
      <w:u w:val="single"/>
    </w:rPr>
  </w:style>
  <w:style w:type="character" w:customStyle="1" w:styleId="FootnoteTextChar">
    <w:name w:val="Footnote Text Char"/>
    <w:link w:val="FootnoteText"/>
    <w:uiPriority w:val="99"/>
    <w:rsid w:val="001E4121"/>
    <w:rPr>
      <w:rFonts w:ascii="Arial" w:hAnsi="Arial" w:cs="Arial"/>
    </w:rPr>
  </w:style>
  <w:style w:type="paragraph" w:customStyle="1" w:styleId="Graph1X">
    <w:name w:val="Graph 1.X"/>
    <w:basedOn w:val="Table1X"/>
    <w:qFormat/>
    <w:rsid w:val="001E4121"/>
    <w:pPr>
      <w:numPr>
        <w:numId w:val="21"/>
      </w:numPr>
    </w:pPr>
  </w:style>
  <w:style w:type="character" w:customStyle="1" w:styleId="HeaderChar">
    <w:name w:val="Header Char"/>
    <w:link w:val="Header"/>
    <w:rsid w:val="001E4121"/>
    <w:rPr>
      <w:rFonts w:ascii="Arial" w:hAnsi="Arial" w:cs="Arial"/>
    </w:rPr>
  </w:style>
  <w:style w:type="paragraph" w:customStyle="1" w:styleId="Heading-Centred">
    <w:name w:val="Heading - Centred"/>
    <w:qFormat/>
    <w:rsid w:val="001E4121"/>
    <w:pPr>
      <w:contextualSpacing/>
      <w:jc w:val="center"/>
    </w:pPr>
    <w:rPr>
      <w:rFonts w:ascii="Arial" w:hAnsi="Arial"/>
      <w:b/>
      <w:bCs/>
      <w:sz w:val="24"/>
      <w:szCs w:val="28"/>
      <w:lang w:eastAsia="en-US" w:bidi="en-US"/>
    </w:rPr>
  </w:style>
  <w:style w:type="paragraph" w:customStyle="1" w:styleId="Heading-Centredsmall">
    <w:name w:val="Heading - Centred (small)"/>
    <w:qFormat/>
    <w:rsid w:val="001E4121"/>
    <w:pPr>
      <w:jc w:val="center"/>
    </w:pPr>
    <w:rPr>
      <w:rFonts w:ascii="Arial" w:hAnsi="Arial"/>
      <w:b/>
      <w:bCs/>
      <w:szCs w:val="28"/>
      <w:lang w:eastAsia="en-US" w:bidi="en-US"/>
    </w:rPr>
  </w:style>
  <w:style w:type="character" w:customStyle="1" w:styleId="Heading1Char">
    <w:name w:val="Heading 1 Char"/>
    <w:link w:val="Heading1"/>
    <w:rsid w:val="001E4121"/>
    <w:rPr>
      <w:rFonts w:ascii="Arial" w:hAnsi="Arial"/>
      <w:bCs/>
      <w:caps/>
      <w:color w:val="1D3278"/>
      <w:sz w:val="40"/>
      <w:szCs w:val="28"/>
    </w:rPr>
  </w:style>
  <w:style w:type="character" w:customStyle="1" w:styleId="Heading4Char">
    <w:name w:val="Heading 4 Char"/>
    <w:link w:val="Heading4"/>
    <w:rsid w:val="001E4121"/>
    <w:rPr>
      <w:rFonts w:ascii="Arial" w:eastAsia="Arial Unicode MS" w:hAnsi="Arial"/>
      <w:b/>
      <w:kern w:val="28"/>
      <w:sz w:val="24"/>
      <w:szCs w:val="36"/>
      <w:lang w:eastAsia="en-US"/>
    </w:rPr>
  </w:style>
  <w:style w:type="character" w:customStyle="1" w:styleId="Heading5Char">
    <w:name w:val="Heading 5 Char"/>
    <w:link w:val="Heading5"/>
    <w:uiPriority w:val="9"/>
    <w:rsid w:val="001E4121"/>
    <w:rPr>
      <w:rFonts w:ascii="Arial" w:hAnsi="Arial"/>
      <w:b/>
      <w:sz w:val="22"/>
    </w:rPr>
  </w:style>
  <w:style w:type="character" w:customStyle="1" w:styleId="Heading6Char">
    <w:name w:val="Heading 6 Char"/>
    <w:link w:val="Heading6"/>
    <w:rsid w:val="001E4121"/>
    <w:rPr>
      <w:rFonts w:ascii="Arial" w:hAnsi="Arial"/>
      <w:bCs/>
      <w:caps/>
      <w:color w:val="1D3278"/>
      <w:szCs w:val="28"/>
    </w:rPr>
  </w:style>
  <w:style w:type="character" w:customStyle="1" w:styleId="Heading7Char">
    <w:name w:val="Heading 7 Char"/>
    <w:link w:val="Heading7"/>
    <w:rsid w:val="001E4121"/>
    <w:rPr>
      <w:rFonts w:ascii="Arial" w:hAnsi="Arial"/>
      <w:b/>
      <w:i/>
      <w:sz w:val="23"/>
    </w:rPr>
  </w:style>
  <w:style w:type="character" w:customStyle="1" w:styleId="Heading8Char">
    <w:name w:val="Heading 8 Char"/>
    <w:link w:val="Heading8"/>
    <w:rsid w:val="001E4121"/>
    <w:rPr>
      <w:rFonts w:ascii="Arial" w:hAnsi="Arial"/>
      <w:b/>
      <w:sz w:val="23"/>
    </w:rPr>
  </w:style>
  <w:style w:type="character" w:customStyle="1" w:styleId="Heading9Char">
    <w:name w:val="Heading 9 Char"/>
    <w:link w:val="Heading9"/>
    <w:rsid w:val="001E4121"/>
    <w:rPr>
      <w:rFonts w:ascii="Arial" w:hAnsi="Arial"/>
      <w:b/>
      <w:i/>
      <w:sz w:val="23"/>
    </w:rPr>
  </w:style>
  <w:style w:type="character" w:styleId="Hyperlink">
    <w:name w:val="Hyperlink"/>
    <w:uiPriority w:val="99"/>
    <w:unhideWhenUsed/>
    <w:rsid w:val="001E4121"/>
    <w:rPr>
      <w:color w:val="0000FF"/>
      <w:u w:val="single"/>
    </w:rPr>
  </w:style>
  <w:style w:type="character" w:styleId="IntenseEmphasis">
    <w:name w:val="Intense Emphasis"/>
    <w:uiPriority w:val="21"/>
    <w:qFormat/>
    <w:rsid w:val="001E4121"/>
    <w:rPr>
      <w:b/>
      <w:bCs/>
      <w:i/>
      <w:iCs/>
      <w:color w:val="4F81BD"/>
    </w:rPr>
  </w:style>
  <w:style w:type="paragraph" w:styleId="IntenseQuote">
    <w:name w:val="Intense Quote"/>
    <w:basedOn w:val="Normal"/>
    <w:next w:val="Normal"/>
    <w:link w:val="IntenseQuoteChar"/>
    <w:uiPriority w:val="30"/>
    <w:qFormat/>
    <w:rsid w:val="001E4121"/>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1E4121"/>
    <w:rPr>
      <w:rFonts w:ascii="Arial" w:hAnsi="Arial" w:cs="Arial"/>
      <w:b/>
      <w:bCs/>
      <w:i/>
      <w:iCs/>
      <w:color w:val="4F81BD"/>
    </w:rPr>
  </w:style>
  <w:style w:type="character" w:styleId="IntenseReference">
    <w:name w:val="Intense Reference"/>
    <w:uiPriority w:val="32"/>
    <w:qFormat/>
    <w:rsid w:val="001E4121"/>
    <w:rPr>
      <w:b/>
      <w:bCs/>
      <w:smallCaps/>
      <w:color w:val="C0504D"/>
      <w:spacing w:val="5"/>
      <w:u w:val="single"/>
    </w:rPr>
  </w:style>
  <w:style w:type="paragraph" w:styleId="ListParagraph">
    <w:name w:val="List Paragraph"/>
    <w:basedOn w:val="Normal"/>
    <w:link w:val="ListParagraphChar"/>
    <w:uiPriority w:val="34"/>
    <w:qFormat/>
    <w:rsid w:val="001E4121"/>
    <w:pPr>
      <w:ind w:left="720"/>
      <w:contextualSpacing/>
    </w:pPr>
  </w:style>
  <w:style w:type="character" w:customStyle="1" w:styleId="ListParagraphChar">
    <w:name w:val="List Paragraph Char"/>
    <w:link w:val="ListParagraph"/>
    <w:uiPriority w:val="34"/>
    <w:locked/>
    <w:rsid w:val="001E4121"/>
    <w:rPr>
      <w:rFonts w:ascii="Arial" w:hAnsi="Arial" w:cs="Arial"/>
    </w:rPr>
  </w:style>
  <w:style w:type="paragraph" w:customStyle="1" w:styleId="Marginalnote">
    <w:name w:val="Marginal note"/>
    <w:basedOn w:val="BodyText"/>
    <w:link w:val="MarginalnoteChar"/>
    <w:semiHidden/>
    <w:rsid w:val="001E4121"/>
    <w:pPr>
      <w:spacing w:after="240" w:line="240" w:lineRule="auto"/>
    </w:pPr>
    <w:rPr>
      <w:color w:val="000000"/>
      <w:sz w:val="19"/>
      <w:szCs w:val="22"/>
      <w:lang w:eastAsia="en-AU"/>
    </w:rPr>
  </w:style>
  <w:style w:type="character" w:customStyle="1" w:styleId="MarginalnoteChar">
    <w:name w:val="Marginal note Char"/>
    <w:link w:val="Marginalnote"/>
    <w:semiHidden/>
    <w:rsid w:val="001E4121"/>
    <w:rPr>
      <w:rFonts w:ascii="Arial" w:hAnsi="Arial"/>
      <w:color w:val="000000"/>
      <w:sz w:val="19"/>
      <w:szCs w:val="22"/>
    </w:rPr>
  </w:style>
  <w:style w:type="paragraph" w:styleId="NoSpacing">
    <w:name w:val="No Spacing"/>
    <w:basedOn w:val="Normal"/>
    <w:link w:val="NoSpacingChar"/>
    <w:qFormat/>
    <w:rsid w:val="001E4121"/>
  </w:style>
  <w:style w:type="character" w:customStyle="1" w:styleId="NoSpacingChar">
    <w:name w:val="No Spacing Char"/>
    <w:link w:val="NoSpacing"/>
    <w:rsid w:val="001E4121"/>
    <w:rPr>
      <w:rFonts w:ascii="Arial" w:hAnsi="Arial" w:cs="Arial"/>
    </w:rPr>
  </w:style>
  <w:style w:type="paragraph" w:styleId="NormalWeb">
    <w:name w:val="Normal (Web)"/>
    <w:basedOn w:val="Normal"/>
    <w:uiPriority w:val="99"/>
    <w:rsid w:val="001E4121"/>
    <w:pPr>
      <w:numPr>
        <w:numId w:val="26"/>
      </w:numPr>
    </w:pPr>
    <w:rPr>
      <w:rFonts w:ascii=".." w:hAnsi=".."/>
    </w:rPr>
  </w:style>
  <w:style w:type="paragraph" w:styleId="Quote">
    <w:name w:val="Quote"/>
    <w:basedOn w:val="Normal"/>
    <w:next w:val="Normal"/>
    <w:link w:val="QuoteChar"/>
    <w:uiPriority w:val="29"/>
    <w:qFormat/>
    <w:rsid w:val="001E4121"/>
    <w:rPr>
      <w:i/>
      <w:iCs/>
      <w:color w:val="000000"/>
    </w:rPr>
  </w:style>
  <w:style w:type="character" w:customStyle="1" w:styleId="QuoteChar">
    <w:name w:val="Quote Char"/>
    <w:link w:val="Quote"/>
    <w:uiPriority w:val="29"/>
    <w:rsid w:val="001E4121"/>
    <w:rPr>
      <w:rFonts w:ascii="Arial" w:hAnsi="Arial" w:cs="Arial"/>
      <w:i/>
      <w:iCs/>
      <w:color w:val="000000"/>
    </w:rPr>
  </w:style>
  <w:style w:type="character" w:styleId="Strong">
    <w:name w:val="Strong"/>
    <w:qFormat/>
    <w:rsid w:val="001E4121"/>
    <w:rPr>
      <w:b/>
      <w:bCs/>
    </w:rPr>
  </w:style>
  <w:style w:type="paragraph" w:customStyle="1" w:styleId="StyleChapterHeadingLucidaSans19ptNotBoldNotAllcaps">
    <w:name w:val="Style Chapter Heading + Lucida Sans 19 pt Not Bold Not All caps..."/>
    <w:basedOn w:val="Normal"/>
    <w:rsid w:val="001E4121"/>
    <w:pPr>
      <w:keepNext/>
      <w:keepLines/>
      <w:pageBreakBefore/>
      <w:pBdr>
        <w:bottom w:val="single" w:sz="6" w:space="1" w:color="808080"/>
      </w:pBdr>
      <w:tabs>
        <w:tab w:val="left" w:pos="2268"/>
      </w:tabs>
      <w:spacing w:after="480"/>
      <w:outlineLvl w:val="0"/>
    </w:pPr>
    <w:rPr>
      <w:rFonts w:ascii="Lucida Sans" w:hAnsi="Lucida Sans"/>
      <w:kern w:val="28"/>
      <w:sz w:val="38"/>
    </w:rPr>
  </w:style>
  <w:style w:type="numbering" w:customStyle="1" w:styleId="Style1">
    <w:name w:val="Style1"/>
    <w:uiPriority w:val="99"/>
    <w:rsid w:val="001E4121"/>
    <w:pPr>
      <w:numPr>
        <w:numId w:val="27"/>
      </w:numPr>
    </w:pPr>
  </w:style>
  <w:style w:type="paragraph" w:styleId="Subtitle">
    <w:name w:val="Subtitle"/>
    <w:basedOn w:val="Normal"/>
    <w:link w:val="SubtitleChar"/>
    <w:qFormat/>
    <w:rsid w:val="001E4121"/>
    <w:pPr>
      <w:spacing w:after="60"/>
      <w:jc w:val="center"/>
      <w:outlineLvl w:val="1"/>
    </w:pPr>
    <w:rPr>
      <w:sz w:val="24"/>
    </w:rPr>
  </w:style>
  <w:style w:type="character" w:customStyle="1" w:styleId="SubtitleChar">
    <w:name w:val="Subtitle Char"/>
    <w:link w:val="Subtitle"/>
    <w:rsid w:val="001E4121"/>
    <w:rPr>
      <w:rFonts w:ascii="Arial" w:hAnsi="Arial" w:cs="Arial"/>
      <w:sz w:val="24"/>
    </w:rPr>
  </w:style>
  <w:style w:type="character" w:styleId="SubtleEmphasis">
    <w:name w:val="Subtle Emphasis"/>
    <w:uiPriority w:val="19"/>
    <w:qFormat/>
    <w:rsid w:val="001E4121"/>
    <w:rPr>
      <w:i/>
      <w:iCs/>
      <w:color w:val="808080"/>
    </w:rPr>
  </w:style>
  <w:style w:type="character" w:styleId="SubtleReference">
    <w:name w:val="Subtle Reference"/>
    <w:uiPriority w:val="31"/>
    <w:qFormat/>
    <w:rsid w:val="001E4121"/>
    <w:rPr>
      <w:smallCaps/>
      <w:color w:val="C0504D"/>
      <w:u w:val="single"/>
    </w:rPr>
  </w:style>
  <w:style w:type="paragraph" w:customStyle="1" w:styleId="Table2X">
    <w:name w:val="Table 2.X"/>
    <w:basedOn w:val="Normal"/>
    <w:qFormat/>
    <w:rsid w:val="001E4121"/>
    <w:pPr>
      <w:tabs>
        <w:tab w:val="clear" w:pos="4196"/>
        <w:tab w:val="clear" w:pos="5046"/>
        <w:tab w:val="clear" w:pos="5897"/>
        <w:tab w:val="clear" w:pos="6747"/>
        <w:tab w:val="clear" w:pos="7598"/>
        <w:tab w:val="left" w:pos="1134"/>
      </w:tabs>
      <w:autoSpaceDE/>
      <w:autoSpaceDN/>
      <w:spacing w:before="360" w:after="120"/>
    </w:pPr>
    <w:rPr>
      <w:rFonts w:cs="Times New Roman"/>
      <w:bCs/>
      <w:i/>
      <w:color w:val="57514D"/>
      <w:kern w:val="28"/>
      <w:sz w:val="22"/>
      <w:szCs w:val="22"/>
      <w:lang w:val="en-US" w:eastAsia="en-US"/>
    </w:rPr>
  </w:style>
  <w:style w:type="paragraph" w:customStyle="1" w:styleId="Table3x">
    <w:name w:val="Table 3.x"/>
    <w:basedOn w:val="Normal"/>
    <w:qFormat/>
    <w:rsid w:val="001E4121"/>
    <w:pPr>
      <w:numPr>
        <w:numId w:val="28"/>
      </w:numPr>
      <w:tabs>
        <w:tab w:val="clear" w:pos="4196"/>
        <w:tab w:val="clear" w:pos="5046"/>
        <w:tab w:val="clear" w:pos="5897"/>
        <w:tab w:val="clear" w:pos="6747"/>
        <w:tab w:val="clear" w:pos="7598"/>
        <w:tab w:val="left" w:pos="1134"/>
      </w:tabs>
      <w:autoSpaceDE/>
      <w:autoSpaceDN/>
      <w:spacing w:before="360" w:after="120"/>
    </w:pPr>
    <w:rPr>
      <w:rFonts w:cs="Times New Roman"/>
      <w:bCs/>
      <w:i/>
      <w:color w:val="57514D"/>
      <w:kern w:val="28"/>
      <w:sz w:val="22"/>
      <w:szCs w:val="22"/>
      <w:lang w:val="en-US" w:eastAsia="en-US"/>
    </w:rPr>
  </w:style>
  <w:style w:type="paragraph" w:customStyle="1" w:styleId="Table5">
    <w:name w:val="Table 5"/>
    <w:basedOn w:val="Normal"/>
    <w:qFormat/>
    <w:rsid w:val="001E4121"/>
    <w:pPr>
      <w:numPr>
        <w:numId w:val="30"/>
      </w:numPr>
      <w:tabs>
        <w:tab w:val="clear" w:pos="4196"/>
        <w:tab w:val="clear" w:pos="5046"/>
        <w:tab w:val="clear" w:pos="5897"/>
        <w:tab w:val="clear" w:pos="6747"/>
        <w:tab w:val="clear" w:pos="7598"/>
        <w:tab w:val="left" w:pos="1134"/>
        <w:tab w:val="left" w:pos="1418"/>
      </w:tabs>
      <w:autoSpaceDE/>
      <w:autoSpaceDN/>
      <w:spacing w:before="240" w:after="120"/>
    </w:pPr>
    <w:rPr>
      <w:rFonts w:cs="Times New Roman"/>
      <w:bCs/>
      <w:i/>
      <w:color w:val="57514D"/>
      <w:kern w:val="28"/>
      <w:szCs w:val="22"/>
      <w:lang w:val="en-US" w:eastAsia="en-US"/>
    </w:rPr>
  </w:style>
  <w:style w:type="paragraph" w:customStyle="1" w:styleId="Table5X">
    <w:name w:val="Table 5.X"/>
    <w:basedOn w:val="Normal"/>
    <w:rsid w:val="001E4121"/>
    <w:pPr>
      <w:tabs>
        <w:tab w:val="clear" w:pos="4196"/>
        <w:tab w:val="clear" w:pos="5046"/>
        <w:tab w:val="clear" w:pos="5897"/>
        <w:tab w:val="clear" w:pos="6747"/>
        <w:tab w:val="clear" w:pos="7598"/>
        <w:tab w:val="left" w:pos="1232"/>
      </w:tabs>
      <w:autoSpaceDE/>
      <w:autoSpaceDN/>
      <w:spacing w:before="360" w:after="120"/>
      <w:ind w:left="1627" w:hanging="360"/>
    </w:pPr>
    <w:rPr>
      <w:rFonts w:ascii="Lucida Sans" w:hAnsi="Lucida Sans" w:cs="Times New Roman"/>
      <w:bCs/>
      <w:kern w:val="28"/>
      <w:sz w:val="22"/>
      <w:szCs w:val="22"/>
      <w:lang w:val="en-US" w:eastAsia="en-US"/>
    </w:rPr>
  </w:style>
  <w:style w:type="paragraph" w:customStyle="1" w:styleId="Table6x">
    <w:name w:val="Table 6.x"/>
    <w:basedOn w:val="Normal"/>
    <w:qFormat/>
    <w:rsid w:val="001E4121"/>
    <w:pPr>
      <w:tabs>
        <w:tab w:val="clear" w:pos="4196"/>
        <w:tab w:val="clear" w:pos="5046"/>
        <w:tab w:val="clear" w:pos="5897"/>
        <w:tab w:val="clear" w:pos="6747"/>
        <w:tab w:val="clear" w:pos="7598"/>
        <w:tab w:val="left" w:pos="1134"/>
      </w:tabs>
      <w:autoSpaceDE/>
      <w:autoSpaceDN/>
      <w:spacing w:before="360" w:after="120"/>
    </w:pPr>
    <w:rPr>
      <w:rFonts w:cs="Times New Roman"/>
      <w:bCs/>
      <w:i/>
      <w:color w:val="57514D"/>
      <w:kern w:val="28"/>
      <w:szCs w:val="22"/>
      <w:lang w:val="en-US" w:eastAsia="en-US"/>
    </w:rPr>
  </w:style>
  <w:style w:type="paragraph" w:styleId="Title">
    <w:name w:val="Title"/>
    <w:basedOn w:val="Normal"/>
    <w:link w:val="TitleChar"/>
    <w:qFormat/>
    <w:rsid w:val="001E4121"/>
    <w:pPr>
      <w:spacing w:before="240" w:after="60"/>
      <w:jc w:val="center"/>
      <w:outlineLvl w:val="0"/>
    </w:pPr>
    <w:rPr>
      <w:b/>
      <w:kern w:val="28"/>
      <w:sz w:val="32"/>
    </w:rPr>
  </w:style>
  <w:style w:type="character" w:customStyle="1" w:styleId="TitleChar">
    <w:name w:val="Title Char"/>
    <w:link w:val="Title"/>
    <w:rsid w:val="001E4121"/>
    <w:rPr>
      <w:rFonts w:ascii="Arial" w:hAnsi="Arial" w:cs="Arial"/>
      <w:b/>
      <w:kern w:val="28"/>
      <w:sz w:val="32"/>
    </w:rPr>
  </w:style>
  <w:style w:type="paragraph" w:customStyle="1" w:styleId="TitleinGreyBox">
    <w:name w:val="Title in Grey Box"/>
    <w:basedOn w:val="Normal"/>
    <w:qFormat/>
    <w:rsid w:val="001E4121"/>
    <w:pPr>
      <w:pBdr>
        <w:top w:val="single" w:sz="4" w:space="1" w:color="auto"/>
        <w:left w:val="single" w:sz="4" w:space="4" w:color="auto"/>
        <w:bottom w:val="single" w:sz="4" w:space="1" w:color="auto"/>
        <w:right w:val="single" w:sz="4" w:space="4" w:color="auto"/>
      </w:pBdr>
      <w:shd w:val="clear" w:color="auto" w:fill="D9D9D9"/>
      <w:spacing w:after="120"/>
    </w:pPr>
    <w:rPr>
      <w:rFonts w:ascii="Lucida Sans" w:eastAsia="Calibri" w:hAnsi="Lucida Sans"/>
      <w:b/>
      <w:sz w:val="24"/>
      <w:szCs w:val="24"/>
    </w:rPr>
  </w:style>
  <w:style w:type="paragraph" w:styleId="TOC1">
    <w:name w:val="toc 1"/>
    <w:basedOn w:val="Normal"/>
    <w:next w:val="Normal"/>
    <w:autoRedefine/>
    <w:uiPriority w:val="39"/>
    <w:rsid w:val="001E4121"/>
    <w:pPr>
      <w:tabs>
        <w:tab w:val="right" w:leader="dot" w:pos="8539"/>
        <w:tab w:val="right" w:pos="9475"/>
      </w:tabs>
      <w:spacing w:before="360" w:after="120"/>
      <w:ind w:left="561" w:right="567" w:hanging="561"/>
    </w:pPr>
    <w:rPr>
      <w:rFonts w:ascii="Lucida Sans" w:hAnsi="Lucida Sans"/>
      <w:b/>
      <w:noProof/>
      <w:color w:val="000000"/>
      <w:sz w:val="22"/>
      <w:szCs w:val="22"/>
    </w:rPr>
  </w:style>
  <w:style w:type="paragraph" w:styleId="TOC2">
    <w:name w:val="toc 2"/>
    <w:basedOn w:val="Normal"/>
    <w:next w:val="Normal"/>
    <w:autoRedefine/>
    <w:uiPriority w:val="39"/>
    <w:rsid w:val="001E4121"/>
    <w:pPr>
      <w:tabs>
        <w:tab w:val="left" w:leader="dot" w:pos="8539"/>
        <w:tab w:val="right" w:pos="9475"/>
      </w:tabs>
      <w:spacing w:after="120"/>
      <w:ind w:left="1123" w:right="567" w:hanging="550"/>
    </w:pPr>
    <w:rPr>
      <w:rFonts w:ascii="Lucida Sans" w:hAnsi="Lucida Sans"/>
      <w:noProof/>
      <w:color w:val="000000"/>
    </w:rPr>
  </w:style>
  <w:style w:type="paragraph" w:styleId="TOCHeading">
    <w:name w:val="TOC Heading"/>
    <w:basedOn w:val="Heading1"/>
    <w:next w:val="Normal"/>
    <w:uiPriority w:val="39"/>
    <w:semiHidden/>
    <w:unhideWhenUsed/>
    <w:qFormat/>
    <w:rsid w:val="001E4121"/>
    <w:pPr>
      <w:outlineLvl w:val="9"/>
    </w:pPr>
    <w:rPr>
      <w:rFonts w:ascii="Cambria" w:hAnsi="Cambria"/>
      <w:b/>
      <w:bCs w:val="0"/>
      <w:color w:val="365F91"/>
      <w:lang w:val="en-US"/>
    </w:rPr>
  </w:style>
  <w:style w:type="paragraph" w:customStyle="1" w:styleId="TOC3">
    <w:name w:val="TOC3"/>
    <w:basedOn w:val="Normal"/>
    <w:rsid w:val="001E4121"/>
    <w:pPr>
      <w:keepNext/>
      <w:keepLines/>
      <w:tabs>
        <w:tab w:val="left" w:pos="142"/>
        <w:tab w:val="right" w:leader="dot" w:pos="6096"/>
        <w:tab w:val="decimal" w:pos="6379"/>
        <w:tab w:val="decimal" w:pos="7371"/>
      </w:tabs>
      <w:spacing w:before="600" w:after="120"/>
      <w:ind w:left="142" w:hanging="142"/>
    </w:pPr>
    <w:rPr>
      <w:b/>
      <w:smallCaps/>
      <w:kern w:val="32"/>
      <w:sz w:val="22"/>
    </w:rPr>
  </w:style>
  <w:style w:type="paragraph" w:customStyle="1" w:styleId="Activitytexts">
    <w:name w:val="Activity texts"/>
    <w:basedOn w:val="AverageYears"/>
    <w:autoRedefine/>
    <w:uiPriority w:val="99"/>
    <w:rsid w:val="001E4121"/>
    <w:pPr>
      <w:tabs>
        <w:tab w:val="clear" w:pos="6747"/>
        <w:tab w:val="left" w:pos="567"/>
      </w:tabs>
      <w:spacing w:before="80"/>
      <w:ind w:left="340" w:hanging="340"/>
    </w:pPr>
    <w:rPr>
      <w:sz w:val="17"/>
    </w:rPr>
  </w:style>
  <w:style w:type="paragraph" w:customStyle="1" w:styleId="Active-Uline">
    <w:name w:val="Active-Uline"/>
    <w:basedOn w:val="Activitytexts"/>
    <w:uiPriority w:val="99"/>
    <w:rsid w:val="001E4121"/>
    <w:pPr>
      <w:widowControl/>
      <w:tabs>
        <w:tab w:val="left" w:pos="5529"/>
        <w:tab w:val="left" w:pos="6180"/>
        <w:tab w:val="left" w:pos="6804"/>
        <w:tab w:val="left" w:pos="7456"/>
      </w:tabs>
    </w:pPr>
  </w:style>
  <w:style w:type="paragraph" w:customStyle="1" w:styleId="AverageStaffing">
    <w:name w:val="Average Staffing"/>
    <w:basedOn w:val="Normal"/>
    <w:autoRedefine/>
    <w:uiPriority w:val="99"/>
    <w:rsid w:val="001E4121"/>
    <w:pPr>
      <w:tabs>
        <w:tab w:val="clear" w:pos="4196"/>
        <w:tab w:val="clear" w:pos="5046"/>
        <w:tab w:val="clear" w:pos="5897"/>
        <w:tab w:val="clear" w:pos="6747"/>
        <w:tab w:val="clear" w:pos="7598"/>
        <w:tab w:val="right" w:pos="3725"/>
        <w:tab w:val="right" w:pos="4961"/>
        <w:tab w:val="right" w:pos="6094"/>
        <w:tab w:val="right" w:pos="7228"/>
        <w:tab w:val="right" w:pos="8362"/>
        <w:tab w:val="right" w:pos="9638"/>
      </w:tabs>
    </w:pPr>
    <w:rPr>
      <w:sz w:val="18"/>
      <w:szCs w:val="18"/>
    </w:rPr>
  </w:style>
  <w:style w:type="paragraph" w:customStyle="1" w:styleId="Active-Year-TopLine">
    <w:name w:val="Active-Year-TopLine"/>
    <w:basedOn w:val="AverageStaffing"/>
    <w:uiPriority w:val="99"/>
    <w:rsid w:val="001E4121"/>
    <w:pPr>
      <w:widowControl/>
      <w:tabs>
        <w:tab w:val="left" w:pos="7371"/>
      </w:tabs>
    </w:pPr>
  </w:style>
  <w:style w:type="paragraph" w:customStyle="1" w:styleId="Activitytotallines">
    <w:name w:val="Activity total lines"/>
    <w:basedOn w:val="Activitytexts"/>
    <w:uiPriority w:val="99"/>
    <w:rsid w:val="001E4121"/>
    <w:pPr>
      <w:tabs>
        <w:tab w:val="right" w:pos="5472"/>
        <w:tab w:val="right" w:pos="6464"/>
        <w:tab w:val="right" w:pos="6747"/>
        <w:tab w:val="right" w:pos="7740"/>
      </w:tabs>
    </w:pPr>
  </w:style>
  <w:style w:type="paragraph" w:customStyle="1" w:styleId="Agency">
    <w:name w:val="Agency"/>
    <w:basedOn w:val="Normal"/>
    <w:autoRedefine/>
    <w:uiPriority w:val="99"/>
    <w:rsid w:val="001E4121"/>
    <w:rPr>
      <w:b/>
      <w:bCs/>
      <w:sz w:val="27"/>
      <w:szCs w:val="22"/>
    </w:rPr>
  </w:style>
  <w:style w:type="paragraph" w:customStyle="1" w:styleId="Agency2">
    <w:name w:val="Agency 2"/>
    <w:basedOn w:val="Normal"/>
    <w:autoRedefine/>
    <w:uiPriority w:val="99"/>
    <w:rsid w:val="001E4121"/>
    <w:pPr>
      <w:pageBreakBefore/>
      <w:pBdr>
        <w:bottom w:val="single" w:sz="4" w:space="6" w:color="999999"/>
      </w:pBdr>
    </w:pPr>
    <w:rPr>
      <w:b/>
      <w:bCs/>
      <w:color w:val="999999"/>
      <w:sz w:val="27"/>
      <w:szCs w:val="22"/>
    </w:rPr>
  </w:style>
  <w:style w:type="character" w:customStyle="1" w:styleId="apple-converted-space">
    <w:name w:val="apple-converted-space"/>
    <w:rsid w:val="001E4121"/>
  </w:style>
  <w:style w:type="character" w:customStyle="1" w:styleId="apple-tab-span">
    <w:name w:val="apple-tab-span"/>
    <w:rsid w:val="001E4121"/>
  </w:style>
  <w:style w:type="character" w:customStyle="1" w:styleId="Arial-6">
    <w:name w:val="Arial-6"/>
    <w:rsid w:val="001E4121"/>
    <w:rPr>
      <w:rFonts w:ascii="Lucida Sans" w:hAnsi="Lucida Sans" w:cs="Arial"/>
      <w:b/>
      <w:bCs/>
      <w:sz w:val="18"/>
      <w:szCs w:val="14"/>
    </w:rPr>
  </w:style>
  <w:style w:type="paragraph" w:customStyle="1" w:styleId="Averageframe">
    <w:name w:val="Average frame"/>
    <w:basedOn w:val="Normal"/>
    <w:uiPriority w:val="99"/>
    <w:rsid w:val="001E4121"/>
    <w:pPr>
      <w:framePr w:w="1843" w:h="11" w:hRule="exact" w:hSpace="181" w:wrap="notBeside" w:vAnchor="text" w:hAnchor="page" w:x="6748" w:y="103"/>
      <w:pBdr>
        <w:top w:val="single" w:sz="6" w:space="1" w:color="auto"/>
        <w:left w:val="single" w:sz="6" w:space="1" w:color="auto"/>
        <w:bottom w:val="single" w:sz="6" w:space="1" w:color="auto"/>
        <w:right w:val="single" w:sz="6" w:space="1" w:color="auto"/>
      </w:pBdr>
    </w:pPr>
  </w:style>
  <w:style w:type="paragraph" w:customStyle="1" w:styleId="Averagestaffingdata">
    <w:name w:val="Average staffing data"/>
    <w:basedOn w:val="Normal"/>
    <w:uiPriority w:val="99"/>
    <w:rsid w:val="001E4121"/>
    <w:rPr>
      <w:sz w:val="18"/>
      <w:szCs w:val="18"/>
    </w:rPr>
  </w:style>
  <w:style w:type="paragraph" w:customStyle="1" w:styleId="AverageYears">
    <w:name w:val="Average Years"/>
    <w:basedOn w:val="AverageStaffing"/>
    <w:uiPriority w:val="99"/>
    <w:rsid w:val="001E4121"/>
    <w:pPr>
      <w:tabs>
        <w:tab w:val="left" w:pos="6747"/>
      </w:tabs>
    </w:pPr>
  </w:style>
  <w:style w:type="paragraph" w:customStyle="1" w:styleId="Body">
    <w:name w:val="Body"/>
    <w:basedOn w:val="Normal"/>
    <w:autoRedefine/>
    <w:uiPriority w:val="99"/>
    <w:rsid w:val="001E4121"/>
    <w:pPr>
      <w:tabs>
        <w:tab w:val="left" w:pos="2897"/>
        <w:tab w:val="center" w:pos="4354"/>
        <w:tab w:val="center" w:pos="5182"/>
        <w:tab w:val="right" w:pos="6520"/>
        <w:tab w:val="right" w:pos="7699"/>
        <w:tab w:val="right" w:pos="9054"/>
      </w:tabs>
    </w:pPr>
    <w:rPr>
      <w:rFonts w:ascii="Lucida Sans" w:eastAsia="MS Mincho" w:hAnsi="Lucida Sans"/>
      <w:sz w:val="17"/>
      <w:szCs w:val="14"/>
    </w:rPr>
  </w:style>
  <w:style w:type="paragraph" w:styleId="BodyText2">
    <w:name w:val="Body Text 2"/>
    <w:basedOn w:val="Normal"/>
    <w:link w:val="BodyText2Char"/>
    <w:rsid w:val="001E4121"/>
    <w:rPr>
      <w:sz w:val="21"/>
    </w:rPr>
  </w:style>
  <w:style w:type="character" w:customStyle="1" w:styleId="BodyText2Char">
    <w:name w:val="Body Text 2 Char"/>
    <w:link w:val="BodyText2"/>
    <w:rsid w:val="001E4121"/>
    <w:rPr>
      <w:rFonts w:ascii="Arial" w:hAnsi="Arial" w:cs="Arial"/>
      <w:sz w:val="21"/>
    </w:rPr>
  </w:style>
  <w:style w:type="paragraph" w:styleId="BodyTextIndent2">
    <w:name w:val="Body Text Indent 2"/>
    <w:basedOn w:val="Normal"/>
    <w:link w:val="BodyTextIndent2Char"/>
    <w:autoRedefine/>
    <w:rsid w:val="001E4121"/>
    <w:pPr>
      <w:spacing w:after="120"/>
      <w:ind w:left="284"/>
    </w:pPr>
    <w:rPr>
      <w:i/>
      <w:sz w:val="23"/>
    </w:rPr>
  </w:style>
  <w:style w:type="character" w:customStyle="1" w:styleId="BodyTextIndent2Char">
    <w:name w:val="Body Text Indent 2 Char"/>
    <w:link w:val="BodyTextIndent2"/>
    <w:rsid w:val="001E4121"/>
    <w:rPr>
      <w:rFonts w:ascii="Arial" w:hAnsi="Arial" w:cs="Arial"/>
      <w:i/>
      <w:sz w:val="23"/>
    </w:rPr>
  </w:style>
  <w:style w:type="paragraph" w:customStyle="1" w:styleId="BodyTextlettereditaliclist">
    <w:name w:val="Body Text lettered italic list"/>
    <w:basedOn w:val="Normal"/>
    <w:rsid w:val="001E4121"/>
    <w:pPr>
      <w:ind w:left="426" w:hanging="426"/>
    </w:pPr>
    <w:rPr>
      <w:i/>
    </w:rPr>
  </w:style>
  <w:style w:type="paragraph" w:customStyle="1" w:styleId="Bodytextnumbered">
    <w:name w:val="Body text numbered"/>
    <w:basedOn w:val="Heading1"/>
    <w:qFormat/>
    <w:rsid w:val="001E4121"/>
    <w:pPr>
      <w:keepNext w:val="0"/>
      <w:tabs>
        <w:tab w:val="num" w:pos="454"/>
      </w:tabs>
      <w:spacing w:before="200" w:line="320" w:lineRule="atLeast"/>
      <w:ind w:left="454" w:hanging="454"/>
    </w:pPr>
    <w:rPr>
      <w:b/>
      <w:sz w:val="22"/>
      <w:szCs w:val="22"/>
    </w:rPr>
  </w:style>
  <w:style w:type="paragraph" w:customStyle="1" w:styleId="BodyText1">
    <w:name w:val="Body Text1"/>
    <w:basedOn w:val="BodyText"/>
    <w:link w:val="bodytextChar0"/>
    <w:autoRedefine/>
    <w:rsid w:val="001E4121"/>
    <w:pPr>
      <w:spacing w:line="360" w:lineRule="auto"/>
      <w:ind w:right="-17"/>
    </w:pPr>
    <w:rPr>
      <w:szCs w:val="24"/>
    </w:rPr>
  </w:style>
  <w:style w:type="character" w:customStyle="1" w:styleId="bodytextChar0">
    <w:name w:val="body text Char"/>
    <w:link w:val="BodyText1"/>
    <w:rsid w:val="001E4121"/>
    <w:rPr>
      <w:rFonts w:ascii="Arial" w:hAnsi="Arial"/>
      <w:sz w:val="23"/>
      <w:szCs w:val="24"/>
      <w:lang w:eastAsia="en-US"/>
    </w:rPr>
  </w:style>
  <w:style w:type="character" w:customStyle="1" w:styleId="Bold">
    <w:name w:val="Bold"/>
    <w:uiPriority w:val="99"/>
    <w:rsid w:val="001E4121"/>
    <w:rPr>
      <w:b/>
      <w:bCs/>
    </w:rPr>
  </w:style>
  <w:style w:type="paragraph" w:customStyle="1" w:styleId="Bullet">
    <w:name w:val="Bullet"/>
    <w:basedOn w:val="BodyText"/>
    <w:rsid w:val="001E4121"/>
    <w:pPr>
      <w:numPr>
        <w:numId w:val="2"/>
      </w:numPr>
      <w:spacing w:before="180" w:after="180" w:line="288" w:lineRule="auto"/>
      <w:outlineLvl w:val="0"/>
    </w:pPr>
    <w:rPr>
      <w:szCs w:val="22"/>
    </w:rPr>
  </w:style>
  <w:style w:type="paragraph" w:customStyle="1" w:styleId="Bulletpoints0">
    <w:name w:val="Bullet points"/>
    <w:basedOn w:val="Normal"/>
    <w:link w:val="BulletpointsChar"/>
    <w:qFormat/>
    <w:rsid w:val="001E4121"/>
    <w:pPr>
      <w:tabs>
        <w:tab w:val="num" w:pos="425"/>
      </w:tabs>
      <w:spacing w:before="180" w:after="180" w:line="288" w:lineRule="auto"/>
      <w:ind w:left="425" w:hanging="425"/>
      <w:outlineLvl w:val="0"/>
    </w:pPr>
    <w:rPr>
      <w:sz w:val="22"/>
      <w:szCs w:val="22"/>
    </w:rPr>
  </w:style>
  <w:style w:type="character" w:customStyle="1" w:styleId="BulletpointsChar">
    <w:name w:val="Bullet points Char"/>
    <w:link w:val="Bulletpoints0"/>
    <w:rsid w:val="001E4121"/>
    <w:rPr>
      <w:rFonts w:ascii="Arial" w:hAnsi="Arial" w:cs="Arial"/>
      <w:sz w:val="22"/>
      <w:szCs w:val="22"/>
    </w:rPr>
  </w:style>
  <w:style w:type="paragraph" w:customStyle="1" w:styleId="OpStatementData">
    <w:name w:val="Op. Statement Data"/>
    <w:basedOn w:val="Normal"/>
    <w:autoRedefine/>
    <w:uiPriority w:val="99"/>
    <w:rsid w:val="001E4121"/>
    <w:pPr>
      <w:tabs>
        <w:tab w:val="clear" w:pos="4196"/>
        <w:tab w:val="clear" w:pos="5046"/>
        <w:tab w:val="clear" w:pos="5897"/>
        <w:tab w:val="clear" w:pos="6747"/>
        <w:tab w:val="clear" w:pos="7598"/>
        <w:tab w:val="right" w:pos="7228"/>
        <w:tab w:val="right" w:pos="8504"/>
        <w:tab w:val="right" w:pos="9638"/>
      </w:tabs>
      <w:spacing w:before="60"/>
    </w:pPr>
    <w:rPr>
      <w:sz w:val="18"/>
      <w:szCs w:val="18"/>
    </w:rPr>
  </w:style>
  <w:style w:type="paragraph" w:customStyle="1" w:styleId="CapitalProgTotal">
    <w:name w:val="Capital Prog Total"/>
    <w:basedOn w:val="OpStatementData"/>
    <w:uiPriority w:val="99"/>
    <w:rsid w:val="001E4121"/>
    <w:pPr>
      <w:pBdr>
        <w:top w:val="single" w:sz="6" w:space="1" w:color="auto"/>
      </w:pBdr>
    </w:pPr>
    <w:rPr>
      <w:b/>
      <w:bCs/>
    </w:rPr>
  </w:style>
  <w:style w:type="character" w:customStyle="1" w:styleId="CentreLine">
    <w:name w:val="Centre Line"/>
    <w:uiPriority w:val="99"/>
    <w:rsid w:val="001E4121"/>
    <w:rPr>
      <w:sz w:val="20"/>
      <w:szCs w:val="20"/>
      <w:u w:val="single"/>
      <w:vertAlign w:val="superscript"/>
    </w:rPr>
  </w:style>
  <w:style w:type="character" w:customStyle="1" w:styleId="TableHeadingChar">
    <w:name w:val="Table Heading Char"/>
    <w:link w:val="TableHeading"/>
    <w:rsid w:val="001E4121"/>
    <w:rPr>
      <w:rFonts w:ascii="Arial" w:hAnsi="Arial" w:cs="Arial"/>
      <w:b/>
      <w:sz w:val="24"/>
    </w:rPr>
  </w:style>
  <w:style w:type="paragraph" w:customStyle="1" w:styleId="Chart3X">
    <w:name w:val="Chart 3.X"/>
    <w:basedOn w:val="Normal"/>
    <w:rsid w:val="001E4121"/>
    <w:pPr>
      <w:tabs>
        <w:tab w:val="clear" w:pos="4196"/>
        <w:tab w:val="clear" w:pos="5046"/>
        <w:tab w:val="clear" w:pos="5897"/>
        <w:tab w:val="clear" w:pos="6747"/>
        <w:tab w:val="clear" w:pos="7598"/>
        <w:tab w:val="left" w:pos="1134"/>
      </w:tabs>
      <w:autoSpaceDE/>
      <w:autoSpaceDN/>
      <w:spacing w:before="240" w:after="120"/>
    </w:pPr>
    <w:rPr>
      <w:rFonts w:cs="Times New Roman"/>
      <w:bCs/>
      <w:i/>
      <w:color w:val="57514D"/>
      <w:kern w:val="28"/>
      <w:sz w:val="22"/>
      <w:szCs w:val="22"/>
      <w:lang w:val="en-US" w:eastAsia="en-US"/>
    </w:rPr>
  </w:style>
  <w:style w:type="paragraph" w:customStyle="1" w:styleId="TableXX">
    <w:name w:val="Table X.X"/>
    <w:basedOn w:val="Normal"/>
    <w:rsid w:val="001E4121"/>
    <w:pPr>
      <w:numPr>
        <w:numId w:val="37"/>
      </w:numPr>
      <w:tabs>
        <w:tab w:val="left" w:pos="1232"/>
      </w:tabs>
      <w:spacing w:before="360" w:after="120"/>
    </w:pPr>
    <w:rPr>
      <w:rFonts w:ascii="Lucida Sans" w:hAnsi="Lucida Sans"/>
      <w:bCs/>
      <w:kern w:val="28"/>
      <w:sz w:val="22"/>
      <w:szCs w:val="22"/>
    </w:rPr>
  </w:style>
  <w:style w:type="paragraph" w:customStyle="1" w:styleId="Chart5X">
    <w:name w:val="Chart 5.X"/>
    <w:basedOn w:val="Normal"/>
    <w:rsid w:val="001E4121"/>
    <w:pPr>
      <w:numPr>
        <w:numId w:val="13"/>
      </w:numPr>
      <w:tabs>
        <w:tab w:val="clear" w:pos="4196"/>
        <w:tab w:val="clear" w:pos="5046"/>
        <w:tab w:val="clear" w:pos="5897"/>
        <w:tab w:val="clear" w:pos="6747"/>
        <w:tab w:val="clear" w:pos="7598"/>
        <w:tab w:val="left" w:pos="851"/>
      </w:tabs>
      <w:autoSpaceDE/>
      <w:autoSpaceDN/>
      <w:spacing w:before="360" w:after="120"/>
    </w:pPr>
    <w:rPr>
      <w:rFonts w:eastAsia="Arial Unicode MS" w:cs="Times New Roman"/>
      <w:bCs/>
      <w:i/>
      <w:color w:val="57514D"/>
      <w:kern w:val="28"/>
      <w:sz w:val="22"/>
      <w:szCs w:val="22"/>
      <w:lang w:val="en-US" w:eastAsia="en-US"/>
    </w:rPr>
  </w:style>
  <w:style w:type="paragraph" w:customStyle="1" w:styleId="Chart6X">
    <w:name w:val="Chart 6.X"/>
    <w:basedOn w:val="Normal"/>
    <w:rsid w:val="001E4121"/>
    <w:pPr>
      <w:keepLines/>
      <w:spacing w:before="360" w:after="120"/>
    </w:pPr>
    <w:rPr>
      <w:rFonts w:ascii="Lucida Sans" w:hAnsi="Lucida Sans"/>
      <w:sz w:val="22"/>
    </w:rPr>
  </w:style>
  <w:style w:type="paragraph" w:customStyle="1" w:styleId="Table7X0">
    <w:name w:val="Table 7.X"/>
    <w:basedOn w:val="Normal"/>
    <w:rsid w:val="001E4121"/>
    <w:pPr>
      <w:tabs>
        <w:tab w:val="clear" w:pos="4196"/>
        <w:tab w:val="clear" w:pos="5046"/>
        <w:tab w:val="clear" w:pos="5897"/>
        <w:tab w:val="clear" w:pos="6747"/>
        <w:tab w:val="clear" w:pos="7598"/>
        <w:tab w:val="left" w:pos="1232"/>
      </w:tabs>
      <w:autoSpaceDE/>
      <w:autoSpaceDN/>
      <w:spacing w:before="360" w:after="120"/>
    </w:pPr>
    <w:rPr>
      <w:rFonts w:ascii="Lucida Sans" w:hAnsi="Lucida Sans" w:cs="Times New Roman"/>
      <w:bCs/>
      <w:kern w:val="28"/>
      <w:sz w:val="22"/>
      <w:szCs w:val="22"/>
      <w:lang w:val="en-US" w:eastAsia="en-US"/>
    </w:rPr>
  </w:style>
  <w:style w:type="paragraph" w:customStyle="1" w:styleId="Dept">
    <w:name w:val="Dept"/>
    <w:basedOn w:val="Normal"/>
    <w:autoRedefine/>
    <w:rsid w:val="001E4121"/>
    <w:pPr>
      <w:keepNext/>
      <w:keepLines/>
      <w:pageBreakBefore/>
      <w:adjustRightInd w:val="0"/>
    </w:pPr>
    <w:rPr>
      <w:rFonts w:ascii="Lucida Sans" w:eastAsia="MS Mincho" w:hAnsi="Lucida Sans"/>
      <w:b/>
      <w:bCs/>
      <w:sz w:val="22"/>
    </w:rPr>
  </w:style>
  <w:style w:type="paragraph" w:styleId="DocumentMap">
    <w:name w:val="Document Map"/>
    <w:basedOn w:val="Normal"/>
    <w:link w:val="DocumentMapChar"/>
    <w:rsid w:val="001E4121"/>
    <w:pPr>
      <w:shd w:val="clear" w:color="auto" w:fill="000080"/>
    </w:pPr>
    <w:rPr>
      <w:rFonts w:ascii="Tahoma" w:hAnsi="Tahoma" w:cs="Tahoma"/>
    </w:rPr>
  </w:style>
  <w:style w:type="character" w:customStyle="1" w:styleId="DocumentMapChar">
    <w:name w:val="Document Map Char"/>
    <w:link w:val="DocumentMap"/>
    <w:rsid w:val="001E4121"/>
    <w:rPr>
      <w:rFonts w:ascii="Tahoma" w:hAnsi="Tahoma" w:cs="Tahoma"/>
      <w:shd w:val="clear" w:color="auto" w:fill="000080"/>
    </w:rPr>
  </w:style>
  <w:style w:type="paragraph" w:customStyle="1" w:styleId="DoubleBorder">
    <w:name w:val="Double Border"/>
    <w:basedOn w:val="Agency2"/>
    <w:uiPriority w:val="99"/>
    <w:rsid w:val="001E4121"/>
    <w:pPr>
      <w:pBdr>
        <w:top w:val="single" w:sz="6" w:space="1" w:color="auto"/>
        <w:bottom w:val="single" w:sz="6" w:space="1" w:color="auto"/>
      </w:pBdr>
    </w:pPr>
    <w:rPr>
      <w:sz w:val="18"/>
      <w:szCs w:val="18"/>
    </w:rPr>
  </w:style>
  <w:style w:type="paragraph" w:customStyle="1" w:styleId="Estimates-BudgetYear">
    <w:name w:val="Estimates - Budget Year"/>
    <w:basedOn w:val="Normal"/>
    <w:uiPriority w:val="99"/>
    <w:rsid w:val="001E4121"/>
    <w:pPr>
      <w:pBdr>
        <w:bottom w:val="single" w:sz="6" w:space="1" w:color="auto"/>
      </w:pBdr>
      <w:jc w:val="center"/>
    </w:pPr>
    <w:rPr>
      <w:sz w:val="22"/>
      <w:szCs w:val="22"/>
    </w:rPr>
  </w:style>
  <w:style w:type="paragraph" w:customStyle="1" w:styleId="Estimates-withNewPage">
    <w:name w:val="Estimates - with New Page"/>
    <w:basedOn w:val="Estimates-BudgetYear"/>
    <w:uiPriority w:val="99"/>
    <w:rsid w:val="001E4121"/>
    <w:pPr>
      <w:pageBreakBefore/>
      <w:pBdr>
        <w:bottom w:val="single" w:sz="6" w:space="6" w:color="auto"/>
      </w:pBdr>
    </w:pPr>
    <w:rPr>
      <w:sz w:val="20"/>
      <w:szCs w:val="20"/>
    </w:rPr>
  </w:style>
  <w:style w:type="paragraph" w:customStyle="1" w:styleId="HeaderHeading">
    <w:name w:val="Header Heading"/>
    <w:basedOn w:val="Normal"/>
    <w:rsid w:val="001E4121"/>
    <w:pPr>
      <w:pageBreakBefore/>
      <w:pBdr>
        <w:bottom w:val="single" w:sz="8" w:space="6" w:color="auto"/>
      </w:pBdr>
    </w:pPr>
    <w:rPr>
      <w:rFonts w:ascii="Lucida Sans" w:hAnsi="Lucida Sans"/>
    </w:rPr>
  </w:style>
  <w:style w:type="paragraph" w:customStyle="1" w:styleId="Heading1BP3">
    <w:name w:val="Heading 1 BP3"/>
    <w:rsid w:val="001E4121"/>
    <w:pPr>
      <w:keepNext/>
      <w:tabs>
        <w:tab w:val="left" w:pos="284"/>
      </w:tabs>
      <w:spacing w:before="400"/>
    </w:pPr>
    <w:rPr>
      <w:rFonts w:ascii="Lucida Sans" w:hAnsi="Lucida Sans"/>
      <w:kern w:val="28"/>
      <w:sz w:val="36"/>
      <w:szCs w:val="36"/>
      <w:lang w:eastAsia="en-US"/>
    </w:rPr>
  </w:style>
  <w:style w:type="character" w:customStyle="1" w:styleId="Heading3Char1">
    <w:name w:val="Heading 3 Char1"/>
    <w:rsid w:val="001E4121"/>
    <w:rPr>
      <w:rFonts w:ascii="Lucida Sans" w:eastAsia="Times New Roman" w:hAnsi="Lucida Sans" w:cs="Times New Roman"/>
      <w:b/>
      <w:kern w:val="28"/>
      <w:sz w:val="24"/>
      <w:szCs w:val="36"/>
    </w:rPr>
  </w:style>
  <w:style w:type="paragraph" w:customStyle="1" w:styleId="Keypointsheading">
    <w:name w:val="Key points heading"/>
    <w:basedOn w:val="Heading2"/>
    <w:next w:val="Bullet"/>
    <w:rsid w:val="001E4121"/>
    <w:pPr>
      <w:keepNext w:val="0"/>
      <w:widowControl/>
      <w:spacing w:after="180"/>
    </w:pPr>
    <w:rPr>
      <w:rFonts w:cs="Arial"/>
      <w:b w:val="0"/>
      <w:color w:val="003366"/>
      <w:kern w:val="0"/>
      <w:szCs w:val="24"/>
    </w:rPr>
  </w:style>
  <w:style w:type="paragraph" w:styleId="ListBullet">
    <w:name w:val="List Bullet"/>
    <w:basedOn w:val="Normal"/>
    <w:uiPriority w:val="1"/>
    <w:qFormat/>
    <w:rsid w:val="001E4121"/>
    <w:pPr>
      <w:spacing w:after="80" w:line="240" w:lineRule="atLeast"/>
    </w:pPr>
    <w:rPr>
      <w:rFonts w:ascii="Calibri" w:hAnsi="Calibri"/>
      <w:sz w:val="18"/>
      <w:szCs w:val="24"/>
    </w:rPr>
  </w:style>
  <w:style w:type="paragraph" w:customStyle="1" w:styleId="ListBullet1">
    <w:name w:val="List Bullet1"/>
    <w:basedOn w:val="Normal"/>
    <w:autoRedefine/>
    <w:rsid w:val="001E4121"/>
    <w:pPr>
      <w:numPr>
        <w:numId w:val="24"/>
      </w:numPr>
      <w:spacing w:line="360" w:lineRule="auto"/>
    </w:pPr>
    <w:rPr>
      <w:sz w:val="28"/>
    </w:rPr>
  </w:style>
  <w:style w:type="paragraph" w:styleId="ListNumber">
    <w:name w:val="List Number"/>
    <w:basedOn w:val="Normal"/>
    <w:uiPriority w:val="1"/>
    <w:qFormat/>
    <w:rsid w:val="001E4121"/>
    <w:pPr>
      <w:numPr>
        <w:numId w:val="25"/>
      </w:numPr>
      <w:spacing w:after="80" w:line="240" w:lineRule="atLeast"/>
    </w:pPr>
    <w:rPr>
      <w:rFonts w:ascii="Calibri" w:eastAsia="Calibri" w:hAnsi="Calibri"/>
      <w:sz w:val="18"/>
      <w:szCs w:val="22"/>
    </w:rPr>
  </w:style>
  <w:style w:type="paragraph" w:customStyle="1" w:styleId="Minister">
    <w:name w:val="Minister"/>
    <w:basedOn w:val="Normal"/>
    <w:uiPriority w:val="99"/>
    <w:rsid w:val="001E4121"/>
    <w:pPr>
      <w:jc w:val="center"/>
    </w:pPr>
    <w:rPr>
      <w:b/>
      <w:bCs/>
      <w:sz w:val="24"/>
      <w:szCs w:val="24"/>
    </w:rPr>
  </w:style>
  <w:style w:type="paragraph" w:customStyle="1" w:styleId="Minr">
    <w:name w:val="Minr"/>
    <w:basedOn w:val="Normal"/>
    <w:autoRedefine/>
    <w:uiPriority w:val="99"/>
    <w:rsid w:val="001E4121"/>
    <w:pPr>
      <w:adjustRightInd w:val="0"/>
    </w:pPr>
    <w:rPr>
      <w:rFonts w:ascii="Lucida Sans" w:eastAsia="MS Mincho" w:hAnsi="Lucida Sans"/>
      <w:b/>
      <w:bCs/>
      <w:szCs w:val="24"/>
    </w:rPr>
  </w:style>
  <w:style w:type="paragraph" w:customStyle="1" w:styleId="ObjectivesandDescr">
    <w:name w:val="Objectives and Descr"/>
    <w:basedOn w:val="Normal"/>
    <w:autoRedefine/>
    <w:uiPriority w:val="99"/>
    <w:rsid w:val="001E4121"/>
    <w:pPr>
      <w:tabs>
        <w:tab w:val="left" w:pos="1985"/>
        <w:tab w:val="left" w:pos="4196"/>
        <w:tab w:val="left" w:pos="5046"/>
        <w:tab w:val="left" w:pos="5897"/>
        <w:tab w:val="left" w:pos="6747"/>
        <w:tab w:val="left" w:pos="7598"/>
      </w:tabs>
      <w:adjustRightInd w:val="0"/>
      <w:spacing w:before="120"/>
      <w:ind w:left="1985" w:hanging="1985"/>
    </w:pPr>
    <w:rPr>
      <w:sz w:val="18"/>
      <w:szCs w:val="18"/>
    </w:rPr>
  </w:style>
  <w:style w:type="paragraph" w:customStyle="1" w:styleId="OpStatementcol">
    <w:name w:val="Op.Statement col"/>
    <w:basedOn w:val="Normal"/>
    <w:autoRedefine/>
    <w:uiPriority w:val="99"/>
    <w:rsid w:val="001E4121"/>
    <w:pPr>
      <w:tabs>
        <w:tab w:val="clear" w:pos="4196"/>
        <w:tab w:val="clear" w:pos="5046"/>
        <w:tab w:val="clear" w:pos="5897"/>
        <w:tab w:val="clear" w:pos="6747"/>
        <w:tab w:val="clear" w:pos="7598"/>
        <w:tab w:val="center" w:pos="6888"/>
        <w:tab w:val="center" w:pos="7228"/>
        <w:tab w:val="center" w:pos="8158"/>
        <w:tab w:val="center" w:pos="9292"/>
      </w:tabs>
    </w:pPr>
    <w:rPr>
      <w:sz w:val="18"/>
      <w:szCs w:val="18"/>
    </w:rPr>
  </w:style>
  <w:style w:type="paragraph" w:customStyle="1" w:styleId="OpStatementcol2">
    <w:name w:val="Op.Statement col 2"/>
    <w:basedOn w:val="OpStatementcol"/>
    <w:autoRedefine/>
    <w:uiPriority w:val="99"/>
    <w:rsid w:val="001E4121"/>
    <w:pPr>
      <w:tabs>
        <w:tab w:val="clear" w:pos="6888"/>
        <w:tab w:val="clear" w:pos="7228"/>
        <w:tab w:val="clear" w:pos="8158"/>
        <w:tab w:val="clear" w:pos="9292"/>
        <w:tab w:val="center" w:pos="7489"/>
        <w:tab w:val="center" w:pos="9354"/>
      </w:tabs>
    </w:pPr>
  </w:style>
  <w:style w:type="paragraph" w:customStyle="1" w:styleId="OpStatementSub">
    <w:name w:val="Op.Statement Sub"/>
    <w:basedOn w:val="Normal"/>
    <w:autoRedefine/>
    <w:uiPriority w:val="99"/>
    <w:rsid w:val="001E4121"/>
    <w:pPr>
      <w:tabs>
        <w:tab w:val="clear" w:pos="4196"/>
        <w:tab w:val="clear" w:pos="5046"/>
        <w:tab w:val="clear" w:pos="5897"/>
        <w:tab w:val="clear" w:pos="6747"/>
        <w:tab w:val="clear" w:pos="7598"/>
        <w:tab w:val="right" w:pos="7811"/>
        <w:tab w:val="right" w:pos="8917"/>
        <w:tab w:val="right" w:pos="9967"/>
      </w:tabs>
      <w:spacing w:before="80" w:after="80"/>
      <w:ind w:right="113"/>
      <w:jc w:val="right"/>
    </w:pPr>
    <w:rPr>
      <w:b/>
      <w:bCs/>
      <w:color w:val="25A9E1"/>
      <w:sz w:val="18"/>
      <w:szCs w:val="18"/>
    </w:rPr>
  </w:style>
  <w:style w:type="paragraph" w:customStyle="1" w:styleId="OperatingStatement">
    <w:name w:val="Operating Statement"/>
    <w:basedOn w:val="Normal"/>
    <w:autoRedefine/>
    <w:uiPriority w:val="99"/>
    <w:rsid w:val="001E4121"/>
    <w:pPr>
      <w:spacing w:before="120" w:line="240" w:lineRule="exact"/>
    </w:pPr>
    <w:rPr>
      <w:b/>
      <w:bCs/>
      <w:iCs/>
      <w:sz w:val="24"/>
    </w:rPr>
  </w:style>
  <w:style w:type="paragraph" w:customStyle="1" w:styleId="OutputsColumns">
    <w:name w:val="Outputs Columns"/>
    <w:basedOn w:val="Normal"/>
    <w:autoRedefine/>
    <w:uiPriority w:val="99"/>
    <w:rsid w:val="001E4121"/>
    <w:pPr>
      <w:tabs>
        <w:tab w:val="clear" w:pos="4196"/>
        <w:tab w:val="clear" w:pos="5046"/>
        <w:tab w:val="clear" w:pos="5897"/>
        <w:tab w:val="clear" w:pos="6747"/>
        <w:tab w:val="clear" w:pos="7598"/>
        <w:tab w:val="right" w:pos="7228"/>
        <w:tab w:val="right" w:pos="8504"/>
        <w:tab w:val="right" w:pos="9638"/>
      </w:tabs>
      <w:spacing w:before="120"/>
    </w:pPr>
    <w:rPr>
      <w:b/>
      <w:szCs w:val="18"/>
    </w:rPr>
  </w:style>
  <w:style w:type="paragraph" w:customStyle="1" w:styleId="OutputsData">
    <w:name w:val="Outputs Data"/>
    <w:basedOn w:val="Normal"/>
    <w:autoRedefine/>
    <w:uiPriority w:val="99"/>
    <w:rsid w:val="001E4121"/>
    <w:pPr>
      <w:tabs>
        <w:tab w:val="clear" w:pos="4196"/>
        <w:tab w:val="clear" w:pos="5046"/>
        <w:tab w:val="clear" w:pos="5897"/>
        <w:tab w:val="clear" w:pos="6747"/>
        <w:tab w:val="clear" w:pos="7598"/>
        <w:tab w:val="right" w:pos="7755"/>
        <w:tab w:val="right" w:pos="8875"/>
        <w:tab w:val="right" w:pos="9967"/>
      </w:tabs>
    </w:pPr>
    <w:rPr>
      <w:sz w:val="18"/>
      <w:szCs w:val="18"/>
    </w:rPr>
  </w:style>
  <w:style w:type="paragraph" w:customStyle="1" w:styleId="OutputsName">
    <w:name w:val="Outputs Name"/>
    <w:basedOn w:val="Normal"/>
    <w:uiPriority w:val="99"/>
    <w:rsid w:val="001E4121"/>
    <w:pPr>
      <w:tabs>
        <w:tab w:val="left" w:pos="3828"/>
      </w:tabs>
    </w:pPr>
    <w:rPr>
      <w:sz w:val="18"/>
      <w:szCs w:val="18"/>
      <w:u w:val="single"/>
    </w:rPr>
  </w:style>
  <w:style w:type="paragraph" w:customStyle="1" w:styleId="Pa0">
    <w:name w:val="Pa0"/>
    <w:basedOn w:val="Default"/>
    <w:next w:val="Default"/>
    <w:uiPriority w:val="99"/>
    <w:rsid w:val="001E4121"/>
    <w:pPr>
      <w:spacing w:line="201" w:lineRule="atLeast"/>
    </w:pPr>
    <w:rPr>
      <w:rFonts w:ascii="Gotham Narrow Light" w:hAnsi="Gotham Narrow Light" w:cs="Times New Roman"/>
      <w:color w:val="auto"/>
    </w:rPr>
  </w:style>
  <w:style w:type="paragraph" w:customStyle="1" w:styleId="Program">
    <w:name w:val="Program"/>
    <w:basedOn w:val="Normal"/>
    <w:uiPriority w:val="99"/>
    <w:rsid w:val="001E4121"/>
    <w:pPr>
      <w:ind w:left="567"/>
    </w:pPr>
    <w:rPr>
      <w:b/>
      <w:bCs/>
    </w:rPr>
  </w:style>
  <w:style w:type="paragraph" w:customStyle="1" w:styleId="ProgramArea">
    <w:name w:val="Program Area"/>
    <w:basedOn w:val="Normal"/>
    <w:autoRedefine/>
    <w:uiPriority w:val="99"/>
    <w:rsid w:val="001E4121"/>
    <w:pPr>
      <w:spacing w:before="120"/>
    </w:pPr>
    <w:rPr>
      <w:b/>
      <w:bCs/>
      <w:sz w:val="21"/>
    </w:rPr>
  </w:style>
  <w:style w:type="paragraph" w:customStyle="1" w:styleId="SmallGap">
    <w:name w:val="Small Gap"/>
    <w:basedOn w:val="Normal"/>
    <w:autoRedefine/>
    <w:uiPriority w:val="99"/>
    <w:rsid w:val="001E4121"/>
    <w:rPr>
      <w:sz w:val="4"/>
      <w:szCs w:val="14"/>
    </w:rPr>
  </w:style>
  <w:style w:type="paragraph" w:customStyle="1" w:styleId="SmallGapwithBorder">
    <w:name w:val="Small Gap with Border"/>
    <w:basedOn w:val="OpStatementData"/>
    <w:uiPriority w:val="99"/>
    <w:rsid w:val="001E4121"/>
    <w:pPr>
      <w:pBdr>
        <w:bottom w:val="single" w:sz="6" w:space="1" w:color="auto"/>
      </w:pBdr>
    </w:pPr>
    <w:rPr>
      <w:sz w:val="14"/>
      <w:szCs w:val="14"/>
    </w:rPr>
  </w:style>
  <w:style w:type="character" w:customStyle="1" w:styleId="st1">
    <w:name w:val="st1"/>
    <w:rsid w:val="001E4121"/>
  </w:style>
  <w:style w:type="character" w:customStyle="1" w:styleId="Strikethrou">
    <w:name w:val="Strikethrou"/>
    <w:uiPriority w:val="99"/>
    <w:rsid w:val="001E4121"/>
    <w:rPr>
      <w:rFonts w:ascii="Arial" w:hAnsi="Arial" w:cs="Arial"/>
      <w:color w:val="auto"/>
      <w:sz w:val="18"/>
      <w:szCs w:val="16"/>
      <w:vertAlign w:val="superscript"/>
    </w:rPr>
  </w:style>
  <w:style w:type="character" w:customStyle="1" w:styleId="StrikeThrough">
    <w:name w:val="StrikeThrough"/>
    <w:rsid w:val="001E4121"/>
    <w:rPr>
      <w:strike/>
      <w:dstrike w:val="0"/>
      <w:color w:val="00A1DE"/>
    </w:rPr>
  </w:style>
  <w:style w:type="paragraph" w:customStyle="1" w:styleId="StyleChapterHeadingAfter12pt">
    <w:name w:val="Style Chapter Heading + After:  12 pt"/>
    <w:basedOn w:val="Normal"/>
    <w:rsid w:val="001E4121"/>
    <w:pPr>
      <w:keepNext/>
      <w:pageBreakBefore/>
      <w:pBdr>
        <w:bottom w:val="single" w:sz="6" w:space="31" w:color="auto"/>
      </w:pBdr>
      <w:tabs>
        <w:tab w:val="left" w:pos="284"/>
        <w:tab w:val="left" w:pos="2268"/>
      </w:tabs>
      <w:spacing w:after="240"/>
      <w:outlineLvl w:val="0"/>
    </w:pPr>
    <w:rPr>
      <w:rFonts w:ascii="Lucida Sans" w:hAnsi="Lucida Sans"/>
      <w:b/>
      <w:bCs/>
      <w:kern w:val="28"/>
      <w:sz w:val="36"/>
    </w:rPr>
  </w:style>
  <w:style w:type="paragraph" w:customStyle="1" w:styleId="Table5x0">
    <w:name w:val="Table 5.x"/>
    <w:basedOn w:val="Normal"/>
    <w:qFormat/>
    <w:rsid w:val="001E4121"/>
    <w:pPr>
      <w:tabs>
        <w:tab w:val="clear" w:pos="4196"/>
        <w:tab w:val="clear" w:pos="5046"/>
        <w:tab w:val="clear" w:pos="5897"/>
        <w:tab w:val="clear" w:pos="6747"/>
        <w:tab w:val="clear" w:pos="7598"/>
      </w:tabs>
      <w:autoSpaceDE/>
      <w:autoSpaceDN/>
      <w:spacing w:before="320" w:after="120"/>
    </w:pPr>
    <w:rPr>
      <w:rFonts w:ascii="Arial Unicode MS" w:eastAsia="Arial Unicode MS" w:hAnsi="Arial Unicode MS" w:cs="Times New Roman"/>
      <w:bCs/>
      <w:color w:val="00A1DE"/>
      <w:kern w:val="28"/>
      <w:sz w:val="22"/>
      <w:szCs w:val="22"/>
      <w:lang w:val="en-US" w:eastAsia="en-US"/>
    </w:rPr>
  </w:style>
  <w:style w:type="paragraph" w:customStyle="1" w:styleId="Table6X0">
    <w:name w:val="Table 6.X"/>
    <w:basedOn w:val="Normal"/>
    <w:rsid w:val="001E4121"/>
    <w:pPr>
      <w:tabs>
        <w:tab w:val="clear" w:pos="4196"/>
        <w:tab w:val="clear" w:pos="5046"/>
        <w:tab w:val="clear" w:pos="5897"/>
        <w:tab w:val="clear" w:pos="6747"/>
        <w:tab w:val="clear" w:pos="7598"/>
        <w:tab w:val="left" w:pos="1232"/>
      </w:tabs>
      <w:autoSpaceDE/>
      <w:autoSpaceDN/>
      <w:spacing w:before="360" w:after="120"/>
    </w:pPr>
    <w:rPr>
      <w:rFonts w:ascii="Lucida Sans" w:hAnsi="Lucida Sans" w:cs="Times New Roman"/>
      <w:bCs/>
      <w:kern w:val="28"/>
      <w:sz w:val="22"/>
      <w:szCs w:val="22"/>
      <w:lang w:val="en-US" w:eastAsia="en-US"/>
    </w:rPr>
  </w:style>
  <w:style w:type="character" w:customStyle="1" w:styleId="TableFootnoteChar">
    <w:name w:val="Table Footnote Char"/>
    <w:link w:val="TableFootnote"/>
    <w:rsid w:val="001E4121"/>
    <w:rPr>
      <w:rFonts w:ascii="Arial" w:hAnsi="Arial" w:cs="Arial"/>
      <w:i/>
      <w:sz w:val="14"/>
    </w:rPr>
  </w:style>
  <w:style w:type="paragraph" w:customStyle="1" w:styleId="TableStubParagraph">
    <w:name w:val="Table Stub Paragraph"/>
    <w:basedOn w:val="Normal"/>
    <w:rsid w:val="001E4121"/>
    <w:pPr>
      <w:spacing w:before="120" w:after="120"/>
    </w:pPr>
    <w:rPr>
      <w:sz w:val="18"/>
      <w:szCs w:val="18"/>
    </w:rPr>
  </w:style>
  <w:style w:type="paragraph" w:customStyle="1" w:styleId="Tablex">
    <w:name w:val="Table x"/>
    <w:basedOn w:val="Table2X"/>
    <w:qFormat/>
    <w:rsid w:val="001E4121"/>
    <w:pPr>
      <w:keepNext/>
      <w:keepLines/>
      <w:numPr>
        <w:numId w:val="36"/>
      </w:numPr>
    </w:pPr>
  </w:style>
  <w:style w:type="paragraph" w:customStyle="1" w:styleId="TestRightAlign">
    <w:name w:val="Test Right Align"/>
    <w:basedOn w:val="Normal"/>
    <w:autoRedefine/>
    <w:uiPriority w:val="99"/>
    <w:rsid w:val="001E4121"/>
    <w:pPr>
      <w:tabs>
        <w:tab w:val="clear" w:pos="4196"/>
        <w:tab w:val="clear" w:pos="5046"/>
        <w:tab w:val="clear" w:pos="5897"/>
        <w:tab w:val="clear" w:pos="6747"/>
        <w:tab w:val="clear" w:pos="7598"/>
        <w:tab w:val="right" w:pos="3725"/>
        <w:tab w:val="right" w:pos="4961"/>
        <w:tab w:val="right" w:pos="6094"/>
        <w:tab w:val="right" w:pos="7228"/>
        <w:tab w:val="right" w:pos="8362"/>
        <w:tab w:val="right" w:pos="9638"/>
      </w:tabs>
      <w:spacing w:line="240" w:lineRule="exact"/>
      <w:ind w:left="142" w:hanging="142"/>
    </w:pPr>
    <w:rPr>
      <w:sz w:val="18"/>
    </w:rPr>
  </w:style>
  <w:style w:type="paragraph" w:customStyle="1" w:styleId="Titel-status">
    <w:name w:val="Titel-status"/>
    <w:basedOn w:val="Normal"/>
    <w:autoRedefine/>
    <w:rsid w:val="001E4121"/>
    <w:pPr>
      <w:tabs>
        <w:tab w:val="right" w:pos="9639"/>
      </w:tabs>
      <w:spacing w:line="192" w:lineRule="auto"/>
      <w:jc w:val="both"/>
    </w:pPr>
    <w:rPr>
      <w:rFonts w:ascii="Arial Unicode MS" w:eastAsia="Arial Unicode MS" w:hAnsi="Arial Unicode MS" w:cs="Arial Unicode MS"/>
      <w:b/>
      <w:bCs/>
      <w:color w:val="00A1DE"/>
      <w:sz w:val="18"/>
      <w:szCs w:val="14"/>
    </w:rPr>
  </w:style>
  <w:style w:type="paragraph" w:customStyle="1" w:styleId="Title-Total">
    <w:name w:val="Title-Total"/>
    <w:basedOn w:val="Normal"/>
    <w:autoRedefine/>
    <w:rsid w:val="001E4121"/>
    <w:pPr>
      <w:tabs>
        <w:tab w:val="left" w:pos="8101"/>
        <w:tab w:val="right" w:pos="9603"/>
      </w:tabs>
      <w:spacing w:before="60" w:after="60" w:line="180" w:lineRule="auto"/>
    </w:pPr>
    <w:rPr>
      <w:rFonts w:ascii="Arial Unicode MS" w:eastAsia="Arial Unicode MS" w:hAnsi="Arial Unicode MS"/>
      <w:b/>
      <w:bCs/>
      <w:sz w:val="18"/>
      <w:szCs w:val="16"/>
    </w:rPr>
  </w:style>
  <w:style w:type="paragraph" w:customStyle="1" w:styleId="TotalsLine">
    <w:name w:val="Totals Line"/>
    <w:basedOn w:val="Normal"/>
    <w:autoRedefine/>
    <w:uiPriority w:val="99"/>
    <w:rsid w:val="001E4121"/>
    <w:pPr>
      <w:widowControl/>
      <w:tabs>
        <w:tab w:val="clear" w:pos="4196"/>
        <w:tab w:val="clear" w:pos="5046"/>
        <w:tab w:val="clear" w:pos="5897"/>
        <w:tab w:val="clear" w:pos="6747"/>
        <w:tab w:val="clear" w:pos="7598"/>
        <w:tab w:val="right" w:pos="7230"/>
        <w:tab w:val="left" w:pos="8505"/>
        <w:tab w:val="right" w:pos="9953"/>
      </w:tabs>
    </w:pPr>
    <w:rPr>
      <w:b/>
      <w:strike/>
      <w:sz w:val="18"/>
    </w:rPr>
  </w:style>
  <w:style w:type="paragraph" w:customStyle="1" w:styleId="TotalsLine2">
    <w:name w:val="Totals Line 2"/>
    <w:basedOn w:val="Normal"/>
    <w:autoRedefine/>
    <w:uiPriority w:val="99"/>
    <w:rsid w:val="001E4121"/>
    <w:pPr>
      <w:framePr w:w="3175" w:h="11" w:hRule="exact" w:hSpace="181" w:wrap="around" w:vAnchor="text" w:hAnchor="page" w:x="7235" w:y="63"/>
      <w:pBdr>
        <w:top w:val="single" w:sz="6" w:space="1" w:color="auto"/>
        <w:left w:val="single" w:sz="6" w:space="1" w:color="auto"/>
        <w:bottom w:val="single" w:sz="6" w:space="1" w:color="auto"/>
        <w:right w:val="single" w:sz="6" w:space="1" w:color="auto"/>
      </w:pBdr>
    </w:pPr>
  </w:style>
  <w:style w:type="character" w:customStyle="1" w:styleId="Underline">
    <w:name w:val="Underline"/>
    <w:uiPriority w:val="99"/>
    <w:rsid w:val="001E4121"/>
    <w:rPr>
      <w:u w:val="single"/>
    </w:rPr>
  </w:style>
  <w:style w:type="paragraph" w:styleId="Revision">
    <w:name w:val="Revision"/>
    <w:hidden/>
    <w:uiPriority w:val="99"/>
    <w:semiHidden/>
    <w:rsid w:val="004937DB"/>
    <w:rPr>
      <w:lang w:val="en-US" w:eastAsia="en-US"/>
    </w:rPr>
  </w:style>
  <w:style w:type="paragraph" w:customStyle="1" w:styleId="million">
    <w:name w:val="$million"/>
    <w:basedOn w:val="Normal"/>
    <w:link w:val="millionChar"/>
    <w:qFormat/>
    <w:rsid w:val="001E4121"/>
    <w:pPr>
      <w:jc w:val="center"/>
    </w:pPr>
    <w:rPr>
      <w:rFonts w:ascii="Calibri" w:hAnsi="Calibri"/>
      <w:i/>
      <w:sz w:val="18"/>
      <w:szCs w:val="18"/>
    </w:rPr>
  </w:style>
  <w:style w:type="character" w:customStyle="1" w:styleId="millionChar">
    <w:name w:val="$million Char"/>
    <w:link w:val="million"/>
    <w:rsid w:val="001E4121"/>
    <w:rPr>
      <w:rFonts w:ascii="Calibri" w:hAnsi="Calibri" w:cs="Arial"/>
      <w:i/>
      <w:sz w:val="18"/>
      <w:szCs w:val="18"/>
    </w:rPr>
  </w:style>
  <w:style w:type="paragraph" w:styleId="BodyTextIndent">
    <w:name w:val="Body Text Indent"/>
    <w:basedOn w:val="Normal"/>
    <w:link w:val="BodyTextIndentChar"/>
    <w:rsid w:val="001E4121"/>
    <w:pPr>
      <w:spacing w:after="120"/>
      <w:ind w:left="283"/>
    </w:pPr>
  </w:style>
  <w:style w:type="character" w:customStyle="1" w:styleId="BodyTextIndentChar">
    <w:name w:val="Body Text Indent Char"/>
    <w:basedOn w:val="DefaultParagraphFont"/>
    <w:link w:val="BodyTextIndent"/>
    <w:rsid w:val="001E4121"/>
    <w:rPr>
      <w:rFonts w:ascii="Arial" w:hAnsi="Arial" w:cs="Arial"/>
    </w:rPr>
  </w:style>
  <w:style w:type="paragraph" w:styleId="BodyTextFirstIndent2">
    <w:name w:val="Body Text First Indent 2"/>
    <w:basedOn w:val="BodyTextIndent"/>
    <w:link w:val="BodyTextFirstIndent2Char"/>
    <w:rsid w:val="001E4121"/>
    <w:pPr>
      <w:ind w:firstLine="210"/>
    </w:pPr>
  </w:style>
  <w:style w:type="character" w:customStyle="1" w:styleId="BodyTextFirstIndent2Char">
    <w:name w:val="Body Text First Indent 2 Char"/>
    <w:basedOn w:val="BodyTextIndentChar"/>
    <w:link w:val="BodyTextFirstIndent2"/>
    <w:rsid w:val="001E4121"/>
    <w:rPr>
      <w:rFonts w:ascii="Arial" w:hAnsi="Arial" w:cs="Arial"/>
    </w:rPr>
  </w:style>
  <w:style w:type="paragraph" w:customStyle="1" w:styleId="Bulletbodytext">
    <w:name w:val="Bullet body text"/>
    <w:basedOn w:val="BodyText"/>
    <w:link w:val="BulletbodytextChar"/>
    <w:qFormat/>
    <w:rsid w:val="001E4121"/>
    <w:pPr>
      <w:numPr>
        <w:numId w:val="8"/>
      </w:numPr>
      <w:spacing w:before="0" w:after="80" w:line="280" w:lineRule="exact"/>
    </w:pPr>
    <w:rPr>
      <w:rFonts w:ascii="Garamond" w:hAnsi="Garamond"/>
      <w:sz w:val="24"/>
      <w:lang w:val="x-none" w:eastAsia="x-none"/>
    </w:rPr>
  </w:style>
  <w:style w:type="character" w:customStyle="1" w:styleId="BulletbodytextChar">
    <w:name w:val="Bullet body text Char"/>
    <w:link w:val="Bulletbodytext"/>
    <w:rsid w:val="001E4121"/>
    <w:rPr>
      <w:rFonts w:ascii="Garamond" w:eastAsiaTheme="minorHAnsi" w:hAnsi="Garamond" w:cs="Arial"/>
      <w:sz w:val="24"/>
      <w:lang w:val="x-none" w:eastAsia="x-none"/>
    </w:rPr>
  </w:style>
  <w:style w:type="paragraph" w:customStyle="1" w:styleId="Bulletrecommendtext">
    <w:name w:val="Bullet recommend text"/>
    <w:basedOn w:val="Normal"/>
    <w:rsid w:val="001E4121"/>
    <w:pPr>
      <w:numPr>
        <w:numId w:val="10"/>
      </w:numPr>
      <w:spacing w:before="80" w:line="280" w:lineRule="exact"/>
    </w:pPr>
    <w:rPr>
      <w:rFonts w:ascii="Garamond" w:eastAsiaTheme="minorHAnsi" w:hAnsi="Garamond"/>
      <w:sz w:val="24"/>
      <w:szCs w:val="24"/>
      <w:lang w:eastAsia="x-none"/>
    </w:rPr>
  </w:style>
  <w:style w:type="paragraph" w:customStyle="1" w:styleId="Chart4X">
    <w:name w:val="Chart 4.X"/>
    <w:basedOn w:val="Normal"/>
    <w:rsid w:val="001E4121"/>
    <w:pPr>
      <w:tabs>
        <w:tab w:val="clear" w:pos="4196"/>
        <w:tab w:val="clear" w:pos="5046"/>
        <w:tab w:val="clear" w:pos="5897"/>
        <w:tab w:val="clear" w:pos="6747"/>
        <w:tab w:val="clear" w:pos="7598"/>
        <w:tab w:val="left" w:pos="1134"/>
      </w:tabs>
      <w:autoSpaceDE/>
      <w:autoSpaceDN/>
      <w:spacing w:before="160" w:after="120"/>
    </w:pPr>
    <w:rPr>
      <w:rFonts w:cs="Times New Roman"/>
      <w:bCs/>
      <w:i/>
      <w:color w:val="57514D"/>
      <w:kern w:val="28"/>
      <w:sz w:val="22"/>
      <w:szCs w:val="22"/>
      <w:lang w:val="en-US" w:eastAsia="en-US"/>
    </w:rPr>
  </w:style>
  <w:style w:type="paragraph" w:customStyle="1" w:styleId="Chart6x0">
    <w:name w:val="Chart 6.x"/>
    <w:basedOn w:val="Chart5X"/>
    <w:qFormat/>
    <w:rsid w:val="001E4121"/>
    <w:pPr>
      <w:numPr>
        <w:numId w:val="0"/>
      </w:numPr>
      <w:tabs>
        <w:tab w:val="left" w:pos="1418"/>
      </w:tabs>
    </w:pPr>
  </w:style>
  <w:style w:type="paragraph" w:customStyle="1" w:styleId="Chart7x0">
    <w:name w:val="Chart 7.x"/>
    <w:basedOn w:val="Chart6X"/>
    <w:qFormat/>
    <w:rsid w:val="001E4121"/>
    <w:rPr>
      <w:rFonts w:ascii="Arial" w:hAnsi="Arial"/>
      <w:i/>
      <w:color w:val="57514D"/>
      <w:sz w:val="20"/>
    </w:rPr>
  </w:style>
  <w:style w:type="paragraph" w:customStyle="1" w:styleId="Table8X">
    <w:name w:val="Table 8.X"/>
    <w:basedOn w:val="Normal"/>
    <w:rsid w:val="001E4121"/>
    <w:pPr>
      <w:numPr>
        <w:numId w:val="15"/>
      </w:numPr>
      <w:tabs>
        <w:tab w:val="left" w:pos="1232"/>
      </w:tabs>
      <w:spacing w:before="360" w:after="120"/>
    </w:pPr>
    <w:rPr>
      <w:bCs/>
      <w:i/>
      <w:kern w:val="28"/>
      <w:szCs w:val="22"/>
    </w:rPr>
  </w:style>
  <w:style w:type="paragraph" w:customStyle="1" w:styleId="Chart8X">
    <w:name w:val="Chart 8.X"/>
    <w:basedOn w:val="Table8X"/>
    <w:rsid w:val="001E4121"/>
    <w:pPr>
      <w:numPr>
        <w:numId w:val="16"/>
      </w:numPr>
      <w:tabs>
        <w:tab w:val="clear" w:pos="1232"/>
      </w:tabs>
    </w:pPr>
    <w:rPr>
      <w:i w:val="0"/>
    </w:rPr>
  </w:style>
  <w:style w:type="paragraph" w:styleId="Closing">
    <w:name w:val="Closing"/>
    <w:basedOn w:val="Normal"/>
    <w:link w:val="ClosingChar"/>
    <w:rsid w:val="001E4121"/>
    <w:pPr>
      <w:ind w:left="4252"/>
    </w:pPr>
    <w:rPr>
      <w:rFonts w:ascii=".." w:hAnsi=".."/>
    </w:rPr>
  </w:style>
  <w:style w:type="character" w:customStyle="1" w:styleId="ClosingChar">
    <w:name w:val="Closing Char"/>
    <w:link w:val="Closing"/>
    <w:rsid w:val="001E4121"/>
    <w:rPr>
      <w:rFonts w:ascii=".." w:hAnsi=".." w:cs="Arial"/>
    </w:rPr>
  </w:style>
  <w:style w:type="paragraph" w:styleId="E-mailSignature">
    <w:name w:val="E-mail Signature"/>
    <w:basedOn w:val="Normal"/>
    <w:link w:val="E-mailSignatureChar"/>
    <w:rsid w:val="001E4121"/>
    <w:pPr>
      <w:numPr>
        <w:numId w:val="20"/>
      </w:numPr>
    </w:pPr>
    <w:rPr>
      <w:rFonts w:ascii=".." w:hAnsi=".."/>
    </w:rPr>
  </w:style>
  <w:style w:type="character" w:customStyle="1" w:styleId="E-mailSignatureChar">
    <w:name w:val="E-mail Signature Char"/>
    <w:link w:val="E-mailSignature"/>
    <w:rsid w:val="001E4121"/>
    <w:rPr>
      <w:rFonts w:ascii=".." w:hAnsi=".." w:cs="Arial"/>
    </w:rPr>
  </w:style>
  <w:style w:type="paragraph" w:customStyle="1" w:styleId="Instructionbullet">
    <w:name w:val="Instruction bullet"/>
    <w:basedOn w:val="Bullet1"/>
    <w:qFormat/>
    <w:rsid w:val="001E4121"/>
    <w:pPr>
      <w:numPr>
        <w:numId w:val="22"/>
      </w:numPr>
      <w:jc w:val="both"/>
    </w:pPr>
    <w:rPr>
      <w:color w:val="7F7F7F"/>
    </w:rPr>
  </w:style>
  <w:style w:type="paragraph" w:customStyle="1" w:styleId="Instructiontext">
    <w:name w:val="Instruction text"/>
    <w:basedOn w:val="BodyText"/>
    <w:qFormat/>
    <w:rsid w:val="001E4121"/>
    <w:pPr>
      <w:spacing w:line="340" w:lineRule="exact"/>
    </w:pPr>
    <w:rPr>
      <w:rFonts w:ascii="Garamond" w:hAnsi="Garamond"/>
      <w:color w:val="7F7F7F"/>
      <w:sz w:val="24"/>
    </w:rPr>
  </w:style>
  <w:style w:type="paragraph" w:styleId="ListContinue">
    <w:name w:val="List Continue"/>
    <w:basedOn w:val="Normal"/>
    <w:rsid w:val="001E4121"/>
    <w:pPr>
      <w:spacing w:after="120"/>
      <w:ind w:left="283"/>
      <w:contextualSpacing/>
    </w:pPr>
  </w:style>
  <w:style w:type="paragraph" w:customStyle="1" w:styleId="Notes">
    <w:name w:val="Notes"/>
    <w:basedOn w:val="Normal"/>
    <w:link w:val="NotesChar"/>
    <w:qFormat/>
    <w:rsid w:val="001E4121"/>
    <w:pPr>
      <w:tabs>
        <w:tab w:val="left" w:pos="454"/>
      </w:tabs>
      <w:ind w:left="461" w:hanging="461"/>
    </w:pPr>
    <w:rPr>
      <w:rFonts w:ascii="Calibri" w:hAnsi="Calibri"/>
      <w:i/>
      <w:sz w:val="15"/>
    </w:rPr>
  </w:style>
  <w:style w:type="character" w:customStyle="1" w:styleId="NotesChar">
    <w:name w:val="Notes Char"/>
    <w:link w:val="Notes"/>
    <w:locked/>
    <w:rsid w:val="001E4121"/>
    <w:rPr>
      <w:rFonts w:ascii="Calibri" w:hAnsi="Calibri" w:cs="Arial"/>
      <w:i/>
      <w:sz w:val="15"/>
    </w:rPr>
  </w:style>
  <w:style w:type="paragraph" w:customStyle="1" w:styleId="Source">
    <w:name w:val="Source"/>
    <w:basedOn w:val="Normal"/>
    <w:next w:val="Normal"/>
    <w:link w:val="SourceChar"/>
    <w:qFormat/>
    <w:locked/>
    <w:rsid w:val="001E4121"/>
    <w:pPr>
      <w:spacing w:after="120"/>
    </w:pPr>
    <w:rPr>
      <w:rFonts w:ascii="Calibri" w:hAnsi="Calibri"/>
      <w:i/>
      <w:sz w:val="15"/>
    </w:rPr>
  </w:style>
  <w:style w:type="character" w:customStyle="1" w:styleId="SourceChar">
    <w:name w:val="Source Char"/>
    <w:link w:val="Source"/>
    <w:locked/>
    <w:rsid w:val="001E4121"/>
    <w:rPr>
      <w:rFonts w:ascii="Calibri" w:hAnsi="Calibri" w:cs="Arial"/>
      <w:i/>
      <w:sz w:val="15"/>
    </w:rPr>
  </w:style>
  <w:style w:type="paragraph" w:customStyle="1" w:styleId="Table2x0">
    <w:name w:val="Table 2.x"/>
    <w:basedOn w:val="Table1X"/>
    <w:qFormat/>
    <w:rsid w:val="001E4121"/>
    <w:pPr>
      <w:ind w:left="360" w:hanging="360"/>
    </w:pPr>
    <w:rPr>
      <w:b/>
    </w:rPr>
  </w:style>
  <w:style w:type="paragraph" w:customStyle="1" w:styleId="Table4x">
    <w:name w:val="Table 4.x"/>
    <w:basedOn w:val="Normal"/>
    <w:qFormat/>
    <w:rsid w:val="001E4121"/>
    <w:pPr>
      <w:numPr>
        <w:numId w:val="29"/>
      </w:numPr>
      <w:tabs>
        <w:tab w:val="clear" w:pos="4196"/>
        <w:tab w:val="clear" w:pos="5046"/>
        <w:tab w:val="clear" w:pos="5897"/>
        <w:tab w:val="clear" w:pos="6747"/>
        <w:tab w:val="clear" w:pos="7598"/>
        <w:tab w:val="left" w:pos="1134"/>
      </w:tabs>
      <w:autoSpaceDE/>
      <w:autoSpaceDN/>
      <w:spacing w:before="360" w:after="120"/>
    </w:pPr>
    <w:rPr>
      <w:rFonts w:cs="Times New Roman"/>
      <w:bCs/>
      <w:i/>
      <w:color w:val="57514D"/>
      <w:kern w:val="28"/>
      <w:sz w:val="22"/>
      <w:szCs w:val="22"/>
      <w:lang w:val="en-US" w:eastAsia="en-US"/>
    </w:rPr>
  </w:style>
  <w:style w:type="paragraph" w:customStyle="1" w:styleId="Table7x">
    <w:name w:val="Table 7.x"/>
    <w:basedOn w:val="Table6X0"/>
    <w:qFormat/>
    <w:rsid w:val="001E4121"/>
    <w:pPr>
      <w:numPr>
        <w:numId w:val="31"/>
      </w:numPr>
      <w:tabs>
        <w:tab w:val="clear" w:pos="1232"/>
        <w:tab w:val="left" w:pos="1418"/>
      </w:tabs>
    </w:pPr>
    <w:rPr>
      <w:rFonts w:ascii="Arial" w:hAnsi="Arial"/>
      <w:i/>
      <w:color w:val="57514D"/>
      <w:lang w:val="en-AU"/>
    </w:rPr>
  </w:style>
  <w:style w:type="paragraph" w:customStyle="1" w:styleId="Table9x">
    <w:name w:val="Table 9.x"/>
    <w:basedOn w:val="Normal"/>
    <w:qFormat/>
    <w:rsid w:val="001E4121"/>
    <w:pPr>
      <w:tabs>
        <w:tab w:val="clear" w:pos="4196"/>
        <w:tab w:val="clear" w:pos="5046"/>
        <w:tab w:val="clear" w:pos="5897"/>
        <w:tab w:val="clear" w:pos="6747"/>
        <w:tab w:val="clear" w:pos="7598"/>
        <w:tab w:val="left" w:pos="1134"/>
      </w:tabs>
      <w:autoSpaceDE/>
      <w:autoSpaceDN/>
      <w:spacing w:before="360" w:after="120"/>
    </w:pPr>
    <w:rPr>
      <w:rFonts w:cs="Times New Roman"/>
      <w:bCs/>
      <w:i/>
      <w:color w:val="57514D"/>
      <w:kern w:val="28"/>
      <w:sz w:val="22"/>
      <w:szCs w:val="22"/>
      <w:lang w:val="en-US" w:eastAsia="en-US"/>
    </w:rPr>
  </w:style>
  <w:style w:type="paragraph" w:customStyle="1" w:styleId="TableB2X">
    <w:name w:val="Table B2.X"/>
    <w:basedOn w:val="TableHeading"/>
    <w:rsid w:val="001E4121"/>
    <w:pPr>
      <w:keepNext w:val="0"/>
      <w:keepLines w:val="0"/>
      <w:numPr>
        <w:numId w:val="34"/>
      </w:numPr>
      <w:tabs>
        <w:tab w:val="left" w:pos="1232"/>
      </w:tabs>
      <w:spacing w:before="360"/>
    </w:pPr>
    <w:rPr>
      <w:b w:val="0"/>
      <w:bCs/>
      <w:i/>
      <w:color w:val="57514D"/>
      <w:kern w:val="28"/>
      <w:sz w:val="20"/>
      <w:szCs w:val="22"/>
    </w:rPr>
  </w:style>
  <w:style w:type="paragraph" w:customStyle="1" w:styleId="TableCX">
    <w:name w:val="Table C.X"/>
    <w:basedOn w:val="TableHeading"/>
    <w:rsid w:val="001E4121"/>
    <w:pPr>
      <w:keepNext w:val="0"/>
      <w:keepLines w:val="0"/>
      <w:numPr>
        <w:numId w:val="35"/>
      </w:numPr>
      <w:tabs>
        <w:tab w:val="left" w:pos="1134"/>
      </w:tabs>
      <w:spacing w:before="360"/>
    </w:pPr>
    <w:rPr>
      <w:b w:val="0"/>
      <w:bCs/>
      <w:i/>
      <w:color w:val="57514D"/>
      <w:kern w:val="28"/>
      <w:sz w:val="20"/>
      <w:szCs w:val="22"/>
    </w:rPr>
  </w:style>
  <w:style w:type="table" w:customStyle="1" w:styleId="TableGrid1">
    <w:name w:val="Table Grid1"/>
    <w:basedOn w:val="TableNormal"/>
    <w:next w:val="TableGrid"/>
    <w:uiPriority w:val="59"/>
    <w:rsid w:val="001E412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1E412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0">
    <w:name w:val="Table heading"/>
    <w:basedOn w:val="Normal"/>
    <w:link w:val="TableheadingChar0"/>
    <w:qFormat/>
    <w:rsid w:val="001E4121"/>
    <w:pPr>
      <w:keepNext/>
      <w:spacing w:before="240" w:after="120"/>
      <w:ind w:left="1152" w:hanging="1152"/>
    </w:pPr>
    <w:rPr>
      <w:rFonts w:ascii="Calibri" w:hAnsi="Calibri"/>
      <w:b/>
      <w:sz w:val="22"/>
    </w:rPr>
  </w:style>
  <w:style w:type="character" w:customStyle="1" w:styleId="TableheadingChar0">
    <w:name w:val="Table heading Char"/>
    <w:link w:val="Tableheading0"/>
    <w:rsid w:val="001E4121"/>
    <w:rPr>
      <w:rFonts w:ascii="Calibri" w:hAnsi="Calibri" w:cs="Arial"/>
      <w:b/>
      <w:sz w:val="22"/>
    </w:rPr>
  </w:style>
  <w:style w:type="paragraph" w:styleId="TableofFigures">
    <w:name w:val="table of figures"/>
    <w:basedOn w:val="Normal"/>
    <w:next w:val="Normal"/>
    <w:link w:val="TableofFiguresChar"/>
    <w:qFormat/>
    <w:rsid w:val="001E4121"/>
    <w:pPr>
      <w:jc w:val="right"/>
    </w:pPr>
    <w:rPr>
      <w:rFonts w:ascii="Calibri" w:hAnsi="Calibri"/>
      <w:szCs w:val="18"/>
    </w:rPr>
  </w:style>
  <w:style w:type="character" w:customStyle="1" w:styleId="TableofFiguresChar">
    <w:name w:val="Table of Figures Char"/>
    <w:link w:val="TableofFigures"/>
    <w:rsid w:val="001E4121"/>
    <w:rPr>
      <w:rFonts w:ascii="Calibri" w:hAnsi="Calibri" w:cs="Arial"/>
      <w:szCs w:val="18"/>
    </w:rPr>
  </w:style>
  <w:style w:type="paragraph" w:customStyle="1" w:styleId="Tabletext">
    <w:name w:val="Table text"/>
    <w:basedOn w:val="TableofFigures"/>
    <w:link w:val="TabletextChar"/>
    <w:qFormat/>
    <w:rsid w:val="001E4121"/>
    <w:pPr>
      <w:ind w:left="180" w:hanging="180"/>
      <w:jc w:val="left"/>
    </w:pPr>
  </w:style>
  <w:style w:type="character" w:customStyle="1" w:styleId="TabletextChar">
    <w:name w:val="Table text Char"/>
    <w:link w:val="Tabletext"/>
    <w:rsid w:val="001E4121"/>
    <w:rPr>
      <w:rFonts w:ascii="Calibri" w:hAnsi="Calibri" w:cs="Arial"/>
      <w:szCs w:val="18"/>
    </w:rPr>
  </w:style>
  <w:style w:type="paragraph" w:customStyle="1" w:styleId="Tabletextheading">
    <w:name w:val="Table text heading"/>
    <w:basedOn w:val="TableofFigures"/>
    <w:link w:val="TabletextheadingChar"/>
    <w:qFormat/>
    <w:rsid w:val="001E4121"/>
    <w:rPr>
      <w:i/>
    </w:rPr>
  </w:style>
  <w:style w:type="character" w:customStyle="1" w:styleId="TabletextheadingChar">
    <w:name w:val="Table text heading Char"/>
    <w:link w:val="Tabletextheading"/>
    <w:locked/>
    <w:rsid w:val="001E4121"/>
    <w:rPr>
      <w:rFonts w:ascii="Calibri" w:hAnsi="Calibri" w:cs="Arial"/>
      <w:i/>
      <w:szCs w:val="18"/>
    </w:rPr>
  </w:style>
  <w:style w:type="paragraph" w:customStyle="1" w:styleId="TableTextNormal">
    <w:name w:val="Table Text Normal"/>
    <w:basedOn w:val="Normal"/>
    <w:link w:val="TableTextNormalChar"/>
    <w:rsid w:val="001E4121"/>
    <w:pPr>
      <w:widowControl/>
      <w:tabs>
        <w:tab w:val="clear" w:pos="4196"/>
        <w:tab w:val="clear" w:pos="5046"/>
        <w:tab w:val="clear" w:pos="5897"/>
        <w:tab w:val="clear" w:pos="6747"/>
        <w:tab w:val="clear" w:pos="7598"/>
      </w:tabs>
      <w:kinsoku w:val="0"/>
      <w:overflowPunct w:val="0"/>
      <w:adjustRightInd w:val="0"/>
      <w:snapToGrid w:val="0"/>
      <w:spacing w:before="60" w:after="60"/>
    </w:pPr>
    <w:rPr>
      <w:snapToGrid w:val="0"/>
      <w:sz w:val="18"/>
      <w:lang w:eastAsia="en-US"/>
    </w:rPr>
  </w:style>
  <w:style w:type="character" w:customStyle="1" w:styleId="TableTextNormalChar">
    <w:name w:val="Table Text Normal Char"/>
    <w:link w:val="TableTextNormal"/>
    <w:rsid w:val="001E4121"/>
    <w:rPr>
      <w:rFonts w:ascii="Arial" w:hAnsi="Arial" w:cs="Arial"/>
      <w:snapToGrid w:val="0"/>
      <w:sz w:val="18"/>
      <w:lang w:eastAsia="en-US"/>
    </w:rPr>
  </w:style>
  <w:style w:type="paragraph" w:customStyle="1" w:styleId="TitlePage1">
    <w:name w:val="Title Page 1"/>
    <w:rsid w:val="001E4121"/>
    <w:pPr>
      <w:keepLines/>
      <w:jc w:val="center"/>
    </w:pPr>
    <w:rPr>
      <w:rFonts w:ascii="Tahoma" w:hAnsi="Tahoma"/>
      <w:b/>
      <w:color w:val="000000"/>
      <w:kern w:val="32"/>
      <w:sz w:val="40"/>
      <w:lang w:eastAsia="en-US"/>
    </w:rPr>
  </w:style>
  <w:style w:type="paragraph" w:customStyle="1" w:styleId="TOC1contents">
    <w:name w:val="TOC1contents"/>
    <w:basedOn w:val="Normal"/>
    <w:rsid w:val="001E4121"/>
    <w:pPr>
      <w:keepNext/>
      <w:keepLines/>
      <w:tabs>
        <w:tab w:val="right" w:leader="dot" w:pos="6804"/>
        <w:tab w:val="decimal" w:pos="7088"/>
      </w:tabs>
      <w:spacing w:before="480"/>
    </w:pPr>
    <w:rPr>
      <w:b/>
      <w:smallCaps/>
      <w:kern w:val="32"/>
      <w:sz w:val="22"/>
    </w:rPr>
  </w:style>
  <w:style w:type="paragraph" w:customStyle="1" w:styleId="TOC2contents">
    <w:name w:val="TOC2contents"/>
    <w:basedOn w:val="Normal"/>
    <w:rsid w:val="001E4121"/>
    <w:pPr>
      <w:keepNext/>
      <w:keepLines/>
      <w:tabs>
        <w:tab w:val="num" w:pos="1702"/>
        <w:tab w:val="right" w:leader="dot" w:pos="6804"/>
        <w:tab w:val="decimal" w:pos="7088"/>
      </w:tabs>
      <w:spacing w:before="120"/>
      <w:ind w:left="1702" w:hanging="425"/>
    </w:pPr>
    <w:rPr>
      <w:kern w:val="32"/>
      <w:sz w:val="18"/>
    </w:rPr>
  </w:style>
  <w:style w:type="paragraph" w:customStyle="1" w:styleId="TableBX">
    <w:name w:val="Table B.X"/>
    <w:basedOn w:val="TableHeading"/>
    <w:rsid w:val="001E4121"/>
    <w:pPr>
      <w:keepNext w:val="0"/>
      <w:keepLines w:val="0"/>
      <w:numPr>
        <w:numId w:val="33"/>
      </w:numPr>
      <w:tabs>
        <w:tab w:val="left" w:pos="1134"/>
      </w:tabs>
      <w:spacing w:before="360"/>
    </w:pPr>
    <w:rPr>
      <w:b w:val="0"/>
      <w:bCs/>
      <w:i/>
      <w:color w:val="57514D"/>
      <w:kern w:val="28"/>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055581">
      <w:bodyDiv w:val="1"/>
      <w:marLeft w:val="0"/>
      <w:marRight w:val="0"/>
      <w:marTop w:val="0"/>
      <w:marBottom w:val="0"/>
      <w:divBdr>
        <w:top w:val="none" w:sz="0" w:space="0" w:color="auto"/>
        <w:left w:val="none" w:sz="0" w:space="0" w:color="auto"/>
        <w:bottom w:val="none" w:sz="0" w:space="0" w:color="auto"/>
        <w:right w:val="none" w:sz="0" w:space="0" w:color="auto"/>
      </w:divBdr>
    </w:div>
    <w:div w:id="398209324">
      <w:bodyDiv w:val="1"/>
      <w:marLeft w:val="0"/>
      <w:marRight w:val="0"/>
      <w:marTop w:val="0"/>
      <w:marBottom w:val="0"/>
      <w:divBdr>
        <w:top w:val="none" w:sz="0" w:space="0" w:color="auto"/>
        <w:left w:val="none" w:sz="0" w:space="0" w:color="auto"/>
        <w:bottom w:val="none" w:sz="0" w:space="0" w:color="auto"/>
        <w:right w:val="none" w:sz="0" w:space="0" w:color="auto"/>
      </w:divBdr>
    </w:div>
    <w:div w:id="768965522">
      <w:bodyDiv w:val="1"/>
      <w:marLeft w:val="0"/>
      <w:marRight w:val="0"/>
      <w:marTop w:val="0"/>
      <w:marBottom w:val="0"/>
      <w:divBdr>
        <w:top w:val="none" w:sz="0" w:space="0" w:color="auto"/>
        <w:left w:val="none" w:sz="0" w:space="0" w:color="auto"/>
        <w:bottom w:val="none" w:sz="0" w:space="0" w:color="auto"/>
        <w:right w:val="none" w:sz="0" w:space="0" w:color="auto"/>
      </w:divBdr>
    </w:div>
    <w:div w:id="1132870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1c478e85-8130-4c67-8ee4-8bdf1c0e604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02F16F1AFBDE54EBD2685E90FE1922F" ma:contentTypeVersion="11" ma:contentTypeDescription="Create a new document." ma:contentTypeScope="" ma:versionID="09dc3bd8f1f17fedb8a1949fc26bace1">
  <xsd:schema xmlns:xsd="http://www.w3.org/2001/XMLSchema" xmlns:xs="http://www.w3.org/2001/XMLSchema" xmlns:p="http://schemas.microsoft.com/office/2006/metadata/properties" xmlns:ns2="801a5968-9419-4033-b9de-7ffe8168468e" xmlns:ns3="1c478e85-8130-4c67-8ee4-8bdf1c0e6049" targetNamespace="http://schemas.microsoft.com/office/2006/metadata/properties" ma:root="true" ma:fieldsID="b368971463d79661f3ec0885fa2b6f01" ns2:_="" ns3:_="">
    <xsd:import namespace="801a5968-9419-4033-b9de-7ffe8168468e"/>
    <xsd:import namespace="1c478e85-8130-4c67-8ee4-8bdf1c0e604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a5968-9419-4033-b9de-7ffe8168468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478e85-8130-4c67-8ee4-8bdf1c0e604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31C38-E89D-4D60-B426-BC1FB4D8EBD5}">
  <ds:schemaRefs>
    <ds:schemaRef ds:uri="http://schemas.microsoft.com/sharepoint/v3/contenttype/forms"/>
  </ds:schemaRefs>
</ds:datastoreItem>
</file>

<file path=customXml/itemProps2.xml><?xml version="1.0" encoding="utf-8"?>
<ds:datastoreItem xmlns:ds="http://schemas.openxmlformats.org/officeDocument/2006/customXml" ds:itemID="{39C74B71-4EAA-4775-B386-108C0500B136}">
  <ds:schemaRefs>
    <ds:schemaRef ds:uri="http://schemas.microsoft.com/office/2006/metadata/properties"/>
    <ds:schemaRef ds:uri="http://schemas.microsoft.com/office/infopath/2007/PartnerControls"/>
    <ds:schemaRef ds:uri="1c478e85-8130-4c67-8ee4-8bdf1c0e6049"/>
  </ds:schemaRefs>
</ds:datastoreItem>
</file>

<file path=customXml/itemProps3.xml><?xml version="1.0" encoding="utf-8"?>
<ds:datastoreItem xmlns:ds="http://schemas.openxmlformats.org/officeDocument/2006/customXml" ds:itemID="{6424388F-45B9-4568-8AAC-4DF5305801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1a5968-9419-4033-b9de-7ffe8168468e"/>
    <ds:schemaRef ds:uri="1c478e85-8130-4c67-8ee4-8bdf1c0e60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C914DC-E4DC-4DF6-BCE2-51D425A8C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14</Pages>
  <Words>5292</Words>
  <Characters>30165</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2019-20 Budget Paper No. 1 - Budget Statement - Appendix - Statement of Significant Accounting Policies and Forecatst Assumptions</vt:lpstr>
    </vt:vector>
  </TitlesOfParts>
  <Company>NSW Treasury</Company>
  <LinksUpToDate>false</LinksUpToDate>
  <CharactersWithSpaces>35387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2019-20 Budget Paper No. 1 - Budget Statement - Appendix A2 - Statement of Significant Accounting Policies and Forecatst Assumptions</dc:title>
  <dc:creator>The Treasury</dc:creator>
  <cp:lastModifiedBy>Eliza Souter</cp:lastModifiedBy>
  <cp:revision>14</cp:revision>
  <cp:lastPrinted>2019-06-15T03:49:00Z</cp:lastPrinted>
  <dcterms:created xsi:type="dcterms:W3CDTF">2019-06-14T11:10:00Z</dcterms:created>
  <dcterms:modified xsi:type="dcterms:W3CDTF">2019-06-16T01:31:00Z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0x010100F02F16F1AFBDE54EBD2685E90FE1922F</vt:lpwstr>
  </property>
</Properties>
</file>