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4E324" w14:textId="77777777" w:rsidR="00720422" w:rsidRPr="00D47919" w:rsidRDefault="00EF78AA" w:rsidP="00654C70">
      <w:pPr>
        <w:pStyle w:val="Heading1"/>
        <w:spacing w:before="480" w:after="480"/>
      </w:pPr>
      <w:bookmarkStart w:id="0" w:name="_GoBack"/>
      <w:bookmarkEnd w:id="0"/>
      <w:r w:rsidRPr="00B87921">
        <w:t>B</w:t>
      </w:r>
      <w:r w:rsidR="003E17A0" w:rsidRPr="00D47919">
        <w:t>.</w:t>
      </w:r>
      <w:r w:rsidR="000925CB" w:rsidRPr="00D47919">
        <w:tab/>
      </w:r>
      <w:r w:rsidR="006C3082" w:rsidRPr="00D47919">
        <w:t xml:space="preserve">Fiscal Risks and </w:t>
      </w:r>
      <w:r w:rsidR="00720422" w:rsidRPr="00D47919">
        <w:t xml:space="preserve">Budget </w:t>
      </w:r>
      <w:r w:rsidR="005A1E2F" w:rsidRPr="00D47919">
        <w:t>Sensitivities</w:t>
      </w:r>
    </w:p>
    <w:p w14:paraId="0E83F0E3" w14:textId="3963A200" w:rsidR="00CB4FEC" w:rsidRDefault="00CB4FEC" w:rsidP="005E1887">
      <w:pPr>
        <w:pStyle w:val="BodyText"/>
      </w:pPr>
      <w:r>
        <w:t xml:space="preserve">The </w:t>
      </w:r>
      <w:r w:rsidR="00137FE8">
        <w:t>2019-20 Budget is</w:t>
      </w:r>
      <w:r w:rsidR="00A50C3E">
        <w:t xml:space="preserve"> </w:t>
      </w:r>
      <w:r w:rsidR="00137FE8">
        <w:t>prepared</w:t>
      </w:r>
      <w:r w:rsidR="00A50C3E">
        <w:t>, in part,</w:t>
      </w:r>
      <w:r w:rsidR="00137FE8">
        <w:t xml:space="preserve"> on forecasts and assumptions</w:t>
      </w:r>
      <w:r w:rsidR="00F1111E">
        <w:t xml:space="preserve"> </w:t>
      </w:r>
      <w:r w:rsidR="009A2C44">
        <w:t xml:space="preserve">subject to </w:t>
      </w:r>
      <w:r w:rsidR="00F1111E">
        <w:t>variations</w:t>
      </w:r>
      <w:r w:rsidR="009A2C44">
        <w:t xml:space="preserve">. </w:t>
      </w:r>
      <w:r w:rsidR="003C52A6">
        <w:t xml:space="preserve">This appendix </w:t>
      </w:r>
      <w:r w:rsidR="0058166B">
        <w:t>outlines</w:t>
      </w:r>
      <w:r w:rsidR="003C52A6">
        <w:t xml:space="preserve"> some of the risks inherent in the budget</w:t>
      </w:r>
      <w:r w:rsidR="0058166B">
        <w:t xml:space="preserve"> and presents </w:t>
      </w:r>
      <w:r w:rsidR="00AC3A35">
        <w:t>the potential</w:t>
      </w:r>
      <w:r w:rsidR="0058166B">
        <w:t xml:space="preserve"> </w:t>
      </w:r>
      <w:r w:rsidR="008D0439">
        <w:t xml:space="preserve">budget </w:t>
      </w:r>
      <w:r w:rsidR="00686B28">
        <w:t xml:space="preserve">result </w:t>
      </w:r>
      <w:r w:rsidR="008D0439">
        <w:t>and/or balance sheet impact</w:t>
      </w:r>
      <w:r w:rsidR="00A82D41">
        <w:t>s</w:t>
      </w:r>
      <w:r w:rsidR="008D0439">
        <w:t xml:space="preserve"> of these risks</w:t>
      </w:r>
      <w:r w:rsidR="00A51BCA">
        <w:t xml:space="preserve"> (if realised)</w:t>
      </w:r>
      <w:r w:rsidR="008D0439">
        <w:t xml:space="preserve"> and sensitivities</w:t>
      </w:r>
      <w:r w:rsidR="00AC3A35">
        <w:t xml:space="preserve"> resulting from changes in specified variables.</w:t>
      </w:r>
      <w:r w:rsidR="00551F06">
        <w:t xml:space="preserve"> </w:t>
      </w:r>
      <w:r w:rsidR="009C5ABA">
        <w:t>In the analysis presented</w:t>
      </w:r>
      <w:r w:rsidR="005270B5">
        <w:t xml:space="preserve"> throughout this appendix</w:t>
      </w:r>
      <w:r w:rsidR="009C5ABA">
        <w:t>, all</w:t>
      </w:r>
      <w:r w:rsidR="00551F06">
        <w:t xml:space="preserve"> variables other than those being tested adopt the same forecasts and assumptions used in preparing the 2019-20 Budget.</w:t>
      </w:r>
    </w:p>
    <w:p w14:paraId="75377635" w14:textId="3B129F97" w:rsidR="00551F06" w:rsidRDefault="003B07DC" w:rsidP="00F04CCF">
      <w:pPr>
        <w:pStyle w:val="BodyText"/>
      </w:pPr>
      <w:r>
        <w:t>The</w:t>
      </w:r>
      <w:r w:rsidR="0078097A">
        <w:t xml:space="preserve"> summary of sensitivities in this appendix </w:t>
      </w:r>
      <w:r w:rsidR="00A770A8">
        <w:t xml:space="preserve">should be used as a ‘rule of thumb’ estimated impact for a change in the </w:t>
      </w:r>
      <w:r w:rsidR="007458DE">
        <w:t>relevant</w:t>
      </w:r>
      <w:r w:rsidR="00A770A8">
        <w:t xml:space="preserve"> variable. </w:t>
      </w:r>
      <w:r w:rsidR="00227176">
        <w:t xml:space="preserve">The </w:t>
      </w:r>
      <w:r w:rsidR="00987906">
        <w:t xml:space="preserve">sensitivity analysis presented </w:t>
      </w:r>
      <w:r w:rsidR="00164C2C">
        <w:t>assumes</w:t>
      </w:r>
      <w:r w:rsidR="00252622">
        <w:t xml:space="preserve"> either a 1 per cent or 1 percentage point change to the </w:t>
      </w:r>
      <w:r w:rsidR="007458DE">
        <w:t>specified</w:t>
      </w:r>
      <w:r w:rsidR="00CE7A06">
        <w:t xml:space="preserve"> </w:t>
      </w:r>
      <w:r w:rsidR="00C3308E">
        <w:t xml:space="preserve">variable </w:t>
      </w:r>
      <w:r w:rsidR="00DA70DA">
        <w:t xml:space="preserve">in each </w:t>
      </w:r>
      <w:r w:rsidR="00D45143">
        <w:t>year</w:t>
      </w:r>
      <w:r w:rsidR="00DA70DA">
        <w:t xml:space="preserve">. </w:t>
      </w:r>
      <w:r w:rsidR="005573C8">
        <w:t>A</w:t>
      </w:r>
      <w:r w:rsidR="00FF476B">
        <w:t xml:space="preserve"> positive impact from the</w:t>
      </w:r>
      <w:r w:rsidR="00030ADE">
        <w:t xml:space="preserve"> variable</w:t>
      </w:r>
      <w:r w:rsidR="00FF476B">
        <w:t xml:space="preserve"> change will improve the</w:t>
      </w:r>
      <w:r w:rsidR="00030ADE">
        <w:t xml:space="preserve"> State’s</w:t>
      </w:r>
      <w:r w:rsidR="00FF476B">
        <w:t xml:space="preserve"> budget position or net worth, while </w:t>
      </w:r>
      <w:r w:rsidR="00F00064">
        <w:t xml:space="preserve">a </w:t>
      </w:r>
      <w:r w:rsidR="00FF476B">
        <w:t xml:space="preserve">negative impact </w:t>
      </w:r>
      <w:r w:rsidR="00030ADE">
        <w:t xml:space="preserve">weakens the </w:t>
      </w:r>
      <w:r w:rsidR="00C41DF1">
        <w:t>b</w:t>
      </w:r>
      <w:r w:rsidR="00030ADE">
        <w:t>udget position or net worth.</w:t>
      </w:r>
    </w:p>
    <w:p w14:paraId="49D8662D" w14:textId="46B4FA43" w:rsidR="00CB4FEC" w:rsidRDefault="003D2B5E" w:rsidP="00CD57E7">
      <w:pPr>
        <w:pStyle w:val="BodyText"/>
      </w:pPr>
      <w:r>
        <w:t>Several</w:t>
      </w:r>
      <w:r w:rsidR="003F04D1">
        <w:t xml:space="preserve"> specific fiscal risks are also outlined in this appendix</w:t>
      </w:r>
      <w:r w:rsidR="00F75426">
        <w:t xml:space="preserve">. </w:t>
      </w:r>
      <w:r w:rsidR="00671E05">
        <w:t>These could potentially</w:t>
      </w:r>
      <w:r w:rsidR="00E72335">
        <w:t xml:space="preserve"> have a positive or negative impact on the budget and forward estimates</w:t>
      </w:r>
      <w:r w:rsidR="00D43373">
        <w:t xml:space="preserve">. </w:t>
      </w:r>
      <w:r w:rsidR="00B9338E">
        <w:t>Due</w:t>
      </w:r>
      <w:r w:rsidR="00D43373">
        <w:t xml:space="preserve"> to the uncertainty </w:t>
      </w:r>
      <w:r w:rsidR="00F15C01">
        <w:t>surrounding</w:t>
      </w:r>
      <w:r w:rsidR="00D43373">
        <w:t xml:space="preserve"> these risks</w:t>
      </w:r>
      <w:r w:rsidR="00F15C01">
        <w:t>, the potential impacts have not been incorporated into the 2019</w:t>
      </w:r>
      <w:r w:rsidR="007503D8">
        <w:noBreakHyphen/>
      </w:r>
      <w:r w:rsidR="00F15C01">
        <w:t>20</w:t>
      </w:r>
      <w:r w:rsidR="007503D8">
        <w:t> </w:t>
      </w:r>
      <w:r w:rsidR="00F15C01">
        <w:t>Budget. For further information on the State’s contingent assets and liabilities see Appendix C of this Budget Paper.</w:t>
      </w:r>
    </w:p>
    <w:p w14:paraId="733822C3" w14:textId="4BB949ED" w:rsidR="006C3082" w:rsidRPr="004D2D27" w:rsidRDefault="007F44DA" w:rsidP="007260C2">
      <w:pPr>
        <w:pStyle w:val="Heading2"/>
        <w:ind w:left="1134" w:hanging="1134"/>
      </w:pPr>
      <w:bookmarkStart w:id="1" w:name="_Hlk516140952"/>
      <w:r>
        <w:t>B</w:t>
      </w:r>
      <w:r w:rsidR="00E442B5">
        <w:t>.</w:t>
      </w:r>
      <w:r>
        <w:t>1</w:t>
      </w:r>
      <w:r w:rsidR="00E442B5">
        <w:tab/>
      </w:r>
      <w:r w:rsidR="00031CA7">
        <w:t xml:space="preserve">Operating </w:t>
      </w:r>
      <w:r w:rsidR="00E72335">
        <w:t>s</w:t>
      </w:r>
      <w:r w:rsidR="00031CA7">
        <w:t>tatement</w:t>
      </w:r>
      <w:r w:rsidR="006C3082" w:rsidRPr="004D2D27">
        <w:t xml:space="preserve"> </w:t>
      </w:r>
      <w:r w:rsidR="0021397C" w:rsidRPr="004D2D27">
        <w:t>r</w:t>
      </w:r>
      <w:r w:rsidR="006C3082" w:rsidRPr="004D2D27">
        <w:t>isks</w:t>
      </w:r>
      <w:r w:rsidR="005221F7">
        <w:t xml:space="preserve"> and </w:t>
      </w:r>
      <w:r w:rsidR="005221F7" w:rsidRPr="00334198">
        <w:t>sensitivities</w:t>
      </w:r>
      <w:r w:rsidR="005221F7">
        <w:t xml:space="preserve"> </w:t>
      </w:r>
    </w:p>
    <w:bookmarkEnd w:id="1"/>
    <w:p w14:paraId="4B9A95E4" w14:textId="3BD149D1" w:rsidR="006C3082" w:rsidRPr="00A21502" w:rsidRDefault="006C3082">
      <w:pPr>
        <w:pStyle w:val="Heading3"/>
      </w:pPr>
      <w:r w:rsidRPr="00A21502">
        <w:t xml:space="preserve">State </w:t>
      </w:r>
      <w:r w:rsidR="001038C3" w:rsidRPr="00A21502">
        <w:t>t</w:t>
      </w:r>
      <w:r w:rsidRPr="00A21502">
        <w:t>ax</w:t>
      </w:r>
      <w:r w:rsidR="005C166C" w:rsidRPr="00A21502">
        <w:t>ation</w:t>
      </w:r>
      <w:r w:rsidRPr="00A21502">
        <w:t xml:space="preserve"> </w:t>
      </w:r>
      <w:r w:rsidR="001038C3" w:rsidRPr="00A21502">
        <w:t>r</w:t>
      </w:r>
      <w:r w:rsidRPr="00A21502">
        <w:t>evenue</w:t>
      </w:r>
    </w:p>
    <w:p w14:paraId="7E38D7D7" w14:textId="1B55ABB8" w:rsidR="00F6349D" w:rsidRDefault="00F6349D" w:rsidP="00915022">
      <w:pPr>
        <w:pStyle w:val="BodyText"/>
      </w:pPr>
      <w:r w:rsidRPr="3694050C">
        <w:t xml:space="preserve">Taxation revenue is dependent on underlying economic drivers such as property volumes and prices, employment and </w:t>
      </w:r>
      <w:r w:rsidR="00D87A60">
        <w:t xml:space="preserve">employee </w:t>
      </w:r>
      <w:r w:rsidRPr="3694050C">
        <w:t>compensation. Changes in these underlying drivers can have a significant impact on revenue collected.</w:t>
      </w:r>
    </w:p>
    <w:p w14:paraId="65BD424C" w14:textId="2F97F9A7" w:rsidR="00F6349D" w:rsidRDefault="00F6349D" w:rsidP="00915022">
      <w:pPr>
        <w:pStyle w:val="BodyText"/>
      </w:pPr>
      <w:r>
        <w:t>The largest State tax is payroll tax</w:t>
      </w:r>
      <w:r w:rsidR="002E0E70">
        <w:t>, and the</w:t>
      </w:r>
      <w:r>
        <w:t xml:space="preserve"> main driver of payroll tax is total </w:t>
      </w:r>
      <w:r w:rsidR="002E0E70">
        <w:t xml:space="preserve">employee </w:t>
      </w:r>
      <w:r>
        <w:t>compensation.</w:t>
      </w:r>
      <w:r w:rsidR="00E87F4C">
        <w:t xml:space="preserve"> V</w:t>
      </w:r>
      <w:r>
        <w:t xml:space="preserve">ariations in </w:t>
      </w:r>
      <w:r w:rsidR="00E87F4C">
        <w:t xml:space="preserve">employment, </w:t>
      </w:r>
      <w:r>
        <w:t xml:space="preserve">wages, </w:t>
      </w:r>
      <w:r w:rsidR="002E0E70">
        <w:t xml:space="preserve">and </w:t>
      </w:r>
      <w:r>
        <w:t xml:space="preserve">other forms of employee compensation can cause </w:t>
      </w:r>
      <w:r w:rsidR="0053670E">
        <w:t xml:space="preserve">movements </w:t>
      </w:r>
      <w:r>
        <w:t xml:space="preserve">in payroll tax revenue. The labour market is </w:t>
      </w:r>
      <w:r w:rsidR="00B24CE0">
        <w:t>also exposed to</w:t>
      </w:r>
      <w:r>
        <w:t xml:space="preserve"> macro</w:t>
      </w:r>
      <w:r w:rsidR="009A0A72">
        <w:noBreakHyphen/>
      </w:r>
      <w:r>
        <w:t xml:space="preserve">economic </w:t>
      </w:r>
      <w:r w:rsidR="00377DBB">
        <w:t>uncertaint</w:t>
      </w:r>
      <w:r w:rsidR="00900717">
        <w:t>ies</w:t>
      </w:r>
      <w:r w:rsidR="00E87F4C">
        <w:t xml:space="preserve">. These include </w:t>
      </w:r>
      <w:r>
        <w:t xml:space="preserve">external trade shocks, </w:t>
      </w:r>
      <w:r w:rsidR="72DC617A" w:rsidRPr="72DC617A">
        <w:t>enterprise</w:t>
      </w:r>
      <w:r>
        <w:t xml:space="preserve"> bargaining outcomes, </w:t>
      </w:r>
      <w:r w:rsidR="00F415BF">
        <w:t>and</w:t>
      </w:r>
      <w:r>
        <w:t xml:space="preserve"> changes in household demand. </w:t>
      </w:r>
      <w:r w:rsidR="00B24CE0">
        <w:t xml:space="preserve">Movements </w:t>
      </w:r>
      <w:r>
        <w:t>in any of these could result in revised employment or wage growth outcomes</w:t>
      </w:r>
      <w:r w:rsidR="00451E5C">
        <w:t>,</w:t>
      </w:r>
      <w:r>
        <w:t xml:space="preserve"> with </w:t>
      </w:r>
      <w:r w:rsidR="00F415BF">
        <w:t>flow-through</w:t>
      </w:r>
      <w:r>
        <w:t xml:space="preserve"> effects on payroll tax.</w:t>
      </w:r>
    </w:p>
    <w:p w14:paraId="7EEFD367" w14:textId="7A828A5F" w:rsidR="000F14B6" w:rsidRDefault="30D10667" w:rsidP="00E442B5">
      <w:pPr>
        <w:pStyle w:val="BodyText"/>
      </w:pPr>
      <w:r>
        <w:t>Transfer duty makes u</w:t>
      </w:r>
      <w:r w:rsidRPr="00E239E4">
        <w:t xml:space="preserve">p about </w:t>
      </w:r>
      <w:r w:rsidRPr="00D11E5D">
        <w:t xml:space="preserve">8.2 </w:t>
      </w:r>
      <w:r w:rsidRPr="00E239E4">
        <w:t>per</w:t>
      </w:r>
      <w:r>
        <w:t xml:space="preserve"> cent of forecast 2019-20 general government sector revenue and a delay in the forecast residential property recovery, or a less robust return to growth, could detract from the State’s budget result. Conversely, a stronger recovery could improve the result. Revenue from large commercial transactions is becoming a greater share of transfer duty over time. Since large transactions are more volatile than activity in the residential property market, this increases the risk of upward or downward revisions to transfer duty. </w:t>
      </w:r>
    </w:p>
    <w:p w14:paraId="5D83DEEB" w14:textId="04B1B120" w:rsidR="005D5CC6" w:rsidRDefault="005D5CC6" w:rsidP="00E442B5">
      <w:pPr>
        <w:pStyle w:val="BodyText"/>
      </w:pPr>
      <w:r w:rsidRPr="0077297F">
        <w:t xml:space="preserve">Other state taxes are typically less volatile, following changes in the broader </w:t>
      </w:r>
      <w:r w:rsidR="007503D8">
        <w:t>NSW</w:t>
      </w:r>
      <w:r w:rsidRPr="0077297F">
        <w:t xml:space="preserve"> economy. Motor vehicle</w:t>
      </w:r>
      <w:r w:rsidR="000B1A47">
        <w:t xml:space="preserve"> and</w:t>
      </w:r>
      <w:r w:rsidRPr="0077297F">
        <w:t xml:space="preserve"> gambling taxes and other stamp duties broadly follow consumption patterns across </w:t>
      </w:r>
      <w:r w:rsidR="000B1A47">
        <w:t>the State</w:t>
      </w:r>
      <w:r w:rsidRPr="0077297F">
        <w:t>, which can change suddenly, influenced by numerous factors including employment and house</w:t>
      </w:r>
      <w:r w:rsidR="007503D8">
        <w:t xml:space="preserve"> </w:t>
      </w:r>
      <w:r w:rsidRPr="0077297F">
        <w:t>price growth.</w:t>
      </w:r>
    </w:p>
    <w:p w14:paraId="12D4C562" w14:textId="6B3DA261" w:rsidR="00E442B5" w:rsidRDefault="00E442B5" w:rsidP="00F6349D">
      <w:pPr>
        <w:spacing w:before="240" w:after="240"/>
        <w:rPr>
          <w:rFonts w:ascii="Arial" w:eastAsia="Arial" w:hAnsi="Arial" w:cs="Arial"/>
          <w:i/>
          <w:iCs/>
          <w:color w:val="4F4F4F"/>
          <w:sz w:val="21"/>
          <w:szCs w:val="21"/>
        </w:rPr>
      </w:pPr>
      <w:r>
        <w:rPr>
          <w:rFonts w:ascii="Arial" w:eastAsia="Arial" w:hAnsi="Arial" w:cs="Arial"/>
          <w:i/>
          <w:iCs/>
          <w:color w:val="4F4F4F"/>
          <w:sz w:val="21"/>
          <w:szCs w:val="21"/>
        </w:rPr>
        <w:br w:type="page"/>
      </w:r>
    </w:p>
    <w:p w14:paraId="72FD295F" w14:textId="79933ACD" w:rsidR="00234167" w:rsidRPr="004D2D27" w:rsidRDefault="00234167" w:rsidP="00D11E5D">
      <w:pPr>
        <w:pStyle w:val="Table4X"/>
        <w:rPr>
          <w:rFonts w:eastAsia="Arial"/>
          <w:sz w:val="23"/>
          <w:szCs w:val="23"/>
        </w:rPr>
      </w:pPr>
      <w:r w:rsidRPr="3694050C">
        <w:rPr>
          <w:rFonts w:eastAsia="Arial"/>
        </w:rPr>
        <w:lastRenderedPageBreak/>
        <w:t>Revenue sensitivities – state taxation revenues</w:t>
      </w:r>
    </w:p>
    <w:p w14:paraId="7529229C" w14:textId="670B8406" w:rsidR="00234167" w:rsidRDefault="000D16BF" w:rsidP="00234167">
      <w:pPr>
        <w:rPr>
          <w:rFonts w:ascii="Arial" w:eastAsia="Arial" w:hAnsi="Arial" w:cs="Arial"/>
          <w:i/>
          <w:iCs/>
          <w:color w:val="4F4F4F"/>
          <w:sz w:val="21"/>
          <w:szCs w:val="21"/>
        </w:rPr>
      </w:pPr>
      <w:r w:rsidRPr="000D16BF">
        <w:rPr>
          <w:rFonts w:eastAsia="Arial"/>
          <w:noProof/>
        </w:rPr>
        <w:drawing>
          <wp:inline distT="0" distB="0" distL="0" distR="0" wp14:anchorId="104F3D71" wp14:editId="3275A72A">
            <wp:extent cx="6103620" cy="18135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3620" cy="1813560"/>
                    </a:xfrm>
                    <a:prstGeom prst="rect">
                      <a:avLst/>
                    </a:prstGeom>
                    <a:noFill/>
                    <a:ln>
                      <a:noFill/>
                    </a:ln>
                  </pic:spPr>
                </pic:pic>
              </a:graphicData>
            </a:graphic>
          </wp:inline>
        </w:drawing>
      </w:r>
    </w:p>
    <w:p w14:paraId="4621B9AD" w14:textId="77777777" w:rsidR="00234167" w:rsidRPr="00D11E5D" w:rsidRDefault="00234167" w:rsidP="00667998">
      <w:pPr>
        <w:pStyle w:val="ListParagraph"/>
        <w:numPr>
          <w:ilvl w:val="0"/>
          <w:numId w:val="9"/>
        </w:numPr>
        <w:ind w:left="284" w:hanging="284"/>
        <w:jc w:val="both"/>
        <w:rPr>
          <w:rFonts w:ascii="Arial" w:eastAsia="Arial" w:hAnsi="Arial" w:cs="Arial"/>
          <w:iCs/>
          <w:sz w:val="17"/>
          <w:szCs w:val="17"/>
        </w:rPr>
      </w:pPr>
      <w:r w:rsidRPr="00D11E5D">
        <w:rPr>
          <w:rFonts w:ascii="Arial" w:eastAsia="Arial" w:hAnsi="Arial" w:cs="Arial"/>
          <w:iCs/>
          <w:sz w:val="17"/>
          <w:szCs w:val="17"/>
        </w:rPr>
        <w:t>1 per cent movement in factor is a 1 percentage point increase.</w:t>
      </w:r>
    </w:p>
    <w:p w14:paraId="5AE9391D" w14:textId="5409093E" w:rsidR="006C3082" w:rsidRPr="00A21502" w:rsidRDefault="0003789C">
      <w:pPr>
        <w:pStyle w:val="Heading3"/>
      </w:pPr>
      <w:bookmarkStart w:id="2" w:name="_Hlk516140863"/>
      <w:r w:rsidRPr="00A21502">
        <w:t xml:space="preserve">GST </w:t>
      </w:r>
      <w:r w:rsidR="00474235">
        <w:t xml:space="preserve">and other Commonwealth </w:t>
      </w:r>
      <w:r w:rsidR="00BF0F63">
        <w:t>p</w:t>
      </w:r>
      <w:r w:rsidR="00474235">
        <w:t>ayments</w:t>
      </w:r>
    </w:p>
    <w:p w14:paraId="5B39A7D2" w14:textId="2CF7FA8B" w:rsidR="00197437" w:rsidRDefault="00972D53" w:rsidP="005E1887">
      <w:pPr>
        <w:pStyle w:val="BodyText"/>
      </w:pPr>
      <w:r>
        <w:t xml:space="preserve">The </w:t>
      </w:r>
      <w:r w:rsidR="00197437">
        <w:t xml:space="preserve">GST revenue </w:t>
      </w:r>
      <w:r>
        <w:t xml:space="preserve">that </w:t>
      </w:r>
      <w:r w:rsidR="00197437">
        <w:t>New South Wales</w:t>
      </w:r>
      <w:r>
        <w:t xml:space="preserve"> receives</w:t>
      </w:r>
      <w:r w:rsidR="00197437">
        <w:t xml:space="preserve"> is affected by the amount collected nationally (the pool size) and the State’s share (its relativity). A </w:t>
      </w:r>
      <w:r w:rsidR="00B54897">
        <w:t>rise</w:t>
      </w:r>
      <w:r w:rsidR="00197437">
        <w:t xml:space="preserve"> in New South Wales</w:t>
      </w:r>
      <w:r w:rsidR="00B54897">
        <w:t>’</w:t>
      </w:r>
      <w:r w:rsidR="00197437">
        <w:t xml:space="preserve"> own</w:t>
      </w:r>
      <w:r w:rsidR="00EC4E59">
        <w:t xml:space="preserve"> source</w:t>
      </w:r>
      <w:r w:rsidR="00197437">
        <w:t xml:space="preserve"> revenue relative to other states, or a reduction in its assessed need for expenditure relative to other states, or an increase in National Agreement and National Partnership payments relative to other states, may put downward pressure on the </w:t>
      </w:r>
      <w:r w:rsidR="00B54897">
        <w:t>State’s</w:t>
      </w:r>
      <w:r w:rsidR="00197437">
        <w:t xml:space="preserve"> relativity and </w:t>
      </w:r>
      <w:r w:rsidR="00EC4E59">
        <w:t xml:space="preserve">therefore </w:t>
      </w:r>
      <w:r w:rsidR="00197437">
        <w:t xml:space="preserve">GST </w:t>
      </w:r>
      <w:r w:rsidR="00EC4E59">
        <w:t>revenue</w:t>
      </w:r>
      <w:r w:rsidR="00197437">
        <w:t>.</w:t>
      </w:r>
    </w:p>
    <w:p w14:paraId="1975A0DC" w14:textId="301A52C3" w:rsidR="0003789C" w:rsidRDefault="0003789C" w:rsidP="005E1887">
      <w:pPr>
        <w:pStyle w:val="BodyText"/>
      </w:pPr>
      <w:r>
        <w:t xml:space="preserve">As identified </w:t>
      </w:r>
      <w:r w:rsidRPr="00F367E7">
        <w:t xml:space="preserve">in </w:t>
      </w:r>
      <w:r w:rsidRPr="00D11E5D">
        <w:t xml:space="preserve">Chapter </w:t>
      </w:r>
      <w:r w:rsidR="006B52CB" w:rsidRPr="00D11E5D">
        <w:t>2</w:t>
      </w:r>
      <w:r w:rsidR="002D69C0" w:rsidRPr="00D11E5D">
        <w:t>,</w:t>
      </w:r>
      <w:r w:rsidRPr="00F367E7">
        <w:t xml:space="preserve"> there</w:t>
      </w:r>
      <w:r>
        <w:t xml:space="preserve"> are </w:t>
      </w:r>
      <w:r w:rsidRPr="00BE6AFB">
        <w:t xml:space="preserve">significant </w:t>
      </w:r>
      <w:proofErr w:type="gramStart"/>
      <w:r w:rsidRPr="00BE6AFB">
        <w:t>short</w:t>
      </w:r>
      <w:r>
        <w:t xml:space="preserve"> and medium </w:t>
      </w:r>
      <w:r w:rsidRPr="00BE6AFB">
        <w:t>term</w:t>
      </w:r>
      <w:proofErr w:type="gramEnd"/>
      <w:r w:rsidRPr="00BE6AFB">
        <w:t xml:space="preserve"> risks for New South Wales</w:t>
      </w:r>
      <w:r>
        <w:t xml:space="preserve"> from the subdued</w:t>
      </w:r>
      <w:r w:rsidRPr="00BE6AFB">
        <w:t xml:space="preserve"> outlook for nominal household consumption </w:t>
      </w:r>
      <w:r>
        <w:t xml:space="preserve">and </w:t>
      </w:r>
      <w:r w:rsidRPr="00BE6AFB">
        <w:t>dwelling investment</w:t>
      </w:r>
      <w:r>
        <w:t>.</w:t>
      </w:r>
      <w:r w:rsidRPr="00BE6AFB">
        <w:t xml:space="preserve"> </w:t>
      </w:r>
    </w:p>
    <w:p w14:paraId="763F5D58" w14:textId="40537924" w:rsidR="0003789C" w:rsidRPr="00AE656E" w:rsidRDefault="0003789C" w:rsidP="00F04CCF">
      <w:pPr>
        <w:pStyle w:val="BodyText"/>
      </w:pPr>
      <w:r>
        <w:t xml:space="preserve">The 2019-20 </w:t>
      </w:r>
      <w:r w:rsidRPr="00AE656E">
        <w:t>Commonwealth Budget scenario analysis</w:t>
      </w:r>
      <w:r w:rsidR="005007DB" w:rsidRPr="00AE656E">
        <w:rPr>
          <w:rStyle w:val="FootnoteReference"/>
        </w:rPr>
        <w:footnoteReference w:id="2"/>
      </w:r>
      <w:r w:rsidRPr="00AE656E">
        <w:t xml:space="preserve"> indicates a 0.5 per cent fall in nominal consumption growth compared </w:t>
      </w:r>
      <w:r w:rsidR="002C0D50">
        <w:t>with that</w:t>
      </w:r>
      <w:r w:rsidRPr="00AE656E">
        <w:t xml:space="preserve"> forecast in 2019-20 would reduce national GST receipts by $0.3 billion in 2019-20 and $0.5 billion in 2020-21. This would reduce New South Wales GST revenue by $373 million over the four years to 2021-22</w:t>
      </w:r>
      <w:r w:rsidR="002C0D50">
        <w:t>, while a</w:t>
      </w:r>
      <w:r w:rsidRPr="00AE656E">
        <w:t xml:space="preserve"> greater fall in nominal consumption growth and national GST receipts would lead to a commensurate fall in </w:t>
      </w:r>
      <w:r w:rsidR="00C923F7">
        <w:t>the State’s</w:t>
      </w:r>
      <w:r w:rsidRPr="00AE656E">
        <w:t xml:space="preserve"> GST revenue.</w:t>
      </w:r>
    </w:p>
    <w:p w14:paraId="591A1EFD" w14:textId="5D5B4154" w:rsidR="0003789C" w:rsidRPr="00AE656E" w:rsidRDefault="0003789C" w:rsidP="00CD57E7">
      <w:pPr>
        <w:pStyle w:val="BodyText"/>
      </w:pPr>
      <w:r w:rsidRPr="00AE656E">
        <w:t>Changes in the fiscal circumstances of other states also present risks to New South Wales</w:t>
      </w:r>
      <w:r w:rsidR="006B52CB">
        <w:t>’</w:t>
      </w:r>
      <w:r w:rsidRPr="00AE656E">
        <w:t xml:space="preserve"> GST revenue</w:t>
      </w:r>
      <w:r w:rsidR="00B53087">
        <w:t>:</w:t>
      </w:r>
    </w:p>
    <w:p w14:paraId="6BC3947F" w14:textId="28B9060B" w:rsidR="0003789C" w:rsidRDefault="00B53087" w:rsidP="00E442B5">
      <w:pPr>
        <w:pStyle w:val="Bullet1"/>
      </w:pPr>
      <w:r>
        <w:t>d</w:t>
      </w:r>
      <w:r w:rsidR="0003789C" w:rsidRPr="00AE656E">
        <w:t xml:space="preserve">ownside risks exist if </w:t>
      </w:r>
      <w:r w:rsidR="00C923F7">
        <w:t xml:space="preserve">New South Wales’ </w:t>
      </w:r>
      <w:r w:rsidR="000C49AA">
        <w:t>transfer</w:t>
      </w:r>
      <w:r w:rsidR="000C49AA" w:rsidRPr="00AE656E">
        <w:t xml:space="preserve"> </w:t>
      </w:r>
      <w:r w:rsidR="0003789C" w:rsidRPr="00AE656E">
        <w:t xml:space="preserve">duty </w:t>
      </w:r>
      <w:r w:rsidR="00C923F7">
        <w:t>revenue</w:t>
      </w:r>
      <w:r w:rsidR="0003789C" w:rsidRPr="00AE656E">
        <w:t xml:space="preserve"> is stronger than expected or </w:t>
      </w:r>
      <w:r w:rsidR="00EB22D8">
        <w:t xml:space="preserve">if it is </w:t>
      </w:r>
      <w:r w:rsidR="002A6D06">
        <w:t>lower than expected in other states</w:t>
      </w:r>
      <w:r w:rsidR="00A4631E">
        <w:t xml:space="preserve"> </w:t>
      </w:r>
    </w:p>
    <w:p w14:paraId="20A0DB4F" w14:textId="5E38A430" w:rsidR="0003789C" w:rsidRDefault="00B53087" w:rsidP="00E442B5">
      <w:pPr>
        <w:pStyle w:val="Bullet1"/>
      </w:pPr>
      <w:r>
        <w:t>u</w:t>
      </w:r>
      <w:r w:rsidR="00A4631E">
        <w:t>pside</w:t>
      </w:r>
      <w:r w:rsidR="0003789C" w:rsidRPr="00AE656E">
        <w:t xml:space="preserve"> risks also exist. </w:t>
      </w:r>
      <w:r w:rsidR="005E1887">
        <w:t>For example, a</w:t>
      </w:r>
      <w:r w:rsidR="0077297F">
        <w:t>n</w:t>
      </w:r>
      <w:r w:rsidR="0003789C" w:rsidRPr="00AE656E">
        <w:t xml:space="preserve"> increase in Western Australia’s iron ore royalties in 2019-20 would increase New South Wales</w:t>
      </w:r>
      <w:r w:rsidR="00723778">
        <w:t>’</w:t>
      </w:r>
      <w:r w:rsidR="0003789C" w:rsidRPr="00AE656E">
        <w:t xml:space="preserve"> GST revenue</w:t>
      </w:r>
      <w:r w:rsidR="0085209C">
        <w:t>.</w:t>
      </w:r>
    </w:p>
    <w:p w14:paraId="7E6DD0A7" w14:textId="3DFFB3CF" w:rsidR="00400809" w:rsidRPr="00C1664C" w:rsidRDefault="00400809" w:rsidP="00400809">
      <w:pPr>
        <w:pStyle w:val="BodyText"/>
      </w:pPr>
      <w:r w:rsidRPr="00C1664C">
        <w:t xml:space="preserve">The Commonwealth Grants Commission (CGC) 2020 Methodology Review also presents near term risks for New South Wales. This </w:t>
      </w:r>
      <w:r w:rsidR="00D61084">
        <w:t>five</w:t>
      </w:r>
      <w:r w:rsidRPr="00C1664C">
        <w:t xml:space="preserve">-yearly review will lead to changes in how the CGC calculates each state and territories’ GST requirement. Possible data revisions </w:t>
      </w:r>
      <w:r w:rsidR="00EC4E59">
        <w:t>could also</w:t>
      </w:r>
      <w:r w:rsidRPr="00C1664C">
        <w:t xml:space="preserve"> have redistribution impacts</w:t>
      </w:r>
      <w:r w:rsidR="008644B2">
        <w:t>. Outcomes</w:t>
      </w:r>
      <w:r w:rsidRPr="00C1664C">
        <w:t xml:space="preserve"> from the Review will affect New South Wales</w:t>
      </w:r>
      <w:r w:rsidR="00090F27">
        <w:t>’</w:t>
      </w:r>
      <w:r w:rsidRPr="00C1664C">
        <w:t xml:space="preserve"> GST share from 2020-21 to 2025-26. </w:t>
      </w:r>
    </w:p>
    <w:p w14:paraId="7220EF48" w14:textId="15A1D508" w:rsidR="00402A15" w:rsidRPr="00C1664C" w:rsidRDefault="00402A15" w:rsidP="00C1664C">
      <w:pPr>
        <w:pStyle w:val="BodyText"/>
      </w:pPr>
      <w:r w:rsidRPr="00C1664C">
        <w:t xml:space="preserve">To minimise risks regarding GST revenue forecasting, </w:t>
      </w:r>
      <w:r w:rsidR="00EC4E59">
        <w:t>Treasury</w:t>
      </w:r>
      <w:r w:rsidRPr="00C1664C">
        <w:t xml:space="preserve"> will conduct a review of its GST revenue forecasting framework </w:t>
      </w:r>
      <w:r w:rsidR="00681553">
        <w:t xml:space="preserve">to ensure it continues to support good decision-making </w:t>
      </w:r>
      <w:r w:rsidR="00CD30A0">
        <w:t>through</w:t>
      </w:r>
      <w:r w:rsidRPr="00C1664C">
        <w:t xml:space="preserve"> high</w:t>
      </w:r>
      <w:r w:rsidR="00F9356A">
        <w:t>-</w:t>
      </w:r>
      <w:r w:rsidRPr="00C1664C">
        <w:t xml:space="preserve">quality GST revenue forecasts. Changes to this framework will be implemented over the next </w:t>
      </w:r>
      <w:r w:rsidR="00F9356A">
        <w:t>12</w:t>
      </w:r>
      <w:r w:rsidRPr="00C1664C">
        <w:t xml:space="preserve"> months. </w:t>
      </w:r>
    </w:p>
    <w:p w14:paraId="0348A1BF" w14:textId="77777777" w:rsidR="007260C2" w:rsidRDefault="007260C2">
      <w:pPr>
        <w:spacing w:after="200" w:line="276" w:lineRule="auto"/>
        <w:rPr>
          <w:rFonts w:ascii="Arial" w:eastAsiaTheme="minorHAnsi" w:hAnsi="Arial" w:cs="Arial"/>
          <w:sz w:val="23"/>
          <w:szCs w:val="24"/>
          <w:lang w:val="en-AU"/>
        </w:rPr>
      </w:pPr>
      <w:r>
        <w:br w:type="page"/>
      </w:r>
    </w:p>
    <w:p w14:paraId="6278115B" w14:textId="714871F4" w:rsidR="00CD482F" w:rsidRDefault="00CD482F" w:rsidP="00F04CCF">
      <w:pPr>
        <w:pStyle w:val="BodyText"/>
      </w:pPr>
      <w:r>
        <w:lastRenderedPageBreak/>
        <w:t xml:space="preserve">The budget result is also </w:t>
      </w:r>
      <w:r w:rsidR="00F9356A">
        <w:t>affected</w:t>
      </w:r>
      <w:r>
        <w:t xml:space="preserve"> by variations in National Agreement and National Partnership payments</w:t>
      </w:r>
      <w:r w:rsidR="00515873">
        <w:t xml:space="preserve"> and any associated spending obligations</w:t>
      </w:r>
      <w:r>
        <w:t>. The volatility arises from new or re-negotiated programs and infrastructure projects, the termination of existing agreements and changes to payment profiles.</w:t>
      </w:r>
    </w:p>
    <w:bookmarkEnd w:id="2"/>
    <w:p w14:paraId="721ADAAC" w14:textId="5D3FD0A9" w:rsidR="00B53745" w:rsidRPr="00A21502" w:rsidRDefault="00B53745" w:rsidP="00475AD3">
      <w:pPr>
        <w:pStyle w:val="Heading3"/>
      </w:pPr>
      <w:r w:rsidRPr="00A21502">
        <w:t>Royalties</w:t>
      </w:r>
    </w:p>
    <w:p w14:paraId="453313F1" w14:textId="7AEC6E5E" w:rsidR="00234167" w:rsidRPr="004D2D27" w:rsidRDefault="00234167" w:rsidP="00E442B5">
      <w:pPr>
        <w:pStyle w:val="BodyText"/>
      </w:pPr>
      <w:r w:rsidRPr="3694050C">
        <w:t>New South Wales</w:t>
      </w:r>
      <w:r w:rsidR="00BC091A">
        <w:t>’ mineral royalties</w:t>
      </w:r>
      <w:r w:rsidRPr="3694050C">
        <w:t xml:space="preserve"> are primarily derived from coal, most of which is exported to East Asia. Royalties revenue is sensitive to changes in foreign exchange rates, global coal prices and domestic production. Mineral royalties are also exposed to other domestic and external global risks that contribute to its significant volatility as a revenue source. </w:t>
      </w:r>
      <w:r w:rsidR="0039334E">
        <w:t>Mineral</w:t>
      </w:r>
      <w:r w:rsidR="00515873" w:rsidRPr="3694050C">
        <w:t xml:space="preserve"> </w:t>
      </w:r>
      <w:r w:rsidRPr="3694050C">
        <w:t>royalties are generally affected by three factors:</w:t>
      </w:r>
    </w:p>
    <w:p w14:paraId="5390E116" w14:textId="7C19FF1C" w:rsidR="00234167" w:rsidRPr="004D2D27" w:rsidRDefault="00234167" w:rsidP="00E442B5">
      <w:pPr>
        <w:pStyle w:val="Bullet1"/>
      </w:pPr>
      <w:r w:rsidRPr="3694050C">
        <w:t>coal export volumes – an increase in coal volumes increases the quantity of coal that royalties are charge</w:t>
      </w:r>
      <w:r w:rsidR="00BC091A">
        <w:t>d</w:t>
      </w:r>
      <w:r w:rsidRPr="3694050C">
        <w:t xml:space="preserve"> on, hence increasing revenue</w:t>
      </w:r>
    </w:p>
    <w:p w14:paraId="7817EF57" w14:textId="77777777" w:rsidR="00234167" w:rsidRPr="004D2D27" w:rsidRDefault="00234167" w:rsidP="00E442B5">
      <w:pPr>
        <w:pStyle w:val="Bullet1"/>
      </w:pPr>
      <w:r w:rsidRPr="3694050C">
        <w:t xml:space="preserve">coal export prices – an increase in coal export prices increases the value of coal exports and so increases </w:t>
      </w:r>
      <w:proofErr w:type="gramStart"/>
      <w:r w:rsidRPr="3694050C">
        <w:t>royalties</w:t>
      </w:r>
      <w:proofErr w:type="gramEnd"/>
      <w:r w:rsidRPr="3694050C">
        <w:t xml:space="preserve"> revenue </w:t>
      </w:r>
    </w:p>
    <w:p w14:paraId="4945E174" w14:textId="48B0CE0A" w:rsidR="00234167" w:rsidRPr="00385B68" w:rsidRDefault="00234167" w:rsidP="00E442B5">
      <w:pPr>
        <w:pStyle w:val="Bullet1"/>
      </w:pPr>
      <w:r w:rsidRPr="3694050C">
        <w:t xml:space="preserve">exchange rates – an appreciation of the Australian-US exchange rate reduces the Australian dollar value of coal exports, putting downward pressure on </w:t>
      </w:r>
      <w:proofErr w:type="gramStart"/>
      <w:r w:rsidRPr="3694050C">
        <w:t>royalties</w:t>
      </w:r>
      <w:proofErr w:type="gramEnd"/>
      <w:r w:rsidRPr="3694050C">
        <w:t xml:space="preserve"> revenue</w:t>
      </w:r>
      <w:r w:rsidR="00FE2387">
        <w:t xml:space="preserve"> due to coal exports being transacted in US dollars</w:t>
      </w:r>
    </w:p>
    <w:p w14:paraId="18E6FAEE" w14:textId="5B53103F" w:rsidR="00234167" w:rsidRPr="004D2D27" w:rsidRDefault="00234167" w:rsidP="00D11E5D">
      <w:pPr>
        <w:pStyle w:val="Table4X"/>
        <w:rPr>
          <w:rFonts w:eastAsia="Arial"/>
        </w:rPr>
      </w:pPr>
      <w:r w:rsidRPr="3694050C">
        <w:rPr>
          <w:rFonts w:eastAsia="Arial"/>
        </w:rPr>
        <w:t xml:space="preserve"> Revenue sensitivities – state taxation royalties</w:t>
      </w:r>
    </w:p>
    <w:p w14:paraId="7035437E" w14:textId="4B0A5D59" w:rsidR="00234167" w:rsidRDefault="006A1341" w:rsidP="00234167">
      <w:pPr>
        <w:rPr>
          <w:rFonts w:ascii="Arial" w:eastAsia="Arial" w:hAnsi="Arial" w:cs="Arial"/>
          <w:i/>
          <w:iCs/>
          <w:color w:val="4F4F4F"/>
          <w:sz w:val="21"/>
          <w:szCs w:val="21"/>
        </w:rPr>
      </w:pPr>
      <w:r w:rsidRPr="006A1341">
        <w:rPr>
          <w:rFonts w:eastAsia="Arial"/>
          <w:noProof/>
        </w:rPr>
        <w:drawing>
          <wp:inline distT="0" distB="0" distL="0" distR="0" wp14:anchorId="27702BC0" wp14:editId="7C2C501D">
            <wp:extent cx="5932805" cy="15309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2805" cy="1530985"/>
                    </a:xfrm>
                    <a:prstGeom prst="rect">
                      <a:avLst/>
                    </a:prstGeom>
                    <a:noFill/>
                    <a:ln>
                      <a:noFill/>
                    </a:ln>
                  </pic:spPr>
                </pic:pic>
              </a:graphicData>
            </a:graphic>
          </wp:inline>
        </w:drawing>
      </w:r>
    </w:p>
    <w:p w14:paraId="6C48EE14" w14:textId="77777777" w:rsidR="007260C2" w:rsidRPr="007260C2" w:rsidRDefault="007260C2" w:rsidP="00234167">
      <w:pPr>
        <w:rPr>
          <w:rFonts w:ascii="Arial" w:eastAsia="Arial" w:hAnsi="Arial" w:cs="Arial"/>
          <w:iCs/>
          <w:sz w:val="6"/>
          <w:szCs w:val="6"/>
        </w:rPr>
      </w:pPr>
    </w:p>
    <w:p w14:paraId="466B1A1B" w14:textId="3DC179ED" w:rsidR="00234167" w:rsidRPr="007260C2" w:rsidRDefault="00234167" w:rsidP="007260C2">
      <w:pPr>
        <w:ind w:left="357" w:hanging="357"/>
        <w:rPr>
          <w:rFonts w:ascii="Arial" w:eastAsia="Arial" w:hAnsi="Arial" w:cs="Arial"/>
          <w:iCs/>
          <w:sz w:val="17"/>
          <w:szCs w:val="17"/>
        </w:rPr>
      </w:pPr>
      <w:r w:rsidRPr="007260C2">
        <w:rPr>
          <w:rFonts w:ascii="Arial" w:eastAsia="Arial" w:hAnsi="Arial" w:cs="Arial"/>
          <w:iCs/>
          <w:sz w:val="17"/>
          <w:szCs w:val="17"/>
        </w:rPr>
        <w:t>(a)</w:t>
      </w:r>
      <w:r w:rsidR="007260C2" w:rsidRPr="007260C2">
        <w:rPr>
          <w:rFonts w:ascii="Arial" w:eastAsia="Arial" w:hAnsi="Arial" w:cs="Arial"/>
          <w:iCs/>
          <w:sz w:val="17"/>
          <w:szCs w:val="17"/>
        </w:rPr>
        <w:tab/>
      </w:r>
      <w:r w:rsidRPr="007260C2">
        <w:rPr>
          <w:rFonts w:ascii="Arial" w:eastAsia="Arial" w:hAnsi="Arial" w:cs="Arial"/>
          <w:iCs/>
          <w:sz w:val="17"/>
          <w:szCs w:val="17"/>
        </w:rPr>
        <w:t>1 per cent movement in factor is a 1 percentage point increase.</w:t>
      </w:r>
    </w:p>
    <w:p w14:paraId="15D555DA" w14:textId="41240876" w:rsidR="00234167" w:rsidRPr="007260C2" w:rsidRDefault="00234167" w:rsidP="007260C2">
      <w:pPr>
        <w:ind w:left="357" w:hanging="357"/>
        <w:rPr>
          <w:rFonts w:ascii="Arial" w:eastAsia="Arial" w:hAnsi="Arial" w:cs="Arial"/>
          <w:iCs/>
          <w:sz w:val="18"/>
          <w:szCs w:val="18"/>
        </w:rPr>
      </w:pPr>
      <w:r w:rsidRPr="007260C2">
        <w:rPr>
          <w:rFonts w:ascii="Arial" w:eastAsia="Arial" w:hAnsi="Arial" w:cs="Arial"/>
          <w:iCs/>
          <w:sz w:val="17"/>
          <w:szCs w:val="17"/>
        </w:rPr>
        <w:t xml:space="preserve">(b) </w:t>
      </w:r>
      <w:r w:rsidR="007260C2" w:rsidRPr="007260C2">
        <w:rPr>
          <w:rFonts w:ascii="Arial" w:eastAsia="Arial" w:hAnsi="Arial" w:cs="Arial"/>
          <w:iCs/>
          <w:sz w:val="17"/>
          <w:szCs w:val="17"/>
        </w:rPr>
        <w:tab/>
      </w:r>
      <w:r w:rsidRPr="007260C2">
        <w:rPr>
          <w:rFonts w:ascii="Arial" w:eastAsia="Arial" w:hAnsi="Arial" w:cs="Arial"/>
          <w:iCs/>
          <w:sz w:val="17"/>
          <w:szCs w:val="17"/>
        </w:rPr>
        <w:t>Royalty sensitivities do not include changes to non-coal revenue or to the composition of coal types.</w:t>
      </w:r>
    </w:p>
    <w:p w14:paraId="0B17A511" w14:textId="6C8A49B9" w:rsidR="006C3082" w:rsidRDefault="006C3082" w:rsidP="006C3082">
      <w:pPr>
        <w:pStyle w:val="Heading3"/>
        <w:rPr>
          <w:rFonts w:cs="Arial"/>
        </w:rPr>
      </w:pPr>
      <w:r w:rsidRPr="004D2D27">
        <w:rPr>
          <w:rFonts w:cs="Arial"/>
        </w:rPr>
        <w:t xml:space="preserve">General </w:t>
      </w:r>
      <w:r w:rsidR="00031CA7">
        <w:rPr>
          <w:rFonts w:cs="Arial"/>
        </w:rPr>
        <w:t xml:space="preserve">expense </w:t>
      </w:r>
      <w:r w:rsidR="001038C3" w:rsidRPr="004D2D27">
        <w:rPr>
          <w:rFonts w:cs="Arial"/>
        </w:rPr>
        <w:t>r</w:t>
      </w:r>
      <w:r w:rsidRPr="004D2D27">
        <w:rPr>
          <w:rFonts w:cs="Arial"/>
        </w:rPr>
        <w:t>isks</w:t>
      </w:r>
    </w:p>
    <w:p w14:paraId="556760AB" w14:textId="1CA323B8" w:rsidR="00307001" w:rsidRDefault="00DA48C9" w:rsidP="005E1887">
      <w:pPr>
        <w:pStyle w:val="BodyText"/>
      </w:pPr>
      <w:r>
        <w:t xml:space="preserve">Some expenditure risks are </w:t>
      </w:r>
      <w:r w:rsidR="00252E92">
        <w:t xml:space="preserve">largely </w:t>
      </w:r>
      <w:r>
        <w:t xml:space="preserve">within the Government’s control and </w:t>
      </w:r>
      <w:r w:rsidR="00906894">
        <w:t>can</w:t>
      </w:r>
      <w:r>
        <w:t xml:space="preserve"> be actively manage</w:t>
      </w:r>
      <w:r w:rsidR="00D41124">
        <w:t>d</w:t>
      </w:r>
      <w:r w:rsidR="00544B57">
        <w:t>,</w:t>
      </w:r>
      <w:r w:rsidR="007B71B6">
        <w:t xml:space="preserve"> </w:t>
      </w:r>
      <w:r w:rsidR="00544B57">
        <w:t>whereas</w:t>
      </w:r>
      <w:r w:rsidR="007B71B6">
        <w:t xml:space="preserve"> </w:t>
      </w:r>
      <w:r w:rsidR="00252E92">
        <w:t xml:space="preserve">other </w:t>
      </w:r>
      <w:r w:rsidR="00FB3F17">
        <w:t xml:space="preserve">risks are </w:t>
      </w:r>
      <w:r w:rsidR="007B71B6">
        <w:t>primarily</w:t>
      </w:r>
      <w:r w:rsidR="00715D90">
        <w:t xml:space="preserve"> outside of </w:t>
      </w:r>
      <w:r w:rsidR="00B1475A">
        <w:t>its</w:t>
      </w:r>
      <w:r w:rsidR="00715D90">
        <w:t xml:space="preserve"> control.</w:t>
      </w:r>
      <w:r w:rsidR="006B216A">
        <w:t xml:space="preserve"> </w:t>
      </w:r>
      <w:r w:rsidR="00307001">
        <w:t xml:space="preserve">For example, expenditure linked to </w:t>
      </w:r>
      <w:r w:rsidR="006B216A">
        <w:t>Commonwealth</w:t>
      </w:r>
      <w:r w:rsidR="00307001">
        <w:t xml:space="preserve"> payments</w:t>
      </w:r>
      <w:r w:rsidR="006B216A">
        <w:t xml:space="preserve">, interest rate changes </w:t>
      </w:r>
      <w:r w:rsidR="00731D17">
        <w:t>or natural disasters</w:t>
      </w:r>
      <w:r w:rsidR="006B216A">
        <w:t xml:space="preserve"> are exogenous risks</w:t>
      </w:r>
      <w:r w:rsidR="00544B57">
        <w:t xml:space="preserve">, while </w:t>
      </w:r>
      <w:r w:rsidR="00731D17">
        <w:t xml:space="preserve">impacts associated with existing </w:t>
      </w:r>
      <w:r w:rsidR="005B6006">
        <w:t>g</w:t>
      </w:r>
      <w:r w:rsidR="00544B57">
        <w:t xml:space="preserve">overnment </w:t>
      </w:r>
      <w:r w:rsidR="00731D17">
        <w:t>policy</w:t>
      </w:r>
      <w:r w:rsidR="00C971CD">
        <w:t xml:space="preserve">, </w:t>
      </w:r>
      <w:r w:rsidR="00731D17">
        <w:t xml:space="preserve">employee expenses or the reprofiling of </w:t>
      </w:r>
      <w:r w:rsidR="00544B57">
        <w:t>expenditure</w:t>
      </w:r>
      <w:r w:rsidR="00731D17">
        <w:t xml:space="preserve"> can be more actively managed.</w:t>
      </w:r>
    </w:p>
    <w:p w14:paraId="5D1C9CF9" w14:textId="00677DCC" w:rsidR="00252E92" w:rsidRDefault="00555224" w:rsidP="008142E1">
      <w:pPr>
        <w:pStyle w:val="BodyText"/>
      </w:pPr>
      <w:r>
        <w:t>The</w:t>
      </w:r>
      <w:r w:rsidR="00DA4ADA">
        <w:t xml:space="preserve"> </w:t>
      </w:r>
      <w:r w:rsidR="00B1475A">
        <w:t>S</w:t>
      </w:r>
      <w:r w:rsidR="001B0C94">
        <w:t>tate’s</w:t>
      </w:r>
      <w:r w:rsidR="007C4DA4">
        <w:t xml:space="preserve"> largest operating expense is </w:t>
      </w:r>
      <w:r w:rsidR="006B616A">
        <w:t xml:space="preserve">for </w:t>
      </w:r>
      <w:r w:rsidR="007C4DA4">
        <w:t>employee</w:t>
      </w:r>
      <w:r w:rsidR="008E7E50">
        <w:t xml:space="preserve"> </w:t>
      </w:r>
      <w:r w:rsidR="007C4DA4">
        <w:t>related expenses, which includes salaries, wages, superannuation expenses and employ</w:t>
      </w:r>
      <w:r w:rsidR="00047936">
        <w:t>ment on-costs.</w:t>
      </w:r>
      <w:r w:rsidR="00897523">
        <w:t xml:space="preserve"> Employee</w:t>
      </w:r>
      <w:r w:rsidR="008E7E50">
        <w:t xml:space="preserve"> </w:t>
      </w:r>
      <w:r w:rsidR="00897523">
        <w:t xml:space="preserve">related expenses </w:t>
      </w:r>
      <w:r w:rsidR="004E1CEC">
        <w:t xml:space="preserve">are impacted by factors including new enterprise bargaining agreements, </w:t>
      </w:r>
      <w:r w:rsidR="000318B1">
        <w:t>as well as</w:t>
      </w:r>
      <w:r w:rsidR="004E1CEC">
        <w:t xml:space="preserve"> the overall size</w:t>
      </w:r>
      <w:r w:rsidR="00630F0A">
        <w:t xml:space="preserve"> and composition</w:t>
      </w:r>
      <w:r w:rsidR="004E1CEC">
        <w:t xml:space="preserve"> of the workforce</w:t>
      </w:r>
      <w:r w:rsidR="008142E1">
        <w:t>.</w:t>
      </w:r>
      <w:r w:rsidR="00630F0A">
        <w:t xml:space="preserve"> </w:t>
      </w:r>
      <w:r w:rsidR="008142E1">
        <w:t>C</w:t>
      </w:r>
      <w:r w:rsidR="004E1CEC">
        <w:t xml:space="preserve">hanges in these parameters </w:t>
      </w:r>
      <w:r w:rsidR="00FE3282">
        <w:t xml:space="preserve">can impact the </w:t>
      </w:r>
      <w:r w:rsidR="00595F39">
        <w:t>b</w:t>
      </w:r>
      <w:r w:rsidR="00FE3282">
        <w:t xml:space="preserve">udget result. </w:t>
      </w:r>
      <w:r w:rsidR="00105148">
        <w:t xml:space="preserve">Since 2011, </w:t>
      </w:r>
      <w:r w:rsidR="007049AE">
        <w:t>the</w:t>
      </w:r>
      <w:r w:rsidR="009B67D0">
        <w:t xml:space="preserve"> NSW </w:t>
      </w:r>
      <w:r w:rsidR="001C4B85">
        <w:t>P</w:t>
      </w:r>
      <w:r w:rsidR="009B67D0">
        <w:t xml:space="preserve">ublic </w:t>
      </w:r>
      <w:r w:rsidR="001C4B85">
        <w:t>S</w:t>
      </w:r>
      <w:r w:rsidR="009B67D0">
        <w:t xml:space="preserve">ector </w:t>
      </w:r>
      <w:r w:rsidR="001C4B85">
        <w:t>W</w:t>
      </w:r>
      <w:r w:rsidR="009B67D0">
        <w:t xml:space="preserve">ages </w:t>
      </w:r>
      <w:r w:rsidR="001C4B85">
        <w:t>P</w:t>
      </w:r>
      <w:r w:rsidR="009B67D0">
        <w:t xml:space="preserve">olicy </w:t>
      </w:r>
      <w:r w:rsidR="00B56C87">
        <w:t>has helped to</w:t>
      </w:r>
      <w:r w:rsidR="009B67D0" w:rsidRPr="009A5E9D">
        <w:t xml:space="preserve"> </w:t>
      </w:r>
      <w:r w:rsidR="007049AE">
        <w:t>mitigate</w:t>
      </w:r>
      <w:r w:rsidR="007049AE" w:rsidRPr="009A5E9D">
        <w:t xml:space="preserve"> </w:t>
      </w:r>
      <w:r w:rsidR="009B67D0" w:rsidRPr="009A5E9D">
        <w:t>this risk.</w:t>
      </w:r>
    </w:p>
    <w:p w14:paraId="38013A0B" w14:textId="7BD4CB95" w:rsidR="005A6F57" w:rsidRDefault="00F66BDC" w:rsidP="008142E1">
      <w:pPr>
        <w:pStyle w:val="BodyText"/>
      </w:pPr>
      <w:r w:rsidRPr="00657DB7">
        <w:t xml:space="preserve">The Government also incurs other operating expenses related to the non-labour costs of delivering services such as the maintenance and depreciation of assets, electricity, insurance and fuel. The cost of these inputs </w:t>
      </w:r>
      <w:proofErr w:type="gramStart"/>
      <w:r w:rsidR="00781A66">
        <w:t>are</w:t>
      </w:r>
      <w:proofErr w:type="gramEnd"/>
      <w:r w:rsidR="00781A66" w:rsidRPr="00657DB7">
        <w:t xml:space="preserve"> </w:t>
      </w:r>
      <w:r w:rsidRPr="00657DB7">
        <w:t>subject to change</w:t>
      </w:r>
      <w:r w:rsidR="00781A66">
        <w:t xml:space="preserve">s in </w:t>
      </w:r>
      <w:r w:rsidRPr="00657DB7">
        <w:t xml:space="preserve">market fluctuations, which can impact the </w:t>
      </w:r>
      <w:r w:rsidR="008142E1">
        <w:t>B</w:t>
      </w:r>
      <w:r w:rsidRPr="00657DB7">
        <w:t xml:space="preserve">udget. For example, changes to inflation could increase the cost of goods and services, which may outweigh the positive impacts </w:t>
      </w:r>
      <w:r w:rsidR="00DF09E3">
        <w:t xml:space="preserve">of </w:t>
      </w:r>
      <w:r w:rsidR="4A6F3A02">
        <w:t>own-source revenues.</w:t>
      </w:r>
      <w:r w:rsidR="005A6F57">
        <w:br w:type="page"/>
      </w:r>
    </w:p>
    <w:p w14:paraId="66097474" w14:textId="7625102A" w:rsidR="006D4057" w:rsidRPr="00295B10" w:rsidRDefault="006D4057" w:rsidP="00F61F44">
      <w:pPr>
        <w:pStyle w:val="Table4X"/>
      </w:pPr>
      <w:r w:rsidRPr="00295B10">
        <w:lastRenderedPageBreak/>
        <w:t xml:space="preserve">Expense </w:t>
      </w:r>
      <w:r w:rsidRPr="00B97925">
        <w:t>sensitivities</w:t>
      </w:r>
      <w:r w:rsidRPr="00295B10">
        <w:t xml:space="preserve"> </w:t>
      </w:r>
    </w:p>
    <w:p w14:paraId="1A0AC34D" w14:textId="13B93E85" w:rsidR="006D4057" w:rsidRPr="003054E9" w:rsidRDefault="00F3189E" w:rsidP="00770982">
      <w:pPr>
        <w:keepNext/>
        <w:keepLines/>
        <w:rPr>
          <w:sz w:val="6"/>
          <w:szCs w:val="6"/>
          <w:highlight w:val="yellow"/>
        </w:rPr>
      </w:pPr>
      <w:r w:rsidRPr="00D11E5D">
        <w:rPr>
          <w:noProof/>
        </w:rPr>
        <w:drawing>
          <wp:inline distT="0" distB="0" distL="0" distR="0" wp14:anchorId="12C975EA" wp14:editId="7502565F">
            <wp:extent cx="5934075" cy="19145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1914525"/>
                    </a:xfrm>
                    <a:prstGeom prst="rect">
                      <a:avLst/>
                    </a:prstGeom>
                    <a:noFill/>
                    <a:ln>
                      <a:noFill/>
                    </a:ln>
                  </pic:spPr>
                </pic:pic>
              </a:graphicData>
            </a:graphic>
          </wp:inline>
        </w:drawing>
      </w:r>
    </w:p>
    <w:p w14:paraId="114CC0B3" w14:textId="7E911235" w:rsidR="00C2619D" w:rsidRPr="00D11E5D" w:rsidRDefault="00DA6F7C" w:rsidP="00D11E5D">
      <w:pPr>
        <w:pStyle w:val="ListParagraph"/>
        <w:numPr>
          <w:ilvl w:val="0"/>
          <w:numId w:val="7"/>
        </w:numPr>
      </w:pPr>
      <w:r w:rsidRPr="005931DB">
        <w:rPr>
          <w:rFonts w:ascii="Arial" w:hAnsi="Arial" w:cs="Arial"/>
          <w:sz w:val="17"/>
          <w:szCs w:val="17"/>
        </w:rPr>
        <w:t>1 per cent</w:t>
      </w:r>
      <w:r w:rsidRPr="006A442A">
        <w:rPr>
          <w:rFonts w:ascii="Arial" w:hAnsi="Arial" w:cs="Arial"/>
          <w:sz w:val="17"/>
          <w:szCs w:val="17"/>
        </w:rPr>
        <w:t xml:space="preserve"> movement in factor is a whole 1 per cent increase</w:t>
      </w:r>
      <w:r w:rsidR="00295B10" w:rsidRPr="006A442A">
        <w:rPr>
          <w:rFonts w:ascii="Arial" w:hAnsi="Arial" w:cs="Arial"/>
          <w:sz w:val="17"/>
          <w:szCs w:val="17"/>
        </w:rPr>
        <w:t>.</w:t>
      </w:r>
    </w:p>
    <w:p w14:paraId="12269A95" w14:textId="6AF45AD0" w:rsidR="00985151" w:rsidRPr="00193F00" w:rsidRDefault="00985151" w:rsidP="00985151">
      <w:pPr>
        <w:pStyle w:val="BodyText"/>
      </w:pPr>
      <w:r w:rsidRPr="009A5E9D">
        <w:t xml:space="preserve">Growth in demand for </w:t>
      </w:r>
      <w:r>
        <w:t>government</w:t>
      </w:r>
      <w:r w:rsidRPr="009A5E9D">
        <w:t xml:space="preserve"> services, from factors </w:t>
      </w:r>
      <w:r w:rsidR="5DD2802F">
        <w:t>such as</w:t>
      </w:r>
      <w:r w:rsidRPr="009A5E9D">
        <w:t xml:space="preserve"> higher than </w:t>
      </w:r>
      <w:r>
        <w:t>forecast</w:t>
      </w:r>
      <w:r w:rsidRPr="009A5E9D">
        <w:t xml:space="preserve"> population growth</w:t>
      </w:r>
      <w:r>
        <w:t xml:space="preserve"> </w:t>
      </w:r>
      <w:r w:rsidRPr="009A5E9D">
        <w:t xml:space="preserve">and other external events represents a further </w:t>
      </w:r>
      <w:r>
        <w:t>risk to expenses</w:t>
      </w:r>
      <w:r w:rsidRPr="009A5E9D">
        <w:t>.</w:t>
      </w:r>
    </w:p>
    <w:p w14:paraId="3531BE83" w14:textId="1E74697A" w:rsidR="005E2886" w:rsidRPr="00545787" w:rsidRDefault="00840942" w:rsidP="005E1887">
      <w:pPr>
        <w:pStyle w:val="BodyText"/>
      </w:pPr>
      <w:r>
        <w:t>Health</w:t>
      </w:r>
      <w:r w:rsidR="00823A2C">
        <w:t xml:space="preserve"> and education services </w:t>
      </w:r>
      <w:r>
        <w:t>represent a</w:t>
      </w:r>
      <w:r w:rsidR="00823A2C">
        <w:t xml:space="preserve"> significant proportion of public sector </w:t>
      </w:r>
      <w:r w:rsidR="006948C9">
        <w:t>expenditure</w:t>
      </w:r>
      <w:r w:rsidR="00A14EEE">
        <w:t xml:space="preserve"> </w:t>
      </w:r>
      <w:r w:rsidR="006948C9">
        <w:t xml:space="preserve">and </w:t>
      </w:r>
      <w:r w:rsidR="00823A2C">
        <w:t xml:space="preserve">increases in demand for these services </w:t>
      </w:r>
      <w:r w:rsidR="005D3921">
        <w:t xml:space="preserve">can worsen the </w:t>
      </w:r>
      <w:r w:rsidR="00961A3D">
        <w:t>b</w:t>
      </w:r>
      <w:r w:rsidR="005D3921">
        <w:t xml:space="preserve">udget result. </w:t>
      </w:r>
      <w:r w:rsidR="00747B79">
        <w:t>Similarly</w:t>
      </w:r>
      <w:r w:rsidR="005D3921">
        <w:t xml:space="preserve">, a decrease in </w:t>
      </w:r>
      <w:r w:rsidR="00747B79">
        <w:t>Commonwealth</w:t>
      </w:r>
      <w:r w:rsidR="005D3921">
        <w:t xml:space="preserve"> Government payments towards </w:t>
      </w:r>
      <w:r>
        <w:t>these</w:t>
      </w:r>
      <w:r w:rsidR="005D3921">
        <w:t xml:space="preserve"> services </w:t>
      </w:r>
      <w:r w:rsidR="00747B79">
        <w:t xml:space="preserve">will worsen the </w:t>
      </w:r>
      <w:r w:rsidR="00595F39">
        <w:t>b</w:t>
      </w:r>
      <w:r w:rsidR="00747B79">
        <w:t>udget result if the same level of service is maintained.</w:t>
      </w:r>
      <w:r w:rsidR="00545787">
        <w:t xml:space="preserve"> </w:t>
      </w:r>
      <w:r w:rsidR="00B000D8">
        <w:t xml:space="preserve">Higher than forecast demand for public </w:t>
      </w:r>
      <w:r w:rsidR="00320922">
        <w:t>transport</w:t>
      </w:r>
      <w:r w:rsidR="00B000D8">
        <w:t xml:space="preserve"> services can also impact the </w:t>
      </w:r>
      <w:r w:rsidR="00961A3D">
        <w:t>b</w:t>
      </w:r>
      <w:r w:rsidR="00B000D8">
        <w:t>udget result</w:t>
      </w:r>
      <w:r w:rsidR="00882373">
        <w:t xml:space="preserve"> if additional services or infrastructure </w:t>
      </w:r>
      <w:r w:rsidR="00F6620C">
        <w:t xml:space="preserve">are </w:t>
      </w:r>
      <w:r w:rsidR="00882373">
        <w:t xml:space="preserve">required to meet this demand. </w:t>
      </w:r>
    </w:p>
    <w:p w14:paraId="720B1AA2" w14:textId="25F83E6A" w:rsidR="00454FD9" w:rsidRDefault="00295C59" w:rsidP="008142E1">
      <w:pPr>
        <w:pStyle w:val="BodyText"/>
      </w:pPr>
      <w:r>
        <w:t xml:space="preserve">The 2019-20 Budget </w:t>
      </w:r>
      <w:r w:rsidR="00387847">
        <w:t>incorporate</w:t>
      </w:r>
      <w:r w:rsidR="008142E1">
        <w:t>s</w:t>
      </w:r>
      <w:r>
        <w:t xml:space="preserve"> </w:t>
      </w:r>
      <w:r w:rsidR="00CB6F90">
        <w:t>several</w:t>
      </w:r>
      <w:r>
        <w:t xml:space="preserve"> </w:t>
      </w:r>
      <w:r w:rsidR="00387847">
        <w:t>savings initiatives</w:t>
      </w:r>
      <w:r w:rsidR="00CB6F90">
        <w:t xml:space="preserve"> </w:t>
      </w:r>
      <w:r w:rsidR="00387847">
        <w:t>as well a</w:t>
      </w:r>
      <w:r w:rsidR="008142E1">
        <w:t>s</w:t>
      </w:r>
      <w:r w:rsidR="00387847">
        <w:t xml:space="preserve"> </w:t>
      </w:r>
      <w:r w:rsidR="007A7C1C">
        <w:t xml:space="preserve">policy </w:t>
      </w:r>
      <w:r w:rsidR="00CB6F90">
        <w:t>measures</w:t>
      </w:r>
      <w:r w:rsidR="007A7C1C">
        <w:t xml:space="preserve"> and election commitments being funded from within existing agency budget</w:t>
      </w:r>
      <w:r w:rsidR="00BB0675">
        <w:t>s</w:t>
      </w:r>
      <w:r w:rsidR="007A7C1C">
        <w:t>.</w:t>
      </w:r>
      <w:r w:rsidR="00D42C2A">
        <w:t xml:space="preserve"> Changes to factors </w:t>
      </w:r>
      <w:r w:rsidR="008142E1">
        <w:t>–</w:t>
      </w:r>
      <w:r w:rsidR="001C4B85">
        <w:t xml:space="preserve"> </w:t>
      </w:r>
      <w:r w:rsidR="00D42C2A">
        <w:t>such as demand</w:t>
      </w:r>
      <w:r w:rsidR="00116683">
        <w:t xml:space="preserve"> </w:t>
      </w:r>
      <w:r w:rsidR="00D97AA1">
        <w:t>growth</w:t>
      </w:r>
      <w:r w:rsidR="00DE41B5">
        <w:t xml:space="preserve"> or</w:t>
      </w:r>
      <w:r w:rsidR="00D97AA1">
        <w:t xml:space="preserve"> inflation</w:t>
      </w:r>
      <w:r w:rsidR="00E04430">
        <w:t xml:space="preserve"> </w:t>
      </w:r>
      <w:r w:rsidR="008142E1">
        <w:t xml:space="preserve">– </w:t>
      </w:r>
      <w:r w:rsidR="00D97AA1">
        <w:t>c</w:t>
      </w:r>
      <w:r w:rsidR="008142E1">
        <w:t>ould</w:t>
      </w:r>
      <w:r w:rsidR="00E04430">
        <w:t xml:space="preserve"> impact agency budgets and</w:t>
      </w:r>
      <w:r w:rsidR="009950BB">
        <w:t xml:space="preserve"> risk the ability of agencies to meet these commitments from within existing budget allocations</w:t>
      </w:r>
      <w:r w:rsidR="008142E1">
        <w:t>.</w:t>
      </w:r>
      <w:r w:rsidR="00921400">
        <w:t xml:space="preserve"> </w:t>
      </w:r>
    </w:p>
    <w:p w14:paraId="3C0B11CC" w14:textId="6A9C1C66" w:rsidR="00DF4B61" w:rsidRDefault="009968E2" w:rsidP="008142E1">
      <w:pPr>
        <w:pStyle w:val="BodyText"/>
      </w:pPr>
      <w:r>
        <w:t>Other expenditure</w:t>
      </w:r>
      <w:r w:rsidR="00D076C2">
        <w:t xml:space="preserve"> challenges </w:t>
      </w:r>
      <w:r w:rsidR="00B07EC4">
        <w:t>that</w:t>
      </w:r>
      <w:r>
        <w:t xml:space="preserve"> </w:t>
      </w:r>
      <w:r w:rsidR="00D076C2">
        <w:t xml:space="preserve">could impact the </w:t>
      </w:r>
      <w:r w:rsidR="00985151">
        <w:t>b</w:t>
      </w:r>
      <w:r w:rsidR="00D076C2">
        <w:t>udget result</w:t>
      </w:r>
      <w:r>
        <w:t xml:space="preserve"> include</w:t>
      </w:r>
      <w:r w:rsidR="00D076C2">
        <w:t>:</w:t>
      </w:r>
    </w:p>
    <w:p w14:paraId="599AC6E3" w14:textId="43817214" w:rsidR="00D076C2" w:rsidRDefault="00BD4293" w:rsidP="00EB0A60">
      <w:pPr>
        <w:pStyle w:val="Bullet1"/>
      </w:pPr>
      <w:r>
        <w:t>higher maintenance</w:t>
      </w:r>
      <w:r w:rsidR="00093323">
        <w:t xml:space="preserve">, </w:t>
      </w:r>
      <w:r>
        <w:t>depreciation and operating costs associated with the Government</w:t>
      </w:r>
      <w:r w:rsidR="008142E1">
        <w:t>’</w:t>
      </w:r>
      <w:r>
        <w:t xml:space="preserve">s </w:t>
      </w:r>
      <w:r w:rsidR="008142E1">
        <w:t xml:space="preserve">record </w:t>
      </w:r>
      <w:r>
        <w:t>infrastructure program</w:t>
      </w:r>
    </w:p>
    <w:p w14:paraId="0A89207F" w14:textId="1BD04B76" w:rsidR="004C44D8" w:rsidRDefault="004C44D8" w:rsidP="00EB0A60">
      <w:pPr>
        <w:pStyle w:val="Bullet1"/>
      </w:pPr>
      <w:r>
        <w:t>extension of existing time-limited programs</w:t>
      </w:r>
    </w:p>
    <w:p w14:paraId="20EBB859" w14:textId="1B333E56" w:rsidR="00AB20D4" w:rsidRDefault="00AB20D4" w:rsidP="00EB0A60">
      <w:pPr>
        <w:pStyle w:val="Bullet1"/>
      </w:pPr>
      <w:r>
        <w:t>unfor</w:t>
      </w:r>
      <w:r w:rsidR="00423C1E">
        <w:t>e</w:t>
      </w:r>
      <w:r>
        <w:t>seen legal expenses or costs associated with litigation</w:t>
      </w:r>
    </w:p>
    <w:p w14:paraId="7A8AAC5B" w14:textId="2E038A4E" w:rsidR="002763CA" w:rsidRDefault="002763CA" w:rsidP="00EB0A60">
      <w:pPr>
        <w:pStyle w:val="Bullet1"/>
      </w:pPr>
      <w:r>
        <w:t xml:space="preserve">changes to </w:t>
      </w:r>
      <w:r w:rsidR="00996BEB">
        <w:t>parameters</w:t>
      </w:r>
      <w:r>
        <w:t xml:space="preserve"> that </w:t>
      </w:r>
      <w:r w:rsidR="00326D98">
        <w:t>impact the liabilities and associated expenditure for superannuation, long service leave, other employee provisions and insurance provisions</w:t>
      </w:r>
      <w:r w:rsidR="00667998">
        <w:t xml:space="preserve"> (see below for further balance sheet risks and sensitivities)</w:t>
      </w:r>
      <w:r w:rsidR="008142E1">
        <w:t>.</w:t>
      </w:r>
    </w:p>
    <w:p w14:paraId="1B7D2782" w14:textId="341D330F" w:rsidR="00C968E9" w:rsidRPr="00AC5EA0" w:rsidRDefault="00C968E9" w:rsidP="00A43755">
      <w:pPr>
        <w:pStyle w:val="Heading3"/>
        <w:rPr>
          <w:rFonts w:cs="Arial"/>
        </w:rPr>
      </w:pPr>
      <w:r w:rsidRPr="00AC5EA0">
        <w:rPr>
          <w:rFonts w:cs="Arial"/>
        </w:rPr>
        <w:t xml:space="preserve">Investment </w:t>
      </w:r>
      <w:r w:rsidR="00E94F48" w:rsidRPr="00AC5EA0">
        <w:rPr>
          <w:rFonts w:cs="Arial"/>
        </w:rPr>
        <w:t xml:space="preserve">revenue </w:t>
      </w:r>
      <w:r w:rsidRPr="00AC5EA0">
        <w:rPr>
          <w:rFonts w:cs="Arial"/>
        </w:rPr>
        <w:t xml:space="preserve">and borrowing costs </w:t>
      </w:r>
    </w:p>
    <w:p w14:paraId="30D8CB58" w14:textId="327F7A00" w:rsidR="00D731E1" w:rsidRPr="00E66693" w:rsidRDefault="00D731E1" w:rsidP="00EB0A60">
      <w:pPr>
        <w:pStyle w:val="BodyText"/>
        <w:rPr>
          <w:lang w:eastAsia="en-AU"/>
        </w:rPr>
      </w:pPr>
      <w:r w:rsidRPr="00E66693">
        <w:rPr>
          <w:lang w:eastAsia="en-AU"/>
        </w:rPr>
        <w:t xml:space="preserve">The </w:t>
      </w:r>
      <w:r w:rsidR="002E4E38">
        <w:rPr>
          <w:lang w:eastAsia="en-AU"/>
        </w:rPr>
        <w:t>B</w:t>
      </w:r>
      <w:r w:rsidRPr="00E66693">
        <w:rPr>
          <w:lang w:eastAsia="en-AU"/>
        </w:rPr>
        <w:t xml:space="preserve">udget is susceptible to the performance of global financial markets and changes in interest rates. Higher interest rates may result in higher costs for new borrowings, </w:t>
      </w:r>
      <w:r w:rsidR="008142E1">
        <w:rPr>
          <w:lang w:eastAsia="en-AU"/>
        </w:rPr>
        <w:t>while at the same time</w:t>
      </w:r>
      <w:r w:rsidR="008142E1" w:rsidRPr="00E66693">
        <w:rPr>
          <w:lang w:eastAsia="en-AU"/>
        </w:rPr>
        <w:t xml:space="preserve"> </w:t>
      </w:r>
      <w:r w:rsidRPr="00E66693">
        <w:rPr>
          <w:lang w:eastAsia="en-AU"/>
        </w:rPr>
        <w:t>provid</w:t>
      </w:r>
      <w:r w:rsidR="008142E1">
        <w:rPr>
          <w:lang w:eastAsia="en-AU"/>
        </w:rPr>
        <w:t>ing</w:t>
      </w:r>
      <w:r w:rsidRPr="00E66693">
        <w:rPr>
          <w:lang w:eastAsia="en-AU"/>
        </w:rPr>
        <w:t xml:space="preserve"> higher interest revenue.</w:t>
      </w:r>
      <w:r>
        <w:rPr>
          <w:lang w:eastAsia="en-AU"/>
        </w:rPr>
        <w:t xml:space="preserve"> Financial market movements could result in i</w:t>
      </w:r>
      <w:r w:rsidRPr="00E66693">
        <w:rPr>
          <w:lang w:eastAsia="en-AU"/>
        </w:rPr>
        <w:t>nvestment returns above</w:t>
      </w:r>
      <w:r w:rsidR="008142E1">
        <w:rPr>
          <w:lang w:eastAsia="en-AU"/>
        </w:rPr>
        <w:t xml:space="preserve"> or </w:t>
      </w:r>
      <w:r w:rsidRPr="00E66693">
        <w:rPr>
          <w:lang w:eastAsia="en-AU"/>
        </w:rPr>
        <w:t>below estimate</w:t>
      </w:r>
      <w:r w:rsidR="008142E1">
        <w:rPr>
          <w:lang w:eastAsia="en-AU"/>
        </w:rPr>
        <w:t>s,</w:t>
      </w:r>
      <w:r w:rsidRPr="00E66693">
        <w:rPr>
          <w:lang w:eastAsia="en-AU"/>
        </w:rPr>
        <w:t xml:space="preserve"> </w:t>
      </w:r>
      <w:r>
        <w:rPr>
          <w:lang w:eastAsia="en-AU"/>
        </w:rPr>
        <w:t xml:space="preserve">which </w:t>
      </w:r>
      <w:r w:rsidR="008142E1">
        <w:rPr>
          <w:lang w:eastAsia="en-AU"/>
        </w:rPr>
        <w:t xml:space="preserve">then </w:t>
      </w:r>
      <w:r w:rsidRPr="00E66693">
        <w:rPr>
          <w:lang w:eastAsia="en-AU"/>
        </w:rPr>
        <w:t>impact revenue.</w:t>
      </w:r>
      <w:r w:rsidR="0087656E">
        <w:rPr>
          <w:lang w:eastAsia="en-AU"/>
        </w:rPr>
        <w:t xml:space="preserve"> </w:t>
      </w:r>
      <w:r w:rsidR="004361D2">
        <w:rPr>
          <w:lang w:eastAsia="en-AU"/>
        </w:rPr>
        <w:t xml:space="preserve">Adopting the </w:t>
      </w:r>
      <w:r w:rsidR="000C2EC6">
        <w:t xml:space="preserve">recently introduced Attribution Managed Investment Trust AMIT regime </w:t>
      </w:r>
      <w:r w:rsidR="00F6620C">
        <w:t xml:space="preserve">for </w:t>
      </w:r>
      <w:r w:rsidR="000C2EC6">
        <w:t xml:space="preserve">the </w:t>
      </w:r>
      <w:r w:rsidR="006359A7">
        <w:t>NSW</w:t>
      </w:r>
      <w:r w:rsidR="00643D7C">
        <w:t> </w:t>
      </w:r>
      <w:r w:rsidR="006359A7">
        <w:t xml:space="preserve">Generations Fund </w:t>
      </w:r>
      <w:r w:rsidR="000C2EC6">
        <w:t xml:space="preserve">and </w:t>
      </w:r>
      <w:r w:rsidR="00643D7C">
        <w:t xml:space="preserve">the Social and Affordable Housing Fund </w:t>
      </w:r>
      <w:r w:rsidR="001F484A">
        <w:t>will help pro</w:t>
      </w:r>
      <w:r w:rsidR="002D5C79">
        <w:t xml:space="preserve">vide greater certainty </w:t>
      </w:r>
      <w:r w:rsidR="00542CBC">
        <w:t>with respect to these funds’ investment returns.</w:t>
      </w:r>
      <w:r w:rsidR="004361D2">
        <w:rPr>
          <w:lang w:eastAsia="en-AU"/>
        </w:rPr>
        <w:t xml:space="preserve"> </w:t>
      </w:r>
    </w:p>
    <w:p w14:paraId="04FF6C4B" w14:textId="77777777" w:rsidR="00BC25E0" w:rsidRDefault="00BC25E0">
      <w:pPr>
        <w:spacing w:after="200" w:line="276" w:lineRule="auto"/>
        <w:rPr>
          <w:rFonts w:ascii="Arial" w:hAnsi="Arial"/>
          <w:bCs/>
          <w:i/>
          <w:color w:val="4F4F4F"/>
          <w:kern w:val="28"/>
          <w:sz w:val="22"/>
          <w:szCs w:val="22"/>
          <w:highlight w:val="yellow"/>
        </w:rPr>
      </w:pPr>
      <w:r>
        <w:rPr>
          <w:rFonts w:ascii="Arial" w:hAnsi="Arial"/>
          <w:bCs/>
          <w:i/>
          <w:color w:val="4F4F4F"/>
          <w:kern w:val="28"/>
          <w:sz w:val="22"/>
          <w:szCs w:val="22"/>
          <w:highlight w:val="yellow"/>
        </w:rPr>
        <w:br w:type="page"/>
      </w:r>
    </w:p>
    <w:p w14:paraId="7F4A6DFB" w14:textId="1ECC576D" w:rsidR="00A2078B" w:rsidRPr="00E66693" w:rsidRDefault="00A2078B" w:rsidP="007260C2">
      <w:pPr>
        <w:pStyle w:val="Table4X"/>
        <w:widowControl/>
        <w:spacing w:before="0"/>
        <w:ind w:left="1276" w:hanging="1276"/>
        <w:rPr>
          <w:rFonts w:eastAsia="Calibri"/>
          <w:color w:val="57514D"/>
          <w:lang w:val="en-AU" w:eastAsia="en-AU"/>
        </w:rPr>
      </w:pPr>
      <w:r w:rsidRPr="008A3C87">
        <w:lastRenderedPageBreak/>
        <w:t>Financial markets and interest rates sensitivities</w:t>
      </w:r>
    </w:p>
    <w:p w14:paraId="656A4359" w14:textId="0D654A42" w:rsidR="00A2078B" w:rsidRDefault="0087572F" w:rsidP="00D11E5D">
      <w:pPr>
        <w:pStyle w:val="Table4X"/>
        <w:numPr>
          <w:ilvl w:val="0"/>
          <w:numId w:val="0"/>
        </w:numPr>
        <w:ind w:left="360" w:hanging="360"/>
        <w:rPr>
          <w:rFonts w:ascii="Calibri" w:eastAsia="Calibri" w:hAnsi="Calibri"/>
          <w:sz w:val="6"/>
          <w:szCs w:val="6"/>
          <w:lang w:val="en-AU"/>
        </w:rPr>
      </w:pPr>
      <w:r w:rsidRPr="0087572F">
        <w:rPr>
          <w:rFonts w:eastAsia="Calibri"/>
          <w:noProof/>
        </w:rPr>
        <w:drawing>
          <wp:inline distT="0" distB="0" distL="0" distR="0" wp14:anchorId="2F2BF164" wp14:editId="32B1B8E7">
            <wp:extent cx="5934075" cy="13906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1390650"/>
                    </a:xfrm>
                    <a:prstGeom prst="rect">
                      <a:avLst/>
                    </a:prstGeom>
                    <a:noFill/>
                    <a:ln>
                      <a:noFill/>
                    </a:ln>
                  </pic:spPr>
                </pic:pic>
              </a:graphicData>
            </a:graphic>
          </wp:inline>
        </w:drawing>
      </w:r>
    </w:p>
    <w:p w14:paraId="38A68F44" w14:textId="77777777" w:rsidR="00A2078B" w:rsidRPr="007260C2" w:rsidRDefault="00A2078B" w:rsidP="00D11E5D">
      <w:pPr>
        <w:numPr>
          <w:ilvl w:val="0"/>
          <w:numId w:val="2"/>
        </w:numPr>
        <w:tabs>
          <w:tab w:val="left" w:pos="567"/>
        </w:tabs>
        <w:spacing w:line="259" w:lineRule="auto"/>
        <w:ind w:left="357" w:hanging="357"/>
        <w:rPr>
          <w:rFonts w:ascii="Arial" w:eastAsia="Calibri" w:hAnsi="Arial" w:cs="Arial"/>
          <w:sz w:val="17"/>
          <w:szCs w:val="17"/>
          <w:lang w:val="en-AU" w:eastAsia="en-AU"/>
        </w:rPr>
      </w:pPr>
      <w:bookmarkStart w:id="3" w:name="_Hlk515616078"/>
      <w:r w:rsidRPr="007260C2">
        <w:rPr>
          <w:rFonts w:ascii="Arial" w:eastAsia="Calibri" w:hAnsi="Arial" w:cs="Arial"/>
          <w:sz w:val="17"/>
          <w:szCs w:val="17"/>
          <w:lang w:val="en-AU"/>
        </w:rPr>
        <w:t>1 per cent movement in factor is a 1 percentage point increase in investment returns.</w:t>
      </w:r>
    </w:p>
    <w:bookmarkEnd w:id="3"/>
    <w:p w14:paraId="68D2E6B0" w14:textId="77777777" w:rsidR="00A2078B" w:rsidRPr="007260C2" w:rsidRDefault="00A2078B" w:rsidP="00D11E5D">
      <w:pPr>
        <w:numPr>
          <w:ilvl w:val="0"/>
          <w:numId w:val="2"/>
        </w:numPr>
        <w:tabs>
          <w:tab w:val="left" w:pos="567"/>
        </w:tabs>
        <w:spacing w:line="259" w:lineRule="auto"/>
        <w:ind w:left="357" w:hanging="357"/>
        <w:rPr>
          <w:rFonts w:ascii="Arial" w:eastAsia="Calibri" w:hAnsi="Arial" w:cs="Arial"/>
          <w:sz w:val="17"/>
          <w:szCs w:val="17"/>
          <w:lang w:val="en-AU" w:eastAsia="en-AU"/>
        </w:rPr>
      </w:pPr>
      <w:r w:rsidRPr="007260C2">
        <w:rPr>
          <w:rFonts w:ascii="Arial" w:eastAsia="Calibri" w:hAnsi="Arial" w:cs="Arial"/>
          <w:sz w:val="17"/>
          <w:szCs w:val="17"/>
          <w:lang w:val="en-AU"/>
        </w:rPr>
        <w:t>1 per cent movement in factor is a 1 percentage point increase in interest rates.</w:t>
      </w:r>
    </w:p>
    <w:p w14:paraId="0FFD38D5" w14:textId="0CD41BE1" w:rsidR="002C1901" w:rsidRPr="00E66693" w:rsidRDefault="008142E1" w:rsidP="00EB0A60">
      <w:pPr>
        <w:pStyle w:val="BodyText"/>
        <w:rPr>
          <w:lang w:eastAsia="en-AU"/>
        </w:rPr>
      </w:pPr>
      <w:r>
        <w:rPr>
          <w:lang w:eastAsia="en-AU"/>
        </w:rPr>
        <w:t xml:space="preserve">NSW </w:t>
      </w:r>
      <w:r w:rsidR="002C1901" w:rsidRPr="00A21502">
        <w:rPr>
          <w:lang w:eastAsia="en-AU"/>
        </w:rPr>
        <w:t xml:space="preserve">Treasury continues to develop financial risk management strategies that optimise and protect the State’s balance sheet. For example, this year Treasury and </w:t>
      </w:r>
      <w:proofErr w:type="spellStart"/>
      <w:r w:rsidR="002C1901" w:rsidRPr="00A21502">
        <w:rPr>
          <w:lang w:eastAsia="en-AU"/>
        </w:rPr>
        <w:t>TCorp</w:t>
      </w:r>
      <w:proofErr w:type="spellEnd"/>
      <w:r w:rsidR="002C1901" w:rsidRPr="00A21502">
        <w:rPr>
          <w:lang w:eastAsia="en-AU"/>
        </w:rPr>
        <w:t xml:space="preserve"> have worked closely to assist agencies with foreign exchange risk</w:t>
      </w:r>
      <w:r w:rsidR="00DE3C33">
        <w:rPr>
          <w:lang w:eastAsia="en-AU"/>
        </w:rPr>
        <w:t xml:space="preserve"> management</w:t>
      </w:r>
      <w:r w:rsidR="002C1901" w:rsidRPr="00A21502">
        <w:rPr>
          <w:lang w:eastAsia="en-AU"/>
        </w:rPr>
        <w:t>. This approach results in greater cost certainty and cost-efficient arrangements</w:t>
      </w:r>
      <w:r w:rsidR="00555422">
        <w:rPr>
          <w:lang w:eastAsia="en-AU"/>
        </w:rPr>
        <w:t xml:space="preserve"> and will</w:t>
      </w:r>
      <w:r w:rsidR="002C1901" w:rsidRPr="00A21502">
        <w:rPr>
          <w:lang w:eastAsia="en-AU"/>
        </w:rPr>
        <w:t xml:space="preserve"> continue to be applied to provide cost effective and consistent management of foreign exchange, interest rate and commodity price risks.</w:t>
      </w:r>
    </w:p>
    <w:p w14:paraId="513F32E8" w14:textId="2CFBD0C9" w:rsidR="000D2AFB" w:rsidRPr="00AC5EA0" w:rsidRDefault="00EB0A60" w:rsidP="00A43755">
      <w:pPr>
        <w:pStyle w:val="Heading2"/>
        <w:rPr>
          <w:rFonts w:cs="Arial"/>
        </w:rPr>
      </w:pPr>
      <w:r>
        <w:rPr>
          <w:rFonts w:cs="Arial"/>
        </w:rPr>
        <w:t>B.2</w:t>
      </w:r>
      <w:r>
        <w:rPr>
          <w:rFonts w:cs="Arial"/>
        </w:rPr>
        <w:tab/>
      </w:r>
      <w:r w:rsidR="002E5644" w:rsidRPr="00AC5EA0">
        <w:rPr>
          <w:rFonts w:cs="Arial"/>
        </w:rPr>
        <w:t xml:space="preserve">Balance </w:t>
      </w:r>
      <w:r w:rsidR="00555422">
        <w:rPr>
          <w:rFonts w:cs="Arial"/>
        </w:rPr>
        <w:t>s</w:t>
      </w:r>
      <w:r w:rsidR="002E5644" w:rsidRPr="00AC5EA0">
        <w:rPr>
          <w:rFonts w:cs="Arial"/>
        </w:rPr>
        <w:t xml:space="preserve">heet </w:t>
      </w:r>
      <w:r w:rsidR="000D2AFB" w:rsidRPr="00AC5EA0">
        <w:rPr>
          <w:rFonts w:cs="Arial"/>
        </w:rPr>
        <w:t>risks and sensitivities</w:t>
      </w:r>
    </w:p>
    <w:p w14:paraId="59952CD5" w14:textId="0A75F1AA" w:rsidR="00FA3F08" w:rsidRDefault="00FA3F08" w:rsidP="00EB0A60">
      <w:pPr>
        <w:pStyle w:val="BodyText"/>
      </w:pPr>
      <w:r w:rsidRPr="00347E44">
        <w:t xml:space="preserve">Risks </w:t>
      </w:r>
      <w:r w:rsidR="00FE4A68">
        <w:t>to</w:t>
      </w:r>
      <w:r w:rsidRPr="00347E44">
        <w:t xml:space="preserve"> the State’s balance sheet include unanticipated changes to </w:t>
      </w:r>
      <w:r>
        <w:t xml:space="preserve">the value of </w:t>
      </w:r>
      <w:r w:rsidRPr="00347E44">
        <w:t xml:space="preserve">existing assets and liabilities (i.e. as shown on </w:t>
      </w:r>
      <w:r w:rsidR="004D60D9">
        <w:t xml:space="preserve">the </w:t>
      </w:r>
      <w:r w:rsidRPr="00347E44">
        <w:t>balance sheet) and the</w:t>
      </w:r>
      <w:r>
        <w:t xml:space="preserve"> potential</w:t>
      </w:r>
      <w:r w:rsidRPr="00347E44">
        <w:t xml:space="preserve"> recognition of </w:t>
      </w:r>
      <w:r w:rsidRPr="00EB0A60">
        <w:t>contingent</w:t>
      </w:r>
      <w:r w:rsidRPr="00347E44">
        <w:t xml:space="preserve"> assets and liabilities (i.e. not shown on</w:t>
      </w:r>
      <w:r w:rsidR="004D60D9">
        <w:t xml:space="preserve"> the</w:t>
      </w:r>
      <w:r w:rsidRPr="00347E44">
        <w:t xml:space="preserve"> balance sheet as the accounting recognition criteria are not yet met).</w:t>
      </w:r>
    </w:p>
    <w:p w14:paraId="7E948849" w14:textId="3DBBBDC9" w:rsidR="00EB1518" w:rsidRPr="001508D2" w:rsidRDefault="008168A0" w:rsidP="00EB1518">
      <w:pPr>
        <w:pStyle w:val="BodyText"/>
        <w:rPr>
          <w:rFonts w:ascii="Segoe UI" w:hAnsi="Segoe UI" w:cs="Segoe UI"/>
          <w:sz w:val="18"/>
          <w:szCs w:val="18"/>
          <w:lang w:eastAsia="en-AU"/>
        </w:rPr>
      </w:pPr>
      <w:r>
        <w:rPr>
          <w:lang w:eastAsia="en-AU"/>
        </w:rPr>
        <w:t>Investment</w:t>
      </w:r>
      <w:r w:rsidR="00EB1518" w:rsidRPr="001508D2">
        <w:rPr>
          <w:lang w:eastAsia="en-AU"/>
        </w:rPr>
        <w:t xml:space="preserve"> funds </w:t>
      </w:r>
      <w:r>
        <w:rPr>
          <w:lang w:eastAsia="en-AU"/>
        </w:rPr>
        <w:t xml:space="preserve">held by New South Wales </w:t>
      </w:r>
      <w:r w:rsidR="00EB1518" w:rsidRPr="001508D2">
        <w:rPr>
          <w:lang w:eastAsia="en-AU"/>
        </w:rPr>
        <w:t>are exposed to </w:t>
      </w:r>
      <w:proofErr w:type="gramStart"/>
      <w:r w:rsidR="00EB1518" w:rsidRPr="001508D2">
        <w:rPr>
          <w:lang w:eastAsia="en-AU"/>
        </w:rPr>
        <w:t>a number of</w:t>
      </w:r>
      <w:proofErr w:type="gramEnd"/>
      <w:r w:rsidR="00EB1518" w:rsidRPr="001508D2">
        <w:rPr>
          <w:lang w:eastAsia="en-AU"/>
        </w:rPr>
        <w:t> inherent market risks which subject them to short-term volatility in returns, particularly in those with a higher weighting to growth assets. Each fund comprises a different underlying type of investment, with associated risks and investment horizons. The risks and performance of the funds are monitored closely, and the Strategic Asset Allocations are reviewed annually to reflect current risks and market conditions. </w:t>
      </w:r>
    </w:p>
    <w:p w14:paraId="6E1231E8" w14:textId="5C7528A6" w:rsidR="00FA3F08" w:rsidRPr="00347E44" w:rsidRDefault="00FA3F08" w:rsidP="00CD57E7">
      <w:pPr>
        <w:pStyle w:val="BodyText"/>
      </w:pPr>
      <w:r w:rsidRPr="00347E44">
        <w:t>Liabilities for superannuation and long service leave are estimated with reference to assumed rates of investment returns, salary growth, inflation, discount rates and other factors. Changes in these parameters can affect defined benefit superannuation and long service leave liabilities.</w:t>
      </w:r>
    </w:p>
    <w:p w14:paraId="7915F5AD" w14:textId="43F9768C" w:rsidR="00FA3F08" w:rsidRPr="0002316D" w:rsidRDefault="00FA3F08">
      <w:pPr>
        <w:pStyle w:val="BodyText"/>
      </w:pPr>
      <w:r w:rsidRPr="00347E44">
        <w:t>The State also faces a range of potential obligations that are non-quantifiable, which can be broadly grouped into commercial transactions</w:t>
      </w:r>
      <w:r w:rsidRPr="00347E44">
        <w:rPr>
          <w:rFonts w:eastAsia="SymbolMT"/>
        </w:rPr>
        <w:t xml:space="preserve"> </w:t>
      </w:r>
      <w:r w:rsidRPr="00347E44">
        <w:t xml:space="preserve">and other contingent liabilities. As an example, the Government provided limited general warranties to purchasers and lessees under several energy </w:t>
      </w:r>
      <w:r w:rsidR="00837CD4">
        <w:t>transactions and has</w:t>
      </w:r>
      <w:r w:rsidRPr="00347E44">
        <w:t xml:space="preserve"> also retained responsibility for the costs associated with remediating pre-existing contamination at several power station sites.</w:t>
      </w:r>
    </w:p>
    <w:p w14:paraId="0D5533ED" w14:textId="15082B67" w:rsidR="00836458" w:rsidRDefault="00DC2381" w:rsidP="00836458">
      <w:pPr>
        <w:pStyle w:val="Heading3"/>
      </w:pPr>
      <w:r w:rsidRPr="00AC5EA0">
        <w:t>Investments</w:t>
      </w:r>
    </w:p>
    <w:p w14:paraId="1AC1F429" w14:textId="316D4623" w:rsidR="00CF455D" w:rsidRDefault="001508D2" w:rsidP="00EB0A60">
      <w:pPr>
        <w:pStyle w:val="BodyText"/>
        <w:rPr>
          <w:lang w:eastAsia="en-AU"/>
        </w:rPr>
      </w:pPr>
      <w:r w:rsidRPr="001508D2">
        <w:rPr>
          <w:lang w:eastAsia="en-AU"/>
        </w:rPr>
        <w:t>The State holds </w:t>
      </w:r>
      <w:proofErr w:type="gramStart"/>
      <w:r w:rsidRPr="001508D2">
        <w:rPr>
          <w:lang w:eastAsia="en-AU"/>
        </w:rPr>
        <w:t>a number of</w:t>
      </w:r>
      <w:proofErr w:type="gramEnd"/>
      <w:r w:rsidRPr="001508D2">
        <w:rPr>
          <w:lang w:eastAsia="en-AU"/>
        </w:rPr>
        <w:t xml:space="preserve"> investment funds which are managed by </w:t>
      </w:r>
      <w:proofErr w:type="spellStart"/>
      <w:r w:rsidRPr="001508D2">
        <w:rPr>
          <w:lang w:eastAsia="en-AU"/>
        </w:rPr>
        <w:t>TCorp</w:t>
      </w:r>
      <w:proofErr w:type="spellEnd"/>
      <w:r w:rsidRPr="001508D2">
        <w:rPr>
          <w:lang w:eastAsia="en-AU"/>
        </w:rPr>
        <w:t>, including the NSW Generations Fund, NSW Infrastructure Future Fund, Social and Affordable Housing Fund and the Treasury Managed Fund. </w:t>
      </w:r>
    </w:p>
    <w:p w14:paraId="48287612" w14:textId="77777777" w:rsidR="00CF455D" w:rsidRDefault="00CF455D">
      <w:pPr>
        <w:spacing w:after="200" w:line="276" w:lineRule="auto"/>
        <w:rPr>
          <w:rFonts w:ascii="Arial" w:eastAsiaTheme="minorHAnsi" w:hAnsi="Arial" w:cs="Arial"/>
          <w:sz w:val="23"/>
          <w:szCs w:val="24"/>
          <w:lang w:val="en-AU" w:eastAsia="en-AU"/>
        </w:rPr>
      </w:pPr>
      <w:r>
        <w:rPr>
          <w:lang w:eastAsia="en-AU"/>
        </w:rPr>
        <w:br w:type="page"/>
      </w:r>
    </w:p>
    <w:p w14:paraId="6C4DE33D" w14:textId="321D00A2" w:rsidR="00B85134" w:rsidRPr="001508D2" w:rsidRDefault="003859C3" w:rsidP="007260C2">
      <w:pPr>
        <w:pStyle w:val="Heading5"/>
      </w:pPr>
      <w:r w:rsidRPr="001508D2">
        <w:lastRenderedPageBreak/>
        <w:t xml:space="preserve">The NSW Generations Fund (NGF) </w:t>
      </w:r>
    </w:p>
    <w:p w14:paraId="2AE2F631" w14:textId="1C31B325" w:rsidR="00894F57" w:rsidRPr="00985151" w:rsidRDefault="00894F57" w:rsidP="00985151">
      <w:pPr>
        <w:pStyle w:val="BodyText"/>
      </w:pPr>
      <w:r w:rsidRPr="005C5FE7">
        <w:t xml:space="preserve">The NGF was </w:t>
      </w:r>
      <w:r>
        <w:t>seeded</w:t>
      </w:r>
      <w:r w:rsidRPr="005C5FE7">
        <w:t xml:space="preserve"> with an initial balance of $10</w:t>
      </w:r>
      <w:r w:rsidR="00A47E32">
        <w:t>.0</w:t>
      </w:r>
      <w:r w:rsidRPr="005C5FE7">
        <w:t> billion</w:t>
      </w:r>
      <w:r w:rsidR="00CF3571" w:rsidRPr="00CF3571">
        <w:t xml:space="preserve"> </w:t>
      </w:r>
      <w:r w:rsidR="00CF3571" w:rsidRPr="005C5FE7">
        <w:t xml:space="preserve">in </w:t>
      </w:r>
      <w:r w:rsidR="00CF3571">
        <w:t>November</w:t>
      </w:r>
      <w:r w:rsidR="00CF3571" w:rsidRPr="005C5FE7">
        <w:t xml:space="preserve"> 2018</w:t>
      </w:r>
      <w:r w:rsidRPr="005C5FE7">
        <w:t xml:space="preserve"> from sales proceeds from the successful WestConnex transaction and balance sheet reserves. The </w:t>
      </w:r>
      <w:r w:rsidRPr="00D93924">
        <w:rPr>
          <w:i/>
        </w:rPr>
        <w:t>NSW Generations Funds Act 2018</w:t>
      </w:r>
      <w:r>
        <w:t xml:space="preserve"> requires that</w:t>
      </w:r>
      <w:r w:rsidR="00286137">
        <w:t xml:space="preserve"> the</w:t>
      </w:r>
      <w:r w:rsidR="00AF00B0">
        <w:t xml:space="preserve"> funds in the</w:t>
      </w:r>
      <w:r w:rsidR="00286137">
        <w:t xml:space="preserve"> </w:t>
      </w:r>
      <w:r w:rsidR="00590C3D">
        <w:t>NGF</w:t>
      </w:r>
      <w:r w:rsidR="00586E2F">
        <w:t xml:space="preserve"> </w:t>
      </w:r>
      <w:r>
        <w:t>can only be directed towards the repayment of the State’s debt.</w:t>
      </w:r>
    </w:p>
    <w:p w14:paraId="677FB53E" w14:textId="01BC6E95" w:rsidR="00985151" w:rsidRDefault="00894F57" w:rsidP="00985151">
      <w:pPr>
        <w:pStyle w:val="BodyText"/>
      </w:pPr>
      <w:r w:rsidRPr="00E8266A">
        <w:t>Since inception, the </w:t>
      </w:r>
      <w:r w:rsidR="00590C3D">
        <w:t>NGF’s</w:t>
      </w:r>
      <w:r w:rsidRPr="00E8266A">
        <w:t xml:space="preserve"> investment performance has been very strong, returning </w:t>
      </w:r>
      <w:r>
        <w:br/>
      </w:r>
      <w:r w:rsidRPr="00E8266A">
        <w:t>8.5</w:t>
      </w:r>
      <w:r>
        <w:t xml:space="preserve"> per cent</w:t>
      </w:r>
      <w:r w:rsidRPr="00E8266A">
        <w:t xml:space="preserve"> in the five months </w:t>
      </w:r>
      <w:r>
        <w:t>to</w:t>
      </w:r>
      <w:r w:rsidRPr="00E8266A">
        <w:t xml:space="preserve"> April 2019, well above expectation</w:t>
      </w:r>
      <w:r w:rsidR="0091564F">
        <w:t>s</w:t>
      </w:r>
      <w:r w:rsidRPr="00E8266A">
        <w:t xml:space="preserve">. The </w:t>
      </w:r>
      <w:r w:rsidR="00590C3D">
        <w:t>NGF</w:t>
      </w:r>
      <w:r>
        <w:t xml:space="preserve">’s value at </w:t>
      </w:r>
      <w:r w:rsidRPr="00E8266A">
        <w:t>30</w:t>
      </w:r>
      <w:r>
        <w:t> </w:t>
      </w:r>
      <w:r w:rsidRPr="00E8266A">
        <w:t xml:space="preserve">April 2019 was $10.8 billion, which equates to an investment gain of approximately </w:t>
      </w:r>
      <w:r>
        <w:br/>
      </w:r>
      <w:r w:rsidRPr="00E8266A">
        <w:t>$8</w:t>
      </w:r>
      <w:r>
        <w:t>02</w:t>
      </w:r>
      <w:r w:rsidR="005C2CA7">
        <w:t>.0</w:t>
      </w:r>
      <w:r w:rsidRPr="00E8266A">
        <w:t xml:space="preserve"> million since </w:t>
      </w:r>
      <w:r>
        <w:t>it was established.</w:t>
      </w:r>
    </w:p>
    <w:p w14:paraId="1F67CBCD" w14:textId="72D09018" w:rsidR="00894F57" w:rsidRPr="00985151" w:rsidRDefault="00894F57" w:rsidP="00985151">
      <w:pPr>
        <w:pStyle w:val="BodyText"/>
      </w:pPr>
      <w:r w:rsidRPr="00985151">
        <w:t xml:space="preserve">The </w:t>
      </w:r>
      <w:r w:rsidR="00590C3D">
        <w:t>NGF</w:t>
      </w:r>
      <w:r w:rsidRPr="00985151">
        <w:t xml:space="preserve"> investment strategy (i.e. the mix of assets it is invested in) is aligned to its long-term investment horizon and</w:t>
      </w:r>
      <w:r w:rsidR="00586E2F">
        <w:t xml:space="preserve"> its</w:t>
      </w:r>
      <w:r w:rsidRPr="00985151">
        <w:t xml:space="preserve"> policy aim of achieving intergenerational equity. As such, the Fund is well-placed for higher returns within a considered level of risk. Reflecting this, the </w:t>
      </w:r>
      <w:r w:rsidR="00590C3D">
        <w:t>NGF</w:t>
      </w:r>
      <w:r w:rsidRPr="00985151">
        <w:t xml:space="preserve"> is invested in a diverse range of assets including domestic and international equities, bonds, property and infrastructure. Under the prevailing governance arrangements</w:t>
      </w:r>
      <w:r w:rsidR="0049235E">
        <w:t xml:space="preserve">, Treasury endorses the risk appetite and </w:t>
      </w:r>
      <w:r w:rsidRPr="00985151">
        <w:t>the NGF Advisory Board endorses the investment strategy to the Treasurer.</w:t>
      </w:r>
    </w:p>
    <w:p w14:paraId="29CC2748" w14:textId="77777777" w:rsidR="00875E7C" w:rsidRPr="007260C2" w:rsidRDefault="00875E7C" w:rsidP="007260C2">
      <w:pPr>
        <w:pStyle w:val="Heading5"/>
      </w:pPr>
      <w:r w:rsidRPr="001508D2">
        <w:t>The NSW Infrastructure Future Fund (NIFF)</w:t>
      </w:r>
    </w:p>
    <w:p w14:paraId="180BCA94" w14:textId="680CA286" w:rsidR="00875E7C" w:rsidRPr="00D47919" w:rsidRDefault="00875E7C" w:rsidP="005E1887">
      <w:pPr>
        <w:pStyle w:val="BodyText"/>
      </w:pPr>
      <w:r w:rsidRPr="00D72D1F">
        <w:t>The NIFF continues to deliver steady returns</w:t>
      </w:r>
      <w:r w:rsidR="00501843">
        <w:t xml:space="preserve"> and</w:t>
      </w:r>
      <w:r w:rsidRPr="00D72D1F">
        <w:t xml:space="preserve"> </w:t>
      </w:r>
      <w:proofErr w:type="spellStart"/>
      <w:r w:rsidRPr="00D72D1F">
        <w:t>TCorp</w:t>
      </w:r>
      <w:r w:rsidR="00501843">
        <w:t>’s</w:t>
      </w:r>
      <w:proofErr w:type="spellEnd"/>
      <w:r w:rsidRPr="00D72D1F">
        <w:t xml:space="preserve"> </w:t>
      </w:r>
      <w:r w:rsidR="00501843">
        <w:t>management</w:t>
      </w:r>
      <w:r w:rsidR="00551F49">
        <w:t xml:space="preserve"> has</w:t>
      </w:r>
      <w:r w:rsidRPr="00D72D1F">
        <w:t xml:space="preserve"> achieve</w:t>
      </w:r>
      <w:r w:rsidR="00551F49">
        <w:t>d</w:t>
      </w:r>
      <w:r w:rsidRPr="00D72D1F">
        <w:t xml:space="preserve"> long</w:t>
      </w:r>
      <w:r w:rsidR="00551F49">
        <w:noBreakHyphen/>
      </w:r>
      <w:r w:rsidRPr="00D72D1F">
        <w:t xml:space="preserve">term investment returns superior to fixed term deposits or cash. </w:t>
      </w:r>
    </w:p>
    <w:p w14:paraId="176745F1" w14:textId="1E1D8C59" w:rsidR="00875E7C" w:rsidRPr="00344D41" w:rsidRDefault="00875E7C" w:rsidP="00F04CCF">
      <w:pPr>
        <w:pStyle w:val="BodyText"/>
      </w:pPr>
      <w:r w:rsidRPr="00344D41">
        <w:t xml:space="preserve">Since its inception in December 2016, the NIFF has </w:t>
      </w:r>
      <w:r>
        <w:t xml:space="preserve">generated gains </w:t>
      </w:r>
      <w:r w:rsidRPr="00344D41">
        <w:t xml:space="preserve">of over </w:t>
      </w:r>
      <w:r w:rsidRPr="0023464B">
        <w:t>$2</w:t>
      </w:r>
      <w:r w:rsidR="005C2CA7">
        <w:t>.0</w:t>
      </w:r>
      <w:r w:rsidRPr="0023464B">
        <w:t> billion</w:t>
      </w:r>
      <w:r w:rsidR="005166CC">
        <w:t>. This</w:t>
      </w:r>
      <w:r w:rsidRPr="00344D41">
        <w:t xml:space="preserve"> represent</w:t>
      </w:r>
      <w:r w:rsidR="005166CC">
        <w:t>s</w:t>
      </w:r>
      <w:r w:rsidRPr="00344D41">
        <w:t xml:space="preserve"> a net return of</w:t>
      </w:r>
      <w:r>
        <w:t xml:space="preserve"> 6.</w:t>
      </w:r>
      <w:r w:rsidR="005C2CA7">
        <w:t>2</w:t>
      </w:r>
      <w:r>
        <w:t xml:space="preserve"> per cent per annum since inception, and</w:t>
      </w:r>
      <w:r w:rsidRPr="00344D41">
        <w:t xml:space="preserve"> </w:t>
      </w:r>
      <w:r w:rsidRPr="005947A0">
        <w:t>4.</w:t>
      </w:r>
      <w:r w:rsidR="005C2CA7">
        <w:t>6</w:t>
      </w:r>
      <w:r w:rsidRPr="005947A0">
        <w:t xml:space="preserve"> per cent</w:t>
      </w:r>
      <w:r w:rsidRPr="00344D41">
        <w:t xml:space="preserve"> </w:t>
      </w:r>
      <w:r>
        <w:t xml:space="preserve">for the last </w:t>
      </w:r>
      <w:r w:rsidR="00551F49">
        <w:t>10</w:t>
      </w:r>
      <w:r>
        <w:t xml:space="preserve"> months to</w:t>
      </w:r>
      <w:r w:rsidRPr="00344D41">
        <w:t xml:space="preserve"> 30 April 201</w:t>
      </w:r>
      <w:r>
        <w:t>9</w:t>
      </w:r>
      <w:r w:rsidRPr="00344D41">
        <w:t xml:space="preserve">. This investment return is well above the </w:t>
      </w:r>
      <w:r>
        <w:t xml:space="preserve">rate available from holding funds in </w:t>
      </w:r>
      <w:r w:rsidRPr="00344D41">
        <w:t xml:space="preserve">the Treasury Banking System. The balance of the NIFF </w:t>
      </w:r>
      <w:r w:rsidR="0051152D">
        <w:t>was</w:t>
      </w:r>
      <w:r w:rsidR="0051152D" w:rsidRPr="00344D41">
        <w:t xml:space="preserve"> </w:t>
      </w:r>
      <w:r w:rsidRPr="00344D41">
        <w:t>at $1</w:t>
      </w:r>
      <w:r>
        <w:t>8.1</w:t>
      </w:r>
      <w:r w:rsidRPr="00344D41">
        <w:t xml:space="preserve"> billion as at 30 April 201</w:t>
      </w:r>
      <w:r>
        <w:t>9</w:t>
      </w:r>
      <w:r w:rsidRPr="00344D41">
        <w:t>, which comprises proceeds from asset recycling transactions, Commonwealth Government Asset Recycling Initiative payments, proceeds from Waratah Bonds, windfall tax revenue, and investment earnings.</w:t>
      </w:r>
    </w:p>
    <w:p w14:paraId="6FF2EE89" w14:textId="0EE529E6" w:rsidR="00875E7C" w:rsidRPr="00344D41" w:rsidRDefault="00875E7C" w:rsidP="00CD57E7">
      <w:pPr>
        <w:pStyle w:val="BodyText"/>
      </w:pPr>
      <w:r w:rsidRPr="00344D41">
        <w:t xml:space="preserve">The NIFF is invested strategically </w:t>
      </w:r>
      <w:r>
        <w:t>in</w:t>
      </w:r>
      <w:r w:rsidRPr="00344D41">
        <w:t xml:space="preserve"> a </w:t>
      </w:r>
      <w:r>
        <w:t xml:space="preserve">mix of </w:t>
      </w:r>
      <w:r w:rsidRPr="00344D41">
        <w:t>defensive</w:t>
      </w:r>
      <w:r>
        <w:t xml:space="preserve"> and</w:t>
      </w:r>
      <w:r w:rsidRPr="00344D41">
        <w:t xml:space="preserve"> </w:t>
      </w:r>
      <w:r>
        <w:t>growth assets</w:t>
      </w:r>
      <w:r w:rsidR="00CE3DA2">
        <w:t xml:space="preserve"> to provide higher returns than if simply left in cash</w:t>
      </w:r>
      <w:r>
        <w:t xml:space="preserve">. This asset allocation is designed to provide </w:t>
      </w:r>
      <w:r w:rsidRPr="00344D41">
        <w:t>liquidity to fund the future requirements of the Restart NSW and Rebuilding NSW expenditure programs</w:t>
      </w:r>
      <w:r w:rsidR="00843D0A">
        <w:t>.</w:t>
      </w:r>
      <w:r w:rsidRPr="00344D41">
        <w:t xml:space="preserve">  </w:t>
      </w:r>
    </w:p>
    <w:p w14:paraId="5D85E676" w14:textId="04A4D569" w:rsidR="000D3892" w:rsidRPr="007260C2" w:rsidRDefault="000D3892" w:rsidP="007260C2">
      <w:pPr>
        <w:pStyle w:val="Heading5"/>
      </w:pPr>
      <w:r w:rsidRPr="001508D2">
        <w:t>Social and Affordable Housing Fund (SAHF)</w:t>
      </w:r>
    </w:p>
    <w:p w14:paraId="6BEA7499" w14:textId="23B8270A" w:rsidR="00AE3E70" w:rsidRPr="001F5669" w:rsidRDefault="00AE3E70" w:rsidP="005E1887">
      <w:pPr>
        <w:pStyle w:val="BodyText"/>
      </w:pPr>
      <w:r w:rsidRPr="001F5669">
        <w:t xml:space="preserve">The SAHF was seeded with $1.1 billion of asset recycling proceeds in August 2017. </w:t>
      </w:r>
      <w:r>
        <w:t>As at 30</w:t>
      </w:r>
      <w:r w:rsidR="002B0837">
        <w:t> </w:t>
      </w:r>
      <w:r>
        <w:t>April 2019</w:t>
      </w:r>
      <w:r w:rsidRPr="001F5669">
        <w:t xml:space="preserve">, the SAHF </w:t>
      </w:r>
      <w:r>
        <w:t>ha</w:t>
      </w:r>
      <w:r w:rsidR="006D789F">
        <w:t>d</w:t>
      </w:r>
      <w:r>
        <w:t xml:space="preserve"> a balance of $1.2 billion and </w:t>
      </w:r>
      <w:r w:rsidRPr="001F5669">
        <w:t>has returned</w:t>
      </w:r>
      <w:r>
        <w:t xml:space="preserve"> 9.</w:t>
      </w:r>
      <w:r w:rsidR="00AC6F1A">
        <w:t>3</w:t>
      </w:r>
      <w:r>
        <w:t xml:space="preserve"> per cent since inception and</w:t>
      </w:r>
      <w:r w:rsidRPr="001F5669">
        <w:t xml:space="preserve"> </w:t>
      </w:r>
      <w:r>
        <w:t>6.7</w:t>
      </w:r>
      <w:r w:rsidRPr="001F5669">
        <w:t xml:space="preserve"> per cent</w:t>
      </w:r>
      <w:r>
        <w:t xml:space="preserve"> for the last </w:t>
      </w:r>
      <w:r w:rsidR="000D5EEA">
        <w:t>10</w:t>
      </w:r>
      <w:r>
        <w:t xml:space="preserve"> months to 30 April 2019</w:t>
      </w:r>
      <w:r w:rsidRPr="001F5669">
        <w:t xml:space="preserve">, outperforming </w:t>
      </w:r>
      <w:r>
        <w:t>its</w:t>
      </w:r>
      <w:r w:rsidRPr="001F5669">
        <w:t xml:space="preserve"> strategic asset allocation benchmark and increasing funding for new and affordable housing stock. </w:t>
      </w:r>
    </w:p>
    <w:p w14:paraId="1C880D11" w14:textId="5D882D16" w:rsidR="00AE3E70" w:rsidRDefault="00AE3E70" w:rsidP="00F04CCF">
      <w:pPr>
        <w:pStyle w:val="BodyText"/>
      </w:pPr>
      <w:proofErr w:type="spellStart"/>
      <w:r w:rsidRPr="001F5669">
        <w:t>TCorp</w:t>
      </w:r>
      <w:proofErr w:type="spellEnd"/>
      <w:r w:rsidRPr="001F5669">
        <w:t xml:space="preserve"> manages the SAHF to provide a stable income stream </w:t>
      </w:r>
      <w:r>
        <w:t xml:space="preserve">over a </w:t>
      </w:r>
      <w:r w:rsidR="009B7131" w:rsidRPr="001F5669">
        <w:t>25-year</w:t>
      </w:r>
      <w:r>
        <w:t xml:space="preserve"> period</w:t>
      </w:r>
      <w:r w:rsidRPr="001F5669">
        <w:t xml:space="preserve">, facilitating the delivery </w:t>
      </w:r>
      <w:r>
        <w:t xml:space="preserve">and ongoing servicing </w:t>
      </w:r>
      <w:r w:rsidR="007C2E58">
        <w:t>of</w:t>
      </w:r>
      <w:r w:rsidRPr="001F5669">
        <w:t xml:space="preserve"> social and affordable homes from a mix of private and non-profit consortia.</w:t>
      </w:r>
    </w:p>
    <w:p w14:paraId="6543EAC1" w14:textId="77777777" w:rsidR="00FE0589" w:rsidRPr="007260C2" w:rsidRDefault="00FE0589" w:rsidP="007260C2">
      <w:pPr>
        <w:pStyle w:val="Heading5"/>
      </w:pPr>
      <w:r w:rsidRPr="001508D2">
        <w:t>Treasury Managed Fund (TMF)</w:t>
      </w:r>
    </w:p>
    <w:p w14:paraId="7037F33F" w14:textId="62B21748" w:rsidR="00C77DF6" w:rsidRPr="005F2B80" w:rsidRDefault="00C77DF6" w:rsidP="00EB0A60">
      <w:pPr>
        <w:pStyle w:val="BodyText"/>
      </w:pPr>
      <w:r w:rsidRPr="005F2B80">
        <w:t xml:space="preserve">The </w:t>
      </w:r>
      <w:r w:rsidR="00B11CB1">
        <w:t>TMF</w:t>
      </w:r>
      <w:r w:rsidRPr="005F2B80">
        <w:t xml:space="preserve"> </w:t>
      </w:r>
      <w:r w:rsidR="00B75A3F">
        <w:t>provides funding for</w:t>
      </w:r>
      <w:r w:rsidR="00B75A3F" w:rsidRPr="005F2B80">
        <w:t xml:space="preserve"> </w:t>
      </w:r>
      <w:r w:rsidRPr="005F2B80">
        <w:t xml:space="preserve">the State’s self-insurance scheme covering participating government entities for their insurable risk exposures. The TMF receives contributions from NSW government entities and holds assets to meet the cost of liabilities when they arise. </w:t>
      </w:r>
    </w:p>
    <w:p w14:paraId="7AEE0328" w14:textId="5E261C2B" w:rsidR="00C77DF6" w:rsidRPr="005F2B80" w:rsidRDefault="00C77DF6" w:rsidP="00EB0A60">
      <w:pPr>
        <w:pStyle w:val="BodyText"/>
      </w:pPr>
      <w:r w:rsidRPr="005F2B80">
        <w:t>As at 30 April 2019, the TMF ha</w:t>
      </w:r>
      <w:r w:rsidR="006D789F">
        <w:t>d</w:t>
      </w:r>
      <w:r w:rsidRPr="005F2B80">
        <w:t xml:space="preserve"> a balance of $8.5 billion and has returned 6.</w:t>
      </w:r>
      <w:r w:rsidR="00AC6F1A">
        <w:t>8</w:t>
      </w:r>
      <w:r w:rsidRPr="005F2B80">
        <w:t xml:space="preserve"> per cent for the 10 months to April 2019. Since inception in March 1999, it has returned 6.8 per cent </w:t>
      </w:r>
      <w:r w:rsidR="00B75A3F">
        <w:t xml:space="preserve">per annum </w:t>
      </w:r>
      <w:r w:rsidRPr="005F2B80">
        <w:t xml:space="preserve">exceeding both its strategic asset allocation benchmark and investment objective. </w:t>
      </w:r>
    </w:p>
    <w:p w14:paraId="3A9E98B5" w14:textId="771394AE" w:rsidR="00C77DF6" w:rsidRPr="005F2B80" w:rsidRDefault="00C77DF6" w:rsidP="00EB0A60">
      <w:pPr>
        <w:pStyle w:val="BodyText"/>
      </w:pPr>
      <w:r w:rsidRPr="005F2B80">
        <w:lastRenderedPageBreak/>
        <w:t xml:space="preserve">The fund has a relatively high exposure to growth assets including domestic and international equities as well as unlisted assets such as property and infrastructure. The TMF’s investment strategy supports </w:t>
      </w:r>
      <w:r w:rsidR="00B75A3F">
        <w:t>its</w:t>
      </w:r>
      <w:r w:rsidR="00B75A3F" w:rsidRPr="005F2B80">
        <w:t xml:space="preserve"> </w:t>
      </w:r>
      <w:r w:rsidRPr="005F2B80">
        <w:t>investment and policy objectives over the long term</w:t>
      </w:r>
      <w:r w:rsidR="005166CC">
        <w:t xml:space="preserve"> –</w:t>
      </w:r>
      <w:r w:rsidRPr="005F2B80">
        <w:t xml:space="preserve"> within an acceptable level of risk</w:t>
      </w:r>
      <w:r w:rsidR="0091564F">
        <w:t xml:space="preserve">. This </w:t>
      </w:r>
      <w:r w:rsidRPr="005F2B80">
        <w:t xml:space="preserve">provides the Government with confidence that unforeseen losses can be managed with minimal impact to the State </w:t>
      </w:r>
      <w:r w:rsidR="005166CC">
        <w:t>B</w:t>
      </w:r>
      <w:r w:rsidRPr="005F2B80">
        <w:t xml:space="preserve">udget. </w:t>
      </w:r>
    </w:p>
    <w:p w14:paraId="0090C248" w14:textId="135CC755" w:rsidR="00B63665" w:rsidRPr="006B43FD" w:rsidRDefault="00B63665" w:rsidP="00B63665">
      <w:pPr>
        <w:pStyle w:val="Heading3"/>
        <w:rPr>
          <w:rFonts w:cs="Arial"/>
        </w:rPr>
      </w:pPr>
      <w:r w:rsidRPr="006B43FD">
        <w:rPr>
          <w:rFonts w:cs="Arial"/>
        </w:rPr>
        <w:t xml:space="preserve">Superannuation </w:t>
      </w:r>
      <w:r w:rsidR="00B85134" w:rsidRPr="006B43FD">
        <w:rPr>
          <w:rFonts w:cs="Arial"/>
        </w:rPr>
        <w:t xml:space="preserve">and long service leave </w:t>
      </w:r>
      <w:r w:rsidRPr="006B43FD">
        <w:rPr>
          <w:rFonts w:cs="Arial"/>
        </w:rPr>
        <w:t>liabilities</w:t>
      </w:r>
    </w:p>
    <w:p w14:paraId="4E96087A" w14:textId="219EC7E2" w:rsidR="004E21A9" w:rsidRDefault="00632158" w:rsidP="005E1887">
      <w:pPr>
        <w:pStyle w:val="BodyText"/>
      </w:pPr>
      <w:r>
        <w:t>Forecast l</w:t>
      </w:r>
      <w:r w:rsidR="004E21A9" w:rsidRPr="004D2D27">
        <w:t>iabilities for superannuation and long service leave are based on a wide range of parameters. These include assumptions around salary growth, inflation, investment returns and discount rates. A change in any of these parameters may affect the actual liabilities of superannuation and long</w:t>
      </w:r>
      <w:r w:rsidR="008C49F4">
        <w:t xml:space="preserve"> </w:t>
      </w:r>
      <w:r w:rsidR="004E21A9" w:rsidRPr="004D2D27">
        <w:t>service leave. The long</w:t>
      </w:r>
      <w:r w:rsidR="008C49F4">
        <w:t xml:space="preserve"> </w:t>
      </w:r>
      <w:r w:rsidR="004E21A9" w:rsidRPr="004D2D27">
        <w:t>service leave liability is also subject to variations in the rate of employee retention</w:t>
      </w:r>
      <w:r w:rsidR="004E21A9">
        <w:t>.</w:t>
      </w:r>
    </w:p>
    <w:p w14:paraId="180E46BC" w14:textId="63671085" w:rsidR="00530D2C" w:rsidRPr="00D3563C" w:rsidRDefault="00530D2C" w:rsidP="00530D2C">
      <w:pPr>
        <w:pStyle w:val="Table4X"/>
        <w:spacing w:before="0"/>
      </w:pPr>
      <w:r w:rsidRPr="00D3563C">
        <w:t xml:space="preserve">Superannuation liabilities </w:t>
      </w:r>
    </w:p>
    <w:p w14:paraId="76BC460D" w14:textId="6366EFFB" w:rsidR="00530D2C" w:rsidRPr="00344D41" w:rsidRDefault="00EF24EA" w:rsidP="00530D2C">
      <w:pPr>
        <w:rPr>
          <w:rFonts w:ascii="Arial" w:hAnsi="Arial" w:cs="Arial"/>
          <w:sz w:val="6"/>
          <w:szCs w:val="6"/>
        </w:rPr>
      </w:pPr>
      <w:r w:rsidRPr="00EF24EA">
        <w:rPr>
          <w:rFonts w:ascii="Arial" w:hAnsi="Arial" w:cs="Arial"/>
          <w:sz w:val="6"/>
          <w:szCs w:val="6"/>
        </w:rPr>
        <w:t xml:space="preserve"> </w:t>
      </w:r>
      <w:r w:rsidR="004E199E" w:rsidRPr="004E199E">
        <w:rPr>
          <w:noProof/>
        </w:rPr>
        <w:drawing>
          <wp:inline distT="0" distB="0" distL="0" distR="0" wp14:anchorId="57507001" wp14:editId="650EB8A9">
            <wp:extent cx="5934075" cy="26860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4075" cy="2686050"/>
                    </a:xfrm>
                    <a:prstGeom prst="rect">
                      <a:avLst/>
                    </a:prstGeom>
                    <a:noFill/>
                    <a:ln>
                      <a:noFill/>
                    </a:ln>
                  </pic:spPr>
                </pic:pic>
              </a:graphicData>
            </a:graphic>
          </wp:inline>
        </w:drawing>
      </w:r>
    </w:p>
    <w:p w14:paraId="2FD863EC" w14:textId="4B9446D9" w:rsidR="00530D2C" w:rsidRDefault="00530D2C" w:rsidP="00667998">
      <w:pPr>
        <w:pStyle w:val="ListParagraph"/>
        <w:numPr>
          <w:ilvl w:val="0"/>
          <w:numId w:val="1"/>
        </w:numPr>
        <w:rPr>
          <w:rFonts w:ascii="Arial" w:hAnsi="Arial" w:cs="Arial"/>
          <w:sz w:val="17"/>
          <w:szCs w:val="17"/>
        </w:rPr>
      </w:pPr>
      <w:r w:rsidRPr="00344D41">
        <w:rPr>
          <w:rFonts w:ascii="Arial" w:hAnsi="Arial" w:cs="Arial"/>
          <w:sz w:val="17"/>
          <w:szCs w:val="17"/>
        </w:rPr>
        <w:t xml:space="preserve">1 per cent movement in factor is a 1 percentage point </w:t>
      </w:r>
      <w:r w:rsidR="002711BD">
        <w:rPr>
          <w:rFonts w:ascii="Arial" w:hAnsi="Arial" w:cs="Arial"/>
          <w:sz w:val="17"/>
          <w:szCs w:val="17"/>
        </w:rPr>
        <w:t>change</w:t>
      </w:r>
      <w:r>
        <w:rPr>
          <w:rFonts w:ascii="Arial" w:hAnsi="Arial" w:cs="Arial"/>
          <w:sz w:val="17"/>
          <w:szCs w:val="17"/>
        </w:rPr>
        <w:t>.</w:t>
      </w:r>
    </w:p>
    <w:p w14:paraId="1B7E30AD" w14:textId="77777777" w:rsidR="00530D2C" w:rsidRPr="00527447" w:rsidRDefault="00530D2C" w:rsidP="00667998">
      <w:pPr>
        <w:pStyle w:val="ListParagraph"/>
        <w:numPr>
          <w:ilvl w:val="0"/>
          <w:numId w:val="1"/>
        </w:numPr>
        <w:rPr>
          <w:rFonts w:ascii="Arial" w:hAnsi="Arial" w:cs="Arial"/>
          <w:sz w:val="17"/>
          <w:szCs w:val="17"/>
        </w:rPr>
      </w:pPr>
      <w:r>
        <w:rPr>
          <w:rFonts w:ascii="Arial" w:hAnsi="Arial" w:cs="Arial"/>
          <w:sz w:val="17"/>
          <w:szCs w:val="17"/>
        </w:rPr>
        <w:t xml:space="preserve">For producing superannuation liabilities sensitivities, AASB 119 </w:t>
      </w:r>
      <w:r>
        <w:rPr>
          <w:rFonts w:ascii="Arial" w:hAnsi="Arial" w:cs="Arial"/>
          <w:i/>
          <w:sz w:val="17"/>
          <w:szCs w:val="17"/>
        </w:rPr>
        <w:t>Employee Benefits</w:t>
      </w:r>
      <w:r>
        <w:rPr>
          <w:rFonts w:ascii="Arial" w:hAnsi="Arial" w:cs="Arial"/>
          <w:sz w:val="17"/>
          <w:szCs w:val="17"/>
        </w:rPr>
        <w:t xml:space="preserve"> is used.</w:t>
      </w:r>
    </w:p>
    <w:p w14:paraId="1788C227" w14:textId="094D136E" w:rsidR="00530D2C" w:rsidRDefault="00530D2C" w:rsidP="00D11E5D">
      <w:pPr>
        <w:numPr>
          <w:ilvl w:val="0"/>
          <w:numId w:val="1"/>
        </w:numPr>
        <w:ind w:left="357" w:hanging="357"/>
      </w:pPr>
      <w:r w:rsidRPr="00F307A5">
        <w:rPr>
          <w:rFonts w:ascii="Arial" w:hAnsi="Arial" w:cs="Arial"/>
          <w:sz w:val="17"/>
          <w:szCs w:val="17"/>
        </w:rPr>
        <w:t>A positive effect (e.g. improved investment returns) reduces NFL (improves the financial position), while a negative effect (e.g. higher public sector wages) increases NFL (weakens the financial position)</w:t>
      </w:r>
      <w:r>
        <w:rPr>
          <w:rFonts w:ascii="Arial" w:hAnsi="Arial" w:cs="Arial"/>
          <w:sz w:val="17"/>
          <w:szCs w:val="17"/>
        </w:rPr>
        <w:t>.</w:t>
      </w:r>
    </w:p>
    <w:p w14:paraId="0C9BD280" w14:textId="77777777" w:rsidR="007260C2" w:rsidRDefault="007260C2" w:rsidP="007260C2"/>
    <w:p w14:paraId="748D080A" w14:textId="723594D6" w:rsidR="00EB0A60" w:rsidRDefault="00530D2C" w:rsidP="007260C2">
      <w:pPr>
        <w:pStyle w:val="BodyText"/>
      </w:pPr>
      <w:r w:rsidRPr="005969E4">
        <w:t xml:space="preserve">An increase in </w:t>
      </w:r>
      <w:r>
        <w:t xml:space="preserve">public sector </w:t>
      </w:r>
      <w:r w:rsidRPr="005969E4">
        <w:t xml:space="preserve">salaries will increase </w:t>
      </w:r>
      <w:r w:rsidR="00B85D76">
        <w:t xml:space="preserve">the </w:t>
      </w:r>
      <w:r w:rsidRPr="005969E4">
        <w:t xml:space="preserve">superannuation entitlements of those employees on a defined benefit scheme </w:t>
      </w:r>
      <w:r w:rsidR="00B85D76">
        <w:t xml:space="preserve">that are </w:t>
      </w:r>
      <w:r w:rsidR="005B4222">
        <w:t xml:space="preserve">still </w:t>
      </w:r>
      <w:r w:rsidRPr="005969E4">
        <w:t xml:space="preserve">in the workforce, while an increase in CPI will increase the benefit payments to </w:t>
      </w:r>
      <w:r w:rsidR="004E199E">
        <w:t>all members</w:t>
      </w:r>
      <w:r w:rsidRPr="005969E4">
        <w:t xml:space="preserve"> as their pension is indexed by the Sydney CPI. An increase in the investment return </w:t>
      </w:r>
      <w:r>
        <w:t xml:space="preserve">on superannuation assets </w:t>
      </w:r>
      <w:r w:rsidRPr="005969E4">
        <w:t xml:space="preserve">will increase the proportion of the defined benefit that </w:t>
      </w:r>
      <w:r>
        <w:t>can be</w:t>
      </w:r>
      <w:r w:rsidRPr="005969E4">
        <w:t xml:space="preserve"> funded and will hence improve the </w:t>
      </w:r>
      <w:r w:rsidR="00F15235">
        <w:t>b</w:t>
      </w:r>
      <w:r w:rsidRPr="005969E4">
        <w:t>udget result. For an explanation of the unfunded superannuation liability, refer to Chapter</w:t>
      </w:r>
      <w:r w:rsidR="00C41928">
        <w:t> </w:t>
      </w:r>
      <w:r w:rsidR="00E13A9C">
        <w:t>6</w:t>
      </w:r>
      <w:r w:rsidRPr="005969E4">
        <w:t xml:space="preserve"> of this </w:t>
      </w:r>
      <w:r>
        <w:rPr>
          <w:i/>
        </w:rPr>
        <w:t>Budget </w:t>
      </w:r>
      <w:r w:rsidRPr="00527447">
        <w:rPr>
          <w:i/>
        </w:rPr>
        <w:t>Statement</w:t>
      </w:r>
      <w:r w:rsidRPr="005969E4">
        <w:t>.</w:t>
      </w:r>
      <w:r w:rsidR="00EB0A60">
        <w:br w:type="page"/>
      </w:r>
    </w:p>
    <w:p w14:paraId="34B880AF" w14:textId="575F0890" w:rsidR="006C3082" w:rsidRPr="00667998" w:rsidRDefault="00EB0A60" w:rsidP="00344D41">
      <w:pPr>
        <w:pStyle w:val="Heading2"/>
      </w:pPr>
      <w:bookmarkStart w:id="4" w:name="_Hlk516140928"/>
      <w:r>
        <w:lastRenderedPageBreak/>
        <w:t>B.3</w:t>
      </w:r>
      <w:r>
        <w:tab/>
      </w:r>
      <w:r w:rsidR="006C3082" w:rsidRPr="00667998">
        <w:t xml:space="preserve">Specific </w:t>
      </w:r>
      <w:r w:rsidR="0021397C" w:rsidRPr="00667998">
        <w:t>f</w:t>
      </w:r>
      <w:r w:rsidR="006C3082" w:rsidRPr="00667998">
        <w:t xml:space="preserve">iscal </w:t>
      </w:r>
      <w:r w:rsidR="0021397C" w:rsidRPr="00667998">
        <w:t>r</w:t>
      </w:r>
      <w:r w:rsidR="006C3082" w:rsidRPr="00667998">
        <w:t xml:space="preserve">isks </w:t>
      </w:r>
    </w:p>
    <w:bookmarkEnd w:id="4"/>
    <w:p w14:paraId="5F621191" w14:textId="77777777" w:rsidR="00620C1D" w:rsidRPr="00A64214" w:rsidRDefault="00620C1D" w:rsidP="007260C2">
      <w:pPr>
        <w:pStyle w:val="Heading3"/>
      </w:pPr>
      <w:r w:rsidRPr="00A64214">
        <w:t>National Redress Scheme for survivors of institutional child sexual abuse</w:t>
      </w:r>
    </w:p>
    <w:p w14:paraId="5048D598" w14:textId="4F946AFE" w:rsidR="00620C1D" w:rsidRDefault="00620C1D" w:rsidP="005E1887">
      <w:pPr>
        <w:pStyle w:val="BodyText"/>
      </w:pPr>
      <w:r w:rsidRPr="00A64214">
        <w:t xml:space="preserve">On 9 March 2018, the NSW Government announced it would opt-in to the National Redress Scheme for survivors of institutional child sexual abuse. Liabilities for the Scheme are forecast based on a wide range of </w:t>
      </w:r>
      <w:r w:rsidR="00376EF3">
        <w:t xml:space="preserve">actuarially based </w:t>
      </w:r>
      <w:r w:rsidRPr="00A64214">
        <w:t xml:space="preserve">parameters. These include assumptions about the exposure and latency of reporting abuse in New South Wales, and the number of applicants. </w:t>
      </w:r>
      <w:r>
        <w:t xml:space="preserve">Adjustments may be made to these parameters once more applications are received, and more data becomes available. This </w:t>
      </w:r>
      <w:r w:rsidRPr="00A64214">
        <w:t xml:space="preserve">may affect the actual liabilities and expenses of redress over the </w:t>
      </w:r>
      <w:r w:rsidR="006545C1">
        <w:t>10</w:t>
      </w:r>
      <w:r w:rsidRPr="00A64214">
        <w:noBreakHyphen/>
        <w:t xml:space="preserve">year life of the Scheme. </w:t>
      </w:r>
    </w:p>
    <w:p w14:paraId="7D05CC35" w14:textId="77777777" w:rsidR="00620C1D" w:rsidRPr="00475AD3" w:rsidRDefault="00620C1D" w:rsidP="007260C2">
      <w:pPr>
        <w:pStyle w:val="Heading3"/>
      </w:pPr>
      <w:r w:rsidRPr="00475AD3">
        <w:t xml:space="preserve">Civil litigation claims of institutional child sexual abuse </w:t>
      </w:r>
    </w:p>
    <w:p w14:paraId="62781985" w14:textId="3CABC0FA" w:rsidR="00620C1D" w:rsidRDefault="00620C1D" w:rsidP="00EB0A60">
      <w:pPr>
        <w:pStyle w:val="BodyText"/>
        <w:rPr>
          <w:lang w:eastAsia="en-AU"/>
        </w:rPr>
      </w:pPr>
      <w:r w:rsidRPr="006D731D">
        <w:rPr>
          <w:lang w:eastAsia="en-AU"/>
        </w:rPr>
        <w:t xml:space="preserve">Survivors of institutional child sexual abuse may </w:t>
      </w:r>
      <w:r w:rsidR="001A3A67">
        <w:rPr>
          <w:lang w:eastAsia="en-AU"/>
        </w:rPr>
        <w:t>choose</w:t>
      </w:r>
      <w:r w:rsidR="001A3A67" w:rsidRPr="006D731D">
        <w:rPr>
          <w:lang w:eastAsia="en-AU"/>
        </w:rPr>
        <w:t xml:space="preserve"> </w:t>
      </w:r>
      <w:r w:rsidRPr="006D731D">
        <w:rPr>
          <w:lang w:eastAsia="en-AU"/>
        </w:rPr>
        <w:t>to pursue</w:t>
      </w:r>
      <w:r>
        <w:rPr>
          <w:lang w:eastAsia="en-AU"/>
        </w:rPr>
        <w:t xml:space="preserve"> civil litigation </w:t>
      </w:r>
      <w:r w:rsidR="00BC3A92">
        <w:rPr>
          <w:lang w:eastAsia="en-AU"/>
        </w:rPr>
        <w:t>rather than opting into the</w:t>
      </w:r>
      <w:r>
        <w:rPr>
          <w:lang w:eastAsia="en-AU"/>
        </w:rPr>
        <w:t xml:space="preserve"> redress</w:t>
      </w:r>
      <w:r w:rsidR="00BC3A92">
        <w:rPr>
          <w:lang w:eastAsia="en-AU"/>
        </w:rPr>
        <w:t xml:space="preserve"> scheme</w:t>
      </w:r>
      <w:r>
        <w:rPr>
          <w:lang w:eastAsia="en-AU"/>
        </w:rPr>
        <w:t>. Civil claims currently represent a contingent liability and there continues to be significant uncertainty around these claims. Once more data becomes available on the proportion of survivors opting to pursue redress instead of civil action, a</w:t>
      </w:r>
      <w:r w:rsidR="006B4F7D">
        <w:rPr>
          <w:lang w:eastAsia="en-AU"/>
        </w:rPr>
        <w:t xml:space="preserve">nd of the claims in the Civil Court system, </w:t>
      </w:r>
      <w:r w:rsidR="00EC3D51">
        <w:rPr>
          <w:lang w:eastAsia="en-AU"/>
        </w:rPr>
        <w:t>the ability to reliably measure the liability may become clearer and brought to account appropriately</w:t>
      </w:r>
      <w:r>
        <w:rPr>
          <w:lang w:eastAsia="en-AU"/>
        </w:rPr>
        <w:t xml:space="preserve">. </w:t>
      </w:r>
    </w:p>
    <w:p w14:paraId="6BF0E3EC" w14:textId="1BA29BC9" w:rsidR="002F054C" w:rsidRPr="00A548C3" w:rsidRDefault="002F054C" w:rsidP="007260C2">
      <w:pPr>
        <w:pStyle w:val="Heading3"/>
      </w:pPr>
      <w:r w:rsidRPr="00A548C3">
        <w:t>Drought</w:t>
      </w:r>
    </w:p>
    <w:p w14:paraId="6A9DDE33" w14:textId="608F39B8" w:rsidR="006A3F49" w:rsidRDefault="006A3F49" w:rsidP="00EB0A60">
      <w:pPr>
        <w:pStyle w:val="BodyText"/>
        <w:rPr>
          <w:lang w:eastAsia="en-AU"/>
        </w:rPr>
      </w:pPr>
      <w:r w:rsidRPr="006A3F49">
        <w:rPr>
          <w:lang w:eastAsia="en-AU"/>
        </w:rPr>
        <w:t>N</w:t>
      </w:r>
      <w:r w:rsidR="00E62658">
        <w:rPr>
          <w:lang w:eastAsia="en-AU"/>
        </w:rPr>
        <w:t xml:space="preserve">ew South </w:t>
      </w:r>
      <w:r w:rsidRPr="006A3F49">
        <w:rPr>
          <w:lang w:eastAsia="en-AU"/>
        </w:rPr>
        <w:t>W</w:t>
      </w:r>
      <w:r w:rsidR="00E62658">
        <w:rPr>
          <w:lang w:eastAsia="en-AU"/>
        </w:rPr>
        <w:t>ales</w:t>
      </w:r>
      <w:r w:rsidRPr="006A3F49">
        <w:rPr>
          <w:lang w:eastAsia="en-AU"/>
        </w:rPr>
        <w:t xml:space="preserve"> </w:t>
      </w:r>
      <w:r w:rsidR="00E62658">
        <w:rPr>
          <w:lang w:eastAsia="en-AU"/>
        </w:rPr>
        <w:t xml:space="preserve">is </w:t>
      </w:r>
      <w:r w:rsidRPr="006A3F49">
        <w:rPr>
          <w:lang w:eastAsia="en-AU"/>
        </w:rPr>
        <w:t xml:space="preserve">experiencing </w:t>
      </w:r>
      <w:r w:rsidR="00E62658">
        <w:rPr>
          <w:lang w:eastAsia="en-AU"/>
        </w:rPr>
        <w:t>severe</w:t>
      </w:r>
      <w:r w:rsidR="00E62658" w:rsidRPr="006A3F49">
        <w:rPr>
          <w:lang w:eastAsia="en-AU"/>
        </w:rPr>
        <w:t xml:space="preserve"> </w:t>
      </w:r>
      <w:r w:rsidRPr="006A3F49">
        <w:rPr>
          <w:lang w:eastAsia="en-AU"/>
        </w:rPr>
        <w:t xml:space="preserve">drought conditions. </w:t>
      </w:r>
      <w:r w:rsidR="00E62658">
        <w:rPr>
          <w:lang w:eastAsia="en-AU"/>
        </w:rPr>
        <w:t xml:space="preserve">Water restrictions are in effect, </w:t>
      </w:r>
      <w:r w:rsidR="00E62658" w:rsidRPr="00475AD3">
        <w:rPr>
          <w:lang w:eastAsia="en-AU"/>
        </w:rPr>
        <w:t xml:space="preserve">commencing in Sydney, the Blue Mountains and Illawarra in June 2019. Sustained drought conditions could result in </w:t>
      </w:r>
      <w:r w:rsidRPr="00475AD3">
        <w:rPr>
          <w:lang w:eastAsia="en-AU"/>
        </w:rPr>
        <w:t xml:space="preserve">lower </w:t>
      </w:r>
      <w:r w:rsidR="00E62658" w:rsidRPr="00475AD3">
        <w:rPr>
          <w:lang w:eastAsia="en-AU"/>
        </w:rPr>
        <w:t xml:space="preserve">than projected </w:t>
      </w:r>
      <w:r w:rsidRPr="00475AD3">
        <w:rPr>
          <w:lang w:eastAsia="en-AU"/>
        </w:rPr>
        <w:t>water sale</w:t>
      </w:r>
      <w:r w:rsidR="00247CC4" w:rsidRPr="00475AD3">
        <w:rPr>
          <w:lang w:eastAsia="en-AU"/>
        </w:rPr>
        <w:t xml:space="preserve">s. In turn, this may result in lower dividend and distribution revenue from </w:t>
      </w:r>
      <w:r w:rsidR="00777140" w:rsidRPr="00475AD3">
        <w:rPr>
          <w:lang w:eastAsia="en-AU"/>
        </w:rPr>
        <w:t xml:space="preserve">the </w:t>
      </w:r>
      <w:r w:rsidR="00EB1744">
        <w:rPr>
          <w:lang w:eastAsia="en-AU"/>
        </w:rPr>
        <w:t>p</w:t>
      </w:r>
      <w:r w:rsidR="000E3435">
        <w:rPr>
          <w:lang w:eastAsia="en-AU"/>
        </w:rPr>
        <w:t xml:space="preserve">ublic </w:t>
      </w:r>
      <w:r w:rsidR="00EB1744">
        <w:rPr>
          <w:lang w:eastAsia="en-AU"/>
        </w:rPr>
        <w:t>n</w:t>
      </w:r>
      <w:r w:rsidR="000E3435">
        <w:rPr>
          <w:lang w:eastAsia="en-AU"/>
        </w:rPr>
        <w:t>on-</w:t>
      </w:r>
      <w:r w:rsidR="00EB1744">
        <w:rPr>
          <w:lang w:eastAsia="en-AU"/>
        </w:rPr>
        <w:t>f</w:t>
      </w:r>
      <w:r w:rsidR="000E3435">
        <w:rPr>
          <w:lang w:eastAsia="en-AU"/>
        </w:rPr>
        <w:t xml:space="preserve">inancial </w:t>
      </w:r>
      <w:proofErr w:type="gramStart"/>
      <w:r w:rsidR="00EB1744">
        <w:rPr>
          <w:lang w:eastAsia="en-AU"/>
        </w:rPr>
        <w:t>c</w:t>
      </w:r>
      <w:r w:rsidR="000E3435">
        <w:rPr>
          <w:lang w:eastAsia="en-AU"/>
        </w:rPr>
        <w:t>orporation</w:t>
      </w:r>
      <w:r w:rsidR="00EB1744">
        <w:rPr>
          <w:lang w:eastAsia="en-AU"/>
        </w:rPr>
        <w:t>s</w:t>
      </w:r>
      <w:proofErr w:type="gramEnd"/>
      <w:r w:rsidR="00777140" w:rsidRPr="00475AD3">
        <w:rPr>
          <w:lang w:eastAsia="en-AU"/>
        </w:rPr>
        <w:t xml:space="preserve"> sector, adversely </w:t>
      </w:r>
      <w:r w:rsidR="006545C1">
        <w:rPr>
          <w:lang w:eastAsia="en-AU"/>
        </w:rPr>
        <w:t>affecting</w:t>
      </w:r>
      <w:r w:rsidR="00777140" w:rsidRPr="00475AD3">
        <w:rPr>
          <w:lang w:eastAsia="en-AU"/>
        </w:rPr>
        <w:t xml:space="preserve"> the budget result.</w:t>
      </w:r>
    </w:p>
    <w:p w14:paraId="5422161D" w14:textId="5403B824" w:rsidR="00E62658" w:rsidRDefault="006A3F49" w:rsidP="00EB0A60">
      <w:pPr>
        <w:pStyle w:val="BodyText"/>
        <w:rPr>
          <w:lang w:eastAsia="en-AU"/>
        </w:rPr>
      </w:pPr>
      <w:r w:rsidRPr="006A3F49">
        <w:rPr>
          <w:lang w:eastAsia="en-AU"/>
        </w:rPr>
        <w:t xml:space="preserve">Continued drought conditions </w:t>
      </w:r>
      <w:r w:rsidR="00E62658">
        <w:rPr>
          <w:lang w:eastAsia="en-AU"/>
        </w:rPr>
        <w:t>c</w:t>
      </w:r>
      <w:r w:rsidRPr="006A3F49">
        <w:rPr>
          <w:lang w:eastAsia="en-AU"/>
        </w:rPr>
        <w:t xml:space="preserve">ould require additional </w:t>
      </w:r>
      <w:r w:rsidR="000B33C0">
        <w:rPr>
          <w:lang w:eastAsia="en-AU"/>
        </w:rPr>
        <w:t xml:space="preserve">concurrent </w:t>
      </w:r>
      <w:r w:rsidRPr="006A3F49">
        <w:rPr>
          <w:lang w:eastAsia="en-AU"/>
        </w:rPr>
        <w:t>expenditure</w:t>
      </w:r>
      <w:r w:rsidR="000B33C0">
        <w:rPr>
          <w:lang w:eastAsia="en-AU"/>
        </w:rPr>
        <w:t xml:space="preserve"> for:</w:t>
      </w:r>
    </w:p>
    <w:p w14:paraId="59B33E03" w14:textId="2DBC1E69" w:rsidR="00E62658" w:rsidRDefault="006A3F49" w:rsidP="003870CA">
      <w:pPr>
        <w:pStyle w:val="Bullet1"/>
      </w:pPr>
      <w:r w:rsidRPr="00475AD3">
        <w:t>repairs for breaks and leaks from drying soils</w:t>
      </w:r>
    </w:p>
    <w:p w14:paraId="6E66F3C4" w14:textId="24E77A1D" w:rsidR="00E62658" w:rsidRDefault="006A3F49" w:rsidP="003870CA">
      <w:pPr>
        <w:pStyle w:val="Bullet1"/>
      </w:pPr>
      <w:r w:rsidRPr="00475AD3">
        <w:t xml:space="preserve">infrastructure </w:t>
      </w:r>
      <w:r w:rsidR="00E62658">
        <w:t>planning</w:t>
      </w:r>
    </w:p>
    <w:p w14:paraId="213251AB" w14:textId="58F0BB57" w:rsidR="00E62658" w:rsidRDefault="006A3F49" w:rsidP="003870CA">
      <w:pPr>
        <w:pStyle w:val="Bullet1"/>
      </w:pPr>
      <w:r w:rsidRPr="00475AD3">
        <w:t>funding of water efficiency programs</w:t>
      </w:r>
    </w:p>
    <w:p w14:paraId="23B8A34E" w14:textId="5EC4F709" w:rsidR="00E62658" w:rsidRDefault="006A3F49" w:rsidP="003870CA">
      <w:pPr>
        <w:pStyle w:val="Bullet1"/>
      </w:pPr>
      <w:r w:rsidRPr="00475AD3">
        <w:t xml:space="preserve">conservation campaigns </w:t>
      </w:r>
    </w:p>
    <w:p w14:paraId="1BE7165C" w14:textId="0B8448CC" w:rsidR="006A3F49" w:rsidRPr="00475AD3" w:rsidRDefault="00E62658" w:rsidP="003870CA">
      <w:pPr>
        <w:pStyle w:val="Bullet1"/>
      </w:pPr>
      <w:r>
        <w:t xml:space="preserve">further </w:t>
      </w:r>
      <w:r w:rsidR="006A3F49" w:rsidRPr="00475AD3">
        <w:t>water restriction roll out</w:t>
      </w:r>
      <w:r>
        <w:t>s</w:t>
      </w:r>
      <w:r w:rsidR="006A3F49" w:rsidRPr="00475AD3">
        <w:t>.</w:t>
      </w:r>
      <w:r>
        <w:t xml:space="preserve"> </w:t>
      </w:r>
    </w:p>
    <w:p w14:paraId="6D16BB63" w14:textId="5CF59CDD" w:rsidR="00A05D13" w:rsidRPr="0013188F" w:rsidRDefault="000911E9">
      <w:pPr>
        <w:pStyle w:val="Heading3"/>
      </w:pPr>
      <w:r w:rsidRPr="0013188F">
        <w:t>Infrastructure</w:t>
      </w:r>
      <w:r w:rsidR="00DA45EC">
        <w:t xml:space="preserve"> </w:t>
      </w:r>
      <w:r w:rsidR="001C3139">
        <w:t>r</w:t>
      </w:r>
      <w:r w:rsidR="00192787" w:rsidRPr="0013188F">
        <w:t>elated risks</w:t>
      </w:r>
    </w:p>
    <w:p w14:paraId="104C7747" w14:textId="1B7CDF70" w:rsidR="00E079AF" w:rsidRPr="00455108" w:rsidRDefault="00E61B83" w:rsidP="007260C2">
      <w:pPr>
        <w:pStyle w:val="Heading5"/>
      </w:pPr>
      <w:r w:rsidRPr="00455108">
        <w:t>Infrastructure</w:t>
      </w:r>
      <w:r w:rsidR="00E079AF" w:rsidRPr="00455108">
        <w:t xml:space="preserve"> </w:t>
      </w:r>
      <w:r w:rsidR="002D1DB0" w:rsidRPr="00455108">
        <w:t>p</w:t>
      </w:r>
      <w:r w:rsidR="00E079AF" w:rsidRPr="00455108">
        <w:t>rojects</w:t>
      </w:r>
    </w:p>
    <w:p w14:paraId="7D9FABC0" w14:textId="10DC606B" w:rsidR="00785B7D" w:rsidRDefault="000B33C0" w:rsidP="005E1887">
      <w:pPr>
        <w:pStyle w:val="BodyText"/>
      </w:pPr>
      <w:r>
        <w:t>The cost of the State’s</w:t>
      </w:r>
      <w:r w:rsidR="00785B7D">
        <w:t xml:space="preserve"> total estimated infrastructure program </w:t>
      </w:r>
      <w:r w:rsidR="003507CA" w:rsidRPr="006146D0">
        <w:t>is</w:t>
      </w:r>
      <w:r w:rsidR="00785B7D" w:rsidRPr="006146D0">
        <w:t xml:space="preserve"> $</w:t>
      </w:r>
      <w:r w:rsidR="006E17C0">
        <w:t>93.0</w:t>
      </w:r>
      <w:r w:rsidR="00785B7D" w:rsidRPr="00D11E5D">
        <w:t xml:space="preserve"> billion</w:t>
      </w:r>
      <w:r w:rsidR="00785B7D" w:rsidRPr="006146D0">
        <w:t xml:space="preserve"> </w:t>
      </w:r>
      <w:r w:rsidR="003507CA" w:rsidRPr="006146D0">
        <w:t>and</w:t>
      </w:r>
      <w:r w:rsidR="003507CA">
        <w:t xml:space="preserve"> </w:t>
      </w:r>
      <w:r w:rsidR="00785B7D">
        <w:t>may vary during the project life cycle</w:t>
      </w:r>
      <w:r w:rsidR="00CD57E7">
        <w:t>, including</w:t>
      </w:r>
      <w:r w:rsidR="00785B7D">
        <w:t xml:space="preserve"> </w:t>
      </w:r>
      <w:proofErr w:type="gramStart"/>
      <w:r w:rsidR="00785B7D">
        <w:t xml:space="preserve">as </w:t>
      </w:r>
      <w:r w:rsidR="003507CA">
        <w:t xml:space="preserve">a </w:t>
      </w:r>
      <w:r w:rsidR="00785B7D">
        <w:t>result of</w:t>
      </w:r>
      <w:proofErr w:type="gramEnd"/>
      <w:r w:rsidR="00785B7D">
        <w:t xml:space="preserve"> changes to project delivery schedules. Factors such as availability of expert labour and capital equipment, weather and cost escalations can</w:t>
      </w:r>
      <w:r w:rsidR="003507CA">
        <w:t xml:space="preserve"> also</w:t>
      </w:r>
      <w:r w:rsidR="00785B7D">
        <w:t xml:space="preserve"> impact project estimates.</w:t>
      </w:r>
    </w:p>
    <w:p w14:paraId="65E9F942" w14:textId="77777777" w:rsidR="003870CA" w:rsidRDefault="003870CA" w:rsidP="005C1645">
      <w:pPr>
        <w:pStyle w:val="Heading4"/>
        <w:rPr>
          <w:rFonts w:ascii="Arial" w:hAnsi="Arial" w:cs="Arial"/>
          <w:i/>
        </w:rPr>
      </w:pPr>
      <w:r>
        <w:rPr>
          <w:rFonts w:ascii="Arial" w:hAnsi="Arial" w:cs="Arial"/>
          <w:i/>
        </w:rPr>
        <w:br w:type="page"/>
      </w:r>
    </w:p>
    <w:p w14:paraId="6F0A1195" w14:textId="716B98BF" w:rsidR="005C1645" w:rsidRPr="002B2C91" w:rsidRDefault="005C1645" w:rsidP="007260C2">
      <w:pPr>
        <w:pStyle w:val="Heading5"/>
      </w:pPr>
      <w:r w:rsidRPr="002B2C91">
        <w:lastRenderedPageBreak/>
        <w:t xml:space="preserve">Maintenance and depreciation from </w:t>
      </w:r>
      <w:r w:rsidR="00ED3ED9">
        <w:t>the State’s</w:t>
      </w:r>
      <w:r w:rsidR="00ED3ED9" w:rsidRPr="002B2C91">
        <w:t xml:space="preserve"> </w:t>
      </w:r>
      <w:r w:rsidRPr="002B2C91">
        <w:t>infrastructure program</w:t>
      </w:r>
    </w:p>
    <w:p w14:paraId="70517A5C" w14:textId="77777777" w:rsidR="005C1645" w:rsidRDefault="005C1645" w:rsidP="005C1645">
      <w:pPr>
        <w:pStyle w:val="BodyText"/>
      </w:pPr>
      <w:r w:rsidRPr="002B2C91">
        <w:t xml:space="preserve">The delivery of the Government’s </w:t>
      </w:r>
      <w:r w:rsidRPr="00405934">
        <w:t>record</w:t>
      </w:r>
      <w:r w:rsidRPr="002B2C91">
        <w:t xml:space="preserve"> infrastructure program is contributing to increases in depreciation and maintenance expenditure as assets are completed, many beyond the forward estimates. </w:t>
      </w:r>
    </w:p>
    <w:p w14:paraId="00D017BB" w14:textId="35B7244C" w:rsidR="005C1645" w:rsidRDefault="005C1645" w:rsidP="005C1645">
      <w:pPr>
        <w:pStyle w:val="BodyText"/>
      </w:pPr>
      <w:r>
        <w:t xml:space="preserve">From 2011-12 to 2018-19, the compound annual growth rate of depreciation </w:t>
      </w:r>
      <w:r w:rsidR="005E09BA">
        <w:t xml:space="preserve">expenses </w:t>
      </w:r>
      <w:r>
        <w:t xml:space="preserve">was </w:t>
      </w:r>
      <w:r w:rsidR="00F56101" w:rsidRPr="00D11E5D">
        <w:t>8.6</w:t>
      </w:r>
      <w:r w:rsidRPr="00D11E5D">
        <w:t xml:space="preserve"> per cent</w:t>
      </w:r>
      <w:r>
        <w:t xml:space="preserve">, which is higher than </w:t>
      </w:r>
      <w:r w:rsidRPr="003B6258">
        <w:t xml:space="preserve">the </w:t>
      </w:r>
      <w:r w:rsidR="00C122AD" w:rsidRPr="00D11E5D">
        <w:t>4.</w:t>
      </w:r>
      <w:r w:rsidR="00ED3ED9">
        <w:t>4</w:t>
      </w:r>
      <w:r w:rsidRPr="00D11E5D">
        <w:t xml:space="preserve"> per cent</w:t>
      </w:r>
      <w:r w:rsidRPr="003B6258">
        <w:t xml:space="preserve"> growth rate for total expenses. This trend is expected to continue across the budget and</w:t>
      </w:r>
      <w:r>
        <w:t xml:space="preserve"> forward estimates. Depreciation </w:t>
      </w:r>
      <w:r w:rsidR="005E09BA">
        <w:t xml:space="preserve">expenses are </w:t>
      </w:r>
      <w:r>
        <w:t xml:space="preserve">forecast to grow at an average rate </w:t>
      </w:r>
      <w:r w:rsidRPr="003B6258">
        <w:t xml:space="preserve">of </w:t>
      </w:r>
      <w:r w:rsidR="00713C23" w:rsidRPr="00D11E5D">
        <w:t>6.3</w:t>
      </w:r>
      <w:r w:rsidRPr="00D11E5D">
        <w:t xml:space="preserve"> per cent</w:t>
      </w:r>
      <w:r w:rsidR="00302ECA">
        <w:t xml:space="preserve"> across the budget and forward estimates</w:t>
      </w:r>
      <w:r w:rsidRPr="003B6258">
        <w:t xml:space="preserve"> (compared </w:t>
      </w:r>
      <w:r w:rsidR="00E3089D" w:rsidRPr="003B6258">
        <w:t>with</w:t>
      </w:r>
      <w:r w:rsidRPr="003B6258">
        <w:t xml:space="preserve"> </w:t>
      </w:r>
      <w:r w:rsidR="007908AF" w:rsidRPr="00D11E5D">
        <w:t>2.</w:t>
      </w:r>
      <w:r w:rsidR="00B81901">
        <w:t>7</w:t>
      </w:r>
      <w:r w:rsidRPr="00D11E5D">
        <w:t> per cent</w:t>
      </w:r>
      <w:r w:rsidRPr="003B6258">
        <w:t xml:space="preserve"> for total expenses). The Government’s use of Public Priva</w:t>
      </w:r>
      <w:r>
        <w:t xml:space="preserve">te Partnerships in delivering its infrastructure program helps to partially mitigate the risks associated with maintenance costs, as they </w:t>
      </w:r>
      <w:r w:rsidR="001C5F01">
        <w:t>can</w:t>
      </w:r>
      <w:r>
        <w:t xml:space="preserve"> be passed onto private sector contractors. </w:t>
      </w:r>
    </w:p>
    <w:p w14:paraId="4A2B2199" w14:textId="77777777" w:rsidR="005C1645" w:rsidRPr="002B2C91" w:rsidRDefault="005C1645" w:rsidP="005C1645">
      <w:pPr>
        <w:pStyle w:val="BodyText"/>
      </w:pPr>
      <w:r>
        <w:t>Looking to the future, the Government will continue to monitor and develop strategies to help manage the budget impacts from depreciation and maintenance expenditure associated with a growing capital program.</w:t>
      </w:r>
    </w:p>
    <w:p w14:paraId="1EE04F15" w14:textId="0CCE6D8D" w:rsidR="00E079AF" w:rsidRPr="00455108" w:rsidRDefault="00E079AF" w:rsidP="007260C2">
      <w:pPr>
        <w:pStyle w:val="Heading5"/>
      </w:pPr>
      <w:r w:rsidRPr="00455108">
        <w:t>Restart</w:t>
      </w:r>
      <w:r w:rsidR="002D1DB0" w:rsidRPr="00455108">
        <w:t xml:space="preserve"> NSW</w:t>
      </w:r>
    </w:p>
    <w:p w14:paraId="4259AA81" w14:textId="41E52397" w:rsidR="00785B7D" w:rsidRDefault="00785B7D" w:rsidP="005E1887">
      <w:pPr>
        <w:pStyle w:val="BodyText"/>
      </w:pPr>
      <w:r w:rsidRPr="29E871A7">
        <w:t xml:space="preserve">This Budget includes the estimated impact of </w:t>
      </w:r>
      <w:r>
        <w:t xml:space="preserve">expensing </w:t>
      </w:r>
      <w:r w:rsidR="00F83BD7">
        <w:t xml:space="preserve">funds </w:t>
      </w:r>
      <w:r>
        <w:t xml:space="preserve">from the </w:t>
      </w:r>
      <w:r w:rsidRPr="29E871A7">
        <w:t xml:space="preserve">Restart NSW </w:t>
      </w:r>
      <w:r>
        <w:t xml:space="preserve">fund </w:t>
      </w:r>
      <w:r w:rsidRPr="29E871A7">
        <w:t>to government agencies (capital expenditure) and non-government proponents, principally local councils (</w:t>
      </w:r>
      <w:r>
        <w:t>recurrent expenditure</w:t>
      </w:r>
      <w:r w:rsidRPr="29E871A7">
        <w:t xml:space="preserve">). These estimates include assumptions </w:t>
      </w:r>
      <w:r>
        <w:t>around</w:t>
      </w:r>
      <w:r w:rsidRPr="29E871A7">
        <w:t xml:space="preserve"> the </w:t>
      </w:r>
      <w:r>
        <w:t>expenditure</w:t>
      </w:r>
      <w:r w:rsidRPr="29E871A7">
        <w:t xml:space="preserve"> profile</w:t>
      </w:r>
      <w:r>
        <w:t>s</w:t>
      </w:r>
      <w:r w:rsidRPr="29E871A7">
        <w:t xml:space="preserve"> of approved projects and </w:t>
      </w:r>
      <w:r>
        <w:t>unapproved</w:t>
      </w:r>
      <w:r w:rsidRPr="29E871A7">
        <w:t xml:space="preserve"> projects (</w:t>
      </w:r>
      <w:r>
        <w:t>on the</w:t>
      </w:r>
      <w:r w:rsidRPr="29E871A7">
        <w:t xml:space="preserve"> assumption </w:t>
      </w:r>
      <w:r>
        <w:t>that a</w:t>
      </w:r>
      <w:r w:rsidRPr="29E871A7">
        <w:t xml:space="preserve"> formal approval will be </w:t>
      </w:r>
      <w:r>
        <w:t>forthcoming</w:t>
      </w:r>
      <w:r w:rsidRPr="29E871A7">
        <w:t xml:space="preserve">). </w:t>
      </w:r>
    </w:p>
    <w:p w14:paraId="04EEE23F" w14:textId="0E932E7A" w:rsidR="00785B7D" w:rsidRDefault="00785B7D" w:rsidP="00636D74">
      <w:pPr>
        <w:pStyle w:val="BodyText"/>
      </w:pPr>
      <w:r w:rsidRPr="005336CA">
        <w:t>Changes to t</w:t>
      </w:r>
      <w:r>
        <w:t>he t</w:t>
      </w:r>
      <w:r w:rsidRPr="005336CA">
        <w:t xml:space="preserve">iming of these approvals and project delivery </w:t>
      </w:r>
      <w:r>
        <w:t xml:space="preserve">schedules </w:t>
      </w:r>
      <w:r w:rsidRPr="005336CA">
        <w:t xml:space="preserve">may affect the estimates. Unreserved balances in Restart NSW are not reflected in the </w:t>
      </w:r>
      <w:r w:rsidR="00CD57E7">
        <w:t>B</w:t>
      </w:r>
      <w:r w:rsidRPr="005336CA">
        <w:t xml:space="preserve">udget until a reservation or commitment is made. See Chapter </w:t>
      </w:r>
      <w:r>
        <w:t>3</w:t>
      </w:r>
      <w:r w:rsidRPr="005336CA">
        <w:t xml:space="preserve"> of the </w:t>
      </w:r>
      <w:r w:rsidRPr="005336CA">
        <w:rPr>
          <w:i/>
        </w:rPr>
        <w:t>Infrastructure Statement</w:t>
      </w:r>
      <w:r w:rsidRPr="005336CA">
        <w:t xml:space="preserve"> for more information.</w:t>
      </w:r>
    </w:p>
    <w:p w14:paraId="0E6542D0" w14:textId="7F285F8D" w:rsidR="000911E9" w:rsidRPr="00800398" w:rsidRDefault="00192787" w:rsidP="003F3311">
      <w:pPr>
        <w:pStyle w:val="Heading3"/>
        <w:rPr>
          <w:rFonts w:cs="Arial"/>
        </w:rPr>
      </w:pPr>
      <w:r w:rsidRPr="00800398">
        <w:rPr>
          <w:rFonts w:cs="Arial"/>
        </w:rPr>
        <w:t>Financial r</w:t>
      </w:r>
      <w:r w:rsidR="000911E9" w:rsidRPr="00800398">
        <w:rPr>
          <w:rFonts w:cs="Arial"/>
        </w:rPr>
        <w:t>eporting</w:t>
      </w:r>
      <w:r w:rsidRPr="00800398">
        <w:rPr>
          <w:rFonts w:cs="Arial"/>
        </w:rPr>
        <w:t xml:space="preserve"> and a</w:t>
      </w:r>
      <w:r w:rsidR="000911E9" w:rsidRPr="00800398">
        <w:rPr>
          <w:rFonts w:cs="Arial"/>
        </w:rPr>
        <w:t>ccounting</w:t>
      </w:r>
      <w:r w:rsidRPr="00800398">
        <w:rPr>
          <w:rFonts w:cs="Arial"/>
        </w:rPr>
        <w:t xml:space="preserve"> related risks</w:t>
      </w:r>
    </w:p>
    <w:p w14:paraId="14E9A8EE" w14:textId="49216CE8" w:rsidR="003F3311" w:rsidRDefault="002B2C91" w:rsidP="007260C2">
      <w:pPr>
        <w:pStyle w:val="Heading5"/>
      </w:pPr>
      <w:r w:rsidRPr="00800398">
        <w:t>Impacts of new</w:t>
      </w:r>
      <w:r w:rsidR="003F3311" w:rsidRPr="00800398">
        <w:t xml:space="preserve"> </w:t>
      </w:r>
      <w:r w:rsidR="003F44D5">
        <w:t>a</w:t>
      </w:r>
      <w:r w:rsidR="003F3311" w:rsidRPr="00800398">
        <w:t xml:space="preserve">ccounting </w:t>
      </w:r>
      <w:r w:rsidR="003F44D5">
        <w:t>s</w:t>
      </w:r>
      <w:r w:rsidR="003F3311" w:rsidRPr="00800398">
        <w:t>tandards</w:t>
      </w:r>
    </w:p>
    <w:p w14:paraId="4C496574" w14:textId="5A061DFB" w:rsidR="00A548C3" w:rsidRDefault="00A548C3" w:rsidP="00A548C3">
      <w:pPr>
        <w:pStyle w:val="BodyText"/>
      </w:pPr>
      <w:r>
        <w:t>The Australian Accounting Standards Board</w:t>
      </w:r>
      <w:r w:rsidR="003F44D5">
        <w:t xml:space="preserve"> has</w:t>
      </w:r>
      <w:r>
        <w:t xml:space="preserve"> issued several new Australian Accounting Standards (AAS)</w:t>
      </w:r>
      <w:r w:rsidR="00101BFE">
        <w:t xml:space="preserve"> (see Appendix A2).</w:t>
      </w:r>
    </w:p>
    <w:p w14:paraId="36C5F23A" w14:textId="77777777" w:rsidR="00A548C3" w:rsidRPr="007566B7" w:rsidRDefault="00A548C3" w:rsidP="00A548C3">
      <w:pPr>
        <w:pStyle w:val="BodyText"/>
      </w:pPr>
      <w:r>
        <w:t xml:space="preserve">The 2019-20 Budget incorporates the estimated impacts of the new AAS that come into effect from 2019-20, including AASB 15 </w:t>
      </w:r>
      <w:r w:rsidRPr="1651EABA">
        <w:rPr>
          <w:i/>
          <w:iCs/>
        </w:rPr>
        <w:t>Revenue from Contracts with Customers</w:t>
      </w:r>
      <w:r>
        <w:t xml:space="preserve">, AASB 1058 </w:t>
      </w:r>
      <w:r w:rsidRPr="1651EABA">
        <w:rPr>
          <w:i/>
          <w:iCs/>
        </w:rPr>
        <w:t>Income of Not-for Profit</w:t>
      </w:r>
      <w:r>
        <w:rPr>
          <w:i/>
          <w:iCs/>
        </w:rPr>
        <w:t xml:space="preserve"> Entities</w:t>
      </w:r>
      <w:r>
        <w:t xml:space="preserve"> and AASB 16 </w:t>
      </w:r>
      <w:r w:rsidRPr="1651EABA">
        <w:rPr>
          <w:i/>
          <w:iCs/>
        </w:rPr>
        <w:t>Leases</w:t>
      </w:r>
      <w:r>
        <w:t>. The impacts from these standards are largely associated with the reprofiling of revenues to align with how contracted obligations are completed over time, as well as the requirement for most leases to be reported on the balance sheet, with corresponding impacts on capital expenditure, interest, depreciation and operating expenses.</w:t>
      </w:r>
    </w:p>
    <w:p w14:paraId="62EA61CD" w14:textId="31D78C72" w:rsidR="00A548C3" w:rsidRPr="007566B7" w:rsidRDefault="00A548C3" w:rsidP="00A548C3">
      <w:pPr>
        <w:pStyle w:val="BodyText"/>
      </w:pPr>
      <w:r>
        <w:t xml:space="preserve">The 2019-20 Budget does not include the financial impacts associated with AASB 1059 </w:t>
      </w:r>
      <w:r w:rsidRPr="6B196687">
        <w:rPr>
          <w:i/>
          <w:iCs/>
        </w:rPr>
        <w:t>Service Concession Arrangements: Grantors</w:t>
      </w:r>
      <w:r>
        <w:rPr>
          <w:i/>
          <w:iCs/>
        </w:rPr>
        <w:t xml:space="preserve">, </w:t>
      </w:r>
      <w:r>
        <w:t>the new AAS that comes into effect from 2020</w:t>
      </w:r>
      <w:r w:rsidR="006F4EBA">
        <w:noBreakHyphen/>
      </w:r>
      <w:r>
        <w:t>21. The application of this standard requires the recognition of service concession assets and related liabilities at the commencement of service concession arrangements.</w:t>
      </w:r>
      <w:r w:rsidRPr="00B45245">
        <w:t xml:space="preserve"> </w:t>
      </w:r>
      <w:r>
        <w:t xml:space="preserve">This is expected to significantly increase assets and liabilities in the State’s balance sheet, </w:t>
      </w:r>
      <w:proofErr w:type="gramStart"/>
      <w:r>
        <w:t>and also</w:t>
      </w:r>
      <w:proofErr w:type="gramEnd"/>
      <w:r>
        <w:t xml:space="preserve"> to impact the budget result.  </w:t>
      </w:r>
      <w:r w:rsidR="003F44D5">
        <w:t xml:space="preserve">The </w:t>
      </w:r>
      <w:r>
        <w:t xml:space="preserve">NSW Government is still assessing its financial impacts on </w:t>
      </w:r>
      <w:r w:rsidR="00601E57">
        <w:t xml:space="preserve">the </w:t>
      </w:r>
      <w:r>
        <w:t xml:space="preserve">forward estimates. </w:t>
      </w:r>
    </w:p>
    <w:p w14:paraId="2AC79F79" w14:textId="1BDDAB7A" w:rsidR="00B15032" w:rsidRPr="004D2D27" w:rsidRDefault="00B15032" w:rsidP="00344D41">
      <w:pPr>
        <w:spacing w:before="160" w:after="100"/>
      </w:pPr>
    </w:p>
    <w:sectPr w:rsidR="00B15032" w:rsidRPr="004D2D27" w:rsidSect="00916E11">
      <w:headerReference w:type="even" r:id="rId16"/>
      <w:headerReference w:type="default" r:id="rId17"/>
      <w:footerReference w:type="even" r:id="rId18"/>
      <w:footerReference w:type="default" r:id="rId19"/>
      <w:footerReference w:type="first" r:id="rId20"/>
      <w:pgSz w:w="11906" w:h="16838" w:code="9"/>
      <w:pgMar w:top="1134" w:right="1134" w:bottom="1134" w:left="1134" w:header="454" w:footer="454"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B741E" w14:textId="77777777" w:rsidR="00BE2CFA" w:rsidRDefault="00BE2CFA" w:rsidP="00BC0548">
      <w:r>
        <w:separator/>
      </w:r>
    </w:p>
  </w:endnote>
  <w:endnote w:type="continuationSeparator" w:id="0">
    <w:p w14:paraId="79892F3D" w14:textId="77777777" w:rsidR="00BE2CFA" w:rsidRDefault="00BE2CFA" w:rsidP="00BC0548">
      <w:r>
        <w:continuationSeparator/>
      </w:r>
    </w:p>
  </w:endnote>
  <w:endnote w:type="continuationNotice" w:id="1">
    <w:p w14:paraId="7EF852C6" w14:textId="77777777" w:rsidR="00BE2CFA" w:rsidRDefault="00BE2C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57E33" w14:textId="36AB3FC1" w:rsidR="003A69E7" w:rsidRPr="00317F1A" w:rsidRDefault="00C37984" w:rsidP="008D10AB">
    <w:pPr>
      <w:pBdr>
        <w:top w:val="single" w:sz="4" w:space="4" w:color="auto"/>
      </w:pBdr>
      <w:tabs>
        <w:tab w:val="right" w:pos="9639"/>
      </w:tabs>
      <w:rPr>
        <w:rFonts w:ascii="Arial" w:hAnsi="Arial" w:cs="Arial"/>
        <w:sz w:val="12"/>
        <w:szCs w:val="12"/>
      </w:rPr>
    </w:pPr>
    <w:r w:rsidRPr="00AB2F54">
      <w:rPr>
        <w:rFonts w:ascii="Arial" w:hAnsi="Arial" w:cs="Arial"/>
        <w:sz w:val="18"/>
        <w:szCs w:val="18"/>
      </w:rPr>
      <w:t xml:space="preserve">B - </w:t>
    </w:r>
    <w:r w:rsidRPr="00AB2F54">
      <w:rPr>
        <w:rFonts w:ascii="Arial" w:hAnsi="Arial" w:cs="Arial"/>
        <w:sz w:val="18"/>
        <w:szCs w:val="18"/>
      </w:rPr>
      <w:fldChar w:fldCharType="begin"/>
    </w:r>
    <w:r w:rsidRPr="00AB2F54">
      <w:rPr>
        <w:rFonts w:ascii="Arial" w:hAnsi="Arial" w:cs="Arial"/>
        <w:sz w:val="18"/>
        <w:szCs w:val="18"/>
      </w:rPr>
      <w:instrText xml:space="preserve"> PAGE  \* MERGEFORMAT </w:instrText>
    </w:r>
    <w:r w:rsidRPr="00AB2F54">
      <w:rPr>
        <w:rFonts w:ascii="Arial" w:hAnsi="Arial" w:cs="Arial"/>
        <w:sz w:val="18"/>
        <w:szCs w:val="18"/>
      </w:rPr>
      <w:fldChar w:fldCharType="separate"/>
    </w:r>
    <w:r w:rsidR="0059755B">
      <w:rPr>
        <w:rFonts w:ascii="Arial" w:hAnsi="Arial" w:cs="Arial"/>
        <w:noProof/>
        <w:sz w:val="18"/>
        <w:szCs w:val="18"/>
      </w:rPr>
      <w:t>8</w:t>
    </w:r>
    <w:r w:rsidRPr="00AB2F54">
      <w:rPr>
        <w:rFonts w:ascii="Arial" w:hAnsi="Arial" w:cs="Arial"/>
        <w:sz w:val="18"/>
        <w:szCs w:val="18"/>
      </w:rPr>
      <w:fldChar w:fldCharType="end"/>
    </w:r>
    <w:r>
      <w:rPr>
        <w:rFonts w:ascii="Arial" w:hAnsi="Arial" w:cs="Arial"/>
        <w:sz w:val="18"/>
        <w:szCs w:val="18"/>
      </w:rPr>
      <w:tab/>
    </w:r>
    <w:r w:rsidRPr="00AB2F54">
      <w:rPr>
        <w:rFonts w:ascii="Arial" w:hAnsi="Arial" w:cs="Arial"/>
        <w:sz w:val="18"/>
        <w:szCs w:val="18"/>
      </w:rPr>
      <w:t>Budget Statement 201</w:t>
    </w:r>
    <w:r w:rsidR="003A69E7">
      <w:rPr>
        <w:rFonts w:ascii="Arial" w:hAnsi="Arial" w:cs="Arial"/>
        <w:sz w:val="18"/>
        <w:szCs w:val="18"/>
      </w:rPr>
      <w:t>9</w:t>
    </w:r>
    <w:r w:rsidRPr="00AB2F54">
      <w:rPr>
        <w:rFonts w:ascii="Arial" w:hAnsi="Arial" w:cs="Arial"/>
        <w:sz w:val="18"/>
        <w:szCs w:val="18"/>
      </w:rPr>
      <w:t>-</w:t>
    </w:r>
    <w:r w:rsidR="003A69E7">
      <w:rPr>
        <w:rFonts w:ascii="Arial" w:hAnsi="Arial" w:cs="Arial"/>
        <w:sz w:val="18"/>
        <w:szCs w:val="18"/>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DF8FD" w14:textId="785FFF57" w:rsidR="003A69E7" w:rsidRPr="00317F1A" w:rsidRDefault="00C37984" w:rsidP="008D10AB">
    <w:pPr>
      <w:pBdr>
        <w:top w:val="single" w:sz="4" w:space="4" w:color="auto"/>
      </w:pBdr>
      <w:tabs>
        <w:tab w:val="right" w:pos="9639"/>
      </w:tabs>
      <w:rPr>
        <w:rFonts w:ascii="Arial" w:hAnsi="Arial" w:cs="Arial"/>
        <w:sz w:val="12"/>
        <w:szCs w:val="12"/>
      </w:rPr>
    </w:pPr>
    <w:r w:rsidRPr="00AB2F54">
      <w:rPr>
        <w:rFonts w:ascii="Arial" w:hAnsi="Arial" w:cs="Arial"/>
        <w:sz w:val="18"/>
        <w:szCs w:val="18"/>
      </w:rPr>
      <w:t>Budget Statement 201</w:t>
    </w:r>
    <w:r w:rsidR="003A69E7">
      <w:rPr>
        <w:rFonts w:ascii="Arial" w:hAnsi="Arial" w:cs="Arial"/>
        <w:sz w:val="18"/>
        <w:szCs w:val="18"/>
      </w:rPr>
      <w:t>9</w:t>
    </w:r>
    <w:r w:rsidRPr="00AB2F54">
      <w:rPr>
        <w:rFonts w:ascii="Arial" w:hAnsi="Arial" w:cs="Arial"/>
        <w:sz w:val="18"/>
        <w:szCs w:val="18"/>
      </w:rPr>
      <w:t>-</w:t>
    </w:r>
    <w:r w:rsidR="003A69E7">
      <w:rPr>
        <w:rFonts w:ascii="Arial" w:hAnsi="Arial" w:cs="Arial"/>
        <w:sz w:val="18"/>
        <w:szCs w:val="18"/>
      </w:rPr>
      <w:t>20</w:t>
    </w:r>
    <w:r w:rsidRPr="00AB2F54">
      <w:rPr>
        <w:rFonts w:ascii="Arial" w:hAnsi="Arial" w:cs="Arial"/>
        <w:sz w:val="18"/>
        <w:szCs w:val="18"/>
      </w:rPr>
      <w:t xml:space="preserve"> </w:t>
    </w:r>
    <w:r>
      <w:rPr>
        <w:rFonts w:ascii="Arial" w:hAnsi="Arial" w:cs="Arial"/>
        <w:sz w:val="18"/>
        <w:szCs w:val="18"/>
      </w:rPr>
      <w:tab/>
    </w:r>
    <w:r w:rsidRPr="00AB2F54">
      <w:rPr>
        <w:rFonts w:ascii="Arial" w:hAnsi="Arial" w:cs="Arial"/>
        <w:sz w:val="18"/>
        <w:szCs w:val="18"/>
      </w:rPr>
      <w:t xml:space="preserve">B - </w:t>
    </w:r>
    <w:r w:rsidRPr="00AB2F54">
      <w:rPr>
        <w:rFonts w:ascii="Arial" w:hAnsi="Arial" w:cs="Arial"/>
        <w:sz w:val="18"/>
        <w:szCs w:val="18"/>
      </w:rPr>
      <w:fldChar w:fldCharType="begin"/>
    </w:r>
    <w:r w:rsidRPr="00AB2F54">
      <w:rPr>
        <w:rFonts w:ascii="Arial" w:hAnsi="Arial" w:cs="Arial"/>
        <w:sz w:val="18"/>
        <w:szCs w:val="18"/>
      </w:rPr>
      <w:instrText xml:space="preserve"> PAGE  \* MERGEFORMAT </w:instrText>
    </w:r>
    <w:r w:rsidRPr="00AB2F54">
      <w:rPr>
        <w:rFonts w:ascii="Arial" w:hAnsi="Arial" w:cs="Arial"/>
        <w:sz w:val="18"/>
        <w:szCs w:val="18"/>
      </w:rPr>
      <w:fldChar w:fldCharType="separate"/>
    </w:r>
    <w:r w:rsidR="0059755B">
      <w:rPr>
        <w:rFonts w:ascii="Arial" w:hAnsi="Arial" w:cs="Arial"/>
        <w:noProof/>
        <w:sz w:val="18"/>
        <w:szCs w:val="18"/>
      </w:rPr>
      <w:t>9</w:t>
    </w:r>
    <w:r w:rsidRPr="00AB2F54">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D9D41" w14:textId="75D3F2F9" w:rsidR="003A69E7" w:rsidRPr="00317F1A" w:rsidRDefault="00C37984" w:rsidP="008D10AB">
    <w:pPr>
      <w:pBdr>
        <w:top w:val="single" w:sz="4" w:space="4" w:color="auto"/>
      </w:pBdr>
      <w:tabs>
        <w:tab w:val="right" w:pos="9639"/>
      </w:tabs>
      <w:rPr>
        <w:rFonts w:ascii="Arial" w:hAnsi="Arial" w:cs="Arial"/>
        <w:sz w:val="12"/>
        <w:szCs w:val="12"/>
      </w:rPr>
    </w:pPr>
    <w:r w:rsidRPr="00AB2F54">
      <w:rPr>
        <w:rFonts w:ascii="Arial" w:hAnsi="Arial" w:cs="Arial"/>
        <w:sz w:val="18"/>
        <w:szCs w:val="18"/>
      </w:rPr>
      <w:t>Budget Statement 201</w:t>
    </w:r>
    <w:r w:rsidR="003A69E7">
      <w:rPr>
        <w:rFonts w:ascii="Arial" w:hAnsi="Arial" w:cs="Arial"/>
        <w:sz w:val="18"/>
        <w:szCs w:val="18"/>
      </w:rPr>
      <w:t>9</w:t>
    </w:r>
    <w:r w:rsidRPr="00AB2F54">
      <w:rPr>
        <w:rFonts w:ascii="Arial" w:hAnsi="Arial" w:cs="Arial"/>
        <w:sz w:val="18"/>
        <w:szCs w:val="18"/>
      </w:rPr>
      <w:t>-</w:t>
    </w:r>
    <w:r w:rsidR="003A69E7">
      <w:rPr>
        <w:rFonts w:ascii="Arial" w:hAnsi="Arial" w:cs="Arial"/>
        <w:sz w:val="18"/>
        <w:szCs w:val="18"/>
      </w:rPr>
      <w:t>20</w:t>
    </w:r>
    <w:r w:rsidR="000009E4">
      <w:rPr>
        <w:rFonts w:ascii="Arial" w:hAnsi="Arial" w:cs="Arial"/>
        <w:sz w:val="18"/>
        <w:szCs w:val="18"/>
      </w:rPr>
      <w:tab/>
    </w:r>
    <w:r w:rsidR="000009E4" w:rsidRPr="00AB2F54">
      <w:rPr>
        <w:rFonts w:ascii="Arial" w:hAnsi="Arial" w:cs="Arial"/>
        <w:sz w:val="18"/>
        <w:szCs w:val="18"/>
      </w:rPr>
      <w:t xml:space="preserve">B - </w:t>
    </w:r>
    <w:r w:rsidR="000009E4" w:rsidRPr="00AB2F54">
      <w:rPr>
        <w:rFonts w:ascii="Arial" w:hAnsi="Arial" w:cs="Arial"/>
        <w:sz w:val="18"/>
        <w:szCs w:val="18"/>
      </w:rPr>
      <w:fldChar w:fldCharType="begin"/>
    </w:r>
    <w:r w:rsidR="000009E4" w:rsidRPr="00AB2F54">
      <w:rPr>
        <w:rFonts w:ascii="Arial" w:hAnsi="Arial" w:cs="Arial"/>
        <w:sz w:val="18"/>
        <w:szCs w:val="18"/>
      </w:rPr>
      <w:instrText xml:space="preserve"> PAGE  \* MERGEFORMAT </w:instrText>
    </w:r>
    <w:r w:rsidR="000009E4" w:rsidRPr="00AB2F54">
      <w:rPr>
        <w:rFonts w:ascii="Arial" w:hAnsi="Arial" w:cs="Arial"/>
        <w:sz w:val="18"/>
        <w:szCs w:val="18"/>
      </w:rPr>
      <w:fldChar w:fldCharType="separate"/>
    </w:r>
    <w:r w:rsidR="0059755B">
      <w:rPr>
        <w:rFonts w:ascii="Arial" w:hAnsi="Arial" w:cs="Arial"/>
        <w:noProof/>
        <w:sz w:val="18"/>
        <w:szCs w:val="18"/>
      </w:rPr>
      <w:t>1</w:t>
    </w:r>
    <w:r w:rsidR="000009E4" w:rsidRPr="00AB2F5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C1239" w14:textId="77777777" w:rsidR="00BE2CFA" w:rsidRDefault="00BE2CFA" w:rsidP="00BC0548">
      <w:r>
        <w:separator/>
      </w:r>
    </w:p>
  </w:footnote>
  <w:footnote w:type="continuationSeparator" w:id="0">
    <w:p w14:paraId="48AC8A08" w14:textId="77777777" w:rsidR="00BE2CFA" w:rsidRDefault="00BE2CFA" w:rsidP="00BC0548">
      <w:r>
        <w:continuationSeparator/>
      </w:r>
    </w:p>
  </w:footnote>
  <w:footnote w:type="continuationNotice" w:id="1">
    <w:p w14:paraId="6DA81892" w14:textId="77777777" w:rsidR="00BE2CFA" w:rsidRDefault="00BE2CFA"/>
  </w:footnote>
  <w:footnote w:id="2">
    <w:p w14:paraId="552BDB3B" w14:textId="31531BD6" w:rsidR="005007DB" w:rsidRPr="007260C2" w:rsidRDefault="005007DB" w:rsidP="007260C2">
      <w:pPr>
        <w:pStyle w:val="FootnoteText"/>
        <w:ind w:hanging="283"/>
        <w:rPr>
          <w:i w:val="0"/>
          <w:sz w:val="17"/>
          <w:szCs w:val="17"/>
        </w:rPr>
      </w:pPr>
      <w:r w:rsidRPr="007260C2">
        <w:rPr>
          <w:rStyle w:val="FootnoteReference"/>
          <w:i w:val="0"/>
          <w:sz w:val="17"/>
          <w:szCs w:val="17"/>
        </w:rPr>
        <w:footnoteRef/>
      </w:r>
      <w:r w:rsidRPr="007260C2">
        <w:rPr>
          <w:i w:val="0"/>
          <w:sz w:val="17"/>
          <w:szCs w:val="17"/>
        </w:rPr>
        <w:t xml:space="preserve"> </w:t>
      </w:r>
      <w:r w:rsidR="007260C2" w:rsidRPr="007260C2">
        <w:rPr>
          <w:i w:val="0"/>
          <w:sz w:val="17"/>
          <w:szCs w:val="17"/>
        </w:rPr>
        <w:tab/>
      </w:r>
      <w:r w:rsidR="00CA04C4" w:rsidRPr="007260C2">
        <w:rPr>
          <w:rFonts w:ascii="Arial" w:hAnsi="Arial" w:cs="Arial"/>
          <w:i w:val="0"/>
          <w:sz w:val="17"/>
          <w:szCs w:val="17"/>
        </w:rPr>
        <w:t>Commonwealth Budget 2019-20, Budget Paper 5, Statement 7: Forecasting Performance and Scenario Analysis, Scenario 2: Alternative paths for household consumption growth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6502C" w14:textId="77777777" w:rsidR="00C37984" w:rsidRPr="00AB2F54" w:rsidRDefault="00C37984" w:rsidP="00AB2F54">
    <w:pPr>
      <w:pBdr>
        <w:bottom w:val="single" w:sz="4" w:space="4" w:color="auto"/>
      </w:pBdr>
      <w:rPr>
        <w:rFonts w:ascii="Arial" w:eastAsia="Calibri" w:hAnsi="Arial" w:cs="Arial"/>
        <w:sz w:val="18"/>
        <w:szCs w:val="18"/>
      </w:rPr>
    </w:pPr>
    <w:r w:rsidRPr="00AB2F54">
      <w:rPr>
        <w:rFonts w:ascii="Arial" w:eastAsia="Calibri" w:hAnsi="Arial" w:cs="Arial"/>
        <w:sz w:val="18"/>
        <w:szCs w:val="18"/>
      </w:rPr>
      <w:t>Fiscal Risks and Budget Sensitivities</w:t>
    </w:r>
  </w:p>
  <w:p w14:paraId="3AFE50BF" w14:textId="77777777" w:rsidR="00C37984" w:rsidRDefault="00C37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23BFC" w14:textId="77777777" w:rsidR="00C37984" w:rsidRPr="00AB2F54" w:rsidRDefault="00C37984" w:rsidP="00AB2F54">
    <w:pPr>
      <w:pBdr>
        <w:bottom w:val="single" w:sz="4" w:space="4" w:color="auto"/>
      </w:pBdr>
      <w:jc w:val="right"/>
      <w:rPr>
        <w:rFonts w:ascii="Arial" w:eastAsia="Calibri" w:hAnsi="Arial" w:cs="Arial"/>
        <w:sz w:val="18"/>
        <w:szCs w:val="18"/>
      </w:rPr>
    </w:pPr>
    <w:r w:rsidRPr="00AB2F54">
      <w:rPr>
        <w:rFonts w:ascii="Arial" w:eastAsia="Calibri" w:hAnsi="Arial" w:cs="Arial"/>
        <w:sz w:val="18"/>
        <w:szCs w:val="18"/>
      </w:rPr>
      <w:t>Fiscal Risks and Budget Sensitivities</w:t>
    </w:r>
  </w:p>
  <w:p w14:paraId="4EF3EBB7" w14:textId="77777777" w:rsidR="00C37984" w:rsidRPr="00AB2F54" w:rsidRDefault="00C37984" w:rsidP="00AB2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0651"/>
    <w:multiLevelType w:val="hybridMultilevel"/>
    <w:tmpl w:val="053C4D44"/>
    <w:lvl w:ilvl="0" w:tplc="1884DF2A">
      <w:start w:val="1"/>
      <w:numFmt w:val="decimal"/>
      <w:pStyle w:val="Table4X"/>
      <w:lvlText w:val="Table B.%1:"/>
      <w:lvlJc w:val="left"/>
      <w:pPr>
        <w:ind w:left="360" w:hanging="360"/>
      </w:pPr>
      <w:rPr>
        <w:rFonts w:ascii="Arial" w:hAnsi="Arial" w:cs="Times New Roman" w:hint="default"/>
        <w:b w:val="0"/>
        <w:i/>
        <w:caps w:val="0"/>
        <w:color w:val="57514D"/>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5940E8A"/>
    <w:multiLevelType w:val="hybridMultilevel"/>
    <w:tmpl w:val="F9F4A0A6"/>
    <w:lvl w:ilvl="0" w:tplc="A3D81DB0">
      <w:start w:val="1"/>
      <w:numFmt w:val="bullet"/>
      <w:lvlText w:val=""/>
      <w:lvlJc w:val="left"/>
      <w:pPr>
        <w:ind w:left="720" w:hanging="360"/>
      </w:pPr>
      <w:rPr>
        <w:rFonts w:ascii="Symbol" w:hAnsi="Symbol" w:hint="default"/>
      </w:rPr>
    </w:lvl>
    <w:lvl w:ilvl="1" w:tplc="6D885994">
      <w:start w:val="1"/>
      <w:numFmt w:val="bullet"/>
      <w:lvlText w:val="o"/>
      <w:lvlJc w:val="left"/>
      <w:pPr>
        <w:ind w:left="1440" w:hanging="360"/>
      </w:pPr>
      <w:rPr>
        <w:rFonts w:ascii="Courier New" w:hAnsi="Courier New" w:hint="default"/>
      </w:rPr>
    </w:lvl>
    <w:lvl w:ilvl="2" w:tplc="D4C8BD08">
      <w:start w:val="1"/>
      <w:numFmt w:val="bullet"/>
      <w:lvlText w:val=""/>
      <w:lvlJc w:val="left"/>
      <w:pPr>
        <w:ind w:left="2160" w:hanging="360"/>
      </w:pPr>
      <w:rPr>
        <w:rFonts w:ascii="Wingdings" w:hAnsi="Wingdings" w:hint="default"/>
      </w:rPr>
    </w:lvl>
    <w:lvl w:ilvl="3" w:tplc="60562632">
      <w:start w:val="1"/>
      <w:numFmt w:val="bullet"/>
      <w:lvlText w:val=""/>
      <w:lvlJc w:val="left"/>
      <w:pPr>
        <w:ind w:left="2880" w:hanging="360"/>
      </w:pPr>
      <w:rPr>
        <w:rFonts w:ascii="Symbol" w:hAnsi="Symbol" w:hint="default"/>
      </w:rPr>
    </w:lvl>
    <w:lvl w:ilvl="4" w:tplc="D0E0E00C">
      <w:start w:val="1"/>
      <w:numFmt w:val="bullet"/>
      <w:lvlText w:val="o"/>
      <w:lvlJc w:val="left"/>
      <w:pPr>
        <w:ind w:left="3600" w:hanging="360"/>
      </w:pPr>
      <w:rPr>
        <w:rFonts w:ascii="Courier New" w:hAnsi="Courier New" w:hint="default"/>
      </w:rPr>
    </w:lvl>
    <w:lvl w:ilvl="5" w:tplc="DB561354">
      <w:start w:val="1"/>
      <w:numFmt w:val="bullet"/>
      <w:lvlText w:val=""/>
      <w:lvlJc w:val="left"/>
      <w:pPr>
        <w:ind w:left="4320" w:hanging="360"/>
      </w:pPr>
      <w:rPr>
        <w:rFonts w:ascii="Wingdings" w:hAnsi="Wingdings" w:hint="default"/>
      </w:rPr>
    </w:lvl>
    <w:lvl w:ilvl="6" w:tplc="CEFE8CF2">
      <w:start w:val="1"/>
      <w:numFmt w:val="bullet"/>
      <w:lvlText w:val=""/>
      <w:lvlJc w:val="left"/>
      <w:pPr>
        <w:ind w:left="5040" w:hanging="360"/>
      </w:pPr>
      <w:rPr>
        <w:rFonts w:ascii="Symbol" w:hAnsi="Symbol" w:hint="default"/>
      </w:rPr>
    </w:lvl>
    <w:lvl w:ilvl="7" w:tplc="9E583EB4">
      <w:start w:val="1"/>
      <w:numFmt w:val="bullet"/>
      <w:lvlText w:val="o"/>
      <w:lvlJc w:val="left"/>
      <w:pPr>
        <w:ind w:left="5760" w:hanging="360"/>
      </w:pPr>
      <w:rPr>
        <w:rFonts w:ascii="Courier New" w:hAnsi="Courier New" w:hint="default"/>
      </w:rPr>
    </w:lvl>
    <w:lvl w:ilvl="8" w:tplc="CA281C66">
      <w:start w:val="1"/>
      <w:numFmt w:val="bullet"/>
      <w:lvlText w:val=""/>
      <w:lvlJc w:val="left"/>
      <w:pPr>
        <w:ind w:left="6480" w:hanging="360"/>
      </w:pPr>
      <w:rPr>
        <w:rFonts w:ascii="Wingdings" w:hAnsi="Wingdings" w:hint="default"/>
      </w:rPr>
    </w:lvl>
  </w:abstractNum>
  <w:abstractNum w:abstractNumId="2" w15:restartNumberingAfterBreak="0">
    <w:nsid w:val="1BD73A11"/>
    <w:multiLevelType w:val="hybridMultilevel"/>
    <w:tmpl w:val="61E85D8E"/>
    <w:lvl w:ilvl="0" w:tplc="999A11A4">
      <w:start w:val="1"/>
      <w:numFmt w:val="bullet"/>
      <w:pStyle w:val="Bullet"/>
      <w:lvlText w:val=""/>
      <w:lvlJc w:val="left"/>
      <w:pPr>
        <w:tabs>
          <w:tab w:val="num" w:pos="113"/>
        </w:tabs>
        <w:ind w:left="0" w:firstLine="113"/>
      </w:pPr>
      <w:rPr>
        <w:rFonts w:ascii="Wingdings" w:hAnsi="Wingdings"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 w15:restartNumberingAfterBreak="0">
    <w:nsid w:val="21CC49F6"/>
    <w:multiLevelType w:val="hybridMultilevel"/>
    <w:tmpl w:val="5FA0D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25006D5"/>
    <w:multiLevelType w:val="hybridMultilevel"/>
    <w:tmpl w:val="5D7CED7C"/>
    <w:lvl w:ilvl="0" w:tplc="2564E418">
      <w:start w:val="1"/>
      <w:numFmt w:val="lowerLetter"/>
      <w:pStyle w:val="Tablefootnote"/>
      <w:lvlText w:val="(%1)"/>
      <w:lvlJc w:val="left"/>
      <w:pPr>
        <w:ind w:left="720" w:hanging="360"/>
      </w:pPr>
      <w:rPr>
        <w:rFonts w:ascii="Arial" w:hAnsi="Arial" w:cs="Times New Roman" w:hint="default"/>
        <w:b w:val="0"/>
        <w:i w:val="0"/>
        <w:caps w:val="0"/>
        <w:color w:val="auto"/>
        <w:sz w:val="1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A02418B"/>
    <w:multiLevelType w:val="hybridMultilevel"/>
    <w:tmpl w:val="B2A04436"/>
    <w:lvl w:ilvl="0" w:tplc="4780777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3672BE"/>
    <w:multiLevelType w:val="hybridMultilevel"/>
    <w:tmpl w:val="0402F938"/>
    <w:lvl w:ilvl="0" w:tplc="651C6862">
      <w:start w:val="1"/>
      <w:numFmt w:val="bullet"/>
      <w:pStyle w:val="Bullet1"/>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E0770B3"/>
    <w:multiLevelType w:val="hybridMultilevel"/>
    <w:tmpl w:val="D2546492"/>
    <w:lvl w:ilvl="0" w:tplc="B5B21356">
      <w:start w:val="1"/>
      <w:numFmt w:val="lowerLetter"/>
      <w:lvlText w:val="(%1)"/>
      <w:lvlJc w:val="left"/>
      <w:pPr>
        <w:ind w:left="360" w:hanging="360"/>
      </w:pPr>
      <w:rPr>
        <w:rFonts w:ascii="Arial" w:hAnsi="Arial" w:cs="Arial" w:hint="default"/>
        <w:i w:val="0"/>
        <w:color w:val="auto"/>
        <w:sz w:val="17"/>
        <w:szCs w:val="17"/>
        <w:u w:val="no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40B5989"/>
    <w:multiLevelType w:val="hybridMultilevel"/>
    <w:tmpl w:val="71BE1B06"/>
    <w:lvl w:ilvl="0" w:tplc="D53CD6DC">
      <w:start w:val="1"/>
      <w:numFmt w:val="decimal"/>
      <w:pStyle w:val="Chart31"/>
      <w:lvlText w:val="Chart 3.%1:"/>
      <w:lvlJc w:val="left"/>
      <w:pPr>
        <w:ind w:left="720" w:hanging="360"/>
      </w:pPr>
      <w:rPr>
        <w:rFonts w:ascii="Arial" w:hAnsi="Arial" w:hint="default"/>
        <w:b w:val="0"/>
        <w:i/>
        <w:sz w:val="22"/>
        <w:u w:color="4F4F4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6660C62"/>
    <w:multiLevelType w:val="hybridMultilevel"/>
    <w:tmpl w:val="EF2E6A28"/>
    <w:lvl w:ilvl="0" w:tplc="FC6A3BDC">
      <w:start w:val="1"/>
      <w:numFmt w:val="bullet"/>
      <w:pStyle w:val="Bullet1inabox"/>
      <w:lvlText w:val=""/>
      <w:lvlJc w:val="left"/>
      <w:pPr>
        <w:ind w:left="360" w:hanging="360"/>
      </w:pPr>
      <w:rPr>
        <w:rFonts w:ascii="Symbol" w:hAnsi="Symbol" w:hint="default"/>
        <w:color w:val="0A7CB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1D3330"/>
    <w:multiLevelType w:val="hybridMultilevel"/>
    <w:tmpl w:val="EBA48938"/>
    <w:lvl w:ilvl="0" w:tplc="A1A02A36">
      <w:start w:val="1"/>
      <w:numFmt w:val="lowerLetter"/>
      <w:lvlText w:val="(%1)"/>
      <w:lvlJc w:val="left"/>
      <w:pPr>
        <w:ind w:left="360" w:hanging="360"/>
      </w:pPr>
      <w:rPr>
        <w:rFonts w:ascii="Arial" w:hAnsi="Aria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52A25C40"/>
    <w:multiLevelType w:val="hybridMultilevel"/>
    <w:tmpl w:val="5EB6014C"/>
    <w:lvl w:ilvl="0" w:tplc="34A272BE">
      <w:start w:val="1"/>
      <w:numFmt w:val="lowerLetter"/>
      <w:lvlText w:val="(%1)"/>
      <w:lvlJc w:val="left"/>
      <w:pPr>
        <w:ind w:left="360" w:hanging="360"/>
      </w:pPr>
      <w:rPr>
        <w:rFonts w:ascii="Arial" w:hAnsi="Arial" w:hint="default"/>
        <w:sz w:val="17"/>
        <w:szCs w:val="17"/>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7E5606FA"/>
    <w:multiLevelType w:val="hybridMultilevel"/>
    <w:tmpl w:val="9C20E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
  </w:num>
  <w:num w:numId="4">
    <w:abstractNumId w:val="6"/>
  </w:num>
  <w:num w:numId="5">
    <w:abstractNumId w:val="9"/>
  </w:num>
  <w:num w:numId="6">
    <w:abstractNumId w:val="0"/>
  </w:num>
  <w:num w:numId="7">
    <w:abstractNumId w:val="7"/>
  </w:num>
  <w:num w:numId="8">
    <w:abstractNumId w:val="1"/>
  </w:num>
  <w:num w:numId="9">
    <w:abstractNumId w:val="5"/>
  </w:num>
  <w:num w:numId="10">
    <w:abstractNumId w:val="3"/>
  </w:num>
  <w:num w:numId="11">
    <w:abstractNumId w:val="8"/>
  </w:num>
  <w:num w:numId="12">
    <w:abstractNumId w:val="4"/>
  </w:num>
  <w:num w:numId="13">
    <w:abstractNumId w:val="4"/>
    <w:lvlOverride w:ilvl="0">
      <w:startOverride w:val="1"/>
    </w:lvlOverride>
  </w:num>
  <w:num w:numId="14">
    <w:abstractNumId w:val="12"/>
  </w:num>
  <w:num w:numId="1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22"/>
    <w:rsid w:val="000009E4"/>
    <w:rsid w:val="00002A2C"/>
    <w:rsid w:val="00004355"/>
    <w:rsid w:val="000113BC"/>
    <w:rsid w:val="0001169B"/>
    <w:rsid w:val="00011C1C"/>
    <w:rsid w:val="00011C44"/>
    <w:rsid w:val="00015F6C"/>
    <w:rsid w:val="0001659D"/>
    <w:rsid w:val="0001708C"/>
    <w:rsid w:val="000210AE"/>
    <w:rsid w:val="000212BD"/>
    <w:rsid w:val="000217AD"/>
    <w:rsid w:val="00023FE5"/>
    <w:rsid w:val="00024D55"/>
    <w:rsid w:val="00025278"/>
    <w:rsid w:val="0002586C"/>
    <w:rsid w:val="000261D6"/>
    <w:rsid w:val="000267ED"/>
    <w:rsid w:val="00026FA2"/>
    <w:rsid w:val="00030ADE"/>
    <w:rsid w:val="000318B1"/>
    <w:rsid w:val="00031CA7"/>
    <w:rsid w:val="00031DF4"/>
    <w:rsid w:val="00032A4F"/>
    <w:rsid w:val="000337C5"/>
    <w:rsid w:val="000357C4"/>
    <w:rsid w:val="00036B7B"/>
    <w:rsid w:val="0003789C"/>
    <w:rsid w:val="00040771"/>
    <w:rsid w:val="00040F3A"/>
    <w:rsid w:val="0004404C"/>
    <w:rsid w:val="000450F4"/>
    <w:rsid w:val="00045D42"/>
    <w:rsid w:val="0004646F"/>
    <w:rsid w:val="000469C8"/>
    <w:rsid w:val="000475B2"/>
    <w:rsid w:val="00047936"/>
    <w:rsid w:val="00053E71"/>
    <w:rsid w:val="000552AF"/>
    <w:rsid w:val="00057A00"/>
    <w:rsid w:val="00062A59"/>
    <w:rsid w:val="00062CB1"/>
    <w:rsid w:val="00063E21"/>
    <w:rsid w:val="00066CB7"/>
    <w:rsid w:val="00070D61"/>
    <w:rsid w:val="00073B92"/>
    <w:rsid w:val="00074EB5"/>
    <w:rsid w:val="00074F83"/>
    <w:rsid w:val="00076EAD"/>
    <w:rsid w:val="000774F9"/>
    <w:rsid w:val="0008171F"/>
    <w:rsid w:val="000822C8"/>
    <w:rsid w:val="00083206"/>
    <w:rsid w:val="00083533"/>
    <w:rsid w:val="00083C56"/>
    <w:rsid w:val="000846E2"/>
    <w:rsid w:val="000846F3"/>
    <w:rsid w:val="00084A59"/>
    <w:rsid w:val="00090F27"/>
    <w:rsid w:val="000911E9"/>
    <w:rsid w:val="000925CB"/>
    <w:rsid w:val="00093323"/>
    <w:rsid w:val="00096184"/>
    <w:rsid w:val="00097098"/>
    <w:rsid w:val="000A2D15"/>
    <w:rsid w:val="000A7B1F"/>
    <w:rsid w:val="000A7CDA"/>
    <w:rsid w:val="000B1A47"/>
    <w:rsid w:val="000B33C0"/>
    <w:rsid w:val="000B3903"/>
    <w:rsid w:val="000B5C51"/>
    <w:rsid w:val="000B7901"/>
    <w:rsid w:val="000C2547"/>
    <w:rsid w:val="000C2EC6"/>
    <w:rsid w:val="000C32B9"/>
    <w:rsid w:val="000C49AA"/>
    <w:rsid w:val="000C733F"/>
    <w:rsid w:val="000D1585"/>
    <w:rsid w:val="000D16BF"/>
    <w:rsid w:val="000D2AFB"/>
    <w:rsid w:val="000D3892"/>
    <w:rsid w:val="000D5EEA"/>
    <w:rsid w:val="000D746F"/>
    <w:rsid w:val="000E2AF3"/>
    <w:rsid w:val="000E3435"/>
    <w:rsid w:val="000E4494"/>
    <w:rsid w:val="000E5736"/>
    <w:rsid w:val="000E6E21"/>
    <w:rsid w:val="000F14B6"/>
    <w:rsid w:val="000F28BF"/>
    <w:rsid w:val="000F2DD7"/>
    <w:rsid w:val="000F44ED"/>
    <w:rsid w:val="000F4C75"/>
    <w:rsid w:val="000F6A11"/>
    <w:rsid w:val="000F7D67"/>
    <w:rsid w:val="00100AFC"/>
    <w:rsid w:val="0010158D"/>
    <w:rsid w:val="00101BFE"/>
    <w:rsid w:val="00102C23"/>
    <w:rsid w:val="001038C3"/>
    <w:rsid w:val="001045DF"/>
    <w:rsid w:val="00105148"/>
    <w:rsid w:val="00111648"/>
    <w:rsid w:val="001118A0"/>
    <w:rsid w:val="001146A9"/>
    <w:rsid w:val="00116029"/>
    <w:rsid w:val="001164DC"/>
    <w:rsid w:val="00116683"/>
    <w:rsid w:val="0011776B"/>
    <w:rsid w:val="00117875"/>
    <w:rsid w:val="00117A49"/>
    <w:rsid w:val="0012288F"/>
    <w:rsid w:val="001233AB"/>
    <w:rsid w:val="00127146"/>
    <w:rsid w:val="001302C5"/>
    <w:rsid w:val="0013188F"/>
    <w:rsid w:val="00132C85"/>
    <w:rsid w:val="001337CC"/>
    <w:rsid w:val="00134282"/>
    <w:rsid w:val="001355A5"/>
    <w:rsid w:val="001371E7"/>
    <w:rsid w:val="00137958"/>
    <w:rsid w:val="00137B04"/>
    <w:rsid w:val="00137FE8"/>
    <w:rsid w:val="00141AAE"/>
    <w:rsid w:val="0014268F"/>
    <w:rsid w:val="00142BB8"/>
    <w:rsid w:val="00142D0F"/>
    <w:rsid w:val="00143760"/>
    <w:rsid w:val="00145C63"/>
    <w:rsid w:val="001474C7"/>
    <w:rsid w:val="001508D2"/>
    <w:rsid w:val="00150AA8"/>
    <w:rsid w:val="0015194B"/>
    <w:rsid w:val="00152159"/>
    <w:rsid w:val="0015476E"/>
    <w:rsid w:val="00154AE7"/>
    <w:rsid w:val="00155B25"/>
    <w:rsid w:val="0016090F"/>
    <w:rsid w:val="00160D74"/>
    <w:rsid w:val="001625FA"/>
    <w:rsid w:val="00162718"/>
    <w:rsid w:val="0016471F"/>
    <w:rsid w:val="00164A47"/>
    <w:rsid w:val="00164C2C"/>
    <w:rsid w:val="00164E3B"/>
    <w:rsid w:val="00167AC7"/>
    <w:rsid w:val="00171072"/>
    <w:rsid w:val="00173D2C"/>
    <w:rsid w:val="00174A03"/>
    <w:rsid w:val="00176CD7"/>
    <w:rsid w:val="00177F87"/>
    <w:rsid w:val="00183DCC"/>
    <w:rsid w:val="00185D2E"/>
    <w:rsid w:val="00185F81"/>
    <w:rsid w:val="001868F0"/>
    <w:rsid w:val="00186E73"/>
    <w:rsid w:val="00192787"/>
    <w:rsid w:val="00193F00"/>
    <w:rsid w:val="00197437"/>
    <w:rsid w:val="001A13D6"/>
    <w:rsid w:val="001A202D"/>
    <w:rsid w:val="001A3A67"/>
    <w:rsid w:val="001A4639"/>
    <w:rsid w:val="001A6316"/>
    <w:rsid w:val="001B08C5"/>
    <w:rsid w:val="001B0B8D"/>
    <w:rsid w:val="001B0C94"/>
    <w:rsid w:val="001C3139"/>
    <w:rsid w:val="001C4B85"/>
    <w:rsid w:val="001C5F01"/>
    <w:rsid w:val="001D0BED"/>
    <w:rsid w:val="001D178D"/>
    <w:rsid w:val="001D3A06"/>
    <w:rsid w:val="001D3CAA"/>
    <w:rsid w:val="001D3F5A"/>
    <w:rsid w:val="001D4EB6"/>
    <w:rsid w:val="001D5A53"/>
    <w:rsid w:val="001E3DE7"/>
    <w:rsid w:val="001E564B"/>
    <w:rsid w:val="001E569D"/>
    <w:rsid w:val="001E6A91"/>
    <w:rsid w:val="001E7E48"/>
    <w:rsid w:val="001F3580"/>
    <w:rsid w:val="001F484A"/>
    <w:rsid w:val="001F5669"/>
    <w:rsid w:val="001F64D4"/>
    <w:rsid w:val="001F673E"/>
    <w:rsid w:val="0020015A"/>
    <w:rsid w:val="00200ADA"/>
    <w:rsid w:val="00201819"/>
    <w:rsid w:val="00205604"/>
    <w:rsid w:val="00206F44"/>
    <w:rsid w:val="0021006C"/>
    <w:rsid w:val="00210AC6"/>
    <w:rsid w:val="00210FC1"/>
    <w:rsid w:val="0021104C"/>
    <w:rsid w:val="002115F0"/>
    <w:rsid w:val="0021397C"/>
    <w:rsid w:val="002148FE"/>
    <w:rsid w:val="00215CE2"/>
    <w:rsid w:val="002166B7"/>
    <w:rsid w:val="00216AAC"/>
    <w:rsid w:val="002170D8"/>
    <w:rsid w:val="002212B7"/>
    <w:rsid w:val="00221413"/>
    <w:rsid w:val="00222B94"/>
    <w:rsid w:val="00226882"/>
    <w:rsid w:val="00227176"/>
    <w:rsid w:val="00227E9D"/>
    <w:rsid w:val="0023063D"/>
    <w:rsid w:val="00231E2C"/>
    <w:rsid w:val="00234167"/>
    <w:rsid w:val="0023666C"/>
    <w:rsid w:val="0023748C"/>
    <w:rsid w:val="00241691"/>
    <w:rsid w:val="00241B6F"/>
    <w:rsid w:val="002445C2"/>
    <w:rsid w:val="0024600B"/>
    <w:rsid w:val="00246FD5"/>
    <w:rsid w:val="00247CC4"/>
    <w:rsid w:val="00251770"/>
    <w:rsid w:val="00252622"/>
    <w:rsid w:val="0025290B"/>
    <w:rsid w:val="00252E92"/>
    <w:rsid w:val="00253597"/>
    <w:rsid w:val="00253797"/>
    <w:rsid w:val="00253880"/>
    <w:rsid w:val="0025431C"/>
    <w:rsid w:val="002545F1"/>
    <w:rsid w:val="00260913"/>
    <w:rsid w:val="00266DBB"/>
    <w:rsid w:val="00270A43"/>
    <w:rsid w:val="002711BD"/>
    <w:rsid w:val="00272F22"/>
    <w:rsid w:val="00273836"/>
    <w:rsid w:val="00275E2E"/>
    <w:rsid w:val="002763CA"/>
    <w:rsid w:val="00277C97"/>
    <w:rsid w:val="00283B3E"/>
    <w:rsid w:val="00285040"/>
    <w:rsid w:val="00286137"/>
    <w:rsid w:val="002874A9"/>
    <w:rsid w:val="00287DEB"/>
    <w:rsid w:val="00291D6B"/>
    <w:rsid w:val="00294E66"/>
    <w:rsid w:val="002953C8"/>
    <w:rsid w:val="00295B10"/>
    <w:rsid w:val="00295C59"/>
    <w:rsid w:val="002A06BA"/>
    <w:rsid w:val="002A462B"/>
    <w:rsid w:val="002A4839"/>
    <w:rsid w:val="002A5041"/>
    <w:rsid w:val="002A52D5"/>
    <w:rsid w:val="002A607A"/>
    <w:rsid w:val="002A6D06"/>
    <w:rsid w:val="002B0837"/>
    <w:rsid w:val="002B2C91"/>
    <w:rsid w:val="002B3757"/>
    <w:rsid w:val="002B535C"/>
    <w:rsid w:val="002B5C6E"/>
    <w:rsid w:val="002B5EF7"/>
    <w:rsid w:val="002B74BD"/>
    <w:rsid w:val="002B797B"/>
    <w:rsid w:val="002C0D50"/>
    <w:rsid w:val="002C1901"/>
    <w:rsid w:val="002C1D21"/>
    <w:rsid w:val="002C2B70"/>
    <w:rsid w:val="002C2BA5"/>
    <w:rsid w:val="002C36DB"/>
    <w:rsid w:val="002C69FE"/>
    <w:rsid w:val="002C781D"/>
    <w:rsid w:val="002D181E"/>
    <w:rsid w:val="002D1DB0"/>
    <w:rsid w:val="002D3CED"/>
    <w:rsid w:val="002D4024"/>
    <w:rsid w:val="002D5C79"/>
    <w:rsid w:val="002D69C0"/>
    <w:rsid w:val="002D7C28"/>
    <w:rsid w:val="002E0E70"/>
    <w:rsid w:val="002E1EC4"/>
    <w:rsid w:val="002E258D"/>
    <w:rsid w:val="002E38B1"/>
    <w:rsid w:val="002E4E38"/>
    <w:rsid w:val="002E4FB5"/>
    <w:rsid w:val="002E5644"/>
    <w:rsid w:val="002E5A69"/>
    <w:rsid w:val="002E6785"/>
    <w:rsid w:val="002E6E0F"/>
    <w:rsid w:val="002E7E83"/>
    <w:rsid w:val="002F054C"/>
    <w:rsid w:val="002F061C"/>
    <w:rsid w:val="002F0F8F"/>
    <w:rsid w:val="002F32C2"/>
    <w:rsid w:val="002F4D7D"/>
    <w:rsid w:val="002F6BAA"/>
    <w:rsid w:val="00300C58"/>
    <w:rsid w:val="00300EBD"/>
    <w:rsid w:val="00301654"/>
    <w:rsid w:val="00301CBD"/>
    <w:rsid w:val="00302ECA"/>
    <w:rsid w:val="003054E9"/>
    <w:rsid w:val="00307001"/>
    <w:rsid w:val="00312B05"/>
    <w:rsid w:val="00317104"/>
    <w:rsid w:val="00320922"/>
    <w:rsid w:val="003213EA"/>
    <w:rsid w:val="003226B3"/>
    <w:rsid w:val="00326D98"/>
    <w:rsid w:val="00330B80"/>
    <w:rsid w:val="00331029"/>
    <w:rsid w:val="00331D52"/>
    <w:rsid w:val="003321F8"/>
    <w:rsid w:val="00332C1E"/>
    <w:rsid w:val="00334198"/>
    <w:rsid w:val="003347B5"/>
    <w:rsid w:val="00335499"/>
    <w:rsid w:val="003419DC"/>
    <w:rsid w:val="0034431C"/>
    <w:rsid w:val="00344475"/>
    <w:rsid w:val="003448C7"/>
    <w:rsid w:val="00344D41"/>
    <w:rsid w:val="0034622F"/>
    <w:rsid w:val="003462EF"/>
    <w:rsid w:val="00346371"/>
    <w:rsid w:val="0034685A"/>
    <w:rsid w:val="00346EBE"/>
    <w:rsid w:val="00347AAD"/>
    <w:rsid w:val="00350528"/>
    <w:rsid w:val="003507CA"/>
    <w:rsid w:val="00350BA0"/>
    <w:rsid w:val="00351930"/>
    <w:rsid w:val="00360658"/>
    <w:rsid w:val="00362ED2"/>
    <w:rsid w:val="00363777"/>
    <w:rsid w:val="00364C0B"/>
    <w:rsid w:val="003653B9"/>
    <w:rsid w:val="00365C03"/>
    <w:rsid w:val="00365FA1"/>
    <w:rsid w:val="003673E9"/>
    <w:rsid w:val="00367D00"/>
    <w:rsid w:val="0037061F"/>
    <w:rsid w:val="00370BAE"/>
    <w:rsid w:val="00375748"/>
    <w:rsid w:val="00376EF3"/>
    <w:rsid w:val="003772BD"/>
    <w:rsid w:val="00377DBB"/>
    <w:rsid w:val="003821DF"/>
    <w:rsid w:val="003827E8"/>
    <w:rsid w:val="003830E4"/>
    <w:rsid w:val="0038430F"/>
    <w:rsid w:val="00384F2B"/>
    <w:rsid w:val="003859C3"/>
    <w:rsid w:val="0038639A"/>
    <w:rsid w:val="003870CA"/>
    <w:rsid w:val="00387847"/>
    <w:rsid w:val="00387A90"/>
    <w:rsid w:val="00387E54"/>
    <w:rsid w:val="003900DE"/>
    <w:rsid w:val="0039018A"/>
    <w:rsid w:val="00391A33"/>
    <w:rsid w:val="0039334E"/>
    <w:rsid w:val="00396AC7"/>
    <w:rsid w:val="003974D6"/>
    <w:rsid w:val="003A03EC"/>
    <w:rsid w:val="003A55FC"/>
    <w:rsid w:val="003A61ED"/>
    <w:rsid w:val="003A69E7"/>
    <w:rsid w:val="003A7470"/>
    <w:rsid w:val="003B07DC"/>
    <w:rsid w:val="003B191C"/>
    <w:rsid w:val="003B368E"/>
    <w:rsid w:val="003B4A90"/>
    <w:rsid w:val="003B6258"/>
    <w:rsid w:val="003B692A"/>
    <w:rsid w:val="003B720E"/>
    <w:rsid w:val="003C0831"/>
    <w:rsid w:val="003C35B5"/>
    <w:rsid w:val="003C52A6"/>
    <w:rsid w:val="003D2131"/>
    <w:rsid w:val="003D2B5E"/>
    <w:rsid w:val="003D71E0"/>
    <w:rsid w:val="003E022A"/>
    <w:rsid w:val="003E17A0"/>
    <w:rsid w:val="003E5AE3"/>
    <w:rsid w:val="003F04D1"/>
    <w:rsid w:val="003F1654"/>
    <w:rsid w:val="003F213E"/>
    <w:rsid w:val="003F30C3"/>
    <w:rsid w:val="003F3311"/>
    <w:rsid w:val="003F4411"/>
    <w:rsid w:val="003F44D5"/>
    <w:rsid w:val="003F6164"/>
    <w:rsid w:val="003F64D9"/>
    <w:rsid w:val="00400809"/>
    <w:rsid w:val="00402A15"/>
    <w:rsid w:val="00405934"/>
    <w:rsid w:val="00406F6D"/>
    <w:rsid w:val="00407422"/>
    <w:rsid w:val="00407CDC"/>
    <w:rsid w:val="0041039B"/>
    <w:rsid w:val="0041155E"/>
    <w:rsid w:val="00415897"/>
    <w:rsid w:val="0042105B"/>
    <w:rsid w:val="00421104"/>
    <w:rsid w:val="00423C1E"/>
    <w:rsid w:val="004242CF"/>
    <w:rsid w:val="00427263"/>
    <w:rsid w:val="00430627"/>
    <w:rsid w:val="004307D1"/>
    <w:rsid w:val="00432CAB"/>
    <w:rsid w:val="00433732"/>
    <w:rsid w:val="00433BAF"/>
    <w:rsid w:val="00434CD8"/>
    <w:rsid w:val="004350D0"/>
    <w:rsid w:val="004358A5"/>
    <w:rsid w:val="004361D2"/>
    <w:rsid w:val="004362AC"/>
    <w:rsid w:val="00437BEB"/>
    <w:rsid w:val="00445A6E"/>
    <w:rsid w:val="00450AD4"/>
    <w:rsid w:val="00451E5C"/>
    <w:rsid w:val="004541BF"/>
    <w:rsid w:val="00454CF8"/>
    <w:rsid w:val="00454D65"/>
    <w:rsid w:val="00454FD9"/>
    <w:rsid w:val="00455108"/>
    <w:rsid w:val="0045570C"/>
    <w:rsid w:val="00462943"/>
    <w:rsid w:val="00463BB3"/>
    <w:rsid w:val="00464C8E"/>
    <w:rsid w:val="00465D01"/>
    <w:rsid w:val="0046764A"/>
    <w:rsid w:val="00471013"/>
    <w:rsid w:val="004712F9"/>
    <w:rsid w:val="00473297"/>
    <w:rsid w:val="00474235"/>
    <w:rsid w:val="0047510E"/>
    <w:rsid w:val="00475218"/>
    <w:rsid w:val="00475AD3"/>
    <w:rsid w:val="004800AE"/>
    <w:rsid w:val="00481D4E"/>
    <w:rsid w:val="004851EA"/>
    <w:rsid w:val="00486214"/>
    <w:rsid w:val="00487BF7"/>
    <w:rsid w:val="0049167B"/>
    <w:rsid w:val="0049235E"/>
    <w:rsid w:val="00492EF3"/>
    <w:rsid w:val="0049352F"/>
    <w:rsid w:val="00494632"/>
    <w:rsid w:val="004A0526"/>
    <w:rsid w:val="004B1CE0"/>
    <w:rsid w:val="004B212E"/>
    <w:rsid w:val="004B3587"/>
    <w:rsid w:val="004B4EB4"/>
    <w:rsid w:val="004B5770"/>
    <w:rsid w:val="004C16A4"/>
    <w:rsid w:val="004C3849"/>
    <w:rsid w:val="004C44D8"/>
    <w:rsid w:val="004C6436"/>
    <w:rsid w:val="004C6D51"/>
    <w:rsid w:val="004D1399"/>
    <w:rsid w:val="004D144C"/>
    <w:rsid w:val="004D2D27"/>
    <w:rsid w:val="004D60D9"/>
    <w:rsid w:val="004D6162"/>
    <w:rsid w:val="004D654E"/>
    <w:rsid w:val="004D76A3"/>
    <w:rsid w:val="004E06B3"/>
    <w:rsid w:val="004E199E"/>
    <w:rsid w:val="004E1CEC"/>
    <w:rsid w:val="004E21A9"/>
    <w:rsid w:val="004E33D4"/>
    <w:rsid w:val="004F146F"/>
    <w:rsid w:val="004F1C9F"/>
    <w:rsid w:val="004F27D0"/>
    <w:rsid w:val="004F5094"/>
    <w:rsid w:val="004F5501"/>
    <w:rsid w:val="004F7643"/>
    <w:rsid w:val="004F7B0B"/>
    <w:rsid w:val="005007DB"/>
    <w:rsid w:val="00501843"/>
    <w:rsid w:val="0050369D"/>
    <w:rsid w:val="005049BE"/>
    <w:rsid w:val="0051152D"/>
    <w:rsid w:val="00511C5C"/>
    <w:rsid w:val="00512215"/>
    <w:rsid w:val="0051358A"/>
    <w:rsid w:val="0051489C"/>
    <w:rsid w:val="005152AF"/>
    <w:rsid w:val="00515873"/>
    <w:rsid w:val="005166CC"/>
    <w:rsid w:val="005221F7"/>
    <w:rsid w:val="005225AE"/>
    <w:rsid w:val="00522EF7"/>
    <w:rsid w:val="00524646"/>
    <w:rsid w:val="00524F1B"/>
    <w:rsid w:val="00525B94"/>
    <w:rsid w:val="005270B5"/>
    <w:rsid w:val="00527447"/>
    <w:rsid w:val="005303DF"/>
    <w:rsid w:val="00530D2C"/>
    <w:rsid w:val="00530E54"/>
    <w:rsid w:val="00531595"/>
    <w:rsid w:val="005326BB"/>
    <w:rsid w:val="00533A34"/>
    <w:rsid w:val="0053670E"/>
    <w:rsid w:val="00537B9F"/>
    <w:rsid w:val="00542641"/>
    <w:rsid w:val="00542CBC"/>
    <w:rsid w:val="00543E7C"/>
    <w:rsid w:val="00544B57"/>
    <w:rsid w:val="00545787"/>
    <w:rsid w:val="005473D8"/>
    <w:rsid w:val="00551C93"/>
    <w:rsid w:val="00551F06"/>
    <w:rsid w:val="00551F49"/>
    <w:rsid w:val="00554565"/>
    <w:rsid w:val="0055520D"/>
    <w:rsid w:val="00555224"/>
    <w:rsid w:val="00555422"/>
    <w:rsid w:val="005573C8"/>
    <w:rsid w:val="00557BCC"/>
    <w:rsid w:val="0056389C"/>
    <w:rsid w:val="00564245"/>
    <w:rsid w:val="00566517"/>
    <w:rsid w:val="00566BA2"/>
    <w:rsid w:val="0056705B"/>
    <w:rsid w:val="00574764"/>
    <w:rsid w:val="0057563B"/>
    <w:rsid w:val="0057563D"/>
    <w:rsid w:val="005773AE"/>
    <w:rsid w:val="0058166B"/>
    <w:rsid w:val="00581754"/>
    <w:rsid w:val="00586270"/>
    <w:rsid w:val="00586E2F"/>
    <w:rsid w:val="00590C3D"/>
    <w:rsid w:val="00592727"/>
    <w:rsid w:val="00592AD4"/>
    <w:rsid w:val="005931DB"/>
    <w:rsid w:val="0059335E"/>
    <w:rsid w:val="00594DF8"/>
    <w:rsid w:val="00595F39"/>
    <w:rsid w:val="00596177"/>
    <w:rsid w:val="005969E4"/>
    <w:rsid w:val="0059755B"/>
    <w:rsid w:val="005A0C66"/>
    <w:rsid w:val="005A1E2F"/>
    <w:rsid w:val="005A2A72"/>
    <w:rsid w:val="005A4762"/>
    <w:rsid w:val="005A4CEC"/>
    <w:rsid w:val="005A52AB"/>
    <w:rsid w:val="005A635D"/>
    <w:rsid w:val="005A6484"/>
    <w:rsid w:val="005A6F57"/>
    <w:rsid w:val="005A7583"/>
    <w:rsid w:val="005B0F48"/>
    <w:rsid w:val="005B2B6A"/>
    <w:rsid w:val="005B3E81"/>
    <w:rsid w:val="005B4222"/>
    <w:rsid w:val="005B6006"/>
    <w:rsid w:val="005B6A1B"/>
    <w:rsid w:val="005C0EA0"/>
    <w:rsid w:val="005C1645"/>
    <w:rsid w:val="005C166C"/>
    <w:rsid w:val="005C2CA7"/>
    <w:rsid w:val="005C38E1"/>
    <w:rsid w:val="005C3C1B"/>
    <w:rsid w:val="005C54E5"/>
    <w:rsid w:val="005C6AE8"/>
    <w:rsid w:val="005D0498"/>
    <w:rsid w:val="005D0720"/>
    <w:rsid w:val="005D3023"/>
    <w:rsid w:val="005D3921"/>
    <w:rsid w:val="005D5CC6"/>
    <w:rsid w:val="005D78F5"/>
    <w:rsid w:val="005E09BA"/>
    <w:rsid w:val="005E1887"/>
    <w:rsid w:val="005E2886"/>
    <w:rsid w:val="005E3307"/>
    <w:rsid w:val="005E39DF"/>
    <w:rsid w:val="005E587F"/>
    <w:rsid w:val="005E59B4"/>
    <w:rsid w:val="005F0EA0"/>
    <w:rsid w:val="005F317E"/>
    <w:rsid w:val="005F4181"/>
    <w:rsid w:val="006001F2"/>
    <w:rsid w:val="00600E58"/>
    <w:rsid w:val="00601361"/>
    <w:rsid w:val="00601E57"/>
    <w:rsid w:val="0060682A"/>
    <w:rsid w:val="00606984"/>
    <w:rsid w:val="00606D63"/>
    <w:rsid w:val="006127B6"/>
    <w:rsid w:val="00612978"/>
    <w:rsid w:val="006146D0"/>
    <w:rsid w:val="00616433"/>
    <w:rsid w:val="00620C1D"/>
    <w:rsid w:val="00621AFF"/>
    <w:rsid w:val="00624BDF"/>
    <w:rsid w:val="00625446"/>
    <w:rsid w:val="00626195"/>
    <w:rsid w:val="006261DB"/>
    <w:rsid w:val="00627F1A"/>
    <w:rsid w:val="00630F0A"/>
    <w:rsid w:val="00632158"/>
    <w:rsid w:val="00632398"/>
    <w:rsid w:val="00632E29"/>
    <w:rsid w:val="006339AE"/>
    <w:rsid w:val="00633DC8"/>
    <w:rsid w:val="006356CB"/>
    <w:rsid w:val="006359A7"/>
    <w:rsid w:val="00635FB8"/>
    <w:rsid w:val="00636277"/>
    <w:rsid w:val="00636D74"/>
    <w:rsid w:val="00637F2A"/>
    <w:rsid w:val="0064002E"/>
    <w:rsid w:val="006410D7"/>
    <w:rsid w:val="00643D7C"/>
    <w:rsid w:val="00651081"/>
    <w:rsid w:val="00651D76"/>
    <w:rsid w:val="00652254"/>
    <w:rsid w:val="0065246C"/>
    <w:rsid w:val="0065264E"/>
    <w:rsid w:val="0065322B"/>
    <w:rsid w:val="006545C1"/>
    <w:rsid w:val="00654C70"/>
    <w:rsid w:val="00655462"/>
    <w:rsid w:val="0065720D"/>
    <w:rsid w:val="006579FB"/>
    <w:rsid w:val="00657DB7"/>
    <w:rsid w:val="00660723"/>
    <w:rsid w:val="00663620"/>
    <w:rsid w:val="00667998"/>
    <w:rsid w:val="00670141"/>
    <w:rsid w:val="00671334"/>
    <w:rsid w:val="00671D48"/>
    <w:rsid w:val="00671E05"/>
    <w:rsid w:val="00674186"/>
    <w:rsid w:val="00675B7A"/>
    <w:rsid w:val="00676DA2"/>
    <w:rsid w:val="00680A0B"/>
    <w:rsid w:val="00681553"/>
    <w:rsid w:val="00681A42"/>
    <w:rsid w:val="0068396A"/>
    <w:rsid w:val="00686B28"/>
    <w:rsid w:val="00687216"/>
    <w:rsid w:val="00694191"/>
    <w:rsid w:val="0069459D"/>
    <w:rsid w:val="0069486E"/>
    <w:rsid w:val="006948C9"/>
    <w:rsid w:val="006969B6"/>
    <w:rsid w:val="006975FF"/>
    <w:rsid w:val="006A0062"/>
    <w:rsid w:val="006A1341"/>
    <w:rsid w:val="006A235A"/>
    <w:rsid w:val="006A3F49"/>
    <w:rsid w:val="006A442A"/>
    <w:rsid w:val="006A4C80"/>
    <w:rsid w:val="006A523F"/>
    <w:rsid w:val="006A64D5"/>
    <w:rsid w:val="006A7EC9"/>
    <w:rsid w:val="006B216A"/>
    <w:rsid w:val="006B2BB3"/>
    <w:rsid w:val="006B2D21"/>
    <w:rsid w:val="006B313A"/>
    <w:rsid w:val="006B3DA8"/>
    <w:rsid w:val="006B43FD"/>
    <w:rsid w:val="006B4F7D"/>
    <w:rsid w:val="006B52CB"/>
    <w:rsid w:val="006B616A"/>
    <w:rsid w:val="006C059E"/>
    <w:rsid w:val="006C1EA5"/>
    <w:rsid w:val="006C3082"/>
    <w:rsid w:val="006D137A"/>
    <w:rsid w:val="006D4057"/>
    <w:rsid w:val="006D63EC"/>
    <w:rsid w:val="006D6D72"/>
    <w:rsid w:val="006D789F"/>
    <w:rsid w:val="006E17C0"/>
    <w:rsid w:val="006E2BDC"/>
    <w:rsid w:val="006F2748"/>
    <w:rsid w:val="006F324E"/>
    <w:rsid w:val="006F395F"/>
    <w:rsid w:val="006F4EBA"/>
    <w:rsid w:val="006F5903"/>
    <w:rsid w:val="006F62CE"/>
    <w:rsid w:val="007000BB"/>
    <w:rsid w:val="007008BD"/>
    <w:rsid w:val="00700A05"/>
    <w:rsid w:val="00702CF9"/>
    <w:rsid w:val="00702F43"/>
    <w:rsid w:val="007032D3"/>
    <w:rsid w:val="007049AE"/>
    <w:rsid w:val="00710584"/>
    <w:rsid w:val="00710C9D"/>
    <w:rsid w:val="00711657"/>
    <w:rsid w:val="00711911"/>
    <w:rsid w:val="00713B2E"/>
    <w:rsid w:val="00713C23"/>
    <w:rsid w:val="00715D90"/>
    <w:rsid w:val="00720422"/>
    <w:rsid w:val="00723778"/>
    <w:rsid w:val="00723E16"/>
    <w:rsid w:val="0072452B"/>
    <w:rsid w:val="007260C2"/>
    <w:rsid w:val="007261E6"/>
    <w:rsid w:val="00730352"/>
    <w:rsid w:val="0073046F"/>
    <w:rsid w:val="007319BB"/>
    <w:rsid w:val="00731D17"/>
    <w:rsid w:val="0074116D"/>
    <w:rsid w:val="00741290"/>
    <w:rsid w:val="00743A86"/>
    <w:rsid w:val="00743DCF"/>
    <w:rsid w:val="00744456"/>
    <w:rsid w:val="00744C79"/>
    <w:rsid w:val="007458DE"/>
    <w:rsid w:val="00747B79"/>
    <w:rsid w:val="007503D8"/>
    <w:rsid w:val="007537D3"/>
    <w:rsid w:val="007566B7"/>
    <w:rsid w:val="00757D86"/>
    <w:rsid w:val="00762873"/>
    <w:rsid w:val="00763D49"/>
    <w:rsid w:val="00764095"/>
    <w:rsid w:val="007654F2"/>
    <w:rsid w:val="00765FF2"/>
    <w:rsid w:val="00770982"/>
    <w:rsid w:val="00770EE2"/>
    <w:rsid w:val="00771645"/>
    <w:rsid w:val="00772195"/>
    <w:rsid w:val="00772575"/>
    <w:rsid w:val="0077297F"/>
    <w:rsid w:val="00774476"/>
    <w:rsid w:val="007744B9"/>
    <w:rsid w:val="00776C91"/>
    <w:rsid w:val="00776D74"/>
    <w:rsid w:val="00777140"/>
    <w:rsid w:val="0078097A"/>
    <w:rsid w:val="007819DB"/>
    <w:rsid w:val="00781A66"/>
    <w:rsid w:val="00784963"/>
    <w:rsid w:val="00784B63"/>
    <w:rsid w:val="00785B7D"/>
    <w:rsid w:val="00786DF1"/>
    <w:rsid w:val="007908AF"/>
    <w:rsid w:val="00793379"/>
    <w:rsid w:val="00793DF4"/>
    <w:rsid w:val="00794378"/>
    <w:rsid w:val="00797720"/>
    <w:rsid w:val="007A17E8"/>
    <w:rsid w:val="007A1CF4"/>
    <w:rsid w:val="007A1F94"/>
    <w:rsid w:val="007A243B"/>
    <w:rsid w:val="007A2864"/>
    <w:rsid w:val="007A50A6"/>
    <w:rsid w:val="007A66A1"/>
    <w:rsid w:val="007A7718"/>
    <w:rsid w:val="007A7C1C"/>
    <w:rsid w:val="007B05DF"/>
    <w:rsid w:val="007B351F"/>
    <w:rsid w:val="007B71B6"/>
    <w:rsid w:val="007C0322"/>
    <w:rsid w:val="007C139F"/>
    <w:rsid w:val="007C24AE"/>
    <w:rsid w:val="007C2E58"/>
    <w:rsid w:val="007C3899"/>
    <w:rsid w:val="007C438D"/>
    <w:rsid w:val="007C44A2"/>
    <w:rsid w:val="007C4DA4"/>
    <w:rsid w:val="007C68B8"/>
    <w:rsid w:val="007C7058"/>
    <w:rsid w:val="007C7C87"/>
    <w:rsid w:val="007D0694"/>
    <w:rsid w:val="007D1D23"/>
    <w:rsid w:val="007D3F94"/>
    <w:rsid w:val="007D4077"/>
    <w:rsid w:val="007D637D"/>
    <w:rsid w:val="007D68DD"/>
    <w:rsid w:val="007D75CD"/>
    <w:rsid w:val="007E0DE8"/>
    <w:rsid w:val="007E3A0D"/>
    <w:rsid w:val="007E4DA4"/>
    <w:rsid w:val="007E4F30"/>
    <w:rsid w:val="007E67E6"/>
    <w:rsid w:val="007F1ABC"/>
    <w:rsid w:val="007F36CA"/>
    <w:rsid w:val="007F3B10"/>
    <w:rsid w:val="007F4163"/>
    <w:rsid w:val="007F44DA"/>
    <w:rsid w:val="00800398"/>
    <w:rsid w:val="008010AB"/>
    <w:rsid w:val="00801EE9"/>
    <w:rsid w:val="00802275"/>
    <w:rsid w:val="00802BA0"/>
    <w:rsid w:val="0080380A"/>
    <w:rsid w:val="00803B02"/>
    <w:rsid w:val="0080671F"/>
    <w:rsid w:val="00806918"/>
    <w:rsid w:val="00810763"/>
    <w:rsid w:val="00810979"/>
    <w:rsid w:val="0081429E"/>
    <w:rsid w:val="008142E1"/>
    <w:rsid w:val="00815052"/>
    <w:rsid w:val="00816783"/>
    <w:rsid w:val="008168A0"/>
    <w:rsid w:val="00823A2C"/>
    <w:rsid w:val="0082466E"/>
    <w:rsid w:val="00825ABE"/>
    <w:rsid w:val="008275AC"/>
    <w:rsid w:val="00830005"/>
    <w:rsid w:val="0083064C"/>
    <w:rsid w:val="008307BE"/>
    <w:rsid w:val="00831F2D"/>
    <w:rsid w:val="008331EE"/>
    <w:rsid w:val="008334F2"/>
    <w:rsid w:val="00834114"/>
    <w:rsid w:val="00836458"/>
    <w:rsid w:val="00836631"/>
    <w:rsid w:val="008366CA"/>
    <w:rsid w:val="00837CD4"/>
    <w:rsid w:val="00840942"/>
    <w:rsid w:val="00843D0A"/>
    <w:rsid w:val="00844FAB"/>
    <w:rsid w:val="008508FA"/>
    <w:rsid w:val="00850CAD"/>
    <w:rsid w:val="0085189B"/>
    <w:rsid w:val="0085209C"/>
    <w:rsid w:val="00854E9B"/>
    <w:rsid w:val="00857DBE"/>
    <w:rsid w:val="00862A51"/>
    <w:rsid w:val="008644B2"/>
    <w:rsid w:val="00864C4E"/>
    <w:rsid w:val="00866502"/>
    <w:rsid w:val="00872725"/>
    <w:rsid w:val="0087572F"/>
    <w:rsid w:val="00875A89"/>
    <w:rsid w:val="00875E7C"/>
    <w:rsid w:val="0087656E"/>
    <w:rsid w:val="008802A1"/>
    <w:rsid w:val="008807B9"/>
    <w:rsid w:val="00882373"/>
    <w:rsid w:val="00882467"/>
    <w:rsid w:val="00885317"/>
    <w:rsid w:val="0088647C"/>
    <w:rsid w:val="00886E8A"/>
    <w:rsid w:val="008876FA"/>
    <w:rsid w:val="0089017C"/>
    <w:rsid w:val="00890387"/>
    <w:rsid w:val="008904FD"/>
    <w:rsid w:val="00894E54"/>
    <w:rsid w:val="00894F57"/>
    <w:rsid w:val="008969E4"/>
    <w:rsid w:val="00897523"/>
    <w:rsid w:val="008A088C"/>
    <w:rsid w:val="008A10DA"/>
    <w:rsid w:val="008A2FEF"/>
    <w:rsid w:val="008A3C87"/>
    <w:rsid w:val="008A496B"/>
    <w:rsid w:val="008A4AEE"/>
    <w:rsid w:val="008A6281"/>
    <w:rsid w:val="008B0DCE"/>
    <w:rsid w:val="008B1533"/>
    <w:rsid w:val="008B43CD"/>
    <w:rsid w:val="008B4F4F"/>
    <w:rsid w:val="008B4F54"/>
    <w:rsid w:val="008B6031"/>
    <w:rsid w:val="008B74DB"/>
    <w:rsid w:val="008C49F4"/>
    <w:rsid w:val="008C5849"/>
    <w:rsid w:val="008C63C7"/>
    <w:rsid w:val="008C6577"/>
    <w:rsid w:val="008C743C"/>
    <w:rsid w:val="008D0439"/>
    <w:rsid w:val="008D2179"/>
    <w:rsid w:val="008D221B"/>
    <w:rsid w:val="008D2537"/>
    <w:rsid w:val="008D3BC3"/>
    <w:rsid w:val="008D6071"/>
    <w:rsid w:val="008D6CB6"/>
    <w:rsid w:val="008E1416"/>
    <w:rsid w:val="008E3CDE"/>
    <w:rsid w:val="008E41C0"/>
    <w:rsid w:val="008E7E50"/>
    <w:rsid w:val="008F0524"/>
    <w:rsid w:val="008F0810"/>
    <w:rsid w:val="008F41C5"/>
    <w:rsid w:val="008F6BBC"/>
    <w:rsid w:val="008F6CE9"/>
    <w:rsid w:val="00900717"/>
    <w:rsid w:val="0090425F"/>
    <w:rsid w:val="00904835"/>
    <w:rsid w:val="00904C01"/>
    <w:rsid w:val="0090515C"/>
    <w:rsid w:val="00906894"/>
    <w:rsid w:val="00906B0D"/>
    <w:rsid w:val="0091011B"/>
    <w:rsid w:val="00912025"/>
    <w:rsid w:val="00914D8D"/>
    <w:rsid w:val="00915022"/>
    <w:rsid w:val="0091564F"/>
    <w:rsid w:val="00915B6C"/>
    <w:rsid w:val="009169CE"/>
    <w:rsid w:val="00916E11"/>
    <w:rsid w:val="00916F7D"/>
    <w:rsid w:val="00921400"/>
    <w:rsid w:val="00923C26"/>
    <w:rsid w:val="009251C1"/>
    <w:rsid w:val="00934A70"/>
    <w:rsid w:val="00934C04"/>
    <w:rsid w:val="0093533B"/>
    <w:rsid w:val="00940086"/>
    <w:rsid w:val="009431D8"/>
    <w:rsid w:val="009437D2"/>
    <w:rsid w:val="00943ACF"/>
    <w:rsid w:val="009445C0"/>
    <w:rsid w:val="00944B72"/>
    <w:rsid w:val="00947463"/>
    <w:rsid w:val="009508F1"/>
    <w:rsid w:val="009510FD"/>
    <w:rsid w:val="00953DC8"/>
    <w:rsid w:val="00954706"/>
    <w:rsid w:val="009606A7"/>
    <w:rsid w:val="00961A3D"/>
    <w:rsid w:val="00966223"/>
    <w:rsid w:val="00967372"/>
    <w:rsid w:val="009721EC"/>
    <w:rsid w:val="00972D53"/>
    <w:rsid w:val="00973C0C"/>
    <w:rsid w:val="00975C83"/>
    <w:rsid w:val="009777C0"/>
    <w:rsid w:val="00977936"/>
    <w:rsid w:val="00980481"/>
    <w:rsid w:val="0098104D"/>
    <w:rsid w:val="00981EAD"/>
    <w:rsid w:val="00983611"/>
    <w:rsid w:val="00985151"/>
    <w:rsid w:val="00987906"/>
    <w:rsid w:val="00990068"/>
    <w:rsid w:val="00992734"/>
    <w:rsid w:val="00992759"/>
    <w:rsid w:val="009950BB"/>
    <w:rsid w:val="009968E2"/>
    <w:rsid w:val="00996BEB"/>
    <w:rsid w:val="009971B5"/>
    <w:rsid w:val="009A06B2"/>
    <w:rsid w:val="009A0A72"/>
    <w:rsid w:val="009A134D"/>
    <w:rsid w:val="009A2041"/>
    <w:rsid w:val="009A2742"/>
    <w:rsid w:val="009A2C44"/>
    <w:rsid w:val="009A5E9D"/>
    <w:rsid w:val="009A6A68"/>
    <w:rsid w:val="009A7B85"/>
    <w:rsid w:val="009B0FD4"/>
    <w:rsid w:val="009B2238"/>
    <w:rsid w:val="009B2ECA"/>
    <w:rsid w:val="009B5E30"/>
    <w:rsid w:val="009B67D0"/>
    <w:rsid w:val="009B7131"/>
    <w:rsid w:val="009C2034"/>
    <w:rsid w:val="009C3485"/>
    <w:rsid w:val="009C5ABA"/>
    <w:rsid w:val="009C6AEA"/>
    <w:rsid w:val="009D1C67"/>
    <w:rsid w:val="009D2C29"/>
    <w:rsid w:val="009D32ED"/>
    <w:rsid w:val="009D4152"/>
    <w:rsid w:val="009D6C3B"/>
    <w:rsid w:val="009D7111"/>
    <w:rsid w:val="009D7E87"/>
    <w:rsid w:val="009E2C76"/>
    <w:rsid w:val="009E2F53"/>
    <w:rsid w:val="009E5055"/>
    <w:rsid w:val="009F047E"/>
    <w:rsid w:val="009F3BEC"/>
    <w:rsid w:val="009F7A5A"/>
    <w:rsid w:val="00A0013D"/>
    <w:rsid w:val="00A0137B"/>
    <w:rsid w:val="00A01A89"/>
    <w:rsid w:val="00A04FD3"/>
    <w:rsid w:val="00A05D13"/>
    <w:rsid w:val="00A07B9A"/>
    <w:rsid w:val="00A11C97"/>
    <w:rsid w:val="00A12FA2"/>
    <w:rsid w:val="00A14EEE"/>
    <w:rsid w:val="00A1736D"/>
    <w:rsid w:val="00A2078B"/>
    <w:rsid w:val="00A21502"/>
    <w:rsid w:val="00A22C38"/>
    <w:rsid w:val="00A23DFE"/>
    <w:rsid w:val="00A240B8"/>
    <w:rsid w:val="00A24CE1"/>
    <w:rsid w:val="00A2505E"/>
    <w:rsid w:val="00A27152"/>
    <w:rsid w:val="00A27454"/>
    <w:rsid w:val="00A32C41"/>
    <w:rsid w:val="00A32FB5"/>
    <w:rsid w:val="00A33C0C"/>
    <w:rsid w:val="00A34870"/>
    <w:rsid w:val="00A34C9B"/>
    <w:rsid w:val="00A3643A"/>
    <w:rsid w:val="00A43755"/>
    <w:rsid w:val="00A457A3"/>
    <w:rsid w:val="00A45A99"/>
    <w:rsid w:val="00A4631E"/>
    <w:rsid w:val="00A470E4"/>
    <w:rsid w:val="00A47C8E"/>
    <w:rsid w:val="00A47E32"/>
    <w:rsid w:val="00A50C3E"/>
    <w:rsid w:val="00A51BCA"/>
    <w:rsid w:val="00A5410F"/>
    <w:rsid w:val="00A548C3"/>
    <w:rsid w:val="00A54C2A"/>
    <w:rsid w:val="00A56C1F"/>
    <w:rsid w:val="00A56F44"/>
    <w:rsid w:val="00A61E18"/>
    <w:rsid w:val="00A62233"/>
    <w:rsid w:val="00A65B2E"/>
    <w:rsid w:val="00A70436"/>
    <w:rsid w:val="00A70E8F"/>
    <w:rsid w:val="00A7642D"/>
    <w:rsid w:val="00A770A8"/>
    <w:rsid w:val="00A80237"/>
    <w:rsid w:val="00A80583"/>
    <w:rsid w:val="00A82D20"/>
    <w:rsid w:val="00A82D41"/>
    <w:rsid w:val="00A861F7"/>
    <w:rsid w:val="00A86F27"/>
    <w:rsid w:val="00A873F8"/>
    <w:rsid w:val="00A91D15"/>
    <w:rsid w:val="00A958E1"/>
    <w:rsid w:val="00A9661C"/>
    <w:rsid w:val="00AA0A12"/>
    <w:rsid w:val="00AA1B39"/>
    <w:rsid w:val="00AA223F"/>
    <w:rsid w:val="00AA59DE"/>
    <w:rsid w:val="00AA60AB"/>
    <w:rsid w:val="00AA65FC"/>
    <w:rsid w:val="00AA69BD"/>
    <w:rsid w:val="00AB004B"/>
    <w:rsid w:val="00AB0FA3"/>
    <w:rsid w:val="00AB1A68"/>
    <w:rsid w:val="00AB20D4"/>
    <w:rsid w:val="00AB23DB"/>
    <w:rsid w:val="00AB2F54"/>
    <w:rsid w:val="00AB4602"/>
    <w:rsid w:val="00AB5089"/>
    <w:rsid w:val="00AB5B5B"/>
    <w:rsid w:val="00AB7BD1"/>
    <w:rsid w:val="00AC1060"/>
    <w:rsid w:val="00AC1D11"/>
    <w:rsid w:val="00AC29E3"/>
    <w:rsid w:val="00AC3707"/>
    <w:rsid w:val="00AC3A35"/>
    <w:rsid w:val="00AC5EA0"/>
    <w:rsid w:val="00AC6846"/>
    <w:rsid w:val="00AC6F1A"/>
    <w:rsid w:val="00AC7C4E"/>
    <w:rsid w:val="00AD364C"/>
    <w:rsid w:val="00AD71CF"/>
    <w:rsid w:val="00AD7987"/>
    <w:rsid w:val="00AE0E41"/>
    <w:rsid w:val="00AE2CD9"/>
    <w:rsid w:val="00AE376A"/>
    <w:rsid w:val="00AE3E70"/>
    <w:rsid w:val="00AE5C62"/>
    <w:rsid w:val="00AE656E"/>
    <w:rsid w:val="00AE74EB"/>
    <w:rsid w:val="00AF00B0"/>
    <w:rsid w:val="00AF0D9D"/>
    <w:rsid w:val="00AF623E"/>
    <w:rsid w:val="00AF71F1"/>
    <w:rsid w:val="00B000D8"/>
    <w:rsid w:val="00B01015"/>
    <w:rsid w:val="00B024CE"/>
    <w:rsid w:val="00B02BA4"/>
    <w:rsid w:val="00B04C89"/>
    <w:rsid w:val="00B057FB"/>
    <w:rsid w:val="00B066C3"/>
    <w:rsid w:val="00B0724E"/>
    <w:rsid w:val="00B07EC4"/>
    <w:rsid w:val="00B100CA"/>
    <w:rsid w:val="00B11153"/>
    <w:rsid w:val="00B11CB1"/>
    <w:rsid w:val="00B1319D"/>
    <w:rsid w:val="00B1330A"/>
    <w:rsid w:val="00B13554"/>
    <w:rsid w:val="00B13FAA"/>
    <w:rsid w:val="00B1475A"/>
    <w:rsid w:val="00B149C3"/>
    <w:rsid w:val="00B15032"/>
    <w:rsid w:val="00B17CDE"/>
    <w:rsid w:val="00B23BB2"/>
    <w:rsid w:val="00B24CE0"/>
    <w:rsid w:val="00B262CB"/>
    <w:rsid w:val="00B27A83"/>
    <w:rsid w:val="00B30204"/>
    <w:rsid w:val="00B3047A"/>
    <w:rsid w:val="00B34796"/>
    <w:rsid w:val="00B35207"/>
    <w:rsid w:val="00B36123"/>
    <w:rsid w:val="00B36E77"/>
    <w:rsid w:val="00B3721E"/>
    <w:rsid w:val="00B418DB"/>
    <w:rsid w:val="00B42B4D"/>
    <w:rsid w:val="00B433EC"/>
    <w:rsid w:val="00B455A1"/>
    <w:rsid w:val="00B466A4"/>
    <w:rsid w:val="00B53087"/>
    <w:rsid w:val="00B53745"/>
    <w:rsid w:val="00B54897"/>
    <w:rsid w:val="00B56BA7"/>
    <w:rsid w:val="00B56C87"/>
    <w:rsid w:val="00B57353"/>
    <w:rsid w:val="00B6002B"/>
    <w:rsid w:val="00B619AE"/>
    <w:rsid w:val="00B63665"/>
    <w:rsid w:val="00B647F9"/>
    <w:rsid w:val="00B701D2"/>
    <w:rsid w:val="00B70C17"/>
    <w:rsid w:val="00B75A3F"/>
    <w:rsid w:val="00B7723F"/>
    <w:rsid w:val="00B77F16"/>
    <w:rsid w:val="00B80F66"/>
    <w:rsid w:val="00B81901"/>
    <w:rsid w:val="00B82EA8"/>
    <w:rsid w:val="00B83C8E"/>
    <w:rsid w:val="00B85134"/>
    <w:rsid w:val="00B85D76"/>
    <w:rsid w:val="00B86EF4"/>
    <w:rsid w:val="00B87921"/>
    <w:rsid w:val="00B9338E"/>
    <w:rsid w:val="00B94866"/>
    <w:rsid w:val="00B9651B"/>
    <w:rsid w:val="00B977ED"/>
    <w:rsid w:val="00B97925"/>
    <w:rsid w:val="00B97A2A"/>
    <w:rsid w:val="00BA08E1"/>
    <w:rsid w:val="00BA0969"/>
    <w:rsid w:val="00BA11B1"/>
    <w:rsid w:val="00BA1579"/>
    <w:rsid w:val="00BA2441"/>
    <w:rsid w:val="00BA4725"/>
    <w:rsid w:val="00BA47BC"/>
    <w:rsid w:val="00BA5587"/>
    <w:rsid w:val="00BA5E05"/>
    <w:rsid w:val="00BA6F76"/>
    <w:rsid w:val="00BB0498"/>
    <w:rsid w:val="00BB0675"/>
    <w:rsid w:val="00BB0B51"/>
    <w:rsid w:val="00BB21B0"/>
    <w:rsid w:val="00BB2717"/>
    <w:rsid w:val="00BB38C3"/>
    <w:rsid w:val="00BB5320"/>
    <w:rsid w:val="00BB67CF"/>
    <w:rsid w:val="00BC0548"/>
    <w:rsid w:val="00BC05CF"/>
    <w:rsid w:val="00BC091A"/>
    <w:rsid w:val="00BC0DEB"/>
    <w:rsid w:val="00BC25E0"/>
    <w:rsid w:val="00BC399B"/>
    <w:rsid w:val="00BC3A92"/>
    <w:rsid w:val="00BC5104"/>
    <w:rsid w:val="00BC5D86"/>
    <w:rsid w:val="00BD0795"/>
    <w:rsid w:val="00BD2612"/>
    <w:rsid w:val="00BD3684"/>
    <w:rsid w:val="00BD4293"/>
    <w:rsid w:val="00BD52B1"/>
    <w:rsid w:val="00BD59D0"/>
    <w:rsid w:val="00BD59ED"/>
    <w:rsid w:val="00BD62A7"/>
    <w:rsid w:val="00BD786F"/>
    <w:rsid w:val="00BE040C"/>
    <w:rsid w:val="00BE18BA"/>
    <w:rsid w:val="00BE2CFA"/>
    <w:rsid w:val="00BE2EB6"/>
    <w:rsid w:val="00BE35E0"/>
    <w:rsid w:val="00BE4B3F"/>
    <w:rsid w:val="00BE5CC0"/>
    <w:rsid w:val="00BF0031"/>
    <w:rsid w:val="00BF0F63"/>
    <w:rsid w:val="00BF1CFB"/>
    <w:rsid w:val="00BF3E9D"/>
    <w:rsid w:val="00BF473B"/>
    <w:rsid w:val="00BF708B"/>
    <w:rsid w:val="00BF7B17"/>
    <w:rsid w:val="00BF7E3C"/>
    <w:rsid w:val="00C039F7"/>
    <w:rsid w:val="00C04103"/>
    <w:rsid w:val="00C04FA2"/>
    <w:rsid w:val="00C05FC4"/>
    <w:rsid w:val="00C10763"/>
    <w:rsid w:val="00C121E3"/>
    <w:rsid w:val="00C122AD"/>
    <w:rsid w:val="00C1502B"/>
    <w:rsid w:val="00C161E7"/>
    <w:rsid w:val="00C1664C"/>
    <w:rsid w:val="00C16966"/>
    <w:rsid w:val="00C1738C"/>
    <w:rsid w:val="00C200EC"/>
    <w:rsid w:val="00C2132D"/>
    <w:rsid w:val="00C2619D"/>
    <w:rsid w:val="00C315F2"/>
    <w:rsid w:val="00C3308E"/>
    <w:rsid w:val="00C33544"/>
    <w:rsid w:val="00C3477A"/>
    <w:rsid w:val="00C37984"/>
    <w:rsid w:val="00C409F0"/>
    <w:rsid w:val="00C41288"/>
    <w:rsid w:val="00C41928"/>
    <w:rsid w:val="00C41DF1"/>
    <w:rsid w:val="00C42E29"/>
    <w:rsid w:val="00C44478"/>
    <w:rsid w:val="00C4695B"/>
    <w:rsid w:val="00C474C7"/>
    <w:rsid w:val="00C50D93"/>
    <w:rsid w:val="00C52D7D"/>
    <w:rsid w:val="00C55790"/>
    <w:rsid w:val="00C57959"/>
    <w:rsid w:val="00C60748"/>
    <w:rsid w:val="00C623D2"/>
    <w:rsid w:val="00C64500"/>
    <w:rsid w:val="00C65B92"/>
    <w:rsid w:val="00C672AE"/>
    <w:rsid w:val="00C77DF6"/>
    <w:rsid w:val="00C80966"/>
    <w:rsid w:val="00C80B3E"/>
    <w:rsid w:val="00C80F84"/>
    <w:rsid w:val="00C81435"/>
    <w:rsid w:val="00C82991"/>
    <w:rsid w:val="00C856E5"/>
    <w:rsid w:val="00C8642E"/>
    <w:rsid w:val="00C91F71"/>
    <w:rsid w:val="00C923F7"/>
    <w:rsid w:val="00C9325D"/>
    <w:rsid w:val="00C94B5B"/>
    <w:rsid w:val="00C9563E"/>
    <w:rsid w:val="00C95CB7"/>
    <w:rsid w:val="00C95F57"/>
    <w:rsid w:val="00C968E9"/>
    <w:rsid w:val="00C971CD"/>
    <w:rsid w:val="00C97743"/>
    <w:rsid w:val="00C97D7A"/>
    <w:rsid w:val="00CA04C4"/>
    <w:rsid w:val="00CA0BAC"/>
    <w:rsid w:val="00CA11B2"/>
    <w:rsid w:val="00CA1A75"/>
    <w:rsid w:val="00CA21CA"/>
    <w:rsid w:val="00CA40FF"/>
    <w:rsid w:val="00CA4C3C"/>
    <w:rsid w:val="00CA7F43"/>
    <w:rsid w:val="00CB4FEC"/>
    <w:rsid w:val="00CB5B97"/>
    <w:rsid w:val="00CB6F90"/>
    <w:rsid w:val="00CB78F8"/>
    <w:rsid w:val="00CB7BAC"/>
    <w:rsid w:val="00CC2977"/>
    <w:rsid w:val="00CC3362"/>
    <w:rsid w:val="00CC4202"/>
    <w:rsid w:val="00CD01BD"/>
    <w:rsid w:val="00CD0F4B"/>
    <w:rsid w:val="00CD2823"/>
    <w:rsid w:val="00CD30A0"/>
    <w:rsid w:val="00CD3599"/>
    <w:rsid w:val="00CD3E08"/>
    <w:rsid w:val="00CD482F"/>
    <w:rsid w:val="00CD57E7"/>
    <w:rsid w:val="00CD5AFE"/>
    <w:rsid w:val="00CE1758"/>
    <w:rsid w:val="00CE1766"/>
    <w:rsid w:val="00CE3DA2"/>
    <w:rsid w:val="00CE664D"/>
    <w:rsid w:val="00CE75DC"/>
    <w:rsid w:val="00CE7A06"/>
    <w:rsid w:val="00CF0D7C"/>
    <w:rsid w:val="00CF1CB6"/>
    <w:rsid w:val="00CF235E"/>
    <w:rsid w:val="00CF2E5E"/>
    <w:rsid w:val="00CF3571"/>
    <w:rsid w:val="00CF455D"/>
    <w:rsid w:val="00CF69FD"/>
    <w:rsid w:val="00CF729F"/>
    <w:rsid w:val="00D0249B"/>
    <w:rsid w:val="00D03C94"/>
    <w:rsid w:val="00D04213"/>
    <w:rsid w:val="00D047BF"/>
    <w:rsid w:val="00D076C2"/>
    <w:rsid w:val="00D101DE"/>
    <w:rsid w:val="00D10D53"/>
    <w:rsid w:val="00D1179F"/>
    <w:rsid w:val="00D11E5D"/>
    <w:rsid w:val="00D123CA"/>
    <w:rsid w:val="00D12621"/>
    <w:rsid w:val="00D142F4"/>
    <w:rsid w:val="00D150B3"/>
    <w:rsid w:val="00D15188"/>
    <w:rsid w:val="00D170EC"/>
    <w:rsid w:val="00D2023D"/>
    <w:rsid w:val="00D2024C"/>
    <w:rsid w:val="00D202C0"/>
    <w:rsid w:val="00D21E7C"/>
    <w:rsid w:val="00D2323A"/>
    <w:rsid w:val="00D23863"/>
    <w:rsid w:val="00D25853"/>
    <w:rsid w:val="00D26B11"/>
    <w:rsid w:val="00D30458"/>
    <w:rsid w:val="00D34616"/>
    <w:rsid w:val="00D34763"/>
    <w:rsid w:val="00D352B4"/>
    <w:rsid w:val="00D3563C"/>
    <w:rsid w:val="00D36036"/>
    <w:rsid w:val="00D36092"/>
    <w:rsid w:val="00D3777E"/>
    <w:rsid w:val="00D41124"/>
    <w:rsid w:val="00D41462"/>
    <w:rsid w:val="00D42C2A"/>
    <w:rsid w:val="00D43373"/>
    <w:rsid w:val="00D4406F"/>
    <w:rsid w:val="00D45143"/>
    <w:rsid w:val="00D47919"/>
    <w:rsid w:val="00D50E70"/>
    <w:rsid w:val="00D5514B"/>
    <w:rsid w:val="00D5703E"/>
    <w:rsid w:val="00D61084"/>
    <w:rsid w:val="00D611A1"/>
    <w:rsid w:val="00D65E87"/>
    <w:rsid w:val="00D67780"/>
    <w:rsid w:val="00D72CEA"/>
    <w:rsid w:val="00D72D1F"/>
    <w:rsid w:val="00D731E1"/>
    <w:rsid w:val="00D745FF"/>
    <w:rsid w:val="00D74737"/>
    <w:rsid w:val="00D757CC"/>
    <w:rsid w:val="00D75F6F"/>
    <w:rsid w:val="00D762D3"/>
    <w:rsid w:val="00D764BB"/>
    <w:rsid w:val="00D76959"/>
    <w:rsid w:val="00D76A71"/>
    <w:rsid w:val="00D77CDC"/>
    <w:rsid w:val="00D811D7"/>
    <w:rsid w:val="00D82DEF"/>
    <w:rsid w:val="00D84003"/>
    <w:rsid w:val="00D87A60"/>
    <w:rsid w:val="00D91AD4"/>
    <w:rsid w:val="00D93924"/>
    <w:rsid w:val="00D94F36"/>
    <w:rsid w:val="00D95394"/>
    <w:rsid w:val="00D95C99"/>
    <w:rsid w:val="00D96558"/>
    <w:rsid w:val="00D97AA1"/>
    <w:rsid w:val="00DA19D2"/>
    <w:rsid w:val="00DA38F6"/>
    <w:rsid w:val="00DA45EC"/>
    <w:rsid w:val="00DA48C9"/>
    <w:rsid w:val="00DA4ADA"/>
    <w:rsid w:val="00DA61B8"/>
    <w:rsid w:val="00DA6C0C"/>
    <w:rsid w:val="00DA6F7C"/>
    <w:rsid w:val="00DA70DA"/>
    <w:rsid w:val="00DA7470"/>
    <w:rsid w:val="00DB0336"/>
    <w:rsid w:val="00DB0944"/>
    <w:rsid w:val="00DB1560"/>
    <w:rsid w:val="00DB1AC2"/>
    <w:rsid w:val="00DB49AE"/>
    <w:rsid w:val="00DC2381"/>
    <w:rsid w:val="00DC270C"/>
    <w:rsid w:val="00DC2C1B"/>
    <w:rsid w:val="00DC6B6E"/>
    <w:rsid w:val="00DC79E0"/>
    <w:rsid w:val="00DD2F14"/>
    <w:rsid w:val="00DD5B1A"/>
    <w:rsid w:val="00DD6AC2"/>
    <w:rsid w:val="00DD74FF"/>
    <w:rsid w:val="00DE161A"/>
    <w:rsid w:val="00DE3045"/>
    <w:rsid w:val="00DE3C33"/>
    <w:rsid w:val="00DE41B5"/>
    <w:rsid w:val="00DE42A0"/>
    <w:rsid w:val="00DE4EB0"/>
    <w:rsid w:val="00DE5BCC"/>
    <w:rsid w:val="00DE7A00"/>
    <w:rsid w:val="00DF07A7"/>
    <w:rsid w:val="00DF09E3"/>
    <w:rsid w:val="00DF30A2"/>
    <w:rsid w:val="00DF3BA8"/>
    <w:rsid w:val="00DF4837"/>
    <w:rsid w:val="00DF4B61"/>
    <w:rsid w:val="00DF6E46"/>
    <w:rsid w:val="00E02568"/>
    <w:rsid w:val="00E02DFC"/>
    <w:rsid w:val="00E031A5"/>
    <w:rsid w:val="00E04430"/>
    <w:rsid w:val="00E073D4"/>
    <w:rsid w:val="00E079AF"/>
    <w:rsid w:val="00E11595"/>
    <w:rsid w:val="00E13A9C"/>
    <w:rsid w:val="00E13CDC"/>
    <w:rsid w:val="00E147F4"/>
    <w:rsid w:val="00E15560"/>
    <w:rsid w:val="00E16E84"/>
    <w:rsid w:val="00E17A14"/>
    <w:rsid w:val="00E21EC8"/>
    <w:rsid w:val="00E239E4"/>
    <w:rsid w:val="00E259AA"/>
    <w:rsid w:val="00E25EDC"/>
    <w:rsid w:val="00E262F2"/>
    <w:rsid w:val="00E26D6B"/>
    <w:rsid w:val="00E3089D"/>
    <w:rsid w:val="00E313B5"/>
    <w:rsid w:val="00E32435"/>
    <w:rsid w:val="00E32F3A"/>
    <w:rsid w:val="00E40202"/>
    <w:rsid w:val="00E415DA"/>
    <w:rsid w:val="00E42F14"/>
    <w:rsid w:val="00E442B5"/>
    <w:rsid w:val="00E44FB2"/>
    <w:rsid w:val="00E45246"/>
    <w:rsid w:val="00E46DAE"/>
    <w:rsid w:val="00E47F3D"/>
    <w:rsid w:val="00E50341"/>
    <w:rsid w:val="00E538F7"/>
    <w:rsid w:val="00E57B63"/>
    <w:rsid w:val="00E61B83"/>
    <w:rsid w:val="00E62658"/>
    <w:rsid w:val="00E62735"/>
    <w:rsid w:val="00E62FD7"/>
    <w:rsid w:val="00E6345A"/>
    <w:rsid w:val="00E63872"/>
    <w:rsid w:val="00E656A8"/>
    <w:rsid w:val="00E65EA8"/>
    <w:rsid w:val="00E72335"/>
    <w:rsid w:val="00E74B20"/>
    <w:rsid w:val="00E7638D"/>
    <w:rsid w:val="00E77395"/>
    <w:rsid w:val="00E779F0"/>
    <w:rsid w:val="00E810FD"/>
    <w:rsid w:val="00E81F02"/>
    <w:rsid w:val="00E820F6"/>
    <w:rsid w:val="00E8473B"/>
    <w:rsid w:val="00E87F4C"/>
    <w:rsid w:val="00E9002F"/>
    <w:rsid w:val="00E92AA1"/>
    <w:rsid w:val="00E94F48"/>
    <w:rsid w:val="00E970B9"/>
    <w:rsid w:val="00EA1191"/>
    <w:rsid w:val="00EA15AA"/>
    <w:rsid w:val="00EA18E0"/>
    <w:rsid w:val="00EA4610"/>
    <w:rsid w:val="00EA4E31"/>
    <w:rsid w:val="00EA6558"/>
    <w:rsid w:val="00EA7B3C"/>
    <w:rsid w:val="00EB0A60"/>
    <w:rsid w:val="00EB1518"/>
    <w:rsid w:val="00EB1744"/>
    <w:rsid w:val="00EB1DCF"/>
    <w:rsid w:val="00EB22D8"/>
    <w:rsid w:val="00EB282D"/>
    <w:rsid w:val="00EB375B"/>
    <w:rsid w:val="00EB5569"/>
    <w:rsid w:val="00EB601C"/>
    <w:rsid w:val="00EC02BB"/>
    <w:rsid w:val="00EC1635"/>
    <w:rsid w:val="00EC178D"/>
    <w:rsid w:val="00EC1D60"/>
    <w:rsid w:val="00EC3D51"/>
    <w:rsid w:val="00EC42C1"/>
    <w:rsid w:val="00EC4E59"/>
    <w:rsid w:val="00EC5CAE"/>
    <w:rsid w:val="00EC6505"/>
    <w:rsid w:val="00EC70C9"/>
    <w:rsid w:val="00ED0CF0"/>
    <w:rsid w:val="00ED32A0"/>
    <w:rsid w:val="00ED3ED9"/>
    <w:rsid w:val="00ED6BCB"/>
    <w:rsid w:val="00EE0A90"/>
    <w:rsid w:val="00EE1EE0"/>
    <w:rsid w:val="00EE383D"/>
    <w:rsid w:val="00EE65F8"/>
    <w:rsid w:val="00EE7D31"/>
    <w:rsid w:val="00EF0FEE"/>
    <w:rsid w:val="00EF24EA"/>
    <w:rsid w:val="00EF621D"/>
    <w:rsid w:val="00EF72AF"/>
    <w:rsid w:val="00EF78AA"/>
    <w:rsid w:val="00F00064"/>
    <w:rsid w:val="00F04589"/>
    <w:rsid w:val="00F04CCF"/>
    <w:rsid w:val="00F05D46"/>
    <w:rsid w:val="00F06D19"/>
    <w:rsid w:val="00F10567"/>
    <w:rsid w:val="00F1111E"/>
    <w:rsid w:val="00F14727"/>
    <w:rsid w:val="00F14A9D"/>
    <w:rsid w:val="00F15235"/>
    <w:rsid w:val="00F1549D"/>
    <w:rsid w:val="00F15C01"/>
    <w:rsid w:val="00F21717"/>
    <w:rsid w:val="00F21E24"/>
    <w:rsid w:val="00F22D77"/>
    <w:rsid w:val="00F254E7"/>
    <w:rsid w:val="00F26F57"/>
    <w:rsid w:val="00F27666"/>
    <w:rsid w:val="00F30115"/>
    <w:rsid w:val="00F307A5"/>
    <w:rsid w:val="00F3189E"/>
    <w:rsid w:val="00F32EA1"/>
    <w:rsid w:val="00F35268"/>
    <w:rsid w:val="00F367E7"/>
    <w:rsid w:val="00F40DE0"/>
    <w:rsid w:val="00F4102E"/>
    <w:rsid w:val="00F415BF"/>
    <w:rsid w:val="00F523ED"/>
    <w:rsid w:val="00F5332F"/>
    <w:rsid w:val="00F54AFD"/>
    <w:rsid w:val="00F55252"/>
    <w:rsid w:val="00F55892"/>
    <w:rsid w:val="00F55CBE"/>
    <w:rsid w:val="00F56101"/>
    <w:rsid w:val="00F57523"/>
    <w:rsid w:val="00F61F44"/>
    <w:rsid w:val="00F62EFA"/>
    <w:rsid w:val="00F6349D"/>
    <w:rsid w:val="00F637F2"/>
    <w:rsid w:val="00F6523D"/>
    <w:rsid w:val="00F6620C"/>
    <w:rsid w:val="00F66BDC"/>
    <w:rsid w:val="00F70C10"/>
    <w:rsid w:val="00F70E32"/>
    <w:rsid w:val="00F716F6"/>
    <w:rsid w:val="00F72849"/>
    <w:rsid w:val="00F733C5"/>
    <w:rsid w:val="00F74B9A"/>
    <w:rsid w:val="00F75426"/>
    <w:rsid w:val="00F754E4"/>
    <w:rsid w:val="00F81DC5"/>
    <w:rsid w:val="00F83BD7"/>
    <w:rsid w:val="00F83C7A"/>
    <w:rsid w:val="00F85AD8"/>
    <w:rsid w:val="00F9234D"/>
    <w:rsid w:val="00F92CC1"/>
    <w:rsid w:val="00F9356A"/>
    <w:rsid w:val="00F97DC8"/>
    <w:rsid w:val="00F97DD8"/>
    <w:rsid w:val="00FA2486"/>
    <w:rsid w:val="00FA24A9"/>
    <w:rsid w:val="00FA3403"/>
    <w:rsid w:val="00FA3F08"/>
    <w:rsid w:val="00FA415B"/>
    <w:rsid w:val="00FA6A15"/>
    <w:rsid w:val="00FB088C"/>
    <w:rsid w:val="00FB1922"/>
    <w:rsid w:val="00FB2AEB"/>
    <w:rsid w:val="00FB2E3E"/>
    <w:rsid w:val="00FB3F17"/>
    <w:rsid w:val="00FB4312"/>
    <w:rsid w:val="00FB4E59"/>
    <w:rsid w:val="00FB50A1"/>
    <w:rsid w:val="00FB52E5"/>
    <w:rsid w:val="00FB636A"/>
    <w:rsid w:val="00FB785B"/>
    <w:rsid w:val="00FC2D24"/>
    <w:rsid w:val="00FC416F"/>
    <w:rsid w:val="00FC42E3"/>
    <w:rsid w:val="00FC6060"/>
    <w:rsid w:val="00FC689F"/>
    <w:rsid w:val="00FD06A2"/>
    <w:rsid w:val="00FD224C"/>
    <w:rsid w:val="00FD22FE"/>
    <w:rsid w:val="00FE0589"/>
    <w:rsid w:val="00FE2387"/>
    <w:rsid w:val="00FE3282"/>
    <w:rsid w:val="00FE36D5"/>
    <w:rsid w:val="00FE4476"/>
    <w:rsid w:val="00FE49B6"/>
    <w:rsid w:val="00FE4A68"/>
    <w:rsid w:val="00FE4AC6"/>
    <w:rsid w:val="00FE536E"/>
    <w:rsid w:val="00FE5382"/>
    <w:rsid w:val="00FF0500"/>
    <w:rsid w:val="00FF0A77"/>
    <w:rsid w:val="00FF1828"/>
    <w:rsid w:val="00FF476B"/>
    <w:rsid w:val="00FF4BF7"/>
    <w:rsid w:val="00FF55FD"/>
    <w:rsid w:val="00FF61DF"/>
    <w:rsid w:val="2FFB7B63"/>
    <w:rsid w:val="30D10667"/>
    <w:rsid w:val="39B3E524"/>
    <w:rsid w:val="4A6F3A02"/>
    <w:rsid w:val="5DD2802F"/>
    <w:rsid w:val="62679602"/>
    <w:rsid w:val="72DC617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ADCA0C"/>
  <w15:docId w15:val="{864B733E-9AD8-48EE-A10E-6A5116D2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4198"/>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B87921"/>
    <w:pPr>
      <w:keepNext/>
      <w:keepLines/>
      <w:spacing w:after="720"/>
      <w:outlineLvl w:val="0"/>
    </w:pPr>
    <w:rPr>
      <w:rFonts w:ascii="Arial" w:eastAsiaTheme="majorEastAsia" w:hAnsi="Arial" w:cstheme="majorBidi"/>
      <w:caps/>
      <w:color w:val="1D3278"/>
      <w:sz w:val="40"/>
      <w:szCs w:val="32"/>
    </w:rPr>
  </w:style>
  <w:style w:type="paragraph" w:styleId="Heading2">
    <w:name w:val="heading 2"/>
    <w:basedOn w:val="Normal"/>
    <w:next w:val="BodyText"/>
    <w:link w:val="Heading2Char"/>
    <w:qFormat/>
    <w:rsid w:val="00334198"/>
    <w:pPr>
      <w:keepNext/>
      <w:widowControl w:val="0"/>
      <w:pBdr>
        <w:bottom w:val="single" w:sz="4" w:space="2" w:color="00ABE6"/>
      </w:pBdr>
      <w:tabs>
        <w:tab w:val="left" w:pos="567"/>
      </w:tabs>
      <w:spacing w:before="360" w:after="100"/>
      <w:outlineLvl w:val="1"/>
    </w:pPr>
    <w:rPr>
      <w:rFonts w:ascii="Arial Bold" w:eastAsia="Arial Unicode MS" w:hAnsi="Arial Bold"/>
      <w:b/>
      <w:color w:val="00ABE6"/>
      <w:kern w:val="28"/>
      <w:sz w:val="28"/>
      <w:szCs w:val="36"/>
      <w:lang w:val="en-AU"/>
    </w:rPr>
  </w:style>
  <w:style w:type="paragraph" w:styleId="Heading3">
    <w:name w:val="heading 3"/>
    <w:basedOn w:val="Heading2"/>
    <w:next w:val="BodyText"/>
    <w:link w:val="Heading3Char"/>
    <w:qFormat/>
    <w:rsid w:val="00C2619D"/>
    <w:pPr>
      <w:pBdr>
        <w:bottom w:val="none" w:sz="0" w:space="0" w:color="auto"/>
      </w:pBdr>
      <w:tabs>
        <w:tab w:val="clear" w:pos="567"/>
      </w:tabs>
      <w:spacing w:before="320" w:after="120" w:line="240" w:lineRule="atLeast"/>
      <w:outlineLvl w:val="2"/>
    </w:pPr>
    <w:rPr>
      <w:rFonts w:eastAsia="Times New Roman"/>
      <w:color w:val="auto"/>
      <w:sz w:val="26"/>
    </w:rPr>
  </w:style>
  <w:style w:type="paragraph" w:styleId="Heading4">
    <w:name w:val="heading 4"/>
    <w:basedOn w:val="Heading3"/>
    <w:next w:val="Normal"/>
    <w:link w:val="Heading4Char"/>
    <w:qFormat/>
    <w:rsid w:val="002D1DB0"/>
    <w:pPr>
      <w:keepNext w:val="0"/>
      <w:tabs>
        <w:tab w:val="left" w:pos="567"/>
      </w:tabs>
      <w:spacing w:line="320" w:lineRule="exact"/>
      <w:outlineLvl w:val="3"/>
    </w:pPr>
    <w:rPr>
      <w:rFonts w:eastAsia="Arial Unicode MS"/>
      <w:sz w:val="25"/>
    </w:rPr>
  </w:style>
  <w:style w:type="paragraph" w:styleId="Heading5">
    <w:name w:val="heading 5"/>
    <w:basedOn w:val="Heading4"/>
    <w:next w:val="BodyText"/>
    <w:link w:val="Heading5Char"/>
    <w:qFormat/>
    <w:rsid w:val="007260C2"/>
    <w:pPr>
      <w:keepNext/>
      <w:tabs>
        <w:tab w:val="clear" w:pos="567"/>
      </w:tabs>
      <w:spacing w:before="240" w:after="60" w:line="240" w:lineRule="atLeast"/>
      <w:outlineLvl w:val="4"/>
    </w:pPr>
    <w:rPr>
      <w:rFonts w:ascii="Arial" w:eastAsia="Times New Roman" w:hAnsi="Arial"/>
      <w:i/>
    </w:rPr>
  </w:style>
  <w:style w:type="paragraph" w:styleId="Heading6">
    <w:name w:val="heading 6"/>
    <w:basedOn w:val="Heading1"/>
    <w:next w:val="Normal"/>
    <w:link w:val="Heading6Char"/>
    <w:qFormat/>
    <w:rsid w:val="00AB5B5B"/>
    <w:pPr>
      <w:spacing w:before="320" w:after="120"/>
      <w:outlineLvl w:val="5"/>
    </w:pPr>
    <w:rPr>
      <w:sz w:val="20"/>
    </w:rPr>
  </w:style>
  <w:style w:type="paragraph" w:styleId="Heading7">
    <w:name w:val="heading 7"/>
    <w:basedOn w:val="Heading5"/>
    <w:next w:val="Normal"/>
    <w:link w:val="Heading7Char"/>
    <w:qFormat/>
    <w:rsid w:val="00AB5B5B"/>
    <w:pPr>
      <w:spacing w:before="120"/>
      <w:ind w:left="425"/>
      <w:jc w:val="both"/>
      <w:outlineLvl w:val="6"/>
    </w:pPr>
    <w:rPr>
      <w:i w:val="0"/>
      <w:sz w:val="23"/>
    </w:rPr>
  </w:style>
  <w:style w:type="paragraph" w:styleId="Heading8">
    <w:name w:val="heading 8"/>
    <w:basedOn w:val="Heading7"/>
    <w:next w:val="Normal"/>
    <w:link w:val="Heading8Char"/>
    <w:qFormat/>
    <w:rsid w:val="00AB5B5B"/>
    <w:pPr>
      <w:outlineLvl w:val="7"/>
    </w:pPr>
    <w:rPr>
      <w:i/>
    </w:rPr>
  </w:style>
  <w:style w:type="paragraph" w:styleId="Heading9">
    <w:name w:val="heading 9"/>
    <w:basedOn w:val="Heading8"/>
    <w:next w:val="Normal"/>
    <w:link w:val="Heading9Char"/>
    <w:qFormat/>
    <w:rsid w:val="00AB5B5B"/>
    <w:pPr>
      <w:ind w:left="851"/>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4198"/>
    <w:rPr>
      <w:rFonts w:ascii="Arial Bold" w:eastAsia="Arial Unicode MS" w:hAnsi="Arial Bold" w:cs="Times New Roman"/>
      <w:b/>
      <w:color w:val="00ABE6"/>
      <w:kern w:val="28"/>
      <w:sz w:val="28"/>
      <w:szCs w:val="36"/>
    </w:rPr>
  </w:style>
  <w:style w:type="paragraph" w:styleId="BalloonText">
    <w:name w:val="Balloon Text"/>
    <w:basedOn w:val="Normal"/>
    <w:link w:val="BalloonTextChar"/>
    <w:uiPriority w:val="99"/>
    <w:semiHidden/>
    <w:unhideWhenUsed/>
    <w:rsid w:val="003341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198"/>
    <w:rPr>
      <w:rFonts w:ascii="Segoe UI" w:eastAsia="Times New Roman" w:hAnsi="Segoe UI" w:cs="Segoe UI"/>
      <w:sz w:val="18"/>
      <w:szCs w:val="18"/>
      <w:lang w:val="en-US"/>
    </w:rPr>
  </w:style>
  <w:style w:type="paragraph" w:styleId="BodyText">
    <w:name w:val="Body Text"/>
    <w:link w:val="BodyTextChar"/>
    <w:autoRedefine/>
    <w:rsid w:val="007260C2"/>
    <w:pPr>
      <w:spacing w:before="160" w:after="100" w:line="240" w:lineRule="atLeast"/>
    </w:pPr>
    <w:rPr>
      <w:rFonts w:ascii="Arial" w:hAnsi="Arial" w:cs="Arial"/>
      <w:sz w:val="23"/>
      <w:szCs w:val="24"/>
    </w:rPr>
  </w:style>
  <w:style w:type="character" w:customStyle="1" w:styleId="BodyTextChar">
    <w:name w:val="Body Text Char"/>
    <w:basedOn w:val="DefaultParagraphFont"/>
    <w:link w:val="BodyText"/>
    <w:rsid w:val="007260C2"/>
    <w:rPr>
      <w:rFonts w:ascii="Arial" w:hAnsi="Arial" w:cs="Arial"/>
      <w:sz w:val="23"/>
      <w:szCs w:val="24"/>
    </w:rPr>
  </w:style>
  <w:style w:type="paragraph" w:customStyle="1" w:styleId="BodyTextBox">
    <w:name w:val="Body Text Box"/>
    <w:basedOn w:val="Normal"/>
    <w:link w:val="BodyTextBoxChar"/>
    <w:autoRedefine/>
    <w:rsid w:val="00334198"/>
    <w:pPr>
      <w:spacing w:before="120" w:after="80" w:line="260" w:lineRule="exact"/>
    </w:pPr>
    <w:rPr>
      <w:rFonts w:ascii="Arial" w:hAnsi="Arial"/>
      <w:color w:val="0A7CB9"/>
      <w:sz w:val="23"/>
      <w:szCs w:val="22"/>
    </w:rPr>
  </w:style>
  <w:style w:type="character" w:customStyle="1" w:styleId="BodyTextBoxChar">
    <w:name w:val="Body Text Box Char"/>
    <w:link w:val="BodyTextBox"/>
    <w:rsid w:val="00334198"/>
    <w:rPr>
      <w:rFonts w:ascii="Arial" w:eastAsia="Times New Roman" w:hAnsi="Arial" w:cs="Times New Roman"/>
      <w:color w:val="0A7CB9"/>
      <w:sz w:val="23"/>
      <w:lang w:val="en-US"/>
    </w:rPr>
  </w:style>
  <w:style w:type="paragraph" w:customStyle="1" w:styleId="BoxHeading">
    <w:name w:val="Box Heading"/>
    <w:basedOn w:val="Normal"/>
    <w:link w:val="BoxHeadingChar"/>
    <w:autoRedefine/>
    <w:rsid w:val="00334198"/>
    <w:pPr>
      <w:keepNext/>
      <w:widowControl w:val="0"/>
      <w:tabs>
        <w:tab w:val="left" w:pos="567"/>
        <w:tab w:val="left" w:pos="1168"/>
      </w:tabs>
      <w:spacing w:before="120" w:after="60" w:line="240" w:lineRule="atLeast"/>
      <w:ind w:left="1168" w:hanging="1168"/>
    </w:pPr>
    <w:rPr>
      <w:rFonts w:ascii="Arial" w:eastAsia="Arial Unicode MS" w:hAnsi="Arial"/>
      <w:b/>
      <w:bCs/>
      <w:sz w:val="23"/>
      <w:szCs w:val="23"/>
    </w:rPr>
  </w:style>
  <w:style w:type="character" w:customStyle="1" w:styleId="Heading1Char">
    <w:name w:val="Heading 1 Char"/>
    <w:basedOn w:val="DefaultParagraphFont"/>
    <w:link w:val="Heading1"/>
    <w:uiPriority w:val="9"/>
    <w:rsid w:val="00B87921"/>
    <w:rPr>
      <w:rFonts w:ascii="Arial" w:eastAsiaTheme="majorEastAsia" w:hAnsi="Arial" w:cstheme="majorBidi"/>
      <w:caps/>
      <w:color w:val="1D3278"/>
      <w:sz w:val="40"/>
      <w:szCs w:val="32"/>
      <w:lang w:val="en-US"/>
    </w:rPr>
  </w:style>
  <w:style w:type="character" w:customStyle="1" w:styleId="BoxHeadingChar">
    <w:name w:val="Box Heading Char"/>
    <w:link w:val="BoxHeading"/>
    <w:rsid w:val="00334198"/>
    <w:rPr>
      <w:rFonts w:ascii="Arial" w:eastAsia="Arial Unicode MS" w:hAnsi="Arial" w:cs="Times New Roman"/>
      <w:b/>
      <w:bCs/>
      <w:sz w:val="23"/>
      <w:szCs w:val="23"/>
      <w:lang w:val="en-US"/>
    </w:rPr>
  </w:style>
  <w:style w:type="paragraph" w:customStyle="1" w:styleId="Bullet">
    <w:name w:val="Bullet"/>
    <w:basedOn w:val="BodyText"/>
    <w:rsid w:val="00334198"/>
    <w:pPr>
      <w:numPr>
        <w:numId w:val="3"/>
      </w:numPr>
      <w:spacing w:before="180" w:after="180" w:line="288" w:lineRule="auto"/>
      <w:outlineLvl w:val="0"/>
    </w:pPr>
    <w:rPr>
      <w:i/>
      <w:color w:val="595959" w:themeColor="text1" w:themeTint="A6"/>
      <w:szCs w:val="22"/>
    </w:rPr>
  </w:style>
  <w:style w:type="paragraph" w:customStyle="1" w:styleId="Bullet1">
    <w:name w:val="Bullet 1"/>
    <w:basedOn w:val="BodyText"/>
    <w:link w:val="Bullet1Char"/>
    <w:autoRedefine/>
    <w:rsid w:val="00334198"/>
    <w:pPr>
      <w:numPr>
        <w:numId w:val="4"/>
      </w:numPr>
      <w:spacing w:before="120" w:after="80"/>
    </w:pPr>
    <w:rPr>
      <w:szCs w:val="20"/>
    </w:rPr>
  </w:style>
  <w:style w:type="character" w:customStyle="1" w:styleId="Bullet1Char">
    <w:name w:val="Bullet 1 Char"/>
    <w:link w:val="Bullet1"/>
    <w:rsid w:val="00334198"/>
    <w:rPr>
      <w:rFonts w:ascii="Arial" w:hAnsi="Arial" w:cs="Arial"/>
      <w:sz w:val="23"/>
      <w:szCs w:val="20"/>
    </w:rPr>
  </w:style>
  <w:style w:type="character" w:customStyle="1" w:styleId="Heading3Char">
    <w:name w:val="Heading 3 Char"/>
    <w:basedOn w:val="DefaultParagraphFont"/>
    <w:link w:val="Heading3"/>
    <w:rsid w:val="00C2619D"/>
    <w:rPr>
      <w:rFonts w:ascii="Arial Bold" w:eastAsia="Times New Roman" w:hAnsi="Arial Bold" w:cs="Times New Roman"/>
      <w:b/>
      <w:kern w:val="28"/>
      <w:sz w:val="26"/>
      <w:szCs w:val="36"/>
    </w:rPr>
  </w:style>
  <w:style w:type="paragraph" w:customStyle="1" w:styleId="Bullet1inabox">
    <w:name w:val="Bullet 1 in a box"/>
    <w:basedOn w:val="Normal"/>
    <w:autoRedefine/>
    <w:rsid w:val="00334198"/>
    <w:pPr>
      <w:numPr>
        <w:numId w:val="5"/>
      </w:numPr>
      <w:spacing w:before="120" w:after="100" w:line="260" w:lineRule="exact"/>
    </w:pPr>
    <w:rPr>
      <w:rFonts w:ascii="Arial" w:eastAsia="Arial" w:hAnsi="Arial" w:cs="Arial"/>
      <w:color w:val="0A7CB9"/>
      <w:sz w:val="23"/>
      <w:szCs w:val="24"/>
      <w:lang w:val="en-AU"/>
    </w:rPr>
  </w:style>
  <w:style w:type="character" w:styleId="CommentReference">
    <w:name w:val="annotation reference"/>
    <w:uiPriority w:val="99"/>
    <w:rsid w:val="00334198"/>
    <w:rPr>
      <w:sz w:val="16"/>
      <w:szCs w:val="16"/>
    </w:rPr>
  </w:style>
  <w:style w:type="paragraph" w:styleId="CommentText">
    <w:name w:val="annotation text"/>
    <w:basedOn w:val="Normal"/>
    <w:link w:val="CommentTextChar"/>
    <w:uiPriority w:val="99"/>
    <w:rsid w:val="00334198"/>
  </w:style>
  <w:style w:type="character" w:customStyle="1" w:styleId="CommentTextChar">
    <w:name w:val="Comment Text Char"/>
    <w:basedOn w:val="DefaultParagraphFont"/>
    <w:link w:val="CommentText"/>
    <w:uiPriority w:val="99"/>
    <w:rsid w:val="00334198"/>
    <w:rPr>
      <w:rFonts w:ascii="Times New Roman" w:eastAsia="Times New Roman" w:hAnsi="Times New Roman" w:cs="Times New Roman"/>
      <w:sz w:val="20"/>
      <w:szCs w:val="20"/>
      <w:lang w:val="en-US"/>
    </w:rPr>
  </w:style>
  <w:style w:type="paragraph" w:customStyle="1" w:styleId="Default">
    <w:name w:val="Default"/>
    <w:rsid w:val="00334198"/>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Footer">
    <w:name w:val="footer"/>
    <w:basedOn w:val="Normal"/>
    <w:link w:val="FooterChar"/>
    <w:unhideWhenUsed/>
    <w:rsid w:val="00334198"/>
    <w:pPr>
      <w:tabs>
        <w:tab w:val="center" w:pos="4513"/>
        <w:tab w:val="right" w:pos="9026"/>
      </w:tabs>
    </w:pPr>
  </w:style>
  <w:style w:type="character" w:customStyle="1" w:styleId="FooterChar">
    <w:name w:val="Footer Char"/>
    <w:basedOn w:val="DefaultParagraphFont"/>
    <w:link w:val="Footer"/>
    <w:rsid w:val="00334198"/>
    <w:rPr>
      <w:rFonts w:ascii="Times New Roman" w:eastAsia="Times New Roman" w:hAnsi="Times New Roman" w:cs="Times New Roman"/>
      <w:sz w:val="20"/>
      <w:szCs w:val="20"/>
      <w:lang w:val="en-US"/>
    </w:rPr>
  </w:style>
  <w:style w:type="character" w:styleId="FootnoteReference">
    <w:name w:val="footnote reference"/>
    <w:rsid w:val="00334198"/>
    <w:rPr>
      <w:vertAlign w:val="superscript"/>
    </w:rPr>
  </w:style>
  <w:style w:type="paragraph" w:styleId="FootnoteText">
    <w:name w:val="footnote text"/>
    <w:basedOn w:val="Normal"/>
    <w:link w:val="FootnoteTextChar"/>
    <w:rsid w:val="00334198"/>
    <w:pPr>
      <w:spacing w:before="80" w:after="80"/>
      <w:ind w:left="709" w:hanging="142"/>
    </w:pPr>
    <w:rPr>
      <w:i/>
      <w:sz w:val="16"/>
      <w:lang w:val="en-AU"/>
    </w:rPr>
  </w:style>
  <w:style w:type="character" w:customStyle="1" w:styleId="FootnoteTextChar">
    <w:name w:val="Footnote Text Char"/>
    <w:basedOn w:val="DefaultParagraphFont"/>
    <w:link w:val="FootnoteText"/>
    <w:rsid w:val="00334198"/>
    <w:rPr>
      <w:rFonts w:ascii="Times New Roman" w:eastAsia="Times New Roman" w:hAnsi="Times New Roman" w:cs="Times New Roman"/>
      <w:i/>
      <w:sz w:val="16"/>
      <w:szCs w:val="20"/>
    </w:rPr>
  </w:style>
  <w:style w:type="paragraph" w:styleId="Header">
    <w:name w:val="header"/>
    <w:basedOn w:val="Normal"/>
    <w:link w:val="HeaderChar"/>
    <w:uiPriority w:val="99"/>
    <w:unhideWhenUsed/>
    <w:rsid w:val="00334198"/>
    <w:pPr>
      <w:tabs>
        <w:tab w:val="center" w:pos="4513"/>
        <w:tab w:val="right" w:pos="9026"/>
      </w:tabs>
    </w:pPr>
  </w:style>
  <w:style w:type="character" w:customStyle="1" w:styleId="HeaderChar">
    <w:name w:val="Header Char"/>
    <w:basedOn w:val="DefaultParagraphFont"/>
    <w:link w:val="Header"/>
    <w:uiPriority w:val="99"/>
    <w:rsid w:val="00334198"/>
    <w:rPr>
      <w:rFonts w:ascii="Times New Roman" w:eastAsia="Times New Roman" w:hAnsi="Times New Roman" w:cs="Times New Roman"/>
      <w:sz w:val="20"/>
      <w:szCs w:val="20"/>
      <w:lang w:val="en-US"/>
    </w:rPr>
  </w:style>
  <w:style w:type="paragraph" w:styleId="ListParagraph">
    <w:name w:val="List Paragraph"/>
    <w:basedOn w:val="Normal"/>
    <w:link w:val="ListParagraphChar"/>
    <w:uiPriority w:val="34"/>
    <w:qFormat/>
    <w:rsid w:val="00334198"/>
    <w:pPr>
      <w:ind w:left="720"/>
      <w:contextualSpacing/>
    </w:pPr>
  </w:style>
  <w:style w:type="character" w:customStyle="1" w:styleId="ListParagraphChar">
    <w:name w:val="List Paragraph Char"/>
    <w:link w:val="ListParagraph"/>
    <w:uiPriority w:val="34"/>
    <w:locked/>
    <w:rsid w:val="00334198"/>
    <w:rPr>
      <w:rFonts w:ascii="Times New Roman" w:eastAsia="Times New Roman" w:hAnsi="Times New Roman" w:cs="Times New Roman"/>
      <w:sz w:val="20"/>
      <w:szCs w:val="20"/>
      <w:lang w:val="en-US"/>
    </w:rPr>
  </w:style>
  <w:style w:type="paragraph" w:customStyle="1" w:styleId="Table4X">
    <w:name w:val="Table 4.X"/>
    <w:basedOn w:val="Normal"/>
    <w:qFormat/>
    <w:rsid w:val="00C2619D"/>
    <w:pPr>
      <w:widowControl w:val="0"/>
      <w:numPr>
        <w:numId w:val="6"/>
      </w:numPr>
      <w:tabs>
        <w:tab w:val="left" w:pos="1304"/>
      </w:tabs>
      <w:spacing w:before="240" w:after="120"/>
    </w:pPr>
    <w:rPr>
      <w:rFonts w:ascii="Arial" w:hAnsi="Arial"/>
      <w:bCs/>
      <w:i/>
      <w:color w:val="4F4F4F"/>
      <w:kern w:val="28"/>
      <w:sz w:val="22"/>
      <w:szCs w:val="22"/>
    </w:rPr>
  </w:style>
  <w:style w:type="paragraph" w:customStyle="1" w:styleId="TableAX">
    <w:name w:val="Table A.X"/>
    <w:basedOn w:val="Normal"/>
    <w:qFormat/>
    <w:rsid w:val="00334198"/>
    <w:pPr>
      <w:widowControl w:val="0"/>
      <w:tabs>
        <w:tab w:val="left" w:pos="1134"/>
      </w:tabs>
      <w:spacing w:before="360" w:after="120"/>
      <w:ind w:left="360" w:hanging="360"/>
    </w:pPr>
    <w:rPr>
      <w:rFonts w:ascii="Arial" w:hAnsi="Arial"/>
      <w:bCs/>
      <w:i/>
      <w:color w:val="4F4F4F"/>
      <w:kern w:val="28"/>
      <w:sz w:val="22"/>
      <w:szCs w:val="22"/>
      <w:lang w:val="en-AU"/>
    </w:rPr>
  </w:style>
  <w:style w:type="paragraph" w:customStyle="1" w:styleId="TableParagraph">
    <w:name w:val="Table Paragraph"/>
    <w:basedOn w:val="Normal"/>
    <w:uiPriority w:val="1"/>
    <w:qFormat/>
    <w:rsid w:val="00334198"/>
    <w:rPr>
      <w:lang w:val="en-AU"/>
    </w:rPr>
  </w:style>
  <w:style w:type="character" w:customStyle="1" w:styleId="Heading4Char">
    <w:name w:val="Heading 4 Char"/>
    <w:link w:val="Heading4"/>
    <w:rsid w:val="002D1DB0"/>
    <w:rPr>
      <w:rFonts w:ascii="Arial Bold" w:eastAsia="Arial Unicode MS" w:hAnsi="Arial Bold" w:cs="Times New Roman"/>
      <w:b/>
      <w:kern w:val="28"/>
      <w:sz w:val="25"/>
      <w:szCs w:val="36"/>
    </w:rPr>
  </w:style>
  <w:style w:type="character" w:customStyle="1" w:styleId="Heading5Char">
    <w:name w:val="Heading 5 Char"/>
    <w:link w:val="Heading5"/>
    <w:rsid w:val="007260C2"/>
    <w:rPr>
      <w:rFonts w:ascii="Arial" w:eastAsia="Times New Roman" w:hAnsi="Arial" w:cs="Times New Roman"/>
      <w:b/>
      <w:i/>
      <w:kern w:val="28"/>
      <w:sz w:val="25"/>
      <w:szCs w:val="36"/>
    </w:rPr>
  </w:style>
  <w:style w:type="character" w:customStyle="1" w:styleId="Heading6Char">
    <w:name w:val="Heading 6 Char"/>
    <w:link w:val="Heading6"/>
    <w:rsid w:val="00AB5B5B"/>
    <w:rPr>
      <w:rFonts w:ascii="Arial" w:eastAsia="Times New Roman" w:hAnsi="Arial" w:cs="Times New Roman"/>
      <w:bCs/>
      <w:caps/>
      <w:color w:val="1D3278"/>
      <w:sz w:val="20"/>
      <w:szCs w:val="28"/>
      <w:lang w:eastAsia="en-AU"/>
    </w:rPr>
  </w:style>
  <w:style w:type="character" w:customStyle="1" w:styleId="Heading7Char">
    <w:name w:val="Heading 7 Char"/>
    <w:link w:val="Heading7"/>
    <w:rsid w:val="00AB5B5B"/>
    <w:rPr>
      <w:rFonts w:ascii="Arial" w:eastAsia="Times New Roman" w:hAnsi="Arial" w:cs="Times New Roman"/>
      <w:b/>
      <w:i/>
      <w:sz w:val="23"/>
      <w:szCs w:val="20"/>
      <w:lang w:eastAsia="en-AU"/>
    </w:rPr>
  </w:style>
  <w:style w:type="character" w:customStyle="1" w:styleId="Heading8Char">
    <w:name w:val="Heading 8 Char"/>
    <w:link w:val="Heading8"/>
    <w:rsid w:val="00AB5B5B"/>
    <w:rPr>
      <w:rFonts w:ascii="Arial" w:eastAsia="Times New Roman" w:hAnsi="Arial" w:cs="Times New Roman"/>
      <w:b/>
      <w:sz w:val="23"/>
      <w:szCs w:val="20"/>
      <w:lang w:eastAsia="en-AU"/>
    </w:rPr>
  </w:style>
  <w:style w:type="character" w:customStyle="1" w:styleId="Heading9Char">
    <w:name w:val="Heading 9 Char"/>
    <w:link w:val="Heading9"/>
    <w:rsid w:val="00AB5B5B"/>
    <w:rPr>
      <w:rFonts w:ascii="Arial" w:eastAsia="Times New Roman" w:hAnsi="Arial" w:cs="Times New Roman"/>
      <w:b/>
      <w:i/>
      <w:sz w:val="23"/>
      <w:szCs w:val="20"/>
      <w:lang w:eastAsia="en-AU"/>
    </w:rPr>
  </w:style>
  <w:style w:type="paragraph" w:styleId="Revision">
    <w:name w:val="Revision"/>
    <w:hidden/>
    <w:uiPriority w:val="99"/>
    <w:semiHidden/>
    <w:rsid w:val="00437BEB"/>
    <w:pPr>
      <w:spacing w:after="0" w:line="240" w:lineRule="auto"/>
    </w:pPr>
    <w:rPr>
      <w:rFonts w:ascii="Arial" w:eastAsia="Times New Roman" w:hAnsi="Arial" w:cs="Arial"/>
      <w:sz w:val="20"/>
      <w:szCs w:val="20"/>
      <w:lang w:eastAsia="en-AU"/>
    </w:rPr>
  </w:style>
  <w:style w:type="character" w:styleId="Emphasis">
    <w:name w:val="Emphasis"/>
    <w:basedOn w:val="DefaultParagraphFont"/>
    <w:qFormat/>
    <w:rsid w:val="004242CF"/>
    <w:rPr>
      <w:i/>
      <w:iCs/>
    </w:rPr>
  </w:style>
  <w:style w:type="paragraph" w:customStyle="1" w:styleId="paragraph">
    <w:name w:val="paragraph"/>
    <w:basedOn w:val="Normal"/>
    <w:rsid w:val="007032D3"/>
    <w:pPr>
      <w:spacing w:before="100" w:beforeAutospacing="1" w:after="100" w:afterAutospacing="1"/>
    </w:pPr>
    <w:rPr>
      <w:sz w:val="24"/>
      <w:szCs w:val="24"/>
      <w:lang w:val="en-AU" w:eastAsia="en-AU"/>
    </w:rPr>
  </w:style>
  <w:style w:type="character" w:customStyle="1" w:styleId="normaltextrun">
    <w:name w:val="normaltextrun"/>
    <w:basedOn w:val="DefaultParagraphFont"/>
    <w:rsid w:val="007032D3"/>
  </w:style>
  <w:style w:type="character" w:customStyle="1" w:styleId="eop">
    <w:name w:val="eop"/>
    <w:basedOn w:val="DefaultParagraphFont"/>
    <w:rsid w:val="007032D3"/>
  </w:style>
  <w:style w:type="character" w:customStyle="1" w:styleId="contextualspellingandgrammarerror">
    <w:name w:val="contextualspellingandgrammarerror"/>
    <w:basedOn w:val="DefaultParagraphFont"/>
    <w:rsid w:val="0037061F"/>
  </w:style>
  <w:style w:type="character" w:customStyle="1" w:styleId="BulletPointStyleChar">
    <w:name w:val="Bullet Point Style Char"/>
    <w:basedOn w:val="DefaultParagraphFont"/>
    <w:link w:val="BulletPointStyle"/>
    <w:locked/>
    <w:rsid w:val="00894F57"/>
    <w:rPr>
      <w:rFonts w:ascii="Garamond" w:hAnsi="Garamond"/>
      <w:lang w:eastAsia="x-none"/>
    </w:rPr>
  </w:style>
  <w:style w:type="paragraph" w:customStyle="1" w:styleId="BulletPointStyle">
    <w:name w:val="Bullet Point Style"/>
    <w:basedOn w:val="Normal"/>
    <w:link w:val="BulletPointStyleChar"/>
    <w:rsid w:val="00894F57"/>
    <w:pPr>
      <w:spacing w:after="80" w:line="280" w:lineRule="exact"/>
    </w:pPr>
    <w:rPr>
      <w:rFonts w:ascii="Garamond" w:eastAsiaTheme="minorHAnsi" w:hAnsi="Garamond" w:cstheme="minorBidi"/>
      <w:sz w:val="22"/>
      <w:szCs w:val="22"/>
      <w:lang w:val="en-AU" w:eastAsia="x-none"/>
    </w:rPr>
  </w:style>
  <w:style w:type="paragraph" w:styleId="NormalWeb">
    <w:name w:val="Normal (Web)"/>
    <w:basedOn w:val="Normal"/>
    <w:uiPriority w:val="99"/>
    <w:semiHidden/>
    <w:unhideWhenUsed/>
    <w:rsid w:val="006A3F49"/>
    <w:pPr>
      <w:spacing w:before="100" w:beforeAutospacing="1" w:after="100" w:afterAutospacing="1"/>
    </w:pPr>
    <w:rPr>
      <w:rFonts w:ascii="Calibri" w:eastAsiaTheme="minorHAnsi" w:hAnsi="Calibri" w:cs="Calibri"/>
      <w:sz w:val="22"/>
      <w:szCs w:val="22"/>
      <w:lang w:val="en-AU" w:eastAsia="en-AU"/>
    </w:rPr>
  </w:style>
  <w:style w:type="paragraph" w:customStyle="1" w:styleId="Chart31">
    <w:name w:val="Chart 3.1"/>
    <w:basedOn w:val="Normal"/>
    <w:qFormat/>
    <w:rsid w:val="00A32FB5"/>
    <w:pPr>
      <w:numPr>
        <w:numId w:val="11"/>
      </w:numPr>
      <w:spacing w:before="360" w:after="120"/>
      <w:ind w:left="1247" w:hanging="1247"/>
    </w:pPr>
    <w:rPr>
      <w:rFonts w:ascii="Arial" w:hAnsi="Arial"/>
      <w:i/>
      <w:color w:val="4F4F4F"/>
      <w:sz w:val="22"/>
    </w:rPr>
  </w:style>
  <w:style w:type="paragraph" w:customStyle="1" w:styleId="Tablefootnote">
    <w:name w:val="Table footnote"/>
    <w:basedOn w:val="Normal"/>
    <w:qFormat/>
    <w:rsid w:val="00A32FB5"/>
    <w:pPr>
      <w:numPr>
        <w:numId w:val="12"/>
      </w:numPr>
      <w:ind w:left="357" w:hanging="357"/>
    </w:pPr>
    <w:rPr>
      <w:rFonts w:ascii="Arial" w:hAnsi="Arial"/>
      <w:sz w:val="17"/>
    </w:rPr>
  </w:style>
  <w:style w:type="paragraph" w:styleId="CommentSubject">
    <w:name w:val="annotation subject"/>
    <w:basedOn w:val="CommentText"/>
    <w:next w:val="CommentText"/>
    <w:link w:val="CommentSubjectChar"/>
    <w:uiPriority w:val="99"/>
    <w:semiHidden/>
    <w:unhideWhenUsed/>
    <w:rsid w:val="006B52CB"/>
    <w:rPr>
      <w:b/>
      <w:bCs/>
    </w:rPr>
  </w:style>
  <w:style w:type="character" w:customStyle="1" w:styleId="CommentSubjectChar">
    <w:name w:val="Comment Subject Char"/>
    <w:basedOn w:val="CommentTextChar"/>
    <w:link w:val="CommentSubject"/>
    <w:uiPriority w:val="99"/>
    <w:semiHidden/>
    <w:rsid w:val="006B52CB"/>
    <w:rPr>
      <w:rFonts w:ascii="Times New Roman" w:eastAsia="Times New Roman" w:hAnsi="Times New Roman" w:cs="Times New Roman"/>
      <w:b/>
      <w:bCs/>
      <w:sz w:val="20"/>
      <w:szCs w:val="20"/>
      <w:lang w:val="en-US"/>
    </w:rPr>
  </w:style>
  <w:style w:type="character" w:customStyle="1" w:styleId="advancedproofingissue">
    <w:name w:val="advancedproofingissue"/>
    <w:basedOn w:val="DefaultParagraphFont"/>
    <w:rsid w:val="00150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0724">
      <w:bodyDiv w:val="1"/>
      <w:marLeft w:val="0"/>
      <w:marRight w:val="0"/>
      <w:marTop w:val="0"/>
      <w:marBottom w:val="0"/>
      <w:divBdr>
        <w:top w:val="none" w:sz="0" w:space="0" w:color="auto"/>
        <w:left w:val="none" w:sz="0" w:space="0" w:color="auto"/>
        <w:bottom w:val="none" w:sz="0" w:space="0" w:color="auto"/>
        <w:right w:val="none" w:sz="0" w:space="0" w:color="auto"/>
      </w:divBdr>
    </w:div>
    <w:div w:id="14887021">
      <w:bodyDiv w:val="1"/>
      <w:marLeft w:val="0"/>
      <w:marRight w:val="0"/>
      <w:marTop w:val="0"/>
      <w:marBottom w:val="0"/>
      <w:divBdr>
        <w:top w:val="none" w:sz="0" w:space="0" w:color="auto"/>
        <w:left w:val="none" w:sz="0" w:space="0" w:color="auto"/>
        <w:bottom w:val="none" w:sz="0" w:space="0" w:color="auto"/>
        <w:right w:val="none" w:sz="0" w:space="0" w:color="auto"/>
      </w:divBdr>
    </w:div>
    <w:div w:id="36245987">
      <w:bodyDiv w:val="1"/>
      <w:marLeft w:val="0"/>
      <w:marRight w:val="0"/>
      <w:marTop w:val="0"/>
      <w:marBottom w:val="0"/>
      <w:divBdr>
        <w:top w:val="none" w:sz="0" w:space="0" w:color="auto"/>
        <w:left w:val="none" w:sz="0" w:space="0" w:color="auto"/>
        <w:bottom w:val="none" w:sz="0" w:space="0" w:color="auto"/>
        <w:right w:val="none" w:sz="0" w:space="0" w:color="auto"/>
      </w:divBdr>
    </w:div>
    <w:div w:id="47801735">
      <w:bodyDiv w:val="1"/>
      <w:marLeft w:val="0"/>
      <w:marRight w:val="0"/>
      <w:marTop w:val="0"/>
      <w:marBottom w:val="0"/>
      <w:divBdr>
        <w:top w:val="none" w:sz="0" w:space="0" w:color="auto"/>
        <w:left w:val="none" w:sz="0" w:space="0" w:color="auto"/>
        <w:bottom w:val="none" w:sz="0" w:space="0" w:color="auto"/>
        <w:right w:val="none" w:sz="0" w:space="0" w:color="auto"/>
      </w:divBdr>
      <w:divsChild>
        <w:div w:id="1271166234">
          <w:marLeft w:val="0"/>
          <w:marRight w:val="0"/>
          <w:marTop w:val="0"/>
          <w:marBottom w:val="0"/>
          <w:divBdr>
            <w:top w:val="none" w:sz="0" w:space="0" w:color="auto"/>
            <w:left w:val="none" w:sz="0" w:space="0" w:color="auto"/>
            <w:bottom w:val="none" w:sz="0" w:space="0" w:color="auto"/>
            <w:right w:val="none" w:sz="0" w:space="0" w:color="auto"/>
          </w:divBdr>
        </w:div>
        <w:div w:id="408579059">
          <w:marLeft w:val="0"/>
          <w:marRight w:val="0"/>
          <w:marTop w:val="0"/>
          <w:marBottom w:val="0"/>
          <w:divBdr>
            <w:top w:val="none" w:sz="0" w:space="0" w:color="auto"/>
            <w:left w:val="none" w:sz="0" w:space="0" w:color="auto"/>
            <w:bottom w:val="none" w:sz="0" w:space="0" w:color="auto"/>
            <w:right w:val="none" w:sz="0" w:space="0" w:color="auto"/>
          </w:divBdr>
        </w:div>
      </w:divsChild>
    </w:div>
    <w:div w:id="61755722">
      <w:bodyDiv w:val="1"/>
      <w:marLeft w:val="0"/>
      <w:marRight w:val="0"/>
      <w:marTop w:val="0"/>
      <w:marBottom w:val="0"/>
      <w:divBdr>
        <w:top w:val="none" w:sz="0" w:space="0" w:color="auto"/>
        <w:left w:val="none" w:sz="0" w:space="0" w:color="auto"/>
        <w:bottom w:val="none" w:sz="0" w:space="0" w:color="auto"/>
        <w:right w:val="none" w:sz="0" w:space="0" w:color="auto"/>
      </w:divBdr>
    </w:div>
    <w:div w:id="71582425">
      <w:bodyDiv w:val="1"/>
      <w:marLeft w:val="0"/>
      <w:marRight w:val="0"/>
      <w:marTop w:val="0"/>
      <w:marBottom w:val="0"/>
      <w:divBdr>
        <w:top w:val="none" w:sz="0" w:space="0" w:color="auto"/>
        <w:left w:val="none" w:sz="0" w:space="0" w:color="auto"/>
        <w:bottom w:val="none" w:sz="0" w:space="0" w:color="auto"/>
        <w:right w:val="none" w:sz="0" w:space="0" w:color="auto"/>
      </w:divBdr>
    </w:div>
    <w:div w:id="87432938">
      <w:bodyDiv w:val="1"/>
      <w:marLeft w:val="0"/>
      <w:marRight w:val="0"/>
      <w:marTop w:val="0"/>
      <w:marBottom w:val="0"/>
      <w:divBdr>
        <w:top w:val="none" w:sz="0" w:space="0" w:color="auto"/>
        <w:left w:val="none" w:sz="0" w:space="0" w:color="auto"/>
        <w:bottom w:val="none" w:sz="0" w:space="0" w:color="auto"/>
        <w:right w:val="none" w:sz="0" w:space="0" w:color="auto"/>
      </w:divBdr>
    </w:div>
    <w:div w:id="99036664">
      <w:bodyDiv w:val="1"/>
      <w:marLeft w:val="0"/>
      <w:marRight w:val="0"/>
      <w:marTop w:val="0"/>
      <w:marBottom w:val="0"/>
      <w:divBdr>
        <w:top w:val="none" w:sz="0" w:space="0" w:color="auto"/>
        <w:left w:val="none" w:sz="0" w:space="0" w:color="auto"/>
        <w:bottom w:val="none" w:sz="0" w:space="0" w:color="auto"/>
        <w:right w:val="none" w:sz="0" w:space="0" w:color="auto"/>
      </w:divBdr>
    </w:div>
    <w:div w:id="138615512">
      <w:bodyDiv w:val="1"/>
      <w:marLeft w:val="0"/>
      <w:marRight w:val="0"/>
      <w:marTop w:val="0"/>
      <w:marBottom w:val="0"/>
      <w:divBdr>
        <w:top w:val="none" w:sz="0" w:space="0" w:color="auto"/>
        <w:left w:val="none" w:sz="0" w:space="0" w:color="auto"/>
        <w:bottom w:val="none" w:sz="0" w:space="0" w:color="auto"/>
        <w:right w:val="none" w:sz="0" w:space="0" w:color="auto"/>
      </w:divBdr>
      <w:divsChild>
        <w:div w:id="620503084">
          <w:marLeft w:val="0"/>
          <w:marRight w:val="0"/>
          <w:marTop w:val="0"/>
          <w:marBottom w:val="0"/>
          <w:divBdr>
            <w:top w:val="none" w:sz="0" w:space="0" w:color="auto"/>
            <w:left w:val="none" w:sz="0" w:space="0" w:color="auto"/>
            <w:bottom w:val="none" w:sz="0" w:space="0" w:color="auto"/>
            <w:right w:val="none" w:sz="0" w:space="0" w:color="auto"/>
          </w:divBdr>
        </w:div>
        <w:div w:id="1276519463">
          <w:marLeft w:val="0"/>
          <w:marRight w:val="0"/>
          <w:marTop w:val="0"/>
          <w:marBottom w:val="0"/>
          <w:divBdr>
            <w:top w:val="none" w:sz="0" w:space="0" w:color="auto"/>
            <w:left w:val="none" w:sz="0" w:space="0" w:color="auto"/>
            <w:bottom w:val="none" w:sz="0" w:space="0" w:color="auto"/>
            <w:right w:val="none" w:sz="0" w:space="0" w:color="auto"/>
          </w:divBdr>
        </w:div>
        <w:div w:id="68961467">
          <w:marLeft w:val="0"/>
          <w:marRight w:val="0"/>
          <w:marTop w:val="0"/>
          <w:marBottom w:val="0"/>
          <w:divBdr>
            <w:top w:val="none" w:sz="0" w:space="0" w:color="auto"/>
            <w:left w:val="none" w:sz="0" w:space="0" w:color="auto"/>
            <w:bottom w:val="none" w:sz="0" w:space="0" w:color="auto"/>
            <w:right w:val="none" w:sz="0" w:space="0" w:color="auto"/>
          </w:divBdr>
        </w:div>
        <w:div w:id="1649213450">
          <w:marLeft w:val="0"/>
          <w:marRight w:val="0"/>
          <w:marTop w:val="0"/>
          <w:marBottom w:val="0"/>
          <w:divBdr>
            <w:top w:val="none" w:sz="0" w:space="0" w:color="auto"/>
            <w:left w:val="none" w:sz="0" w:space="0" w:color="auto"/>
            <w:bottom w:val="none" w:sz="0" w:space="0" w:color="auto"/>
            <w:right w:val="none" w:sz="0" w:space="0" w:color="auto"/>
          </w:divBdr>
        </w:div>
      </w:divsChild>
    </w:div>
    <w:div w:id="140970799">
      <w:bodyDiv w:val="1"/>
      <w:marLeft w:val="0"/>
      <w:marRight w:val="0"/>
      <w:marTop w:val="0"/>
      <w:marBottom w:val="0"/>
      <w:divBdr>
        <w:top w:val="none" w:sz="0" w:space="0" w:color="auto"/>
        <w:left w:val="none" w:sz="0" w:space="0" w:color="auto"/>
        <w:bottom w:val="none" w:sz="0" w:space="0" w:color="auto"/>
        <w:right w:val="none" w:sz="0" w:space="0" w:color="auto"/>
      </w:divBdr>
    </w:div>
    <w:div w:id="171262221">
      <w:bodyDiv w:val="1"/>
      <w:marLeft w:val="0"/>
      <w:marRight w:val="0"/>
      <w:marTop w:val="0"/>
      <w:marBottom w:val="0"/>
      <w:divBdr>
        <w:top w:val="none" w:sz="0" w:space="0" w:color="auto"/>
        <w:left w:val="none" w:sz="0" w:space="0" w:color="auto"/>
        <w:bottom w:val="none" w:sz="0" w:space="0" w:color="auto"/>
        <w:right w:val="none" w:sz="0" w:space="0" w:color="auto"/>
      </w:divBdr>
    </w:div>
    <w:div w:id="239602735">
      <w:bodyDiv w:val="1"/>
      <w:marLeft w:val="0"/>
      <w:marRight w:val="0"/>
      <w:marTop w:val="0"/>
      <w:marBottom w:val="0"/>
      <w:divBdr>
        <w:top w:val="none" w:sz="0" w:space="0" w:color="auto"/>
        <w:left w:val="none" w:sz="0" w:space="0" w:color="auto"/>
        <w:bottom w:val="none" w:sz="0" w:space="0" w:color="auto"/>
        <w:right w:val="none" w:sz="0" w:space="0" w:color="auto"/>
      </w:divBdr>
    </w:div>
    <w:div w:id="261306636">
      <w:bodyDiv w:val="1"/>
      <w:marLeft w:val="0"/>
      <w:marRight w:val="0"/>
      <w:marTop w:val="0"/>
      <w:marBottom w:val="0"/>
      <w:divBdr>
        <w:top w:val="none" w:sz="0" w:space="0" w:color="auto"/>
        <w:left w:val="none" w:sz="0" w:space="0" w:color="auto"/>
        <w:bottom w:val="none" w:sz="0" w:space="0" w:color="auto"/>
        <w:right w:val="none" w:sz="0" w:space="0" w:color="auto"/>
      </w:divBdr>
    </w:div>
    <w:div w:id="420763652">
      <w:bodyDiv w:val="1"/>
      <w:marLeft w:val="0"/>
      <w:marRight w:val="0"/>
      <w:marTop w:val="0"/>
      <w:marBottom w:val="0"/>
      <w:divBdr>
        <w:top w:val="none" w:sz="0" w:space="0" w:color="auto"/>
        <w:left w:val="none" w:sz="0" w:space="0" w:color="auto"/>
        <w:bottom w:val="none" w:sz="0" w:space="0" w:color="auto"/>
        <w:right w:val="none" w:sz="0" w:space="0" w:color="auto"/>
      </w:divBdr>
    </w:div>
    <w:div w:id="501431753">
      <w:bodyDiv w:val="1"/>
      <w:marLeft w:val="0"/>
      <w:marRight w:val="0"/>
      <w:marTop w:val="0"/>
      <w:marBottom w:val="0"/>
      <w:divBdr>
        <w:top w:val="none" w:sz="0" w:space="0" w:color="auto"/>
        <w:left w:val="none" w:sz="0" w:space="0" w:color="auto"/>
        <w:bottom w:val="none" w:sz="0" w:space="0" w:color="auto"/>
        <w:right w:val="none" w:sz="0" w:space="0" w:color="auto"/>
      </w:divBdr>
    </w:div>
    <w:div w:id="530726008">
      <w:bodyDiv w:val="1"/>
      <w:marLeft w:val="0"/>
      <w:marRight w:val="0"/>
      <w:marTop w:val="0"/>
      <w:marBottom w:val="0"/>
      <w:divBdr>
        <w:top w:val="none" w:sz="0" w:space="0" w:color="auto"/>
        <w:left w:val="none" w:sz="0" w:space="0" w:color="auto"/>
        <w:bottom w:val="none" w:sz="0" w:space="0" w:color="auto"/>
        <w:right w:val="none" w:sz="0" w:space="0" w:color="auto"/>
      </w:divBdr>
    </w:div>
    <w:div w:id="546526624">
      <w:bodyDiv w:val="1"/>
      <w:marLeft w:val="0"/>
      <w:marRight w:val="0"/>
      <w:marTop w:val="0"/>
      <w:marBottom w:val="0"/>
      <w:divBdr>
        <w:top w:val="none" w:sz="0" w:space="0" w:color="auto"/>
        <w:left w:val="none" w:sz="0" w:space="0" w:color="auto"/>
        <w:bottom w:val="none" w:sz="0" w:space="0" w:color="auto"/>
        <w:right w:val="none" w:sz="0" w:space="0" w:color="auto"/>
      </w:divBdr>
    </w:div>
    <w:div w:id="611937773">
      <w:bodyDiv w:val="1"/>
      <w:marLeft w:val="0"/>
      <w:marRight w:val="0"/>
      <w:marTop w:val="0"/>
      <w:marBottom w:val="0"/>
      <w:divBdr>
        <w:top w:val="none" w:sz="0" w:space="0" w:color="auto"/>
        <w:left w:val="none" w:sz="0" w:space="0" w:color="auto"/>
        <w:bottom w:val="none" w:sz="0" w:space="0" w:color="auto"/>
        <w:right w:val="none" w:sz="0" w:space="0" w:color="auto"/>
      </w:divBdr>
    </w:div>
    <w:div w:id="691497455">
      <w:bodyDiv w:val="1"/>
      <w:marLeft w:val="0"/>
      <w:marRight w:val="0"/>
      <w:marTop w:val="0"/>
      <w:marBottom w:val="0"/>
      <w:divBdr>
        <w:top w:val="none" w:sz="0" w:space="0" w:color="auto"/>
        <w:left w:val="none" w:sz="0" w:space="0" w:color="auto"/>
        <w:bottom w:val="none" w:sz="0" w:space="0" w:color="auto"/>
        <w:right w:val="none" w:sz="0" w:space="0" w:color="auto"/>
      </w:divBdr>
    </w:div>
    <w:div w:id="746611311">
      <w:bodyDiv w:val="1"/>
      <w:marLeft w:val="0"/>
      <w:marRight w:val="0"/>
      <w:marTop w:val="0"/>
      <w:marBottom w:val="0"/>
      <w:divBdr>
        <w:top w:val="none" w:sz="0" w:space="0" w:color="auto"/>
        <w:left w:val="none" w:sz="0" w:space="0" w:color="auto"/>
        <w:bottom w:val="none" w:sz="0" w:space="0" w:color="auto"/>
        <w:right w:val="none" w:sz="0" w:space="0" w:color="auto"/>
      </w:divBdr>
    </w:div>
    <w:div w:id="760834878">
      <w:bodyDiv w:val="1"/>
      <w:marLeft w:val="0"/>
      <w:marRight w:val="0"/>
      <w:marTop w:val="0"/>
      <w:marBottom w:val="0"/>
      <w:divBdr>
        <w:top w:val="none" w:sz="0" w:space="0" w:color="auto"/>
        <w:left w:val="none" w:sz="0" w:space="0" w:color="auto"/>
        <w:bottom w:val="none" w:sz="0" w:space="0" w:color="auto"/>
        <w:right w:val="none" w:sz="0" w:space="0" w:color="auto"/>
      </w:divBdr>
    </w:div>
    <w:div w:id="768698171">
      <w:bodyDiv w:val="1"/>
      <w:marLeft w:val="0"/>
      <w:marRight w:val="0"/>
      <w:marTop w:val="0"/>
      <w:marBottom w:val="0"/>
      <w:divBdr>
        <w:top w:val="none" w:sz="0" w:space="0" w:color="auto"/>
        <w:left w:val="none" w:sz="0" w:space="0" w:color="auto"/>
        <w:bottom w:val="none" w:sz="0" w:space="0" w:color="auto"/>
        <w:right w:val="none" w:sz="0" w:space="0" w:color="auto"/>
      </w:divBdr>
    </w:div>
    <w:div w:id="795608466">
      <w:bodyDiv w:val="1"/>
      <w:marLeft w:val="0"/>
      <w:marRight w:val="0"/>
      <w:marTop w:val="0"/>
      <w:marBottom w:val="0"/>
      <w:divBdr>
        <w:top w:val="none" w:sz="0" w:space="0" w:color="auto"/>
        <w:left w:val="none" w:sz="0" w:space="0" w:color="auto"/>
        <w:bottom w:val="none" w:sz="0" w:space="0" w:color="auto"/>
        <w:right w:val="none" w:sz="0" w:space="0" w:color="auto"/>
      </w:divBdr>
    </w:div>
    <w:div w:id="822114447">
      <w:bodyDiv w:val="1"/>
      <w:marLeft w:val="0"/>
      <w:marRight w:val="0"/>
      <w:marTop w:val="0"/>
      <w:marBottom w:val="0"/>
      <w:divBdr>
        <w:top w:val="none" w:sz="0" w:space="0" w:color="auto"/>
        <w:left w:val="none" w:sz="0" w:space="0" w:color="auto"/>
        <w:bottom w:val="none" w:sz="0" w:space="0" w:color="auto"/>
        <w:right w:val="none" w:sz="0" w:space="0" w:color="auto"/>
      </w:divBdr>
      <w:divsChild>
        <w:div w:id="1897278515">
          <w:marLeft w:val="0"/>
          <w:marRight w:val="0"/>
          <w:marTop w:val="0"/>
          <w:marBottom w:val="0"/>
          <w:divBdr>
            <w:top w:val="none" w:sz="0" w:space="0" w:color="auto"/>
            <w:left w:val="none" w:sz="0" w:space="0" w:color="auto"/>
            <w:bottom w:val="none" w:sz="0" w:space="0" w:color="auto"/>
            <w:right w:val="none" w:sz="0" w:space="0" w:color="auto"/>
          </w:divBdr>
        </w:div>
      </w:divsChild>
    </w:div>
    <w:div w:id="900750030">
      <w:bodyDiv w:val="1"/>
      <w:marLeft w:val="0"/>
      <w:marRight w:val="0"/>
      <w:marTop w:val="0"/>
      <w:marBottom w:val="0"/>
      <w:divBdr>
        <w:top w:val="none" w:sz="0" w:space="0" w:color="auto"/>
        <w:left w:val="none" w:sz="0" w:space="0" w:color="auto"/>
        <w:bottom w:val="none" w:sz="0" w:space="0" w:color="auto"/>
        <w:right w:val="none" w:sz="0" w:space="0" w:color="auto"/>
      </w:divBdr>
    </w:div>
    <w:div w:id="938757783">
      <w:bodyDiv w:val="1"/>
      <w:marLeft w:val="0"/>
      <w:marRight w:val="0"/>
      <w:marTop w:val="0"/>
      <w:marBottom w:val="0"/>
      <w:divBdr>
        <w:top w:val="none" w:sz="0" w:space="0" w:color="auto"/>
        <w:left w:val="none" w:sz="0" w:space="0" w:color="auto"/>
        <w:bottom w:val="none" w:sz="0" w:space="0" w:color="auto"/>
        <w:right w:val="none" w:sz="0" w:space="0" w:color="auto"/>
      </w:divBdr>
      <w:divsChild>
        <w:div w:id="1049768185">
          <w:marLeft w:val="0"/>
          <w:marRight w:val="0"/>
          <w:marTop w:val="0"/>
          <w:marBottom w:val="0"/>
          <w:divBdr>
            <w:top w:val="none" w:sz="0" w:space="0" w:color="auto"/>
            <w:left w:val="none" w:sz="0" w:space="0" w:color="auto"/>
            <w:bottom w:val="none" w:sz="0" w:space="0" w:color="auto"/>
            <w:right w:val="none" w:sz="0" w:space="0" w:color="auto"/>
          </w:divBdr>
        </w:div>
        <w:div w:id="1649430594">
          <w:marLeft w:val="0"/>
          <w:marRight w:val="0"/>
          <w:marTop w:val="0"/>
          <w:marBottom w:val="0"/>
          <w:divBdr>
            <w:top w:val="none" w:sz="0" w:space="0" w:color="auto"/>
            <w:left w:val="none" w:sz="0" w:space="0" w:color="auto"/>
            <w:bottom w:val="none" w:sz="0" w:space="0" w:color="auto"/>
            <w:right w:val="none" w:sz="0" w:space="0" w:color="auto"/>
          </w:divBdr>
        </w:div>
        <w:div w:id="620692023">
          <w:marLeft w:val="0"/>
          <w:marRight w:val="0"/>
          <w:marTop w:val="0"/>
          <w:marBottom w:val="0"/>
          <w:divBdr>
            <w:top w:val="none" w:sz="0" w:space="0" w:color="auto"/>
            <w:left w:val="none" w:sz="0" w:space="0" w:color="auto"/>
            <w:bottom w:val="none" w:sz="0" w:space="0" w:color="auto"/>
            <w:right w:val="none" w:sz="0" w:space="0" w:color="auto"/>
          </w:divBdr>
        </w:div>
        <w:div w:id="1875774303">
          <w:marLeft w:val="0"/>
          <w:marRight w:val="0"/>
          <w:marTop w:val="0"/>
          <w:marBottom w:val="0"/>
          <w:divBdr>
            <w:top w:val="none" w:sz="0" w:space="0" w:color="auto"/>
            <w:left w:val="none" w:sz="0" w:space="0" w:color="auto"/>
            <w:bottom w:val="none" w:sz="0" w:space="0" w:color="auto"/>
            <w:right w:val="none" w:sz="0" w:space="0" w:color="auto"/>
          </w:divBdr>
        </w:div>
        <w:div w:id="1019430147">
          <w:marLeft w:val="0"/>
          <w:marRight w:val="0"/>
          <w:marTop w:val="0"/>
          <w:marBottom w:val="0"/>
          <w:divBdr>
            <w:top w:val="none" w:sz="0" w:space="0" w:color="auto"/>
            <w:left w:val="none" w:sz="0" w:space="0" w:color="auto"/>
            <w:bottom w:val="none" w:sz="0" w:space="0" w:color="auto"/>
            <w:right w:val="none" w:sz="0" w:space="0" w:color="auto"/>
          </w:divBdr>
        </w:div>
        <w:div w:id="452796134">
          <w:marLeft w:val="0"/>
          <w:marRight w:val="0"/>
          <w:marTop w:val="0"/>
          <w:marBottom w:val="0"/>
          <w:divBdr>
            <w:top w:val="none" w:sz="0" w:space="0" w:color="auto"/>
            <w:left w:val="none" w:sz="0" w:space="0" w:color="auto"/>
            <w:bottom w:val="none" w:sz="0" w:space="0" w:color="auto"/>
            <w:right w:val="none" w:sz="0" w:space="0" w:color="auto"/>
          </w:divBdr>
        </w:div>
        <w:div w:id="1206868776">
          <w:marLeft w:val="0"/>
          <w:marRight w:val="0"/>
          <w:marTop w:val="0"/>
          <w:marBottom w:val="0"/>
          <w:divBdr>
            <w:top w:val="none" w:sz="0" w:space="0" w:color="auto"/>
            <w:left w:val="none" w:sz="0" w:space="0" w:color="auto"/>
            <w:bottom w:val="none" w:sz="0" w:space="0" w:color="auto"/>
            <w:right w:val="none" w:sz="0" w:space="0" w:color="auto"/>
          </w:divBdr>
          <w:divsChild>
            <w:div w:id="1122266398">
              <w:marLeft w:val="0"/>
              <w:marRight w:val="0"/>
              <w:marTop w:val="0"/>
              <w:marBottom w:val="0"/>
              <w:divBdr>
                <w:top w:val="none" w:sz="0" w:space="0" w:color="auto"/>
                <w:left w:val="none" w:sz="0" w:space="0" w:color="auto"/>
                <w:bottom w:val="none" w:sz="0" w:space="0" w:color="auto"/>
                <w:right w:val="none" w:sz="0" w:space="0" w:color="auto"/>
              </w:divBdr>
            </w:div>
            <w:div w:id="1109272880">
              <w:marLeft w:val="0"/>
              <w:marRight w:val="0"/>
              <w:marTop w:val="0"/>
              <w:marBottom w:val="0"/>
              <w:divBdr>
                <w:top w:val="none" w:sz="0" w:space="0" w:color="auto"/>
                <w:left w:val="none" w:sz="0" w:space="0" w:color="auto"/>
                <w:bottom w:val="none" w:sz="0" w:space="0" w:color="auto"/>
                <w:right w:val="none" w:sz="0" w:space="0" w:color="auto"/>
              </w:divBdr>
            </w:div>
            <w:div w:id="1248463451">
              <w:marLeft w:val="0"/>
              <w:marRight w:val="0"/>
              <w:marTop w:val="0"/>
              <w:marBottom w:val="0"/>
              <w:divBdr>
                <w:top w:val="none" w:sz="0" w:space="0" w:color="auto"/>
                <w:left w:val="none" w:sz="0" w:space="0" w:color="auto"/>
                <w:bottom w:val="none" w:sz="0" w:space="0" w:color="auto"/>
                <w:right w:val="none" w:sz="0" w:space="0" w:color="auto"/>
              </w:divBdr>
            </w:div>
          </w:divsChild>
        </w:div>
        <w:div w:id="1906842513">
          <w:marLeft w:val="0"/>
          <w:marRight w:val="0"/>
          <w:marTop w:val="0"/>
          <w:marBottom w:val="0"/>
          <w:divBdr>
            <w:top w:val="none" w:sz="0" w:space="0" w:color="auto"/>
            <w:left w:val="none" w:sz="0" w:space="0" w:color="auto"/>
            <w:bottom w:val="none" w:sz="0" w:space="0" w:color="auto"/>
            <w:right w:val="none" w:sz="0" w:space="0" w:color="auto"/>
          </w:divBdr>
          <w:divsChild>
            <w:div w:id="2142569528">
              <w:marLeft w:val="0"/>
              <w:marRight w:val="0"/>
              <w:marTop w:val="0"/>
              <w:marBottom w:val="0"/>
              <w:divBdr>
                <w:top w:val="none" w:sz="0" w:space="0" w:color="auto"/>
                <w:left w:val="none" w:sz="0" w:space="0" w:color="auto"/>
                <w:bottom w:val="none" w:sz="0" w:space="0" w:color="auto"/>
                <w:right w:val="none" w:sz="0" w:space="0" w:color="auto"/>
              </w:divBdr>
            </w:div>
            <w:div w:id="1716076673">
              <w:marLeft w:val="0"/>
              <w:marRight w:val="0"/>
              <w:marTop w:val="0"/>
              <w:marBottom w:val="0"/>
              <w:divBdr>
                <w:top w:val="none" w:sz="0" w:space="0" w:color="auto"/>
                <w:left w:val="none" w:sz="0" w:space="0" w:color="auto"/>
                <w:bottom w:val="none" w:sz="0" w:space="0" w:color="auto"/>
                <w:right w:val="none" w:sz="0" w:space="0" w:color="auto"/>
              </w:divBdr>
            </w:div>
            <w:div w:id="836964143">
              <w:marLeft w:val="0"/>
              <w:marRight w:val="0"/>
              <w:marTop w:val="0"/>
              <w:marBottom w:val="0"/>
              <w:divBdr>
                <w:top w:val="none" w:sz="0" w:space="0" w:color="auto"/>
                <w:left w:val="none" w:sz="0" w:space="0" w:color="auto"/>
                <w:bottom w:val="none" w:sz="0" w:space="0" w:color="auto"/>
                <w:right w:val="none" w:sz="0" w:space="0" w:color="auto"/>
              </w:divBdr>
            </w:div>
            <w:div w:id="373580543">
              <w:marLeft w:val="0"/>
              <w:marRight w:val="0"/>
              <w:marTop w:val="0"/>
              <w:marBottom w:val="0"/>
              <w:divBdr>
                <w:top w:val="none" w:sz="0" w:space="0" w:color="auto"/>
                <w:left w:val="none" w:sz="0" w:space="0" w:color="auto"/>
                <w:bottom w:val="none" w:sz="0" w:space="0" w:color="auto"/>
                <w:right w:val="none" w:sz="0" w:space="0" w:color="auto"/>
              </w:divBdr>
            </w:div>
          </w:divsChild>
        </w:div>
        <w:div w:id="693925471">
          <w:marLeft w:val="0"/>
          <w:marRight w:val="0"/>
          <w:marTop w:val="0"/>
          <w:marBottom w:val="0"/>
          <w:divBdr>
            <w:top w:val="none" w:sz="0" w:space="0" w:color="auto"/>
            <w:left w:val="none" w:sz="0" w:space="0" w:color="auto"/>
            <w:bottom w:val="none" w:sz="0" w:space="0" w:color="auto"/>
            <w:right w:val="none" w:sz="0" w:space="0" w:color="auto"/>
          </w:divBdr>
        </w:div>
      </w:divsChild>
    </w:div>
    <w:div w:id="970132477">
      <w:bodyDiv w:val="1"/>
      <w:marLeft w:val="0"/>
      <w:marRight w:val="0"/>
      <w:marTop w:val="0"/>
      <w:marBottom w:val="0"/>
      <w:divBdr>
        <w:top w:val="none" w:sz="0" w:space="0" w:color="auto"/>
        <w:left w:val="none" w:sz="0" w:space="0" w:color="auto"/>
        <w:bottom w:val="none" w:sz="0" w:space="0" w:color="auto"/>
        <w:right w:val="none" w:sz="0" w:space="0" w:color="auto"/>
      </w:divBdr>
    </w:div>
    <w:div w:id="989556317">
      <w:bodyDiv w:val="1"/>
      <w:marLeft w:val="0"/>
      <w:marRight w:val="0"/>
      <w:marTop w:val="0"/>
      <w:marBottom w:val="0"/>
      <w:divBdr>
        <w:top w:val="none" w:sz="0" w:space="0" w:color="auto"/>
        <w:left w:val="none" w:sz="0" w:space="0" w:color="auto"/>
        <w:bottom w:val="none" w:sz="0" w:space="0" w:color="auto"/>
        <w:right w:val="none" w:sz="0" w:space="0" w:color="auto"/>
      </w:divBdr>
    </w:div>
    <w:div w:id="1095056968">
      <w:bodyDiv w:val="1"/>
      <w:marLeft w:val="0"/>
      <w:marRight w:val="0"/>
      <w:marTop w:val="0"/>
      <w:marBottom w:val="0"/>
      <w:divBdr>
        <w:top w:val="none" w:sz="0" w:space="0" w:color="auto"/>
        <w:left w:val="none" w:sz="0" w:space="0" w:color="auto"/>
        <w:bottom w:val="none" w:sz="0" w:space="0" w:color="auto"/>
        <w:right w:val="none" w:sz="0" w:space="0" w:color="auto"/>
      </w:divBdr>
    </w:div>
    <w:div w:id="1139229740">
      <w:bodyDiv w:val="1"/>
      <w:marLeft w:val="0"/>
      <w:marRight w:val="0"/>
      <w:marTop w:val="0"/>
      <w:marBottom w:val="0"/>
      <w:divBdr>
        <w:top w:val="none" w:sz="0" w:space="0" w:color="auto"/>
        <w:left w:val="none" w:sz="0" w:space="0" w:color="auto"/>
        <w:bottom w:val="none" w:sz="0" w:space="0" w:color="auto"/>
        <w:right w:val="none" w:sz="0" w:space="0" w:color="auto"/>
      </w:divBdr>
    </w:div>
    <w:div w:id="1146439183">
      <w:bodyDiv w:val="1"/>
      <w:marLeft w:val="0"/>
      <w:marRight w:val="0"/>
      <w:marTop w:val="0"/>
      <w:marBottom w:val="0"/>
      <w:divBdr>
        <w:top w:val="none" w:sz="0" w:space="0" w:color="auto"/>
        <w:left w:val="none" w:sz="0" w:space="0" w:color="auto"/>
        <w:bottom w:val="none" w:sz="0" w:space="0" w:color="auto"/>
        <w:right w:val="none" w:sz="0" w:space="0" w:color="auto"/>
      </w:divBdr>
    </w:div>
    <w:div w:id="1156645627">
      <w:bodyDiv w:val="1"/>
      <w:marLeft w:val="0"/>
      <w:marRight w:val="0"/>
      <w:marTop w:val="0"/>
      <w:marBottom w:val="0"/>
      <w:divBdr>
        <w:top w:val="none" w:sz="0" w:space="0" w:color="auto"/>
        <w:left w:val="none" w:sz="0" w:space="0" w:color="auto"/>
        <w:bottom w:val="none" w:sz="0" w:space="0" w:color="auto"/>
        <w:right w:val="none" w:sz="0" w:space="0" w:color="auto"/>
      </w:divBdr>
    </w:div>
    <w:div w:id="1164470512">
      <w:bodyDiv w:val="1"/>
      <w:marLeft w:val="0"/>
      <w:marRight w:val="0"/>
      <w:marTop w:val="0"/>
      <w:marBottom w:val="0"/>
      <w:divBdr>
        <w:top w:val="none" w:sz="0" w:space="0" w:color="auto"/>
        <w:left w:val="none" w:sz="0" w:space="0" w:color="auto"/>
        <w:bottom w:val="none" w:sz="0" w:space="0" w:color="auto"/>
        <w:right w:val="none" w:sz="0" w:space="0" w:color="auto"/>
      </w:divBdr>
    </w:div>
    <w:div w:id="1290432316">
      <w:bodyDiv w:val="1"/>
      <w:marLeft w:val="0"/>
      <w:marRight w:val="0"/>
      <w:marTop w:val="0"/>
      <w:marBottom w:val="0"/>
      <w:divBdr>
        <w:top w:val="none" w:sz="0" w:space="0" w:color="auto"/>
        <w:left w:val="none" w:sz="0" w:space="0" w:color="auto"/>
        <w:bottom w:val="none" w:sz="0" w:space="0" w:color="auto"/>
        <w:right w:val="none" w:sz="0" w:space="0" w:color="auto"/>
      </w:divBdr>
    </w:div>
    <w:div w:id="1465805470">
      <w:bodyDiv w:val="1"/>
      <w:marLeft w:val="0"/>
      <w:marRight w:val="0"/>
      <w:marTop w:val="0"/>
      <w:marBottom w:val="0"/>
      <w:divBdr>
        <w:top w:val="none" w:sz="0" w:space="0" w:color="auto"/>
        <w:left w:val="none" w:sz="0" w:space="0" w:color="auto"/>
        <w:bottom w:val="none" w:sz="0" w:space="0" w:color="auto"/>
        <w:right w:val="none" w:sz="0" w:space="0" w:color="auto"/>
      </w:divBdr>
    </w:div>
    <w:div w:id="1498691832">
      <w:bodyDiv w:val="1"/>
      <w:marLeft w:val="0"/>
      <w:marRight w:val="0"/>
      <w:marTop w:val="0"/>
      <w:marBottom w:val="0"/>
      <w:divBdr>
        <w:top w:val="none" w:sz="0" w:space="0" w:color="auto"/>
        <w:left w:val="none" w:sz="0" w:space="0" w:color="auto"/>
        <w:bottom w:val="none" w:sz="0" w:space="0" w:color="auto"/>
        <w:right w:val="none" w:sz="0" w:space="0" w:color="auto"/>
      </w:divBdr>
    </w:div>
    <w:div w:id="1505053460">
      <w:bodyDiv w:val="1"/>
      <w:marLeft w:val="0"/>
      <w:marRight w:val="0"/>
      <w:marTop w:val="0"/>
      <w:marBottom w:val="0"/>
      <w:divBdr>
        <w:top w:val="none" w:sz="0" w:space="0" w:color="auto"/>
        <w:left w:val="none" w:sz="0" w:space="0" w:color="auto"/>
        <w:bottom w:val="none" w:sz="0" w:space="0" w:color="auto"/>
        <w:right w:val="none" w:sz="0" w:space="0" w:color="auto"/>
      </w:divBdr>
    </w:div>
    <w:div w:id="1514605910">
      <w:bodyDiv w:val="1"/>
      <w:marLeft w:val="0"/>
      <w:marRight w:val="0"/>
      <w:marTop w:val="0"/>
      <w:marBottom w:val="0"/>
      <w:divBdr>
        <w:top w:val="none" w:sz="0" w:space="0" w:color="auto"/>
        <w:left w:val="none" w:sz="0" w:space="0" w:color="auto"/>
        <w:bottom w:val="none" w:sz="0" w:space="0" w:color="auto"/>
        <w:right w:val="none" w:sz="0" w:space="0" w:color="auto"/>
      </w:divBdr>
      <w:divsChild>
        <w:div w:id="1731535724">
          <w:marLeft w:val="0"/>
          <w:marRight w:val="0"/>
          <w:marTop w:val="0"/>
          <w:marBottom w:val="0"/>
          <w:divBdr>
            <w:top w:val="none" w:sz="0" w:space="0" w:color="auto"/>
            <w:left w:val="none" w:sz="0" w:space="0" w:color="auto"/>
            <w:bottom w:val="none" w:sz="0" w:space="0" w:color="auto"/>
            <w:right w:val="none" w:sz="0" w:space="0" w:color="auto"/>
          </w:divBdr>
        </w:div>
        <w:div w:id="956761333">
          <w:marLeft w:val="0"/>
          <w:marRight w:val="0"/>
          <w:marTop w:val="0"/>
          <w:marBottom w:val="0"/>
          <w:divBdr>
            <w:top w:val="none" w:sz="0" w:space="0" w:color="auto"/>
            <w:left w:val="none" w:sz="0" w:space="0" w:color="auto"/>
            <w:bottom w:val="none" w:sz="0" w:space="0" w:color="auto"/>
            <w:right w:val="none" w:sz="0" w:space="0" w:color="auto"/>
          </w:divBdr>
        </w:div>
        <w:div w:id="1032534912">
          <w:marLeft w:val="0"/>
          <w:marRight w:val="0"/>
          <w:marTop w:val="0"/>
          <w:marBottom w:val="0"/>
          <w:divBdr>
            <w:top w:val="none" w:sz="0" w:space="0" w:color="auto"/>
            <w:left w:val="none" w:sz="0" w:space="0" w:color="auto"/>
            <w:bottom w:val="none" w:sz="0" w:space="0" w:color="auto"/>
            <w:right w:val="none" w:sz="0" w:space="0" w:color="auto"/>
          </w:divBdr>
        </w:div>
        <w:div w:id="777606906">
          <w:marLeft w:val="0"/>
          <w:marRight w:val="0"/>
          <w:marTop w:val="0"/>
          <w:marBottom w:val="0"/>
          <w:divBdr>
            <w:top w:val="none" w:sz="0" w:space="0" w:color="auto"/>
            <w:left w:val="none" w:sz="0" w:space="0" w:color="auto"/>
            <w:bottom w:val="none" w:sz="0" w:space="0" w:color="auto"/>
            <w:right w:val="none" w:sz="0" w:space="0" w:color="auto"/>
          </w:divBdr>
        </w:div>
      </w:divsChild>
    </w:div>
    <w:div w:id="1526363022">
      <w:bodyDiv w:val="1"/>
      <w:marLeft w:val="0"/>
      <w:marRight w:val="0"/>
      <w:marTop w:val="0"/>
      <w:marBottom w:val="0"/>
      <w:divBdr>
        <w:top w:val="none" w:sz="0" w:space="0" w:color="auto"/>
        <w:left w:val="none" w:sz="0" w:space="0" w:color="auto"/>
        <w:bottom w:val="none" w:sz="0" w:space="0" w:color="auto"/>
        <w:right w:val="none" w:sz="0" w:space="0" w:color="auto"/>
      </w:divBdr>
    </w:div>
    <w:div w:id="1541740309">
      <w:bodyDiv w:val="1"/>
      <w:marLeft w:val="0"/>
      <w:marRight w:val="0"/>
      <w:marTop w:val="0"/>
      <w:marBottom w:val="0"/>
      <w:divBdr>
        <w:top w:val="none" w:sz="0" w:space="0" w:color="auto"/>
        <w:left w:val="none" w:sz="0" w:space="0" w:color="auto"/>
        <w:bottom w:val="none" w:sz="0" w:space="0" w:color="auto"/>
        <w:right w:val="none" w:sz="0" w:space="0" w:color="auto"/>
      </w:divBdr>
      <w:divsChild>
        <w:div w:id="1383209860">
          <w:marLeft w:val="0"/>
          <w:marRight w:val="0"/>
          <w:marTop w:val="0"/>
          <w:marBottom w:val="0"/>
          <w:divBdr>
            <w:top w:val="none" w:sz="0" w:space="0" w:color="auto"/>
            <w:left w:val="none" w:sz="0" w:space="0" w:color="auto"/>
            <w:bottom w:val="none" w:sz="0" w:space="0" w:color="auto"/>
            <w:right w:val="none" w:sz="0" w:space="0" w:color="auto"/>
          </w:divBdr>
          <w:divsChild>
            <w:div w:id="283578309">
              <w:marLeft w:val="0"/>
              <w:marRight w:val="0"/>
              <w:marTop w:val="0"/>
              <w:marBottom w:val="0"/>
              <w:divBdr>
                <w:top w:val="none" w:sz="0" w:space="0" w:color="auto"/>
                <w:left w:val="none" w:sz="0" w:space="0" w:color="auto"/>
                <w:bottom w:val="none" w:sz="0" w:space="0" w:color="auto"/>
                <w:right w:val="none" w:sz="0" w:space="0" w:color="auto"/>
              </w:divBdr>
            </w:div>
            <w:div w:id="780492889">
              <w:marLeft w:val="0"/>
              <w:marRight w:val="0"/>
              <w:marTop w:val="0"/>
              <w:marBottom w:val="0"/>
              <w:divBdr>
                <w:top w:val="none" w:sz="0" w:space="0" w:color="auto"/>
                <w:left w:val="none" w:sz="0" w:space="0" w:color="auto"/>
                <w:bottom w:val="none" w:sz="0" w:space="0" w:color="auto"/>
                <w:right w:val="none" w:sz="0" w:space="0" w:color="auto"/>
              </w:divBdr>
            </w:div>
          </w:divsChild>
        </w:div>
        <w:div w:id="626090210">
          <w:marLeft w:val="0"/>
          <w:marRight w:val="0"/>
          <w:marTop w:val="0"/>
          <w:marBottom w:val="0"/>
          <w:divBdr>
            <w:top w:val="none" w:sz="0" w:space="0" w:color="auto"/>
            <w:left w:val="none" w:sz="0" w:space="0" w:color="auto"/>
            <w:bottom w:val="none" w:sz="0" w:space="0" w:color="auto"/>
            <w:right w:val="none" w:sz="0" w:space="0" w:color="auto"/>
          </w:divBdr>
          <w:divsChild>
            <w:div w:id="146781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90051">
      <w:bodyDiv w:val="1"/>
      <w:marLeft w:val="0"/>
      <w:marRight w:val="0"/>
      <w:marTop w:val="0"/>
      <w:marBottom w:val="0"/>
      <w:divBdr>
        <w:top w:val="none" w:sz="0" w:space="0" w:color="auto"/>
        <w:left w:val="none" w:sz="0" w:space="0" w:color="auto"/>
        <w:bottom w:val="none" w:sz="0" w:space="0" w:color="auto"/>
        <w:right w:val="none" w:sz="0" w:space="0" w:color="auto"/>
      </w:divBdr>
    </w:div>
    <w:div w:id="1571845430">
      <w:bodyDiv w:val="1"/>
      <w:marLeft w:val="0"/>
      <w:marRight w:val="0"/>
      <w:marTop w:val="0"/>
      <w:marBottom w:val="0"/>
      <w:divBdr>
        <w:top w:val="none" w:sz="0" w:space="0" w:color="auto"/>
        <w:left w:val="none" w:sz="0" w:space="0" w:color="auto"/>
        <w:bottom w:val="none" w:sz="0" w:space="0" w:color="auto"/>
        <w:right w:val="none" w:sz="0" w:space="0" w:color="auto"/>
      </w:divBdr>
      <w:divsChild>
        <w:div w:id="481317223">
          <w:marLeft w:val="0"/>
          <w:marRight w:val="0"/>
          <w:marTop w:val="0"/>
          <w:marBottom w:val="0"/>
          <w:divBdr>
            <w:top w:val="none" w:sz="0" w:space="0" w:color="auto"/>
            <w:left w:val="none" w:sz="0" w:space="0" w:color="auto"/>
            <w:bottom w:val="none" w:sz="0" w:space="0" w:color="auto"/>
            <w:right w:val="none" w:sz="0" w:space="0" w:color="auto"/>
          </w:divBdr>
        </w:div>
        <w:div w:id="102118803">
          <w:marLeft w:val="0"/>
          <w:marRight w:val="0"/>
          <w:marTop w:val="0"/>
          <w:marBottom w:val="0"/>
          <w:divBdr>
            <w:top w:val="none" w:sz="0" w:space="0" w:color="auto"/>
            <w:left w:val="none" w:sz="0" w:space="0" w:color="auto"/>
            <w:bottom w:val="none" w:sz="0" w:space="0" w:color="auto"/>
            <w:right w:val="none" w:sz="0" w:space="0" w:color="auto"/>
          </w:divBdr>
        </w:div>
      </w:divsChild>
    </w:div>
    <w:div w:id="1676880578">
      <w:bodyDiv w:val="1"/>
      <w:marLeft w:val="0"/>
      <w:marRight w:val="0"/>
      <w:marTop w:val="0"/>
      <w:marBottom w:val="0"/>
      <w:divBdr>
        <w:top w:val="none" w:sz="0" w:space="0" w:color="auto"/>
        <w:left w:val="none" w:sz="0" w:space="0" w:color="auto"/>
        <w:bottom w:val="none" w:sz="0" w:space="0" w:color="auto"/>
        <w:right w:val="none" w:sz="0" w:space="0" w:color="auto"/>
      </w:divBdr>
    </w:div>
    <w:div w:id="1680308747">
      <w:bodyDiv w:val="1"/>
      <w:marLeft w:val="0"/>
      <w:marRight w:val="0"/>
      <w:marTop w:val="0"/>
      <w:marBottom w:val="0"/>
      <w:divBdr>
        <w:top w:val="none" w:sz="0" w:space="0" w:color="auto"/>
        <w:left w:val="none" w:sz="0" w:space="0" w:color="auto"/>
        <w:bottom w:val="none" w:sz="0" w:space="0" w:color="auto"/>
        <w:right w:val="none" w:sz="0" w:space="0" w:color="auto"/>
      </w:divBdr>
    </w:div>
    <w:div w:id="1682706739">
      <w:bodyDiv w:val="1"/>
      <w:marLeft w:val="0"/>
      <w:marRight w:val="0"/>
      <w:marTop w:val="0"/>
      <w:marBottom w:val="0"/>
      <w:divBdr>
        <w:top w:val="none" w:sz="0" w:space="0" w:color="auto"/>
        <w:left w:val="none" w:sz="0" w:space="0" w:color="auto"/>
        <w:bottom w:val="none" w:sz="0" w:space="0" w:color="auto"/>
        <w:right w:val="none" w:sz="0" w:space="0" w:color="auto"/>
      </w:divBdr>
    </w:div>
    <w:div w:id="1715035496">
      <w:bodyDiv w:val="1"/>
      <w:marLeft w:val="0"/>
      <w:marRight w:val="0"/>
      <w:marTop w:val="0"/>
      <w:marBottom w:val="0"/>
      <w:divBdr>
        <w:top w:val="none" w:sz="0" w:space="0" w:color="auto"/>
        <w:left w:val="none" w:sz="0" w:space="0" w:color="auto"/>
        <w:bottom w:val="none" w:sz="0" w:space="0" w:color="auto"/>
        <w:right w:val="none" w:sz="0" w:space="0" w:color="auto"/>
      </w:divBdr>
    </w:div>
    <w:div w:id="1920291067">
      <w:bodyDiv w:val="1"/>
      <w:marLeft w:val="0"/>
      <w:marRight w:val="0"/>
      <w:marTop w:val="0"/>
      <w:marBottom w:val="0"/>
      <w:divBdr>
        <w:top w:val="none" w:sz="0" w:space="0" w:color="auto"/>
        <w:left w:val="none" w:sz="0" w:space="0" w:color="auto"/>
        <w:bottom w:val="none" w:sz="0" w:space="0" w:color="auto"/>
        <w:right w:val="none" w:sz="0" w:space="0" w:color="auto"/>
      </w:divBdr>
    </w:div>
    <w:div w:id="1958483835">
      <w:bodyDiv w:val="1"/>
      <w:marLeft w:val="0"/>
      <w:marRight w:val="0"/>
      <w:marTop w:val="0"/>
      <w:marBottom w:val="0"/>
      <w:divBdr>
        <w:top w:val="none" w:sz="0" w:space="0" w:color="auto"/>
        <w:left w:val="none" w:sz="0" w:space="0" w:color="auto"/>
        <w:bottom w:val="none" w:sz="0" w:space="0" w:color="auto"/>
        <w:right w:val="none" w:sz="0" w:space="0" w:color="auto"/>
      </w:divBdr>
    </w:div>
    <w:div w:id="1977486005">
      <w:bodyDiv w:val="1"/>
      <w:marLeft w:val="0"/>
      <w:marRight w:val="0"/>
      <w:marTop w:val="0"/>
      <w:marBottom w:val="0"/>
      <w:divBdr>
        <w:top w:val="none" w:sz="0" w:space="0" w:color="auto"/>
        <w:left w:val="none" w:sz="0" w:space="0" w:color="auto"/>
        <w:bottom w:val="none" w:sz="0" w:space="0" w:color="auto"/>
        <w:right w:val="none" w:sz="0" w:space="0" w:color="auto"/>
      </w:divBdr>
    </w:div>
    <w:div w:id="2067292817">
      <w:bodyDiv w:val="1"/>
      <w:marLeft w:val="0"/>
      <w:marRight w:val="0"/>
      <w:marTop w:val="0"/>
      <w:marBottom w:val="0"/>
      <w:divBdr>
        <w:top w:val="none" w:sz="0" w:space="0" w:color="auto"/>
        <w:left w:val="none" w:sz="0" w:space="0" w:color="auto"/>
        <w:bottom w:val="none" w:sz="0" w:space="0" w:color="auto"/>
        <w:right w:val="none" w:sz="0" w:space="0" w:color="auto"/>
      </w:divBdr>
    </w:div>
    <w:div w:id="213073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F16F1AFBDE54EBD2685E90FE1922F" ma:contentTypeVersion="11" ma:contentTypeDescription="Create a new document." ma:contentTypeScope="" ma:versionID="09dc3bd8f1f17fedb8a1949fc26bace1">
  <xsd:schema xmlns:xsd="http://www.w3.org/2001/XMLSchema" xmlns:xs="http://www.w3.org/2001/XMLSchema" xmlns:p="http://schemas.microsoft.com/office/2006/metadata/properties" xmlns:ns2="801a5968-9419-4033-b9de-7ffe8168468e" xmlns:ns3="1c478e85-8130-4c67-8ee4-8bdf1c0e6049" targetNamespace="http://schemas.microsoft.com/office/2006/metadata/properties" ma:root="true" ma:fieldsID="b368971463d79661f3ec0885fa2b6f01" ns2:_="" ns3:_="">
    <xsd:import namespace="801a5968-9419-4033-b9de-7ffe8168468e"/>
    <xsd:import namespace="1c478e85-8130-4c67-8ee4-8bdf1c0e604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a5968-9419-4033-b9de-7ffe816846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478e85-8130-4c67-8ee4-8bdf1c0e604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c478e85-8130-4c67-8ee4-8bdf1c0e6049" xsi:nil="true"/>
    <SharedWithUsers xmlns="801a5968-9419-4033-b9de-7ffe8168468e">
      <UserInfo>
        <DisplayName>Johan Linde</DisplayName>
        <AccountId>82</AccountId>
        <AccountType/>
      </UserInfo>
      <UserInfo>
        <DisplayName>Jim Kalotheos</DisplayName>
        <AccountId>259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F6AA5-02BC-4D8E-9DAA-796C3AB12E6B}">
  <ds:schemaRefs>
    <ds:schemaRef ds:uri="http://schemas.microsoft.com/sharepoint/v3/contenttype/forms"/>
  </ds:schemaRefs>
</ds:datastoreItem>
</file>

<file path=customXml/itemProps2.xml><?xml version="1.0" encoding="utf-8"?>
<ds:datastoreItem xmlns:ds="http://schemas.openxmlformats.org/officeDocument/2006/customXml" ds:itemID="{B1F9872D-7CB8-4A53-B237-344496D2B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1a5968-9419-4033-b9de-7ffe8168468e"/>
    <ds:schemaRef ds:uri="1c478e85-8130-4c67-8ee4-8bdf1c0e6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4145-514F-4DF6-A217-C0470D68600F}">
  <ds:schemaRefs>
    <ds:schemaRef ds:uri="http://schemas.microsoft.com/office/2006/documentManagement/types"/>
    <ds:schemaRef ds:uri="http://purl.org/dc/terms/"/>
    <ds:schemaRef ds:uri="801a5968-9419-4033-b9de-7ffe8168468e"/>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1c478e85-8130-4c67-8ee4-8bdf1c0e6049"/>
    <ds:schemaRef ds:uri="http://schemas.microsoft.com/office/2006/metadata/properties"/>
  </ds:schemaRefs>
</ds:datastoreItem>
</file>

<file path=customXml/itemProps4.xml><?xml version="1.0" encoding="utf-8"?>
<ds:datastoreItem xmlns:ds="http://schemas.openxmlformats.org/officeDocument/2006/customXml" ds:itemID="{F40F3042-E531-408F-A304-B77365549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3527</Words>
  <Characters>20107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2019-20 Budget Paper No. 1 - Budget Statement - Appendix - Fiscal Risks and Budget Sensitivities</vt:lpstr>
    </vt:vector>
  </TitlesOfParts>
  <Company>ServiceFirst</Company>
  <LinksUpToDate>false</LinksUpToDate>
  <CharactersWithSpaces>23587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Budget Paper No. 1 - Budget Statement - Appendix B - Fiscal Risks and Budget Sensitivities</dc:title>
  <dc:creator>The Treasury</dc:creator>
  <cp:lastModifiedBy>Eliza Souter</cp:lastModifiedBy>
  <cp:revision>12</cp:revision>
  <cp:lastPrinted>2019-06-13T02:21:00Z</cp:lastPrinted>
  <dcterms:created xsi:type="dcterms:W3CDTF">2019-06-14T11:29:00Z</dcterms:created>
  <dcterms:modified xsi:type="dcterms:W3CDTF">2019-06-16T01:10:00Z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0x010100F02F16F1AFBDE54EBD2685E90FE1922F</vt:lpwstr>
  </property>
  <property fmtid="{D5CDD505-2E9C-101B-9397-08002B2CF9AE}" pid="3" name="AuthorIds_UIVersion_512">
    <vt:lpwstr>6</vt:lpwstr>
  </property>
</Properties>
</file>