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DA84" w14:textId="4F3F3A4F" w:rsidR="00BC5471" w:rsidRPr="004632E3" w:rsidRDefault="001E659E" w:rsidP="00611BB0">
      <w:pPr>
        <w:pStyle w:val="Heading1"/>
        <w:tabs>
          <w:tab w:val="clear" w:pos="567"/>
          <w:tab w:val="left" w:pos="709"/>
        </w:tabs>
        <w:spacing w:before="480" w:after="480"/>
        <w:ind w:left="709" w:hanging="709"/>
      </w:pPr>
      <w:r>
        <w:t>E</w:t>
      </w:r>
      <w:r w:rsidR="00DD408A">
        <w:t>.</w:t>
      </w:r>
      <w:r w:rsidR="0053757D" w:rsidRPr="00C04562">
        <w:tab/>
      </w:r>
      <w:r w:rsidR="00BC5471" w:rsidRPr="00C34942">
        <w:t>Performance</w:t>
      </w:r>
      <w:r w:rsidR="00BC5471" w:rsidRPr="00C04562">
        <w:t xml:space="preserve"> and Reporting Under </w:t>
      </w:r>
      <w:r w:rsidR="00A54BF0" w:rsidRPr="00C04562">
        <w:t xml:space="preserve">the </w:t>
      </w:r>
      <w:r w:rsidR="00BC5471" w:rsidRPr="00C04562">
        <w:t>Fiscal Responsibility Act</w:t>
      </w:r>
      <w:r w:rsidR="007A5925">
        <w:t xml:space="preserve"> 2012</w:t>
      </w:r>
      <w:r w:rsidR="00BC5471" w:rsidRPr="00C04562">
        <w:t xml:space="preserve"> </w:t>
      </w:r>
    </w:p>
    <w:p w14:paraId="6C19E93A" w14:textId="77777777" w:rsidR="00797F95" w:rsidRDefault="00784734" w:rsidP="002C7D0C">
      <w:pPr>
        <w:pStyle w:val="BodyText"/>
        <w:rPr>
          <w:rFonts w:cs="Arial"/>
          <w:szCs w:val="23"/>
        </w:rPr>
      </w:pPr>
      <w:r>
        <w:rPr>
          <w:rFonts w:cs="Arial"/>
          <w:szCs w:val="23"/>
        </w:rPr>
        <w:t xml:space="preserve">The </w:t>
      </w:r>
      <w:r w:rsidRPr="003321D8">
        <w:rPr>
          <w:rFonts w:cs="Arial"/>
          <w:i/>
          <w:szCs w:val="23"/>
        </w:rPr>
        <w:t>Fiscal Responsibility Act 2012</w:t>
      </w:r>
      <w:r>
        <w:rPr>
          <w:rFonts w:cs="Arial"/>
          <w:szCs w:val="23"/>
        </w:rPr>
        <w:t xml:space="preserve"> (FRA) requires the Government to report on performance against the FRA’s ob</w:t>
      </w:r>
      <w:r w:rsidR="00797F95">
        <w:rPr>
          <w:rFonts w:cs="Arial"/>
          <w:szCs w:val="23"/>
        </w:rPr>
        <w:t>jective, targets and principles as part of the budget papers.</w:t>
      </w:r>
    </w:p>
    <w:p w14:paraId="1AF597E3" w14:textId="645CF822" w:rsidR="002C7D0C" w:rsidRPr="00784734" w:rsidRDefault="005F105A" w:rsidP="002C7D0C">
      <w:pPr>
        <w:pStyle w:val="BodyText"/>
        <w:rPr>
          <w:rFonts w:cs="Arial"/>
          <w:szCs w:val="23"/>
        </w:rPr>
      </w:pPr>
      <w:r w:rsidRPr="006021EA">
        <w:rPr>
          <w:rFonts w:cs="Arial"/>
          <w:szCs w:val="23"/>
        </w:rPr>
        <w:t xml:space="preserve">The </w:t>
      </w:r>
      <w:r>
        <w:rPr>
          <w:rFonts w:cs="Arial"/>
          <w:szCs w:val="23"/>
        </w:rPr>
        <w:t>FRA</w:t>
      </w:r>
      <w:r w:rsidRPr="006021EA">
        <w:rPr>
          <w:rFonts w:cs="Arial"/>
          <w:szCs w:val="23"/>
        </w:rPr>
        <w:t xml:space="preserve"> sets the policy objective of maintaining the State’s triple-A credit</w:t>
      </w:r>
      <w:r w:rsidR="00664CF4">
        <w:rPr>
          <w:rFonts w:cs="Arial"/>
          <w:szCs w:val="23"/>
        </w:rPr>
        <w:t xml:space="preserve"> rating</w:t>
      </w:r>
      <w:r w:rsidR="003809B9">
        <w:rPr>
          <w:rFonts w:cs="Arial"/>
          <w:szCs w:val="23"/>
        </w:rPr>
        <w:t>, supported by</w:t>
      </w:r>
      <w:r w:rsidR="00FE0702">
        <w:rPr>
          <w:rFonts w:cs="Arial"/>
          <w:szCs w:val="23"/>
        </w:rPr>
        <w:t xml:space="preserve"> two fiscal targets and </w:t>
      </w:r>
      <w:r w:rsidRPr="006021EA">
        <w:rPr>
          <w:rFonts w:cs="Arial"/>
          <w:szCs w:val="23"/>
        </w:rPr>
        <w:t>three principles of sound financial management</w:t>
      </w:r>
      <w:r w:rsidR="00FE0702">
        <w:rPr>
          <w:rFonts w:cs="Arial"/>
          <w:szCs w:val="23"/>
        </w:rPr>
        <w:t xml:space="preserve"> (see Table </w:t>
      </w:r>
      <w:r w:rsidR="00A2769D">
        <w:rPr>
          <w:rFonts w:cs="Arial"/>
          <w:szCs w:val="23"/>
        </w:rPr>
        <w:t>E</w:t>
      </w:r>
      <w:r w:rsidR="00FE0702">
        <w:rPr>
          <w:rFonts w:cs="Arial"/>
          <w:szCs w:val="23"/>
        </w:rPr>
        <w:t xml:space="preserve">.1). </w:t>
      </w:r>
    </w:p>
    <w:p w14:paraId="0EE2E90D" w14:textId="73F7BAF1" w:rsidR="007C2C53" w:rsidRPr="00FE0702" w:rsidRDefault="005F105A" w:rsidP="00FF6386">
      <w:pPr>
        <w:pStyle w:val="TableDX"/>
        <w:ind w:left="1276" w:hanging="1276"/>
      </w:pPr>
      <w:r w:rsidRPr="00FE0702">
        <w:t>Fiscal Responsibility Act</w:t>
      </w:r>
      <w:r w:rsidR="00B72B78">
        <w:t xml:space="preserve"> 2012</w:t>
      </w:r>
      <w:r w:rsidRPr="00FE0702">
        <w:t xml:space="preserve"> – object, targets and principles</w:t>
      </w:r>
      <w:r w:rsidR="009A279F"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  <w:tblCaption w:val="Table E.1: Fiscal Responsibility Act 2012 – object, targets and principles "/>
        <w:tblDescription w:val="Table E.1: Fiscal Responsibility Act 2012 – object, targets and principles "/>
      </w:tblPr>
      <w:tblGrid>
        <w:gridCol w:w="2127"/>
        <w:gridCol w:w="3543"/>
        <w:gridCol w:w="3969"/>
      </w:tblGrid>
      <w:tr w:rsidR="00153951" w:rsidRPr="006021EA" w14:paraId="164D3C49" w14:textId="77777777" w:rsidTr="0072365F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0579B9"/>
            <w:vAlign w:val="center"/>
          </w:tcPr>
          <w:p w14:paraId="57F4B018" w14:textId="410B54CA" w:rsidR="00153951" w:rsidRPr="00015167" w:rsidRDefault="00153951" w:rsidP="0072365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021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Object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0579B9"/>
            <w:vAlign w:val="center"/>
          </w:tcPr>
          <w:p w14:paraId="6114718B" w14:textId="77777777" w:rsidR="00153951" w:rsidRPr="006021EA" w:rsidRDefault="00153951" w:rsidP="0072365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Fiscal t</w:t>
            </w:r>
            <w:r w:rsidRPr="006021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argets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0579B9"/>
            <w:vAlign w:val="center"/>
          </w:tcPr>
          <w:p w14:paraId="6854BFC1" w14:textId="77777777" w:rsidR="00153951" w:rsidRPr="00015167" w:rsidRDefault="00153951" w:rsidP="0072365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Fiscal p</w:t>
            </w:r>
            <w:r w:rsidRPr="006021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rinciples</w:t>
            </w:r>
          </w:p>
        </w:tc>
      </w:tr>
      <w:tr w:rsidR="007C58CD" w:rsidRPr="006021EA" w14:paraId="0765F71B" w14:textId="77777777" w:rsidTr="009C726C">
        <w:trPr>
          <w:trHeight w:val="189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0E88F3" w14:textId="77777777" w:rsidR="007C58CD" w:rsidRPr="006021EA" w:rsidRDefault="007C58CD" w:rsidP="007C58CD">
            <w:pPr>
              <w:spacing w:after="480"/>
              <w:rPr>
                <w:rFonts w:ascii="Arial" w:hAnsi="Arial" w:cs="Arial"/>
                <w:sz w:val="18"/>
                <w:szCs w:val="18"/>
              </w:rPr>
            </w:pPr>
            <w:r w:rsidRPr="006021EA">
              <w:rPr>
                <w:rFonts w:ascii="Arial" w:hAnsi="Arial" w:cs="Arial"/>
                <w:sz w:val="18"/>
                <w:szCs w:val="18"/>
              </w:rPr>
              <w:t xml:space="preserve">Maintain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6021EA">
              <w:rPr>
                <w:rFonts w:ascii="Arial" w:hAnsi="Arial" w:cs="Arial"/>
                <w:sz w:val="18"/>
                <w:szCs w:val="18"/>
              </w:rPr>
              <w:t xml:space="preserve"> triple-A credit rating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91319" w14:textId="439F7152" w:rsidR="007C58CD" w:rsidRPr="006E6BF6" w:rsidRDefault="007C58CD" w:rsidP="006E6BF6">
            <w:pPr>
              <w:pStyle w:val="ListParagraph"/>
              <w:numPr>
                <w:ilvl w:val="0"/>
                <w:numId w:val="6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6BF6">
              <w:rPr>
                <w:rFonts w:ascii="Arial" w:hAnsi="Arial" w:cs="Arial"/>
                <w:sz w:val="18"/>
                <w:szCs w:val="18"/>
              </w:rPr>
              <w:t xml:space="preserve">Expense growth kept below long-term average revenue growth </w:t>
            </w:r>
          </w:p>
          <w:p w14:paraId="44A8903E" w14:textId="2EC2C8AB" w:rsidR="007C58CD" w:rsidRPr="006021EA" w:rsidRDefault="007C58CD" w:rsidP="007C58C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62DB" w14:textId="54C91B65" w:rsidR="007C58CD" w:rsidRPr="006E6BF6" w:rsidRDefault="007C58CD" w:rsidP="006E6BF6">
            <w:pPr>
              <w:pStyle w:val="ListParagraph"/>
              <w:numPr>
                <w:ilvl w:val="0"/>
                <w:numId w:val="61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6BF6">
              <w:rPr>
                <w:rFonts w:ascii="Arial" w:hAnsi="Arial" w:cs="Arial"/>
                <w:sz w:val="18"/>
                <w:szCs w:val="18"/>
              </w:rPr>
              <w:t>Responsible and sustainable spending, taxation and infrastructure investment</w:t>
            </w:r>
            <w:r w:rsidR="00E17C1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7FD9B2" w14:textId="0153C2E1" w:rsidR="0006295C" w:rsidRDefault="007D03C6" w:rsidP="000629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6295C">
              <w:rPr>
                <w:rFonts w:ascii="Arial" w:hAnsi="Arial" w:cs="Arial"/>
                <w:sz w:val="18"/>
                <w:szCs w:val="18"/>
              </w:rPr>
              <w:t>ligning general government revenue and expense growth</w:t>
            </w:r>
          </w:p>
          <w:p w14:paraId="28CF3A03" w14:textId="442CC107" w:rsidR="0006295C" w:rsidRDefault="007D03C6" w:rsidP="000629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6295C">
              <w:rPr>
                <w:rFonts w:ascii="Arial" w:hAnsi="Arial" w:cs="Arial"/>
                <w:sz w:val="18"/>
                <w:szCs w:val="18"/>
              </w:rPr>
              <w:t>table and predictable taxation policies</w:t>
            </w:r>
          </w:p>
          <w:p w14:paraId="30F14F58" w14:textId="3C6457AF" w:rsidR="0006295C" w:rsidRDefault="007D03C6" w:rsidP="000629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6295C">
              <w:rPr>
                <w:rFonts w:ascii="Arial" w:hAnsi="Arial" w:cs="Arial"/>
                <w:sz w:val="18"/>
                <w:szCs w:val="18"/>
              </w:rPr>
              <w:t>nvestment in infrastructure that has the highest benefit for the community</w:t>
            </w:r>
          </w:p>
          <w:p w14:paraId="70849875" w14:textId="77777777" w:rsidR="00484D11" w:rsidRPr="006021EA" w:rsidRDefault="00484D11" w:rsidP="00484D11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B1643AA" w14:textId="39457372" w:rsidR="007C58CD" w:rsidRPr="006E6BF6" w:rsidRDefault="007C58CD" w:rsidP="006E6BF6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r w:rsidRPr="006E6BF6">
              <w:rPr>
                <w:rFonts w:ascii="Arial" w:hAnsi="Arial" w:cs="Arial"/>
                <w:sz w:val="18"/>
                <w:szCs w:val="18"/>
              </w:rPr>
              <w:t>Effective financial and asset policies:</w:t>
            </w:r>
          </w:p>
          <w:p w14:paraId="202EC054" w14:textId="01990A49" w:rsidR="007C58CD" w:rsidRPr="006021EA" w:rsidRDefault="007C58CD" w:rsidP="00FE070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021EA">
              <w:rPr>
                <w:rFonts w:ascii="Arial" w:hAnsi="Arial" w:cs="Arial"/>
                <w:sz w:val="18"/>
                <w:szCs w:val="18"/>
              </w:rPr>
              <w:t>erformance management and reporting</w:t>
            </w:r>
          </w:p>
          <w:p w14:paraId="3C951BD3" w14:textId="672C54E7" w:rsidR="007C58CD" w:rsidRPr="006021EA" w:rsidRDefault="007C58CD" w:rsidP="00FE070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021EA">
              <w:rPr>
                <w:rFonts w:ascii="Arial" w:hAnsi="Arial" w:cs="Arial"/>
                <w:sz w:val="18"/>
                <w:szCs w:val="18"/>
              </w:rPr>
              <w:t>sset maintenance and enhancement</w:t>
            </w:r>
          </w:p>
          <w:p w14:paraId="44BEA705" w14:textId="2AC21F93" w:rsidR="007C58CD" w:rsidRDefault="007C58CD" w:rsidP="00FE070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6021EA">
              <w:rPr>
                <w:rFonts w:ascii="Arial" w:hAnsi="Arial" w:cs="Arial"/>
                <w:sz w:val="18"/>
                <w:szCs w:val="18"/>
              </w:rPr>
              <w:t>unding decisions</w:t>
            </w:r>
          </w:p>
          <w:p w14:paraId="29434403" w14:textId="77777777" w:rsidR="006E6BF6" w:rsidRPr="00484D11" w:rsidRDefault="007C58CD" w:rsidP="00484D11">
            <w:pPr>
              <w:pStyle w:val="ListParagraph"/>
              <w:numPr>
                <w:ilvl w:val="0"/>
                <w:numId w:val="32"/>
              </w:num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E0702">
              <w:rPr>
                <w:rFonts w:ascii="Arial" w:hAnsi="Arial" w:cs="Arial"/>
                <w:sz w:val="18"/>
                <w:szCs w:val="18"/>
              </w:rPr>
              <w:t>isk management practices</w:t>
            </w:r>
          </w:p>
          <w:p w14:paraId="11B27CAF" w14:textId="24108822" w:rsidR="00484D11" w:rsidRPr="00281B5F" w:rsidRDefault="00484D11" w:rsidP="00484D11">
            <w:pPr>
              <w:pStyle w:val="ListParagraph"/>
              <w:ind w:left="360"/>
            </w:pPr>
          </w:p>
        </w:tc>
      </w:tr>
      <w:tr w:rsidR="007C58CD" w:rsidRPr="006021EA" w14:paraId="667B13DA" w14:textId="77777777" w:rsidTr="009C726C">
        <w:trPr>
          <w:trHeight w:val="1144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</w:tcPr>
          <w:p w14:paraId="47273FF8" w14:textId="77777777" w:rsidR="007C58CD" w:rsidRPr="006021EA" w:rsidRDefault="007C58CD" w:rsidP="00281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CDE6B5" w14:textId="1BAA6822" w:rsidR="007C58CD" w:rsidRPr="006E6BF6" w:rsidRDefault="007C58CD" w:rsidP="006E6BF6">
            <w:pPr>
              <w:pStyle w:val="ListParagraph"/>
              <w:numPr>
                <w:ilvl w:val="0"/>
                <w:numId w:val="6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6BF6">
              <w:rPr>
                <w:rFonts w:ascii="Arial" w:hAnsi="Arial" w:cs="Arial"/>
                <w:sz w:val="18"/>
                <w:szCs w:val="18"/>
              </w:rPr>
              <w:t>Eliminate unfunded superannuation liabilities by 2030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190AB4" w14:textId="422CC2EA" w:rsidR="007C58CD" w:rsidRPr="006E6BF6" w:rsidRDefault="007C58CD" w:rsidP="006E6BF6">
            <w:pPr>
              <w:pStyle w:val="ListParagraph"/>
              <w:numPr>
                <w:ilvl w:val="0"/>
                <w:numId w:val="6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6BF6">
              <w:rPr>
                <w:rFonts w:ascii="Arial" w:hAnsi="Arial" w:cs="Arial"/>
                <w:sz w:val="18"/>
                <w:szCs w:val="18"/>
              </w:rPr>
              <w:t>Achieving intergenerational equity</w:t>
            </w:r>
            <w:r w:rsidR="00E17C1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9A4083" w14:textId="2F07FE3E" w:rsidR="007C58CD" w:rsidRDefault="007C58CD" w:rsidP="00611BB0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021EA">
              <w:rPr>
                <w:rFonts w:ascii="Arial" w:hAnsi="Arial" w:cs="Arial"/>
                <w:sz w:val="18"/>
                <w:szCs w:val="18"/>
              </w:rPr>
              <w:t>olicy to have regard for its effects on future generations</w:t>
            </w:r>
          </w:p>
          <w:p w14:paraId="411890E2" w14:textId="6C246E83" w:rsidR="007C58CD" w:rsidRPr="0072365F" w:rsidRDefault="00484D11" w:rsidP="00484D11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current generation to fund the cost of its services</w:t>
            </w:r>
          </w:p>
        </w:tc>
      </w:tr>
    </w:tbl>
    <w:p w14:paraId="57718C58" w14:textId="31AF8507" w:rsidR="000534D2" w:rsidRPr="000534D2" w:rsidRDefault="000534D2" w:rsidP="00D62A00">
      <w:pPr>
        <w:pStyle w:val="Heading3"/>
      </w:pPr>
      <w:r w:rsidRPr="000534D2">
        <w:t xml:space="preserve">Review of the </w:t>
      </w:r>
      <w:r w:rsidR="00B7306B">
        <w:t>FRA</w:t>
      </w:r>
    </w:p>
    <w:p w14:paraId="36BC3916" w14:textId="57949FB4" w:rsidR="000534D2" w:rsidRDefault="00C94770" w:rsidP="000534D2">
      <w:pPr>
        <w:pStyle w:val="BodyText"/>
      </w:pPr>
      <w:r>
        <w:t>Five years after the FRA’s</w:t>
      </w:r>
      <w:r w:rsidR="000534D2">
        <w:t xml:space="preserve"> commencement </w:t>
      </w:r>
      <w:r w:rsidR="009C6460">
        <w:t xml:space="preserve">in 2012, </w:t>
      </w:r>
      <w:r w:rsidR="000534D2">
        <w:t xml:space="preserve">the Treasurer </w:t>
      </w:r>
      <w:r w:rsidR="00D21A2B">
        <w:t>was</w:t>
      </w:r>
      <w:r w:rsidR="009C6460">
        <w:t xml:space="preserve"> required </w:t>
      </w:r>
      <w:r>
        <w:t xml:space="preserve">to review the </w:t>
      </w:r>
      <w:r w:rsidR="00835987">
        <w:t xml:space="preserve">FRA </w:t>
      </w:r>
      <w:r w:rsidR="00C12BCB">
        <w:t>to</w:t>
      </w:r>
      <w:r w:rsidR="000534D2">
        <w:t xml:space="preserve"> determine whether </w:t>
      </w:r>
      <w:r>
        <w:t>its</w:t>
      </w:r>
      <w:r w:rsidR="000534D2">
        <w:t xml:space="preserve"> policy objective remain</w:t>
      </w:r>
      <w:r w:rsidR="003433DD">
        <w:t>s</w:t>
      </w:r>
      <w:r w:rsidR="000534D2">
        <w:t xml:space="preserve"> valid and the terms remain appropriate for achieving th</w:t>
      </w:r>
      <w:r w:rsidR="003433DD">
        <w:t>e</w:t>
      </w:r>
      <w:r w:rsidR="000534D2">
        <w:t xml:space="preserve"> objective. In 2018</w:t>
      </w:r>
      <w:r w:rsidR="00C12BCB">
        <w:t>,</w:t>
      </w:r>
      <w:r w:rsidR="000534D2">
        <w:t xml:space="preserve"> the review was tabled in each House of Parliament </w:t>
      </w:r>
      <w:r>
        <w:t>and</w:t>
      </w:r>
      <w:r w:rsidR="000534D2">
        <w:t xml:space="preserve"> stated </w:t>
      </w:r>
      <w:r>
        <w:t xml:space="preserve">the following </w:t>
      </w:r>
      <w:r w:rsidR="000534D2">
        <w:t>key findings:</w:t>
      </w:r>
    </w:p>
    <w:p w14:paraId="6DE6C241" w14:textId="01037A76" w:rsidR="000534D2" w:rsidRDefault="00EB2565" w:rsidP="00D62A00">
      <w:pPr>
        <w:pStyle w:val="Bullet1"/>
      </w:pPr>
      <w:r>
        <w:t>t</w:t>
      </w:r>
      <w:r w:rsidR="000534D2">
        <w:t xml:space="preserve">he Government has met the FRA’s objective and </w:t>
      </w:r>
      <w:proofErr w:type="gramStart"/>
      <w:r w:rsidR="000534D2">
        <w:t>targets</w:t>
      </w:r>
      <w:r w:rsidR="00BB5B6E">
        <w:t>, and</w:t>
      </w:r>
      <w:proofErr w:type="gramEnd"/>
      <w:r w:rsidR="00BB5B6E">
        <w:t xml:space="preserve"> has pursued the principles of the FRA. Recent initiatives such as the NSW Generations Fund </w:t>
      </w:r>
      <w:r w:rsidR="00067372">
        <w:t xml:space="preserve">and the </w:t>
      </w:r>
      <w:r w:rsidR="00067372" w:rsidRPr="003321D8">
        <w:rPr>
          <w:i/>
        </w:rPr>
        <w:t>Government Sector Finance Act 2018</w:t>
      </w:r>
      <w:r w:rsidR="00067372">
        <w:t xml:space="preserve"> further support the </w:t>
      </w:r>
      <w:r w:rsidR="00C94770">
        <w:t>objective</w:t>
      </w:r>
    </w:p>
    <w:p w14:paraId="48B71978" w14:textId="5C0ED389" w:rsidR="000534D2" w:rsidRDefault="00EB2565" w:rsidP="00D62A00">
      <w:pPr>
        <w:pStyle w:val="Bullet1"/>
      </w:pPr>
      <w:r>
        <w:t>t</w:t>
      </w:r>
      <w:r w:rsidR="000534D2">
        <w:t xml:space="preserve">he objective to maintain a triple-A credit rating is unique but </w:t>
      </w:r>
      <w:r w:rsidR="00C94770">
        <w:t xml:space="preserve">an </w:t>
      </w:r>
      <w:r w:rsidR="000534D2">
        <w:t>appropriate mechanism to support fiscal discipline</w:t>
      </w:r>
    </w:p>
    <w:p w14:paraId="4F5DDCE2" w14:textId="128509CB" w:rsidR="00FA7815" w:rsidRDefault="00EB2565" w:rsidP="00D62A00">
      <w:pPr>
        <w:pStyle w:val="Bullet1"/>
      </w:pPr>
      <w:r>
        <w:t>t</w:t>
      </w:r>
      <w:r w:rsidR="00FA7815">
        <w:t>he Commonwealth</w:t>
      </w:r>
      <w:r w:rsidR="00C2048C">
        <w:t xml:space="preserve"> downgrade remains a risk to maintaining the State’s triple-A rating</w:t>
      </w:r>
      <w:r w:rsidR="00497699">
        <w:t>. This risk should be m</w:t>
      </w:r>
      <w:r w:rsidR="00706A33">
        <w:t xml:space="preserve">anaged appropriately by the </w:t>
      </w:r>
      <w:r w:rsidR="00C94770">
        <w:t xml:space="preserve">NSW </w:t>
      </w:r>
      <w:r w:rsidR="00706A33">
        <w:t>Government continuing to maintain a sustainable operating position and level</w:t>
      </w:r>
      <w:r w:rsidR="00445667">
        <w:t>s</w:t>
      </w:r>
      <w:r w:rsidR="00706A33">
        <w:t xml:space="preserve"> of </w:t>
      </w:r>
      <w:r w:rsidR="00EC0114">
        <w:t xml:space="preserve">debt consistent with a triple-A credit rating. </w:t>
      </w:r>
      <w:r w:rsidR="005F3012">
        <w:t xml:space="preserve">The principles of the FRA should continue to be adhered to, in particular </w:t>
      </w:r>
      <w:r w:rsidR="0015066C">
        <w:t>‘</w:t>
      </w:r>
      <w:r w:rsidR="0015066C">
        <w:rPr>
          <w:i/>
        </w:rPr>
        <w:t xml:space="preserve">responsible and sustainable spending, taxation and infrastructure investment’ </w:t>
      </w:r>
      <w:r w:rsidR="0015066C" w:rsidRPr="0015066C">
        <w:t>and</w:t>
      </w:r>
      <w:r w:rsidR="0015066C">
        <w:rPr>
          <w:i/>
        </w:rPr>
        <w:t xml:space="preserve"> ‘achieving intergenerational equity’</w:t>
      </w:r>
      <w:r w:rsidR="00C2048C">
        <w:t xml:space="preserve"> </w:t>
      </w:r>
      <w:r w:rsidR="00C2048C">
        <w:tab/>
      </w:r>
    </w:p>
    <w:p w14:paraId="5993934A" w14:textId="77777777" w:rsidR="0061439B" w:rsidRDefault="0061439B">
      <w:pPr>
        <w:spacing w:after="200" w:line="276" w:lineRule="auto"/>
        <w:rPr>
          <w:rFonts w:ascii="Arial" w:hAnsi="Arial"/>
          <w:sz w:val="23"/>
          <w:szCs w:val="23"/>
          <w:lang w:val="en-AU"/>
        </w:rPr>
      </w:pPr>
      <w:r>
        <w:br w:type="page"/>
      </w:r>
    </w:p>
    <w:p w14:paraId="3358F320" w14:textId="050CDD54" w:rsidR="000534D2" w:rsidRDefault="00EB2565" w:rsidP="00D62A00">
      <w:pPr>
        <w:pStyle w:val="Bullet1"/>
      </w:pPr>
      <w:r>
        <w:lastRenderedPageBreak/>
        <w:t>t</w:t>
      </w:r>
      <w:r w:rsidR="000534D2">
        <w:t>he current targets support the objective of the FRA, with adherence to the 5.6 per cent expense growth cap helping to deliver solid budget results over the prior five years</w:t>
      </w:r>
      <w:r w:rsidR="003E45F4">
        <w:t xml:space="preserve">. With revenue pressures that may put pressure on the operating position over the medium term, the Government should continue to maintain a sustainable operating position </w:t>
      </w:r>
      <w:r w:rsidR="00DF6537">
        <w:t>to ensure debt levels remain manage</w:t>
      </w:r>
      <w:r w:rsidR="00790C47">
        <w:t>able</w:t>
      </w:r>
    </w:p>
    <w:p w14:paraId="4045666E" w14:textId="3BAD9DBE" w:rsidR="00637940" w:rsidRDefault="00637940" w:rsidP="00D62A00">
      <w:pPr>
        <w:pStyle w:val="Bullet1"/>
      </w:pPr>
      <w:r>
        <w:t xml:space="preserve">The Government should continue to pursue the principles of sound financial management </w:t>
      </w:r>
      <w:r w:rsidR="007E0C55">
        <w:t>to support the objective of the FRA</w:t>
      </w:r>
      <w:r w:rsidR="00813B9D">
        <w:t>, with work to date demonstrating a significant modernisation of the State’s financial framework.</w:t>
      </w:r>
    </w:p>
    <w:p w14:paraId="132B8C93" w14:textId="2CDB6CED" w:rsidR="001D0A45" w:rsidRPr="00FE0702" w:rsidRDefault="000A2F84" w:rsidP="00A5618F">
      <w:pPr>
        <w:pStyle w:val="Heading2"/>
      </w:pPr>
      <w:r w:rsidRPr="00181A01">
        <w:t>Performance</w:t>
      </w:r>
      <w:r w:rsidRPr="00FE0702">
        <w:t xml:space="preserve"> </w:t>
      </w:r>
    </w:p>
    <w:p w14:paraId="08BCA1E5" w14:textId="11BDB1D8" w:rsidR="001D0A45" w:rsidRPr="001E54E2" w:rsidRDefault="00B13ED2" w:rsidP="00A5618F">
      <w:pPr>
        <w:pStyle w:val="Heading3"/>
      </w:pPr>
      <w:r>
        <w:t xml:space="preserve">Maintaining the triple-A </w:t>
      </w:r>
      <w:r w:rsidR="00824F8D">
        <w:t xml:space="preserve">credit </w:t>
      </w:r>
      <w:r>
        <w:t>rating</w:t>
      </w:r>
    </w:p>
    <w:p w14:paraId="37795FCC" w14:textId="0CE8C652" w:rsidR="002B1C72" w:rsidRDefault="001D0A45" w:rsidP="00181A01">
      <w:pPr>
        <w:pStyle w:val="BodyText"/>
      </w:pPr>
      <w:r w:rsidRPr="001E54E2">
        <w:t>New South Wales</w:t>
      </w:r>
      <w:r w:rsidR="00961015" w:rsidDel="00B13ED2">
        <w:t xml:space="preserve"> </w:t>
      </w:r>
      <w:r w:rsidR="00961015">
        <w:t>continue</w:t>
      </w:r>
      <w:r w:rsidR="00B13ED2">
        <w:t>s</w:t>
      </w:r>
      <w:r w:rsidR="00961015">
        <w:t xml:space="preserve"> to meet the objective of th</w:t>
      </w:r>
      <w:r w:rsidR="007D0263">
        <w:t>e FRA</w:t>
      </w:r>
      <w:r w:rsidR="00B13ED2">
        <w:t>. B</w:t>
      </w:r>
      <w:r w:rsidR="00961015">
        <w:t xml:space="preserve">oth </w:t>
      </w:r>
      <w:r w:rsidR="00B13ED2">
        <w:t xml:space="preserve">major credit rating agencies – </w:t>
      </w:r>
      <w:r w:rsidR="00961015">
        <w:t xml:space="preserve">S&amp;P </w:t>
      </w:r>
      <w:r w:rsidR="00790C47">
        <w:t>Global</w:t>
      </w:r>
      <w:r w:rsidR="00961015" w:rsidRPr="001E54E2">
        <w:t xml:space="preserve"> </w:t>
      </w:r>
      <w:r w:rsidR="00B13ED2">
        <w:t xml:space="preserve">and </w:t>
      </w:r>
      <w:r w:rsidR="00961015" w:rsidRPr="001E54E2">
        <w:t xml:space="preserve">Moody’s </w:t>
      </w:r>
      <w:r w:rsidR="00B13ED2">
        <w:t>– reaffirmed the State’s triple-A</w:t>
      </w:r>
      <w:r w:rsidR="00824F8D">
        <w:t xml:space="preserve"> credit</w:t>
      </w:r>
      <w:r w:rsidR="00B13ED2">
        <w:t xml:space="preserve"> rating in </w:t>
      </w:r>
      <w:r w:rsidR="00B13ED2" w:rsidRPr="002E0163">
        <w:t>September</w:t>
      </w:r>
      <w:r w:rsidR="001A3F92" w:rsidRPr="00B13ED2">
        <w:t xml:space="preserve"> 2018</w:t>
      </w:r>
      <w:r w:rsidR="001A3F92">
        <w:t>.</w:t>
      </w:r>
    </w:p>
    <w:p w14:paraId="479B9466" w14:textId="791D5D44" w:rsidR="001D0A45" w:rsidRDefault="00D92601" w:rsidP="00181A01">
      <w:pPr>
        <w:pStyle w:val="BodyText"/>
      </w:pPr>
      <w:r>
        <w:t>As a sub-sovereign, t</w:t>
      </w:r>
      <w:r w:rsidRPr="001E54E2">
        <w:t>he</w:t>
      </w:r>
      <w:r w:rsidR="00B13ED2">
        <w:t xml:space="preserve"> credit</w:t>
      </w:r>
      <w:r w:rsidRPr="001E54E2">
        <w:t xml:space="preserve"> rating for </w:t>
      </w:r>
      <w:r w:rsidR="00824F8D">
        <w:t>S</w:t>
      </w:r>
      <w:r w:rsidRPr="001E54E2">
        <w:t xml:space="preserve">tates and </w:t>
      </w:r>
      <w:r w:rsidR="00824F8D">
        <w:t>T</w:t>
      </w:r>
      <w:r w:rsidRPr="001E54E2">
        <w:t xml:space="preserve">erritories </w:t>
      </w:r>
      <w:r w:rsidR="00B13ED2">
        <w:t>is</w:t>
      </w:r>
      <w:r w:rsidRPr="001E54E2">
        <w:t xml:space="preserve"> capped by the rating on the sovereign</w:t>
      </w:r>
      <w:r w:rsidR="00B13ED2">
        <w:t xml:space="preserve">, the </w:t>
      </w:r>
      <w:r w:rsidR="00615A33">
        <w:t>Commonwealth Government</w:t>
      </w:r>
      <w:r w:rsidRPr="001E54E2">
        <w:t>.</w:t>
      </w:r>
      <w:r w:rsidR="00DA74B4">
        <w:t xml:space="preserve"> </w:t>
      </w:r>
      <w:r w:rsidR="00B907FA">
        <w:t>In</w:t>
      </w:r>
      <w:r w:rsidR="00DA74B4">
        <w:t xml:space="preserve"> July 2016, S&amp;P placed the </w:t>
      </w:r>
      <w:r w:rsidR="00B907FA">
        <w:t>Commonwealth on a negative outlook, which flowed through to New South Wales (and the other triple-A rated</w:t>
      </w:r>
      <w:r w:rsidR="006443CF">
        <w:t xml:space="preserve"> </w:t>
      </w:r>
      <w:r w:rsidR="00096C85">
        <w:t>S</w:t>
      </w:r>
      <w:r w:rsidR="00A32CCE">
        <w:t xml:space="preserve">tates and </w:t>
      </w:r>
      <w:r w:rsidR="00096C85">
        <w:t>T</w:t>
      </w:r>
      <w:r w:rsidR="00A32CCE">
        <w:t>erritories)</w:t>
      </w:r>
      <w:r w:rsidR="00B907FA">
        <w:t>.</w:t>
      </w:r>
      <w:r>
        <w:t xml:space="preserve"> </w:t>
      </w:r>
      <w:r w:rsidR="008B5296">
        <w:t xml:space="preserve">In September 2018, </w:t>
      </w:r>
      <w:r>
        <w:t>S&amp;P</w:t>
      </w:r>
      <w:r w:rsidR="008C41E2">
        <w:t xml:space="preserve"> Global</w:t>
      </w:r>
      <w:r>
        <w:t xml:space="preserve"> </w:t>
      </w:r>
      <w:r w:rsidR="00712251">
        <w:t>revis</w:t>
      </w:r>
      <w:r w:rsidR="00017986">
        <w:t>ed the Commo</w:t>
      </w:r>
      <w:r w:rsidR="00A47A0A">
        <w:t>nwealth</w:t>
      </w:r>
      <w:r w:rsidR="00017986">
        <w:t xml:space="preserve">’s </w:t>
      </w:r>
      <w:r w:rsidR="00B907FA">
        <w:t xml:space="preserve">rating </w:t>
      </w:r>
      <w:r w:rsidR="00017986">
        <w:t>o</w:t>
      </w:r>
      <w:r w:rsidRPr="00615A33">
        <w:t xml:space="preserve">utlook </w:t>
      </w:r>
      <w:r w:rsidR="00017986">
        <w:t>from negative to stable</w:t>
      </w:r>
      <w:r>
        <w:t xml:space="preserve">, </w:t>
      </w:r>
      <w:r w:rsidR="00B907FA">
        <w:t xml:space="preserve">and </w:t>
      </w:r>
      <w:r w:rsidR="002330CF">
        <w:t xml:space="preserve">S&amp;P </w:t>
      </w:r>
      <w:r w:rsidR="001D33FB">
        <w:t>subsequently</w:t>
      </w:r>
      <w:r w:rsidR="003328D7">
        <w:t xml:space="preserve"> </w:t>
      </w:r>
      <w:r w:rsidR="00B907FA">
        <w:t xml:space="preserve">revised the </w:t>
      </w:r>
      <w:r>
        <w:t>New South Wales</w:t>
      </w:r>
      <w:r w:rsidR="00B907FA">
        <w:t xml:space="preserve"> outlook back to stable.</w:t>
      </w:r>
      <w:r w:rsidR="006D7801">
        <w:t xml:space="preserve"> </w:t>
      </w:r>
    </w:p>
    <w:p w14:paraId="7A1DAF4E" w14:textId="20AF2A57" w:rsidR="00CA4C1E" w:rsidRDefault="00C479B0" w:rsidP="00937D77">
      <w:pPr>
        <w:pStyle w:val="BodyText"/>
        <w:rPr>
          <w:bCs/>
          <w:i/>
          <w:color w:val="4F4F4F"/>
          <w:kern w:val="28"/>
          <w:sz w:val="22"/>
          <w:szCs w:val="22"/>
        </w:rPr>
      </w:pPr>
      <w:r>
        <w:t>New South Wales</w:t>
      </w:r>
      <w:r w:rsidR="002330CF">
        <w:t xml:space="preserve"> </w:t>
      </w:r>
      <w:r w:rsidR="006D7801">
        <w:t>is</w:t>
      </w:r>
      <w:r w:rsidR="007F614E">
        <w:t xml:space="preserve"> one of only five </w:t>
      </w:r>
      <w:r w:rsidR="0090627E">
        <w:t xml:space="preserve">comparable sub-sovereigns </w:t>
      </w:r>
      <w:r w:rsidR="002B6138">
        <w:t xml:space="preserve">outside the United States </w:t>
      </w:r>
      <w:r w:rsidR="002220A1">
        <w:t xml:space="preserve">to </w:t>
      </w:r>
      <w:r w:rsidR="002B6138">
        <w:t>hold</w:t>
      </w:r>
      <w:r w:rsidR="007F614E">
        <w:t xml:space="preserve"> a triple-A credit rating from both Moody</w:t>
      </w:r>
      <w:r w:rsidR="001A7879">
        <w:t>’s and</w:t>
      </w:r>
      <w:r w:rsidR="00937D77">
        <w:t xml:space="preserve"> </w:t>
      </w:r>
      <w:r w:rsidR="00024C4A">
        <w:t>S</w:t>
      </w:r>
      <w:r w:rsidR="006D7801">
        <w:t>&amp;</w:t>
      </w:r>
      <w:r w:rsidR="00024C4A">
        <w:t>P</w:t>
      </w:r>
      <w:r w:rsidR="008C41E2">
        <w:t xml:space="preserve"> Global</w:t>
      </w:r>
      <w:r w:rsidR="00D7045B">
        <w:t xml:space="preserve"> (refer Table </w:t>
      </w:r>
      <w:r w:rsidR="00A2769D">
        <w:t>E</w:t>
      </w:r>
      <w:r w:rsidR="00D7045B">
        <w:t>.2)</w:t>
      </w:r>
      <w:r w:rsidR="00DB6F37">
        <w:t>.</w:t>
      </w:r>
    </w:p>
    <w:p w14:paraId="55FBAEA1" w14:textId="7A15BE96" w:rsidR="002B6138" w:rsidRDefault="007E76C4" w:rsidP="0072365F">
      <w:pPr>
        <w:pStyle w:val="TableDX"/>
      </w:pPr>
      <w:r>
        <w:t>New South Wales is one of five states rated triple-A by Moody’s and S&amp;P</w:t>
      </w:r>
      <w:r w:rsidR="008C41E2">
        <w:t xml:space="preserve"> Global</w:t>
      </w:r>
      <w:r w:rsidR="00375D90" w:rsidRPr="003321D8">
        <w:rPr>
          <w:vertAlign w:val="superscript"/>
        </w:rPr>
        <w:t>(</w:t>
      </w:r>
      <w:r w:rsidR="00B078A2" w:rsidRPr="003321D8">
        <w:rPr>
          <w:vertAlign w:val="superscript"/>
        </w:rPr>
        <w:t>a)</w:t>
      </w:r>
      <w:r w:rsidR="00281B5F" w:rsidRPr="00FE0702">
        <w:t xml:space="preserve"> </w:t>
      </w:r>
    </w:p>
    <w:tbl>
      <w:tblPr>
        <w:tblStyle w:val="TableGrid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E.2: New South Wales is one of five states rated triple-A by Moody’s and S&amp;P Global"/>
        <w:tblDescription w:val="Table E.2: New South Wales is one of five states rated triple-A by Moody’s and S&amp;P Global"/>
      </w:tblPr>
      <w:tblGrid>
        <w:gridCol w:w="3973"/>
        <w:gridCol w:w="3965"/>
      </w:tblGrid>
      <w:tr w:rsidR="00BF0B48" w:rsidRPr="00937D77" w14:paraId="29F84489" w14:textId="77777777" w:rsidTr="00611BB0">
        <w:trPr>
          <w:jc w:val="center"/>
        </w:trPr>
        <w:tc>
          <w:tcPr>
            <w:tcW w:w="3973" w:type="dxa"/>
            <w:shd w:val="clear" w:color="auto" w:fill="0A7CB9"/>
          </w:tcPr>
          <w:p w14:paraId="31A2F364" w14:textId="6CE8B53C" w:rsidR="00937D77" w:rsidRPr="00937D77" w:rsidRDefault="00937D77" w:rsidP="00BF0B48">
            <w:pPr>
              <w:spacing w:before="60" w:after="60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937D7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Moody’s</w:t>
            </w:r>
          </w:p>
        </w:tc>
        <w:tc>
          <w:tcPr>
            <w:tcW w:w="3965" w:type="dxa"/>
            <w:shd w:val="clear" w:color="auto" w:fill="0A7CB9"/>
          </w:tcPr>
          <w:p w14:paraId="536021A9" w14:textId="67951D9F" w:rsidR="00937D77" w:rsidRPr="00937D77" w:rsidRDefault="00937D77" w:rsidP="00937D77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937D7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S&amp;P</w:t>
            </w:r>
            <w:r w:rsidR="008C41E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Global</w:t>
            </w:r>
          </w:p>
        </w:tc>
      </w:tr>
      <w:tr w:rsidR="00937D77" w:rsidRPr="00937D77" w14:paraId="2E1AE5F2" w14:textId="77777777" w:rsidTr="00611BB0">
        <w:trPr>
          <w:jc w:val="center"/>
        </w:trPr>
        <w:tc>
          <w:tcPr>
            <w:tcW w:w="3973" w:type="dxa"/>
          </w:tcPr>
          <w:p w14:paraId="346A0414" w14:textId="4AD9ABEE" w:rsidR="00937D77" w:rsidRPr="00271717" w:rsidRDefault="00937D77" w:rsidP="00937D77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New South Wales</w:t>
            </w:r>
            <w:r w:rsidR="00662963" w:rsidRPr="00271717">
              <w:rPr>
                <w:b/>
                <w:i w:val="0"/>
                <w:color w:val="auto"/>
                <w:sz w:val="18"/>
              </w:rPr>
              <w:t xml:space="preserve"> (AU)</w:t>
            </w:r>
          </w:p>
        </w:tc>
        <w:tc>
          <w:tcPr>
            <w:tcW w:w="3965" w:type="dxa"/>
          </w:tcPr>
          <w:p w14:paraId="622B319B" w14:textId="5E3CB76B" w:rsidR="00937D77" w:rsidRPr="00271717" w:rsidRDefault="00937D77" w:rsidP="00937D77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New South Wales</w:t>
            </w:r>
            <w:r w:rsidR="00662963" w:rsidRPr="00271717">
              <w:rPr>
                <w:b/>
                <w:i w:val="0"/>
                <w:color w:val="auto"/>
                <w:sz w:val="18"/>
              </w:rPr>
              <w:t xml:space="preserve"> (AU)</w:t>
            </w:r>
          </w:p>
        </w:tc>
      </w:tr>
      <w:tr w:rsidR="00937D77" w:rsidRPr="00937D77" w14:paraId="69FF5E51" w14:textId="77777777" w:rsidTr="00611BB0">
        <w:trPr>
          <w:jc w:val="center"/>
        </w:trPr>
        <w:tc>
          <w:tcPr>
            <w:tcW w:w="3973" w:type="dxa"/>
          </w:tcPr>
          <w:p w14:paraId="58F43833" w14:textId="0BF0E0DC" w:rsidR="00937D77" w:rsidRPr="00271717" w:rsidRDefault="00937D77" w:rsidP="00937D77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Victoria</w:t>
            </w:r>
            <w:r w:rsidR="00662963" w:rsidRPr="00271717">
              <w:rPr>
                <w:b/>
                <w:i w:val="0"/>
                <w:color w:val="auto"/>
                <w:sz w:val="18"/>
              </w:rPr>
              <w:t xml:space="preserve"> (AU)</w:t>
            </w:r>
          </w:p>
        </w:tc>
        <w:tc>
          <w:tcPr>
            <w:tcW w:w="3965" w:type="dxa"/>
          </w:tcPr>
          <w:p w14:paraId="2C1CDAB7" w14:textId="3C6B6554" w:rsidR="00937D77" w:rsidRPr="00271717" w:rsidRDefault="00937D77" w:rsidP="00937D77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Victoria</w:t>
            </w:r>
            <w:r w:rsidR="00662963" w:rsidRPr="00271717">
              <w:rPr>
                <w:b/>
                <w:i w:val="0"/>
                <w:color w:val="auto"/>
                <w:sz w:val="18"/>
              </w:rPr>
              <w:t xml:space="preserve"> (AU)</w:t>
            </w:r>
          </w:p>
        </w:tc>
      </w:tr>
      <w:tr w:rsidR="00937D77" w:rsidRPr="00937D77" w14:paraId="094FEED8" w14:textId="77777777" w:rsidTr="00611BB0">
        <w:trPr>
          <w:jc w:val="center"/>
        </w:trPr>
        <w:tc>
          <w:tcPr>
            <w:tcW w:w="3973" w:type="dxa"/>
          </w:tcPr>
          <w:p w14:paraId="04D24057" w14:textId="6254BEFF" w:rsidR="00937D77" w:rsidRPr="00271717" w:rsidRDefault="00271717" w:rsidP="00937D77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British Columbia (CA)</w:t>
            </w:r>
          </w:p>
        </w:tc>
        <w:tc>
          <w:tcPr>
            <w:tcW w:w="3965" w:type="dxa"/>
          </w:tcPr>
          <w:p w14:paraId="10FB0733" w14:textId="30BB1DFB" w:rsidR="00937D77" w:rsidRPr="00937D77" w:rsidRDefault="00937D77" w:rsidP="00937D77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i w:val="0"/>
                <w:color w:val="auto"/>
                <w:sz w:val="18"/>
              </w:rPr>
            </w:pPr>
            <w:r>
              <w:rPr>
                <w:i w:val="0"/>
                <w:color w:val="auto"/>
                <w:sz w:val="18"/>
              </w:rPr>
              <w:t>Australian Capital Territory</w:t>
            </w:r>
            <w:r w:rsidR="00662963">
              <w:rPr>
                <w:i w:val="0"/>
                <w:color w:val="auto"/>
                <w:sz w:val="18"/>
              </w:rPr>
              <w:t xml:space="preserve"> (AU)</w:t>
            </w:r>
          </w:p>
        </w:tc>
      </w:tr>
      <w:tr w:rsidR="00271717" w:rsidRPr="00937D77" w14:paraId="1D01F2A9" w14:textId="77777777" w:rsidTr="00611BB0">
        <w:trPr>
          <w:jc w:val="center"/>
        </w:trPr>
        <w:tc>
          <w:tcPr>
            <w:tcW w:w="3973" w:type="dxa"/>
          </w:tcPr>
          <w:p w14:paraId="5A8A9A9A" w14:textId="2139D6D7" w:rsidR="00271717" w:rsidRPr="00271717" w:rsidRDefault="005930E4" w:rsidP="00271717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 w:rsidRPr="00937D77">
              <w:rPr>
                <w:i w:val="0"/>
                <w:color w:val="auto"/>
                <w:sz w:val="18"/>
              </w:rPr>
              <w:t>Saskatchewan (CA)</w:t>
            </w:r>
          </w:p>
        </w:tc>
        <w:tc>
          <w:tcPr>
            <w:tcW w:w="3965" w:type="dxa"/>
          </w:tcPr>
          <w:p w14:paraId="1259E063" w14:textId="57A7AEAA" w:rsidR="00271717" w:rsidRPr="00271717" w:rsidRDefault="00271717" w:rsidP="00271717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British Columbia (CA)</w:t>
            </w:r>
          </w:p>
        </w:tc>
      </w:tr>
      <w:tr w:rsidR="00AF64AD" w:rsidRPr="00937D77" w14:paraId="2F649BC0" w14:textId="77777777" w:rsidTr="00611BB0">
        <w:trPr>
          <w:jc w:val="center"/>
        </w:trPr>
        <w:tc>
          <w:tcPr>
            <w:tcW w:w="3973" w:type="dxa"/>
          </w:tcPr>
          <w:p w14:paraId="6EC6F5D0" w14:textId="45747072" w:rsidR="00AF64AD" w:rsidRPr="00271717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Baden-Wuerttemberg (DE)</w:t>
            </w:r>
          </w:p>
        </w:tc>
        <w:tc>
          <w:tcPr>
            <w:tcW w:w="3965" w:type="dxa"/>
          </w:tcPr>
          <w:p w14:paraId="61D12425" w14:textId="1B26A207" w:rsidR="00AF64AD" w:rsidRPr="00271717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>
              <w:rPr>
                <w:i w:val="0"/>
                <w:color w:val="auto"/>
                <w:sz w:val="18"/>
              </w:rPr>
              <w:t>Vaud (CH)</w:t>
            </w:r>
          </w:p>
        </w:tc>
      </w:tr>
      <w:tr w:rsidR="00AF64AD" w:rsidRPr="00937D77" w14:paraId="055BF748" w14:textId="77777777" w:rsidTr="00611BB0">
        <w:trPr>
          <w:jc w:val="center"/>
        </w:trPr>
        <w:tc>
          <w:tcPr>
            <w:tcW w:w="3973" w:type="dxa"/>
          </w:tcPr>
          <w:p w14:paraId="41B7D557" w14:textId="75FF4D1C" w:rsidR="00AF64AD" w:rsidRPr="00937D77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Bavaria (DE)</w:t>
            </w:r>
          </w:p>
        </w:tc>
        <w:tc>
          <w:tcPr>
            <w:tcW w:w="3965" w:type="dxa"/>
          </w:tcPr>
          <w:p w14:paraId="4480341C" w14:textId="2EDD3F18" w:rsidR="00AF64AD" w:rsidRPr="00271717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b/>
                <w:i w:val="0"/>
                <w:color w:val="auto"/>
                <w:sz w:val="18"/>
              </w:rPr>
            </w:pPr>
            <w:r>
              <w:rPr>
                <w:i w:val="0"/>
                <w:color w:val="auto"/>
                <w:sz w:val="18"/>
              </w:rPr>
              <w:t>Zurich (CH)</w:t>
            </w:r>
          </w:p>
        </w:tc>
      </w:tr>
      <w:tr w:rsidR="00AF64AD" w:rsidRPr="00937D77" w14:paraId="7ADEA753" w14:textId="77777777" w:rsidTr="00611BB0">
        <w:trPr>
          <w:jc w:val="center"/>
        </w:trPr>
        <w:tc>
          <w:tcPr>
            <w:tcW w:w="3973" w:type="dxa"/>
          </w:tcPr>
          <w:p w14:paraId="342A4838" w14:textId="104CA80F" w:rsidR="00AF64AD" w:rsidRPr="00937D77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i w:val="0"/>
                <w:color w:val="auto"/>
                <w:sz w:val="18"/>
              </w:rPr>
            </w:pPr>
            <w:r w:rsidRPr="00937D77">
              <w:rPr>
                <w:i w:val="0"/>
                <w:color w:val="auto"/>
                <w:sz w:val="18"/>
              </w:rPr>
              <w:t>Brandenburg (DE)</w:t>
            </w:r>
          </w:p>
        </w:tc>
        <w:tc>
          <w:tcPr>
            <w:tcW w:w="3965" w:type="dxa"/>
          </w:tcPr>
          <w:p w14:paraId="5521559F" w14:textId="6C45A37A" w:rsidR="00AF64AD" w:rsidRPr="00937D77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Baden-Wuerttemberg (DE)</w:t>
            </w:r>
          </w:p>
        </w:tc>
      </w:tr>
      <w:tr w:rsidR="00AF64AD" w:rsidRPr="00937D77" w14:paraId="2E6B6748" w14:textId="77777777" w:rsidTr="00611BB0">
        <w:trPr>
          <w:jc w:val="center"/>
        </w:trPr>
        <w:tc>
          <w:tcPr>
            <w:tcW w:w="3973" w:type="dxa"/>
          </w:tcPr>
          <w:p w14:paraId="6AC36C60" w14:textId="3E1BC193" w:rsidR="00AF64AD" w:rsidRPr="00937D77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i w:val="0"/>
                <w:color w:val="auto"/>
                <w:sz w:val="18"/>
              </w:rPr>
            </w:pPr>
          </w:p>
        </w:tc>
        <w:tc>
          <w:tcPr>
            <w:tcW w:w="3965" w:type="dxa"/>
          </w:tcPr>
          <w:p w14:paraId="66218154" w14:textId="1EF93A0E" w:rsidR="00AF64AD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i w:val="0"/>
                <w:color w:val="auto"/>
                <w:sz w:val="18"/>
              </w:rPr>
            </w:pPr>
            <w:r w:rsidRPr="00271717">
              <w:rPr>
                <w:b/>
                <w:i w:val="0"/>
                <w:color w:val="auto"/>
                <w:sz w:val="18"/>
              </w:rPr>
              <w:t>Bavaria (DE)</w:t>
            </w:r>
          </w:p>
        </w:tc>
      </w:tr>
      <w:tr w:rsidR="00AF64AD" w:rsidRPr="00937D77" w14:paraId="2FE4DBE6" w14:textId="77777777" w:rsidTr="00293354">
        <w:trPr>
          <w:jc w:val="center"/>
        </w:trPr>
        <w:tc>
          <w:tcPr>
            <w:tcW w:w="3973" w:type="dxa"/>
            <w:tcBorders>
              <w:bottom w:val="single" w:sz="4" w:space="0" w:color="auto"/>
            </w:tcBorders>
          </w:tcPr>
          <w:p w14:paraId="52E32984" w14:textId="49DDFB05" w:rsidR="00AF64AD" w:rsidRPr="00937D77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i w:val="0"/>
                <w:color w:val="auto"/>
                <w:sz w:val="18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14:paraId="6FBC8FC8" w14:textId="3C8406DE" w:rsidR="00AF64AD" w:rsidRDefault="00AF64AD" w:rsidP="00AF64AD">
            <w:pPr>
              <w:pStyle w:val="TableDX"/>
              <w:numPr>
                <w:ilvl w:val="0"/>
                <w:numId w:val="0"/>
              </w:numPr>
              <w:spacing w:before="60" w:after="60"/>
              <w:rPr>
                <w:i w:val="0"/>
                <w:color w:val="auto"/>
                <w:sz w:val="18"/>
              </w:rPr>
            </w:pPr>
            <w:r>
              <w:rPr>
                <w:i w:val="0"/>
                <w:color w:val="auto"/>
                <w:sz w:val="18"/>
              </w:rPr>
              <w:t>Saxony (DE)</w:t>
            </w:r>
          </w:p>
        </w:tc>
      </w:tr>
    </w:tbl>
    <w:p w14:paraId="4198C256" w14:textId="77777777" w:rsidR="00381DD7" w:rsidRPr="003321D8" w:rsidRDefault="00381DD7" w:rsidP="00BF0B48">
      <w:pPr>
        <w:pStyle w:val="TableDX"/>
        <w:numPr>
          <w:ilvl w:val="0"/>
          <w:numId w:val="0"/>
        </w:numPr>
        <w:spacing w:before="100" w:after="60"/>
        <w:ind w:left="142"/>
        <w:contextualSpacing/>
        <w:rPr>
          <w:i w:val="0"/>
          <w:sz w:val="6"/>
          <w:szCs w:val="6"/>
        </w:rPr>
      </w:pPr>
    </w:p>
    <w:p w14:paraId="5997A472" w14:textId="4EED2110" w:rsidR="00AF64AD" w:rsidRPr="003321D8" w:rsidRDefault="007F5783" w:rsidP="003321D8">
      <w:pPr>
        <w:pStyle w:val="TableDX"/>
        <w:numPr>
          <w:ilvl w:val="0"/>
          <w:numId w:val="62"/>
        </w:numPr>
        <w:spacing w:before="100" w:after="60"/>
        <w:contextualSpacing/>
        <w:rPr>
          <w:i w:val="0"/>
          <w:color w:val="auto"/>
          <w:sz w:val="17"/>
          <w:szCs w:val="17"/>
        </w:rPr>
      </w:pPr>
      <w:r w:rsidRPr="003321D8">
        <w:rPr>
          <w:i w:val="0"/>
          <w:color w:val="auto"/>
          <w:sz w:val="17"/>
          <w:szCs w:val="17"/>
        </w:rPr>
        <w:t>Sub-sovereigns in bold text reflect a triple-A rating issued by both rating agencies.</w:t>
      </w:r>
    </w:p>
    <w:p w14:paraId="27BC0807" w14:textId="1D6C2A18" w:rsidR="00BF0B48" w:rsidRPr="003321D8" w:rsidRDefault="00BF0B48" w:rsidP="00BF0B48">
      <w:pPr>
        <w:pStyle w:val="TableDX"/>
        <w:numPr>
          <w:ilvl w:val="0"/>
          <w:numId w:val="0"/>
        </w:numPr>
        <w:spacing w:before="100" w:after="60"/>
        <w:ind w:left="142"/>
        <w:contextualSpacing/>
        <w:rPr>
          <w:i w:val="0"/>
          <w:color w:val="auto"/>
          <w:sz w:val="17"/>
          <w:szCs w:val="17"/>
        </w:rPr>
      </w:pPr>
      <w:r w:rsidRPr="003321D8">
        <w:rPr>
          <w:i w:val="0"/>
          <w:color w:val="auto"/>
          <w:sz w:val="17"/>
          <w:szCs w:val="17"/>
        </w:rPr>
        <w:t xml:space="preserve">Note: shows </w:t>
      </w:r>
      <w:r w:rsidR="00DE4547" w:rsidRPr="003321D8">
        <w:rPr>
          <w:i w:val="0"/>
          <w:color w:val="auto"/>
          <w:sz w:val="17"/>
          <w:szCs w:val="17"/>
        </w:rPr>
        <w:t>sub-</w:t>
      </w:r>
      <w:r w:rsidR="005D2273" w:rsidRPr="003321D8">
        <w:rPr>
          <w:i w:val="0"/>
          <w:color w:val="auto"/>
          <w:sz w:val="17"/>
          <w:szCs w:val="17"/>
        </w:rPr>
        <w:t>sovereign</w:t>
      </w:r>
      <w:r w:rsidR="00AF64AD" w:rsidRPr="003321D8">
        <w:rPr>
          <w:i w:val="0"/>
          <w:color w:val="auto"/>
          <w:sz w:val="17"/>
          <w:szCs w:val="17"/>
        </w:rPr>
        <w:t xml:space="preserve">s </w:t>
      </w:r>
      <w:r w:rsidR="00DE4547" w:rsidRPr="003321D8">
        <w:rPr>
          <w:i w:val="0"/>
          <w:color w:val="auto"/>
          <w:sz w:val="17"/>
          <w:szCs w:val="17"/>
        </w:rPr>
        <w:t xml:space="preserve">comparable to </w:t>
      </w:r>
      <w:r w:rsidR="005D2273" w:rsidRPr="003321D8">
        <w:rPr>
          <w:i w:val="0"/>
          <w:color w:val="auto"/>
          <w:sz w:val="17"/>
          <w:szCs w:val="17"/>
        </w:rPr>
        <w:t xml:space="preserve">the State of New South Wales i.e. </w:t>
      </w:r>
      <w:r w:rsidR="005930E4" w:rsidRPr="003321D8">
        <w:rPr>
          <w:i w:val="0"/>
          <w:color w:val="auto"/>
          <w:sz w:val="17"/>
          <w:szCs w:val="17"/>
        </w:rPr>
        <w:t xml:space="preserve">states, provinces, landers, </w:t>
      </w:r>
      <w:r w:rsidR="00A45772" w:rsidRPr="003321D8">
        <w:rPr>
          <w:i w:val="0"/>
          <w:color w:val="auto"/>
          <w:sz w:val="17"/>
          <w:szCs w:val="17"/>
        </w:rPr>
        <w:t>cantons</w:t>
      </w:r>
      <w:r w:rsidR="00AF64AD" w:rsidRPr="003321D8">
        <w:rPr>
          <w:i w:val="0"/>
          <w:color w:val="auto"/>
          <w:sz w:val="17"/>
          <w:szCs w:val="17"/>
        </w:rPr>
        <w:t xml:space="preserve"> etc.</w:t>
      </w:r>
    </w:p>
    <w:p w14:paraId="0C9C5BF7" w14:textId="6A8FAADF" w:rsidR="00937D77" w:rsidRPr="003321D8" w:rsidRDefault="00BF0B48" w:rsidP="00BF0B48">
      <w:pPr>
        <w:pStyle w:val="TableDX"/>
        <w:numPr>
          <w:ilvl w:val="0"/>
          <w:numId w:val="0"/>
        </w:numPr>
        <w:spacing w:before="100" w:after="60"/>
        <w:ind w:firstLine="142"/>
        <w:contextualSpacing/>
        <w:rPr>
          <w:i w:val="0"/>
          <w:color w:val="auto"/>
          <w:sz w:val="17"/>
          <w:szCs w:val="17"/>
        </w:rPr>
      </w:pPr>
      <w:r w:rsidRPr="003321D8">
        <w:rPr>
          <w:i w:val="0"/>
          <w:color w:val="auto"/>
          <w:sz w:val="17"/>
          <w:szCs w:val="17"/>
        </w:rPr>
        <w:t>Abbreviations:</w:t>
      </w:r>
      <w:r w:rsidR="00662963" w:rsidRPr="003321D8">
        <w:rPr>
          <w:i w:val="0"/>
          <w:color w:val="auto"/>
          <w:sz w:val="17"/>
          <w:szCs w:val="17"/>
        </w:rPr>
        <w:t xml:space="preserve"> </w:t>
      </w:r>
      <w:r w:rsidR="00DA5674">
        <w:rPr>
          <w:i w:val="0"/>
          <w:color w:val="auto"/>
          <w:sz w:val="17"/>
          <w:szCs w:val="17"/>
        </w:rPr>
        <w:t>AU (</w:t>
      </w:r>
      <w:r w:rsidR="00662963" w:rsidRPr="003321D8">
        <w:rPr>
          <w:i w:val="0"/>
          <w:color w:val="auto"/>
          <w:sz w:val="17"/>
          <w:szCs w:val="17"/>
        </w:rPr>
        <w:t>Australia</w:t>
      </w:r>
      <w:r w:rsidR="00DA5674">
        <w:rPr>
          <w:i w:val="0"/>
          <w:color w:val="auto"/>
          <w:sz w:val="17"/>
          <w:szCs w:val="17"/>
        </w:rPr>
        <w:t>)</w:t>
      </w:r>
      <w:r w:rsidR="00662963" w:rsidRPr="003321D8">
        <w:rPr>
          <w:i w:val="0"/>
          <w:color w:val="auto"/>
          <w:sz w:val="17"/>
          <w:szCs w:val="17"/>
        </w:rPr>
        <w:t>,</w:t>
      </w:r>
      <w:r w:rsidRPr="003321D8">
        <w:rPr>
          <w:i w:val="0"/>
          <w:color w:val="auto"/>
          <w:sz w:val="17"/>
          <w:szCs w:val="17"/>
        </w:rPr>
        <w:t xml:space="preserve"> CA (Can</w:t>
      </w:r>
      <w:r w:rsidR="006D00E3" w:rsidRPr="003321D8">
        <w:rPr>
          <w:i w:val="0"/>
          <w:color w:val="auto"/>
          <w:sz w:val="17"/>
          <w:szCs w:val="17"/>
        </w:rPr>
        <w:t>a</w:t>
      </w:r>
      <w:r w:rsidRPr="003321D8">
        <w:rPr>
          <w:i w:val="0"/>
          <w:color w:val="auto"/>
          <w:sz w:val="17"/>
          <w:szCs w:val="17"/>
        </w:rPr>
        <w:t>da), CH (Switzerland) and DE (Germany)</w:t>
      </w:r>
    </w:p>
    <w:p w14:paraId="6647887F" w14:textId="6E3A0739" w:rsidR="00270183" w:rsidRDefault="00270183" w:rsidP="00BA49A3">
      <w:pPr>
        <w:jc w:val="center"/>
      </w:pPr>
      <w:r>
        <w:br w:type="page"/>
      </w:r>
    </w:p>
    <w:p w14:paraId="3C847436" w14:textId="3E546E62" w:rsidR="00520616" w:rsidRPr="00FE02A4" w:rsidRDefault="00A43153" w:rsidP="00611BB0">
      <w:pPr>
        <w:pStyle w:val="Chartx"/>
        <w:tabs>
          <w:tab w:val="clear" w:pos="1304"/>
        </w:tabs>
        <w:ind w:left="1276" w:hanging="1276"/>
        <w:rPr>
          <w:color w:val="4F4F4F"/>
        </w:rPr>
      </w:pPr>
      <w:r>
        <w:rPr>
          <w:color w:val="4F4F4F"/>
        </w:rPr>
        <w:lastRenderedPageBreak/>
        <w:t xml:space="preserve">New South Wales has </w:t>
      </w:r>
      <w:r w:rsidR="00F531D7">
        <w:rPr>
          <w:color w:val="4F4F4F"/>
        </w:rPr>
        <w:t xml:space="preserve">the </w:t>
      </w:r>
      <w:r>
        <w:rPr>
          <w:color w:val="4F4F4F"/>
        </w:rPr>
        <w:t xml:space="preserve">highest </w:t>
      </w:r>
      <w:r w:rsidR="00096C85">
        <w:rPr>
          <w:color w:val="4F4F4F"/>
        </w:rPr>
        <w:t xml:space="preserve">credit </w:t>
      </w:r>
      <w:r>
        <w:rPr>
          <w:color w:val="4F4F4F"/>
        </w:rPr>
        <w:t>ratings possible in Australia</w:t>
      </w:r>
    </w:p>
    <w:p w14:paraId="47A6DC1F" w14:textId="4F0207C8" w:rsidR="00FE02A4" w:rsidRPr="00FE0702" w:rsidRDefault="000B25F1" w:rsidP="003321D8">
      <w:r w:rsidRPr="000B25F1">
        <w:rPr>
          <w:noProof/>
        </w:rPr>
        <w:drawing>
          <wp:inline distT="0" distB="0" distL="0" distR="0" wp14:anchorId="714E671A" wp14:editId="583A86C4">
            <wp:extent cx="6027714" cy="2649600"/>
            <wp:effectExtent l="0" t="0" r="0" b="0"/>
            <wp:docPr id="12" name="Picture 12" descr="Chart E.1: New South Wales has the highest credit ratings possible in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714" cy="26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73CA" w14:textId="382861E3" w:rsidR="00D96C8B" w:rsidRPr="00D96C8B" w:rsidRDefault="00D96C8B" w:rsidP="00D96C8B">
      <w:pPr>
        <w:rPr>
          <w:sz w:val="4"/>
        </w:rPr>
      </w:pPr>
    </w:p>
    <w:p w14:paraId="3AE98971" w14:textId="7407DD97" w:rsidR="00F21364" w:rsidRPr="00D96C8B" w:rsidRDefault="00B13ED2" w:rsidP="00D96C8B">
      <w:pPr>
        <w:pStyle w:val="Heading3"/>
        <w:rPr>
          <w:b w:val="0"/>
        </w:rPr>
      </w:pPr>
      <w:r>
        <w:t>Meeting the</w:t>
      </w:r>
      <w:r w:rsidR="00F21364" w:rsidRPr="00D96C8B">
        <w:t xml:space="preserve"> FRA </w:t>
      </w:r>
      <w:r w:rsidR="00281B5F" w:rsidRPr="00D96C8B">
        <w:t>t</w:t>
      </w:r>
      <w:r w:rsidR="00F21364" w:rsidRPr="00D96C8B">
        <w:t>argets</w:t>
      </w:r>
      <w:r w:rsidR="002B1C72" w:rsidRPr="00D96C8B">
        <w:t xml:space="preserve"> and </w:t>
      </w:r>
      <w:r w:rsidR="00281B5F" w:rsidRPr="00D96C8B">
        <w:t>p</w:t>
      </w:r>
      <w:r w:rsidR="002B1C72" w:rsidRPr="00D96C8B">
        <w:t>rinciples</w:t>
      </w:r>
      <w:r w:rsidR="002B1C72" w:rsidRPr="00D96C8B">
        <w:rPr>
          <w:b w:val="0"/>
        </w:rPr>
        <w:t xml:space="preserve"> </w:t>
      </w:r>
    </w:p>
    <w:p w14:paraId="5A3A473C" w14:textId="42C29468" w:rsidR="00697212" w:rsidRPr="00A2082E" w:rsidRDefault="00827376" w:rsidP="00A2082E">
      <w:pPr>
        <w:pStyle w:val="BodyText"/>
        <w:rPr>
          <w:i/>
        </w:rPr>
      </w:pPr>
      <w:r>
        <w:t>The</w:t>
      </w:r>
      <w:r w:rsidR="008E13D4">
        <w:t xml:space="preserve"> FRA</w:t>
      </w:r>
      <w:r w:rsidR="00D92601">
        <w:t xml:space="preserve"> sets out two fiscal targets and </w:t>
      </w:r>
      <w:r>
        <w:t xml:space="preserve">three </w:t>
      </w:r>
      <w:r w:rsidR="00D92601">
        <w:t xml:space="preserve">principles of sound </w:t>
      </w:r>
      <w:r>
        <w:t xml:space="preserve">financial management </w:t>
      </w:r>
      <w:r w:rsidR="00D92601">
        <w:t>to help support the object of the Act</w:t>
      </w:r>
      <w:r w:rsidR="00A2082E">
        <w:t>, as described in Table E.1</w:t>
      </w:r>
      <w:r w:rsidR="00D92601">
        <w:t xml:space="preserve">. </w:t>
      </w:r>
    </w:p>
    <w:p w14:paraId="66AC0397" w14:textId="2C5BDCA8" w:rsidR="002B1C72" w:rsidRPr="002B1C72" w:rsidRDefault="002B1C72" w:rsidP="00A5618F">
      <w:pPr>
        <w:pStyle w:val="Heading4"/>
      </w:pPr>
      <w:r w:rsidRPr="002B1C72">
        <w:t xml:space="preserve">Target 1 – Expense growth </w:t>
      </w:r>
      <w:r w:rsidR="00F91709">
        <w:t>below</w:t>
      </w:r>
      <w:r w:rsidRPr="002B1C72">
        <w:t xml:space="preserve"> long-</w:t>
      </w:r>
      <w:r w:rsidR="00536AFD">
        <w:t xml:space="preserve">term </w:t>
      </w:r>
      <w:r w:rsidR="00BC305B">
        <w:t>average</w:t>
      </w:r>
      <w:r w:rsidRPr="002B1C72">
        <w:t xml:space="preserve"> revenue growth</w:t>
      </w:r>
    </w:p>
    <w:p w14:paraId="7012B775" w14:textId="16F1405B" w:rsidR="002B1C72" w:rsidRPr="0072365F" w:rsidRDefault="006D1807" w:rsidP="0072365F">
      <w:pPr>
        <w:pStyle w:val="BodyText"/>
      </w:pPr>
      <w:r>
        <w:t>The</w:t>
      </w:r>
      <w:r w:rsidR="002B1C72" w:rsidRPr="0072365F">
        <w:t xml:space="preserve"> </w:t>
      </w:r>
      <w:r w:rsidR="00497706">
        <w:t xml:space="preserve">FRA </w:t>
      </w:r>
      <w:r w:rsidR="00334E7B">
        <w:t>requires</w:t>
      </w:r>
      <w:r w:rsidR="00497706">
        <w:t xml:space="preserve"> </w:t>
      </w:r>
      <w:r w:rsidR="007212B9">
        <w:t xml:space="preserve">annual </w:t>
      </w:r>
      <w:r w:rsidR="00F12103">
        <w:t xml:space="preserve">general government </w:t>
      </w:r>
      <w:r w:rsidR="002B1C72" w:rsidRPr="0072365F">
        <w:t>expense growth</w:t>
      </w:r>
      <w:r w:rsidR="00095B14">
        <w:t xml:space="preserve"> to </w:t>
      </w:r>
      <w:r w:rsidR="00824F8D">
        <w:t>be maintained below</w:t>
      </w:r>
      <w:r w:rsidR="00E3156F">
        <w:t xml:space="preserve"> the</w:t>
      </w:r>
      <w:r w:rsidR="00BC305B">
        <w:t xml:space="preserve"> long</w:t>
      </w:r>
      <w:r w:rsidR="00095B14">
        <w:noBreakHyphen/>
      </w:r>
      <w:r w:rsidR="00536AFD">
        <w:t xml:space="preserve">term </w:t>
      </w:r>
      <w:r w:rsidR="00BC305B">
        <w:t>average</w:t>
      </w:r>
      <w:r w:rsidR="00F12103">
        <w:t xml:space="preserve"> general government</w:t>
      </w:r>
      <w:r w:rsidR="00BC305B">
        <w:t xml:space="preserve"> revenue growth</w:t>
      </w:r>
      <w:r w:rsidR="00536AFD">
        <w:t xml:space="preserve"> (5.6 per cent as </w:t>
      </w:r>
      <w:r w:rsidR="00334E7B">
        <w:t xml:space="preserve">set in the </w:t>
      </w:r>
      <w:r w:rsidR="00334E7B" w:rsidRPr="00C15174">
        <w:rPr>
          <w:i/>
        </w:rPr>
        <w:t>Fiscal Responsibility Regulation 2013</w:t>
      </w:r>
      <w:r w:rsidR="00536AFD">
        <w:t>)</w:t>
      </w:r>
      <w:r w:rsidR="00410597">
        <w:t>.</w:t>
      </w:r>
    </w:p>
    <w:p w14:paraId="1914EA29" w14:textId="32F1011F" w:rsidR="002B1C72" w:rsidRDefault="00FD4E09" w:rsidP="00A5618F">
      <w:pPr>
        <w:pStyle w:val="BodyText"/>
      </w:pPr>
      <w:r>
        <w:t>This limit</w:t>
      </w:r>
      <w:r w:rsidR="002B1C72" w:rsidRPr="00D24894">
        <w:t xml:space="preserve"> </w:t>
      </w:r>
      <w:r w:rsidR="008E7EE4">
        <w:t xml:space="preserve">on expense growth </w:t>
      </w:r>
      <w:r w:rsidR="002B1C72" w:rsidRPr="00D24894">
        <w:t xml:space="preserve">has been </w:t>
      </w:r>
      <w:r w:rsidR="00E3156F">
        <w:t>supported by</w:t>
      </w:r>
      <w:r w:rsidR="002B1C72" w:rsidRPr="00D24894">
        <w:t xml:space="preserve"> </w:t>
      </w:r>
      <w:r w:rsidR="00BB75A6">
        <w:t xml:space="preserve">the Government’s </w:t>
      </w:r>
      <w:r w:rsidR="00A33628">
        <w:t xml:space="preserve">2.5 per cent </w:t>
      </w:r>
      <w:r w:rsidR="00116393">
        <w:t xml:space="preserve">public sector </w:t>
      </w:r>
      <w:r w:rsidR="002B1C72" w:rsidRPr="00D24894">
        <w:t>wage</w:t>
      </w:r>
      <w:r w:rsidR="00BB75A6">
        <w:t>s</w:t>
      </w:r>
      <w:r w:rsidR="002B1C72" w:rsidRPr="00D24894">
        <w:t xml:space="preserve"> policy</w:t>
      </w:r>
      <w:r w:rsidR="00116393">
        <w:t xml:space="preserve"> and </w:t>
      </w:r>
      <w:r w:rsidR="00D713D8">
        <w:t>various savings measures such as efficiency dividends</w:t>
      </w:r>
      <w:r w:rsidR="002B1C72" w:rsidRPr="00D24894">
        <w:t>.</w:t>
      </w:r>
    </w:p>
    <w:p w14:paraId="1FC8D511" w14:textId="7427B63B" w:rsidR="008007A4" w:rsidRDefault="00E7047F" w:rsidP="00F91709">
      <w:pPr>
        <w:pStyle w:val="BodyText"/>
      </w:pPr>
      <w:r>
        <w:t xml:space="preserve">The Government has achieved </w:t>
      </w:r>
      <w:r w:rsidR="008E7EE4">
        <w:t>this target</w:t>
      </w:r>
      <w:r w:rsidR="002B1C72">
        <w:t xml:space="preserve"> </w:t>
      </w:r>
      <w:r>
        <w:t xml:space="preserve">since the introduction </w:t>
      </w:r>
      <w:r w:rsidR="002B1C72">
        <w:t>of the FRA</w:t>
      </w:r>
      <w:r w:rsidR="00E45982">
        <w:t xml:space="preserve"> </w:t>
      </w:r>
      <w:r w:rsidR="00586869">
        <w:t xml:space="preserve">in 2012 </w:t>
      </w:r>
      <w:r w:rsidR="00E45982">
        <w:t>and</w:t>
      </w:r>
      <w:r w:rsidR="00586869">
        <w:t xml:space="preserve"> is project</w:t>
      </w:r>
      <w:r w:rsidR="00A22371">
        <w:t>ed</w:t>
      </w:r>
      <w:r w:rsidR="00586869">
        <w:t xml:space="preserve"> to </w:t>
      </w:r>
      <w:r w:rsidR="002224E5">
        <w:t>continue</w:t>
      </w:r>
      <w:r w:rsidR="00CC229F">
        <w:t xml:space="preserve"> </w:t>
      </w:r>
      <w:r w:rsidR="002224E5">
        <w:t>to do so</w:t>
      </w:r>
      <w:r w:rsidR="00E45982">
        <w:t xml:space="preserve"> over </w:t>
      </w:r>
      <w:r w:rsidR="00586869">
        <w:t xml:space="preserve">the budget and forward </w:t>
      </w:r>
      <w:r w:rsidR="00BA49A3">
        <w:t>estimates</w:t>
      </w:r>
      <w:r w:rsidR="00586869">
        <w:t xml:space="preserve"> </w:t>
      </w:r>
      <w:r w:rsidR="00BA49A3">
        <w:t>in the 2019-20 Budget</w:t>
      </w:r>
      <w:r w:rsidR="002224E5">
        <w:t xml:space="preserve"> (</w:t>
      </w:r>
      <w:r w:rsidR="00BA49A3">
        <w:t>see</w:t>
      </w:r>
      <w:r w:rsidR="002224E5">
        <w:t xml:space="preserve"> Chart </w:t>
      </w:r>
      <w:r w:rsidR="00A2769D">
        <w:t>E</w:t>
      </w:r>
      <w:r w:rsidR="00D6540E">
        <w:t>.</w:t>
      </w:r>
      <w:r w:rsidR="00A2769D">
        <w:t>2</w:t>
      </w:r>
      <w:r w:rsidR="002224E5">
        <w:t>)</w:t>
      </w:r>
      <w:r w:rsidR="00E45982">
        <w:t>.</w:t>
      </w:r>
    </w:p>
    <w:p w14:paraId="6D847472" w14:textId="2189E6C2" w:rsidR="00EC1F01" w:rsidRDefault="00DA148D" w:rsidP="00F91709">
      <w:pPr>
        <w:pStyle w:val="BodyText"/>
      </w:pPr>
      <w:r>
        <w:t xml:space="preserve">Over the long-term, there is a divergence </w:t>
      </w:r>
      <w:r w:rsidR="00014C40">
        <w:t>in the revenue outlook from long-term revenue growth</w:t>
      </w:r>
      <w:r w:rsidR="00424A46">
        <w:t xml:space="preserve"> (which was noted in the review of the FRA)</w:t>
      </w:r>
      <w:r w:rsidR="00B67225">
        <w:t>. As revenue pressures emerge over the medium term</w:t>
      </w:r>
      <w:r w:rsidR="00581206">
        <w:t>,</w:t>
      </w:r>
      <w:r w:rsidR="00E048DA">
        <w:t xml:space="preserve"> </w:t>
      </w:r>
      <w:r w:rsidR="00581206">
        <w:t>the Government will need to</w:t>
      </w:r>
      <w:r w:rsidR="00636DF0">
        <w:t xml:space="preserve"> not only</w:t>
      </w:r>
      <w:r w:rsidR="00581206">
        <w:t xml:space="preserve"> carefully manage expense </w:t>
      </w:r>
      <w:proofErr w:type="gramStart"/>
      <w:r w:rsidR="00581206">
        <w:t>growth</w:t>
      </w:r>
      <w:r w:rsidR="005674A2">
        <w:t>,</w:t>
      </w:r>
      <w:r w:rsidR="00CA7752">
        <w:t xml:space="preserve"> but</w:t>
      </w:r>
      <w:proofErr w:type="gramEnd"/>
      <w:r w:rsidR="00CA7752">
        <w:t xml:space="preserve"> maintain</w:t>
      </w:r>
      <w:r w:rsidR="00932BF0">
        <w:t xml:space="preserve"> a sustainable operating position and </w:t>
      </w:r>
      <w:r w:rsidR="00BB5167">
        <w:t>manageable debt levels.</w:t>
      </w:r>
      <w:r w:rsidR="00EC1F01">
        <w:br w:type="page"/>
      </w:r>
    </w:p>
    <w:p w14:paraId="4090B4C6" w14:textId="42666351" w:rsidR="002B1C72" w:rsidRPr="00FE0702" w:rsidRDefault="00084E7E" w:rsidP="008007A4">
      <w:pPr>
        <w:pStyle w:val="Chartx"/>
        <w:ind w:left="0" w:firstLine="0"/>
      </w:pPr>
      <w:r>
        <w:lastRenderedPageBreak/>
        <w:t>General government</w:t>
      </w:r>
      <w:r w:rsidR="00CA7752">
        <w:t xml:space="preserve"> annual</w:t>
      </w:r>
      <w:r>
        <w:t xml:space="preserve"> e</w:t>
      </w:r>
      <w:r w:rsidR="002B1C72" w:rsidRPr="00FE0702">
        <w:t xml:space="preserve">xpense </w:t>
      </w:r>
      <w:r w:rsidR="00281B5F">
        <w:t>g</w:t>
      </w:r>
      <w:r w:rsidR="00281B5F" w:rsidRPr="00FE0702">
        <w:t xml:space="preserve">rowth </w:t>
      </w:r>
    </w:p>
    <w:p w14:paraId="5186B6EC" w14:textId="2EF07F0D" w:rsidR="005E62D9" w:rsidRPr="005E62D9" w:rsidRDefault="00FC0069" w:rsidP="003321D8">
      <w:pPr>
        <w:rPr>
          <w:lang w:val="en-AU"/>
        </w:rPr>
      </w:pPr>
      <w:r w:rsidRPr="00FC0069">
        <w:rPr>
          <w:noProof/>
        </w:rPr>
        <w:drawing>
          <wp:inline distT="0" distB="0" distL="0" distR="0" wp14:anchorId="20F44217" wp14:editId="055A06C7">
            <wp:extent cx="6120130" cy="2650277"/>
            <wp:effectExtent l="0" t="0" r="0" b="0"/>
            <wp:docPr id="2" name="Picture 2" descr="Chart E.2: General government annual expense growt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5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E82ED" w14:textId="6CF3867C" w:rsidR="002B1C72" w:rsidRPr="00EC2CCB" w:rsidRDefault="002B1C72" w:rsidP="00A5618F">
      <w:pPr>
        <w:pStyle w:val="Heading4"/>
      </w:pPr>
      <w:r w:rsidRPr="00EC2CCB">
        <w:t xml:space="preserve">Target 2 – </w:t>
      </w:r>
      <w:r w:rsidR="00BA49A3">
        <w:t xml:space="preserve">Fully funding the State’s </w:t>
      </w:r>
      <w:r w:rsidRPr="00EC2CCB">
        <w:t>super</w:t>
      </w:r>
      <w:r w:rsidR="00BA49A3">
        <w:t>annuation</w:t>
      </w:r>
      <w:r w:rsidRPr="00EC2CCB">
        <w:t xml:space="preserve"> liabilities by 2030</w:t>
      </w:r>
    </w:p>
    <w:p w14:paraId="2CD8DC93" w14:textId="5098B980" w:rsidR="00A22371" w:rsidRDefault="00E174AF">
      <w:pPr>
        <w:pStyle w:val="BodyText"/>
      </w:pPr>
      <w:r>
        <w:t xml:space="preserve">The </w:t>
      </w:r>
      <w:r w:rsidR="00A22371">
        <w:t xml:space="preserve">FRA requires the </w:t>
      </w:r>
      <w:r w:rsidR="00C87A12">
        <w:t>Government</w:t>
      </w:r>
      <w:r>
        <w:t xml:space="preserve"> to fully fund</w:t>
      </w:r>
      <w:r w:rsidR="002B1C72" w:rsidRPr="000F54DA">
        <w:t xml:space="preserve"> the State’s</w:t>
      </w:r>
      <w:r w:rsidR="00A22371">
        <w:t xml:space="preserve"> unfunded</w:t>
      </w:r>
      <w:r w:rsidR="002B1C72" w:rsidRPr="000F54DA">
        <w:t xml:space="preserve"> superannuation liabilities by 2030. </w:t>
      </w:r>
      <w:r w:rsidR="006236E1">
        <w:t>If not properly managed</w:t>
      </w:r>
      <w:r w:rsidR="00414F9F">
        <w:t>, unfunded super liabilities may result in long-term financial imbalance that</w:t>
      </w:r>
      <w:r w:rsidR="00A57C84">
        <w:t xml:space="preserve"> </w:t>
      </w:r>
      <w:r w:rsidR="00E96A40">
        <w:t>impact</w:t>
      </w:r>
      <w:r w:rsidR="00B11F27">
        <w:t>s</w:t>
      </w:r>
      <w:r w:rsidR="00A57C84">
        <w:t xml:space="preserve"> intergenerational equity</w:t>
      </w:r>
      <w:r w:rsidR="00B11F27">
        <w:t xml:space="preserve"> and </w:t>
      </w:r>
      <w:r w:rsidR="00D761BF">
        <w:t>puts pressure on the credit rating</w:t>
      </w:r>
      <w:r w:rsidR="005E3ACD">
        <w:t>.</w:t>
      </w:r>
    </w:p>
    <w:p w14:paraId="3968E8AF" w14:textId="0580ED05" w:rsidR="00283B68" w:rsidRPr="000F54DA" w:rsidRDefault="00282518" w:rsidP="00283B68">
      <w:pPr>
        <w:pStyle w:val="BodyText"/>
      </w:pPr>
      <w:r>
        <w:t>To achieve this</w:t>
      </w:r>
      <w:r w:rsidR="008B2DE7">
        <w:t xml:space="preserve"> target</w:t>
      </w:r>
      <w:r>
        <w:t xml:space="preserve">, the </w:t>
      </w:r>
      <w:r w:rsidR="00A22371">
        <w:t xml:space="preserve">Government makes </w:t>
      </w:r>
      <w:r w:rsidR="005D7BF7">
        <w:t>annual</w:t>
      </w:r>
      <w:r w:rsidR="00412FE8">
        <w:t xml:space="preserve"> cash</w:t>
      </w:r>
      <w:r w:rsidR="005D7BF7">
        <w:t xml:space="preserve"> </w:t>
      </w:r>
      <w:r w:rsidR="00A22371">
        <w:t>contributions</w:t>
      </w:r>
      <w:r w:rsidR="006E75C4">
        <w:t xml:space="preserve"> to the </w:t>
      </w:r>
      <w:r w:rsidR="00DB13D0">
        <w:t xml:space="preserve">State’s defined benefit superannuation schemes in line with </w:t>
      </w:r>
      <w:r w:rsidR="00957900">
        <w:t>a</w:t>
      </w:r>
      <w:r w:rsidR="00A22371">
        <w:t xml:space="preserve"> </w:t>
      </w:r>
      <w:r w:rsidR="00503A85">
        <w:t>funding</w:t>
      </w:r>
      <w:r>
        <w:t xml:space="preserve"> plan</w:t>
      </w:r>
      <w:r w:rsidR="00957900">
        <w:t xml:space="preserve"> set at each triennial review </w:t>
      </w:r>
      <w:r w:rsidR="008017A9">
        <w:t>of the schemes.</w:t>
      </w:r>
      <w:r>
        <w:t xml:space="preserve"> </w:t>
      </w:r>
      <w:r w:rsidR="008017A9">
        <w:t xml:space="preserve">This funding plan </w:t>
      </w:r>
      <w:proofErr w:type="gramStart"/>
      <w:r w:rsidR="008017A9">
        <w:t>takes into account</w:t>
      </w:r>
      <w:proofErr w:type="gramEnd"/>
      <w:r w:rsidR="008017A9">
        <w:t xml:space="preserve"> any</w:t>
      </w:r>
      <w:r w:rsidR="00283B68">
        <w:t xml:space="preserve"> changes in </w:t>
      </w:r>
      <w:r w:rsidR="00412FE8">
        <w:t xml:space="preserve">both </w:t>
      </w:r>
      <w:r w:rsidR="00283B68">
        <w:t xml:space="preserve">the asset (e.g. market returns) </w:t>
      </w:r>
      <w:r w:rsidR="00412FE8">
        <w:t>and</w:t>
      </w:r>
      <w:r w:rsidR="00283B68">
        <w:t xml:space="preserve"> the liability (e.g. demographic </w:t>
      </w:r>
      <w:r w:rsidR="00E96A40">
        <w:t>and</w:t>
      </w:r>
      <w:r w:rsidR="00283B68">
        <w:t xml:space="preserve"> actuarial assumption</w:t>
      </w:r>
      <w:r w:rsidR="00E857E1">
        <w:t>s</w:t>
      </w:r>
      <w:r w:rsidR="00283B68">
        <w:t xml:space="preserve">) components of the schemes. Following the </w:t>
      </w:r>
      <w:r w:rsidR="008A5E74">
        <w:t xml:space="preserve">latest </w:t>
      </w:r>
      <w:r w:rsidR="00283B68">
        <w:t xml:space="preserve">triennial </w:t>
      </w:r>
      <w:r w:rsidR="00283B68" w:rsidRPr="008A5E74">
        <w:t xml:space="preserve">review in </w:t>
      </w:r>
      <w:r w:rsidR="008A5E74" w:rsidRPr="008A5E74">
        <w:t>Octo</w:t>
      </w:r>
      <w:r w:rsidR="00283B68" w:rsidRPr="008A5E74">
        <w:t>ber 2018</w:t>
      </w:r>
      <w:r w:rsidR="00283B68">
        <w:t xml:space="preserve">, it was confirmed that New South Wales remains on track to fully fund the </w:t>
      </w:r>
      <w:r w:rsidR="008A5E74">
        <w:t xml:space="preserve">State’s </w:t>
      </w:r>
      <w:r w:rsidR="00283B68">
        <w:t>superannuation liabilit</w:t>
      </w:r>
      <w:r w:rsidR="008A5E74">
        <w:t>ies</w:t>
      </w:r>
      <w:r w:rsidR="00283B68">
        <w:t xml:space="preserve"> by 2030.</w:t>
      </w:r>
    </w:p>
    <w:p w14:paraId="67AE7859" w14:textId="5521D264" w:rsidR="002B1C72" w:rsidRPr="000F54DA" w:rsidRDefault="002B1C72">
      <w:pPr>
        <w:pStyle w:val="BodyText"/>
      </w:pPr>
      <w:r w:rsidRPr="006F5D99">
        <w:t xml:space="preserve">Total state unfunded super liabilities </w:t>
      </w:r>
      <w:r w:rsidR="009868B9">
        <w:t>are</w:t>
      </w:r>
      <w:r w:rsidRPr="006F5D99">
        <w:t xml:space="preserve"> estimated </w:t>
      </w:r>
      <w:r w:rsidR="009868B9">
        <w:t xml:space="preserve">to </w:t>
      </w:r>
      <w:r w:rsidR="009868B9" w:rsidRPr="004726D7">
        <w:t xml:space="preserve">be </w:t>
      </w:r>
      <w:r w:rsidRPr="003321D8">
        <w:t>$</w:t>
      </w:r>
      <w:r w:rsidR="00945ECF" w:rsidRPr="003321D8">
        <w:t>61</w:t>
      </w:r>
      <w:r w:rsidR="00B96C57">
        <w:t>.0</w:t>
      </w:r>
      <w:r w:rsidRPr="004726D7">
        <w:t xml:space="preserve"> billion at June 201</w:t>
      </w:r>
      <w:r w:rsidR="00866BCA" w:rsidRPr="004726D7">
        <w:t>9</w:t>
      </w:r>
      <w:r w:rsidR="00E4003B" w:rsidRPr="004726D7">
        <w:t xml:space="preserve"> and </w:t>
      </w:r>
      <w:r w:rsidR="00414E68" w:rsidRPr="004726D7">
        <w:t xml:space="preserve">are </w:t>
      </w:r>
      <w:r w:rsidR="00E4003B" w:rsidRPr="004726D7">
        <w:t>pr</w:t>
      </w:r>
      <w:r w:rsidRPr="004726D7">
        <w:t>ojected to decline to $</w:t>
      </w:r>
      <w:r w:rsidR="0061765F" w:rsidRPr="003321D8">
        <w:t>4</w:t>
      </w:r>
      <w:r w:rsidR="00B96C57">
        <w:t>0.9</w:t>
      </w:r>
      <w:r w:rsidRPr="004726D7">
        <w:t xml:space="preserve"> billion at June</w:t>
      </w:r>
      <w:r w:rsidR="00B26D92" w:rsidRPr="004726D7">
        <w:t> </w:t>
      </w:r>
      <w:r w:rsidRPr="004726D7">
        <w:t>202</w:t>
      </w:r>
      <w:r w:rsidR="00B87695" w:rsidRPr="004726D7">
        <w:t>3</w:t>
      </w:r>
      <w:r w:rsidR="0061765F" w:rsidRPr="004726D7">
        <w:t>, reaching</w:t>
      </w:r>
      <w:r w:rsidRPr="004726D7">
        <w:t xml:space="preserve"> zero at June 2030 (see </w:t>
      </w:r>
      <w:r w:rsidRPr="003321D8">
        <w:t xml:space="preserve">Chapter </w:t>
      </w:r>
      <w:r w:rsidR="007F10F7" w:rsidRPr="003321D8">
        <w:t>6</w:t>
      </w:r>
      <w:r w:rsidRPr="004726D7">
        <w:t xml:space="preserve"> </w:t>
      </w:r>
      <w:r w:rsidR="008B2DE7" w:rsidRPr="004726D7">
        <w:t>for further</w:t>
      </w:r>
      <w:r w:rsidRPr="004726D7">
        <w:t xml:space="preserve"> analysis).</w:t>
      </w:r>
    </w:p>
    <w:p w14:paraId="2C4A7889" w14:textId="7993301E" w:rsidR="00520616" w:rsidRPr="002B1C72" w:rsidRDefault="00520616" w:rsidP="00A5618F">
      <w:pPr>
        <w:pStyle w:val="Heading4"/>
      </w:pPr>
      <w:r w:rsidRPr="002B1C72">
        <w:t xml:space="preserve">Principle 1 </w:t>
      </w:r>
      <w:r w:rsidR="00776172" w:rsidRPr="002B1C72">
        <w:t xml:space="preserve">– </w:t>
      </w:r>
      <w:r w:rsidRPr="002B1C72">
        <w:t>Responsible and sustainable spending, taxation and infrastructure investment</w:t>
      </w:r>
    </w:p>
    <w:p w14:paraId="6AD58E39" w14:textId="26008089" w:rsidR="00D900C8" w:rsidRPr="000D5E69" w:rsidRDefault="00FE1002" w:rsidP="00EC1F01">
      <w:pPr>
        <w:pStyle w:val="BodyText"/>
      </w:pPr>
      <w:r>
        <w:t>T</w:t>
      </w:r>
      <w:r w:rsidR="008F15E1">
        <w:t xml:space="preserve">he </w:t>
      </w:r>
      <w:r w:rsidR="00E85FFD" w:rsidRPr="000D5E69">
        <w:t>principle</w:t>
      </w:r>
      <w:r w:rsidR="000D5E69" w:rsidRPr="000D5E69">
        <w:t xml:space="preserve"> </w:t>
      </w:r>
      <w:r>
        <w:t>of</w:t>
      </w:r>
      <w:r w:rsidR="00D14A61">
        <w:t xml:space="preserve"> </w:t>
      </w:r>
      <w:r w:rsidR="00D14A61" w:rsidRPr="009A7D7E">
        <w:t>responsible and sustainable spending, taxation and infrastructure investment</w:t>
      </w:r>
      <w:r>
        <w:t xml:space="preserve"> </w:t>
      </w:r>
      <w:r w:rsidR="000D5E69" w:rsidRPr="000D5E69">
        <w:t>includes aligning general government revenue and expense growth, stable and predictable taxation policies, and</w:t>
      </w:r>
      <w:r w:rsidR="000D5E69">
        <w:t xml:space="preserve"> </w:t>
      </w:r>
      <w:r w:rsidR="000D5E69" w:rsidRPr="000D5E69">
        <w:t>investment in infrastructure that has the highest benefit for the community.</w:t>
      </w:r>
      <w:r w:rsidR="00E85FFD" w:rsidRPr="000D5E69">
        <w:t xml:space="preserve"> </w:t>
      </w:r>
      <w:r w:rsidR="00973709">
        <w:t xml:space="preserve">This </w:t>
      </w:r>
      <w:r w:rsidR="00E85FFD" w:rsidRPr="000D5E69">
        <w:t xml:space="preserve">underpins the </w:t>
      </w:r>
      <w:r w:rsidR="00003FA2" w:rsidRPr="000D5E69">
        <w:t>ability to</w:t>
      </w:r>
      <w:r w:rsidR="00E85FFD" w:rsidRPr="000D5E69">
        <w:t xml:space="preserve"> maintain</w:t>
      </w:r>
      <w:r w:rsidR="00D900C8" w:rsidRPr="000D5E69">
        <w:t xml:space="preserve"> a strong and sustainable fiscal position</w:t>
      </w:r>
      <w:r w:rsidR="00085EF0" w:rsidRPr="000D5E69">
        <w:t>, shown by an operating position appropriate for current conditions, and debt that can be sustainably managed while providing recurrent services and infrastructure investment.</w:t>
      </w:r>
    </w:p>
    <w:p w14:paraId="3FFEFA5C" w14:textId="79A0F367" w:rsidR="00520616" w:rsidRDefault="00BA6654" w:rsidP="00D216D4">
      <w:pPr>
        <w:pStyle w:val="BodyText"/>
      </w:pPr>
      <w:r>
        <w:t>K</w:t>
      </w:r>
      <w:r w:rsidR="00210558">
        <w:t>eeping</w:t>
      </w:r>
      <w:r w:rsidR="006768F4">
        <w:t xml:space="preserve"> </w:t>
      </w:r>
      <w:r w:rsidR="00973709">
        <w:t xml:space="preserve">general government </w:t>
      </w:r>
      <w:r w:rsidR="006768F4">
        <w:t>ex</w:t>
      </w:r>
      <w:r w:rsidR="00776172">
        <w:t>pense growth below</w:t>
      </w:r>
      <w:r w:rsidR="006768F4">
        <w:t xml:space="preserve"> </w:t>
      </w:r>
      <w:r w:rsidR="00D900C8">
        <w:t xml:space="preserve">the </w:t>
      </w:r>
      <w:r w:rsidR="006768F4">
        <w:t xml:space="preserve">long-term revenue growth </w:t>
      </w:r>
      <w:r w:rsidR="00D900C8">
        <w:t>rate of</w:t>
      </w:r>
      <w:r w:rsidR="006768F4">
        <w:t xml:space="preserve"> 5.6</w:t>
      </w:r>
      <w:r w:rsidR="000F54DA">
        <w:t> </w:t>
      </w:r>
      <w:r w:rsidR="006768F4">
        <w:t>per</w:t>
      </w:r>
      <w:r w:rsidR="000F54DA">
        <w:t> </w:t>
      </w:r>
      <w:r w:rsidR="006768F4">
        <w:t>cent</w:t>
      </w:r>
      <w:r>
        <w:t xml:space="preserve"> </w:t>
      </w:r>
      <w:r w:rsidR="00156FEC">
        <w:t xml:space="preserve">as per the FRA target </w:t>
      </w:r>
      <w:r w:rsidR="00CA7894">
        <w:t>reflects</w:t>
      </w:r>
      <w:r w:rsidR="0095771D">
        <w:t xml:space="preserve"> the commitment to responsible and sustainable spendin</w:t>
      </w:r>
      <w:r w:rsidR="00F4454F">
        <w:t>g.</w:t>
      </w:r>
    </w:p>
    <w:p w14:paraId="377921B8" w14:textId="5B76B5C2" w:rsidR="008007A4" w:rsidRDefault="002B1C72" w:rsidP="001D0447">
      <w:pPr>
        <w:pStyle w:val="BodyText"/>
        <w:rPr>
          <w:highlight w:val="yellow"/>
        </w:rPr>
      </w:pPr>
      <w:r>
        <w:t>S</w:t>
      </w:r>
      <w:r w:rsidR="009637E0" w:rsidRPr="002B1C72">
        <w:t xml:space="preserve">tate taxation </w:t>
      </w:r>
      <w:r w:rsidR="009637E0" w:rsidRPr="003C4A11">
        <w:t xml:space="preserve">has </w:t>
      </w:r>
      <w:r w:rsidR="009B1D23" w:rsidRPr="003C4A11">
        <w:t>remained</w:t>
      </w:r>
      <w:r w:rsidR="009637E0" w:rsidRPr="003C4A11">
        <w:t xml:space="preserve"> </w:t>
      </w:r>
      <w:r w:rsidR="004142E7" w:rsidRPr="003C4A11">
        <w:t>consistent</w:t>
      </w:r>
      <w:r w:rsidR="009637E0" w:rsidRPr="003C4A11">
        <w:t xml:space="preserve"> and low, with the ratio of tax receipts to </w:t>
      </w:r>
      <w:r w:rsidR="00D117B0" w:rsidRPr="003C4A11">
        <w:t>gross state product</w:t>
      </w:r>
      <w:r w:rsidR="00B33934" w:rsidRPr="003C4A11">
        <w:t xml:space="preserve"> (</w:t>
      </w:r>
      <w:r w:rsidR="009637E0" w:rsidRPr="003C4A11">
        <w:t>GSP</w:t>
      </w:r>
      <w:r w:rsidR="00B33934" w:rsidRPr="003C4A11">
        <w:t>)</w:t>
      </w:r>
      <w:r w:rsidR="009637E0" w:rsidRPr="003C4A11">
        <w:t xml:space="preserve"> </w:t>
      </w:r>
      <w:r w:rsidR="009637E0" w:rsidRPr="003321D8">
        <w:t>declining from 5.4</w:t>
      </w:r>
      <w:r w:rsidR="000F54DA" w:rsidRPr="003321D8">
        <w:t> </w:t>
      </w:r>
      <w:r w:rsidR="009637E0" w:rsidRPr="003321D8">
        <w:t>per</w:t>
      </w:r>
      <w:r w:rsidR="000F54DA" w:rsidRPr="003321D8">
        <w:t> </w:t>
      </w:r>
      <w:r w:rsidR="009637E0" w:rsidRPr="003321D8">
        <w:t xml:space="preserve">cent in </w:t>
      </w:r>
      <w:r w:rsidR="00D900C8" w:rsidRPr="003321D8">
        <w:t xml:space="preserve">2015-16 </w:t>
      </w:r>
      <w:r w:rsidR="009D22E9" w:rsidRPr="003321D8">
        <w:t>to</w:t>
      </w:r>
      <w:r w:rsidR="00D900C8" w:rsidRPr="003321D8">
        <w:t xml:space="preserve"> a projected</w:t>
      </w:r>
      <w:r w:rsidR="009D22E9" w:rsidRPr="003321D8">
        <w:t xml:space="preserve"> </w:t>
      </w:r>
      <w:r w:rsidR="009012BF" w:rsidRPr="003321D8">
        <w:t>5.0</w:t>
      </w:r>
      <w:r w:rsidR="00D900C8" w:rsidRPr="003321D8">
        <w:t xml:space="preserve"> per cent in </w:t>
      </w:r>
      <w:proofErr w:type="gramStart"/>
      <w:r w:rsidR="00D900C8" w:rsidRPr="003321D8">
        <w:t xml:space="preserve">2018-19, </w:t>
      </w:r>
      <w:r w:rsidR="006017AE" w:rsidRPr="003321D8">
        <w:t>and</w:t>
      </w:r>
      <w:proofErr w:type="gramEnd"/>
      <w:r w:rsidR="006017AE" w:rsidRPr="003321D8">
        <w:t xml:space="preserve"> remaining around that ratio</w:t>
      </w:r>
      <w:r w:rsidR="00D900C8" w:rsidRPr="003321D8">
        <w:t xml:space="preserve"> across the forward </w:t>
      </w:r>
      <w:r w:rsidR="008B2DE7" w:rsidRPr="003321D8">
        <w:t>estimates</w:t>
      </w:r>
      <w:r w:rsidR="002224E5" w:rsidRPr="003321D8">
        <w:t xml:space="preserve"> (as shown in Chart </w:t>
      </w:r>
      <w:r w:rsidR="00A2769D" w:rsidRPr="003321D8">
        <w:t>E</w:t>
      </w:r>
      <w:r w:rsidR="00D6540E">
        <w:t>.</w:t>
      </w:r>
      <w:r w:rsidR="00A2769D" w:rsidRPr="003321D8">
        <w:t>3</w:t>
      </w:r>
      <w:r w:rsidR="002224E5" w:rsidRPr="003321D8">
        <w:t>)</w:t>
      </w:r>
      <w:r w:rsidR="00D900C8" w:rsidRPr="003321D8">
        <w:t>.</w:t>
      </w:r>
    </w:p>
    <w:p w14:paraId="6AA3A5A0" w14:textId="415423B2" w:rsidR="00EC1F01" w:rsidRDefault="00EC1F01" w:rsidP="001D0447">
      <w:pPr>
        <w:pStyle w:val="BodyText"/>
      </w:pPr>
      <w:r>
        <w:br w:type="page"/>
      </w:r>
    </w:p>
    <w:p w14:paraId="75B91DAC" w14:textId="559507AE" w:rsidR="00373026" w:rsidRPr="0072365F" w:rsidRDefault="00373026" w:rsidP="008007A4">
      <w:pPr>
        <w:pStyle w:val="Chartx"/>
        <w:spacing w:before="0"/>
        <w:ind w:left="1276" w:hanging="1276"/>
        <w:rPr>
          <w:i w:val="0"/>
        </w:rPr>
      </w:pPr>
      <w:r w:rsidRPr="0072365F">
        <w:lastRenderedPageBreak/>
        <w:t xml:space="preserve">Taxation revenue, ratio to </w:t>
      </w:r>
      <w:r w:rsidR="000F54DA">
        <w:t>GSP</w:t>
      </w:r>
    </w:p>
    <w:p w14:paraId="636689E5" w14:textId="5E7CD945" w:rsidR="00373026" w:rsidRDefault="00894B7E" w:rsidP="003321D8">
      <w:r w:rsidRPr="00894B7E">
        <w:rPr>
          <w:noProof/>
        </w:rPr>
        <w:drawing>
          <wp:inline distT="0" distB="0" distL="0" distR="0" wp14:anchorId="5A56EBE1" wp14:editId="7D70560D">
            <wp:extent cx="6113780" cy="2509520"/>
            <wp:effectExtent l="0" t="0" r="0" b="0"/>
            <wp:docPr id="13" name="Picture 13" descr="Chart E.3: Taxation revenue, ratio to G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1AE352" w14:textId="76A8053A" w:rsidR="002B1C72" w:rsidRDefault="00537D3D" w:rsidP="00D216D4">
      <w:pPr>
        <w:pStyle w:val="BodyText"/>
      </w:pPr>
      <w:r>
        <w:t xml:space="preserve">The Government </w:t>
      </w:r>
      <w:r w:rsidR="007D67A8">
        <w:t>continues to deliver</w:t>
      </w:r>
      <w:r>
        <w:t xml:space="preserve"> </w:t>
      </w:r>
      <w:r w:rsidR="008B2DE7">
        <w:t>its</w:t>
      </w:r>
      <w:r>
        <w:t xml:space="preserve"> </w:t>
      </w:r>
      <w:r w:rsidR="007D67A8">
        <w:t xml:space="preserve">infrastructure </w:t>
      </w:r>
      <w:r>
        <w:t>program</w:t>
      </w:r>
      <w:r w:rsidR="0065147D">
        <w:t xml:space="preserve"> with</w:t>
      </w:r>
      <w:r w:rsidR="008902CC">
        <w:t xml:space="preserve"> t</w:t>
      </w:r>
      <w:r w:rsidR="00517FDE">
        <w:t xml:space="preserve">otal investment </w:t>
      </w:r>
      <w:r w:rsidR="007A2A83">
        <w:t>in</w:t>
      </w:r>
      <w:r w:rsidR="00517FDE">
        <w:t xml:space="preserve"> the </w:t>
      </w:r>
      <w:r w:rsidR="004A7EEC">
        <w:t>g</w:t>
      </w:r>
      <w:r w:rsidR="00FD167F">
        <w:t xml:space="preserve">eneral </w:t>
      </w:r>
      <w:r w:rsidR="004A7EEC">
        <w:t>g</w:t>
      </w:r>
      <w:r w:rsidR="00FD167F">
        <w:t>overnment</w:t>
      </w:r>
      <w:r w:rsidR="00517FDE">
        <w:t xml:space="preserve"> </w:t>
      </w:r>
      <w:r w:rsidR="00517FDE" w:rsidRPr="003C4A11">
        <w:t xml:space="preserve">sector </w:t>
      </w:r>
      <w:r w:rsidR="004A7EEC" w:rsidRPr="003321D8">
        <w:t>reaching $</w:t>
      </w:r>
      <w:r w:rsidR="003C4A11" w:rsidRPr="003321D8">
        <w:t>7</w:t>
      </w:r>
      <w:r w:rsidR="00F407BB">
        <w:t>1.</w:t>
      </w:r>
      <w:r w:rsidR="00977C54">
        <w:t>7</w:t>
      </w:r>
      <w:r w:rsidR="004A7EEC" w:rsidRPr="003321D8">
        <w:t xml:space="preserve"> billion over the four years to 2022-23.</w:t>
      </w:r>
    </w:p>
    <w:p w14:paraId="662A5E9A" w14:textId="62FF01C3" w:rsidR="00967E16" w:rsidRDefault="00517FDE" w:rsidP="00C15174">
      <w:pPr>
        <w:pStyle w:val="BodyText"/>
      </w:pPr>
      <w:r>
        <w:t xml:space="preserve">The sustainability of this investment </w:t>
      </w:r>
      <w:r w:rsidR="00F95E37">
        <w:t>is made possible</w:t>
      </w:r>
      <w:r w:rsidR="00126FCA">
        <w:t xml:space="preserve"> by financing </w:t>
      </w:r>
      <w:r w:rsidR="007A2A83">
        <w:t>predominantly through</w:t>
      </w:r>
      <w:r w:rsidR="00F95E37">
        <w:t xml:space="preserve"> </w:t>
      </w:r>
      <w:r w:rsidR="00B23AA3">
        <w:t xml:space="preserve">operating surpluses </w:t>
      </w:r>
      <w:r>
        <w:t xml:space="preserve">and </w:t>
      </w:r>
      <w:r w:rsidR="00B23AA3">
        <w:t xml:space="preserve">the </w:t>
      </w:r>
      <w:r w:rsidR="00126FCA">
        <w:t xml:space="preserve">proceeds from the </w:t>
      </w:r>
      <w:r w:rsidR="00537D3D">
        <w:t>asset recycling program, which have moderated the need for additional debt</w:t>
      </w:r>
      <w:r w:rsidR="003F00BB">
        <w:t>.</w:t>
      </w:r>
    </w:p>
    <w:p w14:paraId="777C1C7C" w14:textId="70CF00FC" w:rsidR="00006344" w:rsidRDefault="00967E16" w:rsidP="00EC1F01">
      <w:pPr>
        <w:pStyle w:val="BodyText"/>
      </w:pPr>
      <w:r w:rsidRPr="0039676E">
        <w:t xml:space="preserve">The State continues </w:t>
      </w:r>
      <w:r w:rsidR="00017CB0">
        <w:t>its</w:t>
      </w:r>
      <w:r w:rsidR="00017CB0" w:rsidRPr="0039676E">
        <w:t xml:space="preserve"> </w:t>
      </w:r>
      <w:r w:rsidRPr="0039676E">
        <w:t xml:space="preserve">transformation to an </w:t>
      </w:r>
      <w:r w:rsidR="00017CB0">
        <w:t>o</w:t>
      </w:r>
      <w:r w:rsidRPr="0039676E">
        <w:t xml:space="preserve">utcome </w:t>
      </w:r>
      <w:r w:rsidR="00017CB0">
        <w:t>b</w:t>
      </w:r>
      <w:r w:rsidRPr="0039676E">
        <w:t>udgeting framework. The 2018-19 Budget set out the 46 State Outcomes providing a</w:t>
      </w:r>
      <w:r w:rsidR="00EC1F01">
        <w:t xml:space="preserve"> </w:t>
      </w:r>
      <w:r w:rsidRPr="0039676E">
        <w:t>“citizen perspective” of the Budget. Another major milestone was reached in December 2018</w:t>
      </w:r>
      <w:r w:rsidR="00EC1F01">
        <w:t xml:space="preserve"> </w:t>
      </w:r>
      <w:r w:rsidRPr="0039676E">
        <w:t xml:space="preserve">with the release of </w:t>
      </w:r>
      <w:r w:rsidRPr="003321D8">
        <w:t>Treasury’s Policy</w:t>
      </w:r>
      <w:r w:rsidR="00B33934" w:rsidRPr="003321D8">
        <w:t xml:space="preserve"> and Guidelines</w:t>
      </w:r>
      <w:r w:rsidRPr="003321D8">
        <w:t xml:space="preserve"> Paper</w:t>
      </w:r>
      <w:r w:rsidRPr="0039676E">
        <w:rPr>
          <w:i/>
        </w:rPr>
        <w:t xml:space="preserve"> </w:t>
      </w:r>
      <w:r w:rsidRPr="003321D8">
        <w:t xml:space="preserve">on </w:t>
      </w:r>
      <w:r w:rsidRPr="0039676E">
        <w:rPr>
          <w:i/>
        </w:rPr>
        <w:t>Outcome Budgeting</w:t>
      </w:r>
      <w:r w:rsidRPr="0039676E">
        <w:t xml:space="preserve"> (TPP18-09). This provides</w:t>
      </w:r>
      <w:r w:rsidR="00EC1F01">
        <w:t xml:space="preserve"> </w:t>
      </w:r>
      <w:r w:rsidRPr="0039676E">
        <w:t xml:space="preserve">guidance on developing and maintaining the </w:t>
      </w:r>
      <w:r w:rsidR="00017CB0">
        <w:t>o</w:t>
      </w:r>
      <w:r w:rsidRPr="0039676E">
        <w:t>utcomes framework, the financial and</w:t>
      </w:r>
      <w:r w:rsidR="00EC1F01">
        <w:t xml:space="preserve"> </w:t>
      </w:r>
      <w:r w:rsidRPr="0039676E">
        <w:t>non-financial requirements for performance reporting</w:t>
      </w:r>
      <w:r w:rsidR="003A1969">
        <w:t>,</w:t>
      </w:r>
      <w:r w:rsidRPr="0039676E">
        <w:t xml:space="preserve"> and the timetables for finalising outcome, performance and equity measures.</w:t>
      </w:r>
    </w:p>
    <w:p w14:paraId="1C5F5FEC" w14:textId="25D28729" w:rsidR="002122B2" w:rsidRPr="002B1C72" w:rsidRDefault="00EA2429" w:rsidP="00A5618F">
      <w:pPr>
        <w:pStyle w:val="Heading4"/>
      </w:pPr>
      <w:r w:rsidRPr="002B1C72">
        <w:t>Principle 2</w:t>
      </w:r>
      <w:r w:rsidR="007371EE" w:rsidRPr="002B1C72">
        <w:t xml:space="preserve"> </w:t>
      </w:r>
      <w:r w:rsidR="000F54DA" w:rsidRPr="002B1C72">
        <w:t>–</w:t>
      </w:r>
      <w:r w:rsidR="00862072" w:rsidRPr="002B1C72">
        <w:t xml:space="preserve"> E</w:t>
      </w:r>
      <w:r w:rsidRPr="002B1C72">
        <w:t>ffective</w:t>
      </w:r>
      <w:r w:rsidR="0041545E" w:rsidRPr="002B1C72">
        <w:t xml:space="preserve"> financial and asset management policies</w:t>
      </w:r>
      <w:r w:rsidRPr="002B1C72">
        <w:t xml:space="preserve"> </w:t>
      </w:r>
    </w:p>
    <w:p w14:paraId="546336FB" w14:textId="5065AEFE" w:rsidR="000E12CE" w:rsidRPr="000E12CE" w:rsidRDefault="00425B92" w:rsidP="00EC1F01">
      <w:pPr>
        <w:pStyle w:val="BodyText"/>
      </w:pPr>
      <w:r>
        <w:t xml:space="preserve">The principle of </w:t>
      </w:r>
      <w:r w:rsidRPr="00425B92">
        <w:t>effective financial and asset management</w:t>
      </w:r>
      <w:r>
        <w:t xml:space="preserve"> </w:t>
      </w:r>
      <w:r w:rsidR="000F3058">
        <w:t xml:space="preserve">policies </w:t>
      </w:r>
      <w:r w:rsidRPr="00425B92">
        <w:t>includ</w:t>
      </w:r>
      <w:r>
        <w:t>es</w:t>
      </w:r>
      <w:r w:rsidRPr="00425B92">
        <w:t xml:space="preserve"> </w:t>
      </w:r>
      <w:r>
        <w:t xml:space="preserve">having </w:t>
      </w:r>
      <w:r w:rsidRPr="00425B92">
        <w:t>sound policies and processes for</w:t>
      </w:r>
      <w:r>
        <w:t xml:space="preserve"> </w:t>
      </w:r>
      <w:r w:rsidRPr="00425B92">
        <w:t>performance management and reporting, asset maintenance and enhancement, funding decisions and risk management practices</w:t>
      </w:r>
      <w:r>
        <w:t>.</w:t>
      </w:r>
    </w:p>
    <w:p w14:paraId="5710E3A7" w14:textId="0B5219F8" w:rsidR="004A6286" w:rsidRDefault="005A7A9E" w:rsidP="00EC1F01">
      <w:pPr>
        <w:pStyle w:val="BodyText"/>
      </w:pPr>
      <w:r w:rsidRPr="000E12CE">
        <w:t>The Government has continued to</w:t>
      </w:r>
      <w:r w:rsidR="000E12CE" w:rsidRPr="000E12CE">
        <w:t xml:space="preserve"> focus on </w:t>
      </w:r>
      <w:r w:rsidR="00E02663">
        <w:t xml:space="preserve">the </w:t>
      </w:r>
      <w:r w:rsidR="000E12CE" w:rsidRPr="000E12CE">
        <w:t xml:space="preserve">State’s balance sheet management, funding decisions and risk management </w:t>
      </w:r>
      <w:r w:rsidR="004A6286">
        <w:t>through</w:t>
      </w:r>
      <w:r w:rsidR="000E12CE" w:rsidRPr="000E12CE">
        <w:t xml:space="preserve"> the inter</w:t>
      </w:r>
      <w:r w:rsidR="00967E16">
        <w:t>-</w:t>
      </w:r>
      <w:r w:rsidR="000E12CE" w:rsidRPr="000E12CE">
        <w:t>departmental Assets and Liabilities Committee (ALCO)</w:t>
      </w:r>
      <w:r w:rsidR="00017CB0">
        <w:t>. This</w:t>
      </w:r>
      <w:r w:rsidR="004A6286">
        <w:t xml:space="preserve"> includ</w:t>
      </w:r>
      <w:r w:rsidR="00017CB0">
        <w:t>es</w:t>
      </w:r>
      <w:r w:rsidR="004A6286">
        <w:t xml:space="preserve"> </w:t>
      </w:r>
      <w:r w:rsidR="004A6286" w:rsidRPr="004A6286">
        <w:t xml:space="preserve">improved cash management and optimisation of </w:t>
      </w:r>
      <w:r w:rsidR="00017CB0">
        <w:t>the State’s</w:t>
      </w:r>
      <w:r w:rsidR="00017CB0" w:rsidRPr="004A6286">
        <w:t xml:space="preserve"> </w:t>
      </w:r>
      <w:r w:rsidR="004A6286" w:rsidRPr="004A6286">
        <w:t xml:space="preserve">balance sheet </w:t>
      </w:r>
      <w:r w:rsidR="004A6286">
        <w:t xml:space="preserve">and a </w:t>
      </w:r>
      <w:r w:rsidR="004A6286" w:rsidRPr="004A6286">
        <w:t>whole-of-government foreign exchange risk policy.</w:t>
      </w:r>
    </w:p>
    <w:p w14:paraId="3656FDFA" w14:textId="1E7E3758" w:rsidR="004A6286" w:rsidRDefault="002B00C2" w:rsidP="00EC1F01">
      <w:pPr>
        <w:pStyle w:val="BodyText"/>
      </w:pPr>
      <w:r>
        <w:t xml:space="preserve">Some </w:t>
      </w:r>
      <w:r w:rsidR="004A6286">
        <w:t xml:space="preserve">additional </w:t>
      </w:r>
      <w:r>
        <w:t>reforms and polices implemented</w:t>
      </w:r>
      <w:r w:rsidR="004A6286">
        <w:t xml:space="preserve"> by the Government </w:t>
      </w:r>
      <w:r>
        <w:t>include:</w:t>
      </w:r>
    </w:p>
    <w:p w14:paraId="20336EDF" w14:textId="77777777" w:rsidR="004A6286" w:rsidRDefault="004A6286" w:rsidP="00EC1F01">
      <w:pPr>
        <w:pStyle w:val="Bullet1"/>
      </w:pPr>
      <w:r w:rsidRPr="004A6286">
        <w:t xml:space="preserve">the passage of the </w:t>
      </w:r>
      <w:r w:rsidRPr="004A6286">
        <w:rPr>
          <w:i/>
        </w:rPr>
        <w:t xml:space="preserve">Government Sector Finance Act 2018 </w:t>
      </w:r>
      <w:r w:rsidRPr="004A6286">
        <w:t>which modernises financial</w:t>
      </w:r>
      <w:r>
        <w:t xml:space="preserve"> </w:t>
      </w:r>
      <w:r w:rsidRPr="004A6286">
        <w:t>structures, principles, guidelines and controls across the entire public sector</w:t>
      </w:r>
    </w:p>
    <w:p w14:paraId="204FC87E" w14:textId="77777777" w:rsidR="004A6286" w:rsidRDefault="004A6286" w:rsidP="00EC1F01">
      <w:pPr>
        <w:pStyle w:val="Bullet1"/>
      </w:pPr>
      <w:r w:rsidRPr="004A6286">
        <w:t>establishment of the NSW Generations Fund</w:t>
      </w:r>
    </w:p>
    <w:p w14:paraId="79B5AFDB" w14:textId="77777777" w:rsidR="004A6286" w:rsidRDefault="004A6286" w:rsidP="00EC1F01">
      <w:pPr>
        <w:pStyle w:val="Bullet1"/>
      </w:pPr>
      <w:r w:rsidRPr="004A6286">
        <w:t>strengthened reporting and management of contingent assets and liabilities</w:t>
      </w:r>
    </w:p>
    <w:p w14:paraId="079817BB" w14:textId="512335C9" w:rsidR="004A6286" w:rsidRDefault="004A6286" w:rsidP="00EC1F01">
      <w:pPr>
        <w:pStyle w:val="Bullet1"/>
      </w:pPr>
      <w:r w:rsidRPr="004A6286">
        <w:t>the first issuance of Green Bonds (in November 2018) to fund projects delivering environmental</w:t>
      </w:r>
      <w:r>
        <w:t xml:space="preserve"> </w:t>
      </w:r>
      <w:r w:rsidRPr="004A6286">
        <w:t>and social benefits.</w:t>
      </w:r>
    </w:p>
    <w:p w14:paraId="3B0B6D6B" w14:textId="77777777" w:rsidR="00006344" w:rsidRDefault="00006344">
      <w:pPr>
        <w:spacing w:after="200" w:line="276" w:lineRule="auto"/>
        <w:rPr>
          <w:rFonts w:ascii="Arial Bold" w:eastAsia="Arial Unicode MS" w:hAnsi="Arial Bold"/>
          <w:b/>
          <w:kern w:val="28"/>
          <w:sz w:val="25"/>
          <w:szCs w:val="36"/>
          <w:lang w:val="en-AU"/>
        </w:rPr>
      </w:pPr>
      <w:r>
        <w:br w:type="page"/>
      </w:r>
    </w:p>
    <w:p w14:paraId="49D0577E" w14:textId="5875D223" w:rsidR="00B735B1" w:rsidRPr="002B1C72" w:rsidRDefault="00F02466" w:rsidP="00A5618F">
      <w:pPr>
        <w:pStyle w:val="Heading4"/>
      </w:pPr>
      <w:r w:rsidRPr="002B1C72">
        <w:lastRenderedPageBreak/>
        <w:t xml:space="preserve">Principle 3 </w:t>
      </w:r>
      <w:r w:rsidR="00862072" w:rsidRPr="002B1C72">
        <w:t xml:space="preserve">– </w:t>
      </w:r>
      <w:r w:rsidR="000F54DA">
        <w:t>P</w:t>
      </w:r>
      <w:r w:rsidR="00862072" w:rsidRPr="002B1C72">
        <w:t>ro</w:t>
      </w:r>
      <w:r w:rsidRPr="002B1C72">
        <w:t>gress in achieving intergenerational equity</w:t>
      </w:r>
    </w:p>
    <w:p w14:paraId="5421FCB5" w14:textId="0A6E776A" w:rsidR="008B22B6" w:rsidRPr="008B22B6" w:rsidRDefault="008B22B6" w:rsidP="00EC1F01">
      <w:pPr>
        <w:pStyle w:val="BodyText"/>
      </w:pPr>
      <w:r w:rsidRPr="008B22B6">
        <w:t>The principle of intergenerational equity include</w:t>
      </w:r>
      <w:r>
        <w:t>s</w:t>
      </w:r>
      <w:r w:rsidRPr="008B22B6">
        <w:t xml:space="preserve"> ensuring </w:t>
      </w:r>
      <w:r>
        <w:t>any</w:t>
      </w:r>
      <w:r w:rsidRPr="008B22B6">
        <w:t xml:space="preserve"> policy decisions hav</w:t>
      </w:r>
      <w:r>
        <w:t>e</w:t>
      </w:r>
      <w:r w:rsidRPr="008B22B6">
        <w:t xml:space="preserve"> regard to their financial effects on future generations, and</w:t>
      </w:r>
      <w:r>
        <w:t xml:space="preserve"> that </w:t>
      </w:r>
      <w:r w:rsidRPr="008B22B6">
        <w:t xml:space="preserve">the current generation funds the cost of </w:t>
      </w:r>
      <w:r>
        <w:t>the</w:t>
      </w:r>
      <w:r w:rsidRPr="008B22B6">
        <w:t xml:space="preserve"> services</w:t>
      </w:r>
      <w:r>
        <w:t xml:space="preserve"> delivered today</w:t>
      </w:r>
      <w:r w:rsidRPr="008B22B6">
        <w:t>.</w:t>
      </w:r>
    </w:p>
    <w:p w14:paraId="253CF261" w14:textId="3DE0A6B7" w:rsidR="00E820CB" w:rsidRPr="00E820CB" w:rsidRDefault="00E820CB" w:rsidP="00E820CB">
      <w:pPr>
        <w:pStyle w:val="BodyText"/>
      </w:pPr>
      <w:r w:rsidRPr="00E820CB">
        <w:t xml:space="preserve">The FRA commits the Government to ensure that policy decisions are made with consideration to their financial effects on future generations. Each </w:t>
      </w:r>
      <w:r w:rsidR="00D06F6D">
        <w:t>b</w:t>
      </w:r>
      <w:r w:rsidRPr="00E820CB">
        <w:t>udget reports the impact of its measures on the long-term fiscal gap, which is a summary indicator of the budget’s financial effect on future generations</w:t>
      </w:r>
      <w:r w:rsidR="00AF4F65">
        <w:t>.</w:t>
      </w:r>
      <w:r w:rsidR="00AF4F65">
        <w:rPr>
          <w:rStyle w:val="FootnoteReference"/>
        </w:rPr>
        <w:footnoteReference w:id="2"/>
      </w:r>
      <w:r w:rsidRPr="00E820CB">
        <w:t xml:space="preserve"> The 2016 Intergenerational Report highlighted that if current trends continue, a widening fiscal gap will emerge where expenditure would exceed revenues resulting in a fiscal gap of 3.4 per cent of GSP by 2055-56.</w:t>
      </w:r>
    </w:p>
    <w:p w14:paraId="498FDF9C" w14:textId="3EE1FA69" w:rsidR="00E820CB" w:rsidRPr="00E820CB" w:rsidRDefault="006D5B9F" w:rsidP="00E820CB">
      <w:pPr>
        <w:pStyle w:val="BodyText"/>
      </w:pPr>
      <w:r w:rsidRPr="003321D8">
        <w:t xml:space="preserve">There is no change to the fiscal gap </w:t>
      </w:r>
      <w:proofErr w:type="gramStart"/>
      <w:r w:rsidRPr="003321D8">
        <w:t>as a result of</w:t>
      </w:r>
      <w:proofErr w:type="gramEnd"/>
      <w:r w:rsidR="00E6493E">
        <w:t xml:space="preserve"> measures in</w:t>
      </w:r>
      <w:r w:rsidRPr="003321D8">
        <w:t xml:space="preserve"> this Budget. </w:t>
      </w:r>
      <w:r w:rsidR="00A5269A" w:rsidRPr="003321D8">
        <w:t>Savings</w:t>
      </w:r>
      <w:r w:rsidR="001637E0">
        <w:t xml:space="preserve"> </w:t>
      </w:r>
      <w:r w:rsidR="00885CCC">
        <w:t>initiatives</w:t>
      </w:r>
      <w:r w:rsidR="001637E0">
        <w:t xml:space="preserve"> such as </w:t>
      </w:r>
      <w:r w:rsidR="00A5269A" w:rsidRPr="003321D8">
        <w:t>redu</w:t>
      </w:r>
      <w:r w:rsidR="001637E0">
        <w:t>cing</w:t>
      </w:r>
      <w:r w:rsidR="00A5269A" w:rsidRPr="003321D8">
        <w:t xml:space="preserve"> </w:t>
      </w:r>
      <w:r w:rsidR="005643A9">
        <w:t>expen</w:t>
      </w:r>
      <w:r w:rsidR="00DC0BEE">
        <w:t>diture</w:t>
      </w:r>
      <w:r w:rsidR="00AB2C81">
        <w:t xml:space="preserve"> to reflect</w:t>
      </w:r>
      <w:r w:rsidR="00274A50">
        <w:t xml:space="preserve"> </w:t>
      </w:r>
      <w:r w:rsidR="00A5269A" w:rsidRPr="003321D8">
        <w:t>recent machinery of government changes</w:t>
      </w:r>
      <w:r w:rsidR="00A1329D">
        <w:t xml:space="preserve"> </w:t>
      </w:r>
      <w:r w:rsidR="00C46369" w:rsidRPr="003321D8">
        <w:t xml:space="preserve">allow the Government to invest in new services and infrastructure for the NSW community without further impacting long-term fiscal sustainability. </w:t>
      </w:r>
      <w:r w:rsidR="00E820CB" w:rsidRPr="003321D8">
        <w:t>This shows that prudent budget management continues to be effective in limiting the financial burden shifted to future taxpayers.</w:t>
      </w:r>
      <w:r w:rsidR="00E820CB" w:rsidRPr="00E820CB">
        <w:t xml:space="preserve"> </w:t>
      </w:r>
    </w:p>
    <w:p w14:paraId="300358D8" w14:textId="519AABE2" w:rsidR="00E820CB" w:rsidRPr="00E820CB" w:rsidRDefault="00E820CB" w:rsidP="00E820CB">
      <w:pPr>
        <w:pStyle w:val="BodyText"/>
      </w:pPr>
      <w:r w:rsidRPr="00E820CB">
        <w:t xml:space="preserve">With intergenerational challenges on the horizon, the Government became the first </w:t>
      </w:r>
      <w:r w:rsidR="00586A96">
        <w:t>s</w:t>
      </w:r>
      <w:r w:rsidRPr="00E820CB">
        <w:t>tate in Australia to create a vehicle</w:t>
      </w:r>
      <w:r w:rsidR="0062386B">
        <w:t xml:space="preserve"> to support </w:t>
      </w:r>
      <w:r w:rsidRPr="00E820CB">
        <w:t>intergenerational equity by establishing the NSW Generations Fund</w:t>
      </w:r>
      <w:r w:rsidR="00586A96">
        <w:t xml:space="preserve"> in </w:t>
      </w:r>
      <w:r w:rsidR="00E94DAF">
        <w:t>201</w:t>
      </w:r>
      <w:r w:rsidR="00552973">
        <w:t>8</w:t>
      </w:r>
      <w:r w:rsidRPr="00E820CB">
        <w:t>. The dedicated debt retirement fund is projected to grow to more than $2</w:t>
      </w:r>
      <w:r w:rsidR="00016476">
        <w:t>8</w:t>
      </w:r>
      <w:r w:rsidRPr="00E820CB">
        <w:t xml:space="preserve"> billion </w:t>
      </w:r>
      <w:r w:rsidR="00861B42">
        <w:t>over</w:t>
      </w:r>
      <w:r w:rsidRPr="00E820CB">
        <w:t xml:space="preserve"> the next decade, strengthening the State’s balance sheet and </w:t>
      </w:r>
      <w:r w:rsidR="00E96B4F">
        <w:t>supporting</w:t>
      </w:r>
      <w:r w:rsidR="00E96B4F" w:rsidRPr="00E820CB">
        <w:t xml:space="preserve"> </w:t>
      </w:r>
      <w:r w:rsidRPr="00E820CB">
        <w:t>intergenerational equity for the people of New South Wales.</w:t>
      </w:r>
    </w:p>
    <w:p w14:paraId="00A8FCBD" w14:textId="771229BC" w:rsidR="00664CF4" w:rsidRPr="002B1C72" w:rsidRDefault="00664CF4">
      <w:pPr>
        <w:pStyle w:val="BodyText"/>
      </w:pPr>
    </w:p>
    <w:sectPr w:rsidR="00664CF4" w:rsidRPr="002B1C72" w:rsidSect="001A6E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FD8AA" w14:textId="77777777" w:rsidR="003B02EB" w:rsidRDefault="003B02EB" w:rsidP="0053757D">
      <w:r>
        <w:separator/>
      </w:r>
    </w:p>
  </w:endnote>
  <w:endnote w:type="continuationSeparator" w:id="0">
    <w:p w14:paraId="3D984646" w14:textId="77777777" w:rsidR="003B02EB" w:rsidRDefault="003B02EB" w:rsidP="0053757D">
      <w:r>
        <w:continuationSeparator/>
      </w:r>
    </w:p>
  </w:endnote>
  <w:endnote w:type="continuationNotice" w:id="1">
    <w:p w14:paraId="69B35104" w14:textId="77777777" w:rsidR="003B02EB" w:rsidRDefault="003B0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D996" w14:textId="2488F1C7" w:rsidR="00C53207" w:rsidRPr="00317F1A" w:rsidRDefault="001E659E" w:rsidP="003321D8">
    <w:pPr>
      <w:pStyle w:val="Footer"/>
      <w:tabs>
        <w:tab w:val="clear" w:pos="9072"/>
        <w:tab w:val="right" w:pos="9638"/>
      </w:tabs>
    </w:pPr>
    <w:r>
      <w:rPr>
        <w:rFonts w:ascii="Arial" w:hAnsi="Arial" w:cs="Arial"/>
        <w:szCs w:val="16"/>
      </w:rPr>
      <w:t>E</w:t>
    </w:r>
    <w:r w:rsidRPr="00C34942">
      <w:rPr>
        <w:rFonts w:ascii="Arial" w:hAnsi="Arial" w:cs="Arial"/>
        <w:szCs w:val="16"/>
      </w:rPr>
      <w:t xml:space="preserve"> </w:t>
    </w:r>
    <w:r w:rsidR="00F2152B" w:rsidRPr="00C34942">
      <w:rPr>
        <w:rFonts w:ascii="Arial" w:hAnsi="Arial" w:cs="Arial"/>
        <w:szCs w:val="16"/>
      </w:rPr>
      <w:t xml:space="preserve">- </w:t>
    </w:r>
    <w:r w:rsidR="00F2152B" w:rsidRPr="00C34942">
      <w:rPr>
        <w:rFonts w:ascii="Arial" w:hAnsi="Arial" w:cs="Arial"/>
        <w:szCs w:val="16"/>
      </w:rPr>
      <w:fldChar w:fldCharType="begin"/>
    </w:r>
    <w:r w:rsidR="00F2152B" w:rsidRPr="00C34942">
      <w:rPr>
        <w:rFonts w:ascii="Arial" w:hAnsi="Arial" w:cs="Arial"/>
        <w:szCs w:val="16"/>
      </w:rPr>
      <w:instrText xml:space="preserve"> PAGE  \* MERGEFORMAT </w:instrText>
    </w:r>
    <w:r w:rsidR="00F2152B" w:rsidRPr="00C34942">
      <w:rPr>
        <w:rFonts w:ascii="Arial" w:hAnsi="Arial" w:cs="Arial"/>
        <w:szCs w:val="16"/>
      </w:rPr>
      <w:fldChar w:fldCharType="separate"/>
    </w:r>
    <w:r w:rsidR="00017CB0">
      <w:rPr>
        <w:rFonts w:ascii="Arial" w:hAnsi="Arial" w:cs="Arial"/>
        <w:noProof/>
        <w:szCs w:val="16"/>
      </w:rPr>
      <w:t>2</w:t>
    </w:r>
    <w:r w:rsidR="00F2152B" w:rsidRPr="00C34942">
      <w:rPr>
        <w:rFonts w:ascii="Arial" w:hAnsi="Arial" w:cs="Arial"/>
        <w:szCs w:val="16"/>
      </w:rPr>
      <w:fldChar w:fldCharType="end"/>
    </w:r>
    <w:r w:rsidR="00F2152B">
      <w:tab/>
    </w:r>
    <w:r w:rsidR="00181A01">
      <w:rPr>
        <w:rFonts w:ascii="Arial" w:hAnsi="Arial" w:cs="Arial"/>
        <w:szCs w:val="16"/>
      </w:rPr>
      <w:t>Budget Statement 201</w:t>
    </w:r>
    <w:r w:rsidR="00C53207">
      <w:rPr>
        <w:rFonts w:ascii="Arial" w:hAnsi="Arial" w:cs="Arial"/>
        <w:szCs w:val="16"/>
      </w:rPr>
      <w:t>9</w:t>
    </w:r>
    <w:r w:rsidR="00181A01">
      <w:rPr>
        <w:rFonts w:ascii="Arial" w:hAnsi="Arial" w:cs="Arial"/>
        <w:szCs w:val="16"/>
      </w:rPr>
      <w:t>-</w:t>
    </w:r>
    <w:r w:rsidR="00C53207">
      <w:rPr>
        <w:rFonts w:ascii="Arial" w:hAnsi="Arial" w:cs="Arial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D18D" w14:textId="19C47ACD" w:rsidR="00C53207" w:rsidRPr="00317F1A" w:rsidRDefault="00181A01" w:rsidP="003321D8">
    <w:pPr>
      <w:pStyle w:val="Footer"/>
      <w:tabs>
        <w:tab w:val="clear" w:pos="9072"/>
        <w:tab w:val="right" w:pos="9638"/>
      </w:tabs>
    </w:pPr>
    <w:r>
      <w:rPr>
        <w:rFonts w:ascii="Arial" w:hAnsi="Arial" w:cs="Arial"/>
        <w:szCs w:val="16"/>
      </w:rPr>
      <w:t>Budget Statement 201</w:t>
    </w:r>
    <w:r w:rsidR="00C53207">
      <w:rPr>
        <w:rFonts w:ascii="Arial" w:hAnsi="Arial" w:cs="Arial"/>
        <w:szCs w:val="16"/>
      </w:rPr>
      <w:t>9</w:t>
    </w:r>
    <w:r>
      <w:rPr>
        <w:rFonts w:ascii="Arial" w:hAnsi="Arial" w:cs="Arial"/>
        <w:szCs w:val="16"/>
      </w:rPr>
      <w:t>-</w:t>
    </w:r>
    <w:r w:rsidR="00C53207">
      <w:rPr>
        <w:rFonts w:ascii="Arial" w:hAnsi="Arial" w:cs="Arial"/>
        <w:szCs w:val="16"/>
      </w:rPr>
      <w:t>20</w:t>
    </w:r>
    <w:r w:rsidR="00F2152B" w:rsidRPr="00F2152B">
      <w:rPr>
        <w:rFonts w:ascii="Arial" w:hAnsi="Arial" w:cs="Arial"/>
        <w:szCs w:val="16"/>
      </w:rPr>
      <w:t xml:space="preserve"> </w:t>
    </w:r>
    <w:r w:rsidR="00F2152B">
      <w:rPr>
        <w:rFonts w:ascii="Arial" w:hAnsi="Arial" w:cs="Arial"/>
        <w:szCs w:val="16"/>
      </w:rPr>
      <w:tab/>
    </w:r>
    <w:r w:rsidR="001E659E">
      <w:rPr>
        <w:rFonts w:ascii="Arial" w:hAnsi="Arial" w:cs="Arial"/>
        <w:szCs w:val="16"/>
      </w:rPr>
      <w:t>E</w:t>
    </w:r>
    <w:r w:rsidR="001E659E" w:rsidRPr="00C34942">
      <w:rPr>
        <w:rFonts w:ascii="Arial" w:hAnsi="Arial" w:cs="Arial"/>
        <w:szCs w:val="16"/>
      </w:rPr>
      <w:t xml:space="preserve"> </w:t>
    </w:r>
    <w:r w:rsidR="00F2152B" w:rsidRPr="00C34942">
      <w:rPr>
        <w:rFonts w:ascii="Arial" w:hAnsi="Arial" w:cs="Arial"/>
        <w:szCs w:val="16"/>
      </w:rPr>
      <w:t xml:space="preserve">- </w:t>
    </w:r>
    <w:r w:rsidR="00F2152B" w:rsidRPr="00C34942">
      <w:rPr>
        <w:rFonts w:ascii="Arial" w:hAnsi="Arial" w:cs="Arial"/>
        <w:szCs w:val="16"/>
      </w:rPr>
      <w:fldChar w:fldCharType="begin"/>
    </w:r>
    <w:r w:rsidR="00F2152B" w:rsidRPr="00C34942">
      <w:rPr>
        <w:rFonts w:ascii="Arial" w:hAnsi="Arial" w:cs="Arial"/>
        <w:szCs w:val="16"/>
      </w:rPr>
      <w:instrText xml:space="preserve"> PAGE  \* MERGEFORMAT </w:instrText>
    </w:r>
    <w:r w:rsidR="00F2152B" w:rsidRPr="00C34942">
      <w:rPr>
        <w:rFonts w:ascii="Arial" w:hAnsi="Arial" w:cs="Arial"/>
        <w:szCs w:val="16"/>
      </w:rPr>
      <w:fldChar w:fldCharType="separate"/>
    </w:r>
    <w:r w:rsidR="00017CB0">
      <w:rPr>
        <w:rFonts w:ascii="Arial" w:hAnsi="Arial" w:cs="Arial"/>
        <w:noProof/>
        <w:szCs w:val="16"/>
      </w:rPr>
      <w:t>3</w:t>
    </w:r>
    <w:r w:rsidR="00F2152B" w:rsidRPr="00C34942">
      <w:rPr>
        <w:rFonts w:ascii="Arial" w:hAnsi="Arial"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C268" w14:textId="0960955A" w:rsidR="00C53207" w:rsidRPr="00317F1A" w:rsidRDefault="00C0190A" w:rsidP="003321D8">
    <w:pPr>
      <w:pStyle w:val="Footer"/>
      <w:tabs>
        <w:tab w:val="clear" w:pos="9072"/>
        <w:tab w:val="right" w:pos="9639"/>
      </w:tabs>
    </w:pPr>
    <w:r>
      <w:rPr>
        <w:rFonts w:ascii="Arial" w:hAnsi="Arial" w:cs="Arial"/>
        <w:szCs w:val="16"/>
      </w:rPr>
      <w:t>Budget Statement 201</w:t>
    </w:r>
    <w:r w:rsidR="00C53207">
      <w:rPr>
        <w:rFonts w:ascii="Arial" w:hAnsi="Arial" w:cs="Arial"/>
        <w:szCs w:val="16"/>
      </w:rPr>
      <w:t>9</w:t>
    </w:r>
    <w:r>
      <w:rPr>
        <w:rFonts w:ascii="Arial" w:hAnsi="Arial" w:cs="Arial"/>
        <w:szCs w:val="16"/>
      </w:rPr>
      <w:t>-</w:t>
    </w:r>
    <w:r w:rsidR="00C53207">
      <w:rPr>
        <w:rFonts w:ascii="Arial" w:hAnsi="Arial" w:cs="Arial"/>
        <w:szCs w:val="16"/>
      </w:rPr>
      <w:t>20</w:t>
    </w:r>
    <w:r w:rsidR="00C34942" w:rsidRPr="00C34942">
      <w:rPr>
        <w:rFonts w:ascii="Arial" w:hAnsi="Arial" w:cs="Arial"/>
        <w:szCs w:val="16"/>
      </w:rPr>
      <w:tab/>
    </w:r>
    <w:r w:rsidR="001E659E">
      <w:rPr>
        <w:rFonts w:ascii="Arial" w:hAnsi="Arial" w:cs="Arial"/>
        <w:szCs w:val="16"/>
      </w:rPr>
      <w:t>E</w:t>
    </w:r>
    <w:r w:rsidR="001E659E" w:rsidRPr="00C34942">
      <w:rPr>
        <w:rFonts w:ascii="Arial" w:hAnsi="Arial" w:cs="Arial"/>
        <w:szCs w:val="16"/>
      </w:rPr>
      <w:t xml:space="preserve"> </w:t>
    </w:r>
    <w:r w:rsidR="00F2152B" w:rsidRPr="00C34942">
      <w:rPr>
        <w:rFonts w:ascii="Arial" w:hAnsi="Arial" w:cs="Arial"/>
        <w:szCs w:val="16"/>
      </w:rPr>
      <w:t xml:space="preserve">- </w:t>
    </w:r>
    <w:r w:rsidR="00F2152B" w:rsidRPr="00C34942">
      <w:rPr>
        <w:rFonts w:ascii="Arial" w:hAnsi="Arial" w:cs="Arial"/>
        <w:szCs w:val="16"/>
      </w:rPr>
      <w:fldChar w:fldCharType="begin"/>
    </w:r>
    <w:r w:rsidR="00F2152B" w:rsidRPr="00C34942">
      <w:rPr>
        <w:rFonts w:ascii="Arial" w:hAnsi="Arial" w:cs="Arial"/>
        <w:szCs w:val="16"/>
      </w:rPr>
      <w:instrText xml:space="preserve"> PAGE  \* MERGEFORMAT </w:instrText>
    </w:r>
    <w:r w:rsidR="00F2152B" w:rsidRPr="00C34942">
      <w:rPr>
        <w:rFonts w:ascii="Arial" w:hAnsi="Arial" w:cs="Arial"/>
        <w:szCs w:val="16"/>
      </w:rPr>
      <w:fldChar w:fldCharType="separate"/>
    </w:r>
    <w:r w:rsidR="00017CB0">
      <w:rPr>
        <w:rFonts w:ascii="Arial" w:hAnsi="Arial" w:cs="Arial"/>
        <w:noProof/>
        <w:szCs w:val="16"/>
      </w:rPr>
      <w:t>1</w:t>
    </w:r>
    <w:r w:rsidR="00F2152B" w:rsidRPr="00C34942">
      <w:rPr>
        <w:rFonts w:ascii="Arial" w:hAnsi="Arial"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0AA3C" w14:textId="77777777" w:rsidR="003B02EB" w:rsidRDefault="003B02EB" w:rsidP="0053757D">
      <w:r>
        <w:separator/>
      </w:r>
    </w:p>
  </w:footnote>
  <w:footnote w:type="continuationSeparator" w:id="0">
    <w:p w14:paraId="3668C05C" w14:textId="77777777" w:rsidR="003B02EB" w:rsidRDefault="003B02EB" w:rsidP="0053757D">
      <w:r>
        <w:continuationSeparator/>
      </w:r>
    </w:p>
  </w:footnote>
  <w:footnote w:type="continuationNotice" w:id="1">
    <w:p w14:paraId="33936E6E" w14:textId="77777777" w:rsidR="003B02EB" w:rsidRDefault="003B02EB"/>
  </w:footnote>
  <w:footnote w:id="2">
    <w:p w14:paraId="2AFA9391" w14:textId="1F95075C" w:rsidR="00AF4F65" w:rsidRPr="00AF4F65" w:rsidRDefault="00AF4F65" w:rsidP="003321D8">
      <w:pPr>
        <w:autoSpaceDE w:val="0"/>
        <w:autoSpaceDN w:val="0"/>
        <w:adjustRightInd w:val="0"/>
        <w:ind w:left="709" w:hanging="283"/>
        <w:rPr>
          <w:rFonts w:ascii="Arial" w:hAnsi="Arial"/>
          <w:sz w:val="16"/>
          <w:lang w:val="en-AU"/>
        </w:rPr>
      </w:pPr>
      <w:r w:rsidRPr="00AF4F65">
        <w:rPr>
          <w:rStyle w:val="FootnoteReference"/>
          <w:sz w:val="16"/>
          <w:szCs w:val="16"/>
        </w:rPr>
        <w:footnoteRef/>
      </w:r>
      <w:r w:rsidRPr="00AF4F65">
        <w:rPr>
          <w:sz w:val="16"/>
          <w:szCs w:val="16"/>
        </w:rPr>
        <w:t xml:space="preserve"> </w:t>
      </w:r>
      <w:r w:rsidR="007725CF">
        <w:rPr>
          <w:sz w:val="16"/>
          <w:szCs w:val="16"/>
        </w:rPr>
        <w:tab/>
      </w:r>
      <w:r w:rsidRPr="00AF4F65">
        <w:rPr>
          <w:rFonts w:ascii="Arial" w:hAnsi="Arial"/>
          <w:sz w:val="18"/>
          <w:lang w:val="en-AU"/>
        </w:rPr>
        <w:t xml:space="preserve">The fiscal gap is </w:t>
      </w:r>
      <w:r w:rsidR="009634F2">
        <w:rPr>
          <w:rFonts w:ascii="Arial" w:hAnsi="Arial"/>
          <w:sz w:val="18"/>
          <w:lang w:val="en-AU"/>
        </w:rPr>
        <w:t xml:space="preserve">calculated for the general government sector and is the </w:t>
      </w:r>
      <w:r w:rsidRPr="00AF4F65">
        <w:rPr>
          <w:rFonts w:ascii="Arial" w:hAnsi="Arial"/>
          <w:sz w:val="18"/>
          <w:lang w:val="en-AU"/>
        </w:rPr>
        <w:t>difference between the base period primary balance as a share of GSP and the primary balance as a share of GSP at the end of the projection period, on a no policy change basis. The primary balance is the gap between spending and revenue excluding interest transactions but including net capital expenditure. A positive gap implies that fiscal pressures will be building over the projection period.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71C1" w14:textId="77777777" w:rsidR="00181A01" w:rsidRPr="00C34942" w:rsidRDefault="00181A01" w:rsidP="00181A01">
    <w:pPr>
      <w:pStyle w:val="Header"/>
      <w:pBdr>
        <w:bottom w:val="single" w:sz="4" w:space="4" w:color="auto"/>
      </w:pBdr>
      <w:tabs>
        <w:tab w:val="clear" w:pos="4153"/>
        <w:tab w:val="clear" w:pos="8306"/>
        <w:tab w:val="center" w:pos="4513"/>
        <w:tab w:val="right" w:pos="9026"/>
      </w:tabs>
      <w:spacing w:line="240" w:lineRule="auto"/>
      <w:rPr>
        <w:rFonts w:ascii="Arial" w:eastAsiaTheme="minorHAnsi" w:hAnsi="Arial" w:cs="Arial"/>
        <w:sz w:val="18"/>
        <w:szCs w:val="18"/>
        <w:lang w:val="en-AU"/>
      </w:rPr>
    </w:pPr>
    <w:r w:rsidRPr="00C34942">
      <w:rPr>
        <w:rFonts w:ascii="Arial" w:eastAsiaTheme="minorHAnsi" w:hAnsi="Arial" w:cs="Arial"/>
        <w:sz w:val="18"/>
        <w:szCs w:val="18"/>
        <w:lang w:val="en-AU"/>
      </w:rPr>
      <w:t>Performance and Reporting Under the Fiscal Responsibility Act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BAF5" w14:textId="14479DE8" w:rsidR="00F2152B" w:rsidRPr="00C34942" w:rsidRDefault="00F2152B" w:rsidP="00F2152B">
    <w:pPr>
      <w:pStyle w:val="Header"/>
      <w:pBdr>
        <w:bottom w:val="single" w:sz="4" w:space="4" w:color="auto"/>
      </w:pBdr>
      <w:tabs>
        <w:tab w:val="clear" w:pos="4153"/>
        <w:tab w:val="clear" w:pos="8306"/>
        <w:tab w:val="center" w:pos="4513"/>
        <w:tab w:val="right" w:pos="9026"/>
      </w:tabs>
      <w:spacing w:line="240" w:lineRule="auto"/>
      <w:rPr>
        <w:rFonts w:ascii="Arial" w:eastAsiaTheme="minorHAnsi" w:hAnsi="Arial" w:cs="Arial"/>
        <w:sz w:val="18"/>
        <w:szCs w:val="18"/>
        <w:lang w:val="en-AU"/>
      </w:rPr>
    </w:pPr>
    <w:r>
      <w:rPr>
        <w:rFonts w:ascii="Arial" w:eastAsiaTheme="minorHAnsi" w:hAnsi="Arial" w:cs="Arial"/>
        <w:sz w:val="18"/>
        <w:szCs w:val="18"/>
        <w:lang w:val="en-AU"/>
      </w:rPr>
      <w:tab/>
    </w:r>
    <w:r>
      <w:rPr>
        <w:rFonts w:ascii="Arial" w:eastAsiaTheme="minorHAnsi" w:hAnsi="Arial" w:cs="Arial"/>
        <w:sz w:val="18"/>
        <w:szCs w:val="18"/>
        <w:lang w:val="en-AU"/>
      </w:rPr>
      <w:tab/>
    </w:r>
    <w:r w:rsidRPr="00C34942">
      <w:rPr>
        <w:rFonts w:ascii="Arial" w:eastAsiaTheme="minorHAnsi" w:hAnsi="Arial" w:cs="Arial"/>
        <w:sz w:val="18"/>
        <w:szCs w:val="18"/>
        <w:lang w:val="en-AU"/>
      </w:rPr>
      <w:t>Performance and Reporting Under the Fiscal Responsibility Act</w:t>
    </w:r>
  </w:p>
  <w:p w14:paraId="7CEA4328" w14:textId="300C6E8B" w:rsidR="00181A01" w:rsidRPr="00C34942" w:rsidRDefault="00181A01" w:rsidP="00135079">
    <w:pPr>
      <w:pStyle w:val="Header"/>
      <w:tabs>
        <w:tab w:val="clear" w:pos="4153"/>
        <w:tab w:val="clear" w:pos="8306"/>
        <w:tab w:val="center" w:pos="4513"/>
        <w:tab w:val="right" w:pos="9026"/>
      </w:tabs>
      <w:spacing w:line="240" w:lineRule="auto"/>
      <w:jc w:val="right"/>
      <w:rPr>
        <w:rFonts w:ascii="Arial" w:eastAsiaTheme="minorHAnsi" w:hAnsi="Arial" w:cs="Arial"/>
        <w:sz w:val="18"/>
        <w:szCs w:val="18"/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A546" w14:textId="12FCF3BB" w:rsidR="00DD408A" w:rsidRPr="00181A01" w:rsidRDefault="00DD408A" w:rsidP="00181A01">
    <w:pPr>
      <w:pStyle w:val="Header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082EF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07A5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4" w15:restartNumberingAfterBreak="0">
    <w:nsid w:val="07975410"/>
    <w:multiLevelType w:val="hybridMultilevel"/>
    <w:tmpl w:val="82767E72"/>
    <w:lvl w:ilvl="0" w:tplc="0C0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07F02AE8"/>
    <w:multiLevelType w:val="hybridMultilevel"/>
    <w:tmpl w:val="0D142454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B777EDC"/>
    <w:multiLevelType w:val="hybridMultilevel"/>
    <w:tmpl w:val="24309B1C"/>
    <w:lvl w:ilvl="0" w:tplc="22A0D0A6">
      <w:start w:val="1"/>
      <w:numFmt w:val="decimal"/>
      <w:pStyle w:val="Chart5X"/>
      <w:lvlText w:val="Chart 5.%1:"/>
      <w:lvlJc w:val="left"/>
      <w:pPr>
        <w:ind w:left="360" w:hanging="36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A1DE"/>
        <w:spacing w:val="0"/>
        <w:position w:val="0"/>
        <w:u w:val="none"/>
        <w:effect w:val="none"/>
        <w:vertAlign w:val="baseline"/>
        <w:em w:val="none"/>
      </w:rPr>
    </w:lvl>
    <w:lvl w:ilvl="1" w:tplc="CAB29B1C">
      <w:numFmt w:val="bullet"/>
      <w:lvlText w:val="•"/>
      <w:lvlJc w:val="left"/>
      <w:pPr>
        <w:ind w:left="1800" w:hanging="720"/>
      </w:pPr>
      <w:rPr>
        <w:rFonts w:ascii="Minion Pro" w:eastAsia="Times New Roman" w:hAnsi="Minion Pro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303DA"/>
    <w:multiLevelType w:val="hybridMultilevel"/>
    <w:tmpl w:val="F45620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7E4323"/>
    <w:multiLevelType w:val="hybridMultilevel"/>
    <w:tmpl w:val="B066B052"/>
    <w:lvl w:ilvl="0" w:tplc="4F36188A">
      <w:start w:val="1"/>
      <w:numFmt w:val="decimal"/>
      <w:pStyle w:val="TableDX"/>
      <w:lvlText w:val="Table E.%1:"/>
      <w:lvlJc w:val="left"/>
      <w:pPr>
        <w:ind w:left="360" w:hanging="360"/>
      </w:pPr>
      <w:rPr>
        <w:rFonts w:ascii="Arial" w:eastAsia="Arial Unicode MS" w:hAnsi="Arial" w:cs="Arial" w:hint="default"/>
        <w:b w:val="0"/>
        <w:i/>
        <w:caps w:val="0"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E210C0"/>
    <w:multiLevelType w:val="hybridMultilevel"/>
    <w:tmpl w:val="75F6CB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A6556"/>
    <w:multiLevelType w:val="hybridMultilevel"/>
    <w:tmpl w:val="13DE94D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73A11"/>
    <w:multiLevelType w:val="hybridMultilevel"/>
    <w:tmpl w:val="61E85D8E"/>
    <w:lvl w:ilvl="0" w:tplc="999A11A4">
      <w:start w:val="1"/>
      <w:numFmt w:val="bullet"/>
      <w:pStyle w:val="Bullet"/>
      <w:lvlText w:val=""/>
      <w:lvlJc w:val="left"/>
      <w:pPr>
        <w:tabs>
          <w:tab w:val="num" w:pos="113"/>
        </w:tabs>
        <w:ind w:left="0" w:firstLine="11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4265F"/>
    <w:multiLevelType w:val="hybridMultilevel"/>
    <w:tmpl w:val="7D803F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3776"/>
    <w:multiLevelType w:val="hybridMultilevel"/>
    <w:tmpl w:val="DC9C0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5C3AC5"/>
    <w:multiLevelType w:val="hybridMultilevel"/>
    <w:tmpl w:val="CD76CEA2"/>
    <w:lvl w:ilvl="0" w:tplc="7B421B78"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E0C34"/>
    <w:multiLevelType w:val="multilevel"/>
    <w:tmpl w:val="BB540AD0"/>
    <w:styleLink w:val="BulletPoints"/>
    <w:lvl w:ilvl="0">
      <w:start w:val="1"/>
      <w:numFmt w:val="bullet"/>
      <w:pStyle w:val="BulletPointStyle"/>
      <w:lvlText w:val=""/>
      <w:lvlJc w:val="left"/>
      <w:pPr>
        <w:ind w:left="357" w:hanging="35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298E5F22"/>
    <w:multiLevelType w:val="hybridMultilevel"/>
    <w:tmpl w:val="AF501CBC"/>
    <w:lvl w:ilvl="0" w:tplc="2150854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1E75AE"/>
    <w:multiLevelType w:val="hybridMultilevel"/>
    <w:tmpl w:val="9E4C36F0"/>
    <w:lvl w:ilvl="0" w:tplc="B1E63B5C">
      <w:start w:val="1"/>
      <w:numFmt w:val="decimal"/>
      <w:pStyle w:val="Tablex"/>
      <w:lvlText w:val="Table 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3B24A9"/>
    <w:multiLevelType w:val="hybridMultilevel"/>
    <w:tmpl w:val="55A402F6"/>
    <w:lvl w:ilvl="0" w:tplc="111C9F6A">
      <w:start w:val="1"/>
      <w:numFmt w:val="decimal"/>
      <w:pStyle w:val="Chart3X"/>
      <w:lvlText w:val="Chart 3.%1:"/>
      <w:lvlJc w:val="left"/>
      <w:pPr>
        <w:ind w:left="2062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2CA3855"/>
    <w:multiLevelType w:val="hybridMultilevel"/>
    <w:tmpl w:val="CDA82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02147"/>
    <w:multiLevelType w:val="hybridMultilevel"/>
    <w:tmpl w:val="B866B280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7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77C9B"/>
    <w:multiLevelType w:val="hybridMultilevel"/>
    <w:tmpl w:val="DBA26BC8"/>
    <w:lvl w:ilvl="0" w:tplc="D84A1D7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AB030E8"/>
    <w:multiLevelType w:val="hybridMultilevel"/>
    <w:tmpl w:val="BFE2F1D6"/>
    <w:lvl w:ilvl="0" w:tplc="6980E54A">
      <w:start w:val="1"/>
      <w:numFmt w:val="bullet"/>
      <w:pStyle w:val="Bullet1inabox"/>
      <w:lvlText w:val="•"/>
      <w:lvlJc w:val="left"/>
      <w:pPr>
        <w:ind w:left="360" w:hanging="360"/>
      </w:pPr>
      <w:rPr>
        <w:rFonts w:ascii="Arial" w:hAnsi="Arial" w:hint="default"/>
        <w:color w:val="0579B9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9C5BD0"/>
    <w:multiLevelType w:val="hybridMultilevel"/>
    <w:tmpl w:val="A49C7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2" w15:restartNumberingAfterBreak="0">
    <w:nsid w:val="401B0688"/>
    <w:multiLevelType w:val="hybridMultilevel"/>
    <w:tmpl w:val="72DCFD98"/>
    <w:lvl w:ilvl="0" w:tplc="938A90D4">
      <w:start w:val="1"/>
      <w:numFmt w:val="decimal"/>
      <w:pStyle w:val="Chart2X"/>
      <w:lvlText w:val="Chart 2.%1:"/>
      <w:lvlJc w:val="left"/>
      <w:pPr>
        <w:ind w:left="1211" w:hanging="360"/>
      </w:pPr>
      <w:rPr>
        <w:rFonts w:ascii="Arial" w:hAnsi="Arial" w:hint="default"/>
        <w:b w:val="0"/>
        <w:i/>
        <w:caps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10931B3"/>
    <w:multiLevelType w:val="hybridMultilevel"/>
    <w:tmpl w:val="BF8E5084"/>
    <w:lvl w:ilvl="0" w:tplc="636A4CA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1C002F"/>
    <w:multiLevelType w:val="hybridMultilevel"/>
    <w:tmpl w:val="A9D866CA"/>
    <w:lvl w:ilvl="0" w:tplc="E4C27E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591888"/>
    <w:multiLevelType w:val="hybridMultilevel"/>
    <w:tmpl w:val="93E2E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0F675B"/>
    <w:multiLevelType w:val="hybridMultilevel"/>
    <w:tmpl w:val="CA42D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442FFA"/>
    <w:multiLevelType w:val="hybridMultilevel"/>
    <w:tmpl w:val="5EDA4A9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i w:val="0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4E4A4250"/>
    <w:multiLevelType w:val="hybridMultilevel"/>
    <w:tmpl w:val="868AFABA"/>
    <w:lvl w:ilvl="0" w:tplc="FCB65C70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46325"/>
    <w:multiLevelType w:val="hybridMultilevel"/>
    <w:tmpl w:val="87183560"/>
    <w:lvl w:ilvl="0" w:tplc="0C090019">
      <w:start w:val="1"/>
      <w:numFmt w:val="lowerLetter"/>
      <w:lvlText w:val="%1.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0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1B4207"/>
    <w:multiLevelType w:val="hybridMultilevel"/>
    <w:tmpl w:val="7480C9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041D7B"/>
    <w:multiLevelType w:val="singleLevel"/>
    <w:tmpl w:val="A3C43FDC"/>
    <w:lvl w:ilvl="0">
      <w:start w:val="1"/>
      <w:numFmt w:val="decimal"/>
      <w:pStyle w:val="Chartx"/>
      <w:lvlText w:val="Chart E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</w:rPr>
    </w:lvl>
  </w:abstractNum>
  <w:abstractNum w:abstractNumId="44" w15:restartNumberingAfterBreak="0">
    <w:nsid w:val="56CA4999"/>
    <w:multiLevelType w:val="hybridMultilevel"/>
    <w:tmpl w:val="EA22A06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9321B6F"/>
    <w:multiLevelType w:val="hybridMultilevel"/>
    <w:tmpl w:val="D0140F76"/>
    <w:lvl w:ilvl="0" w:tplc="2F6CC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150C89"/>
    <w:multiLevelType w:val="multilevel"/>
    <w:tmpl w:val="123AAB14"/>
    <w:lvl w:ilvl="0">
      <w:start w:val="1"/>
      <w:numFmt w:val="none"/>
      <w:pStyle w:val="TableXX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7" w15:restartNumberingAfterBreak="0">
    <w:nsid w:val="5EC753BC"/>
    <w:multiLevelType w:val="hybridMultilevel"/>
    <w:tmpl w:val="3C8C41FC"/>
    <w:lvl w:ilvl="0" w:tplc="BB16CCFE">
      <w:start w:val="1"/>
      <w:numFmt w:val="decimal"/>
      <w:lvlText w:val="Table 7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4D6A0E"/>
    <w:multiLevelType w:val="singleLevel"/>
    <w:tmpl w:val="29A87162"/>
    <w:lvl w:ilvl="0">
      <w:numFmt w:val="bullet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9" w15:restartNumberingAfterBreak="0">
    <w:nsid w:val="63114A99"/>
    <w:multiLevelType w:val="hybridMultilevel"/>
    <w:tmpl w:val="49CC8E78"/>
    <w:lvl w:ilvl="0" w:tplc="7F461328">
      <w:start w:val="1"/>
      <w:numFmt w:val="decimal"/>
      <w:pStyle w:val="ChartB4X"/>
      <w:lvlText w:val="Chart B4.%1: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354" w:hanging="360"/>
      </w:pPr>
    </w:lvl>
    <w:lvl w:ilvl="2" w:tplc="0C09001B" w:tentative="1">
      <w:start w:val="1"/>
      <w:numFmt w:val="lowerRoman"/>
      <w:lvlText w:val="%3."/>
      <w:lvlJc w:val="right"/>
      <w:pPr>
        <w:ind w:left="3074" w:hanging="180"/>
      </w:pPr>
    </w:lvl>
    <w:lvl w:ilvl="3" w:tplc="0C09000F" w:tentative="1">
      <w:start w:val="1"/>
      <w:numFmt w:val="decimal"/>
      <w:lvlText w:val="%4."/>
      <w:lvlJc w:val="left"/>
      <w:pPr>
        <w:ind w:left="3794" w:hanging="360"/>
      </w:pPr>
    </w:lvl>
    <w:lvl w:ilvl="4" w:tplc="0C090019" w:tentative="1">
      <w:start w:val="1"/>
      <w:numFmt w:val="lowerLetter"/>
      <w:lvlText w:val="%5."/>
      <w:lvlJc w:val="left"/>
      <w:pPr>
        <w:ind w:left="4514" w:hanging="360"/>
      </w:pPr>
    </w:lvl>
    <w:lvl w:ilvl="5" w:tplc="0C09001B" w:tentative="1">
      <w:start w:val="1"/>
      <w:numFmt w:val="lowerRoman"/>
      <w:lvlText w:val="%6."/>
      <w:lvlJc w:val="right"/>
      <w:pPr>
        <w:ind w:left="5234" w:hanging="180"/>
      </w:pPr>
    </w:lvl>
    <w:lvl w:ilvl="6" w:tplc="0C09000F" w:tentative="1">
      <w:start w:val="1"/>
      <w:numFmt w:val="decimal"/>
      <w:lvlText w:val="%7."/>
      <w:lvlJc w:val="left"/>
      <w:pPr>
        <w:ind w:left="5954" w:hanging="360"/>
      </w:pPr>
    </w:lvl>
    <w:lvl w:ilvl="7" w:tplc="0C090019" w:tentative="1">
      <w:start w:val="1"/>
      <w:numFmt w:val="lowerLetter"/>
      <w:lvlText w:val="%8."/>
      <w:lvlJc w:val="left"/>
      <w:pPr>
        <w:ind w:left="6674" w:hanging="360"/>
      </w:pPr>
    </w:lvl>
    <w:lvl w:ilvl="8" w:tplc="0C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0" w15:restartNumberingAfterBreak="0">
    <w:nsid w:val="667C63AD"/>
    <w:multiLevelType w:val="hybridMultilevel"/>
    <w:tmpl w:val="3CDC1FF0"/>
    <w:lvl w:ilvl="0" w:tplc="0C0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1" w15:restartNumberingAfterBreak="0">
    <w:nsid w:val="67B01FA4"/>
    <w:multiLevelType w:val="hybridMultilevel"/>
    <w:tmpl w:val="C1208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C2EF2"/>
    <w:multiLevelType w:val="hybridMultilevel"/>
    <w:tmpl w:val="F4C49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EB7EF5"/>
    <w:multiLevelType w:val="hybridMultilevel"/>
    <w:tmpl w:val="33B61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9944AF"/>
    <w:multiLevelType w:val="hybridMultilevel"/>
    <w:tmpl w:val="68E44EFA"/>
    <w:lvl w:ilvl="0" w:tplc="D6BEE68E">
      <w:start w:val="1"/>
      <w:numFmt w:val="decimal"/>
      <w:pStyle w:val="TableB2X"/>
      <w:lvlText w:val="Table B2.%1:"/>
      <w:lvlJc w:val="left"/>
      <w:pPr>
        <w:ind w:left="720" w:hanging="360"/>
      </w:pPr>
      <w:rPr>
        <w:rFonts w:hint="default"/>
        <w:b w:val="0"/>
        <w:i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47A67"/>
    <w:multiLevelType w:val="hybridMultilevel"/>
    <w:tmpl w:val="244E1B7E"/>
    <w:lvl w:ilvl="0" w:tplc="0C0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50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6" w15:restartNumberingAfterBreak="0">
    <w:nsid w:val="7B2D4AD3"/>
    <w:multiLevelType w:val="hybridMultilevel"/>
    <w:tmpl w:val="7834EDC4"/>
    <w:lvl w:ilvl="0" w:tplc="0C090019">
      <w:start w:val="1"/>
      <w:numFmt w:val="lowerLetter"/>
      <w:lvlText w:val="%1.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48"/>
  </w:num>
  <w:num w:numId="5">
    <w:abstractNumId w:val="26"/>
  </w:num>
  <w:num w:numId="6">
    <w:abstractNumId w:val="29"/>
  </w:num>
  <w:num w:numId="7">
    <w:abstractNumId w:val="42"/>
  </w:num>
  <w:num w:numId="8">
    <w:abstractNumId w:val="3"/>
  </w:num>
  <w:num w:numId="9">
    <w:abstractNumId w:val="31"/>
  </w:num>
  <w:num w:numId="10">
    <w:abstractNumId w:val="19"/>
  </w:num>
  <w:num w:numId="11">
    <w:abstractNumId w:val="19"/>
  </w:num>
  <w:num w:numId="12">
    <w:abstractNumId w:val="40"/>
  </w:num>
  <w:num w:numId="13">
    <w:abstractNumId w:val="10"/>
  </w:num>
  <w:num w:numId="14">
    <w:abstractNumId w:val="32"/>
  </w:num>
  <w:num w:numId="15">
    <w:abstractNumId w:val="23"/>
  </w:num>
  <w:num w:numId="16">
    <w:abstractNumId w:val="46"/>
  </w:num>
  <w:num w:numId="17">
    <w:abstractNumId w:val="6"/>
  </w:num>
  <w:num w:numId="18">
    <w:abstractNumId w:val="47"/>
  </w:num>
  <w:num w:numId="19">
    <w:abstractNumId w:val="49"/>
  </w:num>
  <w:num w:numId="20">
    <w:abstractNumId w:val="43"/>
  </w:num>
  <w:num w:numId="21">
    <w:abstractNumId w:val="27"/>
  </w:num>
  <w:num w:numId="22">
    <w:abstractNumId w:val="0"/>
  </w:num>
  <w:num w:numId="23">
    <w:abstractNumId w:val="8"/>
  </w:num>
  <w:num w:numId="24">
    <w:abstractNumId w:val="2"/>
  </w:num>
  <w:num w:numId="25">
    <w:abstractNumId w:val="1"/>
  </w:num>
  <w:num w:numId="26">
    <w:abstractNumId w:val="17"/>
  </w:num>
  <w:num w:numId="27">
    <w:abstractNumId w:val="38"/>
  </w:num>
  <w:num w:numId="28">
    <w:abstractNumId w:val="7"/>
  </w:num>
  <w:num w:numId="29">
    <w:abstractNumId w:val="25"/>
  </w:num>
  <w:num w:numId="30">
    <w:abstractNumId w:val="54"/>
  </w:num>
  <w:num w:numId="31">
    <w:abstractNumId w:val="21"/>
  </w:num>
  <w:num w:numId="32">
    <w:abstractNumId w:val="24"/>
  </w:num>
  <w:num w:numId="33">
    <w:abstractNumId w:val="36"/>
  </w:num>
  <w:num w:numId="34">
    <w:abstractNumId w:val="45"/>
  </w:num>
  <w:num w:numId="35">
    <w:abstractNumId w:val="52"/>
  </w:num>
  <w:num w:numId="36">
    <w:abstractNumId w:val="51"/>
  </w:num>
  <w:num w:numId="37">
    <w:abstractNumId w:val="53"/>
  </w:num>
  <w:num w:numId="38">
    <w:abstractNumId w:val="41"/>
  </w:num>
  <w:num w:numId="39">
    <w:abstractNumId w:val="9"/>
  </w:num>
  <w:num w:numId="40">
    <w:abstractNumId w:val="16"/>
  </w:num>
  <w:num w:numId="41">
    <w:abstractNumId w:val="18"/>
  </w:num>
  <w:num w:numId="42">
    <w:abstractNumId w:val="43"/>
  </w:num>
  <w:num w:numId="43">
    <w:abstractNumId w:val="43"/>
  </w:num>
  <w:num w:numId="44">
    <w:abstractNumId w:val="5"/>
  </w:num>
  <w:num w:numId="45">
    <w:abstractNumId w:val="50"/>
  </w:num>
  <w:num w:numId="46">
    <w:abstractNumId w:val="15"/>
  </w:num>
  <w:num w:numId="47">
    <w:abstractNumId w:val="37"/>
  </w:num>
  <w:num w:numId="48">
    <w:abstractNumId w:val="55"/>
  </w:num>
  <w:num w:numId="49">
    <w:abstractNumId w:val="4"/>
  </w:num>
  <w:num w:numId="50">
    <w:abstractNumId w:val="56"/>
  </w:num>
  <w:num w:numId="51">
    <w:abstractNumId w:val="20"/>
  </w:num>
  <w:num w:numId="52">
    <w:abstractNumId w:val="34"/>
  </w:num>
  <w:num w:numId="53">
    <w:abstractNumId w:val="39"/>
  </w:num>
  <w:num w:numId="54">
    <w:abstractNumId w:val="34"/>
    <w:lvlOverride w:ilvl="0">
      <w:startOverride w:val="1"/>
    </w:lvlOverride>
  </w:num>
  <w:num w:numId="55">
    <w:abstractNumId w:val="34"/>
    <w:lvlOverride w:ilvl="0">
      <w:startOverride w:val="1"/>
    </w:lvlOverride>
  </w:num>
  <w:num w:numId="56">
    <w:abstractNumId w:val="33"/>
  </w:num>
  <w:num w:numId="57">
    <w:abstractNumId w:val="30"/>
  </w:num>
  <w:num w:numId="58">
    <w:abstractNumId w:val="11"/>
  </w:num>
  <w:num w:numId="59">
    <w:abstractNumId w:val="35"/>
  </w:num>
  <w:num w:numId="60">
    <w:abstractNumId w:val="44"/>
  </w:num>
  <w:num w:numId="61">
    <w:abstractNumId w:val="12"/>
  </w:num>
  <w:num w:numId="62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471"/>
    <w:rsid w:val="00003FA2"/>
    <w:rsid w:val="00006344"/>
    <w:rsid w:val="0000645C"/>
    <w:rsid w:val="00014C40"/>
    <w:rsid w:val="00015075"/>
    <w:rsid w:val="00016476"/>
    <w:rsid w:val="00017986"/>
    <w:rsid w:val="00017CB0"/>
    <w:rsid w:val="00017D3F"/>
    <w:rsid w:val="00021B9F"/>
    <w:rsid w:val="000249AE"/>
    <w:rsid w:val="00024C4A"/>
    <w:rsid w:val="00025FA5"/>
    <w:rsid w:val="00032EA0"/>
    <w:rsid w:val="00036579"/>
    <w:rsid w:val="0004001B"/>
    <w:rsid w:val="000406AD"/>
    <w:rsid w:val="00051264"/>
    <w:rsid w:val="00052B09"/>
    <w:rsid w:val="000534D2"/>
    <w:rsid w:val="00053EBA"/>
    <w:rsid w:val="000543E6"/>
    <w:rsid w:val="00055A41"/>
    <w:rsid w:val="0005669C"/>
    <w:rsid w:val="00057831"/>
    <w:rsid w:val="00061A9A"/>
    <w:rsid w:val="0006295C"/>
    <w:rsid w:val="00064191"/>
    <w:rsid w:val="00067372"/>
    <w:rsid w:val="00076780"/>
    <w:rsid w:val="0008195C"/>
    <w:rsid w:val="000843C8"/>
    <w:rsid w:val="00084E06"/>
    <w:rsid w:val="00084E7E"/>
    <w:rsid w:val="00085EF0"/>
    <w:rsid w:val="0008645E"/>
    <w:rsid w:val="00086A3C"/>
    <w:rsid w:val="000876ED"/>
    <w:rsid w:val="000949A3"/>
    <w:rsid w:val="00094B98"/>
    <w:rsid w:val="00095B14"/>
    <w:rsid w:val="00096C85"/>
    <w:rsid w:val="00097C64"/>
    <w:rsid w:val="000A013B"/>
    <w:rsid w:val="000A2DD7"/>
    <w:rsid w:val="000A2F84"/>
    <w:rsid w:val="000A395A"/>
    <w:rsid w:val="000B0A22"/>
    <w:rsid w:val="000B25F1"/>
    <w:rsid w:val="000C0072"/>
    <w:rsid w:val="000C2662"/>
    <w:rsid w:val="000C3649"/>
    <w:rsid w:val="000C5D2F"/>
    <w:rsid w:val="000C62C7"/>
    <w:rsid w:val="000C6FB3"/>
    <w:rsid w:val="000D3D46"/>
    <w:rsid w:val="000D4FD8"/>
    <w:rsid w:val="000D5E69"/>
    <w:rsid w:val="000D7C00"/>
    <w:rsid w:val="000E12CE"/>
    <w:rsid w:val="000E5153"/>
    <w:rsid w:val="000F1E2C"/>
    <w:rsid w:val="000F3058"/>
    <w:rsid w:val="000F54DA"/>
    <w:rsid w:val="000F7E0A"/>
    <w:rsid w:val="001051F7"/>
    <w:rsid w:val="0011442D"/>
    <w:rsid w:val="00116393"/>
    <w:rsid w:val="001174BE"/>
    <w:rsid w:val="001232F5"/>
    <w:rsid w:val="00124A79"/>
    <w:rsid w:val="00126FCA"/>
    <w:rsid w:val="00134873"/>
    <w:rsid w:val="00134905"/>
    <w:rsid w:val="00135079"/>
    <w:rsid w:val="001360EB"/>
    <w:rsid w:val="001374DC"/>
    <w:rsid w:val="00144A90"/>
    <w:rsid w:val="00150399"/>
    <w:rsid w:val="0015066C"/>
    <w:rsid w:val="00151314"/>
    <w:rsid w:val="00151AE3"/>
    <w:rsid w:val="00153951"/>
    <w:rsid w:val="0015422F"/>
    <w:rsid w:val="001567DB"/>
    <w:rsid w:val="00156FEC"/>
    <w:rsid w:val="00157FED"/>
    <w:rsid w:val="0016121E"/>
    <w:rsid w:val="00161918"/>
    <w:rsid w:val="001637E0"/>
    <w:rsid w:val="00163D21"/>
    <w:rsid w:val="0016409A"/>
    <w:rsid w:val="001735C5"/>
    <w:rsid w:val="00174C66"/>
    <w:rsid w:val="00175FA0"/>
    <w:rsid w:val="00177CC2"/>
    <w:rsid w:val="00177FE8"/>
    <w:rsid w:val="00180ABD"/>
    <w:rsid w:val="00181A01"/>
    <w:rsid w:val="0019118A"/>
    <w:rsid w:val="00197E5B"/>
    <w:rsid w:val="001A3F92"/>
    <w:rsid w:val="001A6E6F"/>
    <w:rsid w:val="001A729D"/>
    <w:rsid w:val="001A7879"/>
    <w:rsid w:val="001A7DB1"/>
    <w:rsid w:val="001A7E0E"/>
    <w:rsid w:val="001B2475"/>
    <w:rsid w:val="001B38C1"/>
    <w:rsid w:val="001B3FB3"/>
    <w:rsid w:val="001B4B68"/>
    <w:rsid w:val="001C0493"/>
    <w:rsid w:val="001C32E7"/>
    <w:rsid w:val="001C38FA"/>
    <w:rsid w:val="001C434D"/>
    <w:rsid w:val="001C4625"/>
    <w:rsid w:val="001D037F"/>
    <w:rsid w:val="001D0447"/>
    <w:rsid w:val="001D0A45"/>
    <w:rsid w:val="001D33FB"/>
    <w:rsid w:val="001D6FAF"/>
    <w:rsid w:val="001D7837"/>
    <w:rsid w:val="001E1815"/>
    <w:rsid w:val="001E23FB"/>
    <w:rsid w:val="001E3A66"/>
    <w:rsid w:val="001E5D5A"/>
    <w:rsid w:val="001E659E"/>
    <w:rsid w:val="001E7373"/>
    <w:rsid w:val="001E798F"/>
    <w:rsid w:val="001F158A"/>
    <w:rsid w:val="001F7C23"/>
    <w:rsid w:val="00203B17"/>
    <w:rsid w:val="002065AC"/>
    <w:rsid w:val="00210364"/>
    <w:rsid w:val="00210558"/>
    <w:rsid w:val="002122B2"/>
    <w:rsid w:val="00213B9E"/>
    <w:rsid w:val="002146B5"/>
    <w:rsid w:val="00215856"/>
    <w:rsid w:val="00215B95"/>
    <w:rsid w:val="002170CC"/>
    <w:rsid w:val="002220A1"/>
    <w:rsid w:val="002224E5"/>
    <w:rsid w:val="00230227"/>
    <w:rsid w:val="0023173E"/>
    <w:rsid w:val="002330CF"/>
    <w:rsid w:val="002335A4"/>
    <w:rsid w:val="00237D58"/>
    <w:rsid w:val="0024147A"/>
    <w:rsid w:val="0024190A"/>
    <w:rsid w:val="002431BB"/>
    <w:rsid w:val="00245C9B"/>
    <w:rsid w:val="002464D8"/>
    <w:rsid w:val="00256432"/>
    <w:rsid w:val="0025754B"/>
    <w:rsid w:val="00263363"/>
    <w:rsid w:val="002643CC"/>
    <w:rsid w:val="002652D2"/>
    <w:rsid w:val="00265C59"/>
    <w:rsid w:val="00265CEF"/>
    <w:rsid w:val="00270183"/>
    <w:rsid w:val="00271717"/>
    <w:rsid w:val="00272BD2"/>
    <w:rsid w:val="00274A50"/>
    <w:rsid w:val="0027501A"/>
    <w:rsid w:val="002815F2"/>
    <w:rsid w:val="00281B5F"/>
    <w:rsid w:val="00282518"/>
    <w:rsid w:val="00283B68"/>
    <w:rsid w:val="00285BF6"/>
    <w:rsid w:val="002864D5"/>
    <w:rsid w:val="00287270"/>
    <w:rsid w:val="002901D7"/>
    <w:rsid w:val="00293354"/>
    <w:rsid w:val="002941BE"/>
    <w:rsid w:val="002A3E45"/>
    <w:rsid w:val="002A5480"/>
    <w:rsid w:val="002A7FB3"/>
    <w:rsid w:val="002B00C2"/>
    <w:rsid w:val="002B0610"/>
    <w:rsid w:val="002B0991"/>
    <w:rsid w:val="002B173A"/>
    <w:rsid w:val="002B1C72"/>
    <w:rsid w:val="002B6138"/>
    <w:rsid w:val="002C2337"/>
    <w:rsid w:val="002C2E92"/>
    <w:rsid w:val="002C7D0C"/>
    <w:rsid w:val="002D052E"/>
    <w:rsid w:val="002D1532"/>
    <w:rsid w:val="002D340B"/>
    <w:rsid w:val="002D3CD3"/>
    <w:rsid w:val="002E0163"/>
    <w:rsid w:val="002E3F18"/>
    <w:rsid w:val="002E5A92"/>
    <w:rsid w:val="002E6727"/>
    <w:rsid w:val="002F40F0"/>
    <w:rsid w:val="002F5122"/>
    <w:rsid w:val="002F764E"/>
    <w:rsid w:val="0030080D"/>
    <w:rsid w:val="00312DB0"/>
    <w:rsid w:val="00313237"/>
    <w:rsid w:val="003169CD"/>
    <w:rsid w:val="00327D37"/>
    <w:rsid w:val="003321D8"/>
    <w:rsid w:val="003328D7"/>
    <w:rsid w:val="00334E7B"/>
    <w:rsid w:val="00337427"/>
    <w:rsid w:val="003433DD"/>
    <w:rsid w:val="0035148D"/>
    <w:rsid w:val="00352872"/>
    <w:rsid w:val="00355E9D"/>
    <w:rsid w:val="00356452"/>
    <w:rsid w:val="0035645A"/>
    <w:rsid w:val="00370751"/>
    <w:rsid w:val="00373026"/>
    <w:rsid w:val="00375D90"/>
    <w:rsid w:val="003776BB"/>
    <w:rsid w:val="003809B9"/>
    <w:rsid w:val="00381DD7"/>
    <w:rsid w:val="00387582"/>
    <w:rsid w:val="00387E2F"/>
    <w:rsid w:val="00392EEA"/>
    <w:rsid w:val="003941CD"/>
    <w:rsid w:val="00394337"/>
    <w:rsid w:val="0039676E"/>
    <w:rsid w:val="003A1969"/>
    <w:rsid w:val="003A5B5C"/>
    <w:rsid w:val="003A7ED0"/>
    <w:rsid w:val="003B02EB"/>
    <w:rsid w:val="003B1DDD"/>
    <w:rsid w:val="003B3EEB"/>
    <w:rsid w:val="003B3FB0"/>
    <w:rsid w:val="003B6144"/>
    <w:rsid w:val="003C25BB"/>
    <w:rsid w:val="003C32FA"/>
    <w:rsid w:val="003C3A33"/>
    <w:rsid w:val="003C4A11"/>
    <w:rsid w:val="003D6D0A"/>
    <w:rsid w:val="003E140E"/>
    <w:rsid w:val="003E45F4"/>
    <w:rsid w:val="003E6C64"/>
    <w:rsid w:val="003F00BB"/>
    <w:rsid w:val="003F4435"/>
    <w:rsid w:val="00404802"/>
    <w:rsid w:val="00410597"/>
    <w:rsid w:val="00412FE8"/>
    <w:rsid w:val="004142E7"/>
    <w:rsid w:val="004148F1"/>
    <w:rsid w:val="00414E68"/>
    <w:rsid w:val="00414F9F"/>
    <w:rsid w:val="0041545E"/>
    <w:rsid w:val="0041681B"/>
    <w:rsid w:val="00417B6A"/>
    <w:rsid w:val="00420144"/>
    <w:rsid w:val="00420E5E"/>
    <w:rsid w:val="00423BA1"/>
    <w:rsid w:val="00424A46"/>
    <w:rsid w:val="004259D2"/>
    <w:rsid w:val="00425B92"/>
    <w:rsid w:val="00430496"/>
    <w:rsid w:val="00432424"/>
    <w:rsid w:val="00434BDF"/>
    <w:rsid w:val="00437AB1"/>
    <w:rsid w:val="004405AA"/>
    <w:rsid w:val="00445667"/>
    <w:rsid w:val="004539CC"/>
    <w:rsid w:val="00453EE4"/>
    <w:rsid w:val="004553A0"/>
    <w:rsid w:val="00455B61"/>
    <w:rsid w:val="00456CF9"/>
    <w:rsid w:val="0046110A"/>
    <w:rsid w:val="0046293C"/>
    <w:rsid w:val="004632E3"/>
    <w:rsid w:val="0046679A"/>
    <w:rsid w:val="0047182D"/>
    <w:rsid w:val="004726D7"/>
    <w:rsid w:val="00476A36"/>
    <w:rsid w:val="00484415"/>
    <w:rsid w:val="00484D11"/>
    <w:rsid w:val="00490298"/>
    <w:rsid w:val="00492681"/>
    <w:rsid w:val="00492E26"/>
    <w:rsid w:val="0049449D"/>
    <w:rsid w:val="00497699"/>
    <w:rsid w:val="00497706"/>
    <w:rsid w:val="004A4ACA"/>
    <w:rsid w:val="004A6286"/>
    <w:rsid w:val="004A7EEC"/>
    <w:rsid w:val="004B0243"/>
    <w:rsid w:val="004B0F7F"/>
    <w:rsid w:val="004B25FA"/>
    <w:rsid w:val="004C5D25"/>
    <w:rsid w:val="004C7BE0"/>
    <w:rsid w:val="004D5106"/>
    <w:rsid w:val="004D5EB2"/>
    <w:rsid w:val="004D6D3A"/>
    <w:rsid w:val="004E41F5"/>
    <w:rsid w:val="004E68B8"/>
    <w:rsid w:val="004F21DF"/>
    <w:rsid w:val="004F6C35"/>
    <w:rsid w:val="004F7062"/>
    <w:rsid w:val="005027FD"/>
    <w:rsid w:val="00503A85"/>
    <w:rsid w:val="00507A01"/>
    <w:rsid w:val="00511C76"/>
    <w:rsid w:val="00516E88"/>
    <w:rsid w:val="00517FDE"/>
    <w:rsid w:val="00520616"/>
    <w:rsid w:val="00523523"/>
    <w:rsid w:val="0052485F"/>
    <w:rsid w:val="00525122"/>
    <w:rsid w:val="005322F4"/>
    <w:rsid w:val="00536AFD"/>
    <w:rsid w:val="0053757D"/>
    <w:rsid w:val="00537D3D"/>
    <w:rsid w:val="00541C99"/>
    <w:rsid w:val="005444F1"/>
    <w:rsid w:val="00546256"/>
    <w:rsid w:val="0054656F"/>
    <w:rsid w:val="00547860"/>
    <w:rsid w:val="00552973"/>
    <w:rsid w:val="005542E9"/>
    <w:rsid w:val="0055603E"/>
    <w:rsid w:val="00556150"/>
    <w:rsid w:val="00557ED9"/>
    <w:rsid w:val="00562902"/>
    <w:rsid w:val="00563715"/>
    <w:rsid w:val="00563B4C"/>
    <w:rsid w:val="005643A9"/>
    <w:rsid w:val="005647E9"/>
    <w:rsid w:val="00566701"/>
    <w:rsid w:val="005674A2"/>
    <w:rsid w:val="00572CF1"/>
    <w:rsid w:val="005761CD"/>
    <w:rsid w:val="00577B6B"/>
    <w:rsid w:val="00581206"/>
    <w:rsid w:val="00584A83"/>
    <w:rsid w:val="00586869"/>
    <w:rsid w:val="00586A96"/>
    <w:rsid w:val="00586DC5"/>
    <w:rsid w:val="00587FDF"/>
    <w:rsid w:val="00591E73"/>
    <w:rsid w:val="005930E4"/>
    <w:rsid w:val="005A0C94"/>
    <w:rsid w:val="005A2DEF"/>
    <w:rsid w:val="005A7A9E"/>
    <w:rsid w:val="005C21E3"/>
    <w:rsid w:val="005C27FF"/>
    <w:rsid w:val="005C2D33"/>
    <w:rsid w:val="005C3AB0"/>
    <w:rsid w:val="005C615C"/>
    <w:rsid w:val="005C69F1"/>
    <w:rsid w:val="005D023D"/>
    <w:rsid w:val="005D2273"/>
    <w:rsid w:val="005D7BF7"/>
    <w:rsid w:val="005E3ACD"/>
    <w:rsid w:val="005E62D9"/>
    <w:rsid w:val="005E7648"/>
    <w:rsid w:val="005F048B"/>
    <w:rsid w:val="005F0ED2"/>
    <w:rsid w:val="005F105A"/>
    <w:rsid w:val="005F2ABE"/>
    <w:rsid w:val="005F3012"/>
    <w:rsid w:val="006017AE"/>
    <w:rsid w:val="00603DC5"/>
    <w:rsid w:val="00605976"/>
    <w:rsid w:val="00607D58"/>
    <w:rsid w:val="00611BB0"/>
    <w:rsid w:val="0061439B"/>
    <w:rsid w:val="00615A33"/>
    <w:rsid w:val="00616BE5"/>
    <w:rsid w:val="0061765F"/>
    <w:rsid w:val="00622493"/>
    <w:rsid w:val="006236E1"/>
    <w:rsid w:val="0062386B"/>
    <w:rsid w:val="0062521D"/>
    <w:rsid w:val="00636DF0"/>
    <w:rsid w:val="00637792"/>
    <w:rsid w:val="00637940"/>
    <w:rsid w:val="006379D8"/>
    <w:rsid w:val="00640FF0"/>
    <w:rsid w:val="00641DBB"/>
    <w:rsid w:val="006443CF"/>
    <w:rsid w:val="006503BF"/>
    <w:rsid w:val="00651009"/>
    <w:rsid w:val="0065147D"/>
    <w:rsid w:val="00660994"/>
    <w:rsid w:val="00660C88"/>
    <w:rsid w:val="00662963"/>
    <w:rsid w:val="00664CF4"/>
    <w:rsid w:val="00665E38"/>
    <w:rsid w:val="006674FE"/>
    <w:rsid w:val="00670D1D"/>
    <w:rsid w:val="006720B2"/>
    <w:rsid w:val="0067373F"/>
    <w:rsid w:val="006768F4"/>
    <w:rsid w:val="00680373"/>
    <w:rsid w:val="00680B2A"/>
    <w:rsid w:val="00684936"/>
    <w:rsid w:val="00684B52"/>
    <w:rsid w:val="0069534A"/>
    <w:rsid w:val="00697212"/>
    <w:rsid w:val="006A1654"/>
    <w:rsid w:val="006A35C7"/>
    <w:rsid w:val="006A519E"/>
    <w:rsid w:val="006A747B"/>
    <w:rsid w:val="006B3C88"/>
    <w:rsid w:val="006B7005"/>
    <w:rsid w:val="006C32F3"/>
    <w:rsid w:val="006C46BD"/>
    <w:rsid w:val="006D00E3"/>
    <w:rsid w:val="006D1807"/>
    <w:rsid w:val="006D5B9F"/>
    <w:rsid w:val="006D7801"/>
    <w:rsid w:val="006E6057"/>
    <w:rsid w:val="006E6BF6"/>
    <w:rsid w:val="006E75C4"/>
    <w:rsid w:val="006F2260"/>
    <w:rsid w:val="006F3CD5"/>
    <w:rsid w:val="006F5D99"/>
    <w:rsid w:val="006F782F"/>
    <w:rsid w:val="00705321"/>
    <w:rsid w:val="007067CF"/>
    <w:rsid w:val="00706A33"/>
    <w:rsid w:val="00707D49"/>
    <w:rsid w:val="00712251"/>
    <w:rsid w:val="00712D9B"/>
    <w:rsid w:val="00713C40"/>
    <w:rsid w:val="00716541"/>
    <w:rsid w:val="00720386"/>
    <w:rsid w:val="007212B9"/>
    <w:rsid w:val="00722113"/>
    <w:rsid w:val="007222D3"/>
    <w:rsid w:val="0072365F"/>
    <w:rsid w:val="007371EE"/>
    <w:rsid w:val="00742D47"/>
    <w:rsid w:val="007645F4"/>
    <w:rsid w:val="00767E74"/>
    <w:rsid w:val="007725CF"/>
    <w:rsid w:val="00772E3A"/>
    <w:rsid w:val="00773504"/>
    <w:rsid w:val="007735BA"/>
    <w:rsid w:val="00776172"/>
    <w:rsid w:val="00776A6F"/>
    <w:rsid w:val="00777701"/>
    <w:rsid w:val="00780FCD"/>
    <w:rsid w:val="00784734"/>
    <w:rsid w:val="00790C47"/>
    <w:rsid w:val="007953CB"/>
    <w:rsid w:val="0079756F"/>
    <w:rsid w:val="00797F95"/>
    <w:rsid w:val="007A1BC0"/>
    <w:rsid w:val="007A1BDE"/>
    <w:rsid w:val="007A2A83"/>
    <w:rsid w:val="007A5925"/>
    <w:rsid w:val="007A60C6"/>
    <w:rsid w:val="007B1177"/>
    <w:rsid w:val="007B6B8A"/>
    <w:rsid w:val="007C2C53"/>
    <w:rsid w:val="007C58CD"/>
    <w:rsid w:val="007C6C4C"/>
    <w:rsid w:val="007D0263"/>
    <w:rsid w:val="007D03C6"/>
    <w:rsid w:val="007D0520"/>
    <w:rsid w:val="007D1B84"/>
    <w:rsid w:val="007D67A8"/>
    <w:rsid w:val="007D6C5B"/>
    <w:rsid w:val="007E0707"/>
    <w:rsid w:val="007E0C55"/>
    <w:rsid w:val="007E63BC"/>
    <w:rsid w:val="007E76C4"/>
    <w:rsid w:val="007F046A"/>
    <w:rsid w:val="007F10F7"/>
    <w:rsid w:val="007F5783"/>
    <w:rsid w:val="007F614E"/>
    <w:rsid w:val="00800273"/>
    <w:rsid w:val="008007A4"/>
    <w:rsid w:val="008017A9"/>
    <w:rsid w:val="0080364E"/>
    <w:rsid w:val="0080514A"/>
    <w:rsid w:val="008051C3"/>
    <w:rsid w:val="00813B9D"/>
    <w:rsid w:val="00824379"/>
    <w:rsid w:val="00824411"/>
    <w:rsid w:val="00824448"/>
    <w:rsid w:val="00824F8D"/>
    <w:rsid w:val="0082535D"/>
    <w:rsid w:val="00826C5F"/>
    <w:rsid w:val="00827376"/>
    <w:rsid w:val="008351F5"/>
    <w:rsid w:val="008355A8"/>
    <w:rsid w:val="00835987"/>
    <w:rsid w:val="00836F02"/>
    <w:rsid w:val="00836FBC"/>
    <w:rsid w:val="00837E2B"/>
    <w:rsid w:val="00844672"/>
    <w:rsid w:val="0085092E"/>
    <w:rsid w:val="008525A9"/>
    <w:rsid w:val="0085423C"/>
    <w:rsid w:val="00854C61"/>
    <w:rsid w:val="00861B42"/>
    <w:rsid w:val="00862072"/>
    <w:rsid w:val="00862757"/>
    <w:rsid w:val="00866BCA"/>
    <w:rsid w:val="008745EA"/>
    <w:rsid w:val="0087474F"/>
    <w:rsid w:val="00874866"/>
    <w:rsid w:val="0088147D"/>
    <w:rsid w:val="00881EE6"/>
    <w:rsid w:val="00885CCC"/>
    <w:rsid w:val="00886B2B"/>
    <w:rsid w:val="008902CC"/>
    <w:rsid w:val="00894B7E"/>
    <w:rsid w:val="008958A7"/>
    <w:rsid w:val="00896003"/>
    <w:rsid w:val="008A5E74"/>
    <w:rsid w:val="008A7E0C"/>
    <w:rsid w:val="008B08F0"/>
    <w:rsid w:val="008B22B6"/>
    <w:rsid w:val="008B2DE7"/>
    <w:rsid w:val="008B5296"/>
    <w:rsid w:val="008B77A4"/>
    <w:rsid w:val="008B77D9"/>
    <w:rsid w:val="008B7D33"/>
    <w:rsid w:val="008C3A62"/>
    <w:rsid w:val="008C41E2"/>
    <w:rsid w:val="008C707C"/>
    <w:rsid w:val="008D0232"/>
    <w:rsid w:val="008D19AF"/>
    <w:rsid w:val="008D6B2B"/>
    <w:rsid w:val="008D7B90"/>
    <w:rsid w:val="008D7D7F"/>
    <w:rsid w:val="008E13D4"/>
    <w:rsid w:val="008E2EFE"/>
    <w:rsid w:val="008E7EE4"/>
    <w:rsid w:val="008F0996"/>
    <w:rsid w:val="008F15E1"/>
    <w:rsid w:val="008F19A6"/>
    <w:rsid w:val="008F3992"/>
    <w:rsid w:val="008F4B6E"/>
    <w:rsid w:val="008F5AC7"/>
    <w:rsid w:val="00900510"/>
    <w:rsid w:val="009012BF"/>
    <w:rsid w:val="009023EE"/>
    <w:rsid w:val="0090274F"/>
    <w:rsid w:val="0090627E"/>
    <w:rsid w:val="0091374B"/>
    <w:rsid w:val="00916690"/>
    <w:rsid w:val="00920832"/>
    <w:rsid w:val="00924ECC"/>
    <w:rsid w:val="00930628"/>
    <w:rsid w:val="00932BF0"/>
    <w:rsid w:val="00937D77"/>
    <w:rsid w:val="00940E21"/>
    <w:rsid w:val="00942E45"/>
    <w:rsid w:val="00943E6E"/>
    <w:rsid w:val="00943E89"/>
    <w:rsid w:val="00945ECF"/>
    <w:rsid w:val="0095053B"/>
    <w:rsid w:val="00953605"/>
    <w:rsid w:val="0095771D"/>
    <w:rsid w:val="00957900"/>
    <w:rsid w:val="00960C22"/>
    <w:rsid w:val="00961015"/>
    <w:rsid w:val="009634F2"/>
    <w:rsid w:val="009637E0"/>
    <w:rsid w:val="00963840"/>
    <w:rsid w:val="00967E16"/>
    <w:rsid w:val="00973709"/>
    <w:rsid w:val="00974ADA"/>
    <w:rsid w:val="00977598"/>
    <w:rsid w:val="00977C54"/>
    <w:rsid w:val="00980F92"/>
    <w:rsid w:val="00986217"/>
    <w:rsid w:val="009868B9"/>
    <w:rsid w:val="00986F2F"/>
    <w:rsid w:val="00990FDB"/>
    <w:rsid w:val="009919BA"/>
    <w:rsid w:val="009A072E"/>
    <w:rsid w:val="009A163F"/>
    <w:rsid w:val="009A279F"/>
    <w:rsid w:val="009A544E"/>
    <w:rsid w:val="009A6EFF"/>
    <w:rsid w:val="009A7D7E"/>
    <w:rsid w:val="009A7DF9"/>
    <w:rsid w:val="009B1725"/>
    <w:rsid w:val="009B1D23"/>
    <w:rsid w:val="009B36D8"/>
    <w:rsid w:val="009B6594"/>
    <w:rsid w:val="009B6780"/>
    <w:rsid w:val="009C52B4"/>
    <w:rsid w:val="009C6460"/>
    <w:rsid w:val="009C6E95"/>
    <w:rsid w:val="009D1C39"/>
    <w:rsid w:val="009D22E9"/>
    <w:rsid w:val="009D336A"/>
    <w:rsid w:val="009D5A8F"/>
    <w:rsid w:val="009D6115"/>
    <w:rsid w:val="009D7691"/>
    <w:rsid w:val="009E1416"/>
    <w:rsid w:val="009E2075"/>
    <w:rsid w:val="009F033D"/>
    <w:rsid w:val="009F1B85"/>
    <w:rsid w:val="009F2BD6"/>
    <w:rsid w:val="009F3A59"/>
    <w:rsid w:val="009F4D91"/>
    <w:rsid w:val="009F742C"/>
    <w:rsid w:val="00A02108"/>
    <w:rsid w:val="00A05532"/>
    <w:rsid w:val="00A05EF4"/>
    <w:rsid w:val="00A0667F"/>
    <w:rsid w:val="00A1154A"/>
    <w:rsid w:val="00A1329D"/>
    <w:rsid w:val="00A133CB"/>
    <w:rsid w:val="00A1455D"/>
    <w:rsid w:val="00A177EB"/>
    <w:rsid w:val="00A2082E"/>
    <w:rsid w:val="00A20BA1"/>
    <w:rsid w:val="00A22371"/>
    <w:rsid w:val="00A22E06"/>
    <w:rsid w:val="00A2601C"/>
    <w:rsid w:val="00A2769D"/>
    <w:rsid w:val="00A27770"/>
    <w:rsid w:val="00A31B61"/>
    <w:rsid w:val="00A32CCE"/>
    <w:rsid w:val="00A33628"/>
    <w:rsid w:val="00A3484F"/>
    <w:rsid w:val="00A410B6"/>
    <w:rsid w:val="00A43153"/>
    <w:rsid w:val="00A45772"/>
    <w:rsid w:val="00A461DB"/>
    <w:rsid w:val="00A479C0"/>
    <w:rsid w:val="00A47A0A"/>
    <w:rsid w:val="00A47F0E"/>
    <w:rsid w:val="00A50355"/>
    <w:rsid w:val="00A5269A"/>
    <w:rsid w:val="00A53785"/>
    <w:rsid w:val="00A54BF0"/>
    <w:rsid w:val="00A5618F"/>
    <w:rsid w:val="00A57187"/>
    <w:rsid w:val="00A57C84"/>
    <w:rsid w:val="00A670F2"/>
    <w:rsid w:val="00A671EA"/>
    <w:rsid w:val="00A713FA"/>
    <w:rsid w:val="00A75229"/>
    <w:rsid w:val="00A80479"/>
    <w:rsid w:val="00A819AA"/>
    <w:rsid w:val="00A879AD"/>
    <w:rsid w:val="00A905A9"/>
    <w:rsid w:val="00A943EF"/>
    <w:rsid w:val="00AA3E54"/>
    <w:rsid w:val="00AB2C81"/>
    <w:rsid w:val="00AC4E61"/>
    <w:rsid w:val="00AC69E4"/>
    <w:rsid w:val="00AD6C4A"/>
    <w:rsid w:val="00AE0B27"/>
    <w:rsid w:val="00AE2316"/>
    <w:rsid w:val="00AE2B44"/>
    <w:rsid w:val="00AE3889"/>
    <w:rsid w:val="00AE39FD"/>
    <w:rsid w:val="00AE49E8"/>
    <w:rsid w:val="00AE7D4E"/>
    <w:rsid w:val="00AF1761"/>
    <w:rsid w:val="00AF22E5"/>
    <w:rsid w:val="00AF4F65"/>
    <w:rsid w:val="00AF5538"/>
    <w:rsid w:val="00AF64AD"/>
    <w:rsid w:val="00B00BA0"/>
    <w:rsid w:val="00B078A2"/>
    <w:rsid w:val="00B10D63"/>
    <w:rsid w:val="00B11F27"/>
    <w:rsid w:val="00B12505"/>
    <w:rsid w:val="00B13ED2"/>
    <w:rsid w:val="00B141AE"/>
    <w:rsid w:val="00B20D7F"/>
    <w:rsid w:val="00B20D86"/>
    <w:rsid w:val="00B23AA3"/>
    <w:rsid w:val="00B2521A"/>
    <w:rsid w:val="00B25876"/>
    <w:rsid w:val="00B26D92"/>
    <w:rsid w:val="00B325BF"/>
    <w:rsid w:val="00B33934"/>
    <w:rsid w:val="00B34E33"/>
    <w:rsid w:val="00B4295C"/>
    <w:rsid w:val="00B42D70"/>
    <w:rsid w:val="00B46382"/>
    <w:rsid w:val="00B4795A"/>
    <w:rsid w:val="00B57162"/>
    <w:rsid w:val="00B61E3D"/>
    <w:rsid w:val="00B626D8"/>
    <w:rsid w:val="00B62B42"/>
    <w:rsid w:val="00B6377D"/>
    <w:rsid w:val="00B63E9E"/>
    <w:rsid w:val="00B64F89"/>
    <w:rsid w:val="00B659AF"/>
    <w:rsid w:val="00B67225"/>
    <w:rsid w:val="00B71CDD"/>
    <w:rsid w:val="00B72A60"/>
    <w:rsid w:val="00B72B78"/>
    <w:rsid w:val="00B7306B"/>
    <w:rsid w:val="00B735B1"/>
    <w:rsid w:val="00B75FA4"/>
    <w:rsid w:val="00B83362"/>
    <w:rsid w:val="00B840C2"/>
    <w:rsid w:val="00B87695"/>
    <w:rsid w:val="00B907FA"/>
    <w:rsid w:val="00B9124B"/>
    <w:rsid w:val="00B92AF4"/>
    <w:rsid w:val="00B93697"/>
    <w:rsid w:val="00B944AA"/>
    <w:rsid w:val="00B96C57"/>
    <w:rsid w:val="00BA027B"/>
    <w:rsid w:val="00BA49A3"/>
    <w:rsid w:val="00BA6654"/>
    <w:rsid w:val="00BB1E52"/>
    <w:rsid w:val="00BB435F"/>
    <w:rsid w:val="00BB5167"/>
    <w:rsid w:val="00BB5B6E"/>
    <w:rsid w:val="00BB5E29"/>
    <w:rsid w:val="00BB75A6"/>
    <w:rsid w:val="00BC0687"/>
    <w:rsid w:val="00BC305B"/>
    <w:rsid w:val="00BC3D3E"/>
    <w:rsid w:val="00BC4AF2"/>
    <w:rsid w:val="00BC4D5F"/>
    <w:rsid w:val="00BC5471"/>
    <w:rsid w:val="00BC5B3C"/>
    <w:rsid w:val="00BC7283"/>
    <w:rsid w:val="00BC76A7"/>
    <w:rsid w:val="00BC7AD4"/>
    <w:rsid w:val="00BC7E26"/>
    <w:rsid w:val="00BD32A2"/>
    <w:rsid w:val="00BD35FA"/>
    <w:rsid w:val="00BD5F42"/>
    <w:rsid w:val="00BD6FDA"/>
    <w:rsid w:val="00BD7342"/>
    <w:rsid w:val="00BE0146"/>
    <w:rsid w:val="00BF09DC"/>
    <w:rsid w:val="00BF0B48"/>
    <w:rsid w:val="00BF4069"/>
    <w:rsid w:val="00BF78F6"/>
    <w:rsid w:val="00C0190A"/>
    <w:rsid w:val="00C02B33"/>
    <w:rsid w:val="00C02C60"/>
    <w:rsid w:val="00C030A5"/>
    <w:rsid w:val="00C04562"/>
    <w:rsid w:val="00C04F80"/>
    <w:rsid w:val="00C0734C"/>
    <w:rsid w:val="00C111EE"/>
    <w:rsid w:val="00C12BCB"/>
    <w:rsid w:val="00C15174"/>
    <w:rsid w:val="00C2048C"/>
    <w:rsid w:val="00C24090"/>
    <w:rsid w:val="00C243C0"/>
    <w:rsid w:val="00C27791"/>
    <w:rsid w:val="00C3436E"/>
    <w:rsid w:val="00C34942"/>
    <w:rsid w:val="00C364EE"/>
    <w:rsid w:val="00C40011"/>
    <w:rsid w:val="00C42492"/>
    <w:rsid w:val="00C44903"/>
    <w:rsid w:val="00C44FB7"/>
    <w:rsid w:val="00C45ED3"/>
    <w:rsid w:val="00C46369"/>
    <w:rsid w:val="00C47636"/>
    <w:rsid w:val="00C478BE"/>
    <w:rsid w:val="00C479B0"/>
    <w:rsid w:val="00C51803"/>
    <w:rsid w:val="00C53207"/>
    <w:rsid w:val="00C562D1"/>
    <w:rsid w:val="00C577EA"/>
    <w:rsid w:val="00C57A64"/>
    <w:rsid w:val="00C61BDE"/>
    <w:rsid w:val="00C645CB"/>
    <w:rsid w:val="00C64984"/>
    <w:rsid w:val="00C6722F"/>
    <w:rsid w:val="00C70D72"/>
    <w:rsid w:val="00C743F2"/>
    <w:rsid w:val="00C74D39"/>
    <w:rsid w:val="00C75A13"/>
    <w:rsid w:val="00C85B59"/>
    <w:rsid w:val="00C87A12"/>
    <w:rsid w:val="00C930B7"/>
    <w:rsid w:val="00C941B5"/>
    <w:rsid w:val="00C94770"/>
    <w:rsid w:val="00C94BD1"/>
    <w:rsid w:val="00C9669B"/>
    <w:rsid w:val="00CA0136"/>
    <w:rsid w:val="00CA4655"/>
    <w:rsid w:val="00CA4C1E"/>
    <w:rsid w:val="00CA7752"/>
    <w:rsid w:val="00CA7894"/>
    <w:rsid w:val="00CB2857"/>
    <w:rsid w:val="00CB31EE"/>
    <w:rsid w:val="00CB7F51"/>
    <w:rsid w:val="00CC229F"/>
    <w:rsid w:val="00CC29B4"/>
    <w:rsid w:val="00CC5E10"/>
    <w:rsid w:val="00CC710C"/>
    <w:rsid w:val="00CD5A24"/>
    <w:rsid w:val="00CD60EA"/>
    <w:rsid w:val="00CE4109"/>
    <w:rsid w:val="00CE484A"/>
    <w:rsid w:val="00CE5AD1"/>
    <w:rsid w:val="00CE77B6"/>
    <w:rsid w:val="00CF08C3"/>
    <w:rsid w:val="00CF1FDC"/>
    <w:rsid w:val="00CF3117"/>
    <w:rsid w:val="00CF4015"/>
    <w:rsid w:val="00CF71CE"/>
    <w:rsid w:val="00D0079E"/>
    <w:rsid w:val="00D041C6"/>
    <w:rsid w:val="00D048A6"/>
    <w:rsid w:val="00D06F6D"/>
    <w:rsid w:val="00D0764A"/>
    <w:rsid w:val="00D117B0"/>
    <w:rsid w:val="00D14A61"/>
    <w:rsid w:val="00D216D4"/>
    <w:rsid w:val="00D21A2B"/>
    <w:rsid w:val="00D24894"/>
    <w:rsid w:val="00D25F9B"/>
    <w:rsid w:val="00D27F82"/>
    <w:rsid w:val="00D30299"/>
    <w:rsid w:val="00D33565"/>
    <w:rsid w:val="00D35FAA"/>
    <w:rsid w:val="00D40D47"/>
    <w:rsid w:val="00D410AF"/>
    <w:rsid w:val="00D4315E"/>
    <w:rsid w:val="00D433B7"/>
    <w:rsid w:val="00D44647"/>
    <w:rsid w:val="00D44E49"/>
    <w:rsid w:val="00D450B5"/>
    <w:rsid w:val="00D45E7C"/>
    <w:rsid w:val="00D47111"/>
    <w:rsid w:val="00D51175"/>
    <w:rsid w:val="00D57D56"/>
    <w:rsid w:val="00D61E71"/>
    <w:rsid w:val="00D623BB"/>
    <w:rsid w:val="00D62A00"/>
    <w:rsid w:val="00D6540E"/>
    <w:rsid w:val="00D7045B"/>
    <w:rsid w:val="00D713D8"/>
    <w:rsid w:val="00D761BF"/>
    <w:rsid w:val="00D83681"/>
    <w:rsid w:val="00D84429"/>
    <w:rsid w:val="00D84DE8"/>
    <w:rsid w:val="00D8717D"/>
    <w:rsid w:val="00D900C8"/>
    <w:rsid w:val="00D90B2C"/>
    <w:rsid w:val="00D921C1"/>
    <w:rsid w:val="00D92601"/>
    <w:rsid w:val="00D96C8B"/>
    <w:rsid w:val="00DA0E0B"/>
    <w:rsid w:val="00DA148D"/>
    <w:rsid w:val="00DA1FCA"/>
    <w:rsid w:val="00DA52AF"/>
    <w:rsid w:val="00DA5674"/>
    <w:rsid w:val="00DA5AAC"/>
    <w:rsid w:val="00DA74B4"/>
    <w:rsid w:val="00DA771B"/>
    <w:rsid w:val="00DB13D0"/>
    <w:rsid w:val="00DB482D"/>
    <w:rsid w:val="00DB4959"/>
    <w:rsid w:val="00DB6F37"/>
    <w:rsid w:val="00DC0BEE"/>
    <w:rsid w:val="00DC1247"/>
    <w:rsid w:val="00DC3476"/>
    <w:rsid w:val="00DC4D0E"/>
    <w:rsid w:val="00DC69DF"/>
    <w:rsid w:val="00DC726D"/>
    <w:rsid w:val="00DD3CB5"/>
    <w:rsid w:val="00DD408A"/>
    <w:rsid w:val="00DE1EE3"/>
    <w:rsid w:val="00DE2D1B"/>
    <w:rsid w:val="00DE35A7"/>
    <w:rsid w:val="00DE4547"/>
    <w:rsid w:val="00DE7FCB"/>
    <w:rsid w:val="00DF328B"/>
    <w:rsid w:val="00DF6537"/>
    <w:rsid w:val="00DF6701"/>
    <w:rsid w:val="00E02663"/>
    <w:rsid w:val="00E02F8B"/>
    <w:rsid w:val="00E0361E"/>
    <w:rsid w:val="00E03D36"/>
    <w:rsid w:val="00E048DA"/>
    <w:rsid w:val="00E05049"/>
    <w:rsid w:val="00E14CB0"/>
    <w:rsid w:val="00E16CC9"/>
    <w:rsid w:val="00E174AF"/>
    <w:rsid w:val="00E17C15"/>
    <w:rsid w:val="00E20C90"/>
    <w:rsid w:val="00E21D02"/>
    <w:rsid w:val="00E2735F"/>
    <w:rsid w:val="00E304D2"/>
    <w:rsid w:val="00E305B6"/>
    <w:rsid w:val="00E3156F"/>
    <w:rsid w:val="00E35564"/>
    <w:rsid w:val="00E4003B"/>
    <w:rsid w:val="00E40617"/>
    <w:rsid w:val="00E41E0B"/>
    <w:rsid w:val="00E42006"/>
    <w:rsid w:val="00E45982"/>
    <w:rsid w:val="00E525D6"/>
    <w:rsid w:val="00E54526"/>
    <w:rsid w:val="00E5506E"/>
    <w:rsid w:val="00E55B18"/>
    <w:rsid w:val="00E560E5"/>
    <w:rsid w:val="00E5632E"/>
    <w:rsid w:val="00E573BB"/>
    <w:rsid w:val="00E5760A"/>
    <w:rsid w:val="00E6144A"/>
    <w:rsid w:val="00E62EA6"/>
    <w:rsid w:val="00E63387"/>
    <w:rsid w:val="00E6493E"/>
    <w:rsid w:val="00E64A27"/>
    <w:rsid w:val="00E64D07"/>
    <w:rsid w:val="00E67314"/>
    <w:rsid w:val="00E67BF6"/>
    <w:rsid w:val="00E7047F"/>
    <w:rsid w:val="00E71001"/>
    <w:rsid w:val="00E733F4"/>
    <w:rsid w:val="00E8065B"/>
    <w:rsid w:val="00E820CB"/>
    <w:rsid w:val="00E83462"/>
    <w:rsid w:val="00E83B49"/>
    <w:rsid w:val="00E83DEC"/>
    <w:rsid w:val="00E857E1"/>
    <w:rsid w:val="00E85FFD"/>
    <w:rsid w:val="00E90724"/>
    <w:rsid w:val="00E94DAF"/>
    <w:rsid w:val="00E9675E"/>
    <w:rsid w:val="00E96937"/>
    <w:rsid w:val="00E96A40"/>
    <w:rsid w:val="00E96B4F"/>
    <w:rsid w:val="00EA2429"/>
    <w:rsid w:val="00EA798D"/>
    <w:rsid w:val="00EB1AE0"/>
    <w:rsid w:val="00EB2565"/>
    <w:rsid w:val="00EC0114"/>
    <w:rsid w:val="00EC0C39"/>
    <w:rsid w:val="00EC1F01"/>
    <w:rsid w:val="00EC2CCB"/>
    <w:rsid w:val="00EC32B4"/>
    <w:rsid w:val="00EC7A60"/>
    <w:rsid w:val="00ED7CEF"/>
    <w:rsid w:val="00EE4A8E"/>
    <w:rsid w:val="00EE51CD"/>
    <w:rsid w:val="00EE740D"/>
    <w:rsid w:val="00EE763C"/>
    <w:rsid w:val="00EF1A6E"/>
    <w:rsid w:val="00EF60A4"/>
    <w:rsid w:val="00EF76DE"/>
    <w:rsid w:val="00F02466"/>
    <w:rsid w:val="00F05900"/>
    <w:rsid w:val="00F10D6A"/>
    <w:rsid w:val="00F12103"/>
    <w:rsid w:val="00F13943"/>
    <w:rsid w:val="00F171A2"/>
    <w:rsid w:val="00F17E7B"/>
    <w:rsid w:val="00F21364"/>
    <w:rsid w:val="00F2152B"/>
    <w:rsid w:val="00F233C0"/>
    <w:rsid w:val="00F23E4B"/>
    <w:rsid w:val="00F24622"/>
    <w:rsid w:val="00F249D0"/>
    <w:rsid w:val="00F261B0"/>
    <w:rsid w:val="00F3567B"/>
    <w:rsid w:val="00F35BDE"/>
    <w:rsid w:val="00F35D06"/>
    <w:rsid w:val="00F407BB"/>
    <w:rsid w:val="00F410F2"/>
    <w:rsid w:val="00F4454F"/>
    <w:rsid w:val="00F46058"/>
    <w:rsid w:val="00F46EC6"/>
    <w:rsid w:val="00F514A0"/>
    <w:rsid w:val="00F531D7"/>
    <w:rsid w:val="00F534C5"/>
    <w:rsid w:val="00F54575"/>
    <w:rsid w:val="00F549AA"/>
    <w:rsid w:val="00F7030F"/>
    <w:rsid w:val="00F71A88"/>
    <w:rsid w:val="00F75EDB"/>
    <w:rsid w:val="00F81A94"/>
    <w:rsid w:val="00F833E8"/>
    <w:rsid w:val="00F90CFA"/>
    <w:rsid w:val="00F91709"/>
    <w:rsid w:val="00F943B3"/>
    <w:rsid w:val="00F95E37"/>
    <w:rsid w:val="00FA4101"/>
    <w:rsid w:val="00FA6769"/>
    <w:rsid w:val="00FA7815"/>
    <w:rsid w:val="00FB2C01"/>
    <w:rsid w:val="00FB639D"/>
    <w:rsid w:val="00FC0069"/>
    <w:rsid w:val="00FC180F"/>
    <w:rsid w:val="00FC1917"/>
    <w:rsid w:val="00FD167F"/>
    <w:rsid w:val="00FD2DF9"/>
    <w:rsid w:val="00FD4E09"/>
    <w:rsid w:val="00FD51E9"/>
    <w:rsid w:val="00FD53D1"/>
    <w:rsid w:val="00FE02A4"/>
    <w:rsid w:val="00FE0702"/>
    <w:rsid w:val="00FE1002"/>
    <w:rsid w:val="00FE3E4B"/>
    <w:rsid w:val="00FE4BCA"/>
    <w:rsid w:val="00FF2316"/>
    <w:rsid w:val="00FF3ECE"/>
    <w:rsid w:val="00FF3F4F"/>
    <w:rsid w:val="00FF434C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486284"/>
  <w15:docId w15:val="{D45E915F-C821-4A43-8525-FE6BD1A7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DD408A"/>
    <w:pPr>
      <w:keepNext/>
      <w:tabs>
        <w:tab w:val="left" w:pos="567"/>
      </w:tabs>
      <w:spacing w:before="400" w:after="720"/>
      <w:outlineLvl w:val="0"/>
    </w:pPr>
    <w:rPr>
      <w:rFonts w:ascii="Arial" w:hAnsi="Arial"/>
      <w:caps/>
      <w:color w:val="1D3278"/>
      <w:kern w:val="28"/>
      <w:sz w:val="40"/>
      <w:szCs w:val="36"/>
      <w:lang w:val="en-AU"/>
    </w:rPr>
  </w:style>
  <w:style w:type="paragraph" w:styleId="Heading2">
    <w:name w:val="heading 2"/>
    <w:basedOn w:val="Normal"/>
    <w:next w:val="BodyText"/>
    <w:link w:val="Heading2Char"/>
    <w:qFormat/>
    <w:rsid w:val="00F2152B"/>
    <w:pPr>
      <w:keepNext/>
      <w:widowControl w:val="0"/>
      <w:pBdr>
        <w:bottom w:val="single" w:sz="4" w:space="2" w:color="25A9FF"/>
      </w:pBdr>
      <w:spacing w:before="240" w:after="100"/>
      <w:outlineLvl w:val="1"/>
    </w:pPr>
    <w:rPr>
      <w:rFonts w:ascii="Arial Bold" w:eastAsia="Arial Unicode MS" w:hAnsi="Arial Bold"/>
      <w:b/>
      <w:color w:val="25A9FF"/>
      <w:kern w:val="28"/>
      <w:sz w:val="28"/>
      <w:szCs w:val="36"/>
      <w:lang w:val="en-AU"/>
    </w:rPr>
  </w:style>
  <w:style w:type="paragraph" w:styleId="Heading3">
    <w:name w:val="heading 3"/>
    <w:basedOn w:val="Heading2"/>
    <w:next w:val="BodyText"/>
    <w:link w:val="Heading3Char"/>
    <w:qFormat/>
    <w:rsid w:val="000F1E2C"/>
    <w:pPr>
      <w:keepNext w:val="0"/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qFormat/>
    <w:rsid w:val="00181A01"/>
    <w:pPr>
      <w:spacing w:line="320" w:lineRule="exact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D216D4"/>
    <w:pPr>
      <w:spacing w:before="400" w:after="60"/>
      <w:outlineLvl w:val="4"/>
    </w:pPr>
    <w:rPr>
      <w:rFonts w:ascii="Arial" w:hAnsi="Arial"/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DD408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DD408A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DD408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DD408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2152B"/>
    <w:rPr>
      <w:rFonts w:ascii="Arial Bold" w:eastAsia="Arial Unicode MS" w:hAnsi="Arial Bold" w:cs="Times New Roman"/>
      <w:b/>
      <w:color w:val="25A9FF"/>
      <w:kern w:val="28"/>
      <w:sz w:val="28"/>
      <w:szCs w:val="36"/>
    </w:rPr>
  </w:style>
  <w:style w:type="paragraph" w:styleId="BodyText">
    <w:name w:val="Body Text"/>
    <w:link w:val="BodyTextChar"/>
    <w:rsid w:val="00D216D4"/>
    <w:pPr>
      <w:spacing w:before="160" w:after="100" w:line="240" w:lineRule="atLeast"/>
    </w:pPr>
    <w:rPr>
      <w:rFonts w:ascii="Arial" w:eastAsia="Times New Roman" w:hAnsi="Arial" w:cs="Times New Roman"/>
      <w:sz w:val="23"/>
      <w:szCs w:val="20"/>
    </w:rPr>
  </w:style>
  <w:style w:type="character" w:customStyle="1" w:styleId="BodyTextChar">
    <w:name w:val="Body Text Char"/>
    <w:link w:val="BodyText"/>
    <w:rsid w:val="00D216D4"/>
    <w:rPr>
      <w:rFonts w:ascii="Arial" w:eastAsia="Times New Roman" w:hAnsi="Arial" w:cs="Times New Roman"/>
      <w:sz w:val="23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D40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D40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link w:val="Heading1"/>
    <w:rsid w:val="00DD408A"/>
    <w:rPr>
      <w:rFonts w:ascii="Arial" w:eastAsia="Times New Roman" w:hAnsi="Arial" w:cs="Times New Roman"/>
      <w:caps/>
      <w:color w:val="1D3278"/>
      <w:kern w:val="28"/>
      <w:sz w:val="40"/>
      <w:szCs w:val="36"/>
    </w:rPr>
  </w:style>
  <w:style w:type="paragraph" w:styleId="Header">
    <w:name w:val="header"/>
    <w:basedOn w:val="Normal"/>
    <w:link w:val="HeaderChar"/>
    <w:uiPriority w:val="99"/>
    <w:rsid w:val="00DD408A"/>
    <w:pPr>
      <w:tabs>
        <w:tab w:val="center" w:pos="4153"/>
        <w:tab w:val="right" w:pos="8306"/>
      </w:tabs>
      <w:spacing w:line="192" w:lineRule="auto"/>
      <w:contextualSpacing/>
    </w:pPr>
    <w:rPr>
      <w:rFonts w:ascii="Arial Unicode MS" w:hAnsi="Arial Unicode MS"/>
    </w:rPr>
  </w:style>
  <w:style w:type="character" w:customStyle="1" w:styleId="HeaderChar">
    <w:name w:val="Header Char"/>
    <w:link w:val="Header"/>
    <w:uiPriority w:val="99"/>
    <w:rsid w:val="00DD408A"/>
    <w:rPr>
      <w:rFonts w:ascii="Arial Unicode MS" w:eastAsia="Times New Roman" w:hAnsi="Arial Unicode M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DD408A"/>
    <w:pPr>
      <w:pBdr>
        <w:top w:val="single" w:sz="4" w:space="4" w:color="auto"/>
      </w:pBdr>
      <w:tabs>
        <w:tab w:val="right" w:pos="9072"/>
      </w:tabs>
    </w:pPr>
    <w:rPr>
      <w:rFonts w:ascii="Lucida Sans" w:hAnsi="Lucida Sans"/>
      <w:sz w:val="18"/>
    </w:rPr>
  </w:style>
  <w:style w:type="character" w:customStyle="1" w:styleId="FooterChar">
    <w:name w:val="Footer Char"/>
    <w:link w:val="Footer"/>
    <w:rsid w:val="00DD408A"/>
    <w:rPr>
      <w:rFonts w:ascii="Lucida Sans" w:eastAsia="Times New Roman" w:hAnsi="Lucida Sans" w:cs="Times New Roman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DD4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D408A"/>
    <w:rPr>
      <w:rFonts w:ascii="Tahoma" w:eastAsia="Times New Roman" w:hAnsi="Tahoma" w:cs="Tahoma"/>
      <w:sz w:val="16"/>
      <w:szCs w:val="16"/>
      <w:lang w:val="en-US"/>
    </w:rPr>
  </w:style>
  <w:style w:type="paragraph" w:customStyle="1" w:styleId="Activitytexts">
    <w:name w:val="Activity texts"/>
    <w:basedOn w:val="Normal"/>
    <w:autoRedefine/>
    <w:uiPriority w:val="99"/>
    <w:rsid w:val="00DD408A"/>
    <w:pPr>
      <w:widowControl w:val="0"/>
      <w:tabs>
        <w:tab w:val="left" w:pos="567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autoSpaceDE w:val="0"/>
      <w:autoSpaceDN w:val="0"/>
      <w:spacing w:before="80"/>
      <w:ind w:left="340" w:hanging="340"/>
      <w:jc w:val="both"/>
    </w:pPr>
    <w:rPr>
      <w:rFonts w:ascii="Lucida Sans" w:eastAsia="MS Mincho" w:hAnsi="Lucida Sans" w:cs="Arial"/>
      <w:sz w:val="17"/>
      <w:szCs w:val="18"/>
      <w:lang w:val="en-AU" w:eastAsia="en-AU"/>
    </w:rPr>
  </w:style>
  <w:style w:type="paragraph" w:customStyle="1" w:styleId="Active-Uline">
    <w:name w:val="Active-Uline"/>
    <w:basedOn w:val="Activitytexts"/>
    <w:uiPriority w:val="99"/>
    <w:rsid w:val="00DD408A"/>
    <w:pPr>
      <w:widowControl/>
      <w:tabs>
        <w:tab w:val="left" w:pos="5529"/>
        <w:tab w:val="left" w:pos="6180"/>
        <w:tab w:val="left" w:pos="6804"/>
        <w:tab w:val="left" w:pos="7456"/>
      </w:tabs>
    </w:pPr>
  </w:style>
  <w:style w:type="paragraph" w:customStyle="1" w:styleId="AverageStaffing">
    <w:name w:val="Average Staffing"/>
    <w:basedOn w:val="Normal"/>
    <w:autoRedefine/>
    <w:uiPriority w:val="99"/>
    <w:rsid w:val="00DD408A"/>
    <w:pPr>
      <w:widowControl w:val="0"/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autoSpaceDE w:val="0"/>
      <w:autoSpaceDN w:val="0"/>
    </w:pPr>
    <w:rPr>
      <w:rFonts w:ascii="Lucida Sans" w:eastAsia="MS Mincho" w:hAnsi="Lucida Sans" w:cs="Arial"/>
      <w:sz w:val="18"/>
      <w:szCs w:val="18"/>
      <w:lang w:val="en-AU" w:eastAsia="en-AU"/>
    </w:rPr>
  </w:style>
  <w:style w:type="paragraph" w:customStyle="1" w:styleId="Active-Year-TopLine">
    <w:name w:val="Active-Year-TopLine"/>
    <w:basedOn w:val="AverageStaffing"/>
    <w:uiPriority w:val="99"/>
    <w:rsid w:val="00DD408A"/>
    <w:pPr>
      <w:widowControl/>
      <w:tabs>
        <w:tab w:val="left" w:pos="7371"/>
      </w:tabs>
    </w:pPr>
  </w:style>
  <w:style w:type="paragraph" w:customStyle="1" w:styleId="Activitytotallines">
    <w:name w:val="Activity total lines"/>
    <w:basedOn w:val="Activitytexts"/>
    <w:uiPriority w:val="99"/>
    <w:rsid w:val="00DD408A"/>
    <w:pPr>
      <w:tabs>
        <w:tab w:val="right" w:pos="5472"/>
        <w:tab w:val="right" w:pos="6464"/>
        <w:tab w:val="right" w:pos="6747"/>
        <w:tab w:val="right" w:pos="7740"/>
      </w:tabs>
    </w:pPr>
  </w:style>
  <w:style w:type="paragraph" w:customStyle="1" w:styleId="Agency">
    <w:name w:val="Agency"/>
    <w:basedOn w:val="Normal"/>
    <w:autoRedefine/>
    <w:uiPriority w:val="99"/>
    <w:rsid w:val="00DD408A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eastAsia="MS Mincho" w:hAnsi="Lucida Sans" w:cs="Arial"/>
      <w:b/>
      <w:bCs/>
      <w:sz w:val="27"/>
      <w:szCs w:val="22"/>
      <w:lang w:val="en-AU" w:eastAsia="en-AU"/>
    </w:rPr>
  </w:style>
  <w:style w:type="paragraph" w:customStyle="1" w:styleId="Agency2">
    <w:name w:val="Agency 2"/>
    <w:basedOn w:val="Normal"/>
    <w:autoRedefine/>
    <w:uiPriority w:val="99"/>
    <w:rsid w:val="00DD408A"/>
    <w:pPr>
      <w:pageBreakBefore/>
      <w:widowControl w:val="0"/>
      <w:pBdr>
        <w:bottom w:val="single" w:sz="4" w:space="6" w:color="999999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eastAsia="MS Mincho" w:hAnsi="Lucida Sans" w:cs="Arial"/>
      <w:b/>
      <w:bCs/>
      <w:color w:val="999999"/>
      <w:sz w:val="27"/>
      <w:szCs w:val="22"/>
      <w:lang w:val="en-AU" w:eastAsia="en-AU"/>
    </w:rPr>
  </w:style>
  <w:style w:type="character" w:customStyle="1" w:styleId="apple-converted-space">
    <w:name w:val="apple-converted-space"/>
    <w:rsid w:val="00DD408A"/>
  </w:style>
  <w:style w:type="character" w:customStyle="1" w:styleId="apple-tab-span">
    <w:name w:val="apple-tab-span"/>
    <w:rsid w:val="00DD408A"/>
  </w:style>
  <w:style w:type="character" w:customStyle="1" w:styleId="Arial-6">
    <w:name w:val="Arial-6"/>
    <w:rsid w:val="00DD408A"/>
    <w:rPr>
      <w:rFonts w:ascii="Lucida Sans" w:hAnsi="Lucida Sans" w:cs="Arial"/>
      <w:b/>
      <w:bCs/>
      <w:sz w:val="18"/>
      <w:szCs w:val="14"/>
    </w:rPr>
  </w:style>
  <w:style w:type="paragraph" w:customStyle="1" w:styleId="Averageframe">
    <w:name w:val="Average frame"/>
    <w:basedOn w:val="Normal"/>
    <w:uiPriority w:val="99"/>
    <w:rsid w:val="00DD408A"/>
    <w:pPr>
      <w:framePr w:w="1843" w:h="11" w:hRule="exact" w:hSpace="181" w:wrap="notBeside" w:vAnchor="text" w:hAnchor="page" w:x="6748" w:y="103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eastAsia="MS Mincho" w:hAnsi="Arial" w:cs="Arial"/>
      <w:lang w:val="en-AU" w:eastAsia="en-AU"/>
    </w:rPr>
  </w:style>
  <w:style w:type="paragraph" w:customStyle="1" w:styleId="Averagestaffingdata">
    <w:name w:val="Average staffing data"/>
    <w:basedOn w:val="Normal"/>
    <w:uiPriority w:val="99"/>
    <w:rsid w:val="00DD408A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eastAsia="MS Mincho" w:hAnsi="Arial" w:cs="Arial"/>
      <w:sz w:val="18"/>
      <w:szCs w:val="18"/>
      <w:lang w:val="en-AU" w:eastAsia="en-AU"/>
    </w:rPr>
  </w:style>
  <w:style w:type="paragraph" w:customStyle="1" w:styleId="AverageYears">
    <w:name w:val="Average Years"/>
    <w:basedOn w:val="AverageStaffing"/>
    <w:uiPriority w:val="99"/>
    <w:rsid w:val="00DD408A"/>
    <w:pPr>
      <w:tabs>
        <w:tab w:val="left" w:pos="6747"/>
      </w:tabs>
    </w:pPr>
  </w:style>
  <w:style w:type="paragraph" w:styleId="NoteHeading">
    <w:name w:val="Note Heading"/>
    <w:basedOn w:val="Normal"/>
    <w:next w:val="Normal"/>
    <w:link w:val="NoteHeadingChar"/>
    <w:rsid w:val="00DD408A"/>
  </w:style>
  <w:style w:type="character" w:customStyle="1" w:styleId="NoteHeadingChar">
    <w:name w:val="Note Heading Char"/>
    <w:link w:val="NoteHeading"/>
    <w:rsid w:val="00DD40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lankPage">
    <w:name w:val="Blank Page"/>
    <w:basedOn w:val="NoteHeading"/>
    <w:rsid w:val="00DD408A"/>
    <w:pPr>
      <w:keepNext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432" w:hanging="432"/>
      <w:jc w:val="center"/>
    </w:pPr>
    <w:rPr>
      <w:rFonts w:ascii="BellGothic BT" w:hAnsi="BellGothic BT"/>
      <w:b/>
      <w:caps/>
      <w:color w:val="808080"/>
      <w:sz w:val="32"/>
      <w:lang w:val="en-AU"/>
    </w:rPr>
  </w:style>
  <w:style w:type="paragraph" w:customStyle="1" w:styleId="Body">
    <w:name w:val="Body"/>
    <w:basedOn w:val="Normal"/>
    <w:autoRedefine/>
    <w:uiPriority w:val="99"/>
    <w:rsid w:val="00DD408A"/>
    <w:pPr>
      <w:widowControl w:val="0"/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  <w:autoSpaceDE w:val="0"/>
      <w:autoSpaceDN w:val="0"/>
    </w:pPr>
    <w:rPr>
      <w:rFonts w:ascii="Lucida Sans" w:eastAsia="MS Mincho" w:hAnsi="Lucida Sans" w:cs="Arial"/>
      <w:sz w:val="17"/>
      <w:szCs w:val="14"/>
      <w:lang w:val="en-AU" w:eastAsia="en-AU"/>
    </w:rPr>
  </w:style>
  <w:style w:type="paragraph" w:styleId="BodyText2">
    <w:name w:val="Body Text 2"/>
    <w:basedOn w:val="Normal"/>
    <w:link w:val="BodyText2Char"/>
    <w:rsid w:val="00DD408A"/>
    <w:rPr>
      <w:sz w:val="21"/>
    </w:rPr>
  </w:style>
  <w:style w:type="character" w:customStyle="1" w:styleId="BodyText2Char">
    <w:name w:val="Body Text 2 Char"/>
    <w:link w:val="BodyText2"/>
    <w:rsid w:val="00DD408A"/>
    <w:rPr>
      <w:rFonts w:ascii="Times New Roman" w:eastAsia="Times New Roman" w:hAnsi="Times New Roman" w:cs="Times New Roman"/>
      <w:sz w:val="21"/>
      <w:szCs w:val="20"/>
      <w:lang w:val="en-US"/>
    </w:rPr>
  </w:style>
  <w:style w:type="paragraph" w:customStyle="1" w:styleId="BodyTextBox">
    <w:name w:val="Body Text Box"/>
    <w:basedOn w:val="Normal"/>
    <w:link w:val="BodyTextBoxChar"/>
    <w:autoRedefine/>
    <w:rsid w:val="00DD408A"/>
    <w:pPr>
      <w:spacing w:before="80" w:after="80" w:line="260" w:lineRule="exact"/>
    </w:pPr>
    <w:rPr>
      <w:rFonts w:ascii="Arial" w:hAnsi="Arial"/>
      <w:color w:val="0579B9"/>
      <w:sz w:val="19"/>
      <w:szCs w:val="22"/>
    </w:rPr>
  </w:style>
  <w:style w:type="character" w:customStyle="1" w:styleId="BodyTextBoxChar">
    <w:name w:val="Body Text Box Char"/>
    <w:link w:val="BodyTextBox"/>
    <w:rsid w:val="00DD408A"/>
    <w:rPr>
      <w:rFonts w:ascii="Arial" w:eastAsia="Times New Roman" w:hAnsi="Arial" w:cs="Times New Roman"/>
      <w:color w:val="0579B9"/>
      <w:sz w:val="19"/>
      <w:lang w:val="en-US"/>
    </w:rPr>
  </w:style>
  <w:style w:type="paragraph" w:styleId="BodyTextIndent2">
    <w:name w:val="Body Text Indent 2"/>
    <w:basedOn w:val="Normal"/>
    <w:link w:val="BodyTextIndent2Char"/>
    <w:autoRedefine/>
    <w:rsid w:val="00DD408A"/>
    <w:pPr>
      <w:spacing w:after="120"/>
      <w:ind w:left="284"/>
    </w:pPr>
    <w:rPr>
      <w:i/>
      <w:sz w:val="23"/>
    </w:rPr>
  </w:style>
  <w:style w:type="character" w:customStyle="1" w:styleId="BodyTextIndent2Char">
    <w:name w:val="Body Text Indent 2 Char"/>
    <w:link w:val="BodyTextIndent2"/>
    <w:rsid w:val="00DD408A"/>
    <w:rPr>
      <w:rFonts w:ascii="Times New Roman" w:eastAsia="Times New Roman" w:hAnsi="Times New Roman" w:cs="Times New Roman"/>
      <w:i/>
      <w:sz w:val="23"/>
      <w:szCs w:val="20"/>
      <w:lang w:val="en-US"/>
    </w:rPr>
  </w:style>
  <w:style w:type="paragraph" w:customStyle="1" w:styleId="BodyTextlettereditaliclist">
    <w:name w:val="Body Text lettered italic list"/>
    <w:basedOn w:val="Normal"/>
    <w:rsid w:val="00DD408A"/>
    <w:pPr>
      <w:ind w:left="426" w:hanging="426"/>
    </w:pPr>
    <w:rPr>
      <w:i/>
    </w:rPr>
  </w:style>
  <w:style w:type="paragraph" w:customStyle="1" w:styleId="Bodytextnumbered">
    <w:name w:val="Body text numbered"/>
    <w:basedOn w:val="Heading1"/>
    <w:qFormat/>
    <w:rsid w:val="00DD408A"/>
    <w:pPr>
      <w:keepNext w:val="0"/>
      <w:tabs>
        <w:tab w:val="num" w:pos="454"/>
      </w:tabs>
      <w:spacing w:before="200" w:line="320" w:lineRule="atLeast"/>
      <w:ind w:left="454" w:hanging="454"/>
    </w:pPr>
    <w:rPr>
      <w:b/>
      <w:kern w:val="0"/>
      <w:sz w:val="22"/>
      <w:szCs w:val="22"/>
    </w:rPr>
  </w:style>
  <w:style w:type="paragraph" w:customStyle="1" w:styleId="BodyText1">
    <w:name w:val="Body Text1"/>
    <w:basedOn w:val="BodyText"/>
    <w:link w:val="bodytextChar0"/>
    <w:autoRedefine/>
    <w:rsid w:val="00DD408A"/>
    <w:pPr>
      <w:spacing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DD408A"/>
    <w:rPr>
      <w:rFonts w:ascii="Arial" w:eastAsia="Times New Roman" w:hAnsi="Arial" w:cs="Times New Roman"/>
      <w:sz w:val="20"/>
      <w:szCs w:val="24"/>
    </w:rPr>
  </w:style>
  <w:style w:type="character" w:customStyle="1" w:styleId="Bold">
    <w:name w:val="Bold"/>
    <w:uiPriority w:val="99"/>
    <w:rsid w:val="00DD408A"/>
    <w:rPr>
      <w:b/>
    </w:rPr>
  </w:style>
  <w:style w:type="character" w:styleId="BookTitle">
    <w:name w:val="Book Title"/>
    <w:uiPriority w:val="33"/>
    <w:qFormat/>
    <w:rsid w:val="00DD408A"/>
    <w:rPr>
      <w:b/>
      <w:bCs/>
      <w:smallCaps/>
      <w:spacing w:val="5"/>
    </w:rPr>
  </w:style>
  <w:style w:type="character" w:customStyle="1" w:styleId="Heading3Char">
    <w:name w:val="Heading 3 Char"/>
    <w:link w:val="Heading3"/>
    <w:rsid w:val="000F1E2C"/>
    <w:rPr>
      <w:rFonts w:ascii="Arial Bold" w:eastAsia="Arial Unicode MS" w:hAnsi="Arial Bold" w:cs="Times New Roman"/>
      <w:b/>
      <w:kern w:val="28"/>
      <w:sz w:val="26"/>
      <w:szCs w:val="36"/>
    </w:rPr>
  </w:style>
  <w:style w:type="paragraph" w:customStyle="1" w:styleId="ObjectHeading">
    <w:name w:val="Object Heading"/>
    <w:basedOn w:val="Heading3"/>
    <w:next w:val="Normal"/>
    <w:rsid w:val="00DD408A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link w:val="BoxHeadingChar"/>
    <w:autoRedefine/>
    <w:rsid w:val="00DD408A"/>
    <w:pPr>
      <w:tabs>
        <w:tab w:val="clear" w:pos="1418"/>
        <w:tab w:val="left" w:pos="1168"/>
      </w:tabs>
      <w:spacing w:before="120" w:after="60"/>
      <w:ind w:left="1168" w:hanging="1168"/>
    </w:pPr>
    <w:rPr>
      <w:rFonts w:ascii="Arial" w:hAnsi="Arial"/>
      <w:b w:val="0"/>
      <w:bCs/>
      <w:szCs w:val="23"/>
      <w:lang w:val="en-US"/>
    </w:rPr>
  </w:style>
  <w:style w:type="character" w:customStyle="1" w:styleId="BoxHeadingChar">
    <w:name w:val="Box Heading Char"/>
    <w:link w:val="BoxHeading"/>
    <w:rsid w:val="00DD408A"/>
    <w:rPr>
      <w:rFonts w:ascii="Arial" w:eastAsia="Arial Unicode MS" w:hAnsi="Arial" w:cs="Times New Roman"/>
      <w:bCs/>
      <w:sz w:val="20"/>
      <w:szCs w:val="23"/>
      <w:lang w:val="en-US"/>
    </w:rPr>
  </w:style>
  <w:style w:type="paragraph" w:customStyle="1" w:styleId="Bullet">
    <w:name w:val="Bullet"/>
    <w:basedOn w:val="BodyText"/>
    <w:rsid w:val="00DD408A"/>
    <w:pPr>
      <w:numPr>
        <w:numId w:val="1"/>
      </w:numPr>
      <w:spacing w:before="180" w:after="180" w:line="288" w:lineRule="auto"/>
      <w:outlineLvl w:val="0"/>
    </w:pPr>
    <w:rPr>
      <w:rFonts w:cs="Arial"/>
      <w:szCs w:val="22"/>
    </w:rPr>
  </w:style>
  <w:style w:type="paragraph" w:customStyle="1" w:styleId="Bullet-1stlevel">
    <w:name w:val="Bullet - 1st level"/>
    <w:basedOn w:val="Normal"/>
    <w:qFormat/>
    <w:rsid w:val="00DD408A"/>
    <w:pPr>
      <w:numPr>
        <w:numId w:val="2"/>
      </w:numPr>
      <w:spacing w:before="60" w:after="60"/>
    </w:pPr>
    <w:rPr>
      <w:rFonts w:ascii="Arial" w:hAnsi="Arial" w:cs="Arial"/>
      <w:szCs w:val="18"/>
      <w:lang w:val="en-AU" w:bidi="en-US"/>
    </w:rPr>
  </w:style>
  <w:style w:type="paragraph" w:customStyle="1" w:styleId="Bullet1stlevel">
    <w:name w:val="Bullet – 1st level"/>
    <w:qFormat/>
    <w:rsid w:val="00DD408A"/>
    <w:pPr>
      <w:numPr>
        <w:numId w:val="3"/>
      </w:numPr>
      <w:spacing w:before="60" w:after="60" w:line="240" w:lineRule="auto"/>
    </w:pPr>
    <w:rPr>
      <w:rFonts w:ascii="Arial" w:eastAsia="Times New Roman" w:hAnsi="Arial" w:cs="Times New Roman"/>
      <w:sz w:val="20"/>
      <w:lang w:bidi="en-US"/>
    </w:rPr>
  </w:style>
  <w:style w:type="paragraph" w:customStyle="1" w:styleId="Bullet-2ndlevel">
    <w:name w:val="Bullet - 2nd level"/>
    <w:basedOn w:val="Bullet-1stlevel"/>
    <w:qFormat/>
    <w:rsid w:val="00DD408A"/>
    <w:pPr>
      <w:numPr>
        <w:ilvl w:val="1"/>
      </w:numPr>
      <w:tabs>
        <w:tab w:val="left" w:pos="1134"/>
      </w:tabs>
    </w:pPr>
  </w:style>
  <w:style w:type="paragraph" w:customStyle="1" w:styleId="Bullet2ndlevel">
    <w:name w:val="Bullet – 2nd level"/>
    <w:basedOn w:val="Bullet1stlevel"/>
    <w:qFormat/>
    <w:rsid w:val="00DD408A"/>
    <w:pPr>
      <w:numPr>
        <w:ilvl w:val="1"/>
      </w:numPr>
      <w:tabs>
        <w:tab w:val="left" w:pos="1134"/>
      </w:tabs>
    </w:pPr>
  </w:style>
  <w:style w:type="paragraph" w:customStyle="1" w:styleId="Bullet1">
    <w:name w:val="Bullet 1"/>
    <w:link w:val="Bullet1Char"/>
    <w:autoRedefine/>
    <w:rsid w:val="00AE7D4E"/>
    <w:pPr>
      <w:numPr>
        <w:numId w:val="56"/>
      </w:numPr>
      <w:spacing w:before="120" w:after="80" w:line="240" w:lineRule="atLeast"/>
    </w:pPr>
    <w:rPr>
      <w:rFonts w:ascii="Arial" w:eastAsia="Times New Roman" w:hAnsi="Arial" w:cs="Times New Roman"/>
      <w:sz w:val="23"/>
      <w:szCs w:val="23"/>
    </w:rPr>
  </w:style>
  <w:style w:type="character" w:customStyle="1" w:styleId="Bullet1Char">
    <w:name w:val="Bullet 1 Char"/>
    <w:link w:val="Bullet1"/>
    <w:rsid w:val="00AE7D4E"/>
    <w:rPr>
      <w:rFonts w:ascii="Arial" w:eastAsia="Times New Roman" w:hAnsi="Arial" w:cs="Times New Roman"/>
      <w:sz w:val="23"/>
      <w:szCs w:val="23"/>
    </w:rPr>
  </w:style>
  <w:style w:type="paragraph" w:customStyle="1" w:styleId="Bullet1box">
    <w:name w:val="Bullet 1 box"/>
    <w:basedOn w:val="Bullet1"/>
    <w:autoRedefine/>
    <w:rsid w:val="00DD408A"/>
    <w:pPr>
      <w:numPr>
        <w:numId w:val="5"/>
      </w:numPr>
      <w:shd w:val="clear" w:color="auto" w:fill="FFFFFF"/>
      <w:spacing w:after="60" w:line="260" w:lineRule="exact"/>
    </w:pPr>
  </w:style>
  <w:style w:type="paragraph" w:customStyle="1" w:styleId="Bullet1inabox">
    <w:name w:val="Bullet 1 in a box"/>
    <w:basedOn w:val="Bullet1"/>
    <w:autoRedefine/>
    <w:rsid w:val="00DD408A"/>
    <w:pPr>
      <w:numPr>
        <w:numId w:val="6"/>
      </w:numPr>
      <w:spacing w:before="80" w:after="40" w:line="260" w:lineRule="exact"/>
    </w:pPr>
    <w:rPr>
      <w:color w:val="0579B9"/>
      <w:sz w:val="19"/>
    </w:rPr>
  </w:style>
  <w:style w:type="paragraph" w:customStyle="1" w:styleId="Bullet1Paragraph">
    <w:name w:val="Bullet 1 Paragraph"/>
    <w:basedOn w:val="Normal"/>
    <w:rsid w:val="00DD408A"/>
    <w:pPr>
      <w:ind w:left="425"/>
    </w:pPr>
  </w:style>
  <w:style w:type="paragraph" w:customStyle="1" w:styleId="Bullet2">
    <w:name w:val="Bullet 2"/>
    <w:basedOn w:val="Bullet1"/>
    <w:rsid w:val="007C58CD"/>
    <w:pPr>
      <w:numPr>
        <w:numId w:val="7"/>
      </w:numPr>
      <w:tabs>
        <w:tab w:val="left" w:pos="851"/>
      </w:tabs>
      <w:spacing w:before="80" w:after="40"/>
      <w:ind w:left="714" w:hanging="357"/>
    </w:pPr>
  </w:style>
  <w:style w:type="paragraph" w:customStyle="1" w:styleId="Bullet2innumberedlist">
    <w:name w:val="Bullet 2 in numbered list"/>
    <w:basedOn w:val="Bullet2"/>
    <w:rsid w:val="00DD408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DD408A"/>
    <w:pPr>
      <w:ind w:left="851"/>
    </w:pPr>
  </w:style>
  <w:style w:type="paragraph" w:customStyle="1" w:styleId="Bullet3">
    <w:name w:val="Bullet 3"/>
    <w:basedOn w:val="Bullet2"/>
    <w:rsid w:val="00DD408A"/>
    <w:pPr>
      <w:numPr>
        <w:numId w:val="8"/>
      </w:numPr>
    </w:pPr>
  </w:style>
  <w:style w:type="paragraph" w:customStyle="1" w:styleId="Bullet3Paragraph">
    <w:name w:val="Bullet 3 Paragraph"/>
    <w:basedOn w:val="Bullet2Paragraph"/>
    <w:rsid w:val="00DD408A"/>
    <w:pPr>
      <w:ind w:left="1276"/>
    </w:pPr>
  </w:style>
  <w:style w:type="paragraph" w:customStyle="1" w:styleId="Bullet4">
    <w:name w:val="Bullet 4"/>
    <w:basedOn w:val="Bullet3"/>
    <w:rsid w:val="00DD408A"/>
    <w:pPr>
      <w:numPr>
        <w:numId w:val="9"/>
      </w:numPr>
    </w:pPr>
  </w:style>
  <w:style w:type="paragraph" w:customStyle="1" w:styleId="Bullet4Paragraph">
    <w:name w:val="Bullet 4 Paragraph"/>
    <w:basedOn w:val="Bullet3Paragraph"/>
    <w:rsid w:val="00DD408A"/>
    <w:pPr>
      <w:ind w:left="1701"/>
    </w:pPr>
  </w:style>
  <w:style w:type="paragraph" w:customStyle="1" w:styleId="BulletPointStyle">
    <w:name w:val="Bullet Point Style"/>
    <w:basedOn w:val="BodyText"/>
    <w:link w:val="BulletPointStyleChar"/>
    <w:qFormat/>
    <w:rsid w:val="00DD408A"/>
    <w:pPr>
      <w:numPr>
        <w:numId w:val="11"/>
      </w:numPr>
      <w:spacing w:after="80"/>
    </w:pPr>
    <w:rPr>
      <w:rFonts w:ascii="Garamond" w:hAnsi="Garamond"/>
      <w:lang w:eastAsia="x-none"/>
    </w:rPr>
  </w:style>
  <w:style w:type="character" w:customStyle="1" w:styleId="BulletPointStyleChar">
    <w:name w:val="Bullet Point Style Char"/>
    <w:link w:val="BulletPointStyle"/>
    <w:locked/>
    <w:rsid w:val="00DD408A"/>
    <w:rPr>
      <w:rFonts w:ascii="Garamond" w:eastAsia="Times New Roman" w:hAnsi="Garamond" w:cs="Times New Roman"/>
      <w:sz w:val="23"/>
      <w:szCs w:val="20"/>
      <w:lang w:eastAsia="x-none"/>
    </w:rPr>
  </w:style>
  <w:style w:type="numbering" w:customStyle="1" w:styleId="BulletPoints">
    <w:name w:val="Bullet Points"/>
    <w:uiPriority w:val="99"/>
    <w:rsid w:val="00DD408A"/>
    <w:pPr>
      <w:numPr>
        <w:numId w:val="10"/>
      </w:numPr>
    </w:pPr>
  </w:style>
  <w:style w:type="paragraph" w:customStyle="1" w:styleId="Bulletpoints0">
    <w:name w:val="Bullet points"/>
    <w:basedOn w:val="Normal"/>
    <w:link w:val="BulletpointsChar"/>
    <w:qFormat/>
    <w:rsid w:val="00DD408A"/>
    <w:pPr>
      <w:tabs>
        <w:tab w:val="num" w:pos="425"/>
      </w:tabs>
      <w:spacing w:before="180" w:after="180" w:line="288" w:lineRule="auto"/>
      <w:ind w:left="425" w:hanging="425"/>
      <w:outlineLvl w:val="0"/>
    </w:pPr>
    <w:rPr>
      <w:rFonts w:ascii="Arial" w:hAnsi="Arial" w:cs="Arial"/>
      <w:sz w:val="22"/>
      <w:szCs w:val="22"/>
      <w:lang w:val="en-AU"/>
    </w:rPr>
  </w:style>
  <w:style w:type="character" w:customStyle="1" w:styleId="BulletpointsChar">
    <w:name w:val="Bullet points Char"/>
    <w:link w:val="Bulletpoints0"/>
    <w:rsid w:val="00DD408A"/>
    <w:rPr>
      <w:rFonts w:ascii="Arial" w:eastAsia="Times New Roman" w:hAnsi="Arial" w:cs="Arial"/>
    </w:rPr>
  </w:style>
  <w:style w:type="paragraph" w:customStyle="1" w:styleId="OpStatementData">
    <w:name w:val="Op. Statement Data"/>
    <w:basedOn w:val="Normal"/>
    <w:autoRedefine/>
    <w:uiPriority w:val="99"/>
    <w:rsid w:val="00DD408A"/>
    <w:pPr>
      <w:widowControl w:val="0"/>
      <w:tabs>
        <w:tab w:val="right" w:pos="6650"/>
        <w:tab w:val="right" w:pos="7841"/>
        <w:tab w:val="right" w:pos="9043"/>
      </w:tabs>
      <w:autoSpaceDE w:val="0"/>
      <w:autoSpaceDN w:val="0"/>
      <w:spacing w:before="60"/>
    </w:pPr>
    <w:rPr>
      <w:rFonts w:ascii="Lucida Sans" w:eastAsia="MS Mincho" w:hAnsi="Lucida Sans" w:cs="Arial"/>
      <w:sz w:val="18"/>
      <w:szCs w:val="18"/>
      <w:lang w:val="en-AU" w:eastAsia="en-AU"/>
    </w:rPr>
  </w:style>
  <w:style w:type="paragraph" w:customStyle="1" w:styleId="CapitalProgTotal">
    <w:name w:val="Capital Prog Total"/>
    <w:basedOn w:val="OpStatementData"/>
    <w:uiPriority w:val="99"/>
    <w:rsid w:val="00DD408A"/>
    <w:pPr>
      <w:pBdr>
        <w:top w:val="single" w:sz="6" w:space="1" w:color="auto"/>
      </w:pBdr>
    </w:pPr>
    <w:rPr>
      <w:b/>
      <w:bCs/>
    </w:rPr>
  </w:style>
  <w:style w:type="paragraph" w:styleId="Caption">
    <w:name w:val="caption"/>
    <w:basedOn w:val="Normal"/>
    <w:next w:val="Normal"/>
    <w:qFormat/>
    <w:rsid w:val="00DD408A"/>
    <w:pPr>
      <w:spacing w:before="120" w:after="120"/>
    </w:pPr>
    <w:rPr>
      <w:b/>
    </w:rPr>
  </w:style>
  <w:style w:type="character" w:customStyle="1" w:styleId="CentreLine">
    <w:name w:val="Centre Line"/>
    <w:uiPriority w:val="99"/>
    <w:rsid w:val="00DD408A"/>
    <w:rPr>
      <w:sz w:val="20"/>
      <w:u w:val="single"/>
      <w:vertAlign w:val="superscript"/>
    </w:rPr>
  </w:style>
  <w:style w:type="paragraph" w:customStyle="1" w:styleId="Chart1X">
    <w:name w:val="Chart 1.X"/>
    <w:basedOn w:val="Normal"/>
    <w:rsid w:val="00DD408A"/>
    <w:pPr>
      <w:keepLines/>
      <w:widowControl w:val="0"/>
      <w:tabs>
        <w:tab w:val="left" w:pos="992"/>
      </w:tabs>
      <w:autoSpaceDE w:val="0"/>
      <w:autoSpaceDN w:val="0"/>
      <w:spacing w:before="360" w:after="120"/>
    </w:pPr>
    <w:rPr>
      <w:rFonts w:ascii="Arial" w:hAnsi="Arial"/>
      <w:i/>
      <w:color w:val="57514D"/>
      <w:lang w:val="en-AU" w:eastAsia="en-AU"/>
    </w:rPr>
  </w:style>
  <w:style w:type="paragraph" w:customStyle="1" w:styleId="TableHeading">
    <w:name w:val="Table Heading"/>
    <w:basedOn w:val="Normal"/>
    <w:link w:val="TableHeadingChar"/>
    <w:autoRedefine/>
    <w:rsid w:val="00DD408A"/>
    <w:pPr>
      <w:keepNext/>
      <w:keepLines/>
      <w:numPr>
        <w:numId w:val="12"/>
      </w:numPr>
      <w:spacing w:before="120" w:after="120"/>
    </w:pPr>
    <w:rPr>
      <w:rFonts w:ascii="Arial" w:hAnsi="Arial"/>
      <w:b/>
      <w:sz w:val="24"/>
    </w:rPr>
  </w:style>
  <w:style w:type="character" w:customStyle="1" w:styleId="TableHeadingChar">
    <w:name w:val="Table Heading Char"/>
    <w:link w:val="TableHeading"/>
    <w:rsid w:val="00DD408A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TableDX">
    <w:name w:val="Table D.X"/>
    <w:basedOn w:val="TableHeading"/>
    <w:rsid w:val="000F1E2C"/>
    <w:pPr>
      <w:keepNext w:val="0"/>
      <w:keepLines w:val="0"/>
      <w:widowControl w:val="0"/>
      <w:numPr>
        <w:numId w:val="13"/>
      </w:numPr>
      <w:tabs>
        <w:tab w:val="left" w:pos="1304"/>
      </w:tabs>
      <w:spacing w:before="240"/>
      <w:ind w:left="1134" w:hanging="1134"/>
    </w:pPr>
    <w:rPr>
      <w:b w:val="0"/>
      <w:bCs/>
      <w:i/>
      <w:color w:val="57514D"/>
      <w:kern w:val="28"/>
      <w:sz w:val="22"/>
      <w:szCs w:val="22"/>
    </w:rPr>
  </w:style>
  <w:style w:type="paragraph" w:customStyle="1" w:styleId="Chart2X">
    <w:name w:val="Chart 2.X"/>
    <w:basedOn w:val="TableDX"/>
    <w:rsid w:val="00DD408A"/>
    <w:pPr>
      <w:numPr>
        <w:numId w:val="14"/>
      </w:numPr>
    </w:pPr>
  </w:style>
  <w:style w:type="paragraph" w:customStyle="1" w:styleId="Chart3X">
    <w:name w:val="Chart 3.X"/>
    <w:basedOn w:val="TableDX"/>
    <w:rsid w:val="00DD408A"/>
    <w:pPr>
      <w:numPr>
        <w:numId w:val="15"/>
      </w:numPr>
      <w:spacing w:before="600"/>
    </w:pPr>
    <w:rPr>
      <w:rFonts w:ascii="Lucida Sans" w:hAnsi="Lucida Sans"/>
      <w:color w:val="auto"/>
    </w:rPr>
  </w:style>
  <w:style w:type="paragraph" w:customStyle="1" w:styleId="TableXX">
    <w:name w:val="Table X.X"/>
    <w:basedOn w:val="Normal"/>
    <w:rsid w:val="00DD408A"/>
    <w:pPr>
      <w:widowControl w:val="0"/>
      <w:numPr>
        <w:numId w:val="16"/>
      </w:numPr>
      <w:tabs>
        <w:tab w:val="left" w:pos="1232"/>
      </w:tabs>
      <w:spacing w:before="360" w:after="120"/>
    </w:pPr>
    <w:rPr>
      <w:rFonts w:ascii="Lucida Sans" w:hAnsi="Lucida Sans"/>
      <w:bCs/>
      <w:kern w:val="28"/>
      <w:sz w:val="22"/>
      <w:szCs w:val="22"/>
    </w:rPr>
  </w:style>
  <w:style w:type="paragraph" w:customStyle="1" w:styleId="Chart5X">
    <w:name w:val="Chart 5.X"/>
    <w:basedOn w:val="TableXX"/>
    <w:rsid w:val="00DD408A"/>
    <w:pPr>
      <w:numPr>
        <w:numId w:val="17"/>
      </w:numPr>
      <w:tabs>
        <w:tab w:val="clear" w:pos="1232"/>
        <w:tab w:val="left" w:pos="851"/>
        <w:tab w:val="left" w:pos="1418"/>
      </w:tabs>
    </w:pPr>
    <w:rPr>
      <w:rFonts w:ascii="Arial" w:eastAsia="Arial Unicode MS" w:hAnsi="Arial"/>
      <w:i/>
      <w:color w:val="57514D"/>
    </w:rPr>
  </w:style>
  <w:style w:type="paragraph" w:customStyle="1" w:styleId="Chart6X">
    <w:name w:val="Chart 6.X"/>
    <w:basedOn w:val="Normal"/>
    <w:rsid w:val="00DD408A"/>
    <w:pPr>
      <w:keepLines/>
      <w:spacing w:before="360" w:after="120"/>
    </w:pPr>
    <w:rPr>
      <w:rFonts w:ascii="Lucida Sans" w:hAnsi="Lucida Sans"/>
      <w:sz w:val="22"/>
    </w:rPr>
  </w:style>
  <w:style w:type="paragraph" w:customStyle="1" w:styleId="Table7X">
    <w:name w:val="Table 7.X"/>
    <w:basedOn w:val="Normal"/>
    <w:rsid w:val="00DD408A"/>
    <w:pPr>
      <w:widowControl w:val="0"/>
      <w:tabs>
        <w:tab w:val="left" w:pos="1232"/>
      </w:tabs>
      <w:spacing w:before="360" w:after="120"/>
    </w:pPr>
    <w:rPr>
      <w:rFonts w:ascii="Lucida Sans" w:hAnsi="Lucida Sans"/>
      <w:bCs/>
      <w:kern w:val="28"/>
      <w:sz w:val="22"/>
      <w:szCs w:val="22"/>
    </w:rPr>
  </w:style>
  <w:style w:type="paragraph" w:customStyle="1" w:styleId="Chart7X">
    <w:name w:val="Chart 7.X"/>
    <w:basedOn w:val="Table7X"/>
    <w:rsid w:val="00DD408A"/>
    <w:pPr>
      <w:tabs>
        <w:tab w:val="clear" w:pos="1232"/>
      </w:tabs>
      <w:ind w:left="1418" w:hanging="1418"/>
    </w:pPr>
  </w:style>
  <w:style w:type="paragraph" w:customStyle="1" w:styleId="Chart9X">
    <w:name w:val="Chart 9.X"/>
    <w:basedOn w:val="Normal"/>
    <w:rsid w:val="00DD408A"/>
    <w:pPr>
      <w:widowControl w:val="0"/>
      <w:spacing w:before="360" w:after="120"/>
      <w:ind w:left="1418" w:hanging="1418"/>
    </w:pPr>
    <w:rPr>
      <w:rFonts w:ascii="Lucida Sans" w:hAnsi="Lucida Sans"/>
      <w:bCs/>
      <w:kern w:val="28"/>
      <w:sz w:val="22"/>
      <w:szCs w:val="22"/>
    </w:rPr>
  </w:style>
  <w:style w:type="paragraph" w:customStyle="1" w:styleId="ChartB4X">
    <w:name w:val="Chart B4.X"/>
    <w:basedOn w:val="Normal"/>
    <w:rsid w:val="00DD408A"/>
    <w:pPr>
      <w:widowControl w:val="0"/>
      <w:numPr>
        <w:numId w:val="19"/>
      </w:numPr>
      <w:spacing w:before="360" w:after="120"/>
    </w:pPr>
    <w:rPr>
      <w:rFonts w:ascii="Arial" w:hAnsi="Arial"/>
      <w:b/>
      <w:bCs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DD408A"/>
    <w:pPr>
      <w:keepNext/>
      <w:widowControl w:val="0"/>
      <w:spacing w:before="240" w:after="120"/>
    </w:pPr>
    <w:rPr>
      <w:rFonts w:ascii="Arial" w:hAnsi="Arial"/>
      <w:b/>
      <w:sz w:val="24"/>
    </w:rPr>
  </w:style>
  <w:style w:type="paragraph" w:customStyle="1" w:styleId="Chartpara">
    <w:name w:val="Chart para"/>
    <w:basedOn w:val="Normal"/>
    <w:semiHidden/>
    <w:rsid w:val="00DD408A"/>
    <w:rPr>
      <w:rFonts w:ascii="Garamond" w:hAnsi="Garamond"/>
      <w:sz w:val="22"/>
      <w:lang w:val="en-AU"/>
    </w:rPr>
  </w:style>
  <w:style w:type="paragraph" w:customStyle="1" w:styleId="Chartx">
    <w:name w:val="Chart x"/>
    <w:basedOn w:val="Normal"/>
    <w:rsid w:val="005444F1"/>
    <w:pPr>
      <w:keepLines/>
      <w:numPr>
        <w:numId w:val="20"/>
      </w:numPr>
      <w:tabs>
        <w:tab w:val="left" w:pos="1304"/>
      </w:tabs>
      <w:spacing w:before="240" w:after="120"/>
    </w:pPr>
    <w:rPr>
      <w:rFonts w:ascii="Arial" w:hAnsi="Arial"/>
      <w:i/>
      <w:color w:val="57514D"/>
      <w:sz w:val="22"/>
    </w:rPr>
  </w:style>
  <w:style w:type="character" w:styleId="CommentReference">
    <w:name w:val="annotation reference"/>
    <w:uiPriority w:val="99"/>
    <w:rsid w:val="00DD4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408A"/>
  </w:style>
  <w:style w:type="character" w:customStyle="1" w:styleId="CommentTextChar">
    <w:name w:val="Comment Text Char"/>
    <w:link w:val="CommentText"/>
    <w:uiPriority w:val="99"/>
    <w:rsid w:val="00DD40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408A"/>
    <w:rPr>
      <w:b/>
      <w:bCs/>
    </w:rPr>
  </w:style>
  <w:style w:type="character" w:customStyle="1" w:styleId="CommentSubjectChar">
    <w:name w:val="Comment Subject Char"/>
    <w:link w:val="CommentSubject"/>
    <w:rsid w:val="00DD40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DD40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Dept">
    <w:name w:val="Dept"/>
    <w:basedOn w:val="Normal"/>
    <w:autoRedefine/>
    <w:rsid w:val="00DD408A"/>
    <w:pPr>
      <w:keepNext/>
      <w:keepLines/>
      <w:pageBreakBefore/>
      <w:autoSpaceDE w:val="0"/>
      <w:autoSpaceDN w:val="0"/>
      <w:adjustRightInd w:val="0"/>
    </w:pPr>
    <w:rPr>
      <w:rFonts w:ascii="Lucida Sans" w:eastAsia="MS Mincho" w:hAnsi="Lucida Sans" w:cs="Arial"/>
      <w:b/>
      <w:bCs/>
      <w:sz w:val="22"/>
      <w:lang w:val="en-AU" w:eastAsia="en-AU"/>
    </w:rPr>
  </w:style>
  <w:style w:type="paragraph" w:styleId="DocumentMap">
    <w:name w:val="Document Map"/>
    <w:basedOn w:val="Normal"/>
    <w:link w:val="DocumentMapChar"/>
    <w:rsid w:val="00DD40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D408A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DoubleBorder">
    <w:name w:val="Double Border"/>
    <w:basedOn w:val="Agency2"/>
    <w:uiPriority w:val="99"/>
    <w:rsid w:val="00DD408A"/>
    <w:pPr>
      <w:pBdr>
        <w:top w:val="single" w:sz="6" w:space="1" w:color="auto"/>
        <w:bottom w:val="single" w:sz="6" w:space="1" w:color="auto"/>
      </w:pBdr>
    </w:pPr>
    <w:rPr>
      <w:sz w:val="18"/>
      <w:szCs w:val="18"/>
    </w:rPr>
  </w:style>
  <w:style w:type="character" w:styleId="Emphasis">
    <w:name w:val="Emphasis"/>
    <w:qFormat/>
    <w:rsid w:val="00DD408A"/>
    <w:rPr>
      <w:i/>
      <w:iCs/>
    </w:rPr>
  </w:style>
  <w:style w:type="character" w:styleId="EndnoteReference">
    <w:name w:val="endnote reference"/>
    <w:rsid w:val="00DD408A"/>
    <w:rPr>
      <w:i/>
      <w:sz w:val="16"/>
      <w:vertAlign w:val="superscript"/>
    </w:rPr>
  </w:style>
  <w:style w:type="paragraph" w:styleId="EndnoteText">
    <w:name w:val="endnote text"/>
    <w:basedOn w:val="Normal"/>
    <w:link w:val="EndnoteTextChar"/>
    <w:rsid w:val="00DD408A"/>
  </w:style>
  <w:style w:type="character" w:customStyle="1" w:styleId="EndnoteTextChar">
    <w:name w:val="Endnote Text Char"/>
    <w:link w:val="EndnoteText"/>
    <w:rsid w:val="00DD40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stimates-BudgetYear">
    <w:name w:val="Estimates - Budget Year"/>
    <w:basedOn w:val="Normal"/>
    <w:uiPriority w:val="99"/>
    <w:rsid w:val="00DD408A"/>
    <w:pPr>
      <w:widowControl w:val="0"/>
      <w:pBdr>
        <w:bottom w:val="single" w:sz="6" w:space="1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Arial" w:eastAsia="MS Mincho" w:hAnsi="Arial" w:cs="Arial"/>
      <w:sz w:val="22"/>
      <w:szCs w:val="22"/>
      <w:lang w:val="en-AU" w:eastAsia="en-AU"/>
    </w:rPr>
  </w:style>
  <w:style w:type="paragraph" w:customStyle="1" w:styleId="Estimates-withNewPage">
    <w:name w:val="Estimates - with New Page"/>
    <w:basedOn w:val="Estimates-BudgetYear"/>
    <w:uiPriority w:val="99"/>
    <w:rsid w:val="00DD408A"/>
    <w:pPr>
      <w:pageBreakBefore/>
      <w:pBdr>
        <w:bottom w:val="single" w:sz="6" w:space="6" w:color="auto"/>
      </w:pBdr>
    </w:pPr>
    <w:rPr>
      <w:sz w:val="20"/>
      <w:szCs w:val="20"/>
    </w:rPr>
  </w:style>
  <w:style w:type="character" w:styleId="FollowedHyperlink">
    <w:name w:val="FollowedHyperlink"/>
    <w:rsid w:val="00DD408A"/>
    <w:rPr>
      <w:color w:val="800080"/>
      <w:u w:val="single"/>
    </w:rPr>
  </w:style>
  <w:style w:type="character" w:styleId="FootnoteReference">
    <w:name w:val="footnote reference"/>
    <w:uiPriority w:val="99"/>
    <w:rsid w:val="00DD40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D408A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uiPriority w:val="99"/>
    <w:rsid w:val="00DD408A"/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Graph1X">
    <w:name w:val="Graph 1.X"/>
    <w:basedOn w:val="TableDX"/>
    <w:qFormat/>
    <w:rsid w:val="00DD408A"/>
    <w:pPr>
      <w:numPr>
        <w:numId w:val="21"/>
      </w:numPr>
    </w:pPr>
  </w:style>
  <w:style w:type="paragraph" w:customStyle="1" w:styleId="HeaderHeading">
    <w:name w:val="Header Heading"/>
    <w:basedOn w:val="Normal"/>
    <w:rsid w:val="00DD408A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eastAsia="PMingLiU" w:hAnsi="Lucida Sans" w:cs="Arial"/>
      <w:lang w:val="en-AU" w:eastAsia="en-AU"/>
    </w:rPr>
  </w:style>
  <w:style w:type="paragraph" w:customStyle="1" w:styleId="Heading-Centred">
    <w:name w:val="Heading - Centred"/>
    <w:qFormat/>
    <w:rsid w:val="00DD408A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bidi="en-US"/>
    </w:rPr>
  </w:style>
  <w:style w:type="paragraph" w:customStyle="1" w:styleId="Heading-Centredsmall">
    <w:name w:val="Heading - Centred (small)"/>
    <w:qFormat/>
    <w:rsid w:val="00DD40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bidi="en-US"/>
    </w:rPr>
  </w:style>
  <w:style w:type="paragraph" w:customStyle="1" w:styleId="Heading1BP2">
    <w:name w:val="Heading 1 BP2"/>
    <w:rsid w:val="00DD408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</w:rPr>
  </w:style>
  <w:style w:type="paragraph" w:customStyle="1" w:styleId="Heading1BP3">
    <w:name w:val="Heading 1 BP3"/>
    <w:rsid w:val="00DD408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</w:rPr>
  </w:style>
  <w:style w:type="character" w:customStyle="1" w:styleId="Heading3Char1">
    <w:name w:val="Heading 3 Char1"/>
    <w:rsid w:val="00DD408A"/>
    <w:rPr>
      <w:rFonts w:ascii="Lucida Sans" w:eastAsia="Times New Roman" w:hAnsi="Lucida Sans" w:cs="Times New Roman"/>
      <w:b/>
      <w:kern w:val="28"/>
      <w:sz w:val="24"/>
      <w:szCs w:val="36"/>
    </w:rPr>
  </w:style>
  <w:style w:type="character" w:customStyle="1" w:styleId="Heading4Char">
    <w:name w:val="Heading 4 Char"/>
    <w:link w:val="Heading4"/>
    <w:rsid w:val="00181A01"/>
    <w:rPr>
      <w:rFonts w:ascii="Arial Bold" w:eastAsia="Arial Unicode MS" w:hAnsi="Arial Bold" w:cs="Times New Roman"/>
      <w:b/>
      <w:kern w:val="28"/>
      <w:sz w:val="25"/>
      <w:szCs w:val="36"/>
    </w:rPr>
  </w:style>
  <w:style w:type="character" w:customStyle="1" w:styleId="Heading5Char">
    <w:name w:val="Heading 5 Char"/>
    <w:link w:val="Heading5"/>
    <w:rsid w:val="00D216D4"/>
    <w:rPr>
      <w:rFonts w:ascii="Arial" w:eastAsia="Arial Unicode MS" w:hAnsi="Arial" w:cs="Times New Roman"/>
      <w:i/>
      <w:kern w:val="28"/>
      <w:sz w:val="24"/>
      <w:szCs w:val="36"/>
    </w:rPr>
  </w:style>
  <w:style w:type="character" w:customStyle="1" w:styleId="Heading6Char">
    <w:name w:val="Heading 6 Char"/>
    <w:link w:val="Heading6"/>
    <w:rsid w:val="00DD408A"/>
    <w:rPr>
      <w:rFonts w:ascii="Arial" w:eastAsia="Times New Roman" w:hAnsi="Arial" w:cs="Times New Roman"/>
      <w:caps/>
      <w:color w:val="1D3278"/>
      <w:sz w:val="20"/>
      <w:szCs w:val="36"/>
    </w:rPr>
  </w:style>
  <w:style w:type="character" w:customStyle="1" w:styleId="Heading7Char">
    <w:name w:val="Heading 7 Char"/>
    <w:link w:val="Heading7"/>
    <w:rsid w:val="00DD408A"/>
    <w:rPr>
      <w:rFonts w:ascii="Arial" w:eastAsia="Arial Unicode MS" w:hAnsi="Arial" w:cs="Times New Roman"/>
      <w:b/>
      <w:kern w:val="28"/>
      <w:sz w:val="23"/>
      <w:szCs w:val="36"/>
    </w:rPr>
  </w:style>
  <w:style w:type="character" w:customStyle="1" w:styleId="Heading8Char">
    <w:name w:val="Heading 8 Char"/>
    <w:link w:val="Heading8"/>
    <w:rsid w:val="00DD408A"/>
    <w:rPr>
      <w:rFonts w:ascii="Arial" w:eastAsia="Arial Unicode MS" w:hAnsi="Arial" w:cs="Times New Roman"/>
      <w:b/>
      <w:i/>
      <w:kern w:val="28"/>
      <w:sz w:val="23"/>
      <w:szCs w:val="36"/>
    </w:rPr>
  </w:style>
  <w:style w:type="character" w:customStyle="1" w:styleId="Heading9Char">
    <w:name w:val="Heading 9 Char"/>
    <w:link w:val="Heading9"/>
    <w:rsid w:val="00DD408A"/>
    <w:rPr>
      <w:rFonts w:ascii="Arial" w:eastAsia="Arial Unicode MS" w:hAnsi="Arial" w:cs="Times New Roman"/>
      <w:b/>
      <w:kern w:val="28"/>
      <w:sz w:val="23"/>
      <w:szCs w:val="36"/>
    </w:rPr>
  </w:style>
  <w:style w:type="character" w:styleId="Hyperlink">
    <w:name w:val="Hyperlink"/>
    <w:uiPriority w:val="99"/>
    <w:unhideWhenUsed/>
    <w:rsid w:val="00DD408A"/>
    <w:rPr>
      <w:color w:val="0000FF"/>
      <w:u w:val="single"/>
    </w:rPr>
  </w:style>
  <w:style w:type="character" w:styleId="IntenseEmphasis">
    <w:name w:val="Intense Emphasis"/>
    <w:uiPriority w:val="21"/>
    <w:qFormat/>
    <w:rsid w:val="00DD408A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0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408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/>
    </w:rPr>
  </w:style>
  <w:style w:type="character" w:styleId="IntenseReference">
    <w:name w:val="Intense Reference"/>
    <w:uiPriority w:val="32"/>
    <w:qFormat/>
    <w:rsid w:val="00DD408A"/>
    <w:rPr>
      <w:b/>
      <w:bCs/>
      <w:smallCaps/>
      <w:color w:val="C0504D"/>
      <w:spacing w:val="5"/>
      <w:u w:val="single"/>
    </w:rPr>
  </w:style>
  <w:style w:type="paragraph" w:customStyle="1" w:styleId="Keypointsheading">
    <w:name w:val="Key points heading"/>
    <w:basedOn w:val="Heading2"/>
    <w:next w:val="Bullet"/>
    <w:rsid w:val="00DD408A"/>
    <w:pPr>
      <w:keepNext w:val="0"/>
      <w:widowControl/>
      <w:spacing w:before="360" w:after="180"/>
    </w:pPr>
    <w:rPr>
      <w:rFonts w:cs="Arial"/>
      <w:b w:val="0"/>
      <w:color w:val="003366"/>
      <w:kern w:val="0"/>
      <w:szCs w:val="24"/>
    </w:rPr>
  </w:style>
  <w:style w:type="paragraph" w:styleId="ListBullet">
    <w:name w:val="List Bullet"/>
    <w:basedOn w:val="Normal"/>
    <w:uiPriority w:val="1"/>
    <w:qFormat/>
    <w:rsid w:val="00DD408A"/>
    <w:pPr>
      <w:spacing w:after="80" w:line="240" w:lineRule="atLeast"/>
    </w:pPr>
    <w:rPr>
      <w:rFonts w:ascii="Calibri" w:hAnsi="Calibri"/>
      <w:sz w:val="18"/>
      <w:szCs w:val="24"/>
      <w:lang w:val="en-AU" w:eastAsia="en-AU"/>
    </w:rPr>
  </w:style>
  <w:style w:type="paragraph" w:styleId="ListBullet3">
    <w:name w:val="List Bullet 3"/>
    <w:basedOn w:val="Normal"/>
    <w:rsid w:val="00DD408A"/>
    <w:pPr>
      <w:numPr>
        <w:numId w:val="22"/>
      </w:numPr>
    </w:pPr>
  </w:style>
  <w:style w:type="paragraph" w:customStyle="1" w:styleId="ListBullet1">
    <w:name w:val="List Bullet1"/>
    <w:basedOn w:val="Normal"/>
    <w:autoRedefine/>
    <w:rsid w:val="00DD408A"/>
    <w:pPr>
      <w:numPr>
        <w:numId w:val="23"/>
      </w:numPr>
      <w:spacing w:line="360" w:lineRule="auto"/>
    </w:pPr>
    <w:rPr>
      <w:rFonts w:ascii="Arial" w:hAnsi="Arial"/>
      <w:sz w:val="28"/>
      <w:lang w:val="en-AU"/>
    </w:rPr>
  </w:style>
  <w:style w:type="paragraph" w:styleId="ListNumber">
    <w:name w:val="List Number"/>
    <w:basedOn w:val="Normal"/>
    <w:uiPriority w:val="1"/>
    <w:qFormat/>
    <w:rsid w:val="00DD408A"/>
    <w:pPr>
      <w:numPr>
        <w:numId w:val="24"/>
      </w:numPr>
      <w:spacing w:after="80" w:line="240" w:lineRule="atLeast"/>
    </w:pPr>
    <w:rPr>
      <w:rFonts w:ascii="Calibri" w:eastAsia="Calibri" w:hAnsi="Calibri"/>
      <w:sz w:val="18"/>
      <w:szCs w:val="22"/>
      <w:lang w:val="en-AU"/>
    </w:rPr>
  </w:style>
  <w:style w:type="paragraph" w:customStyle="1" w:styleId="Marginalnote">
    <w:name w:val="Marginal note"/>
    <w:basedOn w:val="BodyText"/>
    <w:link w:val="MarginalnoteChar"/>
    <w:semiHidden/>
    <w:rsid w:val="00DD408A"/>
    <w:pPr>
      <w:spacing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DD408A"/>
    <w:rPr>
      <w:rFonts w:ascii="Arial" w:eastAsia="Times New Roman" w:hAnsi="Arial" w:cs="Arial"/>
      <w:color w:val="000000"/>
      <w:sz w:val="19"/>
      <w:lang w:eastAsia="en-AU"/>
    </w:rPr>
  </w:style>
  <w:style w:type="paragraph" w:customStyle="1" w:styleId="Minister">
    <w:name w:val="Minister"/>
    <w:basedOn w:val="Normal"/>
    <w:uiPriority w:val="99"/>
    <w:rsid w:val="00DD408A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Arial" w:eastAsia="MS Mincho" w:hAnsi="Arial" w:cs="Arial"/>
      <w:b/>
      <w:bCs/>
      <w:sz w:val="24"/>
      <w:szCs w:val="24"/>
      <w:lang w:val="en-AU" w:eastAsia="en-AU"/>
    </w:rPr>
  </w:style>
  <w:style w:type="paragraph" w:customStyle="1" w:styleId="Minr">
    <w:name w:val="Minr"/>
    <w:basedOn w:val="Normal"/>
    <w:autoRedefine/>
    <w:uiPriority w:val="99"/>
    <w:rsid w:val="00DD408A"/>
    <w:pPr>
      <w:widowControl w:val="0"/>
      <w:autoSpaceDE w:val="0"/>
      <w:autoSpaceDN w:val="0"/>
      <w:adjustRightInd w:val="0"/>
    </w:pPr>
    <w:rPr>
      <w:rFonts w:ascii="Lucida Sans" w:eastAsia="MS Mincho" w:hAnsi="Lucida Sans" w:cs="Arial"/>
      <w:b/>
      <w:bCs/>
      <w:szCs w:val="24"/>
      <w:lang w:val="en-AU" w:eastAsia="en-AU"/>
    </w:rPr>
  </w:style>
  <w:style w:type="paragraph" w:styleId="NoSpacing">
    <w:name w:val="No Spacing"/>
    <w:basedOn w:val="Normal"/>
    <w:link w:val="NoSpacingChar"/>
    <w:qFormat/>
    <w:rsid w:val="00DD408A"/>
  </w:style>
  <w:style w:type="character" w:customStyle="1" w:styleId="NoSpacingChar">
    <w:name w:val="No Spacing Char"/>
    <w:link w:val="NoSpacing"/>
    <w:rsid w:val="00DD40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DD408A"/>
    <w:pPr>
      <w:widowControl w:val="0"/>
      <w:numPr>
        <w:numId w:val="25"/>
      </w:numPr>
      <w:autoSpaceDE w:val="0"/>
      <w:autoSpaceDN w:val="0"/>
    </w:pPr>
    <w:rPr>
      <w:rFonts w:ascii=".." w:hAnsi=".."/>
      <w:lang w:val="en-AU" w:eastAsia="en-AU"/>
    </w:rPr>
  </w:style>
  <w:style w:type="paragraph" w:customStyle="1" w:styleId="Object">
    <w:name w:val="Object"/>
    <w:basedOn w:val="Normal"/>
    <w:next w:val="Normal"/>
    <w:rsid w:val="00DD408A"/>
    <w:pPr>
      <w:jc w:val="center"/>
    </w:pPr>
  </w:style>
  <w:style w:type="paragraph" w:customStyle="1" w:styleId="ObjectFootnote">
    <w:name w:val="Object Footnote"/>
    <w:basedOn w:val="Object"/>
    <w:next w:val="Normal"/>
    <w:rsid w:val="00DD408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DD408A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DD408A"/>
    <w:pPr>
      <w:ind w:left="709" w:hanging="283"/>
    </w:pPr>
  </w:style>
  <w:style w:type="paragraph" w:customStyle="1" w:styleId="ObjectivesandDescr">
    <w:name w:val="Objectives and Descr"/>
    <w:basedOn w:val="Normal"/>
    <w:autoRedefine/>
    <w:uiPriority w:val="99"/>
    <w:rsid w:val="00DD408A"/>
    <w:pPr>
      <w:widowControl w:val="0"/>
      <w:tabs>
        <w:tab w:val="left" w:pos="1985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1985" w:hanging="1985"/>
      <w:jc w:val="both"/>
    </w:pPr>
    <w:rPr>
      <w:rFonts w:ascii="Lucida Sans" w:eastAsia="MS Mincho" w:hAnsi="Lucida Sans" w:cs="Arial"/>
      <w:sz w:val="18"/>
      <w:szCs w:val="18"/>
      <w:lang w:val="en-AU" w:eastAsia="en-AU"/>
    </w:rPr>
  </w:style>
  <w:style w:type="paragraph" w:customStyle="1" w:styleId="OpStatementcol">
    <w:name w:val="Op.Statement col"/>
    <w:basedOn w:val="Normal"/>
    <w:autoRedefine/>
    <w:uiPriority w:val="99"/>
    <w:rsid w:val="00DD408A"/>
    <w:pPr>
      <w:widowControl w:val="0"/>
      <w:tabs>
        <w:tab w:val="center" w:pos="6236"/>
        <w:tab w:val="center" w:pos="6803"/>
        <w:tab w:val="center" w:pos="7370"/>
        <w:tab w:val="center" w:pos="8646"/>
      </w:tabs>
      <w:autoSpaceDE w:val="0"/>
      <w:autoSpaceDN w:val="0"/>
    </w:pPr>
    <w:rPr>
      <w:rFonts w:ascii="Lucida Sans" w:eastAsia="MS Mincho" w:hAnsi="Lucida Sans" w:cs="Arial"/>
      <w:sz w:val="18"/>
      <w:szCs w:val="18"/>
      <w:lang w:val="en-AU" w:eastAsia="en-AU"/>
    </w:rPr>
  </w:style>
  <w:style w:type="paragraph" w:customStyle="1" w:styleId="OpStatementcol2">
    <w:name w:val="Op.Statement col 2"/>
    <w:basedOn w:val="OpStatementcol"/>
    <w:autoRedefine/>
    <w:uiPriority w:val="99"/>
    <w:rsid w:val="00DD408A"/>
    <w:pPr>
      <w:tabs>
        <w:tab w:val="clear" w:pos="6236"/>
        <w:tab w:val="clear" w:pos="6803"/>
        <w:tab w:val="clear" w:pos="7370"/>
        <w:tab w:val="center" w:pos="6826"/>
      </w:tabs>
    </w:pPr>
  </w:style>
  <w:style w:type="paragraph" w:customStyle="1" w:styleId="OpStatementSub">
    <w:name w:val="Op.Statement Sub"/>
    <w:basedOn w:val="Normal"/>
    <w:autoRedefine/>
    <w:uiPriority w:val="99"/>
    <w:rsid w:val="00DD408A"/>
    <w:pPr>
      <w:widowControl w:val="0"/>
      <w:tabs>
        <w:tab w:val="right" w:pos="6650"/>
        <w:tab w:val="right" w:pos="7841"/>
        <w:tab w:val="right" w:pos="9043"/>
      </w:tabs>
      <w:autoSpaceDE w:val="0"/>
      <w:autoSpaceDN w:val="0"/>
    </w:pPr>
    <w:rPr>
      <w:rFonts w:ascii="Lucida Sans" w:eastAsia="MS Mincho" w:hAnsi="Lucida Sans" w:cs="Arial"/>
      <w:b/>
      <w:bCs/>
      <w:sz w:val="18"/>
      <w:szCs w:val="18"/>
      <w:lang w:val="en-AU" w:eastAsia="en-AU"/>
    </w:rPr>
  </w:style>
  <w:style w:type="paragraph" w:customStyle="1" w:styleId="OperatingStatement">
    <w:name w:val="Operating Statement"/>
    <w:basedOn w:val="Normal"/>
    <w:autoRedefine/>
    <w:uiPriority w:val="99"/>
    <w:rsid w:val="00DD408A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line="240" w:lineRule="exact"/>
    </w:pPr>
    <w:rPr>
      <w:rFonts w:ascii="Lucida Sans" w:eastAsia="MS Mincho" w:hAnsi="Lucida Sans" w:cs="Arial"/>
      <w:b/>
      <w:bCs/>
      <w:iCs/>
      <w:sz w:val="24"/>
      <w:lang w:val="en-AU" w:eastAsia="en-AU"/>
    </w:rPr>
  </w:style>
  <w:style w:type="paragraph" w:customStyle="1" w:styleId="OutputsColumns">
    <w:name w:val="Outputs Columns"/>
    <w:basedOn w:val="Normal"/>
    <w:autoRedefine/>
    <w:uiPriority w:val="99"/>
    <w:rsid w:val="00DD408A"/>
    <w:pPr>
      <w:widowControl w:val="0"/>
      <w:tabs>
        <w:tab w:val="right" w:pos="6650"/>
        <w:tab w:val="right" w:pos="7841"/>
        <w:tab w:val="right" w:pos="9043"/>
      </w:tabs>
      <w:autoSpaceDE w:val="0"/>
      <w:autoSpaceDN w:val="0"/>
    </w:pPr>
    <w:rPr>
      <w:rFonts w:ascii="Lucida Sans" w:eastAsia="MS Mincho" w:hAnsi="Lucida Sans" w:cs="Arial"/>
      <w:b/>
      <w:szCs w:val="18"/>
      <w:lang w:val="en-AU" w:eastAsia="en-AU"/>
    </w:rPr>
  </w:style>
  <w:style w:type="paragraph" w:customStyle="1" w:styleId="OutputsData">
    <w:name w:val="Outputs Data"/>
    <w:basedOn w:val="Normal"/>
    <w:autoRedefine/>
    <w:uiPriority w:val="99"/>
    <w:rsid w:val="00DD408A"/>
    <w:pPr>
      <w:widowControl w:val="0"/>
      <w:tabs>
        <w:tab w:val="right" w:pos="6650"/>
        <w:tab w:val="right" w:pos="7841"/>
        <w:tab w:val="right" w:pos="9043"/>
      </w:tabs>
      <w:autoSpaceDE w:val="0"/>
      <w:autoSpaceDN w:val="0"/>
    </w:pPr>
    <w:rPr>
      <w:rFonts w:ascii="Lucida Sans" w:eastAsia="MS Mincho" w:hAnsi="Lucida Sans" w:cs="Arial"/>
      <w:sz w:val="18"/>
      <w:szCs w:val="18"/>
      <w:lang w:val="en-AU" w:eastAsia="en-AU"/>
    </w:rPr>
  </w:style>
  <w:style w:type="paragraph" w:customStyle="1" w:styleId="OutputsName">
    <w:name w:val="Outputs Name"/>
    <w:basedOn w:val="Normal"/>
    <w:uiPriority w:val="99"/>
    <w:rsid w:val="00DD408A"/>
    <w:pPr>
      <w:widowControl w:val="0"/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eastAsia="MS Mincho" w:hAnsi="Arial" w:cs="Arial"/>
      <w:sz w:val="18"/>
      <w:szCs w:val="18"/>
      <w:u w:val="single"/>
      <w:lang w:val="en-AU" w:eastAsia="en-AU"/>
    </w:rPr>
  </w:style>
  <w:style w:type="paragraph" w:customStyle="1" w:styleId="Pa0">
    <w:name w:val="Pa0"/>
    <w:basedOn w:val="Default"/>
    <w:next w:val="Default"/>
    <w:uiPriority w:val="99"/>
    <w:rsid w:val="00DD408A"/>
    <w:pPr>
      <w:spacing w:line="201" w:lineRule="atLeast"/>
    </w:pPr>
    <w:rPr>
      <w:rFonts w:ascii="Gotham Narrow Light" w:hAnsi="Gotham Narrow Light" w:cs="Times New Roman"/>
      <w:color w:val="auto"/>
    </w:rPr>
  </w:style>
  <w:style w:type="character" w:styleId="PageNumber">
    <w:name w:val="page number"/>
    <w:rsid w:val="00DD408A"/>
  </w:style>
  <w:style w:type="paragraph" w:customStyle="1" w:styleId="Program">
    <w:name w:val="Program"/>
    <w:basedOn w:val="Normal"/>
    <w:uiPriority w:val="99"/>
    <w:rsid w:val="00DD408A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567"/>
    </w:pPr>
    <w:rPr>
      <w:rFonts w:ascii="Arial" w:eastAsia="MS Mincho" w:hAnsi="Arial" w:cs="Arial"/>
      <w:b/>
      <w:bCs/>
      <w:lang w:val="en-AU" w:eastAsia="en-AU"/>
    </w:rPr>
  </w:style>
  <w:style w:type="paragraph" w:customStyle="1" w:styleId="ProgramArea">
    <w:name w:val="Program Area"/>
    <w:basedOn w:val="Normal"/>
    <w:autoRedefine/>
    <w:uiPriority w:val="99"/>
    <w:rsid w:val="00DD408A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/>
    </w:pPr>
    <w:rPr>
      <w:rFonts w:ascii="Lucida Sans" w:eastAsia="MS Mincho" w:hAnsi="Lucida Sans" w:cs="Arial"/>
      <w:b/>
      <w:bCs/>
      <w:sz w:val="21"/>
      <w:lang w:val="en-AU"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DD408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408A"/>
    <w:rPr>
      <w:rFonts w:ascii="Times New Roman" w:eastAsia="Times New Roman" w:hAnsi="Times New Roman" w:cs="Times New Roman"/>
      <w:i/>
      <w:iCs/>
      <w:color w:val="000000"/>
      <w:sz w:val="20"/>
      <w:szCs w:val="20"/>
      <w:lang w:val="en-US"/>
    </w:rPr>
  </w:style>
  <w:style w:type="paragraph" w:customStyle="1" w:styleId="SmallGap">
    <w:name w:val="Small Gap"/>
    <w:basedOn w:val="Normal"/>
    <w:autoRedefine/>
    <w:uiPriority w:val="99"/>
    <w:rsid w:val="00DD408A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eastAsia="MS Mincho" w:hAnsi="Lucida Sans" w:cs="Arial"/>
      <w:sz w:val="4"/>
      <w:szCs w:val="14"/>
      <w:lang w:val="en-AU" w:eastAsia="en-AU"/>
    </w:rPr>
  </w:style>
  <w:style w:type="paragraph" w:customStyle="1" w:styleId="SmallGapwithBorder">
    <w:name w:val="Small Gap with Border"/>
    <w:basedOn w:val="OpStatementData"/>
    <w:uiPriority w:val="99"/>
    <w:rsid w:val="00DD408A"/>
    <w:pPr>
      <w:pBdr>
        <w:bottom w:val="single" w:sz="6" w:space="1" w:color="auto"/>
      </w:pBdr>
    </w:pPr>
    <w:rPr>
      <w:sz w:val="14"/>
      <w:szCs w:val="14"/>
    </w:rPr>
  </w:style>
  <w:style w:type="character" w:customStyle="1" w:styleId="st1">
    <w:name w:val="st1"/>
    <w:rsid w:val="00DD408A"/>
  </w:style>
  <w:style w:type="character" w:customStyle="1" w:styleId="Strikethrou">
    <w:name w:val="Strikethrou"/>
    <w:uiPriority w:val="99"/>
    <w:rsid w:val="00DD408A"/>
    <w:rPr>
      <w:rFonts w:ascii="Arial" w:hAnsi="Arial" w:cs="Arial"/>
      <w:color w:val="auto"/>
      <w:sz w:val="16"/>
      <w:szCs w:val="16"/>
      <w:vertAlign w:val="superscript"/>
    </w:rPr>
  </w:style>
  <w:style w:type="character" w:customStyle="1" w:styleId="StrikeThrough">
    <w:name w:val="StrikeThrough"/>
    <w:rsid w:val="00DD408A"/>
    <w:rPr>
      <w:strike/>
      <w:dstrike w:val="0"/>
      <w:color w:val="00A1DE"/>
    </w:rPr>
  </w:style>
  <w:style w:type="character" w:styleId="Strong">
    <w:name w:val="Strong"/>
    <w:qFormat/>
    <w:rsid w:val="00DD408A"/>
    <w:rPr>
      <w:b/>
      <w:bCs/>
    </w:rPr>
  </w:style>
  <w:style w:type="paragraph" w:customStyle="1" w:styleId="Style211HeadingBold">
    <w:name w:val="Style 2.1.1 Heading + Bold"/>
    <w:basedOn w:val="Normal"/>
    <w:rsid w:val="00DD408A"/>
    <w:rPr>
      <w:b/>
      <w:bCs/>
      <w:i/>
      <w:iCs/>
    </w:rPr>
  </w:style>
  <w:style w:type="paragraph" w:customStyle="1" w:styleId="StyleChapterHeadingAfter12pt">
    <w:name w:val="Style Chapter Heading + After:  12 pt"/>
    <w:basedOn w:val="Normal"/>
    <w:rsid w:val="00DD408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/>
      <w:b/>
      <w:bCs/>
      <w:kern w:val="28"/>
      <w:sz w:val="36"/>
      <w:lang w:val="en-AU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DD408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/>
      <w:kern w:val="28"/>
      <w:sz w:val="38"/>
      <w:lang w:val="en-AU"/>
    </w:rPr>
  </w:style>
  <w:style w:type="numbering" w:customStyle="1" w:styleId="Style1">
    <w:name w:val="Style1"/>
    <w:uiPriority w:val="99"/>
    <w:rsid w:val="00DD408A"/>
    <w:pPr>
      <w:numPr>
        <w:numId w:val="26"/>
      </w:numPr>
    </w:pPr>
  </w:style>
  <w:style w:type="paragraph" w:styleId="Subtitle">
    <w:name w:val="Subtitle"/>
    <w:basedOn w:val="Normal"/>
    <w:link w:val="SubtitleChar"/>
    <w:qFormat/>
    <w:rsid w:val="00DD408A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link w:val="Subtitle"/>
    <w:rsid w:val="00DD408A"/>
    <w:rPr>
      <w:rFonts w:ascii="Arial" w:eastAsia="Times New Roman" w:hAnsi="Arial" w:cs="Times New Roman"/>
      <w:sz w:val="24"/>
      <w:szCs w:val="20"/>
      <w:lang w:val="en-US"/>
    </w:rPr>
  </w:style>
  <w:style w:type="character" w:styleId="SubtleEmphasis">
    <w:name w:val="Subtle Emphasis"/>
    <w:uiPriority w:val="19"/>
    <w:qFormat/>
    <w:rsid w:val="00DD408A"/>
    <w:rPr>
      <w:i/>
      <w:iCs/>
      <w:color w:val="808080"/>
    </w:rPr>
  </w:style>
  <w:style w:type="character" w:styleId="SubtleReference">
    <w:name w:val="Subtle Reference"/>
    <w:uiPriority w:val="31"/>
    <w:qFormat/>
    <w:rsid w:val="00DD408A"/>
    <w:rPr>
      <w:smallCaps/>
      <w:color w:val="C0504D"/>
      <w:u w:val="single"/>
    </w:rPr>
  </w:style>
  <w:style w:type="paragraph" w:customStyle="1" w:styleId="Table2X">
    <w:name w:val="Table 2.X"/>
    <w:basedOn w:val="TableDX"/>
    <w:qFormat/>
    <w:rsid w:val="00DD408A"/>
    <w:pPr>
      <w:numPr>
        <w:numId w:val="27"/>
      </w:numPr>
    </w:pPr>
  </w:style>
  <w:style w:type="paragraph" w:customStyle="1" w:styleId="Table3x">
    <w:name w:val="Table 3.x"/>
    <w:basedOn w:val="TableDX"/>
    <w:qFormat/>
    <w:rsid w:val="00DD408A"/>
    <w:pPr>
      <w:numPr>
        <w:numId w:val="28"/>
      </w:numPr>
    </w:pPr>
  </w:style>
  <w:style w:type="paragraph" w:customStyle="1" w:styleId="Table5">
    <w:name w:val="Table 5"/>
    <w:basedOn w:val="TableDX"/>
    <w:qFormat/>
    <w:rsid w:val="00DD408A"/>
    <w:pPr>
      <w:numPr>
        <w:numId w:val="29"/>
      </w:numPr>
      <w:tabs>
        <w:tab w:val="left" w:pos="1418"/>
      </w:tabs>
    </w:pPr>
  </w:style>
  <w:style w:type="paragraph" w:customStyle="1" w:styleId="Table5x">
    <w:name w:val="Table 5.x"/>
    <w:basedOn w:val="Normal"/>
    <w:qFormat/>
    <w:rsid w:val="00DD408A"/>
    <w:pPr>
      <w:widowControl w:val="0"/>
      <w:spacing w:before="320" w:after="120"/>
    </w:pPr>
    <w:rPr>
      <w:rFonts w:ascii="Arial Unicode MS" w:eastAsia="Arial Unicode MS" w:hAnsi="Arial Unicode MS"/>
      <w:bCs/>
      <w:color w:val="00A1DE"/>
      <w:kern w:val="28"/>
      <w:sz w:val="22"/>
      <w:szCs w:val="22"/>
    </w:rPr>
  </w:style>
  <w:style w:type="paragraph" w:customStyle="1" w:styleId="Table5X0">
    <w:name w:val="Table 5.X"/>
    <w:basedOn w:val="Normal"/>
    <w:rsid w:val="00DD408A"/>
    <w:pPr>
      <w:widowControl w:val="0"/>
      <w:tabs>
        <w:tab w:val="left" w:pos="1232"/>
      </w:tabs>
      <w:spacing w:before="360" w:after="120"/>
      <w:ind w:left="1627" w:hanging="360"/>
    </w:pPr>
    <w:rPr>
      <w:rFonts w:ascii="Lucida Sans" w:hAnsi="Lucida Sans"/>
      <w:bCs/>
      <w:kern w:val="28"/>
      <w:sz w:val="22"/>
      <w:szCs w:val="22"/>
    </w:rPr>
  </w:style>
  <w:style w:type="paragraph" w:customStyle="1" w:styleId="Table6X">
    <w:name w:val="Table 6.X"/>
    <w:basedOn w:val="Normal"/>
    <w:rsid w:val="00DD408A"/>
    <w:pPr>
      <w:widowControl w:val="0"/>
      <w:tabs>
        <w:tab w:val="left" w:pos="1232"/>
      </w:tabs>
      <w:spacing w:before="360" w:after="120"/>
    </w:pPr>
    <w:rPr>
      <w:rFonts w:ascii="Lucida Sans" w:hAnsi="Lucida Sans"/>
      <w:bCs/>
      <w:kern w:val="28"/>
      <w:sz w:val="22"/>
      <w:szCs w:val="22"/>
    </w:rPr>
  </w:style>
  <w:style w:type="paragraph" w:customStyle="1" w:styleId="Table6x0">
    <w:name w:val="Table 6.x"/>
    <w:basedOn w:val="TableDX"/>
    <w:qFormat/>
    <w:rsid w:val="00DD408A"/>
    <w:pPr>
      <w:numPr>
        <w:numId w:val="0"/>
      </w:numPr>
    </w:pPr>
  </w:style>
  <w:style w:type="paragraph" w:customStyle="1" w:styleId="TableB2X">
    <w:name w:val="Table B2.X"/>
    <w:basedOn w:val="TableHeading"/>
    <w:rsid w:val="00DD408A"/>
    <w:pPr>
      <w:keepNext w:val="0"/>
      <w:keepLines w:val="0"/>
      <w:widowControl w:val="0"/>
      <w:numPr>
        <w:numId w:val="30"/>
      </w:numPr>
      <w:tabs>
        <w:tab w:val="left" w:pos="1232"/>
      </w:tabs>
      <w:spacing w:before="360"/>
    </w:pPr>
    <w:rPr>
      <w:b w:val="0"/>
      <w:bCs/>
      <w:i/>
      <w:color w:val="57514D"/>
      <w:kern w:val="28"/>
      <w:sz w:val="20"/>
      <w:szCs w:val="22"/>
    </w:rPr>
  </w:style>
  <w:style w:type="paragraph" w:customStyle="1" w:styleId="TableFootnote">
    <w:name w:val="Table Footnote"/>
    <w:basedOn w:val="Normal"/>
    <w:link w:val="TableFootnoteChar"/>
    <w:rsid w:val="00DD408A"/>
    <w:pPr>
      <w:spacing w:before="60" w:after="60"/>
      <w:ind w:left="284"/>
    </w:pPr>
    <w:rPr>
      <w:rFonts w:ascii="Arial" w:hAnsi="Arial"/>
      <w:i/>
      <w:sz w:val="14"/>
    </w:rPr>
  </w:style>
  <w:style w:type="character" w:customStyle="1" w:styleId="TableFootnoteChar">
    <w:name w:val="Table Footnote Char"/>
    <w:link w:val="TableFootnote"/>
    <w:rsid w:val="00DD408A"/>
    <w:rPr>
      <w:rFonts w:ascii="Arial" w:eastAsia="Times New Roman" w:hAnsi="Arial" w:cs="Times New Roman"/>
      <w:i/>
      <w:sz w:val="14"/>
      <w:szCs w:val="20"/>
      <w:lang w:val="en-US"/>
    </w:rPr>
  </w:style>
  <w:style w:type="table" w:styleId="TableGrid">
    <w:name w:val="Table Grid"/>
    <w:basedOn w:val="TableNormal"/>
    <w:uiPriority w:val="39"/>
    <w:rsid w:val="00DD40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Cont">
    <w:name w:val="Table Heading Cont'"/>
    <w:basedOn w:val="TableHeading"/>
    <w:rsid w:val="00DD408A"/>
    <w:pPr>
      <w:numPr>
        <w:numId w:val="0"/>
      </w:numPr>
      <w:tabs>
        <w:tab w:val="left" w:pos="1418"/>
      </w:tabs>
    </w:pPr>
  </w:style>
  <w:style w:type="paragraph" w:customStyle="1" w:styleId="TableStubParagraph">
    <w:name w:val="Table Stub Paragraph"/>
    <w:basedOn w:val="Normal"/>
    <w:rsid w:val="00DD408A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x">
    <w:name w:val="Table x"/>
    <w:basedOn w:val="Table2X"/>
    <w:qFormat/>
    <w:rsid w:val="00DD408A"/>
    <w:pPr>
      <w:keepNext/>
      <w:keepLines/>
      <w:numPr>
        <w:numId w:val="31"/>
      </w:numPr>
    </w:pPr>
  </w:style>
  <w:style w:type="paragraph" w:customStyle="1" w:styleId="TestRightAlign">
    <w:name w:val="Test Right Align"/>
    <w:basedOn w:val="Normal"/>
    <w:autoRedefine/>
    <w:uiPriority w:val="99"/>
    <w:rsid w:val="00DD408A"/>
    <w:pPr>
      <w:widowControl w:val="0"/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autoSpaceDE w:val="0"/>
      <w:autoSpaceDN w:val="0"/>
      <w:spacing w:line="240" w:lineRule="exact"/>
    </w:pPr>
    <w:rPr>
      <w:rFonts w:ascii="Lucida Sans" w:eastAsia="MS Mincho" w:hAnsi="Lucida Sans" w:cs="Arial"/>
      <w:sz w:val="18"/>
      <w:lang w:val="en-AU" w:eastAsia="en-AU"/>
    </w:rPr>
  </w:style>
  <w:style w:type="paragraph" w:customStyle="1" w:styleId="Titel-status">
    <w:name w:val="Titel-status"/>
    <w:basedOn w:val="Normal"/>
    <w:autoRedefine/>
    <w:rsid w:val="00DD408A"/>
    <w:pPr>
      <w:widowControl w:val="0"/>
      <w:tabs>
        <w:tab w:val="right" w:pos="9639"/>
      </w:tabs>
      <w:autoSpaceDE w:val="0"/>
      <w:autoSpaceDN w:val="0"/>
      <w:spacing w:line="192" w:lineRule="auto"/>
      <w:jc w:val="both"/>
    </w:pPr>
    <w:rPr>
      <w:rFonts w:ascii="Arial Unicode MS" w:eastAsia="Arial Unicode MS" w:hAnsi="Arial Unicode MS" w:cs="Arial Unicode MS"/>
      <w:b/>
      <w:bCs/>
      <w:color w:val="00A1DE"/>
      <w:sz w:val="18"/>
      <w:szCs w:val="14"/>
      <w:lang w:val="en-AU" w:eastAsia="en-AU"/>
    </w:rPr>
  </w:style>
  <w:style w:type="paragraph" w:styleId="Title">
    <w:name w:val="Title"/>
    <w:basedOn w:val="Normal"/>
    <w:link w:val="TitleChar"/>
    <w:qFormat/>
    <w:rsid w:val="00DD408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rsid w:val="00DD408A"/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paragraph" w:customStyle="1" w:styleId="TitleinGreyBox">
    <w:name w:val="Title in Grey Box"/>
    <w:basedOn w:val="Normal"/>
    <w:qFormat/>
    <w:rsid w:val="00DD40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</w:pPr>
    <w:rPr>
      <w:rFonts w:ascii="Lucida Sans" w:eastAsia="Calibri" w:hAnsi="Lucida Sans"/>
      <w:b/>
      <w:sz w:val="24"/>
      <w:szCs w:val="24"/>
      <w:lang w:val="en-AU"/>
    </w:rPr>
  </w:style>
  <w:style w:type="paragraph" w:customStyle="1" w:styleId="Title-Total">
    <w:name w:val="Title-Total"/>
    <w:basedOn w:val="Normal"/>
    <w:autoRedefine/>
    <w:rsid w:val="00DD408A"/>
    <w:pPr>
      <w:widowControl w:val="0"/>
      <w:tabs>
        <w:tab w:val="left" w:pos="8101"/>
        <w:tab w:val="right" w:pos="9603"/>
      </w:tabs>
      <w:autoSpaceDE w:val="0"/>
      <w:autoSpaceDN w:val="0"/>
      <w:spacing w:before="60" w:after="60" w:line="180" w:lineRule="auto"/>
    </w:pPr>
    <w:rPr>
      <w:rFonts w:ascii="Arial Unicode MS" w:eastAsia="Arial Unicode MS" w:hAnsi="Arial Unicode MS" w:cs="Arial"/>
      <w:b/>
      <w:bCs/>
      <w:sz w:val="18"/>
      <w:szCs w:val="16"/>
      <w:lang w:val="en-AU" w:eastAsia="en-AU"/>
    </w:rPr>
  </w:style>
  <w:style w:type="paragraph" w:styleId="TOC1">
    <w:name w:val="toc 1"/>
    <w:basedOn w:val="Normal"/>
    <w:next w:val="Normal"/>
    <w:autoRedefine/>
    <w:uiPriority w:val="39"/>
    <w:rsid w:val="00DD408A"/>
    <w:pPr>
      <w:tabs>
        <w:tab w:val="right" w:leader="dot" w:pos="8539"/>
        <w:tab w:val="right" w:pos="9475"/>
      </w:tabs>
      <w:spacing w:before="360" w:after="120"/>
      <w:ind w:left="561" w:right="567" w:hanging="561"/>
    </w:pPr>
    <w:rPr>
      <w:rFonts w:ascii="Lucida Sans" w:hAnsi="Lucida Sans"/>
      <w:b/>
      <w:noProof/>
      <w:color w:val="000000"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DD408A"/>
    <w:pPr>
      <w:widowControl w:val="0"/>
      <w:tabs>
        <w:tab w:val="left" w:leader="dot" w:pos="8539"/>
        <w:tab w:val="right" w:pos="9475"/>
      </w:tabs>
      <w:spacing w:after="120"/>
      <w:ind w:left="1123" w:right="567" w:hanging="550"/>
    </w:pPr>
    <w:rPr>
      <w:rFonts w:ascii="Lucida Sans" w:hAnsi="Lucida Sans"/>
      <w:noProof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08A"/>
    <w:pPr>
      <w:keepLines/>
      <w:spacing w:before="480" w:after="0"/>
      <w:outlineLvl w:val="9"/>
    </w:pPr>
    <w:rPr>
      <w:rFonts w:ascii="Cambria" w:hAnsi="Cambria"/>
      <w:b/>
      <w:bCs/>
      <w:color w:val="365F91"/>
      <w:kern w:val="0"/>
      <w:szCs w:val="28"/>
      <w:lang w:val="en-US"/>
    </w:rPr>
  </w:style>
  <w:style w:type="paragraph" w:customStyle="1" w:styleId="TOC3">
    <w:name w:val="TOC3"/>
    <w:basedOn w:val="Normal"/>
    <w:rsid w:val="00DD408A"/>
    <w:pPr>
      <w:keepNext/>
      <w:keepLines/>
      <w:tabs>
        <w:tab w:val="left" w:pos="142"/>
        <w:tab w:val="right" w:leader="dot" w:pos="6096"/>
        <w:tab w:val="decimal" w:pos="6379"/>
        <w:tab w:val="decimal" w:pos="7371"/>
      </w:tabs>
      <w:spacing w:before="600" w:after="120"/>
      <w:ind w:left="142" w:hanging="142"/>
    </w:pPr>
    <w:rPr>
      <w:rFonts w:ascii="Arial" w:hAnsi="Arial"/>
      <w:b/>
      <w:smallCaps/>
      <w:kern w:val="32"/>
      <w:sz w:val="22"/>
      <w:lang w:val="en-AU"/>
    </w:rPr>
  </w:style>
  <w:style w:type="paragraph" w:customStyle="1" w:styleId="TotalsLine">
    <w:name w:val="Totals Line"/>
    <w:basedOn w:val="Normal"/>
    <w:autoRedefine/>
    <w:uiPriority w:val="99"/>
    <w:rsid w:val="00DD408A"/>
    <w:pPr>
      <w:tabs>
        <w:tab w:val="right" w:pos="9054"/>
      </w:tabs>
      <w:autoSpaceDE w:val="0"/>
      <w:autoSpaceDN w:val="0"/>
    </w:pPr>
    <w:rPr>
      <w:rFonts w:ascii="Lucida Sans" w:eastAsia="MS Mincho" w:hAnsi="Lucida Sans" w:cs="Arial"/>
      <w:b/>
      <w:strike/>
      <w:sz w:val="18"/>
      <w:lang w:val="en-AU" w:eastAsia="en-AU"/>
    </w:rPr>
  </w:style>
  <w:style w:type="paragraph" w:customStyle="1" w:styleId="TotalsLine2">
    <w:name w:val="Totals Line 2"/>
    <w:basedOn w:val="Normal"/>
    <w:autoRedefine/>
    <w:uiPriority w:val="99"/>
    <w:rsid w:val="00DD408A"/>
    <w:pPr>
      <w:framePr w:w="3175" w:h="11" w:hRule="exact" w:hSpace="181" w:wrap="around" w:vAnchor="text" w:hAnchor="page" w:x="7235" w:y="63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eastAsia="MS Mincho" w:hAnsi="Arial" w:cs="Arial"/>
      <w:lang w:val="en-AU" w:eastAsia="en-AU"/>
    </w:rPr>
  </w:style>
  <w:style w:type="character" w:customStyle="1" w:styleId="Underline">
    <w:name w:val="Underline"/>
    <w:uiPriority w:val="99"/>
    <w:rsid w:val="00DD408A"/>
    <w:rPr>
      <w:u w:val="single"/>
    </w:rPr>
  </w:style>
  <w:style w:type="paragraph" w:styleId="Revision">
    <w:name w:val="Revision"/>
    <w:hidden/>
    <w:uiPriority w:val="99"/>
    <w:semiHidden/>
    <w:rsid w:val="0093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msonormal">
    <w:name w:val="x_msonormal"/>
    <w:basedOn w:val="Normal"/>
    <w:rsid w:val="00E820CB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xmsobodytext">
    <w:name w:val="x_msobodytext"/>
    <w:basedOn w:val="Normal"/>
    <w:rsid w:val="00E820CB"/>
    <w:rPr>
      <w:rFonts w:ascii="Calibri" w:eastAsiaTheme="minorHAnsi" w:hAnsi="Calibri" w:cs="Calibri"/>
      <w:sz w:val="22"/>
      <w:szCs w:val="22"/>
      <w:lang w:val="en-AU" w:eastAsia="en-AU"/>
    </w:rPr>
  </w:style>
  <w:style w:type="character" w:customStyle="1" w:styleId="xmsofootnotereference">
    <w:name w:val="x_msofootnotereference"/>
    <w:basedOn w:val="DefaultParagraphFont"/>
    <w:rsid w:val="00E8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0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608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8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79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86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35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527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96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058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1" ma:contentTypeDescription="Create a new document." ma:contentTypeScope="" ma:versionID="09dc3bd8f1f17fedb8a1949fc26bace1">
  <xsd:schema xmlns:xsd="http://www.w3.org/2001/XMLSchema" xmlns:xs="http://www.w3.org/2001/XMLSchema" xmlns:p="http://schemas.microsoft.com/office/2006/metadata/properties" xmlns:ns2="801a5968-9419-4033-b9de-7ffe8168468e" xmlns:ns3="1c478e85-8130-4c67-8ee4-8bdf1c0e6049" targetNamespace="http://schemas.microsoft.com/office/2006/metadata/properties" ma:root="true" ma:fieldsID="b368971463d79661f3ec0885fa2b6f01" ns2:_="" ns3:_="">
    <xsd:import namespace="801a5968-9419-4033-b9de-7ffe8168468e"/>
    <xsd:import namespace="1c478e85-8130-4c67-8ee4-8bdf1c0e60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3038-D07C-49B1-9F5C-2381C38ACCAF}">
  <ds:schemaRefs>
    <ds:schemaRef ds:uri="801a5968-9419-4033-b9de-7ffe8168468e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c478e85-8130-4c67-8ee4-8bdf1c0e604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4B3F34-D772-4415-AC4E-ED1500A01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CF60E-FB3D-42F0-902E-6D7E034BC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B0DC3-47A9-436E-8564-88C842A8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Budget Paper No. 1 - Budget Statement - Appendix - Performance and Reporting under the Fiscal Responsibility Act 2012</vt:lpstr>
    </vt:vector>
  </TitlesOfParts>
  <Company>ServiceFirst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Budget Paper No. 1 - Budget Statement - Appendix E - Performance and Reporting under the Fiscal Responsibility Act 2012</dc:title>
  <dc:creator>The Treasury</dc:creator>
  <cp:lastModifiedBy>Eliza Souter</cp:lastModifiedBy>
  <cp:revision>476</cp:revision>
  <cp:lastPrinted>2019-06-14T17:03:00Z</cp:lastPrinted>
  <dcterms:created xsi:type="dcterms:W3CDTF">2018-05-25T00:28:00Z</dcterms:created>
  <dcterms:modified xsi:type="dcterms:W3CDTF">2019-06-16T01:05:00Z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</Properties>
</file>