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charts/chart4.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5.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0DA84" w14:textId="3C75BD1B" w:rsidR="00BC5471" w:rsidRPr="004632E3" w:rsidRDefault="00EC079F" w:rsidP="00611BB0">
      <w:pPr>
        <w:pStyle w:val="Heading1"/>
        <w:tabs>
          <w:tab w:val="clear" w:pos="567"/>
          <w:tab w:val="left" w:pos="709"/>
        </w:tabs>
        <w:spacing w:before="480" w:after="480"/>
        <w:ind w:left="709" w:hanging="709"/>
      </w:pPr>
      <w:r>
        <w:t>F</w:t>
      </w:r>
      <w:r w:rsidR="00DD408A">
        <w:t xml:space="preserve">. </w:t>
      </w:r>
      <w:r w:rsidR="0053757D" w:rsidRPr="00C04562">
        <w:tab/>
      </w:r>
      <w:r w:rsidR="00260979">
        <w:t>Economic Scenario analysis</w:t>
      </w:r>
    </w:p>
    <w:p w14:paraId="094D4C06" w14:textId="2D29C66A" w:rsidR="000E619B" w:rsidRDefault="000E619B" w:rsidP="000E619B">
      <w:pPr>
        <w:pStyle w:val="BodyText"/>
      </w:pPr>
      <w:r>
        <w:t xml:space="preserve">The 2019-20 Budget relies on forecasts and </w:t>
      </w:r>
      <w:r w:rsidR="00256073">
        <w:t>judgements</w:t>
      </w:r>
      <w:r>
        <w:t xml:space="preserve"> </w:t>
      </w:r>
      <w:r w:rsidR="00CD1224">
        <w:t>about the</w:t>
      </w:r>
      <w:r w:rsidR="00920254">
        <w:t xml:space="preserve"> future of</w:t>
      </w:r>
      <w:r w:rsidR="00CD1224">
        <w:t xml:space="preserve"> </w:t>
      </w:r>
      <w:r w:rsidR="002917B8">
        <w:t xml:space="preserve">the </w:t>
      </w:r>
      <w:r w:rsidR="00CD1224">
        <w:t>economy</w:t>
      </w:r>
      <w:r w:rsidR="002F6652">
        <w:t xml:space="preserve">, based on information </w:t>
      </w:r>
      <w:r w:rsidR="006D34D8">
        <w:t>available at the time of preparation</w:t>
      </w:r>
      <w:r w:rsidR="00CD1224">
        <w:t xml:space="preserve">. These forecasts </w:t>
      </w:r>
      <w:r w:rsidR="008E709B">
        <w:t>are subject to</w:t>
      </w:r>
      <w:r w:rsidR="00920254">
        <w:t xml:space="preserve"> some inherent uncertaint</w:t>
      </w:r>
      <w:r w:rsidR="008E709B">
        <w:t>ies</w:t>
      </w:r>
      <w:r w:rsidR="00920254">
        <w:t xml:space="preserve"> </w:t>
      </w:r>
      <w:r w:rsidR="00FC66C1">
        <w:t xml:space="preserve">such as </w:t>
      </w:r>
      <w:r w:rsidR="00560AF3">
        <w:t xml:space="preserve">changes in </w:t>
      </w:r>
      <w:r w:rsidR="004E4949">
        <w:t>behaviours</w:t>
      </w:r>
      <w:r w:rsidR="00E22EBA">
        <w:t xml:space="preserve">, </w:t>
      </w:r>
      <w:r w:rsidR="00C46671">
        <w:t>evolving</w:t>
      </w:r>
      <w:r w:rsidR="00E22EBA">
        <w:t xml:space="preserve"> relationships between variables</w:t>
      </w:r>
      <w:r w:rsidR="00560AF3">
        <w:t xml:space="preserve"> a</w:t>
      </w:r>
      <w:r w:rsidR="00310E7D">
        <w:t>n</w:t>
      </w:r>
      <w:r w:rsidR="00560AF3">
        <w:t xml:space="preserve">d </w:t>
      </w:r>
      <w:r w:rsidR="004E4949">
        <w:t>unexpected events</w:t>
      </w:r>
      <w:r w:rsidR="00E22EBA">
        <w:t xml:space="preserve"> or </w:t>
      </w:r>
      <w:r w:rsidR="004E4949">
        <w:t>shocks</w:t>
      </w:r>
      <w:r w:rsidR="00560AF3">
        <w:t xml:space="preserve">. </w:t>
      </w:r>
    </w:p>
    <w:p w14:paraId="3028D9A6" w14:textId="5AB4C1AF" w:rsidR="004E1F0F" w:rsidRDefault="004E1F0F" w:rsidP="000E619B">
      <w:pPr>
        <w:pStyle w:val="BodyText"/>
      </w:pPr>
      <w:r>
        <w:t xml:space="preserve">This appendix explores the impact of variations </w:t>
      </w:r>
      <w:r w:rsidR="0012231C">
        <w:t xml:space="preserve">in </w:t>
      </w:r>
      <w:r w:rsidR="0030252D">
        <w:t xml:space="preserve">some </w:t>
      </w:r>
      <w:r w:rsidR="0012231C">
        <w:t>key economic parameters</w:t>
      </w:r>
      <w:r w:rsidR="0030252D">
        <w:t xml:space="preserve"> </w:t>
      </w:r>
      <w:r>
        <w:t xml:space="preserve">on </w:t>
      </w:r>
      <w:r w:rsidR="002A6CC2">
        <w:t>other areas of the economy</w:t>
      </w:r>
      <w:r w:rsidR="007906E7">
        <w:t xml:space="preserve">, </w:t>
      </w:r>
      <w:r w:rsidR="00161FAF">
        <w:t>the overall</w:t>
      </w:r>
      <w:r w:rsidR="00C155F1">
        <w:t xml:space="preserve"> macroeconomic outlook</w:t>
      </w:r>
      <w:r w:rsidR="007906E7">
        <w:t xml:space="preserve"> </w:t>
      </w:r>
      <w:r w:rsidR="008E7A0E">
        <w:t>and</w:t>
      </w:r>
      <w:r w:rsidR="007906E7">
        <w:t xml:space="preserve"> </w:t>
      </w:r>
      <w:r w:rsidR="008E7A0E">
        <w:t xml:space="preserve">general government </w:t>
      </w:r>
      <w:r w:rsidR="007906E7">
        <w:t xml:space="preserve">tax </w:t>
      </w:r>
      <w:r w:rsidR="008E7A0E">
        <w:t>revenues.</w:t>
      </w:r>
      <w:r w:rsidR="007906E7">
        <w:t xml:space="preserve"> This </w:t>
      </w:r>
      <w:r w:rsidR="00266C00">
        <w:t xml:space="preserve">is intended to </w:t>
      </w:r>
      <w:r w:rsidR="00EA58E7">
        <w:t xml:space="preserve">provide </w:t>
      </w:r>
      <w:r w:rsidR="00A952AD">
        <w:t xml:space="preserve">a greater </w:t>
      </w:r>
      <w:r w:rsidR="00266C00">
        <w:t xml:space="preserve">insight </w:t>
      </w:r>
      <w:r w:rsidR="00EA58E7">
        <w:t>into the interdependencies within our complex economy</w:t>
      </w:r>
      <w:r w:rsidR="00A952AD">
        <w:t xml:space="preserve">, that a partial sensitivity </w:t>
      </w:r>
      <w:r w:rsidR="00C46671">
        <w:t xml:space="preserve">analysis </w:t>
      </w:r>
      <w:r w:rsidR="00A952AD">
        <w:t xml:space="preserve">does not capture. </w:t>
      </w:r>
      <w:r w:rsidR="00266C00">
        <w:t xml:space="preserve"> </w:t>
      </w:r>
      <w:r w:rsidR="008E7A0E">
        <w:t xml:space="preserve"> </w:t>
      </w:r>
    </w:p>
    <w:p w14:paraId="5CB02867" w14:textId="2AE88C2E" w:rsidR="00313A61" w:rsidRDefault="00313A61" w:rsidP="000E619B">
      <w:pPr>
        <w:pStyle w:val="BodyText"/>
      </w:pPr>
      <w:r>
        <w:t xml:space="preserve">These scenarios were selected to cover </w:t>
      </w:r>
      <w:r w:rsidR="00396982">
        <w:t>plausible</w:t>
      </w:r>
      <w:r>
        <w:t xml:space="preserve"> </w:t>
      </w:r>
      <w:r w:rsidR="00D34E0C">
        <w:t xml:space="preserve">economic </w:t>
      </w:r>
      <w:r w:rsidR="00724FA2">
        <w:t>events</w:t>
      </w:r>
      <w:r>
        <w:t xml:space="preserve"> that could affect New South Wales over the </w:t>
      </w:r>
      <w:r w:rsidR="00396982">
        <w:t>forecast horizon. T</w:t>
      </w:r>
      <w:r>
        <w:t xml:space="preserve">he modelling takes account of linkages between key international, Australian and </w:t>
      </w:r>
      <w:r w:rsidR="00DB12B7">
        <w:t>New South Wales</w:t>
      </w:r>
      <w:r>
        <w:t xml:space="preserve"> economic aggregates</w:t>
      </w:r>
      <w:r w:rsidR="00C23572">
        <w:t xml:space="preserve">, </w:t>
      </w:r>
      <w:r w:rsidR="00295B01">
        <w:t>but</w:t>
      </w:r>
      <w:r w:rsidR="00C23572">
        <w:t xml:space="preserve"> does</w:t>
      </w:r>
      <w:r w:rsidR="00CB476C">
        <w:t xml:space="preserve"> no</w:t>
      </w:r>
      <w:r w:rsidR="00C23572">
        <w:t>t</w:t>
      </w:r>
      <w:r w:rsidR="00290B09">
        <w:t xml:space="preserve"> account </w:t>
      </w:r>
      <w:r w:rsidR="00C23572">
        <w:t xml:space="preserve">for any monetary policy </w:t>
      </w:r>
      <w:r w:rsidR="00D41651">
        <w:t xml:space="preserve">or fiscal policy </w:t>
      </w:r>
      <w:r w:rsidR="00C23572">
        <w:t>response</w:t>
      </w:r>
      <w:r w:rsidR="00C23572" w:rsidRPr="00C23572">
        <w:t>.</w:t>
      </w:r>
    </w:p>
    <w:p w14:paraId="179C1967" w14:textId="319FE522" w:rsidR="000E619B" w:rsidRDefault="00FD1BC0" w:rsidP="000E619B">
      <w:pPr>
        <w:pStyle w:val="BodyText"/>
      </w:pPr>
      <w:r w:rsidRPr="00CA420B">
        <w:rPr>
          <w:lang w:val="en-US"/>
        </w:rPr>
        <w:t xml:space="preserve">The summary of </w:t>
      </w:r>
      <w:r w:rsidR="004649D0">
        <w:rPr>
          <w:lang w:val="en-US"/>
        </w:rPr>
        <w:t xml:space="preserve">the results </w:t>
      </w:r>
      <w:r w:rsidRPr="00CA420B">
        <w:rPr>
          <w:lang w:val="en-US"/>
        </w:rPr>
        <w:t xml:space="preserve">should be </w:t>
      </w:r>
      <w:r w:rsidR="00AD79B7">
        <w:rPr>
          <w:lang w:val="en-US"/>
        </w:rPr>
        <w:t xml:space="preserve">interpreted with care </w:t>
      </w:r>
      <w:r w:rsidR="006D34D8">
        <w:rPr>
          <w:lang w:val="en-US"/>
        </w:rPr>
        <w:t xml:space="preserve">as </w:t>
      </w:r>
      <w:r w:rsidR="004D637D">
        <w:t>economic</w:t>
      </w:r>
      <w:r w:rsidR="00AD79B7">
        <w:t xml:space="preserve"> </w:t>
      </w:r>
      <w:r w:rsidR="00A952AD">
        <w:t xml:space="preserve">events </w:t>
      </w:r>
      <w:r w:rsidR="00AD79B7">
        <w:t xml:space="preserve">tend to be </w:t>
      </w:r>
      <w:r w:rsidR="003349BD">
        <w:t>unique</w:t>
      </w:r>
      <w:r w:rsidR="00AD79B7">
        <w:t xml:space="preserve"> in nature, with the scenarios </w:t>
      </w:r>
      <w:r w:rsidR="003349BD">
        <w:t xml:space="preserve">presented in this appendix </w:t>
      </w:r>
      <w:r w:rsidR="00AD79B7">
        <w:t>unlikely to completely reflect any future</w:t>
      </w:r>
      <w:r w:rsidR="007B177B">
        <w:t xml:space="preserve"> shock</w:t>
      </w:r>
      <w:r w:rsidR="00AD79B7">
        <w:t xml:space="preserve"> </w:t>
      </w:r>
      <w:r w:rsidR="00D70D3F">
        <w:t>on the State economy</w:t>
      </w:r>
      <w:r w:rsidR="00AD79B7">
        <w:t xml:space="preserve">. </w:t>
      </w:r>
      <w:r w:rsidR="00D70D3F">
        <w:t xml:space="preserve">Any departures from the specified </w:t>
      </w:r>
      <w:r w:rsidR="00AD79B7">
        <w:t>scenario</w:t>
      </w:r>
      <w:r w:rsidR="00D70D3F">
        <w:t xml:space="preserve"> would </w:t>
      </w:r>
      <w:r w:rsidR="00AD79B7">
        <w:t xml:space="preserve">result in different impacts on the </w:t>
      </w:r>
      <w:r w:rsidR="00D70D3F">
        <w:t>economic and revenue</w:t>
      </w:r>
      <w:r w:rsidR="00C8536B">
        <w:t xml:space="preserve"> outlook</w:t>
      </w:r>
      <w:r w:rsidR="00AD79B7">
        <w:t>.</w:t>
      </w:r>
    </w:p>
    <w:p w14:paraId="132B8C93" w14:textId="4258849B" w:rsidR="001D0A45" w:rsidRPr="00FE0702" w:rsidRDefault="00C76426" w:rsidP="00A5618F">
      <w:pPr>
        <w:pStyle w:val="Heading2"/>
      </w:pPr>
      <w:r>
        <w:t>Impact of</w:t>
      </w:r>
      <w:r w:rsidR="004C3963">
        <w:t xml:space="preserve"> variations in </w:t>
      </w:r>
      <w:r w:rsidR="009621A9">
        <w:t>key forecast assumptions</w:t>
      </w:r>
    </w:p>
    <w:p w14:paraId="4A893183" w14:textId="408CBC2E" w:rsidR="00605B55" w:rsidRDefault="00594E73" w:rsidP="005F787D">
      <w:pPr>
        <w:pStyle w:val="BodyText"/>
      </w:pPr>
      <w:r>
        <w:t xml:space="preserve">This scenario analysis is intended to compliment the </w:t>
      </w:r>
      <w:r w:rsidR="00700E7B">
        <w:t xml:space="preserve">central </w:t>
      </w:r>
      <w:r w:rsidR="00CC112F">
        <w:t xml:space="preserve">economic outlook as presented in Chapter </w:t>
      </w:r>
      <w:r w:rsidR="00155905">
        <w:t>2</w:t>
      </w:r>
      <w:r w:rsidR="00700E7B">
        <w:t xml:space="preserve"> by quantifying some of the</w:t>
      </w:r>
      <w:r w:rsidR="00605B55">
        <w:t xml:space="preserve"> key</w:t>
      </w:r>
      <w:r w:rsidR="00700E7B">
        <w:t xml:space="preserve"> risks</w:t>
      </w:r>
      <w:r w:rsidR="00605B55">
        <w:t xml:space="preserve"> to the overall narrative</w:t>
      </w:r>
      <w:r w:rsidR="00700E7B">
        <w:t>.</w:t>
      </w:r>
      <w:r w:rsidR="00330C3B">
        <w:t xml:space="preserve"> </w:t>
      </w:r>
      <w:r w:rsidR="00605B55">
        <w:t>Two scenarios were considered</w:t>
      </w:r>
      <w:r w:rsidR="007E3F38">
        <w:t xml:space="preserve">: a positive shock to </w:t>
      </w:r>
      <w:r w:rsidR="00C96223">
        <w:t xml:space="preserve">the NSW </w:t>
      </w:r>
      <w:r w:rsidR="00444DEB">
        <w:t>workforce</w:t>
      </w:r>
      <w:r w:rsidR="00C96223">
        <w:t xml:space="preserve"> participation rate; and a negative </w:t>
      </w:r>
      <w:r w:rsidR="00D2709C">
        <w:t xml:space="preserve">shock to </w:t>
      </w:r>
      <w:r w:rsidR="00827CD6">
        <w:t>house prices, where NSW prices fall slightly more than the rest of Australia</w:t>
      </w:r>
      <w:r w:rsidR="00C42D23">
        <w:t>.</w:t>
      </w:r>
    </w:p>
    <w:p w14:paraId="6A601A35" w14:textId="62E874CC" w:rsidR="003D0F97" w:rsidRDefault="00C42D23" w:rsidP="005F787D">
      <w:pPr>
        <w:pStyle w:val="BodyText"/>
      </w:pPr>
      <w:r>
        <w:t>The economic</w:t>
      </w:r>
      <w:r w:rsidR="001E0DF6">
        <w:t xml:space="preserve"> and revenue</w:t>
      </w:r>
      <w:r>
        <w:t xml:space="preserve"> impact of these scenarios </w:t>
      </w:r>
      <w:r w:rsidR="004D637D">
        <w:t>was</w:t>
      </w:r>
      <w:r>
        <w:t xml:space="preserve"> modelled </w:t>
      </w:r>
      <w:r w:rsidR="0090561E">
        <w:t>using</w:t>
      </w:r>
      <w:r w:rsidR="00F154A1">
        <w:t xml:space="preserve"> the</w:t>
      </w:r>
      <w:r w:rsidR="0090561E">
        <w:t xml:space="preserve"> </w:t>
      </w:r>
      <w:r w:rsidR="00E0332C">
        <w:t xml:space="preserve">Centre of Policy </w:t>
      </w:r>
      <w:r w:rsidR="008F7F26">
        <w:t>Studies (C</w:t>
      </w:r>
      <w:r w:rsidR="0056148F">
        <w:t>o</w:t>
      </w:r>
      <w:r w:rsidR="008F7F26">
        <w:t xml:space="preserve">PS) </w:t>
      </w:r>
      <w:r w:rsidR="0090561E">
        <w:t xml:space="preserve">Victoria University Regional Model </w:t>
      </w:r>
      <w:r w:rsidR="007F4AF8">
        <w:t xml:space="preserve">Tax </w:t>
      </w:r>
      <w:r w:rsidR="0090561E">
        <w:t>(VURM</w:t>
      </w:r>
      <w:r w:rsidR="008F430E">
        <w:t>TAX</w:t>
      </w:r>
      <w:r w:rsidR="0090561E">
        <w:t>)</w:t>
      </w:r>
      <w:r w:rsidR="00A22B4B">
        <w:rPr>
          <w:rStyle w:val="FootnoteReference"/>
        </w:rPr>
        <w:footnoteReference w:id="2"/>
      </w:r>
      <w:r w:rsidR="00A952AD">
        <w:t xml:space="preserve"> and presented as a deviation from baseline</w:t>
      </w:r>
      <w:r w:rsidR="00A22B4B">
        <w:t>.</w:t>
      </w:r>
    </w:p>
    <w:p w14:paraId="08BCA1E5" w14:textId="5DA8074D" w:rsidR="001D0A45" w:rsidRDefault="00EF4C5E" w:rsidP="004767EC">
      <w:pPr>
        <w:pStyle w:val="Heading3"/>
        <w:spacing w:before="220"/>
      </w:pPr>
      <w:r>
        <w:t xml:space="preserve">Higher </w:t>
      </w:r>
      <w:r w:rsidR="00A952AD">
        <w:t>workforce</w:t>
      </w:r>
      <w:r>
        <w:t xml:space="preserve"> participation rate</w:t>
      </w:r>
    </w:p>
    <w:p w14:paraId="1427732F" w14:textId="467E3DCB" w:rsidR="00EA75ED" w:rsidRDefault="000F14B0" w:rsidP="00EF4C5E">
      <w:pPr>
        <w:pStyle w:val="BodyText"/>
      </w:pPr>
      <w:r>
        <w:t xml:space="preserve">The </w:t>
      </w:r>
      <w:r w:rsidR="000341A4">
        <w:t>N</w:t>
      </w:r>
      <w:r w:rsidR="00571AD8">
        <w:t xml:space="preserve">ew </w:t>
      </w:r>
      <w:r w:rsidR="000341A4">
        <w:t>S</w:t>
      </w:r>
      <w:r w:rsidR="00571AD8">
        <w:t xml:space="preserve">outh </w:t>
      </w:r>
      <w:r w:rsidR="000341A4">
        <w:t>W</w:t>
      </w:r>
      <w:r w:rsidR="00571AD8">
        <w:t>ales</w:t>
      </w:r>
      <w:r>
        <w:t xml:space="preserve"> </w:t>
      </w:r>
      <w:r w:rsidR="00C57A06">
        <w:t xml:space="preserve">workforce </w:t>
      </w:r>
      <w:r>
        <w:t xml:space="preserve">participation rate has outperformed expectations over the last </w:t>
      </w:r>
      <w:r w:rsidR="0093596E">
        <w:t xml:space="preserve">few years. </w:t>
      </w:r>
      <w:r w:rsidR="00C57A06">
        <w:t>It has s</w:t>
      </w:r>
      <w:r w:rsidR="00C62A98">
        <w:t>urpass</w:t>
      </w:r>
      <w:r w:rsidR="00C57A06">
        <w:t>ed</w:t>
      </w:r>
      <w:r w:rsidR="00834F83">
        <w:t xml:space="preserve"> </w:t>
      </w:r>
      <w:r w:rsidR="00C62A98">
        <w:t xml:space="preserve">the </w:t>
      </w:r>
      <w:r w:rsidR="004949CE">
        <w:t xml:space="preserve">long run </w:t>
      </w:r>
      <w:r w:rsidR="00C62A98">
        <w:t xml:space="preserve">equilibrium participation rate modelled in </w:t>
      </w:r>
      <w:r w:rsidR="00666076">
        <w:t>the</w:t>
      </w:r>
      <w:r w:rsidR="00C62A98">
        <w:t xml:space="preserve"> </w:t>
      </w:r>
      <w:r w:rsidR="00C62A98" w:rsidRPr="002864DC">
        <w:t>2016</w:t>
      </w:r>
      <w:r w:rsidR="00C62A98">
        <w:t xml:space="preserve"> Intergeneration</w:t>
      </w:r>
      <w:r w:rsidR="004B590A">
        <w:t>al</w:t>
      </w:r>
      <w:r w:rsidR="00C62A98">
        <w:t xml:space="preserve"> </w:t>
      </w:r>
      <w:r w:rsidR="009E0DAD">
        <w:t>R</w:t>
      </w:r>
      <w:r w:rsidR="00C62A98">
        <w:t xml:space="preserve">eport </w:t>
      </w:r>
      <w:r w:rsidR="004B590A">
        <w:t>(IGR)</w:t>
      </w:r>
      <w:r w:rsidR="00073586">
        <w:t>,</w:t>
      </w:r>
      <w:r w:rsidR="003436D3">
        <w:t xml:space="preserve"> reaching a</w:t>
      </w:r>
      <w:r w:rsidR="00325DD9">
        <w:t xml:space="preserve"> new</w:t>
      </w:r>
      <w:r w:rsidR="003436D3">
        <w:t xml:space="preserve"> record high of 6</w:t>
      </w:r>
      <w:r w:rsidR="000557B4">
        <w:t>6</w:t>
      </w:r>
      <w:r w:rsidR="003436D3">
        <w:t>.</w:t>
      </w:r>
      <w:r w:rsidR="000557B4">
        <w:t>2</w:t>
      </w:r>
      <w:r w:rsidR="003436D3">
        <w:t xml:space="preserve"> per cent in </w:t>
      </w:r>
      <w:r w:rsidR="000557B4">
        <w:t xml:space="preserve">May </w:t>
      </w:r>
      <w:r w:rsidR="00325DD9">
        <w:t>2019</w:t>
      </w:r>
      <w:r w:rsidR="009D4459">
        <w:t xml:space="preserve"> (see</w:t>
      </w:r>
      <w:r w:rsidR="006A75BE">
        <w:t> </w:t>
      </w:r>
      <w:r w:rsidR="009D4459">
        <w:t xml:space="preserve">Chart </w:t>
      </w:r>
      <w:r w:rsidR="008B4FCE">
        <w:t>F.</w:t>
      </w:r>
      <w:r w:rsidR="009D4459">
        <w:t>1)</w:t>
      </w:r>
      <w:r w:rsidR="00EA75ED">
        <w:t xml:space="preserve">. </w:t>
      </w:r>
    </w:p>
    <w:p w14:paraId="3A582BA8" w14:textId="7FF39C0A" w:rsidR="00FA12AF" w:rsidRDefault="007812D0" w:rsidP="00EF4C5E">
      <w:pPr>
        <w:pStyle w:val="BodyText"/>
      </w:pPr>
      <w:r w:rsidDel="001E0DF6">
        <w:t xml:space="preserve">Much of this increase can be put down to strong labour market conditions </w:t>
      </w:r>
      <w:r w:rsidRPr="0093596E" w:rsidDel="001E0DF6">
        <w:t xml:space="preserve">encouraging </w:t>
      </w:r>
      <w:r w:rsidDel="001E0DF6">
        <w:t xml:space="preserve">new </w:t>
      </w:r>
      <w:r w:rsidRPr="0093596E" w:rsidDel="001E0DF6">
        <w:t xml:space="preserve">entrants into the labour force, </w:t>
      </w:r>
      <w:r w:rsidDel="001E0DF6">
        <w:t xml:space="preserve">especially </w:t>
      </w:r>
      <w:r w:rsidRPr="0093596E" w:rsidDel="001E0DF6">
        <w:t>women.</w:t>
      </w:r>
      <w:r w:rsidDel="001E0DF6">
        <w:t xml:space="preserve"> </w:t>
      </w:r>
      <w:r w:rsidR="00007C5F">
        <w:t>Alt</w:t>
      </w:r>
      <w:r>
        <w:t>hough t</w:t>
      </w:r>
      <w:r w:rsidR="004237E8">
        <w:t xml:space="preserve">he rise in </w:t>
      </w:r>
      <w:r w:rsidR="00007C5F">
        <w:t xml:space="preserve">the </w:t>
      </w:r>
      <w:r w:rsidR="004237E8">
        <w:t>participation rate</w:t>
      </w:r>
      <w:r>
        <w:t xml:space="preserve"> has been</w:t>
      </w:r>
      <w:r w:rsidR="004237E8">
        <w:t xml:space="preserve"> greater than cyclical drivers and higher migration</w:t>
      </w:r>
      <w:r w:rsidR="00AD0BF4">
        <w:t xml:space="preserve"> would suggest</w:t>
      </w:r>
      <w:r w:rsidR="004237E8">
        <w:t xml:space="preserve">. </w:t>
      </w:r>
      <w:r w:rsidR="008A3512">
        <w:t>This means</w:t>
      </w:r>
      <w:r w:rsidR="00AD0BF4">
        <w:t xml:space="preserve"> </w:t>
      </w:r>
      <w:r w:rsidR="004237E8">
        <w:t xml:space="preserve">there has likely been a change to underlying </w:t>
      </w:r>
      <w:r w:rsidR="004949CE">
        <w:t>long</w:t>
      </w:r>
      <w:r w:rsidR="00381CD8">
        <w:t>-</w:t>
      </w:r>
      <w:r w:rsidR="004949CE">
        <w:t xml:space="preserve">run </w:t>
      </w:r>
      <w:r w:rsidR="004237E8">
        <w:t>structural drivers of workforce participation</w:t>
      </w:r>
      <w:r w:rsidR="006B3631">
        <w:t>. I</w:t>
      </w:r>
      <w:r w:rsidR="004237E8">
        <w:t>t is unclear</w:t>
      </w:r>
      <w:r w:rsidR="006B3631">
        <w:t>, however,</w:t>
      </w:r>
      <w:r w:rsidR="004237E8">
        <w:t xml:space="preserve"> what has driven this and how much is structural </w:t>
      </w:r>
      <w:r w:rsidR="00581AAC">
        <w:t>and long lasting</w:t>
      </w:r>
      <w:r w:rsidR="004237E8">
        <w:t>.</w:t>
      </w:r>
      <w:r w:rsidR="00AD0BF4">
        <w:t xml:space="preserve"> </w:t>
      </w:r>
    </w:p>
    <w:p w14:paraId="0B743090" w14:textId="488DD49B" w:rsidR="00BF6DA4" w:rsidRDefault="00F62BD7" w:rsidP="00EF4C5E">
      <w:pPr>
        <w:pStyle w:val="BodyText"/>
        <w:rPr>
          <w:highlight w:val="yellow"/>
        </w:rPr>
      </w:pPr>
      <w:r>
        <w:t>Nevertheless</w:t>
      </w:r>
      <w:r w:rsidR="00C83D0A">
        <w:t>,</w:t>
      </w:r>
      <w:r>
        <w:t xml:space="preserve"> c</w:t>
      </w:r>
      <w:r w:rsidR="00FE189C">
        <w:t xml:space="preserve">urrent forecasts assume that </w:t>
      </w:r>
      <w:r w:rsidR="00833F86">
        <w:t>much</w:t>
      </w:r>
      <w:r w:rsidR="006131FD">
        <w:t xml:space="preserve"> </w:t>
      </w:r>
      <w:r w:rsidR="00012C31">
        <w:t xml:space="preserve">of the </w:t>
      </w:r>
      <w:r w:rsidR="00AA517D">
        <w:t xml:space="preserve">recent </w:t>
      </w:r>
      <w:r w:rsidR="00012C31">
        <w:t>increase in the participation rate is cyclical</w:t>
      </w:r>
      <w:r w:rsidR="00833F86">
        <w:t xml:space="preserve"> </w:t>
      </w:r>
      <w:r w:rsidR="00012C31">
        <w:t>in nature</w:t>
      </w:r>
      <w:r w:rsidR="003C5754">
        <w:t xml:space="preserve"> </w:t>
      </w:r>
      <w:r w:rsidR="00012C31">
        <w:t xml:space="preserve">and will </w:t>
      </w:r>
      <w:r w:rsidR="00AA517D">
        <w:t xml:space="preserve">partially </w:t>
      </w:r>
      <w:r w:rsidR="00012C31">
        <w:t>diminish over the forecast horizon</w:t>
      </w:r>
      <w:r w:rsidR="007E3C05">
        <w:t>.</w:t>
      </w:r>
      <w:r w:rsidR="006F0353">
        <w:t xml:space="preserve"> </w:t>
      </w:r>
      <w:r w:rsidR="00CF497B">
        <w:t xml:space="preserve">It is possible, however, that </w:t>
      </w:r>
      <w:r w:rsidR="007226B0">
        <w:t>this assumption</w:t>
      </w:r>
      <w:r w:rsidR="00595C92">
        <w:t xml:space="preserve"> of cyclicality</w:t>
      </w:r>
      <w:r w:rsidR="007226B0">
        <w:t xml:space="preserve"> is incorrect and </w:t>
      </w:r>
      <w:r w:rsidR="003C5754">
        <w:t xml:space="preserve">a larger share </w:t>
      </w:r>
      <w:r w:rsidR="00D1317B">
        <w:t>of</w:t>
      </w:r>
      <w:r w:rsidR="003C5754">
        <w:t xml:space="preserve"> </w:t>
      </w:r>
      <w:r w:rsidR="00CF497B">
        <w:t xml:space="preserve">the </w:t>
      </w:r>
      <w:r w:rsidR="00D969EB">
        <w:t xml:space="preserve">recent </w:t>
      </w:r>
      <w:r w:rsidR="007226B0">
        <w:t xml:space="preserve">increase in the </w:t>
      </w:r>
      <w:r w:rsidR="00CF497B">
        <w:t xml:space="preserve">participation rate is structural </w:t>
      </w:r>
      <w:r w:rsidR="00595C92">
        <w:t>and therefore more persistent</w:t>
      </w:r>
      <w:r w:rsidR="00D969EB">
        <w:t>.</w:t>
      </w:r>
    </w:p>
    <w:p w14:paraId="797417A8" w14:textId="3F4B8780" w:rsidR="004B590A" w:rsidRPr="00D21EEC" w:rsidRDefault="00585AE1" w:rsidP="00571AD8">
      <w:pPr>
        <w:pStyle w:val="Chartx"/>
        <w:spacing w:before="120"/>
        <w:ind w:left="1276" w:hanging="1276"/>
        <w:rPr>
          <w:i w:val="0"/>
        </w:rPr>
      </w:pPr>
      <w:r>
        <w:lastRenderedPageBreak/>
        <w:t xml:space="preserve">The </w:t>
      </w:r>
      <w:r w:rsidR="007B11E5">
        <w:t xml:space="preserve">NSW </w:t>
      </w:r>
      <w:r>
        <w:t xml:space="preserve">equilibrium </w:t>
      </w:r>
      <w:r w:rsidR="00D21EEC">
        <w:t>participation</w:t>
      </w:r>
      <w:r>
        <w:t xml:space="preserve"> rate has </w:t>
      </w:r>
      <w:r w:rsidR="007B11E5">
        <w:t xml:space="preserve">shifted up </w:t>
      </w:r>
      <w:r>
        <w:t xml:space="preserve">since </w:t>
      </w:r>
      <w:r w:rsidR="00D21EEC">
        <w:t>the 2016 IGR</w:t>
      </w:r>
      <w:r w:rsidR="0062623F">
        <w:t xml:space="preserve">, with actuals continuing </w:t>
      </w:r>
      <w:r w:rsidR="005220D5">
        <w:t xml:space="preserve">to </w:t>
      </w:r>
      <w:r w:rsidR="00012A94">
        <w:t xml:space="preserve">exceed </w:t>
      </w:r>
      <w:r w:rsidR="004D5515">
        <w:t>expectations</w:t>
      </w:r>
    </w:p>
    <w:p w14:paraId="2ACD4F51" w14:textId="089199BB" w:rsidR="00C72F95" w:rsidRDefault="00FE2E64" w:rsidP="00C93B2A">
      <w:pPr>
        <w:pStyle w:val="Chartx"/>
        <w:numPr>
          <w:ilvl w:val="0"/>
          <w:numId w:val="0"/>
        </w:numPr>
        <w:spacing w:before="0" w:after="0"/>
        <w:ind w:left="360" w:hanging="360"/>
        <w:rPr>
          <w:i w:val="0"/>
          <w:sz w:val="16"/>
          <w:szCs w:val="16"/>
        </w:rPr>
      </w:pPr>
      <w:r>
        <w:rPr>
          <w:noProof/>
        </w:rPr>
        <w:drawing>
          <wp:inline distT="0" distB="0" distL="0" distR="0" wp14:anchorId="54C34B7C" wp14:editId="582272E5">
            <wp:extent cx="5760000" cy="1800000"/>
            <wp:effectExtent l="0" t="0" r="0" b="0"/>
            <wp:docPr id="3" name="Chart 3" descr="Chart F.1: The NSW equilibrium participation rate has shifted up since the 2016 IGR, with actuals continuing to exceed expectations.">
              <a:extLst xmlns:a="http://schemas.openxmlformats.org/drawingml/2006/main">
                <a:ext uri="{FF2B5EF4-FFF2-40B4-BE49-F238E27FC236}">
                  <a16:creationId xmlns:a16="http://schemas.microsoft.com/office/drawing/2014/main" id="{BC453DDE-ABAC-4A0F-ABDD-CEBF651A53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0BF85EA" w14:textId="77777777" w:rsidR="008C26B6" w:rsidRPr="008C26B6" w:rsidRDefault="008C26B6" w:rsidP="00CD70B5">
      <w:pPr>
        <w:pStyle w:val="Chartx"/>
        <w:numPr>
          <w:ilvl w:val="0"/>
          <w:numId w:val="0"/>
        </w:numPr>
        <w:spacing w:before="0" w:after="0"/>
        <w:ind w:left="360" w:hanging="360"/>
        <w:rPr>
          <w:i w:val="0"/>
          <w:sz w:val="6"/>
          <w:szCs w:val="6"/>
        </w:rPr>
      </w:pPr>
    </w:p>
    <w:p w14:paraId="0453DF8C" w14:textId="07B9F4F9" w:rsidR="0062623F" w:rsidRPr="008C26B6" w:rsidRDefault="0062623F" w:rsidP="00CD70B5">
      <w:pPr>
        <w:pStyle w:val="Chartx"/>
        <w:numPr>
          <w:ilvl w:val="0"/>
          <w:numId w:val="0"/>
        </w:numPr>
        <w:spacing w:before="0" w:after="0"/>
        <w:ind w:left="360" w:hanging="360"/>
        <w:rPr>
          <w:i w:val="0"/>
          <w:sz w:val="17"/>
          <w:szCs w:val="17"/>
        </w:rPr>
      </w:pPr>
      <w:r w:rsidRPr="008C26B6">
        <w:rPr>
          <w:i w:val="0"/>
          <w:sz w:val="17"/>
          <w:szCs w:val="17"/>
        </w:rPr>
        <w:t xml:space="preserve">*Actual for 2018-19 is </w:t>
      </w:r>
      <w:r w:rsidR="00CD70B5" w:rsidRPr="008C26B6">
        <w:rPr>
          <w:i w:val="0"/>
          <w:sz w:val="17"/>
          <w:szCs w:val="17"/>
        </w:rPr>
        <w:t>a year to date average</w:t>
      </w:r>
      <w:r w:rsidR="00571AD8">
        <w:rPr>
          <w:i w:val="0"/>
          <w:sz w:val="17"/>
          <w:szCs w:val="17"/>
        </w:rPr>
        <w:t>.</w:t>
      </w:r>
    </w:p>
    <w:p w14:paraId="26053334" w14:textId="03F7B952" w:rsidR="00E267F8" w:rsidRPr="008C26B6" w:rsidRDefault="00E267F8" w:rsidP="00883771">
      <w:pPr>
        <w:pStyle w:val="Chartx"/>
        <w:numPr>
          <w:ilvl w:val="0"/>
          <w:numId w:val="0"/>
        </w:numPr>
        <w:spacing w:before="0" w:after="0"/>
        <w:rPr>
          <w:i w:val="0"/>
          <w:sz w:val="17"/>
          <w:szCs w:val="17"/>
        </w:rPr>
      </w:pPr>
      <w:r w:rsidRPr="008C26B6">
        <w:rPr>
          <w:i w:val="0"/>
          <w:sz w:val="17"/>
          <w:szCs w:val="17"/>
        </w:rPr>
        <w:t>^</w:t>
      </w:r>
      <w:r w:rsidR="000E45BB">
        <w:rPr>
          <w:i w:val="0"/>
          <w:sz w:val="17"/>
          <w:szCs w:val="17"/>
        </w:rPr>
        <w:t>D</w:t>
      </w:r>
      <w:r w:rsidRPr="008C26B6">
        <w:rPr>
          <w:i w:val="0"/>
          <w:sz w:val="17"/>
          <w:szCs w:val="17"/>
        </w:rPr>
        <w:t xml:space="preserve">riven by </w:t>
      </w:r>
      <w:r w:rsidR="006244C5" w:rsidRPr="008C26B6">
        <w:rPr>
          <w:i w:val="0"/>
          <w:sz w:val="17"/>
          <w:szCs w:val="17"/>
        </w:rPr>
        <w:t>both changes in age composition (impacted by migration</w:t>
      </w:r>
      <w:r w:rsidR="00852E0D">
        <w:rPr>
          <w:i w:val="0"/>
          <w:sz w:val="17"/>
          <w:szCs w:val="17"/>
        </w:rPr>
        <w:t>, births and deaths</w:t>
      </w:r>
      <w:r w:rsidR="006244C5" w:rsidRPr="008C26B6">
        <w:rPr>
          <w:i w:val="0"/>
          <w:sz w:val="17"/>
          <w:szCs w:val="17"/>
        </w:rPr>
        <w:t xml:space="preserve">) and </w:t>
      </w:r>
      <w:r w:rsidR="00A837FC">
        <w:rPr>
          <w:i w:val="0"/>
          <w:sz w:val="17"/>
          <w:szCs w:val="17"/>
        </w:rPr>
        <w:t xml:space="preserve">underlying </w:t>
      </w:r>
      <w:r w:rsidR="00883771" w:rsidRPr="008C26B6">
        <w:rPr>
          <w:i w:val="0"/>
          <w:sz w:val="17"/>
          <w:szCs w:val="17"/>
        </w:rPr>
        <w:t>participation rate</w:t>
      </w:r>
      <w:r w:rsidR="00A837FC">
        <w:rPr>
          <w:i w:val="0"/>
          <w:sz w:val="17"/>
          <w:szCs w:val="17"/>
        </w:rPr>
        <w:t xml:space="preserve"> trends</w:t>
      </w:r>
      <w:r w:rsidR="00883771" w:rsidRPr="008C26B6">
        <w:rPr>
          <w:i w:val="0"/>
          <w:sz w:val="17"/>
          <w:szCs w:val="17"/>
        </w:rPr>
        <w:t xml:space="preserve"> by age </w:t>
      </w:r>
      <w:r w:rsidR="00BC6642">
        <w:rPr>
          <w:i w:val="0"/>
          <w:sz w:val="17"/>
          <w:szCs w:val="17"/>
        </w:rPr>
        <w:t xml:space="preserve">&amp; sex </w:t>
      </w:r>
      <w:r w:rsidR="00883771" w:rsidRPr="008C26B6">
        <w:rPr>
          <w:i w:val="0"/>
          <w:sz w:val="17"/>
          <w:szCs w:val="17"/>
        </w:rPr>
        <w:t>(structural trends</w:t>
      </w:r>
      <w:r w:rsidR="006D029C" w:rsidRPr="008C26B6">
        <w:rPr>
          <w:i w:val="0"/>
          <w:sz w:val="17"/>
          <w:szCs w:val="17"/>
        </w:rPr>
        <w:t>)</w:t>
      </w:r>
      <w:r w:rsidR="00571AD8">
        <w:rPr>
          <w:i w:val="0"/>
          <w:sz w:val="17"/>
          <w:szCs w:val="17"/>
        </w:rPr>
        <w:t>.</w:t>
      </w:r>
    </w:p>
    <w:p w14:paraId="325BAF7A" w14:textId="14827524" w:rsidR="00743B3A" w:rsidRPr="00E55A7D" w:rsidRDefault="00743B3A" w:rsidP="006979A4">
      <w:pPr>
        <w:pStyle w:val="Chartx"/>
        <w:numPr>
          <w:ilvl w:val="0"/>
          <w:numId w:val="0"/>
        </w:numPr>
        <w:spacing w:before="0" w:after="0"/>
        <w:rPr>
          <w:color w:val="4F4F4F"/>
          <w:sz w:val="17"/>
          <w:szCs w:val="17"/>
        </w:rPr>
      </w:pPr>
      <w:r w:rsidRPr="00E55A7D">
        <w:rPr>
          <w:color w:val="4F4F4F"/>
          <w:sz w:val="17"/>
          <w:szCs w:val="17"/>
        </w:rPr>
        <w:t xml:space="preserve">Source: </w:t>
      </w:r>
      <w:r w:rsidR="00410C17" w:rsidRPr="00E55A7D">
        <w:rPr>
          <w:color w:val="4F4F4F"/>
          <w:sz w:val="17"/>
          <w:szCs w:val="17"/>
        </w:rPr>
        <w:t>ABS</w:t>
      </w:r>
      <w:r w:rsidR="00CA390D">
        <w:rPr>
          <w:color w:val="4F4F4F"/>
          <w:sz w:val="17"/>
          <w:szCs w:val="17"/>
        </w:rPr>
        <w:t xml:space="preserve"> 6202.0,</w:t>
      </w:r>
      <w:r w:rsidR="00410C17" w:rsidRPr="00E55A7D">
        <w:rPr>
          <w:color w:val="4F4F4F"/>
          <w:sz w:val="17"/>
          <w:szCs w:val="17"/>
        </w:rPr>
        <w:t xml:space="preserve"> 6291.0.55.001 </w:t>
      </w:r>
      <w:r w:rsidR="00C305E1" w:rsidRPr="00E55A7D">
        <w:rPr>
          <w:color w:val="4F4F4F"/>
          <w:sz w:val="17"/>
          <w:szCs w:val="17"/>
        </w:rPr>
        <w:t xml:space="preserve">and </w:t>
      </w:r>
      <w:r w:rsidRPr="00E55A7D">
        <w:rPr>
          <w:color w:val="4F4F4F"/>
          <w:sz w:val="17"/>
          <w:szCs w:val="17"/>
        </w:rPr>
        <w:t>NSW Treasury</w:t>
      </w:r>
    </w:p>
    <w:p w14:paraId="5AE232A0" w14:textId="26166074" w:rsidR="00DA1DD2" w:rsidRDefault="00EC318F" w:rsidP="00472C41">
      <w:pPr>
        <w:pStyle w:val="BodyText"/>
      </w:pPr>
      <w:r>
        <w:t>T</w:t>
      </w:r>
      <w:r w:rsidR="00C01A76">
        <w:t xml:space="preserve">his </w:t>
      </w:r>
      <w:r w:rsidR="00D969EB">
        <w:t xml:space="preserve">scenario </w:t>
      </w:r>
      <w:r w:rsidR="00531645">
        <w:t xml:space="preserve">assumes that the participation rate holds up </w:t>
      </w:r>
      <w:r w:rsidR="004D5515">
        <w:t xml:space="preserve">at </w:t>
      </w:r>
      <w:r w:rsidR="00474E77">
        <w:t>around</w:t>
      </w:r>
      <w:r w:rsidR="00531645">
        <w:t xml:space="preserve"> </w:t>
      </w:r>
      <w:r w:rsidR="008351E5">
        <w:t>its</w:t>
      </w:r>
      <w:r w:rsidR="00C74FF2">
        <w:t xml:space="preserve"> </w:t>
      </w:r>
      <w:r w:rsidR="00531645">
        <w:t>current</w:t>
      </w:r>
      <w:r w:rsidR="002A732D">
        <w:t xml:space="preserve"> annual</w:t>
      </w:r>
      <w:r w:rsidR="00531645">
        <w:t xml:space="preserve"> highs over the forecast period. </w:t>
      </w:r>
      <w:r w:rsidR="00F827E1">
        <w:t xml:space="preserve">This is </w:t>
      </w:r>
      <w:r w:rsidR="00615AB1">
        <w:t>comparable</w:t>
      </w:r>
      <w:r w:rsidR="00BF6DA4">
        <w:t xml:space="preserve"> </w:t>
      </w:r>
      <w:r w:rsidR="002D0769">
        <w:t>to</w:t>
      </w:r>
      <w:r w:rsidR="00BF6DA4">
        <w:t xml:space="preserve"> the participation rate </w:t>
      </w:r>
      <w:r w:rsidR="00472C41">
        <w:t>being 0.5 percentage points higher in the Budget year and 1.0 percentage point higher in each year thereafter.</w:t>
      </w:r>
      <w:r w:rsidR="00F827E1">
        <w:t xml:space="preserve"> </w:t>
      </w:r>
      <w:r w:rsidR="009E2F4C">
        <w:t>In this case</w:t>
      </w:r>
      <w:r w:rsidR="004D5515">
        <w:t>,</w:t>
      </w:r>
      <w:r w:rsidR="009E2F4C">
        <w:t xml:space="preserve"> t</w:t>
      </w:r>
      <w:r w:rsidR="00F827E1">
        <w:t xml:space="preserve">he </w:t>
      </w:r>
      <w:r w:rsidR="00855CC0">
        <w:t xml:space="preserve">shock to the participation rate </w:t>
      </w:r>
      <w:r w:rsidR="00760546">
        <w:t>is</w:t>
      </w:r>
      <w:r w:rsidR="00672057">
        <w:t xml:space="preserve"> not</w:t>
      </w:r>
      <w:r w:rsidR="00760546">
        <w:t xml:space="preserve"> the result of higher demand for workers and </w:t>
      </w:r>
      <w:r w:rsidR="00F2514E">
        <w:t>is</w:t>
      </w:r>
      <w:r w:rsidR="00760546">
        <w:t xml:space="preserve"> treated as</w:t>
      </w:r>
      <w:r w:rsidR="00855CC0">
        <w:t xml:space="preserve"> </w:t>
      </w:r>
      <w:r w:rsidR="00C01A76">
        <w:t xml:space="preserve">an </w:t>
      </w:r>
      <w:r w:rsidR="00855CC0">
        <w:t>exogenous</w:t>
      </w:r>
      <w:r w:rsidR="00C01A76">
        <w:t xml:space="preserve"> increase in supply</w:t>
      </w:r>
      <w:r w:rsidR="00DA46AE">
        <w:t xml:space="preserve"> of additional </w:t>
      </w:r>
      <w:r w:rsidR="00E71D5F">
        <w:t>workers</w:t>
      </w:r>
      <w:r w:rsidR="00760546">
        <w:t>.</w:t>
      </w:r>
      <w:r w:rsidR="003632F7">
        <w:t xml:space="preserve"> </w:t>
      </w:r>
      <w:r w:rsidR="00A34D90">
        <w:t>A</w:t>
      </w:r>
      <w:r w:rsidR="00B775E9">
        <w:t xml:space="preserve"> demand driven shock, </w:t>
      </w:r>
      <w:r w:rsidR="003632F7">
        <w:t>where</w:t>
      </w:r>
      <w:r w:rsidR="00B8284E">
        <w:t xml:space="preserve"> </w:t>
      </w:r>
      <w:r w:rsidR="003632F7">
        <w:t>workers</w:t>
      </w:r>
      <w:r w:rsidR="00B8284E">
        <w:t xml:space="preserve"> </w:t>
      </w:r>
      <w:r w:rsidR="003632F7">
        <w:t xml:space="preserve">have been </w:t>
      </w:r>
      <w:r w:rsidR="00B8284E">
        <w:t>encourage</w:t>
      </w:r>
      <w:r w:rsidR="003632F7">
        <w:t>d</w:t>
      </w:r>
      <w:r w:rsidR="00B8284E">
        <w:t xml:space="preserve"> to participate</w:t>
      </w:r>
      <w:r w:rsidR="00E71D5F">
        <w:t xml:space="preserve"> by businesses</w:t>
      </w:r>
      <w:r w:rsidR="005708D9">
        <w:t xml:space="preserve">, </w:t>
      </w:r>
      <w:r w:rsidR="00674F04">
        <w:t xml:space="preserve">would </w:t>
      </w:r>
      <w:r w:rsidR="00A34D90">
        <w:t>yield</w:t>
      </w:r>
      <w:r w:rsidR="00674F04">
        <w:t xml:space="preserve"> different </w:t>
      </w:r>
      <w:r w:rsidR="005708D9">
        <w:t>results</w:t>
      </w:r>
      <w:r w:rsidR="009D794C">
        <w:t>.</w:t>
      </w:r>
    </w:p>
    <w:p w14:paraId="6C104B8D" w14:textId="15EB5D4C" w:rsidR="00EA3A1D" w:rsidRPr="003E37A7" w:rsidRDefault="00EA3A1D" w:rsidP="00A62CB1">
      <w:pPr>
        <w:pStyle w:val="Heading4"/>
        <w:spacing w:before="200"/>
      </w:pPr>
      <w:r w:rsidRPr="003E37A7">
        <w:t>Macroeconomic impact</w:t>
      </w:r>
      <w:r w:rsidR="000A6A48">
        <w:t xml:space="preserve"> over the </w:t>
      </w:r>
      <w:r w:rsidR="00F83221">
        <w:t xml:space="preserve">Budget and </w:t>
      </w:r>
      <w:r w:rsidR="000A6A48">
        <w:t>forward estimates</w:t>
      </w:r>
    </w:p>
    <w:p w14:paraId="66289D99" w14:textId="53F561E8" w:rsidR="00F827E1" w:rsidRDefault="00E86FD8" w:rsidP="00EF4C5E">
      <w:pPr>
        <w:pStyle w:val="BodyText"/>
      </w:pPr>
      <w:r w:rsidRPr="00E86FD8">
        <w:t xml:space="preserve">The </w:t>
      </w:r>
      <w:r>
        <w:t xml:space="preserve">higher </w:t>
      </w:r>
      <w:r w:rsidR="00587243">
        <w:t xml:space="preserve">participation rate </w:t>
      </w:r>
      <w:r w:rsidR="00D43C12">
        <w:t>has the immediate effect of increas</w:t>
      </w:r>
      <w:r w:rsidR="00E72658">
        <w:t>ing</w:t>
      </w:r>
      <w:r w:rsidR="00D43C12">
        <w:t xml:space="preserve"> the supply of labour within New South Wales. The increase in supply is accommodated by a rise in both </w:t>
      </w:r>
      <w:r w:rsidR="009D794C">
        <w:t>N</w:t>
      </w:r>
      <w:r w:rsidR="00571AD8">
        <w:t xml:space="preserve">ew </w:t>
      </w:r>
      <w:r w:rsidR="009D794C">
        <w:t>S</w:t>
      </w:r>
      <w:r w:rsidR="00571AD8">
        <w:t xml:space="preserve">outh </w:t>
      </w:r>
      <w:r w:rsidR="009D794C">
        <w:t>W</w:t>
      </w:r>
      <w:r w:rsidR="00571AD8">
        <w:t>ales</w:t>
      </w:r>
      <w:r w:rsidR="009D794C">
        <w:t xml:space="preserve"> </w:t>
      </w:r>
      <w:r w:rsidR="00D43C12">
        <w:t xml:space="preserve">employment and </w:t>
      </w:r>
      <w:r w:rsidR="00260B5A">
        <w:t>a temporary rise in unemployment</w:t>
      </w:r>
      <w:r w:rsidR="005F3BF3">
        <w:t xml:space="preserve"> (see Chart </w:t>
      </w:r>
      <w:r w:rsidR="008B4FCE">
        <w:t>F.</w:t>
      </w:r>
      <w:r w:rsidR="005D1EB0">
        <w:t>2)</w:t>
      </w:r>
      <w:r w:rsidR="00260B5A">
        <w:t xml:space="preserve">. </w:t>
      </w:r>
      <w:r w:rsidR="00461361">
        <w:t xml:space="preserve">Unemployment increases because </w:t>
      </w:r>
      <w:r w:rsidR="009D794C">
        <w:t xml:space="preserve">the </w:t>
      </w:r>
      <w:r w:rsidR="00A2380E">
        <w:t xml:space="preserve">local </w:t>
      </w:r>
      <w:r w:rsidR="009D794C">
        <w:t xml:space="preserve">economy </w:t>
      </w:r>
      <w:r w:rsidR="00461361">
        <w:t xml:space="preserve">is not </w:t>
      </w:r>
      <w:r w:rsidR="009D794C">
        <w:t xml:space="preserve">able to </w:t>
      </w:r>
      <w:r w:rsidR="00263D73">
        <w:t xml:space="preserve">fully absorb the </w:t>
      </w:r>
      <w:r w:rsidR="00461361">
        <w:t xml:space="preserve">additional </w:t>
      </w:r>
      <w:r w:rsidR="00153F2F">
        <w:t xml:space="preserve">workers </w:t>
      </w:r>
      <w:r w:rsidR="00A412B9">
        <w:t xml:space="preserve">until </w:t>
      </w:r>
      <w:r w:rsidR="00461361">
        <w:t xml:space="preserve">economic growth expands to </w:t>
      </w:r>
      <w:r w:rsidR="00A80B89">
        <w:t xml:space="preserve">meet this </w:t>
      </w:r>
      <w:r w:rsidR="002E6192">
        <w:t xml:space="preserve">new </w:t>
      </w:r>
      <w:r w:rsidR="00A80B89">
        <w:t>supply</w:t>
      </w:r>
      <w:r w:rsidR="00093F49">
        <w:t xml:space="preserve"> of workers</w:t>
      </w:r>
      <w:r w:rsidR="00D24F9E">
        <w:t>.</w:t>
      </w:r>
    </w:p>
    <w:p w14:paraId="2A9E1336" w14:textId="0166E3FC" w:rsidR="00D67C0B" w:rsidRDefault="00A80B89" w:rsidP="00EF4C5E">
      <w:pPr>
        <w:pStyle w:val="BodyText"/>
      </w:pPr>
      <w:r>
        <w:t xml:space="preserve">The higher </w:t>
      </w:r>
      <w:r w:rsidR="00FC79E2">
        <w:t xml:space="preserve">local </w:t>
      </w:r>
      <w:r>
        <w:t>unemployment rate</w:t>
      </w:r>
      <w:r w:rsidR="002E6192">
        <w:t xml:space="preserve"> flows</w:t>
      </w:r>
      <w:r>
        <w:t xml:space="preserve"> through</w:t>
      </w:r>
      <w:r w:rsidR="00153F2F">
        <w:t xml:space="preserve"> to</w:t>
      </w:r>
      <w:r>
        <w:t xml:space="preserve"> </w:t>
      </w:r>
      <w:r w:rsidR="00B34EA1">
        <w:t>lower real wages growth</w:t>
      </w:r>
      <w:r w:rsidR="00974128">
        <w:t xml:space="preserve"> in New South Wales relative to the rest of Australia</w:t>
      </w:r>
      <w:r w:rsidR="00B34EA1">
        <w:t>.</w:t>
      </w:r>
      <w:r w:rsidR="00974128">
        <w:t xml:space="preserve"> </w:t>
      </w:r>
      <w:r w:rsidR="005E1895">
        <w:t xml:space="preserve">With more </w:t>
      </w:r>
      <w:r w:rsidR="00B67EDE">
        <w:t>participants in the labour market</w:t>
      </w:r>
      <w:r w:rsidR="005E1895">
        <w:t xml:space="preserve">, businesses </w:t>
      </w:r>
      <w:r w:rsidR="00D67C0B">
        <w:t>have more applicants to choose from,</w:t>
      </w:r>
      <w:r w:rsidR="00911A7E">
        <w:t xml:space="preserve"> allowing them to reduce wages relative to the base case</w:t>
      </w:r>
      <w:r w:rsidR="00A027F5">
        <w:t xml:space="preserve">. Lower wages </w:t>
      </w:r>
      <w:r w:rsidR="000C0909">
        <w:t>make</w:t>
      </w:r>
      <w:r w:rsidR="005537B2">
        <w:t xml:space="preserve"> </w:t>
      </w:r>
      <w:r w:rsidR="00B20F0B">
        <w:t xml:space="preserve">labour </w:t>
      </w:r>
      <w:r w:rsidR="00CF7586">
        <w:t xml:space="preserve">relatively </w:t>
      </w:r>
      <w:r w:rsidR="00B20F0B">
        <w:t>cheaper</w:t>
      </w:r>
      <w:r w:rsidR="005537B2">
        <w:t xml:space="preserve"> for </w:t>
      </w:r>
      <w:r w:rsidR="00534A7C">
        <w:t xml:space="preserve">businesses </w:t>
      </w:r>
      <w:r w:rsidR="005537B2">
        <w:t xml:space="preserve">and </w:t>
      </w:r>
      <w:r w:rsidR="0061264C">
        <w:t>lifts</w:t>
      </w:r>
      <w:r w:rsidR="005537B2">
        <w:t xml:space="preserve"> employment</w:t>
      </w:r>
      <w:r w:rsidR="004A48DE">
        <w:t xml:space="preserve"> and business profits</w:t>
      </w:r>
      <w:r w:rsidR="00911A7E">
        <w:t>.</w:t>
      </w:r>
      <w:r w:rsidR="00A96424">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1"/>
        <w:gridCol w:w="4887"/>
      </w:tblGrid>
      <w:tr w:rsidR="008A2C23" w:rsidRPr="00F579EC" w14:paraId="3BC37F6F" w14:textId="77777777" w:rsidTr="000A7994">
        <w:tc>
          <w:tcPr>
            <w:tcW w:w="4751" w:type="dxa"/>
          </w:tcPr>
          <w:p w14:paraId="3DE305AB" w14:textId="0B43382E" w:rsidR="008A2C23" w:rsidRDefault="00D74B70" w:rsidP="00571AD8">
            <w:pPr>
              <w:pStyle w:val="Chartx"/>
              <w:spacing w:before="120"/>
              <w:ind w:left="1313" w:hanging="1313"/>
            </w:pPr>
            <w:r>
              <w:t xml:space="preserve">Higher participation </w:t>
            </w:r>
            <w:r w:rsidR="00E0315D">
              <w:t xml:space="preserve">rate </w:t>
            </w:r>
            <w:r w:rsidR="00FA2EEC">
              <w:t xml:space="preserve">lifts </w:t>
            </w:r>
            <w:r w:rsidR="00E0315D">
              <w:t>jobs</w:t>
            </w:r>
            <w:r w:rsidR="00FA2EEC">
              <w:t xml:space="preserve"> and </w:t>
            </w:r>
            <w:r w:rsidR="00EA4988">
              <w:t>lowers</w:t>
            </w:r>
            <w:r w:rsidR="00803FB4">
              <w:t xml:space="preserve"> </w:t>
            </w:r>
            <w:r w:rsidR="00786C2D">
              <w:t>population</w:t>
            </w:r>
            <w:r w:rsidR="00803FB4">
              <w:t xml:space="preserve"> </w:t>
            </w:r>
          </w:p>
          <w:p w14:paraId="135F9B0F" w14:textId="7A5E2F06" w:rsidR="008A2C23" w:rsidRPr="00797BF7" w:rsidRDefault="008B0BF0" w:rsidP="008E5794">
            <w:pPr>
              <w:pStyle w:val="Chartx"/>
              <w:numPr>
                <w:ilvl w:val="0"/>
                <w:numId w:val="0"/>
              </w:numPr>
              <w:spacing w:before="120"/>
            </w:pPr>
            <w:r>
              <w:rPr>
                <w:noProof/>
              </w:rPr>
              <w:drawing>
                <wp:inline distT="0" distB="0" distL="0" distR="0" wp14:anchorId="0A3F04B3" wp14:editId="02BD0E6A">
                  <wp:extent cx="2880000" cy="1980000"/>
                  <wp:effectExtent l="0" t="0" r="0" b="0"/>
                  <wp:docPr id="6" name="Chart 6" descr="Chart F.2: Higher participation rate lifts jobs and lowers population. ">
                    <a:extLst xmlns:a="http://schemas.openxmlformats.org/drawingml/2006/main">
                      <a:ext uri="{FF2B5EF4-FFF2-40B4-BE49-F238E27FC236}">
                        <a16:creationId xmlns:a16="http://schemas.microsoft.com/office/drawing/2014/main" id="{A8E465FD-3142-4332-864F-1EF444BA00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8A2C23" w:rsidRPr="00797BF7">
              <w:t xml:space="preserve"> </w:t>
            </w:r>
          </w:p>
          <w:p w14:paraId="17633A46" w14:textId="6D65F599" w:rsidR="008A2C23" w:rsidRPr="00F579EC" w:rsidRDefault="008A2C23" w:rsidP="00135CA7">
            <w:pPr>
              <w:pStyle w:val="Chartx"/>
              <w:numPr>
                <w:ilvl w:val="0"/>
                <w:numId w:val="0"/>
              </w:numPr>
              <w:spacing w:before="0" w:after="0"/>
              <w:rPr>
                <w:rFonts w:cs="Arial"/>
                <w:color w:val="4F4F4F"/>
                <w:sz w:val="17"/>
                <w:szCs w:val="17"/>
                <w:highlight w:val="lightGray"/>
              </w:rPr>
            </w:pPr>
            <w:r w:rsidRPr="00135CA7">
              <w:rPr>
                <w:color w:val="4F4F4F"/>
                <w:sz w:val="17"/>
                <w:szCs w:val="17"/>
              </w:rPr>
              <w:t xml:space="preserve">Source: </w:t>
            </w:r>
            <w:r w:rsidR="008F7F26" w:rsidRPr="00135CA7">
              <w:rPr>
                <w:color w:val="4F4F4F"/>
                <w:sz w:val="17"/>
                <w:szCs w:val="17"/>
              </w:rPr>
              <w:t>C</w:t>
            </w:r>
            <w:r w:rsidR="00B15C62" w:rsidRPr="00135CA7">
              <w:rPr>
                <w:color w:val="4F4F4F"/>
                <w:sz w:val="17"/>
                <w:szCs w:val="17"/>
              </w:rPr>
              <w:t>o</w:t>
            </w:r>
            <w:r w:rsidR="008F7F26" w:rsidRPr="00135CA7">
              <w:rPr>
                <w:color w:val="4F4F4F"/>
                <w:sz w:val="17"/>
                <w:szCs w:val="17"/>
              </w:rPr>
              <w:t>PS</w:t>
            </w:r>
            <w:r w:rsidRPr="00135CA7">
              <w:rPr>
                <w:color w:val="4F4F4F"/>
                <w:sz w:val="17"/>
                <w:szCs w:val="17"/>
              </w:rPr>
              <w:t>, Victoria University and NSW Treasury</w:t>
            </w:r>
          </w:p>
        </w:tc>
        <w:tc>
          <w:tcPr>
            <w:tcW w:w="4887" w:type="dxa"/>
          </w:tcPr>
          <w:p w14:paraId="54BF4B4C" w14:textId="6C689A6A" w:rsidR="008A2C23" w:rsidRDefault="00940581" w:rsidP="00571AD8">
            <w:pPr>
              <w:pStyle w:val="Chartx"/>
              <w:tabs>
                <w:tab w:val="clear" w:pos="1304"/>
                <w:tab w:val="left" w:pos="1377"/>
              </w:tabs>
              <w:spacing w:before="120"/>
              <w:ind w:left="1377" w:hanging="1377"/>
            </w:pPr>
            <w:r>
              <w:t xml:space="preserve">Household consumption lifts </w:t>
            </w:r>
            <w:r w:rsidR="00AE22A6">
              <w:t>in line with higher real</w:t>
            </w:r>
            <w:r>
              <w:t xml:space="preserve"> household income</w:t>
            </w:r>
          </w:p>
          <w:p w14:paraId="1751C4CF" w14:textId="00FEB9F1" w:rsidR="008A2C23" w:rsidRDefault="000A7994" w:rsidP="008E5794">
            <w:pPr>
              <w:pStyle w:val="Chartx"/>
              <w:numPr>
                <w:ilvl w:val="0"/>
                <w:numId w:val="0"/>
              </w:numPr>
              <w:spacing w:before="120"/>
            </w:pPr>
            <w:r>
              <w:rPr>
                <w:noProof/>
              </w:rPr>
              <w:drawing>
                <wp:inline distT="0" distB="0" distL="0" distR="0" wp14:anchorId="47300B1F" wp14:editId="5EB8C048">
                  <wp:extent cx="2880000" cy="1980000"/>
                  <wp:effectExtent l="0" t="0" r="0" b="1270"/>
                  <wp:docPr id="7" name="Chart 7" descr="Chart F.3: Household consumption lifts in line with higher real household income.">
                    <a:extLst xmlns:a="http://schemas.openxmlformats.org/drawingml/2006/main">
                      <a:ext uri="{FF2B5EF4-FFF2-40B4-BE49-F238E27FC236}">
                        <a16:creationId xmlns:a16="http://schemas.microsoft.com/office/drawing/2014/main" id="{9539922A-3368-4400-9F39-C633E16E84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0C9E0D7" w14:textId="3FC22475" w:rsidR="008A2C23" w:rsidRPr="004B249C" w:rsidRDefault="008A2C23" w:rsidP="00135CA7">
            <w:pPr>
              <w:pStyle w:val="Chartx"/>
              <w:numPr>
                <w:ilvl w:val="0"/>
                <w:numId w:val="0"/>
              </w:numPr>
              <w:spacing w:before="0" w:after="0"/>
              <w:rPr>
                <w:b/>
                <w:sz w:val="16"/>
              </w:rPr>
            </w:pPr>
            <w:r w:rsidRPr="00135CA7">
              <w:rPr>
                <w:color w:val="4F4F4F"/>
                <w:sz w:val="17"/>
                <w:szCs w:val="17"/>
              </w:rPr>
              <w:t xml:space="preserve">Source: </w:t>
            </w:r>
            <w:r w:rsidR="008F7F26" w:rsidRPr="00135CA7">
              <w:rPr>
                <w:color w:val="4F4F4F"/>
                <w:sz w:val="17"/>
                <w:szCs w:val="17"/>
              </w:rPr>
              <w:t>C</w:t>
            </w:r>
            <w:r w:rsidR="00B15C62" w:rsidRPr="00135CA7">
              <w:rPr>
                <w:color w:val="4F4F4F"/>
                <w:sz w:val="17"/>
                <w:szCs w:val="17"/>
              </w:rPr>
              <w:t>o</w:t>
            </w:r>
            <w:r w:rsidR="008F7F26" w:rsidRPr="00135CA7">
              <w:rPr>
                <w:color w:val="4F4F4F"/>
                <w:sz w:val="17"/>
                <w:szCs w:val="17"/>
              </w:rPr>
              <w:t>PS</w:t>
            </w:r>
            <w:r w:rsidRPr="00135CA7">
              <w:rPr>
                <w:color w:val="4F4F4F"/>
                <w:sz w:val="17"/>
                <w:szCs w:val="17"/>
              </w:rPr>
              <w:t>, Victoria University and NSW Treasury</w:t>
            </w:r>
            <w:r w:rsidRPr="00C230AF">
              <w:rPr>
                <w:sz w:val="16"/>
              </w:rPr>
              <w:t xml:space="preserve"> </w:t>
            </w:r>
          </w:p>
        </w:tc>
      </w:tr>
    </w:tbl>
    <w:p w14:paraId="3E7430C2" w14:textId="77777777" w:rsidR="00BC6DB9" w:rsidRDefault="00BC6DB9" w:rsidP="00DF2F80">
      <w:pPr>
        <w:pStyle w:val="BodyText"/>
      </w:pPr>
    </w:p>
    <w:p w14:paraId="7E6EAAF3" w14:textId="3BD8D3E1" w:rsidR="00DF2F80" w:rsidRDefault="00974128" w:rsidP="00DF2F80">
      <w:pPr>
        <w:pStyle w:val="BodyText"/>
      </w:pPr>
      <w:r>
        <w:lastRenderedPageBreak/>
        <w:t xml:space="preserve">In a delayed response to </w:t>
      </w:r>
      <w:r w:rsidR="00A46671">
        <w:t>higher</w:t>
      </w:r>
      <w:r w:rsidR="00923CE2">
        <w:t xml:space="preserve"> relative</w:t>
      </w:r>
      <w:r w:rsidR="00A46671">
        <w:t xml:space="preserve"> wages in the rest of Australia, </w:t>
      </w:r>
      <w:r w:rsidR="00911A7E">
        <w:t>N</w:t>
      </w:r>
      <w:r w:rsidR="00571AD8">
        <w:t xml:space="preserve">ew </w:t>
      </w:r>
      <w:r w:rsidR="00911A7E">
        <w:t>S</w:t>
      </w:r>
      <w:r w:rsidR="00571AD8">
        <w:t xml:space="preserve">outh </w:t>
      </w:r>
      <w:r w:rsidR="00911A7E">
        <w:t>W</w:t>
      </w:r>
      <w:r w:rsidR="00571AD8">
        <w:t>ales</w:t>
      </w:r>
      <w:r w:rsidR="00911A7E">
        <w:t xml:space="preserve"> </w:t>
      </w:r>
      <w:r w:rsidR="00DF2F80">
        <w:t xml:space="preserve">workers </w:t>
      </w:r>
      <w:r w:rsidR="00635DFA">
        <w:t xml:space="preserve">move </w:t>
      </w:r>
      <w:r w:rsidR="002905B7">
        <w:t>interstate</w:t>
      </w:r>
      <w:r w:rsidR="00DF2F80">
        <w:t xml:space="preserve"> </w:t>
      </w:r>
      <w:r w:rsidR="002C1588">
        <w:t>to</w:t>
      </w:r>
      <w:r w:rsidR="00DF2F80">
        <w:t xml:space="preserve"> chase higher</w:t>
      </w:r>
      <w:r w:rsidR="005F47FE">
        <w:t xml:space="preserve"> relative</w:t>
      </w:r>
      <w:r w:rsidR="00DF2F80">
        <w:t xml:space="preserve"> wages.</w:t>
      </w:r>
      <w:bookmarkStart w:id="0" w:name="_1619245666"/>
      <w:bookmarkEnd w:id="0"/>
      <w:r w:rsidR="00DF2F80">
        <w:t xml:space="preserve"> This increased outflow of population help</w:t>
      </w:r>
      <w:r w:rsidR="005042CE">
        <w:t>s</w:t>
      </w:r>
      <w:r w:rsidR="00DF2F80">
        <w:t xml:space="preserve"> to reduce </w:t>
      </w:r>
      <w:r w:rsidR="005042CE">
        <w:t xml:space="preserve">the </w:t>
      </w:r>
      <w:r w:rsidR="001F29C9">
        <w:t xml:space="preserve">local </w:t>
      </w:r>
      <w:r w:rsidR="00AB3EAB">
        <w:t xml:space="preserve">unemployment rate </w:t>
      </w:r>
      <w:r w:rsidR="00E21629">
        <w:t xml:space="preserve">and </w:t>
      </w:r>
      <w:r w:rsidR="008F3C69">
        <w:t>soften</w:t>
      </w:r>
      <w:r w:rsidR="00E21629">
        <w:t xml:space="preserve"> the fall in </w:t>
      </w:r>
      <w:r w:rsidR="008B2216">
        <w:t>wages within New South Wales</w:t>
      </w:r>
      <w:r w:rsidR="00A209F3">
        <w:t xml:space="preserve">. </w:t>
      </w:r>
      <w:r w:rsidR="008B2216">
        <w:t>It is this rebala</w:t>
      </w:r>
      <w:r w:rsidR="004032D5">
        <w:t xml:space="preserve">ncing of the labour market that helps </w:t>
      </w:r>
      <w:r w:rsidR="006F062A">
        <w:t xml:space="preserve">relative real </w:t>
      </w:r>
      <w:r w:rsidR="004032D5">
        <w:t>wages return to</w:t>
      </w:r>
      <w:r w:rsidR="00B15C62">
        <w:t xml:space="preserve"> the</w:t>
      </w:r>
      <w:r w:rsidR="004032D5">
        <w:t xml:space="preserve"> base line in the longer term. </w:t>
      </w:r>
      <w:r w:rsidR="00AC63B2">
        <w:t>T</w:t>
      </w:r>
      <w:r w:rsidR="005042CE">
        <w:t>he</w:t>
      </w:r>
      <w:r w:rsidR="004032D5">
        <w:t xml:space="preserve"> stickiness of wages, makes this adjustment only</w:t>
      </w:r>
      <w:r w:rsidR="00380137">
        <w:t xml:space="preserve"> </w:t>
      </w:r>
      <w:r w:rsidR="004032D5">
        <w:t xml:space="preserve">gradual. </w:t>
      </w:r>
    </w:p>
    <w:p w14:paraId="28679675" w14:textId="33338915" w:rsidR="000A27F7" w:rsidRDefault="00B240BC" w:rsidP="00DF2F80">
      <w:pPr>
        <w:pStyle w:val="BodyText"/>
      </w:pPr>
      <w:r>
        <w:t>Overall, t</w:t>
      </w:r>
      <w:r w:rsidR="000A27F7">
        <w:t xml:space="preserve">he impact on the </w:t>
      </w:r>
      <w:r w:rsidR="008D0C87">
        <w:t>NSW</w:t>
      </w:r>
      <w:r w:rsidR="000A27F7">
        <w:t xml:space="preserve"> economy is positive</w:t>
      </w:r>
      <w:r w:rsidR="00AC5E2E">
        <w:t>, albeit with some short-term trade-offs</w:t>
      </w:r>
      <w:r w:rsidR="000A27F7">
        <w:t xml:space="preserve">. </w:t>
      </w:r>
      <w:r w:rsidR="007E7AEE">
        <w:t>Higher employment</w:t>
      </w:r>
      <w:r w:rsidR="00E30DBF">
        <w:t xml:space="preserve"> and</w:t>
      </w:r>
      <w:r w:rsidR="00096AB8">
        <w:t xml:space="preserve"> </w:t>
      </w:r>
      <w:r w:rsidR="008D0C87">
        <w:t xml:space="preserve">real </w:t>
      </w:r>
      <w:r w:rsidR="00096AB8">
        <w:t>household income</w:t>
      </w:r>
      <w:r w:rsidR="00584264">
        <w:t xml:space="preserve"> </w:t>
      </w:r>
      <w:r w:rsidR="003B7904">
        <w:t>result</w:t>
      </w:r>
      <w:r w:rsidR="00E30DBF">
        <w:t>s</w:t>
      </w:r>
      <w:r w:rsidR="003B7904">
        <w:t xml:space="preserve"> in </w:t>
      </w:r>
      <w:r w:rsidR="00E30DBF">
        <w:t>increased</w:t>
      </w:r>
      <w:r w:rsidR="003B7904">
        <w:t xml:space="preserve"> household consumption</w:t>
      </w:r>
      <w:r w:rsidR="00444718">
        <w:t xml:space="preserve"> (see Chart </w:t>
      </w:r>
      <w:r w:rsidR="008B4FCE">
        <w:t>F.</w:t>
      </w:r>
      <w:r w:rsidR="00444718">
        <w:t>3)</w:t>
      </w:r>
      <w:r w:rsidR="00923B5C">
        <w:t>.</w:t>
      </w:r>
      <w:r w:rsidR="003B7904">
        <w:t xml:space="preserve"> </w:t>
      </w:r>
      <w:r w:rsidR="000477A6" w:rsidRPr="00764B74">
        <w:t xml:space="preserve">Additionally, </w:t>
      </w:r>
      <w:r w:rsidR="00F22E8F">
        <w:t>higher</w:t>
      </w:r>
      <w:r w:rsidR="00764B74">
        <w:t xml:space="preserve"> </w:t>
      </w:r>
      <w:r w:rsidR="00226C7C">
        <w:t xml:space="preserve">business </w:t>
      </w:r>
      <w:r w:rsidR="00E901AF">
        <w:t xml:space="preserve">profits </w:t>
      </w:r>
      <w:r w:rsidR="00764B74">
        <w:t>result</w:t>
      </w:r>
      <w:r w:rsidR="00AC63B2">
        <w:t>s</w:t>
      </w:r>
      <w:r w:rsidR="00764B74">
        <w:t xml:space="preserve"> in </w:t>
      </w:r>
      <w:r w:rsidR="00F30D24">
        <w:t xml:space="preserve">increased </w:t>
      </w:r>
      <w:r w:rsidR="00A3728F">
        <w:t xml:space="preserve">business </w:t>
      </w:r>
      <w:r w:rsidR="00226C7C">
        <w:t>investment</w:t>
      </w:r>
      <w:r w:rsidR="002F40ED">
        <w:t>.</w:t>
      </w:r>
      <w:r w:rsidR="00AD1E7F">
        <w:t xml:space="preserve"> </w:t>
      </w:r>
      <w:r w:rsidR="00CD1277">
        <w:t xml:space="preserve">Ultimately, </w:t>
      </w:r>
      <w:r w:rsidR="00795453">
        <w:t>gross state product</w:t>
      </w:r>
      <w:r w:rsidR="0095543B">
        <w:t xml:space="preserve"> (GSP)</w:t>
      </w:r>
      <w:r w:rsidR="00795453">
        <w:t xml:space="preserve"> </w:t>
      </w:r>
      <w:r w:rsidR="00CD1277">
        <w:t xml:space="preserve">is around a </w:t>
      </w:r>
      <w:r w:rsidR="00BB50BA">
        <w:t xml:space="preserve">¼ </w:t>
      </w:r>
      <w:r w:rsidR="00AD1E7F">
        <w:t>percentage poin</w:t>
      </w:r>
      <w:r w:rsidR="002806E9">
        <w:t xml:space="preserve">t </w:t>
      </w:r>
      <w:r w:rsidR="00AD1E7F">
        <w:t xml:space="preserve">higher </w:t>
      </w:r>
      <w:r w:rsidR="00CD1277">
        <w:t>than under the baseline after four years</w:t>
      </w:r>
      <w:r w:rsidR="00AD1E7F">
        <w:t xml:space="preserve"> </w:t>
      </w:r>
      <w:r w:rsidR="00C761E7">
        <w:t xml:space="preserve">(see Table </w:t>
      </w:r>
      <w:r w:rsidR="008B4FCE">
        <w:t>F.</w:t>
      </w:r>
      <w:r w:rsidR="00C761E7">
        <w:t>1).</w:t>
      </w:r>
    </w:p>
    <w:p w14:paraId="58A6FB22" w14:textId="6DE828B5" w:rsidR="00EC23B2" w:rsidRDefault="0018440A" w:rsidP="00DF2F80">
      <w:pPr>
        <w:pStyle w:val="TableFX"/>
      </w:pPr>
      <w:r>
        <w:t>The effect of higher participation on major economic parameters</w:t>
      </w:r>
    </w:p>
    <w:tbl>
      <w:tblPr>
        <w:tblW w:w="9576" w:type="dxa"/>
        <w:tblLook w:val="04A0" w:firstRow="1" w:lastRow="0" w:firstColumn="1" w:lastColumn="0" w:noHBand="0" w:noVBand="1"/>
        <w:tblCaption w:val="Table F.1: The effect of higher participation on major economic parameters"/>
        <w:tblDescription w:val="Table F.1: The effect of higher participation on major economic parameters"/>
      </w:tblPr>
      <w:tblGrid>
        <w:gridCol w:w="4536"/>
        <w:gridCol w:w="1260"/>
        <w:gridCol w:w="1260"/>
        <w:gridCol w:w="1260"/>
        <w:gridCol w:w="1260"/>
      </w:tblGrid>
      <w:tr w:rsidR="004C49D5" w:rsidRPr="00565002" w14:paraId="5E9C7670" w14:textId="77777777" w:rsidTr="00565002">
        <w:trPr>
          <w:trHeight w:val="255"/>
        </w:trPr>
        <w:tc>
          <w:tcPr>
            <w:tcW w:w="4536" w:type="dxa"/>
            <w:tcBorders>
              <w:top w:val="nil"/>
              <w:left w:val="nil"/>
              <w:bottom w:val="nil"/>
              <w:right w:val="nil"/>
            </w:tcBorders>
            <w:shd w:val="clear" w:color="auto" w:fill="0070C0"/>
            <w:vAlign w:val="center"/>
            <w:hideMark/>
          </w:tcPr>
          <w:p w14:paraId="5865A8AD" w14:textId="7F27B4BA" w:rsidR="004C49D5" w:rsidRPr="000C5964" w:rsidRDefault="004C49D5" w:rsidP="00565002">
            <w:pPr>
              <w:spacing w:before="80" w:after="80"/>
              <w:jc w:val="both"/>
              <w:rPr>
                <w:rFonts w:ascii="Arial" w:hAnsi="Arial" w:cs="Arial"/>
                <w:color w:val="FFFFFF"/>
                <w:sz w:val="18"/>
                <w:szCs w:val="18"/>
                <w:lang w:val="en-AU" w:eastAsia="en-AU"/>
              </w:rPr>
            </w:pPr>
            <w:r w:rsidRPr="00565002">
              <w:rPr>
                <w:rFonts w:ascii="Arial" w:hAnsi="Arial" w:cs="Arial"/>
                <w:color w:val="FFFFFF"/>
                <w:sz w:val="18"/>
                <w:szCs w:val="18"/>
                <w:lang w:val="en-AU" w:eastAsia="en-AU"/>
              </w:rPr>
              <w:t> </w:t>
            </w:r>
            <w:r w:rsidR="001C270C" w:rsidRPr="00565002">
              <w:rPr>
                <w:rFonts w:ascii="Arial" w:hAnsi="Arial" w:cs="Arial"/>
                <w:color w:val="FFFFFF"/>
                <w:sz w:val="18"/>
                <w:szCs w:val="18"/>
                <w:lang w:val="en-AU" w:eastAsia="en-AU"/>
              </w:rPr>
              <w:t>Financial year estimate</w:t>
            </w:r>
            <w:r w:rsidR="00366551" w:rsidRPr="00565002">
              <w:rPr>
                <w:rFonts w:ascii="Arial" w:hAnsi="Arial" w:cs="Arial"/>
                <w:color w:val="FFFFFF"/>
                <w:sz w:val="18"/>
                <w:szCs w:val="18"/>
                <w:vertAlign w:val="superscript"/>
                <w:lang w:val="en-AU" w:eastAsia="en-AU"/>
              </w:rPr>
              <w:t>(a</w:t>
            </w:r>
            <w:r w:rsidR="00B91FB5">
              <w:rPr>
                <w:rFonts w:ascii="Arial" w:hAnsi="Arial" w:cs="Arial"/>
                <w:color w:val="FFFFFF"/>
                <w:sz w:val="18"/>
                <w:szCs w:val="18"/>
                <w:vertAlign w:val="superscript"/>
                <w:lang w:val="en-AU" w:eastAsia="en-AU"/>
              </w:rPr>
              <w:t>)</w:t>
            </w:r>
            <w:r w:rsidR="000C5964">
              <w:rPr>
                <w:rFonts w:ascii="Arial" w:hAnsi="Arial" w:cs="Arial"/>
                <w:color w:val="FFFFFF"/>
                <w:sz w:val="18"/>
                <w:szCs w:val="18"/>
                <w:vertAlign w:val="superscript"/>
                <w:lang w:val="en-AU" w:eastAsia="en-AU"/>
              </w:rPr>
              <w:t xml:space="preserve"> </w:t>
            </w:r>
          </w:p>
        </w:tc>
        <w:tc>
          <w:tcPr>
            <w:tcW w:w="1260" w:type="dxa"/>
            <w:tcBorders>
              <w:top w:val="nil"/>
              <w:left w:val="nil"/>
              <w:bottom w:val="nil"/>
              <w:right w:val="nil"/>
            </w:tcBorders>
            <w:shd w:val="clear" w:color="auto" w:fill="0070C0"/>
            <w:vAlign w:val="center"/>
            <w:hideMark/>
          </w:tcPr>
          <w:p w14:paraId="4F04C7CB" w14:textId="42859160" w:rsidR="004C49D5" w:rsidRPr="00565002" w:rsidRDefault="004C49D5" w:rsidP="00A6520B">
            <w:pPr>
              <w:spacing w:before="80" w:after="80"/>
              <w:jc w:val="center"/>
              <w:rPr>
                <w:rFonts w:ascii="Arial" w:hAnsi="Arial" w:cs="Arial"/>
                <w:color w:val="FFFFFF"/>
                <w:sz w:val="18"/>
                <w:szCs w:val="18"/>
                <w:lang w:val="en-AU" w:eastAsia="en-AU"/>
              </w:rPr>
            </w:pPr>
            <w:r w:rsidRPr="00565002">
              <w:rPr>
                <w:rFonts w:ascii="Arial" w:hAnsi="Arial" w:cs="Arial"/>
                <w:color w:val="FFFFFF"/>
                <w:sz w:val="18"/>
                <w:szCs w:val="18"/>
                <w:lang w:val="en-AU" w:eastAsia="en-AU"/>
              </w:rPr>
              <w:t>2019-20</w:t>
            </w:r>
          </w:p>
        </w:tc>
        <w:tc>
          <w:tcPr>
            <w:tcW w:w="1260" w:type="dxa"/>
            <w:tcBorders>
              <w:top w:val="nil"/>
              <w:left w:val="nil"/>
              <w:bottom w:val="nil"/>
              <w:right w:val="nil"/>
            </w:tcBorders>
            <w:shd w:val="clear" w:color="auto" w:fill="0070C0"/>
            <w:vAlign w:val="center"/>
            <w:hideMark/>
          </w:tcPr>
          <w:p w14:paraId="05719383" w14:textId="77777777" w:rsidR="004C49D5" w:rsidRPr="00565002" w:rsidRDefault="004C49D5" w:rsidP="00A6520B">
            <w:pPr>
              <w:spacing w:before="80" w:after="80"/>
              <w:jc w:val="center"/>
              <w:rPr>
                <w:rFonts w:ascii="Arial" w:hAnsi="Arial" w:cs="Arial"/>
                <w:color w:val="FFFFFF"/>
                <w:sz w:val="18"/>
                <w:szCs w:val="18"/>
                <w:lang w:val="en-AU" w:eastAsia="en-AU"/>
              </w:rPr>
            </w:pPr>
            <w:r w:rsidRPr="00565002">
              <w:rPr>
                <w:rFonts w:ascii="Arial" w:hAnsi="Arial" w:cs="Arial"/>
                <w:color w:val="FFFFFF"/>
                <w:sz w:val="18"/>
                <w:szCs w:val="18"/>
                <w:lang w:val="en-AU" w:eastAsia="en-AU"/>
              </w:rPr>
              <w:t>2020-21</w:t>
            </w:r>
          </w:p>
        </w:tc>
        <w:tc>
          <w:tcPr>
            <w:tcW w:w="1260" w:type="dxa"/>
            <w:tcBorders>
              <w:top w:val="nil"/>
              <w:left w:val="nil"/>
              <w:bottom w:val="nil"/>
              <w:right w:val="nil"/>
            </w:tcBorders>
            <w:shd w:val="clear" w:color="auto" w:fill="0070C0"/>
            <w:vAlign w:val="center"/>
            <w:hideMark/>
          </w:tcPr>
          <w:p w14:paraId="7134B71E" w14:textId="77777777" w:rsidR="004C49D5" w:rsidRPr="00565002" w:rsidRDefault="004C49D5" w:rsidP="00A6520B">
            <w:pPr>
              <w:spacing w:before="80" w:after="80"/>
              <w:jc w:val="center"/>
              <w:rPr>
                <w:rFonts w:ascii="Arial" w:hAnsi="Arial" w:cs="Arial"/>
                <w:color w:val="FFFFFF"/>
                <w:sz w:val="18"/>
                <w:szCs w:val="18"/>
                <w:lang w:val="en-AU" w:eastAsia="en-AU"/>
              </w:rPr>
            </w:pPr>
            <w:r w:rsidRPr="00565002">
              <w:rPr>
                <w:rFonts w:ascii="Arial" w:hAnsi="Arial" w:cs="Arial"/>
                <w:color w:val="FFFFFF"/>
                <w:sz w:val="18"/>
                <w:szCs w:val="18"/>
                <w:lang w:val="en-AU" w:eastAsia="en-AU"/>
              </w:rPr>
              <w:t>2021-22</w:t>
            </w:r>
          </w:p>
        </w:tc>
        <w:tc>
          <w:tcPr>
            <w:tcW w:w="1260" w:type="dxa"/>
            <w:tcBorders>
              <w:top w:val="nil"/>
              <w:left w:val="nil"/>
              <w:bottom w:val="nil"/>
              <w:right w:val="nil"/>
            </w:tcBorders>
            <w:shd w:val="clear" w:color="auto" w:fill="0070C0"/>
            <w:vAlign w:val="center"/>
            <w:hideMark/>
          </w:tcPr>
          <w:p w14:paraId="0E61F263" w14:textId="77777777" w:rsidR="004C49D5" w:rsidRPr="00565002" w:rsidRDefault="004C49D5" w:rsidP="00A6520B">
            <w:pPr>
              <w:spacing w:before="80" w:after="80"/>
              <w:jc w:val="center"/>
              <w:rPr>
                <w:rFonts w:ascii="Arial" w:hAnsi="Arial" w:cs="Arial"/>
                <w:color w:val="FFFFFF"/>
                <w:sz w:val="18"/>
                <w:szCs w:val="18"/>
                <w:lang w:val="en-AU" w:eastAsia="en-AU"/>
              </w:rPr>
            </w:pPr>
            <w:r w:rsidRPr="00565002">
              <w:rPr>
                <w:rFonts w:ascii="Arial" w:hAnsi="Arial" w:cs="Arial"/>
                <w:color w:val="FFFFFF"/>
                <w:sz w:val="18"/>
                <w:szCs w:val="18"/>
                <w:lang w:val="en-AU" w:eastAsia="en-AU"/>
              </w:rPr>
              <w:t>2022-23</w:t>
            </w:r>
          </w:p>
        </w:tc>
      </w:tr>
      <w:tr w:rsidR="00565002" w:rsidRPr="00565002" w14:paraId="4FEF9FA1" w14:textId="77777777" w:rsidTr="00565002">
        <w:trPr>
          <w:trHeight w:val="255"/>
        </w:trPr>
        <w:tc>
          <w:tcPr>
            <w:tcW w:w="4536" w:type="dxa"/>
            <w:tcBorders>
              <w:top w:val="nil"/>
              <w:left w:val="nil"/>
              <w:bottom w:val="nil"/>
              <w:right w:val="nil"/>
            </w:tcBorders>
            <w:shd w:val="clear" w:color="auto" w:fill="auto"/>
            <w:vAlign w:val="center"/>
            <w:hideMark/>
          </w:tcPr>
          <w:p w14:paraId="70588999" w14:textId="4542BE2E" w:rsidR="004C49D5" w:rsidRPr="00565002" w:rsidRDefault="004C49D5" w:rsidP="004C49D5">
            <w:pPr>
              <w:rPr>
                <w:rFonts w:ascii="Arial" w:hAnsi="Arial" w:cs="Arial"/>
                <w:sz w:val="18"/>
                <w:szCs w:val="18"/>
                <w:lang w:val="en-AU" w:eastAsia="en-AU"/>
              </w:rPr>
            </w:pPr>
            <w:r w:rsidRPr="00565002">
              <w:rPr>
                <w:rFonts w:ascii="Arial" w:hAnsi="Arial" w:cs="Arial"/>
                <w:sz w:val="18"/>
                <w:szCs w:val="18"/>
                <w:lang w:val="en-AU" w:eastAsia="en-AU"/>
              </w:rPr>
              <w:t xml:space="preserve">State </w:t>
            </w:r>
            <w:r w:rsidR="00064E45" w:rsidRPr="00565002">
              <w:rPr>
                <w:rFonts w:ascii="Arial" w:hAnsi="Arial" w:cs="Arial"/>
                <w:sz w:val="18"/>
                <w:szCs w:val="18"/>
                <w:lang w:val="en-AU" w:eastAsia="en-AU"/>
              </w:rPr>
              <w:t>f</w:t>
            </w:r>
            <w:r w:rsidRPr="00565002">
              <w:rPr>
                <w:rFonts w:ascii="Arial" w:hAnsi="Arial" w:cs="Arial"/>
                <w:sz w:val="18"/>
                <w:szCs w:val="18"/>
                <w:lang w:val="en-AU" w:eastAsia="en-AU"/>
              </w:rPr>
              <w:t xml:space="preserve">inal </w:t>
            </w:r>
            <w:r w:rsidR="00064E45" w:rsidRPr="00565002">
              <w:rPr>
                <w:rFonts w:ascii="Arial" w:hAnsi="Arial" w:cs="Arial"/>
                <w:sz w:val="18"/>
                <w:szCs w:val="18"/>
                <w:lang w:val="en-AU" w:eastAsia="en-AU"/>
              </w:rPr>
              <w:t>d</w:t>
            </w:r>
            <w:r w:rsidRPr="00565002">
              <w:rPr>
                <w:rFonts w:ascii="Arial" w:hAnsi="Arial" w:cs="Arial"/>
                <w:sz w:val="18"/>
                <w:szCs w:val="18"/>
                <w:lang w:val="en-AU" w:eastAsia="en-AU"/>
              </w:rPr>
              <w:t>emand</w:t>
            </w:r>
          </w:p>
        </w:tc>
        <w:tc>
          <w:tcPr>
            <w:tcW w:w="1260" w:type="dxa"/>
            <w:tcBorders>
              <w:top w:val="nil"/>
              <w:left w:val="nil"/>
              <w:bottom w:val="nil"/>
              <w:right w:val="nil"/>
            </w:tcBorders>
            <w:shd w:val="clear" w:color="auto" w:fill="auto"/>
            <w:vAlign w:val="center"/>
            <w:hideMark/>
          </w:tcPr>
          <w:p w14:paraId="0FA39E68"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0.1</w:t>
            </w:r>
          </w:p>
        </w:tc>
        <w:tc>
          <w:tcPr>
            <w:tcW w:w="1260" w:type="dxa"/>
            <w:tcBorders>
              <w:top w:val="nil"/>
              <w:left w:val="nil"/>
              <w:bottom w:val="nil"/>
              <w:right w:val="nil"/>
            </w:tcBorders>
            <w:shd w:val="clear" w:color="auto" w:fill="auto"/>
            <w:vAlign w:val="center"/>
            <w:hideMark/>
          </w:tcPr>
          <w:p w14:paraId="1300BDF2"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0.2</w:t>
            </w:r>
          </w:p>
        </w:tc>
        <w:tc>
          <w:tcPr>
            <w:tcW w:w="1260" w:type="dxa"/>
            <w:tcBorders>
              <w:top w:val="nil"/>
              <w:left w:val="nil"/>
              <w:bottom w:val="nil"/>
              <w:right w:val="nil"/>
            </w:tcBorders>
            <w:shd w:val="clear" w:color="auto" w:fill="auto"/>
            <w:vAlign w:val="center"/>
            <w:hideMark/>
          </w:tcPr>
          <w:p w14:paraId="1E83AF4E"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0.1</w:t>
            </w:r>
          </w:p>
        </w:tc>
        <w:tc>
          <w:tcPr>
            <w:tcW w:w="1260" w:type="dxa"/>
            <w:tcBorders>
              <w:top w:val="nil"/>
              <w:left w:val="nil"/>
              <w:bottom w:val="nil"/>
              <w:right w:val="nil"/>
            </w:tcBorders>
            <w:shd w:val="clear" w:color="auto" w:fill="auto"/>
            <w:vAlign w:val="center"/>
            <w:hideMark/>
          </w:tcPr>
          <w:p w14:paraId="3CE8F444"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0.1</w:t>
            </w:r>
          </w:p>
        </w:tc>
      </w:tr>
      <w:tr w:rsidR="00565002" w:rsidRPr="00565002" w14:paraId="7D21A514" w14:textId="77777777" w:rsidTr="00565002">
        <w:trPr>
          <w:trHeight w:val="255"/>
        </w:trPr>
        <w:tc>
          <w:tcPr>
            <w:tcW w:w="4536" w:type="dxa"/>
            <w:tcBorders>
              <w:top w:val="nil"/>
              <w:left w:val="nil"/>
              <w:bottom w:val="nil"/>
              <w:right w:val="nil"/>
            </w:tcBorders>
            <w:shd w:val="clear" w:color="auto" w:fill="auto"/>
            <w:vAlign w:val="center"/>
            <w:hideMark/>
          </w:tcPr>
          <w:p w14:paraId="36CBD5E8" w14:textId="66B8526A" w:rsidR="004C49D5" w:rsidRPr="00565002" w:rsidRDefault="004C49D5" w:rsidP="004C49D5">
            <w:pPr>
              <w:rPr>
                <w:rFonts w:ascii="Arial" w:hAnsi="Arial" w:cs="Arial"/>
                <w:sz w:val="18"/>
                <w:szCs w:val="18"/>
                <w:lang w:val="en-AU" w:eastAsia="en-AU"/>
              </w:rPr>
            </w:pPr>
            <w:r w:rsidRPr="00565002">
              <w:rPr>
                <w:rFonts w:ascii="Arial" w:hAnsi="Arial" w:cs="Arial"/>
                <w:sz w:val="18"/>
                <w:szCs w:val="18"/>
                <w:lang w:val="en-AU" w:eastAsia="en-AU"/>
              </w:rPr>
              <w:t xml:space="preserve">Gross </w:t>
            </w:r>
            <w:r w:rsidR="00064E45" w:rsidRPr="00565002">
              <w:rPr>
                <w:rFonts w:ascii="Arial" w:hAnsi="Arial" w:cs="Arial"/>
                <w:sz w:val="18"/>
                <w:szCs w:val="18"/>
                <w:lang w:val="en-AU" w:eastAsia="en-AU"/>
              </w:rPr>
              <w:t>s</w:t>
            </w:r>
            <w:r w:rsidRPr="00565002">
              <w:rPr>
                <w:rFonts w:ascii="Arial" w:hAnsi="Arial" w:cs="Arial"/>
                <w:sz w:val="18"/>
                <w:szCs w:val="18"/>
                <w:lang w:val="en-AU" w:eastAsia="en-AU"/>
              </w:rPr>
              <w:t xml:space="preserve">tate </w:t>
            </w:r>
            <w:r w:rsidR="00064E45" w:rsidRPr="00565002">
              <w:rPr>
                <w:rFonts w:ascii="Arial" w:hAnsi="Arial" w:cs="Arial"/>
                <w:sz w:val="18"/>
                <w:szCs w:val="18"/>
                <w:lang w:val="en-AU" w:eastAsia="en-AU"/>
              </w:rPr>
              <w:t>p</w:t>
            </w:r>
            <w:r w:rsidRPr="00565002">
              <w:rPr>
                <w:rFonts w:ascii="Arial" w:hAnsi="Arial" w:cs="Arial"/>
                <w:sz w:val="18"/>
                <w:szCs w:val="18"/>
                <w:lang w:val="en-AU" w:eastAsia="en-AU"/>
              </w:rPr>
              <w:t>roduct</w:t>
            </w:r>
          </w:p>
        </w:tc>
        <w:tc>
          <w:tcPr>
            <w:tcW w:w="1260" w:type="dxa"/>
            <w:tcBorders>
              <w:top w:val="nil"/>
              <w:left w:val="nil"/>
              <w:bottom w:val="nil"/>
              <w:right w:val="nil"/>
            </w:tcBorders>
            <w:shd w:val="clear" w:color="auto" w:fill="auto"/>
            <w:vAlign w:val="center"/>
            <w:hideMark/>
          </w:tcPr>
          <w:p w14:paraId="44D9E6C5"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0.1</w:t>
            </w:r>
          </w:p>
        </w:tc>
        <w:tc>
          <w:tcPr>
            <w:tcW w:w="1260" w:type="dxa"/>
            <w:tcBorders>
              <w:top w:val="nil"/>
              <w:left w:val="nil"/>
              <w:bottom w:val="nil"/>
              <w:right w:val="nil"/>
            </w:tcBorders>
            <w:shd w:val="clear" w:color="auto" w:fill="auto"/>
            <w:vAlign w:val="center"/>
            <w:hideMark/>
          </w:tcPr>
          <w:p w14:paraId="7676E3F6"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0.2</w:t>
            </w:r>
          </w:p>
        </w:tc>
        <w:tc>
          <w:tcPr>
            <w:tcW w:w="1260" w:type="dxa"/>
            <w:tcBorders>
              <w:top w:val="nil"/>
              <w:left w:val="nil"/>
              <w:bottom w:val="nil"/>
              <w:right w:val="nil"/>
            </w:tcBorders>
            <w:shd w:val="clear" w:color="auto" w:fill="auto"/>
            <w:vAlign w:val="center"/>
            <w:hideMark/>
          </w:tcPr>
          <w:p w14:paraId="4A1450BF"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0.3</w:t>
            </w:r>
          </w:p>
        </w:tc>
        <w:tc>
          <w:tcPr>
            <w:tcW w:w="1260" w:type="dxa"/>
            <w:tcBorders>
              <w:top w:val="nil"/>
              <w:left w:val="nil"/>
              <w:bottom w:val="nil"/>
              <w:right w:val="nil"/>
            </w:tcBorders>
            <w:shd w:val="clear" w:color="auto" w:fill="auto"/>
            <w:vAlign w:val="center"/>
            <w:hideMark/>
          </w:tcPr>
          <w:p w14:paraId="086A9D4F"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0.3</w:t>
            </w:r>
          </w:p>
        </w:tc>
      </w:tr>
      <w:tr w:rsidR="00565002" w:rsidRPr="00565002" w14:paraId="708272B6" w14:textId="77777777" w:rsidTr="00565002">
        <w:trPr>
          <w:trHeight w:val="255"/>
        </w:trPr>
        <w:tc>
          <w:tcPr>
            <w:tcW w:w="4536" w:type="dxa"/>
            <w:tcBorders>
              <w:top w:val="nil"/>
              <w:left w:val="nil"/>
              <w:bottom w:val="nil"/>
              <w:right w:val="nil"/>
            </w:tcBorders>
            <w:shd w:val="clear" w:color="auto" w:fill="auto"/>
            <w:vAlign w:val="center"/>
            <w:hideMark/>
          </w:tcPr>
          <w:p w14:paraId="0EC6F81D" w14:textId="77777777" w:rsidR="004C49D5" w:rsidRPr="00565002" w:rsidRDefault="004C49D5" w:rsidP="004C49D5">
            <w:pPr>
              <w:rPr>
                <w:rFonts w:ascii="Arial" w:hAnsi="Arial" w:cs="Arial"/>
                <w:sz w:val="18"/>
                <w:szCs w:val="18"/>
                <w:lang w:val="en-AU" w:eastAsia="en-AU"/>
              </w:rPr>
            </w:pPr>
            <w:r w:rsidRPr="00565002">
              <w:rPr>
                <w:rFonts w:ascii="Arial" w:hAnsi="Arial" w:cs="Arial"/>
                <w:sz w:val="18"/>
                <w:szCs w:val="18"/>
                <w:lang w:val="en-AU" w:eastAsia="en-AU"/>
              </w:rPr>
              <w:t>Employment</w:t>
            </w:r>
          </w:p>
        </w:tc>
        <w:tc>
          <w:tcPr>
            <w:tcW w:w="1260" w:type="dxa"/>
            <w:tcBorders>
              <w:top w:val="nil"/>
              <w:left w:val="nil"/>
              <w:bottom w:val="nil"/>
              <w:right w:val="nil"/>
            </w:tcBorders>
            <w:shd w:val="clear" w:color="auto" w:fill="auto"/>
            <w:vAlign w:val="center"/>
            <w:hideMark/>
          </w:tcPr>
          <w:p w14:paraId="02293027"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0.1</w:t>
            </w:r>
          </w:p>
        </w:tc>
        <w:tc>
          <w:tcPr>
            <w:tcW w:w="1260" w:type="dxa"/>
            <w:tcBorders>
              <w:top w:val="nil"/>
              <w:left w:val="nil"/>
              <w:bottom w:val="nil"/>
              <w:right w:val="nil"/>
            </w:tcBorders>
            <w:shd w:val="clear" w:color="auto" w:fill="auto"/>
            <w:vAlign w:val="center"/>
            <w:hideMark/>
          </w:tcPr>
          <w:p w14:paraId="012903D1"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0.3</w:t>
            </w:r>
          </w:p>
        </w:tc>
        <w:tc>
          <w:tcPr>
            <w:tcW w:w="1260" w:type="dxa"/>
            <w:tcBorders>
              <w:top w:val="nil"/>
              <w:left w:val="nil"/>
              <w:bottom w:val="nil"/>
              <w:right w:val="nil"/>
            </w:tcBorders>
            <w:shd w:val="clear" w:color="auto" w:fill="auto"/>
            <w:vAlign w:val="center"/>
            <w:hideMark/>
          </w:tcPr>
          <w:p w14:paraId="1D840C86"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0.4</w:t>
            </w:r>
          </w:p>
        </w:tc>
        <w:tc>
          <w:tcPr>
            <w:tcW w:w="1260" w:type="dxa"/>
            <w:tcBorders>
              <w:top w:val="nil"/>
              <w:left w:val="nil"/>
              <w:bottom w:val="nil"/>
              <w:right w:val="nil"/>
            </w:tcBorders>
            <w:shd w:val="clear" w:color="auto" w:fill="auto"/>
            <w:vAlign w:val="center"/>
            <w:hideMark/>
          </w:tcPr>
          <w:p w14:paraId="6DE11F80"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0.5</w:t>
            </w:r>
          </w:p>
        </w:tc>
      </w:tr>
      <w:tr w:rsidR="00565002" w:rsidRPr="00565002" w14:paraId="1848C0A4" w14:textId="77777777" w:rsidTr="00565002">
        <w:trPr>
          <w:trHeight w:val="255"/>
        </w:trPr>
        <w:tc>
          <w:tcPr>
            <w:tcW w:w="4536" w:type="dxa"/>
            <w:tcBorders>
              <w:top w:val="nil"/>
              <w:left w:val="nil"/>
              <w:bottom w:val="nil"/>
              <w:right w:val="nil"/>
            </w:tcBorders>
            <w:shd w:val="clear" w:color="auto" w:fill="auto"/>
            <w:vAlign w:val="center"/>
            <w:hideMark/>
          </w:tcPr>
          <w:p w14:paraId="5777A66E" w14:textId="77777777" w:rsidR="004C49D5" w:rsidRPr="00565002" w:rsidRDefault="004C49D5" w:rsidP="004C49D5">
            <w:pPr>
              <w:rPr>
                <w:rFonts w:ascii="Arial" w:hAnsi="Arial" w:cs="Arial"/>
                <w:sz w:val="18"/>
                <w:szCs w:val="18"/>
                <w:lang w:val="en-AU" w:eastAsia="en-AU"/>
              </w:rPr>
            </w:pPr>
            <w:r w:rsidRPr="00565002">
              <w:rPr>
                <w:rFonts w:ascii="Arial" w:hAnsi="Arial" w:cs="Arial"/>
                <w:sz w:val="18"/>
                <w:szCs w:val="18"/>
                <w:lang w:val="en-AU" w:eastAsia="en-AU"/>
              </w:rPr>
              <w:t>Unemployment rate</w:t>
            </w:r>
          </w:p>
        </w:tc>
        <w:tc>
          <w:tcPr>
            <w:tcW w:w="1260" w:type="dxa"/>
            <w:tcBorders>
              <w:top w:val="nil"/>
              <w:left w:val="nil"/>
              <w:bottom w:val="nil"/>
              <w:right w:val="nil"/>
            </w:tcBorders>
            <w:shd w:val="clear" w:color="000000" w:fill="FFFFFF"/>
            <w:vAlign w:val="center"/>
            <w:hideMark/>
          </w:tcPr>
          <w:p w14:paraId="24389C9C"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0.3</w:t>
            </w:r>
          </w:p>
        </w:tc>
        <w:tc>
          <w:tcPr>
            <w:tcW w:w="1260" w:type="dxa"/>
            <w:tcBorders>
              <w:top w:val="nil"/>
              <w:left w:val="nil"/>
              <w:bottom w:val="nil"/>
              <w:right w:val="nil"/>
            </w:tcBorders>
            <w:shd w:val="clear" w:color="000000" w:fill="FFFFFF"/>
            <w:vAlign w:val="center"/>
            <w:hideMark/>
          </w:tcPr>
          <w:p w14:paraId="2ADCCD90"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0.5</w:t>
            </w:r>
          </w:p>
        </w:tc>
        <w:tc>
          <w:tcPr>
            <w:tcW w:w="1260" w:type="dxa"/>
            <w:tcBorders>
              <w:top w:val="nil"/>
              <w:left w:val="nil"/>
              <w:bottom w:val="nil"/>
              <w:right w:val="nil"/>
            </w:tcBorders>
            <w:shd w:val="clear" w:color="000000" w:fill="FFFFFF"/>
            <w:vAlign w:val="center"/>
            <w:hideMark/>
          </w:tcPr>
          <w:p w14:paraId="73C6CC53"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0.3</w:t>
            </w:r>
          </w:p>
        </w:tc>
        <w:tc>
          <w:tcPr>
            <w:tcW w:w="1260" w:type="dxa"/>
            <w:tcBorders>
              <w:top w:val="nil"/>
              <w:left w:val="nil"/>
              <w:bottom w:val="nil"/>
              <w:right w:val="nil"/>
            </w:tcBorders>
            <w:shd w:val="clear" w:color="000000" w:fill="FFFFFF"/>
            <w:vAlign w:val="center"/>
            <w:hideMark/>
          </w:tcPr>
          <w:p w14:paraId="2C998324"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0.1</w:t>
            </w:r>
          </w:p>
        </w:tc>
      </w:tr>
      <w:tr w:rsidR="00565002" w:rsidRPr="00565002" w14:paraId="14D0B055" w14:textId="77777777" w:rsidTr="00565002">
        <w:trPr>
          <w:trHeight w:val="255"/>
        </w:trPr>
        <w:tc>
          <w:tcPr>
            <w:tcW w:w="4536" w:type="dxa"/>
            <w:tcBorders>
              <w:top w:val="nil"/>
              <w:left w:val="nil"/>
              <w:bottom w:val="nil"/>
              <w:right w:val="nil"/>
            </w:tcBorders>
            <w:shd w:val="clear" w:color="auto" w:fill="auto"/>
            <w:vAlign w:val="center"/>
            <w:hideMark/>
          </w:tcPr>
          <w:p w14:paraId="3A130EC6" w14:textId="2A3736E8" w:rsidR="004C49D5" w:rsidRPr="00565002" w:rsidRDefault="004C49D5" w:rsidP="004C49D5">
            <w:pPr>
              <w:rPr>
                <w:rFonts w:ascii="Arial" w:hAnsi="Arial" w:cs="Arial"/>
                <w:sz w:val="18"/>
                <w:szCs w:val="18"/>
                <w:lang w:val="en-AU" w:eastAsia="en-AU"/>
              </w:rPr>
            </w:pPr>
            <w:r w:rsidRPr="00565002">
              <w:rPr>
                <w:rFonts w:ascii="Arial" w:hAnsi="Arial" w:cs="Arial"/>
                <w:sz w:val="18"/>
                <w:szCs w:val="18"/>
                <w:lang w:val="en-AU" w:eastAsia="en-AU"/>
              </w:rPr>
              <w:t xml:space="preserve">Consumer </w:t>
            </w:r>
            <w:r w:rsidR="00064E45" w:rsidRPr="00565002">
              <w:rPr>
                <w:rFonts w:ascii="Arial" w:hAnsi="Arial" w:cs="Arial"/>
                <w:sz w:val="18"/>
                <w:szCs w:val="18"/>
                <w:lang w:val="en-AU" w:eastAsia="en-AU"/>
              </w:rPr>
              <w:t>p</w:t>
            </w:r>
            <w:r w:rsidRPr="00565002">
              <w:rPr>
                <w:rFonts w:ascii="Arial" w:hAnsi="Arial" w:cs="Arial"/>
                <w:sz w:val="18"/>
                <w:szCs w:val="18"/>
                <w:lang w:val="en-AU" w:eastAsia="en-AU"/>
              </w:rPr>
              <w:t xml:space="preserve">rice </w:t>
            </w:r>
            <w:r w:rsidR="00064E45" w:rsidRPr="00565002">
              <w:rPr>
                <w:rFonts w:ascii="Arial" w:hAnsi="Arial" w:cs="Arial"/>
                <w:sz w:val="18"/>
                <w:szCs w:val="18"/>
                <w:lang w:val="en-AU" w:eastAsia="en-AU"/>
              </w:rPr>
              <w:t>i</w:t>
            </w:r>
            <w:r w:rsidRPr="00565002">
              <w:rPr>
                <w:rFonts w:ascii="Arial" w:hAnsi="Arial" w:cs="Arial"/>
                <w:sz w:val="18"/>
                <w:szCs w:val="18"/>
                <w:lang w:val="en-AU" w:eastAsia="en-AU"/>
              </w:rPr>
              <w:t>ndex</w:t>
            </w:r>
          </w:p>
        </w:tc>
        <w:tc>
          <w:tcPr>
            <w:tcW w:w="1260" w:type="dxa"/>
            <w:tcBorders>
              <w:top w:val="nil"/>
              <w:left w:val="nil"/>
              <w:bottom w:val="nil"/>
              <w:right w:val="nil"/>
            </w:tcBorders>
            <w:shd w:val="clear" w:color="000000" w:fill="FFFFFF"/>
            <w:vAlign w:val="center"/>
            <w:hideMark/>
          </w:tcPr>
          <w:p w14:paraId="082A8871" w14:textId="77777777" w:rsidR="004C49D5" w:rsidRPr="00565002" w:rsidRDefault="004C49D5"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0.0</w:t>
            </w:r>
          </w:p>
        </w:tc>
        <w:tc>
          <w:tcPr>
            <w:tcW w:w="1260" w:type="dxa"/>
            <w:tcBorders>
              <w:top w:val="nil"/>
              <w:left w:val="nil"/>
              <w:bottom w:val="nil"/>
              <w:right w:val="nil"/>
            </w:tcBorders>
            <w:shd w:val="clear" w:color="000000" w:fill="FFFFFF"/>
            <w:vAlign w:val="center"/>
            <w:hideMark/>
          </w:tcPr>
          <w:p w14:paraId="62C1079A" w14:textId="7FD6A432" w:rsidR="004C49D5" w:rsidRPr="00565002" w:rsidRDefault="000C61A1"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w:t>
            </w:r>
            <w:r w:rsidR="004C49D5" w:rsidRPr="00565002">
              <w:rPr>
                <w:rFonts w:ascii="Arial" w:hAnsi="Arial" w:cs="Arial"/>
                <w:sz w:val="18"/>
                <w:szCs w:val="18"/>
                <w:lang w:val="en-AU" w:eastAsia="en-AU"/>
              </w:rPr>
              <w:t>0.1</w:t>
            </w:r>
            <w:r w:rsidRPr="00565002">
              <w:rPr>
                <w:rFonts w:ascii="Arial" w:hAnsi="Arial" w:cs="Arial"/>
                <w:sz w:val="18"/>
                <w:szCs w:val="18"/>
                <w:lang w:val="en-AU" w:eastAsia="en-AU"/>
              </w:rPr>
              <w:t>)</w:t>
            </w:r>
          </w:p>
        </w:tc>
        <w:tc>
          <w:tcPr>
            <w:tcW w:w="1260" w:type="dxa"/>
            <w:tcBorders>
              <w:top w:val="nil"/>
              <w:left w:val="nil"/>
              <w:bottom w:val="nil"/>
              <w:right w:val="nil"/>
            </w:tcBorders>
            <w:shd w:val="clear" w:color="000000" w:fill="FFFFFF"/>
            <w:vAlign w:val="center"/>
            <w:hideMark/>
          </w:tcPr>
          <w:p w14:paraId="224D93C3" w14:textId="2521FB78" w:rsidR="004C49D5" w:rsidRPr="00565002" w:rsidRDefault="00991B17"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w:t>
            </w:r>
            <w:r w:rsidR="004C49D5" w:rsidRPr="00565002">
              <w:rPr>
                <w:rFonts w:ascii="Arial" w:hAnsi="Arial" w:cs="Arial"/>
                <w:sz w:val="18"/>
                <w:szCs w:val="18"/>
                <w:lang w:val="en-AU" w:eastAsia="en-AU"/>
              </w:rPr>
              <w:t>0.3</w:t>
            </w:r>
            <w:r w:rsidRPr="00565002">
              <w:rPr>
                <w:rFonts w:ascii="Arial" w:hAnsi="Arial" w:cs="Arial"/>
                <w:sz w:val="18"/>
                <w:szCs w:val="18"/>
                <w:lang w:val="en-AU" w:eastAsia="en-AU"/>
              </w:rPr>
              <w:t>)</w:t>
            </w:r>
          </w:p>
        </w:tc>
        <w:tc>
          <w:tcPr>
            <w:tcW w:w="1260" w:type="dxa"/>
            <w:tcBorders>
              <w:top w:val="nil"/>
              <w:left w:val="nil"/>
              <w:bottom w:val="nil"/>
              <w:right w:val="nil"/>
            </w:tcBorders>
            <w:shd w:val="clear" w:color="000000" w:fill="FFFFFF"/>
            <w:vAlign w:val="center"/>
            <w:hideMark/>
          </w:tcPr>
          <w:p w14:paraId="152A5A23" w14:textId="7E4E00E0" w:rsidR="004C49D5" w:rsidRPr="00565002" w:rsidRDefault="00991B17"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w:t>
            </w:r>
            <w:r w:rsidR="004C49D5" w:rsidRPr="00565002">
              <w:rPr>
                <w:rFonts w:ascii="Arial" w:hAnsi="Arial" w:cs="Arial"/>
                <w:sz w:val="18"/>
                <w:szCs w:val="18"/>
                <w:lang w:val="en-AU" w:eastAsia="en-AU"/>
              </w:rPr>
              <w:t>0.3</w:t>
            </w:r>
            <w:r w:rsidRPr="00565002">
              <w:rPr>
                <w:rFonts w:ascii="Arial" w:hAnsi="Arial" w:cs="Arial"/>
                <w:sz w:val="18"/>
                <w:szCs w:val="18"/>
                <w:lang w:val="en-AU" w:eastAsia="en-AU"/>
              </w:rPr>
              <w:t>)</w:t>
            </w:r>
          </w:p>
        </w:tc>
      </w:tr>
      <w:tr w:rsidR="00565002" w:rsidRPr="00565002" w14:paraId="52C12DC7" w14:textId="77777777" w:rsidTr="00565002">
        <w:trPr>
          <w:trHeight w:val="255"/>
        </w:trPr>
        <w:tc>
          <w:tcPr>
            <w:tcW w:w="4536" w:type="dxa"/>
            <w:tcBorders>
              <w:top w:val="nil"/>
              <w:left w:val="nil"/>
              <w:bottom w:val="nil"/>
              <w:right w:val="nil"/>
            </w:tcBorders>
            <w:shd w:val="clear" w:color="000000" w:fill="FFFFFF"/>
            <w:vAlign w:val="center"/>
            <w:hideMark/>
          </w:tcPr>
          <w:p w14:paraId="25096886" w14:textId="34417933" w:rsidR="004C49D5" w:rsidRPr="00565002" w:rsidRDefault="004C49D5" w:rsidP="004C49D5">
            <w:pPr>
              <w:rPr>
                <w:rFonts w:ascii="Arial" w:hAnsi="Arial" w:cs="Arial"/>
                <w:sz w:val="18"/>
                <w:szCs w:val="18"/>
                <w:lang w:val="en-AU" w:eastAsia="en-AU"/>
              </w:rPr>
            </w:pPr>
            <w:r w:rsidRPr="00565002">
              <w:rPr>
                <w:rFonts w:ascii="Arial" w:hAnsi="Arial" w:cs="Arial"/>
                <w:sz w:val="18"/>
                <w:szCs w:val="18"/>
                <w:lang w:val="en-AU" w:eastAsia="en-AU"/>
              </w:rPr>
              <w:t xml:space="preserve">Nominal </w:t>
            </w:r>
            <w:r w:rsidR="00064E45" w:rsidRPr="00565002">
              <w:rPr>
                <w:rFonts w:ascii="Arial" w:hAnsi="Arial" w:cs="Arial"/>
                <w:sz w:val="18"/>
                <w:szCs w:val="18"/>
                <w:lang w:val="en-AU" w:eastAsia="en-AU"/>
              </w:rPr>
              <w:t>w</w:t>
            </w:r>
            <w:r w:rsidRPr="00565002">
              <w:rPr>
                <w:rFonts w:ascii="Arial" w:hAnsi="Arial" w:cs="Arial"/>
                <w:sz w:val="18"/>
                <w:szCs w:val="18"/>
                <w:lang w:val="en-AU" w:eastAsia="en-AU"/>
              </w:rPr>
              <w:t>ages</w:t>
            </w:r>
          </w:p>
        </w:tc>
        <w:tc>
          <w:tcPr>
            <w:tcW w:w="1260" w:type="dxa"/>
            <w:tcBorders>
              <w:top w:val="nil"/>
              <w:left w:val="nil"/>
              <w:bottom w:val="nil"/>
              <w:right w:val="nil"/>
            </w:tcBorders>
            <w:shd w:val="clear" w:color="000000" w:fill="FFFFFF"/>
            <w:vAlign w:val="center"/>
            <w:hideMark/>
          </w:tcPr>
          <w:p w14:paraId="74FBA6A2" w14:textId="350097E2" w:rsidR="004C49D5" w:rsidRPr="00565002" w:rsidRDefault="00565002"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w:t>
            </w:r>
            <w:r w:rsidR="004C49D5" w:rsidRPr="00565002">
              <w:rPr>
                <w:rFonts w:ascii="Arial" w:hAnsi="Arial" w:cs="Arial"/>
                <w:sz w:val="18"/>
                <w:szCs w:val="18"/>
                <w:lang w:val="en-AU" w:eastAsia="en-AU"/>
              </w:rPr>
              <w:t>0.2</w:t>
            </w:r>
            <w:r w:rsidRPr="00565002">
              <w:rPr>
                <w:rFonts w:ascii="Arial" w:hAnsi="Arial" w:cs="Arial"/>
                <w:sz w:val="18"/>
                <w:szCs w:val="18"/>
                <w:lang w:val="en-AU" w:eastAsia="en-AU"/>
              </w:rPr>
              <w:t>)</w:t>
            </w:r>
          </w:p>
        </w:tc>
        <w:tc>
          <w:tcPr>
            <w:tcW w:w="1260" w:type="dxa"/>
            <w:tcBorders>
              <w:top w:val="nil"/>
              <w:left w:val="nil"/>
              <w:bottom w:val="nil"/>
              <w:right w:val="nil"/>
            </w:tcBorders>
            <w:shd w:val="clear" w:color="000000" w:fill="FFFFFF"/>
            <w:vAlign w:val="center"/>
            <w:hideMark/>
          </w:tcPr>
          <w:p w14:paraId="75347967" w14:textId="7E017072" w:rsidR="004C49D5" w:rsidRPr="00565002" w:rsidRDefault="00991B17"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w:t>
            </w:r>
            <w:r w:rsidR="004C49D5" w:rsidRPr="00565002">
              <w:rPr>
                <w:rFonts w:ascii="Arial" w:hAnsi="Arial" w:cs="Arial"/>
                <w:sz w:val="18"/>
                <w:szCs w:val="18"/>
                <w:lang w:val="en-AU" w:eastAsia="en-AU"/>
              </w:rPr>
              <w:t>0.7</w:t>
            </w:r>
            <w:r w:rsidRPr="00565002">
              <w:rPr>
                <w:rFonts w:ascii="Arial" w:hAnsi="Arial" w:cs="Arial"/>
                <w:sz w:val="18"/>
                <w:szCs w:val="18"/>
                <w:lang w:val="en-AU" w:eastAsia="en-AU"/>
              </w:rPr>
              <w:t>)</w:t>
            </w:r>
          </w:p>
        </w:tc>
        <w:tc>
          <w:tcPr>
            <w:tcW w:w="1260" w:type="dxa"/>
            <w:tcBorders>
              <w:top w:val="nil"/>
              <w:left w:val="nil"/>
              <w:bottom w:val="nil"/>
              <w:right w:val="nil"/>
            </w:tcBorders>
            <w:shd w:val="clear" w:color="000000" w:fill="FFFFFF"/>
            <w:vAlign w:val="center"/>
            <w:hideMark/>
          </w:tcPr>
          <w:p w14:paraId="79225BA0" w14:textId="672E194A" w:rsidR="004C49D5" w:rsidRPr="00565002" w:rsidRDefault="00991B17"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w:t>
            </w:r>
            <w:r w:rsidR="004C49D5" w:rsidRPr="00565002">
              <w:rPr>
                <w:rFonts w:ascii="Arial" w:hAnsi="Arial" w:cs="Arial"/>
                <w:sz w:val="18"/>
                <w:szCs w:val="18"/>
                <w:lang w:val="en-AU" w:eastAsia="en-AU"/>
              </w:rPr>
              <w:t>0.9</w:t>
            </w:r>
            <w:r w:rsidRPr="00565002">
              <w:rPr>
                <w:rFonts w:ascii="Arial" w:hAnsi="Arial" w:cs="Arial"/>
                <w:sz w:val="18"/>
                <w:szCs w:val="18"/>
                <w:lang w:val="en-AU" w:eastAsia="en-AU"/>
              </w:rPr>
              <w:t>)</w:t>
            </w:r>
          </w:p>
        </w:tc>
        <w:tc>
          <w:tcPr>
            <w:tcW w:w="1260" w:type="dxa"/>
            <w:tcBorders>
              <w:top w:val="nil"/>
              <w:left w:val="nil"/>
              <w:bottom w:val="nil"/>
              <w:right w:val="nil"/>
            </w:tcBorders>
            <w:shd w:val="clear" w:color="000000" w:fill="FFFFFF"/>
            <w:vAlign w:val="center"/>
            <w:hideMark/>
          </w:tcPr>
          <w:p w14:paraId="36220907" w14:textId="7F6F8E33" w:rsidR="004C49D5" w:rsidRPr="00565002" w:rsidRDefault="00991B17"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w:t>
            </w:r>
            <w:r w:rsidR="004C49D5" w:rsidRPr="00565002">
              <w:rPr>
                <w:rFonts w:ascii="Arial" w:hAnsi="Arial" w:cs="Arial"/>
                <w:sz w:val="18"/>
                <w:szCs w:val="18"/>
                <w:lang w:val="en-AU" w:eastAsia="en-AU"/>
              </w:rPr>
              <w:t>1.0</w:t>
            </w:r>
            <w:r w:rsidRPr="00565002">
              <w:rPr>
                <w:rFonts w:ascii="Arial" w:hAnsi="Arial" w:cs="Arial"/>
                <w:sz w:val="18"/>
                <w:szCs w:val="18"/>
                <w:lang w:val="en-AU" w:eastAsia="en-AU"/>
              </w:rPr>
              <w:t>)</w:t>
            </w:r>
          </w:p>
        </w:tc>
      </w:tr>
      <w:tr w:rsidR="00565002" w:rsidRPr="00565002" w14:paraId="325FA879" w14:textId="77777777" w:rsidTr="00565002">
        <w:trPr>
          <w:trHeight w:val="255"/>
        </w:trPr>
        <w:tc>
          <w:tcPr>
            <w:tcW w:w="4536" w:type="dxa"/>
            <w:tcBorders>
              <w:top w:val="nil"/>
              <w:left w:val="nil"/>
              <w:bottom w:val="single" w:sz="4" w:space="0" w:color="auto"/>
              <w:right w:val="nil"/>
            </w:tcBorders>
            <w:shd w:val="clear" w:color="000000" w:fill="FFFFFF"/>
            <w:vAlign w:val="center"/>
          </w:tcPr>
          <w:p w14:paraId="69BF70FE" w14:textId="07B3A344" w:rsidR="00914072" w:rsidRPr="00565002" w:rsidRDefault="00914072" w:rsidP="004C49D5">
            <w:pPr>
              <w:rPr>
                <w:rFonts w:ascii="Arial" w:hAnsi="Arial" w:cs="Arial"/>
                <w:sz w:val="18"/>
                <w:szCs w:val="18"/>
                <w:lang w:val="en-AU" w:eastAsia="en-AU"/>
              </w:rPr>
            </w:pPr>
            <w:r w:rsidRPr="00565002">
              <w:rPr>
                <w:rFonts w:ascii="Arial" w:hAnsi="Arial" w:cs="Arial"/>
                <w:sz w:val="18"/>
                <w:szCs w:val="18"/>
                <w:lang w:val="en-AU" w:eastAsia="en-AU"/>
              </w:rPr>
              <w:t>Working age population</w:t>
            </w:r>
          </w:p>
        </w:tc>
        <w:tc>
          <w:tcPr>
            <w:tcW w:w="1260" w:type="dxa"/>
            <w:tcBorders>
              <w:top w:val="nil"/>
              <w:left w:val="nil"/>
              <w:bottom w:val="single" w:sz="4" w:space="0" w:color="auto"/>
              <w:right w:val="nil"/>
            </w:tcBorders>
            <w:shd w:val="clear" w:color="000000" w:fill="FFFFFF"/>
            <w:vAlign w:val="center"/>
          </w:tcPr>
          <w:p w14:paraId="705EA832" w14:textId="62FB9684" w:rsidR="00914072" w:rsidRPr="00565002" w:rsidRDefault="00914072"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0.0</w:t>
            </w:r>
          </w:p>
        </w:tc>
        <w:tc>
          <w:tcPr>
            <w:tcW w:w="1260" w:type="dxa"/>
            <w:tcBorders>
              <w:top w:val="nil"/>
              <w:left w:val="nil"/>
              <w:bottom w:val="single" w:sz="4" w:space="0" w:color="auto"/>
              <w:right w:val="nil"/>
            </w:tcBorders>
            <w:shd w:val="clear" w:color="000000" w:fill="FFFFFF"/>
            <w:vAlign w:val="center"/>
          </w:tcPr>
          <w:p w14:paraId="7A6783E4" w14:textId="149FBE2C" w:rsidR="00914072" w:rsidRPr="00565002" w:rsidRDefault="00991B17"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w:t>
            </w:r>
            <w:r w:rsidR="00914072" w:rsidRPr="00565002">
              <w:rPr>
                <w:rFonts w:ascii="Arial" w:hAnsi="Arial" w:cs="Arial"/>
                <w:sz w:val="18"/>
                <w:szCs w:val="18"/>
                <w:lang w:val="en-AU" w:eastAsia="en-AU"/>
              </w:rPr>
              <w:t>0.1</w:t>
            </w:r>
            <w:r w:rsidRPr="00565002">
              <w:rPr>
                <w:rFonts w:ascii="Arial" w:hAnsi="Arial" w:cs="Arial"/>
                <w:sz w:val="18"/>
                <w:szCs w:val="18"/>
                <w:lang w:val="en-AU" w:eastAsia="en-AU"/>
              </w:rPr>
              <w:t>)</w:t>
            </w:r>
          </w:p>
        </w:tc>
        <w:tc>
          <w:tcPr>
            <w:tcW w:w="1260" w:type="dxa"/>
            <w:tcBorders>
              <w:top w:val="nil"/>
              <w:left w:val="nil"/>
              <w:bottom w:val="single" w:sz="4" w:space="0" w:color="auto"/>
              <w:right w:val="nil"/>
            </w:tcBorders>
            <w:shd w:val="clear" w:color="000000" w:fill="FFFFFF"/>
            <w:vAlign w:val="center"/>
          </w:tcPr>
          <w:p w14:paraId="703BBA3C" w14:textId="68AFB325" w:rsidR="00914072" w:rsidRPr="00565002" w:rsidRDefault="00991B17"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w:t>
            </w:r>
            <w:r w:rsidR="00914072" w:rsidRPr="00565002">
              <w:rPr>
                <w:rFonts w:ascii="Arial" w:hAnsi="Arial" w:cs="Arial"/>
                <w:sz w:val="18"/>
                <w:szCs w:val="18"/>
                <w:lang w:val="en-AU" w:eastAsia="en-AU"/>
              </w:rPr>
              <w:t>0.3</w:t>
            </w:r>
            <w:r w:rsidRPr="00565002">
              <w:rPr>
                <w:rFonts w:ascii="Arial" w:hAnsi="Arial" w:cs="Arial"/>
                <w:sz w:val="18"/>
                <w:szCs w:val="18"/>
                <w:lang w:val="en-AU" w:eastAsia="en-AU"/>
              </w:rPr>
              <w:t>)</w:t>
            </w:r>
          </w:p>
        </w:tc>
        <w:tc>
          <w:tcPr>
            <w:tcW w:w="1260" w:type="dxa"/>
            <w:tcBorders>
              <w:top w:val="nil"/>
              <w:left w:val="nil"/>
              <w:bottom w:val="single" w:sz="4" w:space="0" w:color="auto"/>
              <w:right w:val="nil"/>
            </w:tcBorders>
            <w:shd w:val="clear" w:color="000000" w:fill="FFFFFF"/>
            <w:vAlign w:val="center"/>
          </w:tcPr>
          <w:p w14:paraId="3E648C1A" w14:textId="36C0C4DD" w:rsidR="00914072" w:rsidRPr="00565002" w:rsidRDefault="00991B17" w:rsidP="00A6520B">
            <w:pPr>
              <w:ind w:left="-388" w:right="300"/>
              <w:jc w:val="right"/>
              <w:rPr>
                <w:rFonts w:ascii="Arial" w:hAnsi="Arial" w:cs="Arial"/>
                <w:sz w:val="18"/>
                <w:szCs w:val="18"/>
                <w:lang w:val="en-AU" w:eastAsia="en-AU"/>
              </w:rPr>
            </w:pPr>
            <w:r w:rsidRPr="00565002">
              <w:rPr>
                <w:rFonts w:ascii="Arial" w:hAnsi="Arial" w:cs="Arial"/>
                <w:sz w:val="18"/>
                <w:szCs w:val="18"/>
                <w:lang w:val="en-AU" w:eastAsia="en-AU"/>
              </w:rPr>
              <w:t>(</w:t>
            </w:r>
            <w:r w:rsidR="00914072" w:rsidRPr="00565002">
              <w:rPr>
                <w:rFonts w:ascii="Arial" w:hAnsi="Arial" w:cs="Arial"/>
                <w:sz w:val="18"/>
                <w:szCs w:val="18"/>
                <w:lang w:val="en-AU" w:eastAsia="en-AU"/>
              </w:rPr>
              <w:t>0.5</w:t>
            </w:r>
            <w:r w:rsidRPr="00565002">
              <w:rPr>
                <w:rFonts w:ascii="Arial" w:hAnsi="Arial" w:cs="Arial"/>
                <w:sz w:val="18"/>
                <w:szCs w:val="18"/>
                <w:lang w:val="en-AU" w:eastAsia="en-AU"/>
              </w:rPr>
              <w:t>)</w:t>
            </w:r>
          </w:p>
        </w:tc>
      </w:tr>
    </w:tbl>
    <w:p w14:paraId="784877F4" w14:textId="77777777" w:rsidR="00072831" w:rsidRPr="00072831" w:rsidRDefault="00072831" w:rsidP="00D70126">
      <w:pPr>
        <w:ind w:left="357" w:hanging="357"/>
        <w:rPr>
          <w:rFonts w:ascii="Arial" w:hAnsi="Arial" w:cs="Arial"/>
          <w:sz w:val="6"/>
          <w:szCs w:val="6"/>
        </w:rPr>
      </w:pPr>
    </w:p>
    <w:p w14:paraId="21BA289A" w14:textId="530AB8B0" w:rsidR="00456F1A" w:rsidRPr="00E7727B" w:rsidRDefault="00456F1A" w:rsidP="00D70126">
      <w:pPr>
        <w:ind w:left="357" w:hanging="357"/>
        <w:rPr>
          <w:rFonts w:ascii="Arial" w:hAnsi="Arial" w:cs="Arial"/>
          <w:i/>
          <w:sz w:val="17"/>
          <w:szCs w:val="17"/>
        </w:rPr>
      </w:pPr>
      <w:r w:rsidRPr="00E7727B">
        <w:rPr>
          <w:rFonts w:ascii="Arial" w:hAnsi="Arial" w:cs="Arial"/>
          <w:sz w:val="17"/>
          <w:szCs w:val="17"/>
        </w:rPr>
        <w:t xml:space="preserve">(a) Figures reported </w:t>
      </w:r>
      <w:r w:rsidR="006471F7" w:rsidRPr="00E7727B">
        <w:rPr>
          <w:rFonts w:ascii="Arial" w:hAnsi="Arial" w:cs="Arial"/>
          <w:sz w:val="17"/>
          <w:szCs w:val="17"/>
        </w:rPr>
        <w:t>are</w:t>
      </w:r>
      <w:r w:rsidRPr="00E7727B">
        <w:rPr>
          <w:rFonts w:ascii="Arial" w:hAnsi="Arial" w:cs="Arial"/>
          <w:sz w:val="17"/>
          <w:szCs w:val="17"/>
        </w:rPr>
        <w:t xml:space="preserve"> the</w:t>
      </w:r>
      <w:r w:rsidR="001F69A9" w:rsidRPr="00E7727B">
        <w:rPr>
          <w:rFonts w:ascii="Arial" w:hAnsi="Arial" w:cs="Arial"/>
          <w:sz w:val="17"/>
          <w:szCs w:val="17"/>
        </w:rPr>
        <w:t xml:space="preserve"> per cent</w:t>
      </w:r>
      <w:r w:rsidRPr="00E7727B">
        <w:rPr>
          <w:rFonts w:ascii="Arial" w:hAnsi="Arial" w:cs="Arial"/>
          <w:sz w:val="17"/>
          <w:szCs w:val="17"/>
        </w:rPr>
        <w:t xml:space="preserve"> change in the level of each parameter relative to the baseline.</w:t>
      </w:r>
    </w:p>
    <w:p w14:paraId="7FEFF1FB" w14:textId="531E21FC" w:rsidR="0018440A" w:rsidRPr="00135CA7" w:rsidRDefault="0018440A" w:rsidP="00654C65">
      <w:pPr>
        <w:pStyle w:val="Chartx"/>
        <w:numPr>
          <w:ilvl w:val="0"/>
          <w:numId w:val="0"/>
        </w:numPr>
        <w:spacing w:before="60" w:after="0"/>
        <w:rPr>
          <w:color w:val="4F4F4F"/>
          <w:sz w:val="17"/>
          <w:szCs w:val="17"/>
        </w:rPr>
      </w:pPr>
      <w:r w:rsidRPr="00135CA7">
        <w:rPr>
          <w:color w:val="4F4F4F"/>
          <w:sz w:val="17"/>
          <w:szCs w:val="17"/>
        </w:rPr>
        <w:t xml:space="preserve">Source: </w:t>
      </w:r>
      <w:r w:rsidR="008F7F26" w:rsidRPr="00135CA7">
        <w:rPr>
          <w:color w:val="4F4F4F"/>
          <w:sz w:val="17"/>
          <w:szCs w:val="17"/>
        </w:rPr>
        <w:t>C</w:t>
      </w:r>
      <w:r w:rsidR="005322F7" w:rsidRPr="00135CA7">
        <w:rPr>
          <w:color w:val="4F4F4F"/>
          <w:sz w:val="17"/>
          <w:szCs w:val="17"/>
        </w:rPr>
        <w:t>o</w:t>
      </w:r>
      <w:r w:rsidR="008F7F26" w:rsidRPr="00135CA7">
        <w:rPr>
          <w:color w:val="4F4F4F"/>
          <w:sz w:val="17"/>
          <w:szCs w:val="17"/>
        </w:rPr>
        <w:t>PS</w:t>
      </w:r>
      <w:r w:rsidR="00456F1A" w:rsidRPr="00135CA7">
        <w:rPr>
          <w:color w:val="4F4F4F"/>
          <w:sz w:val="17"/>
          <w:szCs w:val="17"/>
        </w:rPr>
        <w:t>, Victoria University and NSW Treasury</w:t>
      </w:r>
    </w:p>
    <w:p w14:paraId="79C415FD" w14:textId="683F2661" w:rsidR="004032D5" w:rsidRPr="009873A0" w:rsidRDefault="002047A3" w:rsidP="008E5794">
      <w:pPr>
        <w:pStyle w:val="BodyText"/>
      </w:pPr>
      <w:r>
        <w:t>T</w:t>
      </w:r>
      <w:r w:rsidR="00222DE0">
        <w:t>h</w:t>
      </w:r>
      <w:r w:rsidR="00B05866">
        <w:t>is scenario does</w:t>
      </w:r>
      <w:r w:rsidR="00BA21F6">
        <w:t xml:space="preserve"> no</w:t>
      </w:r>
      <w:r w:rsidR="00B05866">
        <w:t>t fully reflect actual outcomes over recent years</w:t>
      </w:r>
      <w:r w:rsidR="00757487">
        <w:t xml:space="preserve"> because it is </w:t>
      </w:r>
      <w:r w:rsidR="00E644FD">
        <w:t>an</w:t>
      </w:r>
      <w:r w:rsidR="00621567">
        <w:t xml:space="preserve"> entirely</w:t>
      </w:r>
      <w:r w:rsidR="00E644FD">
        <w:t xml:space="preserve"> exogenous increase in supply</w:t>
      </w:r>
      <w:r w:rsidR="00241D94">
        <w:t>,</w:t>
      </w:r>
      <w:r w:rsidR="00E644FD">
        <w:t xml:space="preserve"> rather than a</w:t>
      </w:r>
      <w:r w:rsidR="00A332C6">
        <w:t xml:space="preserve"> shock </w:t>
      </w:r>
      <w:r w:rsidR="00E644FD">
        <w:t>driven by</w:t>
      </w:r>
      <w:r w:rsidR="00A332C6">
        <w:t xml:space="preserve"> </w:t>
      </w:r>
      <w:r w:rsidR="00241D94">
        <w:t xml:space="preserve">a combination of </w:t>
      </w:r>
      <w:r w:rsidR="00A332C6">
        <w:t xml:space="preserve">higher demand </w:t>
      </w:r>
      <w:r w:rsidR="00241D94">
        <w:t xml:space="preserve">and supply of </w:t>
      </w:r>
      <w:r w:rsidR="00A332C6">
        <w:t>workers</w:t>
      </w:r>
      <w:r w:rsidR="00930EF5">
        <w:t>.</w:t>
      </w:r>
      <w:r w:rsidR="00B05866">
        <w:t xml:space="preserve"> </w:t>
      </w:r>
      <w:r w:rsidR="00930EF5">
        <w:t>I</w:t>
      </w:r>
      <w:r w:rsidR="00B05866">
        <w:t>t does</w:t>
      </w:r>
      <w:r w:rsidR="00DE0BB7">
        <w:t>, however,</w:t>
      </w:r>
      <w:r w:rsidR="00B05866">
        <w:t xml:space="preserve"> help </w:t>
      </w:r>
      <w:r w:rsidR="00A05F70" w:rsidRPr="009873A0">
        <w:t>illuminate</w:t>
      </w:r>
      <w:r w:rsidR="00930EF5">
        <w:t xml:space="preserve"> some of</w:t>
      </w:r>
      <w:r w:rsidR="00A05F70" w:rsidRPr="008E5794">
        <w:t xml:space="preserve"> </w:t>
      </w:r>
      <w:r w:rsidR="00532A17" w:rsidRPr="008E5794">
        <w:t xml:space="preserve">the </w:t>
      </w:r>
      <w:r w:rsidR="00F77DEA" w:rsidRPr="009873A0">
        <w:t xml:space="preserve">short-run </w:t>
      </w:r>
      <w:r w:rsidR="00532A17" w:rsidRPr="008E5794">
        <w:t xml:space="preserve">effects </w:t>
      </w:r>
      <w:r w:rsidR="00691142" w:rsidRPr="009873A0">
        <w:t xml:space="preserve">of the </w:t>
      </w:r>
      <w:r w:rsidR="005042CE" w:rsidRPr="009873A0">
        <w:t xml:space="preserve">recent </w:t>
      </w:r>
      <w:r w:rsidR="00381F4F" w:rsidRPr="008E5794">
        <w:t>record high</w:t>
      </w:r>
      <w:r w:rsidR="00691142" w:rsidRPr="008E5794">
        <w:t xml:space="preserve"> participation rate. </w:t>
      </w:r>
      <w:r w:rsidR="00DE0BB7">
        <w:t xml:space="preserve">It helps to explain </w:t>
      </w:r>
      <w:r w:rsidR="000D71C9">
        <w:t xml:space="preserve">the </w:t>
      </w:r>
      <w:r w:rsidR="00DE0BB7">
        <w:t>recent</w:t>
      </w:r>
      <w:r w:rsidR="00ED2749">
        <w:t xml:space="preserve"> </w:t>
      </w:r>
      <w:r w:rsidR="00853310">
        <w:t>strength in employment</w:t>
      </w:r>
      <w:r w:rsidR="000C71E7">
        <w:t xml:space="preserve">, solid economic growth and </w:t>
      </w:r>
      <w:r w:rsidR="00464D56">
        <w:t xml:space="preserve">some of the </w:t>
      </w:r>
      <w:r w:rsidR="009D5A4E" w:rsidRPr="009873A0">
        <w:t xml:space="preserve">weakness in </w:t>
      </w:r>
      <w:r w:rsidR="00C2644A" w:rsidRPr="009873A0">
        <w:t>wages growth</w:t>
      </w:r>
      <w:r w:rsidR="001F5175">
        <w:t xml:space="preserve"> and </w:t>
      </w:r>
      <w:r w:rsidR="00A960E1">
        <w:t>inflation</w:t>
      </w:r>
      <w:r w:rsidR="00B92CBB">
        <w:t xml:space="preserve"> despite the </w:t>
      </w:r>
      <w:r w:rsidR="00BF6CC8">
        <w:t xml:space="preserve">very low </w:t>
      </w:r>
      <w:r w:rsidR="00AC21E6">
        <w:t xml:space="preserve">local </w:t>
      </w:r>
      <w:r w:rsidR="00B92CBB">
        <w:t>unemployment rate</w:t>
      </w:r>
      <w:r w:rsidR="00C2644A" w:rsidRPr="009873A0">
        <w:t>.</w:t>
      </w:r>
    </w:p>
    <w:p w14:paraId="3168D8DC" w14:textId="3B80FA75" w:rsidR="00EA3A1D" w:rsidRPr="005F787D" w:rsidRDefault="00EA3A1D" w:rsidP="00A62CB1">
      <w:pPr>
        <w:pStyle w:val="Heading4"/>
        <w:spacing w:before="200"/>
      </w:pPr>
      <w:r>
        <w:t>Revenue impact</w:t>
      </w:r>
      <w:r w:rsidR="00F40C18">
        <w:t xml:space="preserve"> over the </w:t>
      </w:r>
      <w:r w:rsidR="00D1577D">
        <w:t xml:space="preserve">Budget and </w:t>
      </w:r>
      <w:r w:rsidR="00F40C18">
        <w:t>forward estimates</w:t>
      </w:r>
    </w:p>
    <w:p w14:paraId="30B94E91" w14:textId="68493585" w:rsidR="006644A7" w:rsidRDefault="00BB26E6" w:rsidP="006644A7">
      <w:pPr>
        <w:pStyle w:val="BodyText"/>
      </w:pPr>
      <w:r>
        <w:t xml:space="preserve">Under this scenario, </w:t>
      </w:r>
      <w:r w:rsidR="00F40C18">
        <w:t xml:space="preserve">overall </w:t>
      </w:r>
      <w:r w:rsidR="00CD4069">
        <w:t>tax</w:t>
      </w:r>
      <w:r>
        <w:t xml:space="preserve"> revenues </w:t>
      </w:r>
      <w:r w:rsidR="007331CA">
        <w:t>are largely unchanged after</w:t>
      </w:r>
      <w:r w:rsidR="00955E02">
        <w:t xml:space="preserve"> </w:t>
      </w:r>
      <w:r>
        <w:t>four years</w:t>
      </w:r>
      <w:r w:rsidR="006B25F9">
        <w:t xml:space="preserve"> (see Table</w:t>
      </w:r>
      <w:r w:rsidR="000C473E">
        <w:t> </w:t>
      </w:r>
      <w:r w:rsidR="008B4FCE">
        <w:t>F.</w:t>
      </w:r>
      <w:r w:rsidR="006B25F9">
        <w:t>2)</w:t>
      </w:r>
      <w:r>
        <w:t xml:space="preserve">. </w:t>
      </w:r>
      <w:r w:rsidR="00CB13F1">
        <w:t>H</w:t>
      </w:r>
      <w:r w:rsidR="00506328">
        <w:t xml:space="preserve">igher </w:t>
      </w:r>
      <w:r w:rsidR="00955E02">
        <w:t xml:space="preserve">household consumption </w:t>
      </w:r>
      <w:r w:rsidR="00DB4B80">
        <w:t>in New South Wales</w:t>
      </w:r>
      <w:r w:rsidR="00F50E35">
        <w:t xml:space="preserve"> and nationally</w:t>
      </w:r>
      <w:r w:rsidR="00DB4B80">
        <w:t xml:space="preserve"> </w:t>
      </w:r>
      <w:r w:rsidR="00C64D9E">
        <w:t xml:space="preserve">raises the </w:t>
      </w:r>
      <w:r w:rsidR="00DB4B80">
        <w:t>national</w:t>
      </w:r>
      <w:r w:rsidR="00C64D9E">
        <w:t xml:space="preserve"> GST pool</w:t>
      </w:r>
      <w:r w:rsidR="007B406D">
        <w:t xml:space="preserve">, </w:t>
      </w:r>
      <w:r w:rsidR="00B13D91">
        <w:t xml:space="preserve">increasing </w:t>
      </w:r>
      <w:r w:rsidR="007331CA">
        <w:t>NSW</w:t>
      </w:r>
      <w:r w:rsidR="000C71E7">
        <w:t xml:space="preserve"> </w:t>
      </w:r>
      <w:r w:rsidR="00496A00">
        <w:t>GST revenue.</w:t>
      </w:r>
      <w:r w:rsidR="00EC7BE4">
        <w:t xml:space="preserve"> </w:t>
      </w:r>
      <w:r w:rsidR="00CB13F1">
        <w:t>In</w:t>
      </w:r>
      <w:r w:rsidR="00544BB8">
        <w:t xml:space="preserve"> contrast, payroll tax collection</w:t>
      </w:r>
      <w:r w:rsidR="006644A7">
        <w:t>s</w:t>
      </w:r>
      <w:r w:rsidR="00544BB8">
        <w:t xml:space="preserve"> are marginally lower</w:t>
      </w:r>
      <w:r w:rsidR="008C1324">
        <w:t xml:space="preserve">, </w:t>
      </w:r>
      <w:r w:rsidR="00C63023">
        <w:t xml:space="preserve">with </w:t>
      </w:r>
      <w:r w:rsidR="008C1324">
        <w:t xml:space="preserve">more modest </w:t>
      </w:r>
      <w:r w:rsidR="00B05100">
        <w:t xml:space="preserve">nominal </w:t>
      </w:r>
      <w:r w:rsidR="008C1324">
        <w:t xml:space="preserve">wages </w:t>
      </w:r>
      <w:r w:rsidR="00FD446D">
        <w:t>offset</w:t>
      </w:r>
      <w:r w:rsidR="00C63023">
        <w:t>ting</w:t>
      </w:r>
      <w:r w:rsidR="002D6112">
        <w:t xml:space="preserve"> </w:t>
      </w:r>
      <w:r w:rsidR="00FD446D">
        <w:t>a higher level of employment.</w:t>
      </w:r>
      <w:r w:rsidR="00A30964">
        <w:t xml:space="preserve"> With a larger economy and lower wages, the economy has become more internationally competi</w:t>
      </w:r>
      <w:r w:rsidR="00EE396A">
        <w:t>tive, lifting coal royalties slightly.</w:t>
      </w:r>
    </w:p>
    <w:p w14:paraId="03AE248F" w14:textId="3E3B3F9E" w:rsidR="00FA26DB" w:rsidRDefault="00FA26DB" w:rsidP="00FA26DB">
      <w:pPr>
        <w:pStyle w:val="TableFX"/>
      </w:pPr>
      <w:r>
        <w:t>The effect of higher participation on major revenue parameters</w:t>
      </w:r>
    </w:p>
    <w:tbl>
      <w:tblPr>
        <w:tblW w:w="9556" w:type="dxa"/>
        <w:tblLook w:val="04A0" w:firstRow="1" w:lastRow="0" w:firstColumn="1" w:lastColumn="0" w:noHBand="0" w:noVBand="1"/>
      </w:tblPr>
      <w:tblGrid>
        <w:gridCol w:w="4536"/>
        <w:gridCol w:w="1255"/>
        <w:gridCol w:w="1255"/>
        <w:gridCol w:w="1255"/>
        <w:gridCol w:w="1255"/>
      </w:tblGrid>
      <w:tr w:rsidR="008C199C" w:rsidRPr="00565002" w14:paraId="06EBCC2C" w14:textId="77777777" w:rsidTr="00565002">
        <w:trPr>
          <w:trHeight w:val="255"/>
        </w:trPr>
        <w:tc>
          <w:tcPr>
            <w:tcW w:w="4536" w:type="dxa"/>
            <w:tcBorders>
              <w:top w:val="nil"/>
              <w:left w:val="nil"/>
              <w:bottom w:val="nil"/>
              <w:right w:val="nil"/>
            </w:tcBorders>
            <w:shd w:val="clear" w:color="auto" w:fill="0070C0"/>
            <w:vAlign w:val="center"/>
            <w:hideMark/>
          </w:tcPr>
          <w:p w14:paraId="197F71B1" w14:textId="5C044AB1" w:rsidR="008C199C" w:rsidRPr="00565002" w:rsidRDefault="00E0332C" w:rsidP="00565002">
            <w:pPr>
              <w:spacing w:before="80" w:after="80"/>
              <w:jc w:val="both"/>
              <w:rPr>
                <w:rFonts w:ascii="Arial" w:hAnsi="Arial" w:cs="Arial"/>
                <w:color w:val="FFFFFF"/>
                <w:sz w:val="18"/>
                <w:szCs w:val="18"/>
                <w:lang w:val="en-AU" w:eastAsia="en-AU"/>
              </w:rPr>
            </w:pPr>
            <w:r w:rsidRPr="00565002">
              <w:rPr>
                <w:rFonts w:ascii="Arial" w:hAnsi="Arial" w:cs="Arial"/>
                <w:color w:val="FFFFFF"/>
                <w:sz w:val="18"/>
                <w:szCs w:val="18"/>
                <w:lang w:val="en-AU" w:eastAsia="en-AU"/>
              </w:rPr>
              <w:t>Financial year estimate</w:t>
            </w:r>
            <w:r w:rsidR="00366551" w:rsidRPr="00565002">
              <w:rPr>
                <w:rFonts w:ascii="Arial" w:hAnsi="Arial" w:cs="Arial"/>
                <w:color w:val="FFFFFF"/>
                <w:sz w:val="18"/>
                <w:szCs w:val="18"/>
                <w:vertAlign w:val="superscript"/>
                <w:lang w:val="en-AU" w:eastAsia="en-AU"/>
              </w:rPr>
              <w:t>(a)</w:t>
            </w:r>
            <w:r w:rsidR="007A4D36" w:rsidRPr="00565002">
              <w:rPr>
                <w:rFonts w:ascii="Arial" w:hAnsi="Arial" w:cs="Arial"/>
                <w:color w:val="FFFFFF"/>
                <w:sz w:val="18"/>
                <w:szCs w:val="18"/>
                <w:vertAlign w:val="superscript"/>
                <w:lang w:val="en-AU" w:eastAsia="en-AU"/>
              </w:rPr>
              <w:t xml:space="preserve"> </w:t>
            </w:r>
            <w:r w:rsidR="007A4D36" w:rsidRPr="00565002">
              <w:rPr>
                <w:rFonts w:ascii="Arial" w:hAnsi="Arial" w:cs="Arial"/>
                <w:color w:val="FFFFFF"/>
                <w:sz w:val="18"/>
                <w:szCs w:val="18"/>
                <w:lang w:val="en-AU" w:eastAsia="en-AU"/>
              </w:rPr>
              <w:t>($, million)</w:t>
            </w:r>
          </w:p>
        </w:tc>
        <w:tc>
          <w:tcPr>
            <w:tcW w:w="1255" w:type="dxa"/>
            <w:tcBorders>
              <w:top w:val="nil"/>
              <w:left w:val="nil"/>
              <w:bottom w:val="nil"/>
              <w:right w:val="nil"/>
            </w:tcBorders>
            <w:shd w:val="clear" w:color="auto" w:fill="0070C0"/>
            <w:vAlign w:val="center"/>
            <w:hideMark/>
          </w:tcPr>
          <w:p w14:paraId="493962CD" w14:textId="77777777" w:rsidR="008C199C" w:rsidRPr="00565002" w:rsidRDefault="008C199C" w:rsidP="00565002">
            <w:pPr>
              <w:spacing w:before="80" w:after="80"/>
              <w:jc w:val="center"/>
              <w:rPr>
                <w:rFonts w:ascii="Arial" w:hAnsi="Arial" w:cs="Arial"/>
                <w:color w:val="FFFFFF"/>
                <w:sz w:val="18"/>
                <w:szCs w:val="18"/>
                <w:lang w:val="en-AU" w:eastAsia="en-AU"/>
              </w:rPr>
            </w:pPr>
            <w:r w:rsidRPr="00565002">
              <w:rPr>
                <w:rFonts w:ascii="Arial" w:hAnsi="Arial" w:cs="Arial"/>
                <w:color w:val="FFFFFF"/>
                <w:sz w:val="18"/>
                <w:szCs w:val="18"/>
                <w:lang w:val="en-AU" w:eastAsia="en-AU"/>
              </w:rPr>
              <w:t xml:space="preserve">2019-20 </w:t>
            </w:r>
          </w:p>
        </w:tc>
        <w:tc>
          <w:tcPr>
            <w:tcW w:w="1255" w:type="dxa"/>
            <w:tcBorders>
              <w:top w:val="nil"/>
              <w:left w:val="nil"/>
              <w:bottom w:val="nil"/>
              <w:right w:val="nil"/>
            </w:tcBorders>
            <w:shd w:val="clear" w:color="auto" w:fill="0070C0"/>
            <w:vAlign w:val="center"/>
            <w:hideMark/>
          </w:tcPr>
          <w:p w14:paraId="39902199" w14:textId="77777777" w:rsidR="008C199C" w:rsidRPr="00565002" w:rsidRDefault="008C199C" w:rsidP="00565002">
            <w:pPr>
              <w:spacing w:before="80" w:after="80"/>
              <w:jc w:val="center"/>
              <w:rPr>
                <w:rFonts w:ascii="Arial" w:hAnsi="Arial" w:cs="Arial"/>
                <w:color w:val="FFFFFF"/>
                <w:sz w:val="18"/>
                <w:szCs w:val="18"/>
                <w:lang w:val="en-AU" w:eastAsia="en-AU"/>
              </w:rPr>
            </w:pPr>
            <w:r w:rsidRPr="00565002">
              <w:rPr>
                <w:rFonts w:ascii="Arial" w:hAnsi="Arial" w:cs="Arial"/>
                <w:color w:val="FFFFFF"/>
                <w:sz w:val="18"/>
                <w:szCs w:val="18"/>
                <w:lang w:val="en-AU" w:eastAsia="en-AU"/>
              </w:rPr>
              <w:t>2020-21</w:t>
            </w:r>
          </w:p>
        </w:tc>
        <w:tc>
          <w:tcPr>
            <w:tcW w:w="1255" w:type="dxa"/>
            <w:tcBorders>
              <w:top w:val="nil"/>
              <w:left w:val="nil"/>
              <w:bottom w:val="nil"/>
              <w:right w:val="nil"/>
            </w:tcBorders>
            <w:shd w:val="clear" w:color="auto" w:fill="0070C0"/>
            <w:vAlign w:val="center"/>
            <w:hideMark/>
          </w:tcPr>
          <w:p w14:paraId="6965BD3A" w14:textId="77777777" w:rsidR="008C199C" w:rsidRPr="00565002" w:rsidRDefault="008C199C" w:rsidP="00565002">
            <w:pPr>
              <w:spacing w:before="80" w:after="80"/>
              <w:jc w:val="center"/>
              <w:rPr>
                <w:rFonts w:ascii="Arial" w:hAnsi="Arial" w:cs="Arial"/>
                <w:color w:val="FFFFFF"/>
                <w:sz w:val="18"/>
                <w:szCs w:val="18"/>
                <w:lang w:val="en-AU" w:eastAsia="en-AU"/>
              </w:rPr>
            </w:pPr>
            <w:r w:rsidRPr="00565002">
              <w:rPr>
                <w:rFonts w:ascii="Arial" w:hAnsi="Arial" w:cs="Arial"/>
                <w:color w:val="FFFFFF"/>
                <w:sz w:val="18"/>
                <w:szCs w:val="18"/>
                <w:lang w:val="en-AU" w:eastAsia="en-AU"/>
              </w:rPr>
              <w:t>2021-22</w:t>
            </w:r>
          </w:p>
        </w:tc>
        <w:tc>
          <w:tcPr>
            <w:tcW w:w="1255" w:type="dxa"/>
            <w:tcBorders>
              <w:top w:val="nil"/>
              <w:left w:val="nil"/>
              <w:bottom w:val="nil"/>
              <w:right w:val="nil"/>
            </w:tcBorders>
            <w:shd w:val="clear" w:color="auto" w:fill="0070C0"/>
            <w:vAlign w:val="center"/>
            <w:hideMark/>
          </w:tcPr>
          <w:p w14:paraId="7F194151" w14:textId="77777777" w:rsidR="008C199C" w:rsidRPr="00565002" w:rsidRDefault="008C199C" w:rsidP="00565002">
            <w:pPr>
              <w:spacing w:before="80" w:after="80"/>
              <w:jc w:val="center"/>
              <w:rPr>
                <w:rFonts w:ascii="Arial" w:hAnsi="Arial" w:cs="Arial"/>
                <w:color w:val="FFFFFF"/>
                <w:sz w:val="18"/>
                <w:szCs w:val="18"/>
                <w:lang w:val="en-AU" w:eastAsia="en-AU"/>
              </w:rPr>
            </w:pPr>
            <w:r w:rsidRPr="00565002">
              <w:rPr>
                <w:rFonts w:ascii="Arial" w:hAnsi="Arial" w:cs="Arial"/>
                <w:color w:val="FFFFFF"/>
                <w:sz w:val="18"/>
                <w:szCs w:val="18"/>
                <w:lang w:val="en-AU" w:eastAsia="en-AU"/>
              </w:rPr>
              <w:t>2022-23</w:t>
            </w:r>
          </w:p>
        </w:tc>
      </w:tr>
      <w:tr w:rsidR="00565002" w:rsidRPr="00565002" w14:paraId="3AC8E8B3" w14:textId="77777777" w:rsidTr="00565002">
        <w:trPr>
          <w:trHeight w:val="255"/>
        </w:trPr>
        <w:tc>
          <w:tcPr>
            <w:tcW w:w="4536" w:type="dxa"/>
            <w:tcBorders>
              <w:top w:val="nil"/>
              <w:left w:val="nil"/>
              <w:bottom w:val="nil"/>
              <w:right w:val="nil"/>
            </w:tcBorders>
            <w:shd w:val="clear" w:color="auto" w:fill="auto"/>
            <w:vAlign w:val="center"/>
            <w:hideMark/>
          </w:tcPr>
          <w:p w14:paraId="67BB6FEC" w14:textId="77777777" w:rsidR="008C199C" w:rsidRPr="00565002" w:rsidRDefault="008C199C" w:rsidP="008C199C">
            <w:pPr>
              <w:rPr>
                <w:rFonts w:ascii="Arial" w:hAnsi="Arial" w:cs="Arial"/>
                <w:sz w:val="18"/>
                <w:szCs w:val="18"/>
                <w:lang w:val="en-AU" w:eastAsia="en-AU"/>
              </w:rPr>
            </w:pPr>
            <w:r w:rsidRPr="00565002">
              <w:rPr>
                <w:rFonts w:ascii="Arial" w:hAnsi="Arial" w:cs="Arial"/>
                <w:sz w:val="18"/>
                <w:szCs w:val="18"/>
                <w:lang w:val="en-AU" w:eastAsia="en-AU"/>
              </w:rPr>
              <w:t xml:space="preserve">Payroll tax </w:t>
            </w:r>
          </w:p>
        </w:tc>
        <w:tc>
          <w:tcPr>
            <w:tcW w:w="1255" w:type="dxa"/>
            <w:tcBorders>
              <w:top w:val="nil"/>
              <w:left w:val="nil"/>
              <w:bottom w:val="nil"/>
              <w:right w:val="nil"/>
            </w:tcBorders>
            <w:shd w:val="clear" w:color="auto" w:fill="auto"/>
            <w:vAlign w:val="center"/>
            <w:hideMark/>
          </w:tcPr>
          <w:p w14:paraId="1CC1AB78" w14:textId="5A28462C" w:rsidR="008C199C" w:rsidRPr="00565002" w:rsidRDefault="00FE2421"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w:t>
            </w:r>
            <w:r w:rsidR="008C199C" w:rsidRPr="00565002">
              <w:rPr>
                <w:rFonts w:ascii="Arial" w:hAnsi="Arial" w:cs="Arial"/>
                <w:sz w:val="18"/>
                <w:szCs w:val="18"/>
                <w:lang w:val="en-AU" w:eastAsia="en-AU"/>
              </w:rPr>
              <w:t>7</w:t>
            </w:r>
            <w:r w:rsidRPr="00565002">
              <w:rPr>
                <w:rFonts w:ascii="Arial" w:hAnsi="Arial" w:cs="Arial"/>
                <w:sz w:val="18"/>
                <w:szCs w:val="18"/>
                <w:lang w:val="en-AU" w:eastAsia="en-AU"/>
              </w:rPr>
              <w:t>)</w:t>
            </w:r>
          </w:p>
        </w:tc>
        <w:tc>
          <w:tcPr>
            <w:tcW w:w="1255" w:type="dxa"/>
            <w:tcBorders>
              <w:top w:val="nil"/>
              <w:left w:val="nil"/>
              <w:bottom w:val="nil"/>
              <w:right w:val="nil"/>
            </w:tcBorders>
            <w:shd w:val="clear" w:color="auto" w:fill="auto"/>
            <w:vAlign w:val="center"/>
            <w:hideMark/>
          </w:tcPr>
          <w:p w14:paraId="4CDBE24D" w14:textId="677AD058" w:rsidR="008C199C" w:rsidRPr="00565002" w:rsidRDefault="00FE2421"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w:t>
            </w:r>
            <w:r w:rsidR="008C199C" w:rsidRPr="00565002">
              <w:rPr>
                <w:rFonts w:ascii="Arial" w:hAnsi="Arial" w:cs="Arial"/>
                <w:sz w:val="18"/>
                <w:szCs w:val="18"/>
                <w:lang w:val="en-AU" w:eastAsia="en-AU"/>
              </w:rPr>
              <w:t>2</w:t>
            </w:r>
            <w:r w:rsidR="000D3682" w:rsidRPr="00565002">
              <w:rPr>
                <w:rFonts w:ascii="Arial" w:hAnsi="Arial" w:cs="Arial"/>
                <w:sz w:val="18"/>
                <w:szCs w:val="18"/>
                <w:lang w:val="en-AU" w:eastAsia="en-AU"/>
              </w:rPr>
              <w:t>7</w:t>
            </w:r>
            <w:r w:rsidRPr="00565002">
              <w:rPr>
                <w:rFonts w:ascii="Arial" w:hAnsi="Arial" w:cs="Arial"/>
                <w:sz w:val="18"/>
                <w:szCs w:val="18"/>
                <w:lang w:val="en-AU" w:eastAsia="en-AU"/>
              </w:rPr>
              <w:t>)</w:t>
            </w:r>
          </w:p>
        </w:tc>
        <w:tc>
          <w:tcPr>
            <w:tcW w:w="1255" w:type="dxa"/>
            <w:tcBorders>
              <w:top w:val="nil"/>
              <w:left w:val="nil"/>
              <w:bottom w:val="nil"/>
              <w:right w:val="nil"/>
            </w:tcBorders>
            <w:shd w:val="clear" w:color="auto" w:fill="auto"/>
            <w:vAlign w:val="center"/>
            <w:hideMark/>
          </w:tcPr>
          <w:p w14:paraId="2A85774B" w14:textId="67FB7131" w:rsidR="008C199C" w:rsidRPr="00565002" w:rsidRDefault="00FE2421"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w:t>
            </w:r>
            <w:r w:rsidR="008C199C" w:rsidRPr="00565002">
              <w:rPr>
                <w:rFonts w:ascii="Arial" w:hAnsi="Arial" w:cs="Arial"/>
                <w:sz w:val="18"/>
                <w:szCs w:val="18"/>
                <w:lang w:val="en-AU" w:eastAsia="en-AU"/>
              </w:rPr>
              <w:t>4</w:t>
            </w:r>
            <w:r w:rsidR="000D3682" w:rsidRPr="00565002">
              <w:rPr>
                <w:rFonts w:ascii="Arial" w:hAnsi="Arial" w:cs="Arial"/>
                <w:sz w:val="18"/>
                <w:szCs w:val="18"/>
                <w:lang w:val="en-AU" w:eastAsia="en-AU"/>
              </w:rPr>
              <w:t>5</w:t>
            </w:r>
            <w:r w:rsidRPr="00565002">
              <w:rPr>
                <w:rFonts w:ascii="Arial" w:hAnsi="Arial" w:cs="Arial"/>
                <w:sz w:val="18"/>
                <w:szCs w:val="18"/>
                <w:lang w:val="en-AU" w:eastAsia="en-AU"/>
              </w:rPr>
              <w:t>)</w:t>
            </w:r>
          </w:p>
        </w:tc>
        <w:tc>
          <w:tcPr>
            <w:tcW w:w="1255" w:type="dxa"/>
            <w:tcBorders>
              <w:top w:val="nil"/>
              <w:left w:val="nil"/>
              <w:bottom w:val="nil"/>
              <w:right w:val="nil"/>
            </w:tcBorders>
            <w:shd w:val="clear" w:color="auto" w:fill="auto"/>
            <w:vAlign w:val="center"/>
            <w:hideMark/>
          </w:tcPr>
          <w:p w14:paraId="5D3E517C" w14:textId="00633155" w:rsidR="008C199C" w:rsidRPr="00565002" w:rsidRDefault="000775B5"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w:t>
            </w:r>
            <w:r w:rsidR="008C199C" w:rsidRPr="00565002">
              <w:rPr>
                <w:rFonts w:ascii="Arial" w:hAnsi="Arial" w:cs="Arial"/>
                <w:sz w:val="18"/>
                <w:szCs w:val="18"/>
                <w:lang w:val="en-AU" w:eastAsia="en-AU"/>
              </w:rPr>
              <w:t>52</w:t>
            </w:r>
            <w:r w:rsidRPr="00565002">
              <w:rPr>
                <w:rFonts w:ascii="Arial" w:hAnsi="Arial" w:cs="Arial"/>
                <w:sz w:val="18"/>
                <w:szCs w:val="18"/>
                <w:lang w:val="en-AU" w:eastAsia="en-AU"/>
              </w:rPr>
              <w:t>)</w:t>
            </w:r>
          </w:p>
        </w:tc>
      </w:tr>
      <w:tr w:rsidR="00565002" w:rsidRPr="00565002" w14:paraId="622D9596" w14:textId="77777777" w:rsidTr="00565002">
        <w:trPr>
          <w:trHeight w:val="255"/>
        </w:trPr>
        <w:tc>
          <w:tcPr>
            <w:tcW w:w="4536" w:type="dxa"/>
            <w:tcBorders>
              <w:top w:val="nil"/>
              <w:left w:val="nil"/>
              <w:bottom w:val="nil"/>
              <w:right w:val="nil"/>
            </w:tcBorders>
            <w:shd w:val="clear" w:color="auto" w:fill="auto"/>
            <w:vAlign w:val="center"/>
            <w:hideMark/>
          </w:tcPr>
          <w:p w14:paraId="4893EF06" w14:textId="5BCCE91D" w:rsidR="008C199C" w:rsidRPr="00565002" w:rsidRDefault="00DF0BE0" w:rsidP="008C199C">
            <w:pPr>
              <w:rPr>
                <w:rFonts w:ascii="Arial" w:hAnsi="Arial" w:cs="Arial"/>
                <w:sz w:val="18"/>
                <w:szCs w:val="18"/>
                <w:lang w:val="en-AU" w:eastAsia="en-AU"/>
              </w:rPr>
            </w:pPr>
            <w:r w:rsidRPr="00565002">
              <w:rPr>
                <w:rFonts w:ascii="Arial" w:hAnsi="Arial" w:cs="Arial"/>
                <w:sz w:val="18"/>
                <w:szCs w:val="18"/>
                <w:lang w:val="en-AU" w:eastAsia="en-AU"/>
              </w:rPr>
              <w:t>L</w:t>
            </w:r>
            <w:r w:rsidR="008C199C" w:rsidRPr="00565002">
              <w:rPr>
                <w:rFonts w:ascii="Arial" w:hAnsi="Arial" w:cs="Arial"/>
                <w:sz w:val="18"/>
                <w:szCs w:val="18"/>
                <w:lang w:val="en-AU" w:eastAsia="en-AU"/>
              </w:rPr>
              <w:t xml:space="preserve">and tax </w:t>
            </w:r>
          </w:p>
        </w:tc>
        <w:tc>
          <w:tcPr>
            <w:tcW w:w="1255" w:type="dxa"/>
            <w:tcBorders>
              <w:top w:val="nil"/>
              <w:left w:val="nil"/>
              <w:bottom w:val="nil"/>
              <w:right w:val="nil"/>
            </w:tcBorders>
            <w:shd w:val="clear" w:color="auto" w:fill="auto"/>
            <w:vAlign w:val="center"/>
            <w:hideMark/>
          </w:tcPr>
          <w:p w14:paraId="6E458468" w14:textId="56A67653" w:rsidR="008C199C" w:rsidRPr="00565002" w:rsidRDefault="008C199C"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0</w:t>
            </w:r>
          </w:p>
        </w:tc>
        <w:tc>
          <w:tcPr>
            <w:tcW w:w="1255" w:type="dxa"/>
            <w:tcBorders>
              <w:top w:val="nil"/>
              <w:left w:val="nil"/>
              <w:bottom w:val="nil"/>
              <w:right w:val="nil"/>
            </w:tcBorders>
            <w:shd w:val="clear" w:color="auto" w:fill="auto"/>
            <w:vAlign w:val="center"/>
            <w:hideMark/>
          </w:tcPr>
          <w:p w14:paraId="7BF571B4" w14:textId="4B163C4C" w:rsidR="008C199C" w:rsidRPr="00565002" w:rsidRDefault="00DE3CDD"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8</w:t>
            </w:r>
          </w:p>
        </w:tc>
        <w:tc>
          <w:tcPr>
            <w:tcW w:w="1255" w:type="dxa"/>
            <w:tcBorders>
              <w:top w:val="nil"/>
              <w:left w:val="nil"/>
              <w:bottom w:val="nil"/>
              <w:right w:val="nil"/>
            </w:tcBorders>
            <w:shd w:val="clear" w:color="auto" w:fill="auto"/>
            <w:vAlign w:val="center"/>
            <w:hideMark/>
          </w:tcPr>
          <w:p w14:paraId="12180433" w14:textId="2F1409E6" w:rsidR="008C199C" w:rsidRPr="00565002" w:rsidRDefault="008C199C"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14</w:t>
            </w:r>
          </w:p>
        </w:tc>
        <w:tc>
          <w:tcPr>
            <w:tcW w:w="1255" w:type="dxa"/>
            <w:tcBorders>
              <w:top w:val="nil"/>
              <w:left w:val="nil"/>
              <w:bottom w:val="nil"/>
              <w:right w:val="nil"/>
            </w:tcBorders>
            <w:shd w:val="clear" w:color="auto" w:fill="auto"/>
            <w:vAlign w:val="center"/>
            <w:hideMark/>
          </w:tcPr>
          <w:p w14:paraId="3E65CB1B" w14:textId="2ECC91AD" w:rsidR="008C199C" w:rsidRPr="00565002" w:rsidRDefault="008C199C"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11</w:t>
            </w:r>
          </w:p>
        </w:tc>
      </w:tr>
      <w:tr w:rsidR="00565002" w:rsidRPr="00565002" w14:paraId="07021D6A" w14:textId="77777777" w:rsidTr="00565002">
        <w:trPr>
          <w:trHeight w:val="255"/>
        </w:trPr>
        <w:tc>
          <w:tcPr>
            <w:tcW w:w="4536" w:type="dxa"/>
            <w:tcBorders>
              <w:top w:val="nil"/>
              <w:left w:val="nil"/>
              <w:bottom w:val="nil"/>
              <w:right w:val="nil"/>
            </w:tcBorders>
            <w:shd w:val="clear" w:color="auto" w:fill="auto"/>
            <w:vAlign w:val="center"/>
            <w:hideMark/>
          </w:tcPr>
          <w:p w14:paraId="09D07FFA" w14:textId="685F95FC" w:rsidR="008C199C" w:rsidRPr="00565002" w:rsidRDefault="008C199C" w:rsidP="008C199C">
            <w:pPr>
              <w:rPr>
                <w:rFonts w:ascii="Arial" w:hAnsi="Arial" w:cs="Arial"/>
                <w:sz w:val="18"/>
                <w:szCs w:val="18"/>
                <w:lang w:val="en-AU" w:eastAsia="en-AU"/>
              </w:rPr>
            </w:pPr>
            <w:r w:rsidRPr="00565002">
              <w:rPr>
                <w:rFonts w:ascii="Arial" w:hAnsi="Arial" w:cs="Arial"/>
                <w:sz w:val="18"/>
                <w:szCs w:val="18"/>
                <w:lang w:val="en-AU" w:eastAsia="en-AU"/>
              </w:rPr>
              <w:t xml:space="preserve">Transfer duty </w:t>
            </w:r>
          </w:p>
        </w:tc>
        <w:tc>
          <w:tcPr>
            <w:tcW w:w="1255" w:type="dxa"/>
            <w:tcBorders>
              <w:top w:val="nil"/>
              <w:left w:val="nil"/>
              <w:bottom w:val="nil"/>
              <w:right w:val="nil"/>
            </w:tcBorders>
            <w:shd w:val="clear" w:color="auto" w:fill="auto"/>
            <w:vAlign w:val="center"/>
            <w:hideMark/>
          </w:tcPr>
          <w:p w14:paraId="1ECA3D30" w14:textId="78FD5A82" w:rsidR="008C199C" w:rsidRPr="00565002" w:rsidRDefault="008C199C"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7</w:t>
            </w:r>
          </w:p>
        </w:tc>
        <w:tc>
          <w:tcPr>
            <w:tcW w:w="1255" w:type="dxa"/>
            <w:tcBorders>
              <w:top w:val="nil"/>
              <w:left w:val="nil"/>
              <w:bottom w:val="nil"/>
              <w:right w:val="nil"/>
            </w:tcBorders>
            <w:shd w:val="clear" w:color="auto" w:fill="auto"/>
            <w:vAlign w:val="center"/>
            <w:hideMark/>
          </w:tcPr>
          <w:p w14:paraId="4F9A2A16" w14:textId="772256F2" w:rsidR="008C199C" w:rsidRPr="00565002" w:rsidRDefault="008C199C"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1</w:t>
            </w:r>
            <w:r w:rsidR="00DE3CDD" w:rsidRPr="00565002">
              <w:rPr>
                <w:rFonts w:ascii="Arial" w:hAnsi="Arial" w:cs="Arial"/>
                <w:sz w:val="18"/>
                <w:szCs w:val="18"/>
                <w:lang w:val="en-AU" w:eastAsia="en-AU"/>
              </w:rPr>
              <w:t>4</w:t>
            </w:r>
          </w:p>
        </w:tc>
        <w:tc>
          <w:tcPr>
            <w:tcW w:w="1255" w:type="dxa"/>
            <w:tcBorders>
              <w:top w:val="nil"/>
              <w:left w:val="nil"/>
              <w:bottom w:val="nil"/>
              <w:right w:val="nil"/>
            </w:tcBorders>
            <w:shd w:val="clear" w:color="auto" w:fill="auto"/>
            <w:vAlign w:val="center"/>
            <w:hideMark/>
          </w:tcPr>
          <w:p w14:paraId="684D6B0D" w14:textId="783C2DAF" w:rsidR="008C199C" w:rsidRPr="00565002" w:rsidRDefault="008C199C"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1</w:t>
            </w:r>
            <w:r w:rsidR="00CB1B84">
              <w:rPr>
                <w:rFonts w:ascii="Arial" w:hAnsi="Arial" w:cs="Arial"/>
                <w:sz w:val="18"/>
                <w:szCs w:val="18"/>
                <w:lang w:val="en-AU" w:eastAsia="en-AU"/>
              </w:rPr>
              <w:t>1</w:t>
            </w:r>
          </w:p>
        </w:tc>
        <w:tc>
          <w:tcPr>
            <w:tcW w:w="1255" w:type="dxa"/>
            <w:tcBorders>
              <w:top w:val="nil"/>
              <w:left w:val="nil"/>
              <w:bottom w:val="nil"/>
              <w:right w:val="nil"/>
            </w:tcBorders>
            <w:shd w:val="clear" w:color="auto" w:fill="auto"/>
            <w:vAlign w:val="center"/>
            <w:hideMark/>
          </w:tcPr>
          <w:p w14:paraId="7D10C27D" w14:textId="52FBDE99" w:rsidR="008C199C" w:rsidRPr="00565002" w:rsidRDefault="008C199C"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9</w:t>
            </w:r>
          </w:p>
        </w:tc>
      </w:tr>
      <w:tr w:rsidR="00565002" w:rsidRPr="00565002" w14:paraId="58950318" w14:textId="77777777" w:rsidTr="00565002">
        <w:trPr>
          <w:trHeight w:val="255"/>
        </w:trPr>
        <w:tc>
          <w:tcPr>
            <w:tcW w:w="4536" w:type="dxa"/>
            <w:tcBorders>
              <w:top w:val="nil"/>
              <w:left w:val="nil"/>
              <w:bottom w:val="nil"/>
              <w:right w:val="nil"/>
            </w:tcBorders>
            <w:shd w:val="clear" w:color="auto" w:fill="auto"/>
            <w:vAlign w:val="center"/>
            <w:hideMark/>
          </w:tcPr>
          <w:p w14:paraId="772F237A" w14:textId="77777777" w:rsidR="008C199C" w:rsidRPr="00565002" w:rsidRDefault="008C199C" w:rsidP="008C199C">
            <w:pPr>
              <w:rPr>
                <w:rFonts w:ascii="Arial" w:hAnsi="Arial" w:cs="Arial"/>
                <w:sz w:val="18"/>
                <w:szCs w:val="18"/>
                <w:lang w:val="en-AU" w:eastAsia="en-AU"/>
              </w:rPr>
            </w:pPr>
            <w:r w:rsidRPr="00565002">
              <w:rPr>
                <w:rFonts w:ascii="Arial" w:hAnsi="Arial" w:cs="Arial"/>
                <w:sz w:val="18"/>
                <w:szCs w:val="18"/>
                <w:lang w:val="en-AU" w:eastAsia="en-AU"/>
              </w:rPr>
              <w:t xml:space="preserve">Coal royalties </w:t>
            </w:r>
          </w:p>
        </w:tc>
        <w:tc>
          <w:tcPr>
            <w:tcW w:w="1255" w:type="dxa"/>
            <w:tcBorders>
              <w:top w:val="nil"/>
              <w:left w:val="nil"/>
              <w:bottom w:val="nil"/>
              <w:right w:val="nil"/>
            </w:tcBorders>
            <w:shd w:val="clear" w:color="000000" w:fill="FFFFFF"/>
            <w:vAlign w:val="center"/>
            <w:hideMark/>
          </w:tcPr>
          <w:p w14:paraId="6670F375" w14:textId="068694CB" w:rsidR="008C199C" w:rsidRPr="00565002" w:rsidRDefault="00DE3CDD"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1</w:t>
            </w:r>
          </w:p>
        </w:tc>
        <w:tc>
          <w:tcPr>
            <w:tcW w:w="1255" w:type="dxa"/>
            <w:tcBorders>
              <w:top w:val="nil"/>
              <w:left w:val="nil"/>
              <w:bottom w:val="nil"/>
              <w:right w:val="nil"/>
            </w:tcBorders>
            <w:shd w:val="clear" w:color="000000" w:fill="FFFFFF"/>
            <w:vAlign w:val="center"/>
            <w:hideMark/>
          </w:tcPr>
          <w:p w14:paraId="1638BE53" w14:textId="7406E94A" w:rsidR="008C199C" w:rsidRPr="00565002" w:rsidRDefault="008C199C"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3</w:t>
            </w:r>
          </w:p>
        </w:tc>
        <w:tc>
          <w:tcPr>
            <w:tcW w:w="1255" w:type="dxa"/>
            <w:tcBorders>
              <w:top w:val="nil"/>
              <w:left w:val="nil"/>
              <w:bottom w:val="nil"/>
              <w:right w:val="nil"/>
            </w:tcBorders>
            <w:shd w:val="clear" w:color="000000" w:fill="FFFFFF"/>
            <w:vAlign w:val="center"/>
            <w:hideMark/>
          </w:tcPr>
          <w:p w14:paraId="19EA426F" w14:textId="4830A8E7" w:rsidR="008C199C" w:rsidRPr="00565002" w:rsidRDefault="008C199C"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5</w:t>
            </w:r>
          </w:p>
        </w:tc>
        <w:tc>
          <w:tcPr>
            <w:tcW w:w="1255" w:type="dxa"/>
            <w:tcBorders>
              <w:top w:val="nil"/>
              <w:left w:val="nil"/>
              <w:bottom w:val="nil"/>
              <w:right w:val="nil"/>
            </w:tcBorders>
            <w:shd w:val="clear" w:color="000000" w:fill="FFFFFF"/>
            <w:vAlign w:val="center"/>
            <w:hideMark/>
          </w:tcPr>
          <w:p w14:paraId="4B034C5A" w14:textId="0DCC8ADA" w:rsidR="008C199C" w:rsidRPr="00565002" w:rsidRDefault="000D3682"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7</w:t>
            </w:r>
          </w:p>
        </w:tc>
      </w:tr>
      <w:tr w:rsidR="00565002" w:rsidRPr="00565002" w14:paraId="4584E9C2" w14:textId="77777777" w:rsidTr="00565002">
        <w:trPr>
          <w:trHeight w:val="255"/>
        </w:trPr>
        <w:tc>
          <w:tcPr>
            <w:tcW w:w="4536" w:type="dxa"/>
            <w:tcBorders>
              <w:top w:val="nil"/>
              <w:left w:val="nil"/>
              <w:bottom w:val="nil"/>
              <w:right w:val="nil"/>
            </w:tcBorders>
            <w:shd w:val="clear" w:color="auto" w:fill="auto"/>
            <w:vAlign w:val="center"/>
            <w:hideMark/>
          </w:tcPr>
          <w:p w14:paraId="67A486DC" w14:textId="4C84C011" w:rsidR="008C199C" w:rsidRPr="00565002" w:rsidRDefault="008C199C" w:rsidP="008C199C">
            <w:pPr>
              <w:rPr>
                <w:rFonts w:ascii="Arial" w:hAnsi="Arial" w:cs="Arial"/>
                <w:sz w:val="18"/>
                <w:szCs w:val="18"/>
                <w:lang w:val="en-AU" w:eastAsia="en-AU"/>
              </w:rPr>
            </w:pPr>
            <w:r w:rsidRPr="00565002">
              <w:rPr>
                <w:rFonts w:ascii="Arial" w:hAnsi="Arial" w:cs="Arial"/>
                <w:sz w:val="18"/>
                <w:szCs w:val="18"/>
                <w:lang w:val="en-AU" w:eastAsia="en-AU"/>
              </w:rPr>
              <w:t>Other tax revenue</w:t>
            </w:r>
          </w:p>
        </w:tc>
        <w:tc>
          <w:tcPr>
            <w:tcW w:w="1255" w:type="dxa"/>
            <w:tcBorders>
              <w:top w:val="nil"/>
              <w:left w:val="nil"/>
              <w:bottom w:val="nil"/>
              <w:right w:val="nil"/>
            </w:tcBorders>
            <w:shd w:val="clear" w:color="000000" w:fill="FFFFFF"/>
            <w:vAlign w:val="center"/>
            <w:hideMark/>
          </w:tcPr>
          <w:p w14:paraId="2DD68947" w14:textId="1310CBD9" w:rsidR="008C199C" w:rsidRPr="00565002" w:rsidRDefault="00FE2421"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w:t>
            </w:r>
            <w:r w:rsidR="00DE3CDD" w:rsidRPr="00565002">
              <w:rPr>
                <w:rFonts w:ascii="Arial" w:hAnsi="Arial" w:cs="Arial"/>
                <w:sz w:val="18"/>
                <w:szCs w:val="18"/>
                <w:lang w:val="en-AU" w:eastAsia="en-AU"/>
              </w:rPr>
              <w:t>1</w:t>
            </w:r>
            <w:r w:rsidRPr="00565002">
              <w:rPr>
                <w:rFonts w:ascii="Arial" w:hAnsi="Arial" w:cs="Arial"/>
                <w:sz w:val="18"/>
                <w:szCs w:val="18"/>
                <w:lang w:val="en-AU" w:eastAsia="en-AU"/>
              </w:rPr>
              <w:t>)</w:t>
            </w:r>
          </w:p>
        </w:tc>
        <w:tc>
          <w:tcPr>
            <w:tcW w:w="1255" w:type="dxa"/>
            <w:tcBorders>
              <w:top w:val="nil"/>
              <w:left w:val="nil"/>
              <w:bottom w:val="nil"/>
              <w:right w:val="nil"/>
            </w:tcBorders>
            <w:shd w:val="clear" w:color="000000" w:fill="FFFFFF"/>
            <w:vAlign w:val="center"/>
            <w:hideMark/>
          </w:tcPr>
          <w:p w14:paraId="1A5D3D17" w14:textId="33F20FA1" w:rsidR="008C199C" w:rsidRPr="00565002" w:rsidRDefault="00FE2421"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w:t>
            </w:r>
            <w:r w:rsidR="008C199C" w:rsidRPr="00565002">
              <w:rPr>
                <w:rFonts w:ascii="Arial" w:hAnsi="Arial" w:cs="Arial"/>
                <w:sz w:val="18"/>
                <w:szCs w:val="18"/>
                <w:lang w:val="en-AU" w:eastAsia="en-AU"/>
              </w:rPr>
              <w:t>7</w:t>
            </w:r>
            <w:r w:rsidRPr="00565002">
              <w:rPr>
                <w:rFonts w:ascii="Arial" w:hAnsi="Arial" w:cs="Arial"/>
                <w:sz w:val="18"/>
                <w:szCs w:val="18"/>
                <w:lang w:val="en-AU" w:eastAsia="en-AU"/>
              </w:rPr>
              <w:t>)</w:t>
            </w:r>
          </w:p>
        </w:tc>
        <w:tc>
          <w:tcPr>
            <w:tcW w:w="1255" w:type="dxa"/>
            <w:tcBorders>
              <w:top w:val="nil"/>
              <w:left w:val="nil"/>
              <w:bottom w:val="nil"/>
              <w:right w:val="nil"/>
            </w:tcBorders>
            <w:shd w:val="clear" w:color="000000" w:fill="FFFFFF"/>
            <w:vAlign w:val="center"/>
            <w:hideMark/>
          </w:tcPr>
          <w:p w14:paraId="05FD5C19" w14:textId="0CAC397B" w:rsidR="008C199C" w:rsidRPr="00565002" w:rsidRDefault="00FE2421"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w:t>
            </w:r>
            <w:r w:rsidR="008C199C" w:rsidRPr="00565002">
              <w:rPr>
                <w:rFonts w:ascii="Arial" w:hAnsi="Arial" w:cs="Arial"/>
                <w:sz w:val="18"/>
                <w:szCs w:val="18"/>
                <w:lang w:val="en-AU" w:eastAsia="en-AU"/>
              </w:rPr>
              <w:t>17</w:t>
            </w:r>
            <w:r w:rsidRPr="00565002">
              <w:rPr>
                <w:rFonts w:ascii="Arial" w:hAnsi="Arial" w:cs="Arial"/>
                <w:sz w:val="18"/>
                <w:szCs w:val="18"/>
                <w:lang w:val="en-AU" w:eastAsia="en-AU"/>
              </w:rPr>
              <w:t>)</w:t>
            </w:r>
          </w:p>
        </w:tc>
        <w:tc>
          <w:tcPr>
            <w:tcW w:w="1255" w:type="dxa"/>
            <w:tcBorders>
              <w:top w:val="nil"/>
              <w:left w:val="nil"/>
              <w:bottom w:val="nil"/>
              <w:right w:val="nil"/>
            </w:tcBorders>
            <w:shd w:val="clear" w:color="000000" w:fill="FFFFFF"/>
            <w:vAlign w:val="center"/>
            <w:hideMark/>
          </w:tcPr>
          <w:p w14:paraId="63C2DC29" w14:textId="665171CE" w:rsidR="008C199C" w:rsidRPr="00565002" w:rsidRDefault="000775B5"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w:t>
            </w:r>
            <w:r w:rsidR="008C199C" w:rsidRPr="00565002">
              <w:rPr>
                <w:rFonts w:ascii="Arial" w:hAnsi="Arial" w:cs="Arial"/>
                <w:sz w:val="18"/>
                <w:szCs w:val="18"/>
                <w:lang w:val="en-AU" w:eastAsia="en-AU"/>
              </w:rPr>
              <w:t>2</w:t>
            </w:r>
            <w:r w:rsidR="000D3682" w:rsidRPr="00565002">
              <w:rPr>
                <w:rFonts w:ascii="Arial" w:hAnsi="Arial" w:cs="Arial"/>
                <w:sz w:val="18"/>
                <w:szCs w:val="18"/>
                <w:lang w:val="en-AU" w:eastAsia="en-AU"/>
              </w:rPr>
              <w:t>2</w:t>
            </w:r>
            <w:r w:rsidRPr="00565002">
              <w:rPr>
                <w:rFonts w:ascii="Arial" w:hAnsi="Arial" w:cs="Arial"/>
                <w:sz w:val="18"/>
                <w:szCs w:val="18"/>
                <w:lang w:val="en-AU" w:eastAsia="en-AU"/>
              </w:rPr>
              <w:t>)</w:t>
            </w:r>
          </w:p>
        </w:tc>
      </w:tr>
      <w:tr w:rsidR="00565002" w:rsidRPr="00565002" w14:paraId="7824F298" w14:textId="77777777" w:rsidTr="00565002">
        <w:trPr>
          <w:trHeight w:val="255"/>
        </w:trPr>
        <w:tc>
          <w:tcPr>
            <w:tcW w:w="4536" w:type="dxa"/>
            <w:tcBorders>
              <w:top w:val="nil"/>
              <w:left w:val="nil"/>
              <w:bottom w:val="nil"/>
              <w:right w:val="nil"/>
            </w:tcBorders>
            <w:shd w:val="clear" w:color="auto" w:fill="auto"/>
            <w:vAlign w:val="center"/>
            <w:hideMark/>
          </w:tcPr>
          <w:p w14:paraId="1708A1A7" w14:textId="2C96A1DA" w:rsidR="008C199C" w:rsidRPr="00565002" w:rsidRDefault="008C199C" w:rsidP="008C199C">
            <w:pPr>
              <w:rPr>
                <w:rFonts w:ascii="Arial" w:hAnsi="Arial" w:cs="Arial"/>
                <w:sz w:val="18"/>
                <w:szCs w:val="18"/>
                <w:lang w:val="en-AU" w:eastAsia="en-AU"/>
              </w:rPr>
            </w:pPr>
            <w:r w:rsidRPr="00565002">
              <w:rPr>
                <w:rFonts w:ascii="Arial" w:hAnsi="Arial" w:cs="Arial"/>
                <w:sz w:val="18"/>
                <w:szCs w:val="18"/>
                <w:lang w:val="en-AU" w:eastAsia="en-AU"/>
              </w:rPr>
              <w:t xml:space="preserve">GST </w:t>
            </w:r>
            <w:r w:rsidR="00106592" w:rsidRPr="00565002">
              <w:rPr>
                <w:rFonts w:ascii="Arial" w:hAnsi="Arial" w:cs="Arial"/>
                <w:sz w:val="18"/>
                <w:szCs w:val="18"/>
                <w:lang w:val="en-AU" w:eastAsia="en-AU"/>
              </w:rPr>
              <w:t>revenue</w:t>
            </w:r>
            <w:r w:rsidRPr="00565002">
              <w:rPr>
                <w:rFonts w:ascii="Arial" w:hAnsi="Arial" w:cs="Arial"/>
                <w:sz w:val="18"/>
                <w:szCs w:val="18"/>
                <w:lang w:val="en-AU" w:eastAsia="en-AU"/>
              </w:rPr>
              <w:t xml:space="preserve"> </w:t>
            </w:r>
          </w:p>
        </w:tc>
        <w:tc>
          <w:tcPr>
            <w:tcW w:w="1255" w:type="dxa"/>
            <w:tcBorders>
              <w:top w:val="nil"/>
              <w:left w:val="nil"/>
              <w:bottom w:val="nil"/>
              <w:right w:val="nil"/>
            </w:tcBorders>
            <w:shd w:val="clear" w:color="000000" w:fill="FFFFFF"/>
            <w:vAlign w:val="center"/>
            <w:hideMark/>
          </w:tcPr>
          <w:p w14:paraId="412E45E8" w14:textId="5321018D" w:rsidR="008C199C" w:rsidRPr="00565002" w:rsidRDefault="00DE3CDD"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6</w:t>
            </w:r>
          </w:p>
        </w:tc>
        <w:tc>
          <w:tcPr>
            <w:tcW w:w="1255" w:type="dxa"/>
            <w:tcBorders>
              <w:top w:val="nil"/>
              <w:left w:val="nil"/>
              <w:bottom w:val="nil"/>
              <w:right w:val="nil"/>
            </w:tcBorders>
            <w:shd w:val="clear" w:color="000000" w:fill="FFFFFF"/>
            <w:vAlign w:val="center"/>
            <w:hideMark/>
          </w:tcPr>
          <w:p w14:paraId="273C9EA3" w14:textId="628418AA" w:rsidR="008C199C" w:rsidRPr="00565002" w:rsidRDefault="008C199C"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1</w:t>
            </w:r>
            <w:r w:rsidR="00DE3CDD" w:rsidRPr="00565002">
              <w:rPr>
                <w:rFonts w:ascii="Arial" w:hAnsi="Arial" w:cs="Arial"/>
                <w:sz w:val="18"/>
                <w:szCs w:val="18"/>
                <w:lang w:val="en-AU" w:eastAsia="en-AU"/>
              </w:rPr>
              <w:t>7</w:t>
            </w:r>
          </w:p>
        </w:tc>
        <w:tc>
          <w:tcPr>
            <w:tcW w:w="1255" w:type="dxa"/>
            <w:tcBorders>
              <w:top w:val="nil"/>
              <w:left w:val="nil"/>
              <w:bottom w:val="nil"/>
              <w:right w:val="nil"/>
            </w:tcBorders>
            <w:shd w:val="clear" w:color="000000" w:fill="FFFFFF"/>
            <w:vAlign w:val="center"/>
            <w:hideMark/>
          </w:tcPr>
          <w:p w14:paraId="5B9EA662" w14:textId="00B32334" w:rsidR="008C199C" w:rsidRPr="00565002" w:rsidRDefault="008C199C"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2</w:t>
            </w:r>
            <w:r w:rsidR="000D3682" w:rsidRPr="00565002">
              <w:rPr>
                <w:rFonts w:ascii="Arial" w:hAnsi="Arial" w:cs="Arial"/>
                <w:sz w:val="18"/>
                <w:szCs w:val="18"/>
                <w:lang w:val="en-AU" w:eastAsia="en-AU"/>
              </w:rPr>
              <w:t>6</w:t>
            </w:r>
          </w:p>
        </w:tc>
        <w:tc>
          <w:tcPr>
            <w:tcW w:w="1255" w:type="dxa"/>
            <w:tcBorders>
              <w:top w:val="nil"/>
              <w:left w:val="nil"/>
              <w:bottom w:val="nil"/>
              <w:right w:val="nil"/>
            </w:tcBorders>
            <w:shd w:val="clear" w:color="000000" w:fill="FFFFFF"/>
            <w:vAlign w:val="center"/>
            <w:hideMark/>
          </w:tcPr>
          <w:p w14:paraId="7061EF44" w14:textId="735A3583" w:rsidR="008C199C" w:rsidRPr="00565002" w:rsidRDefault="008C199C"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3</w:t>
            </w:r>
            <w:r w:rsidR="000D3682" w:rsidRPr="00565002">
              <w:rPr>
                <w:rFonts w:ascii="Arial" w:hAnsi="Arial" w:cs="Arial"/>
                <w:sz w:val="18"/>
                <w:szCs w:val="18"/>
                <w:lang w:val="en-AU" w:eastAsia="en-AU"/>
              </w:rPr>
              <w:t>3</w:t>
            </w:r>
          </w:p>
        </w:tc>
      </w:tr>
      <w:tr w:rsidR="00565002" w:rsidRPr="00565002" w14:paraId="2EDD6479" w14:textId="77777777" w:rsidTr="00565002">
        <w:trPr>
          <w:trHeight w:val="255"/>
        </w:trPr>
        <w:tc>
          <w:tcPr>
            <w:tcW w:w="4536" w:type="dxa"/>
            <w:tcBorders>
              <w:top w:val="nil"/>
              <w:left w:val="nil"/>
              <w:bottom w:val="single" w:sz="4" w:space="0" w:color="auto"/>
              <w:right w:val="nil"/>
            </w:tcBorders>
            <w:shd w:val="clear" w:color="auto" w:fill="auto"/>
            <w:vAlign w:val="center"/>
          </w:tcPr>
          <w:p w14:paraId="2AB66325" w14:textId="0E347F98" w:rsidR="00E06B65" w:rsidRPr="00565002" w:rsidRDefault="00E06B65" w:rsidP="008C199C">
            <w:pPr>
              <w:rPr>
                <w:rFonts w:ascii="Arial" w:hAnsi="Arial" w:cs="Arial"/>
                <w:sz w:val="18"/>
                <w:szCs w:val="18"/>
                <w:lang w:val="en-AU" w:eastAsia="en-AU"/>
              </w:rPr>
            </w:pPr>
            <w:r w:rsidRPr="00565002">
              <w:rPr>
                <w:rFonts w:ascii="Arial" w:hAnsi="Arial" w:cs="Arial"/>
                <w:sz w:val="18"/>
                <w:szCs w:val="18"/>
                <w:lang w:val="en-AU" w:eastAsia="en-AU"/>
              </w:rPr>
              <w:t>Total revenue</w:t>
            </w:r>
          </w:p>
        </w:tc>
        <w:tc>
          <w:tcPr>
            <w:tcW w:w="1255" w:type="dxa"/>
            <w:tcBorders>
              <w:top w:val="nil"/>
              <w:left w:val="nil"/>
              <w:bottom w:val="single" w:sz="4" w:space="0" w:color="auto"/>
              <w:right w:val="nil"/>
            </w:tcBorders>
            <w:shd w:val="clear" w:color="000000" w:fill="FFFFFF"/>
            <w:vAlign w:val="center"/>
          </w:tcPr>
          <w:p w14:paraId="3206589C" w14:textId="66C3E890" w:rsidR="00E06B65" w:rsidRPr="00565002" w:rsidRDefault="00844B2D"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6</w:t>
            </w:r>
          </w:p>
        </w:tc>
        <w:tc>
          <w:tcPr>
            <w:tcW w:w="1255" w:type="dxa"/>
            <w:tcBorders>
              <w:top w:val="nil"/>
              <w:left w:val="nil"/>
              <w:bottom w:val="single" w:sz="4" w:space="0" w:color="auto"/>
              <w:right w:val="nil"/>
            </w:tcBorders>
            <w:shd w:val="clear" w:color="000000" w:fill="FFFFFF"/>
            <w:vAlign w:val="center"/>
          </w:tcPr>
          <w:p w14:paraId="38822E2A" w14:textId="04BDB901" w:rsidR="00E06B65" w:rsidRPr="00565002" w:rsidRDefault="000F29E1"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7</w:t>
            </w:r>
          </w:p>
        </w:tc>
        <w:tc>
          <w:tcPr>
            <w:tcW w:w="1255" w:type="dxa"/>
            <w:tcBorders>
              <w:top w:val="nil"/>
              <w:left w:val="nil"/>
              <w:bottom w:val="single" w:sz="4" w:space="0" w:color="auto"/>
              <w:right w:val="nil"/>
            </w:tcBorders>
            <w:shd w:val="clear" w:color="000000" w:fill="FFFFFF"/>
            <w:vAlign w:val="center"/>
          </w:tcPr>
          <w:p w14:paraId="7531E4C2" w14:textId="641A4905" w:rsidR="00E06B65" w:rsidRPr="00565002" w:rsidRDefault="00FE2421"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w:t>
            </w:r>
            <w:r w:rsidR="007331CA" w:rsidRPr="00565002">
              <w:rPr>
                <w:rFonts w:ascii="Arial" w:hAnsi="Arial" w:cs="Arial"/>
                <w:sz w:val="18"/>
                <w:szCs w:val="18"/>
                <w:lang w:val="en-AU" w:eastAsia="en-AU"/>
              </w:rPr>
              <w:t>5</w:t>
            </w:r>
            <w:r w:rsidR="000775B5" w:rsidRPr="00565002">
              <w:rPr>
                <w:rFonts w:ascii="Arial" w:hAnsi="Arial" w:cs="Arial"/>
                <w:sz w:val="18"/>
                <w:szCs w:val="18"/>
                <w:lang w:val="en-AU" w:eastAsia="en-AU"/>
              </w:rPr>
              <w:t>)</w:t>
            </w:r>
          </w:p>
        </w:tc>
        <w:tc>
          <w:tcPr>
            <w:tcW w:w="1255" w:type="dxa"/>
            <w:tcBorders>
              <w:top w:val="nil"/>
              <w:left w:val="nil"/>
              <w:bottom w:val="single" w:sz="4" w:space="0" w:color="auto"/>
              <w:right w:val="nil"/>
            </w:tcBorders>
            <w:shd w:val="clear" w:color="000000" w:fill="FFFFFF"/>
            <w:vAlign w:val="center"/>
          </w:tcPr>
          <w:p w14:paraId="1621EF13" w14:textId="428A3BB8" w:rsidR="00E06B65" w:rsidRPr="00565002" w:rsidRDefault="000775B5" w:rsidP="00565002">
            <w:pPr>
              <w:ind w:left="-517" w:right="330"/>
              <w:jc w:val="right"/>
              <w:rPr>
                <w:rFonts w:ascii="Arial" w:hAnsi="Arial" w:cs="Arial"/>
                <w:sz w:val="18"/>
                <w:szCs w:val="18"/>
                <w:lang w:val="en-AU" w:eastAsia="en-AU"/>
              </w:rPr>
            </w:pPr>
            <w:r w:rsidRPr="00565002">
              <w:rPr>
                <w:rFonts w:ascii="Arial" w:hAnsi="Arial" w:cs="Arial"/>
                <w:sz w:val="18"/>
                <w:szCs w:val="18"/>
                <w:lang w:val="en-AU" w:eastAsia="en-AU"/>
              </w:rPr>
              <w:t>(</w:t>
            </w:r>
            <w:r w:rsidR="007331CA" w:rsidRPr="00565002">
              <w:rPr>
                <w:rFonts w:ascii="Arial" w:hAnsi="Arial" w:cs="Arial"/>
                <w:sz w:val="18"/>
                <w:szCs w:val="18"/>
                <w:lang w:val="en-AU" w:eastAsia="en-AU"/>
              </w:rPr>
              <w:t>1</w:t>
            </w:r>
            <w:r w:rsidR="000D3682" w:rsidRPr="00565002">
              <w:rPr>
                <w:rFonts w:ascii="Arial" w:hAnsi="Arial" w:cs="Arial"/>
                <w:sz w:val="18"/>
                <w:szCs w:val="18"/>
                <w:lang w:val="en-AU" w:eastAsia="en-AU"/>
              </w:rPr>
              <w:t>4</w:t>
            </w:r>
            <w:r w:rsidRPr="00565002">
              <w:rPr>
                <w:rFonts w:ascii="Arial" w:hAnsi="Arial" w:cs="Arial"/>
                <w:sz w:val="18"/>
                <w:szCs w:val="18"/>
                <w:lang w:val="en-AU" w:eastAsia="en-AU"/>
              </w:rPr>
              <w:t>)</w:t>
            </w:r>
          </w:p>
        </w:tc>
      </w:tr>
    </w:tbl>
    <w:p w14:paraId="349B547A" w14:textId="77777777" w:rsidR="00135CA7" w:rsidRPr="00135CA7" w:rsidRDefault="00135CA7" w:rsidP="00135CA7">
      <w:pPr>
        <w:ind w:left="357" w:hanging="357"/>
        <w:rPr>
          <w:rFonts w:ascii="Arial" w:hAnsi="Arial" w:cs="Arial"/>
          <w:sz w:val="6"/>
          <w:szCs w:val="6"/>
        </w:rPr>
      </w:pPr>
    </w:p>
    <w:p w14:paraId="5A01CDE3" w14:textId="5FBE3849" w:rsidR="00FA26DB" w:rsidRPr="00571AD8" w:rsidRDefault="00FA26DB" w:rsidP="00571AD8">
      <w:pPr>
        <w:pStyle w:val="ListParagraph"/>
        <w:numPr>
          <w:ilvl w:val="0"/>
          <w:numId w:val="32"/>
        </w:numPr>
        <w:ind w:left="357" w:hanging="357"/>
        <w:rPr>
          <w:rFonts w:ascii="Arial" w:hAnsi="Arial" w:cs="Arial"/>
          <w:sz w:val="17"/>
          <w:szCs w:val="17"/>
        </w:rPr>
      </w:pPr>
      <w:r w:rsidRPr="00571AD8">
        <w:rPr>
          <w:rFonts w:ascii="Arial" w:hAnsi="Arial" w:cs="Arial"/>
          <w:sz w:val="17"/>
          <w:szCs w:val="17"/>
        </w:rPr>
        <w:t xml:space="preserve"> Figures reported are the change in the level of each parameter relative to the baseline.</w:t>
      </w:r>
    </w:p>
    <w:p w14:paraId="12445A27" w14:textId="2138E979" w:rsidR="00FA26DB" w:rsidRPr="00135CA7" w:rsidRDefault="00FA26DB" w:rsidP="00654C65">
      <w:pPr>
        <w:pStyle w:val="Chartx"/>
        <w:numPr>
          <w:ilvl w:val="0"/>
          <w:numId w:val="0"/>
        </w:numPr>
        <w:spacing w:before="60" w:after="0"/>
        <w:rPr>
          <w:color w:val="4F4F4F"/>
          <w:sz w:val="17"/>
          <w:szCs w:val="17"/>
        </w:rPr>
      </w:pPr>
      <w:r w:rsidRPr="00135CA7">
        <w:rPr>
          <w:color w:val="4F4F4F"/>
          <w:sz w:val="17"/>
          <w:szCs w:val="17"/>
        </w:rPr>
        <w:t xml:space="preserve">Source: </w:t>
      </w:r>
      <w:r w:rsidR="008F7F26" w:rsidRPr="00135CA7">
        <w:rPr>
          <w:color w:val="4F4F4F"/>
          <w:sz w:val="17"/>
          <w:szCs w:val="17"/>
        </w:rPr>
        <w:t>C</w:t>
      </w:r>
      <w:r w:rsidR="005322F7" w:rsidRPr="00135CA7">
        <w:rPr>
          <w:color w:val="4F4F4F"/>
          <w:sz w:val="17"/>
          <w:szCs w:val="17"/>
        </w:rPr>
        <w:t>o</w:t>
      </w:r>
      <w:r w:rsidR="008F7F26" w:rsidRPr="00135CA7">
        <w:rPr>
          <w:color w:val="4F4F4F"/>
          <w:sz w:val="17"/>
          <w:szCs w:val="17"/>
        </w:rPr>
        <w:t>PS</w:t>
      </w:r>
      <w:r w:rsidRPr="00135CA7">
        <w:rPr>
          <w:color w:val="4F4F4F"/>
          <w:sz w:val="17"/>
          <w:szCs w:val="17"/>
        </w:rPr>
        <w:t>, Victoria University and NSW Treasury</w:t>
      </w:r>
    </w:p>
    <w:p w14:paraId="08B8B077" w14:textId="77777777" w:rsidR="00654C65" w:rsidRDefault="00654C65">
      <w:pPr>
        <w:spacing w:after="200" w:line="276" w:lineRule="auto"/>
        <w:rPr>
          <w:rFonts w:ascii="Arial Bold" w:eastAsia="Arial Unicode MS" w:hAnsi="Arial Bold"/>
          <w:b/>
          <w:kern w:val="28"/>
          <w:sz w:val="26"/>
          <w:szCs w:val="36"/>
          <w:lang w:val="en-AU"/>
        </w:rPr>
      </w:pPr>
      <w:r>
        <w:br w:type="page"/>
      </w:r>
    </w:p>
    <w:p w14:paraId="13E395BE" w14:textId="46C82ED0" w:rsidR="005F787D" w:rsidRDefault="00C405B5" w:rsidP="004767EC">
      <w:pPr>
        <w:pStyle w:val="Heading3"/>
        <w:spacing w:before="220"/>
      </w:pPr>
      <w:r>
        <w:lastRenderedPageBreak/>
        <w:t>Lower</w:t>
      </w:r>
      <w:r w:rsidR="00EA3A1D">
        <w:t xml:space="preserve"> </w:t>
      </w:r>
      <w:r>
        <w:t xml:space="preserve">New South Wales </w:t>
      </w:r>
      <w:r w:rsidR="00220381">
        <w:t xml:space="preserve">and </w:t>
      </w:r>
      <w:r>
        <w:t xml:space="preserve">national </w:t>
      </w:r>
      <w:r w:rsidR="00EA3A1D">
        <w:t>house prices</w:t>
      </w:r>
    </w:p>
    <w:p w14:paraId="7A7794AF" w14:textId="44B7B489" w:rsidR="005D76ED" w:rsidRDefault="00C017D4" w:rsidP="00CE3229">
      <w:pPr>
        <w:pStyle w:val="BodyText"/>
      </w:pPr>
      <w:r>
        <w:t xml:space="preserve">Following several years of </w:t>
      </w:r>
      <w:r w:rsidR="00115949">
        <w:t>strong</w:t>
      </w:r>
      <w:r>
        <w:t xml:space="preserve"> growth, Sydney house prices have </w:t>
      </w:r>
      <w:r w:rsidR="00EE5E89">
        <w:t xml:space="preserve">fallen </w:t>
      </w:r>
      <w:r w:rsidR="00F11999">
        <w:t>dramatically</w:t>
      </w:r>
      <w:r>
        <w:t xml:space="preserve"> from their peak in mid-2017.</w:t>
      </w:r>
      <w:r w:rsidR="00632087">
        <w:t xml:space="preserve"> </w:t>
      </w:r>
      <w:r w:rsidR="00CE3229">
        <w:t xml:space="preserve">In </w:t>
      </w:r>
      <w:r w:rsidR="00DE5123">
        <w:t>May</w:t>
      </w:r>
      <w:r w:rsidR="00CE3229">
        <w:t xml:space="preserve">, </w:t>
      </w:r>
      <w:r w:rsidR="00632087" w:rsidRPr="00116598">
        <w:t>Sydney</w:t>
      </w:r>
      <w:r w:rsidR="00CE3229">
        <w:t>’s</w:t>
      </w:r>
      <w:r w:rsidR="00632087" w:rsidRPr="00116598">
        <w:t xml:space="preserve"> median house price </w:t>
      </w:r>
      <w:r w:rsidR="0081286F">
        <w:t>was</w:t>
      </w:r>
      <w:r w:rsidR="00CE3229">
        <w:t xml:space="preserve"> </w:t>
      </w:r>
      <w:r w:rsidR="00632087">
        <w:t xml:space="preserve">down </w:t>
      </w:r>
      <w:r w:rsidR="00DE5123">
        <w:t>over</w:t>
      </w:r>
      <w:r w:rsidR="00DE5123" w:rsidRPr="00116598">
        <w:t xml:space="preserve"> </w:t>
      </w:r>
      <w:r w:rsidR="00FD430E" w:rsidRPr="00116598">
        <w:t>14</w:t>
      </w:r>
      <w:r w:rsidR="00FD430E">
        <w:t> </w:t>
      </w:r>
      <w:r w:rsidR="00FD430E" w:rsidRPr="00116598">
        <w:t>per</w:t>
      </w:r>
      <w:r w:rsidR="00FD430E">
        <w:t> </w:t>
      </w:r>
      <w:r w:rsidR="00632087" w:rsidRPr="00116598">
        <w:t>cent</w:t>
      </w:r>
      <w:r w:rsidR="00CE3229">
        <w:t xml:space="preserve"> from </w:t>
      </w:r>
      <w:r w:rsidR="0081286F">
        <w:t>its</w:t>
      </w:r>
      <w:r w:rsidR="00CE3229">
        <w:t xml:space="preserve"> peak</w:t>
      </w:r>
      <w:r w:rsidR="00EA44CD">
        <w:t xml:space="preserve">, the largest nominal decline since the early 1980s (see Chart </w:t>
      </w:r>
      <w:r w:rsidR="008B4FCE">
        <w:t>F.</w:t>
      </w:r>
      <w:r w:rsidR="00EA44CD">
        <w:t>4).</w:t>
      </w:r>
      <w:r w:rsidR="00754F1C">
        <w:t xml:space="preserve"> </w:t>
      </w:r>
      <w:r w:rsidR="003F0E08">
        <w:t xml:space="preserve">Both softer demand and increasing housing supply </w:t>
      </w:r>
      <w:r w:rsidR="004109A5">
        <w:t>have led to the current</w:t>
      </w:r>
      <w:r w:rsidR="003F0E08">
        <w:t xml:space="preserve"> price decline</w:t>
      </w:r>
      <w:r w:rsidR="00CE3229">
        <w:t>s</w:t>
      </w:r>
      <w:r w:rsidR="003F0E08">
        <w:t xml:space="preserve">. </w:t>
      </w:r>
      <w:r w:rsidR="001F3911">
        <w:t>Additional d</w:t>
      </w:r>
      <w:r w:rsidR="003F0E08">
        <w:t>rivers have included tighter credit conditions, affordability challenges</w:t>
      </w:r>
      <w:r w:rsidR="007B5BEE">
        <w:t xml:space="preserve">, </w:t>
      </w:r>
      <w:r w:rsidR="003F0E08">
        <w:t>low rental yields</w:t>
      </w:r>
      <w:r w:rsidR="0055221C">
        <w:t xml:space="preserve"> </w:t>
      </w:r>
      <w:r w:rsidR="00C7573E">
        <w:t>a</w:t>
      </w:r>
      <w:r w:rsidR="007B5BEE">
        <w:t xml:space="preserve">nd </w:t>
      </w:r>
      <w:r w:rsidR="00FD7020">
        <w:t>r</w:t>
      </w:r>
      <w:r w:rsidR="005D76ED">
        <w:t xml:space="preserve">educed investor and owner occupier </w:t>
      </w:r>
      <w:r w:rsidR="0067541E" w:rsidRPr="005257BC">
        <w:t xml:space="preserve">sentiment. </w:t>
      </w:r>
    </w:p>
    <w:p w14:paraId="1C780C5B" w14:textId="05977770" w:rsidR="00BB35AB" w:rsidRPr="0053240D" w:rsidRDefault="006F4B0A" w:rsidP="00565002">
      <w:pPr>
        <w:pStyle w:val="Chartx"/>
        <w:spacing w:before="160"/>
        <w:ind w:left="357" w:hanging="357"/>
        <w:rPr>
          <w:i w:val="0"/>
        </w:rPr>
      </w:pPr>
      <w:r>
        <w:t xml:space="preserve">The largest </w:t>
      </w:r>
      <w:r w:rsidR="00967D1D">
        <w:t xml:space="preserve">decline in </w:t>
      </w:r>
      <w:r w:rsidR="00364551">
        <w:t xml:space="preserve">Sydney </w:t>
      </w:r>
      <w:r w:rsidR="00967D1D">
        <w:t>house</w:t>
      </w:r>
      <w:r w:rsidR="001A5DF4">
        <w:t xml:space="preserve"> </w:t>
      </w:r>
      <w:r w:rsidR="00967D1D">
        <w:t xml:space="preserve">prices </w:t>
      </w:r>
      <w:r w:rsidR="00364551">
        <w:t>since the early 1980s</w:t>
      </w:r>
      <w:r w:rsidR="0016640F">
        <w:t>*</w:t>
      </w:r>
    </w:p>
    <w:p w14:paraId="1AC5FFFD" w14:textId="1ECDC1A8" w:rsidR="0053240D" w:rsidRDefault="00806A0F" w:rsidP="00806A0F">
      <w:pPr>
        <w:pStyle w:val="Chartx"/>
        <w:numPr>
          <w:ilvl w:val="0"/>
          <w:numId w:val="0"/>
        </w:numPr>
        <w:spacing w:before="0" w:after="0"/>
        <w:ind w:left="360" w:hanging="360"/>
        <w:rPr>
          <w:i w:val="0"/>
          <w:sz w:val="16"/>
          <w:szCs w:val="16"/>
        </w:rPr>
      </w:pPr>
      <w:r w:rsidRPr="00565002">
        <w:rPr>
          <w:rFonts w:cs="Arial"/>
          <w:noProof/>
          <w:sz w:val="14"/>
          <w:szCs w:val="14"/>
        </w:rPr>
        <w:drawing>
          <wp:inline distT="0" distB="0" distL="0" distR="0" wp14:anchorId="199B90D2" wp14:editId="4ED5E440">
            <wp:extent cx="5760000" cy="1800000"/>
            <wp:effectExtent l="0" t="0" r="0" b="0"/>
            <wp:docPr id="1" name="Chart 1" descr="Chart F.4: The largest decline in Sydney house prices since the early 1980s.">
              <a:extLst xmlns:a="http://schemas.openxmlformats.org/drawingml/2006/main">
                <a:ext uri="{FF2B5EF4-FFF2-40B4-BE49-F238E27FC236}">
                  <a16:creationId xmlns:a16="http://schemas.microsoft.com/office/drawing/2014/main" id="{86B95860-5EC1-4C36-8536-3E0014015CE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68B05D3" w14:textId="5F80F842" w:rsidR="0016640F" w:rsidRPr="00571AD8" w:rsidRDefault="00571AD8" w:rsidP="00571AD8">
      <w:pPr>
        <w:pStyle w:val="Chartx"/>
        <w:numPr>
          <w:ilvl w:val="0"/>
          <w:numId w:val="0"/>
        </w:numPr>
        <w:spacing w:before="0" w:after="0"/>
        <w:ind w:left="360" w:hanging="360"/>
        <w:rPr>
          <w:i w:val="0"/>
          <w:color w:val="auto"/>
          <w:sz w:val="17"/>
          <w:szCs w:val="17"/>
        </w:rPr>
      </w:pPr>
      <w:r w:rsidRPr="00571AD8">
        <w:rPr>
          <w:i w:val="0"/>
          <w:color w:val="auto"/>
          <w:sz w:val="17"/>
          <w:szCs w:val="17"/>
        </w:rPr>
        <w:t xml:space="preserve">* </w:t>
      </w:r>
      <w:r>
        <w:rPr>
          <w:i w:val="0"/>
          <w:color w:val="auto"/>
          <w:sz w:val="17"/>
          <w:szCs w:val="17"/>
        </w:rPr>
        <w:t xml:space="preserve"> </w:t>
      </w:r>
      <w:r w:rsidR="00BE2A4D" w:rsidRPr="00571AD8">
        <w:rPr>
          <w:i w:val="0"/>
          <w:color w:val="auto"/>
          <w:sz w:val="17"/>
          <w:szCs w:val="17"/>
        </w:rPr>
        <w:t>Stratified median sales</w:t>
      </w:r>
      <w:r w:rsidR="00BD6511" w:rsidRPr="00571AD8">
        <w:rPr>
          <w:i w:val="0"/>
          <w:color w:val="auto"/>
          <w:sz w:val="17"/>
          <w:szCs w:val="17"/>
        </w:rPr>
        <w:t xml:space="preserve"> price</w:t>
      </w:r>
      <w:r w:rsidR="00BA1A4D" w:rsidRPr="00571AD8">
        <w:rPr>
          <w:i w:val="0"/>
          <w:color w:val="auto"/>
          <w:sz w:val="17"/>
          <w:szCs w:val="17"/>
        </w:rPr>
        <w:t xml:space="preserve"> of houses</w:t>
      </w:r>
      <w:r w:rsidR="00BD6511" w:rsidRPr="00571AD8">
        <w:rPr>
          <w:i w:val="0"/>
          <w:color w:val="auto"/>
          <w:sz w:val="17"/>
          <w:szCs w:val="17"/>
        </w:rPr>
        <w:t>, seasonally adjusted</w:t>
      </w:r>
    </w:p>
    <w:p w14:paraId="447EC019" w14:textId="1182D147" w:rsidR="00BB35AB" w:rsidRPr="00135CA7" w:rsidRDefault="00CA2C5F" w:rsidP="00135CA7">
      <w:pPr>
        <w:pStyle w:val="Chartx"/>
        <w:numPr>
          <w:ilvl w:val="0"/>
          <w:numId w:val="0"/>
        </w:numPr>
        <w:spacing w:before="0" w:after="0"/>
        <w:rPr>
          <w:color w:val="4F4F4F"/>
          <w:sz w:val="17"/>
          <w:szCs w:val="17"/>
        </w:rPr>
      </w:pPr>
      <w:r w:rsidRPr="00135CA7">
        <w:rPr>
          <w:color w:val="4F4F4F"/>
          <w:sz w:val="17"/>
          <w:szCs w:val="17"/>
        </w:rPr>
        <w:t>Source: Core</w:t>
      </w:r>
      <w:r w:rsidR="00A80A1C" w:rsidRPr="00135CA7">
        <w:rPr>
          <w:color w:val="4F4F4F"/>
          <w:sz w:val="17"/>
          <w:szCs w:val="17"/>
        </w:rPr>
        <w:t>L</w:t>
      </w:r>
      <w:r w:rsidRPr="00135CA7">
        <w:rPr>
          <w:color w:val="4F4F4F"/>
          <w:sz w:val="17"/>
          <w:szCs w:val="17"/>
        </w:rPr>
        <w:t>ogic and NSW Treasury</w:t>
      </w:r>
    </w:p>
    <w:p w14:paraId="021658E7" w14:textId="0F35CC2B" w:rsidR="00C974F6" w:rsidRDefault="00E257F1" w:rsidP="00C974F6">
      <w:pPr>
        <w:pStyle w:val="BodyText"/>
      </w:pPr>
      <w:r>
        <w:t xml:space="preserve">Current forecasts assume </w:t>
      </w:r>
      <w:r w:rsidR="00156290">
        <w:t xml:space="preserve">that </w:t>
      </w:r>
      <w:r w:rsidR="00C974F6" w:rsidRPr="009B31E4">
        <w:t>house prices</w:t>
      </w:r>
      <w:r w:rsidR="00654A33">
        <w:t xml:space="preserve"> will</w:t>
      </w:r>
      <w:r w:rsidR="00C974F6" w:rsidRPr="009B31E4">
        <w:t xml:space="preserve"> stabilis</w:t>
      </w:r>
      <w:r w:rsidR="00654A33">
        <w:t>e</w:t>
      </w:r>
      <w:r w:rsidR="00C974F6" w:rsidRPr="009B31E4">
        <w:t xml:space="preserve"> </w:t>
      </w:r>
      <w:r w:rsidR="005008B5">
        <w:t>from late-2019</w:t>
      </w:r>
      <w:r w:rsidR="00C974F6" w:rsidRPr="009B31E4">
        <w:t>.</w:t>
      </w:r>
      <w:r w:rsidR="0002505E">
        <w:t xml:space="preserve"> </w:t>
      </w:r>
      <w:r w:rsidR="005008B5">
        <w:t>This is c</w:t>
      </w:r>
      <w:r w:rsidR="00BA2F74">
        <w:t>onsistent</w:t>
      </w:r>
      <w:r w:rsidR="00DF10CA">
        <w:t xml:space="preserve"> with improving auction clearance rates, lower interest rates and </w:t>
      </w:r>
      <w:r w:rsidR="00BA2F74">
        <w:t xml:space="preserve">a gradual improvement in </w:t>
      </w:r>
      <w:r w:rsidR="001F3911">
        <w:t xml:space="preserve">household </w:t>
      </w:r>
      <w:r w:rsidR="00BA2F74">
        <w:t xml:space="preserve">income growth. </w:t>
      </w:r>
      <w:r w:rsidR="0002505E">
        <w:t xml:space="preserve">There is the risk, however, that this does not </w:t>
      </w:r>
      <w:r w:rsidR="00895C3F">
        <w:t>eventuate,</w:t>
      </w:r>
      <w:r w:rsidR="0002505E">
        <w:t xml:space="preserve"> and house prices continue to decline.</w:t>
      </w:r>
      <w:r w:rsidR="00895C3F">
        <w:t xml:space="preserve"> The weakness in </w:t>
      </w:r>
      <w:r w:rsidR="00C974F6" w:rsidRPr="008A402C">
        <w:t>housing finance commitments</w:t>
      </w:r>
      <w:r w:rsidR="00895C3F">
        <w:t xml:space="preserve"> and </w:t>
      </w:r>
      <w:r w:rsidR="001F3911">
        <w:t>rent</w:t>
      </w:r>
      <w:r w:rsidR="005008B5">
        <w:t>al price growth</w:t>
      </w:r>
      <w:r w:rsidR="0056780C">
        <w:t xml:space="preserve"> provide the strongest basis for this risk.</w:t>
      </w:r>
      <w:r w:rsidR="00C96711">
        <w:t xml:space="preserve"> </w:t>
      </w:r>
      <w:r w:rsidR="00BA1A4D">
        <w:t>A</w:t>
      </w:r>
      <w:r w:rsidR="00603796">
        <w:t>ffordability also remains a</w:t>
      </w:r>
      <w:r w:rsidR="005F63EA">
        <w:t>n issue</w:t>
      </w:r>
      <w:r w:rsidR="00C5586F">
        <w:t>.</w:t>
      </w:r>
      <w:r w:rsidR="00603796">
        <w:t xml:space="preserve"> </w:t>
      </w:r>
      <w:r w:rsidR="0032290B">
        <w:t>Despite the recent fall, h</w:t>
      </w:r>
      <w:r w:rsidR="00C974F6" w:rsidRPr="000C5B43">
        <w:t>ouse prices are still around 60 per cent higher than in late-2011</w:t>
      </w:r>
      <w:r w:rsidR="00BA1A4D">
        <w:t xml:space="preserve">, leaving </w:t>
      </w:r>
      <w:r w:rsidR="005F63EA">
        <w:t xml:space="preserve">house </w:t>
      </w:r>
      <w:r w:rsidR="00603796">
        <w:t>price to income</w:t>
      </w:r>
      <w:r w:rsidR="003B17C8">
        <w:t xml:space="preserve"> ratios </w:t>
      </w:r>
      <w:r w:rsidR="005F48E5">
        <w:t xml:space="preserve">still stretched, </w:t>
      </w:r>
      <w:r w:rsidR="0032290B">
        <w:t>suggesting</w:t>
      </w:r>
      <w:r w:rsidR="00DD52FF">
        <w:t xml:space="preserve"> </w:t>
      </w:r>
      <w:r w:rsidR="005F63EA">
        <w:t>further downside</w:t>
      </w:r>
      <w:r w:rsidR="00445AC1">
        <w:t xml:space="preserve"> risk.</w:t>
      </w:r>
    </w:p>
    <w:p w14:paraId="45F9728C" w14:textId="4E498B84" w:rsidR="00636EF2" w:rsidRDefault="00A34AAC" w:rsidP="00636EF2">
      <w:pPr>
        <w:pStyle w:val="BodyText"/>
      </w:pPr>
      <w:r>
        <w:t>Hence, t</w:t>
      </w:r>
      <w:r w:rsidR="0023386B">
        <w:t xml:space="preserve">his scenario </w:t>
      </w:r>
      <w:r w:rsidR="008908A2" w:rsidRPr="008908A2">
        <w:t>examines</w:t>
      </w:r>
      <w:r w:rsidR="008908A2">
        <w:t xml:space="preserve"> </w:t>
      </w:r>
      <w:r w:rsidR="008908A2" w:rsidRPr="008908A2">
        <w:t>the</w:t>
      </w:r>
      <w:r w:rsidR="008908A2">
        <w:t xml:space="preserve"> </w:t>
      </w:r>
      <w:r w:rsidR="008908A2" w:rsidRPr="008908A2">
        <w:t>impact</w:t>
      </w:r>
      <w:r w:rsidR="008908A2">
        <w:t xml:space="preserve"> </w:t>
      </w:r>
      <w:r w:rsidR="008908A2" w:rsidRPr="008908A2">
        <w:t>of</w:t>
      </w:r>
      <w:r w:rsidR="008908A2">
        <w:t xml:space="preserve"> </w:t>
      </w:r>
      <w:r w:rsidR="008908A2" w:rsidRPr="008908A2">
        <w:t>a</w:t>
      </w:r>
      <w:r w:rsidR="008908A2">
        <w:t xml:space="preserve"> </w:t>
      </w:r>
      <w:r w:rsidR="002F34B8">
        <w:t>further</w:t>
      </w:r>
      <w:r w:rsidR="008908A2">
        <w:t xml:space="preserve"> </w:t>
      </w:r>
      <w:r w:rsidR="008908A2" w:rsidRPr="008908A2">
        <w:t>fall</w:t>
      </w:r>
      <w:r w:rsidR="008908A2">
        <w:t xml:space="preserve"> </w:t>
      </w:r>
      <w:r w:rsidR="008908A2" w:rsidRPr="008908A2">
        <w:t>in</w:t>
      </w:r>
      <w:r w:rsidR="008908A2">
        <w:t xml:space="preserve"> </w:t>
      </w:r>
      <w:r w:rsidR="008908A2" w:rsidRPr="008908A2">
        <w:t>house</w:t>
      </w:r>
      <w:r w:rsidR="00563FAC">
        <w:rPr>
          <w:rFonts w:cs="Arial"/>
        </w:rPr>
        <w:t xml:space="preserve"> </w:t>
      </w:r>
      <w:r w:rsidR="008908A2" w:rsidRPr="008908A2">
        <w:t>price</w:t>
      </w:r>
      <w:r w:rsidR="008D7323">
        <w:t>s</w:t>
      </w:r>
      <w:r w:rsidR="008908A2" w:rsidRPr="008908A2">
        <w:t>.</w:t>
      </w:r>
      <w:r w:rsidR="00563FAC">
        <w:rPr>
          <w:rFonts w:cs="Arial"/>
        </w:rPr>
        <w:t xml:space="preserve"> </w:t>
      </w:r>
      <w:r w:rsidR="008908A2" w:rsidRPr="008908A2">
        <w:t>In</w:t>
      </w:r>
      <w:r w:rsidR="00563FAC">
        <w:rPr>
          <w:rFonts w:cs="Arial"/>
        </w:rPr>
        <w:t xml:space="preserve"> </w:t>
      </w:r>
      <w:r w:rsidR="00BA2F74">
        <w:t>New South Wales</w:t>
      </w:r>
      <w:r w:rsidR="008908A2" w:rsidRPr="008908A2">
        <w:t>,</w:t>
      </w:r>
      <w:r w:rsidR="00563FAC">
        <w:rPr>
          <w:rFonts w:cs="Arial"/>
        </w:rPr>
        <w:t xml:space="preserve"> </w:t>
      </w:r>
      <w:r w:rsidR="008D7323">
        <w:t xml:space="preserve">house prices are </w:t>
      </w:r>
      <w:r w:rsidR="002F34B8">
        <w:t xml:space="preserve">negatively </w:t>
      </w:r>
      <w:r w:rsidR="008D7323">
        <w:t xml:space="preserve">shocked by </w:t>
      </w:r>
      <w:r w:rsidR="008908A2" w:rsidRPr="008908A2">
        <w:t>10</w:t>
      </w:r>
      <w:r w:rsidR="00563FAC">
        <w:t xml:space="preserve"> p</w:t>
      </w:r>
      <w:r w:rsidR="008908A2" w:rsidRPr="008908A2">
        <w:t>er</w:t>
      </w:r>
      <w:r w:rsidR="00563FAC">
        <w:t xml:space="preserve"> </w:t>
      </w:r>
      <w:r w:rsidR="008908A2" w:rsidRPr="008908A2">
        <w:t>cent,</w:t>
      </w:r>
      <w:r w:rsidR="00563FAC">
        <w:t xml:space="preserve"> </w:t>
      </w:r>
      <w:r w:rsidR="008908A2" w:rsidRPr="008908A2">
        <w:t>while</w:t>
      </w:r>
      <w:r w:rsidR="00563FAC">
        <w:t xml:space="preserve"> </w:t>
      </w:r>
      <w:r w:rsidR="008908A2" w:rsidRPr="008908A2">
        <w:t>the</w:t>
      </w:r>
      <w:r w:rsidR="00563FAC">
        <w:rPr>
          <w:rFonts w:cs="Arial"/>
        </w:rPr>
        <w:t xml:space="preserve"> </w:t>
      </w:r>
      <w:r w:rsidR="008D7323">
        <w:t>rest of Australia</w:t>
      </w:r>
      <w:r w:rsidR="00563FAC">
        <w:rPr>
          <w:rFonts w:cs="Arial"/>
        </w:rPr>
        <w:t xml:space="preserve"> </w:t>
      </w:r>
      <w:r w:rsidR="008908A2" w:rsidRPr="008908A2">
        <w:t>experiences</w:t>
      </w:r>
      <w:r w:rsidR="00563FAC">
        <w:t xml:space="preserve"> </w:t>
      </w:r>
      <w:r w:rsidR="008908A2" w:rsidRPr="008908A2">
        <w:t>a</w:t>
      </w:r>
      <w:r w:rsidR="00563FAC">
        <w:t xml:space="preserve"> </w:t>
      </w:r>
      <w:r w:rsidR="008908A2" w:rsidRPr="008908A2">
        <w:t>fall</w:t>
      </w:r>
      <w:r w:rsidR="00563FAC">
        <w:t xml:space="preserve"> </w:t>
      </w:r>
      <w:r w:rsidR="008908A2" w:rsidRPr="008908A2">
        <w:t>of</w:t>
      </w:r>
      <w:r w:rsidR="00563FAC">
        <w:t xml:space="preserve"> </w:t>
      </w:r>
      <w:r w:rsidR="008908A2" w:rsidRPr="008908A2">
        <w:t>7</w:t>
      </w:r>
      <w:r w:rsidR="00563FAC">
        <w:rPr>
          <w:rFonts w:cs="Arial"/>
        </w:rPr>
        <w:t xml:space="preserve"> </w:t>
      </w:r>
      <w:r w:rsidR="008908A2" w:rsidRPr="008908A2">
        <w:t>per</w:t>
      </w:r>
      <w:r w:rsidR="00563FAC">
        <w:t xml:space="preserve"> </w:t>
      </w:r>
      <w:r w:rsidR="008908A2" w:rsidRPr="008908A2">
        <w:t>cent</w:t>
      </w:r>
      <w:r w:rsidR="00FE4B2F">
        <w:t xml:space="preserve">, </w:t>
      </w:r>
      <w:r w:rsidR="00415828">
        <w:t xml:space="preserve">roughly matching </w:t>
      </w:r>
      <w:r w:rsidR="00415828" w:rsidRPr="00415828">
        <w:t>relativities seen in the current downturn</w:t>
      </w:r>
      <w:r w:rsidR="008908A2" w:rsidRPr="008908A2">
        <w:t>.</w:t>
      </w:r>
      <w:r w:rsidR="006078EE">
        <w:t xml:space="preserve"> </w:t>
      </w:r>
      <w:r w:rsidR="008D7323">
        <w:t>The fall in</w:t>
      </w:r>
      <w:r w:rsidR="00E0177F">
        <w:t xml:space="preserve"> </w:t>
      </w:r>
      <w:r w:rsidR="00E0177F" w:rsidRPr="00E0177F">
        <w:t>hous</w:t>
      </w:r>
      <w:r w:rsidR="00A11BA7">
        <w:t>e</w:t>
      </w:r>
      <w:r w:rsidR="00DB3329">
        <w:t xml:space="preserve"> </w:t>
      </w:r>
      <w:r w:rsidR="00E0177F" w:rsidRPr="00E0177F">
        <w:t>prices</w:t>
      </w:r>
      <w:r w:rsidR="00E0177F">
        <w:t xml:space="preserve"> </w:t>
      </w:r>
      <w:r w:rsidR="008D7323">
        <w:t xml:space="preserve">originates </w:t>
      </w:r>
      <w:r w:rsidR="00E0177F" w:rsidRPr="00E0177F">
        <w:t>as</w:t>
      </w:r>
      <w:r w:rsidR="00E0177F">
        <w:t xml:space="preserve"> </w:t>
      </w:r>
      <w:r w:rsidR="00E0177F" w:rsidRPr="00E0177F">
        <w:t>a</w:t>
      </w:r>
      <w:r w:rsidR="00E0177F">
        <w:t xml:space="preserve"> </w:t>
      </w:r>
      <w:r w:rsidR="00E35CAE">
        <w:t xml:space="preserve">reduction in homebuyers </w:t>
      </w:r>
      <w:r w:rsidR="00D4239C">
        <w:t>demand for housing</w:t>
      </w:r>
      <w:r w:rsidR="000D0961">
        <w:t xml:space="preserve">. </w:t>
      </w:r>
      <w:r w:rsidR="00D14108">
        <w:t>Lower house prices result in lower conveyance duty</w:t>
      </w:r>
      <w:r w:rsidR="001476CF">
        <w:t xml:space="preserve">, which partially offsets the effect of falling house prices on economic activity. </w:t>
      </w:r>
    </w:p>
    <w:p w14:paraId="0FCE9255" w14:textId="5E152CB3" w:rsidR="00743B3A" w:rsidRDefault="00743B3A" w:rsidP="00A62CB1">
      <w:pPr>
        <w:pStyle w:val="Heading4"/>
        <w:spacing w:before="200"/>
      </w:pPr>
      <w:r w:rsidRPr="003E37A7">
        <w:t>Macroeconomic impact</w:t>
      </w:r>
      <w:r w:rsidR="00C514A2">
        <w:t xml:space="preserve"> over</w:t>
      </w:r>
      <w:r w:rsidR="0032290B">
        <w:t xml:space="preserve"> the</w:t>
      </w:r>
      <w:r w:rsidR="00C514A2">
        <w:t xml:space="preserve"> </w:t>
      </w:r>
      <w:r w:rsidR="0032290B">
        <w:t>Budget and forward estimates</w:t>
      </w:r>
    </w:p>
    <w:p w14:paraId="6B88B8AF" w14:textId="4AC223BB" w:rsidR="00AA0FCB" w:rsidRDefault="00A5676B" w:rsidP="00694EC7">
      <w:pPr>
        <w:pStyle w:val="BodyText"/>
      </w:pPr>
      <w:r>
        <w:t>The fall in house price</w:t>
      </w:r>
      <w:r w:rsidR="007D1B94">
        <w:t>s</w:t>
      </w:r>
      <w:r>
        <w:t xml:space="preserve"> has a </w:t>
      </w:r>
      <w:r w:rsidR="005F2999">
        <w:t xml:space="preserve">negative </w:t>
      </w:r>
      <w:r>
        <w:t>impact on the NSW economy</w:t>
      </w:r>
      <w:r w:rsidR="00AC609E">
        <w:t xml:space="preserve"> (see Table </w:t>
      </w:r>
      <w:r w:rsidR="008B4FCE">
        <w:t>F.</w:t>
      </w:r>
      <w:r w:rsidR="00AC609E">
        <w:t>3)</w:t>
      </w:r>
      <w:r>
        <w:t xml:space="preserve">. </w:t>
      </w:r>
      <w:r w:rsidR="00AE64C8">
        <w:t>GSP</w:t>
      </w:r>
      <w:r w:rsidR="002F7129">
        <w:t xml:space="preserve"> is </w:t>
      </w:r>
      <w:r w:rsidR="00A10D91">
        <w:t xml:space="preserve">about </w:t>
      </w:r>
      <w:r w:rsidR="00AB4304">
        <w:t>three</w:t>
      </w:r>
      <w:r w:rsidR="002F7129">
        <w:t>-quarter</w:t>
      </w:r>
      <w:r w:rsidR="00AB4304">
        <w:t>s</w:t>
      </w:r>
      <w:r w:rsidR="002F7129">
        <w:t xml:space="preserve"> of a percentage point </w:t>
      </w:r>
      <w:r w:rsidR="00AC609E">
        <w:t>lower</w:t>
      </w:r>
      <w:r w:rsidR="00642B4F">
        <w:t xml:space="preserve"> after four years</w:t>
      </w:r>
      <w:r w:rsidR="00433C1A">
        <w:t xml:space="preserve"> (</w:t>
      </w:r>
      <w:r w:rsidR="00CB6E0C">
        <w:t>see Chart</w:t>
      </w:r>
      <w:r w:rsidR="00DB3E92">
        <w:t xml:space="preserve"> </w:t>
      </w:r>
      <w:r w:rsidR="008B4FCE">
        <w:t>F.</w:t>
      </w:r>
      <w:r w:rsidR="00433C1A">
        <w:t>5)</w:t>
      </w:r>
      <w:r w:rsidR="00050704">
        <w:t xml:space="preserve">. </w:t>
      </w:r>
      <w:r w:rsidR="00CB6E0C">
        <w:t xml:space="preserve">This is </w:t>
      </w:r>
      <w:r w:rsidR="00B53FD9">
        <w:t>the</w:t>
      </w:r>
      <w:r w:rsidR="00CB6E0C">
        <w:t xml:space="preserve"> result of</w:t>
      </w:r>
      <w:r w:rsidR="00642B4F">
        <w:t xml:space="preserve"> falls </w:t>
      </w:r>
      <w:r w:rsidR="00621B62">
        <w:t xml:space="preserve">in </w:t>
      </w:r>
      <w:r w:rsidR="00050704">
        <w:t>dwelling investment</w:t>
      </w:r>
      <w:r w:rsidR="00621B62">
        <w:t xml:space="preserve"> and</w:t>
      </w:r>
      <w:r w:rsidR="00050704">
        <w:t xml:space="preserve"> household consumption</w:t>
      </w:r>
      <w:r w:rsidR="004D706C">
        <w:t>,</w:t>
      </w:r>
      <w:r w:rsidR="00050704">
        <w:t xml:space="preserve"> </w:t>
      </w:r>
      <w:r w:rsidR="00621B62">
        <w:t xml:space="preserve">slightly </w:t>
      </w:r>
      <w:r w:rsidR="00050704">
        <w:t xml:space="preserve">offset </w:t>
      </w:r>
      <w:r w:rsidR="00A04529">
        <w:t xml:space="preserve">by improved </w:t>
      </w:r>
      <w:r w:rsidR="00BF079E">
        <w:t xml:space="preserve">international and interstate </w:t>
      </w:r>
      <w:r w:rsidR="00A04529">
        <w:t>trade.</w:t>
      </w:r>
    </w:p>
    <w:p w14:paraId="05384425" w14:textId="10E254B1" w:rsidR="00433C1A" w:rsidRPr="0053240D" w:rsidRDefault="002B71E1" w:rsidP="00565002">
      <w:pPr>
        <w:pStyle w:val="Chartx"/>
        <w:spacing w:before="160"/>
        <w:ind w:left="357" w:hanging="357"/>
        <w:rPr>
          <w:i w:val="0"/>
        </w:rPr>
      </w:pPr>
      <w:r>
        <w:t>Lower dwelling i</w:t>
      </w:r>
      <w:r w:rsidR="00433C1A">
        <w:t xml:space="preserve">nvestment drives much of the decline </w:t>
      </w:r>
      <w:r w:rsidR="00ED2D73">
        <w:t xml:space="preserve">in </w:t>
      </w:r>
      <w:r w:rsidR="006F474D">
        <w:t>g</w:t>
      </w:r>
      <w:r w:rsidR="00433C1A">
        <w:t xml:space="preserve">ross </w:t>
      </w:r>
      <w:r w:rsidR="006F474D">
        <w:t>s</w:t>
      </w:r>
      <w:r w:rsidR="00433C1A">
        <w:t xml:space="preserve">tate </w:t>
      </w:r>
      <w:r w:rsidR="006F474D">
        <w:t>p</w:t>
      </w:r>
      <w:r w:rsidR="00433C1A">
        <w:t>roduct</w:t>
      </w:r>
    </w:p>
    <w:p w14:paraId="5A9AEF3F" w14:textId="7228D884" w:rsidR="00433C1A" w:rsidRDefault="00433C1A" w:rsidP="00433C1A">
      <w:pPr>
        <w:pStyle w:val="Chartx"/>
        <w:numPr>
          <w:ilvl w:val="0"/>
          <w:numId w:val="0"/>
        </w:numPr>
        <w:spacing w:before="0" w:after="0"/>
        <w:ind w:left="360" w:hanging="360"/>
        <w:rPr>
          <w:i w:val="0"/>
          <w:sz w:val="16"/>
          <w:szCs w:val="16"/>
        </w:rPr>
      </w:pPr>
      <w:r>
        <w:rPr>
          <w:noProof/>
        </w:rPr>
        <w:drawing>
          <wp:inline distT="0" distB="0" distL="0" distR="0" wp14:anchorId="24073D16" wp14:editId="46CE764B">
            <wp:extent cx="5760000" cy="1800000"/>
            <wp:effectExtent l="0" t="0" r="0" b="0"/>
            <wp:docPr id="10" name="Chart 10" descr="Chart F.5:  Lower dwelling investment drives much of the decline in gross state product. ">
              <a:extLst xmlns:a="http://schemas.openxmlformats.org/drawingml/2006/main">
                <a:ext uri="{FF2B5EF4-FFF2-40B4-BE49-F238E27FC236}">
                  <a16:creationId xmlns:a16="http://schemas.microsoft.com/office/drawing/2014/main" id="{F7DADEF3-908A-46FA-B86C-58BB4ABF1D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4D91962" w14:textId="03C356EC" w:rsidR="00433C1A" w:rsidRPr="00135CA7" w:rsidRDefault="00433C1A" w:rsidP="00135CA7">
      <w:pPr>
        <w:pStyle w:val="Chartx"/>
        <w:numPr>
          <w:ilvl w:val="0"/>
          <w:numId w:val="0"/>
        </w:numPr>
        <w:spacing w:before="0" w:after="0"/>
        <w:rPr>
          <w:color w:val="4F4F4F"/>
          <w:sz w:val="17"/>
          <w:szCs w:val="17"/>
        </w:rPr>
      </w:pPr>
      <w:r w:rsidRPr="00135CA7">
        <w:rPr>
          <w:color w:val="4F4F4F"/>
          <w:sz w:val="17"/>
          <w:szCs w:val="17"/>
        </w:rPr>
        <w:t xml:space="preserve">Source: </w:t>
      </w:r>
      <w:r w:rsidR="008F7F26" w:rsidRPr="00135CA7">
        <w:rPr>
          <w:color w:val="4F4F4F"/>
          <w:sz w:val="17"/>
          <w:szCs w:val="17"/>
        </w:rPr>
        <w:t>C</w:t>
      </w:r>
      <w:r w:rsidR="006F474D" w:rsidRPr="00135CA7">
        <w:rPr>
          <w:color w:val="4F4F4F"/>
          <w:sz w:val="17"/>
          <w:szCs w:val="17"/>
        </w:rPr>
        <w:t>o</w:t>
      </w:r>
      <w:r w:rsidR="008F7F26" w:rsidRPr="00135CA7">
        <w:rPr>
          <w:color w:val="4F4F4F"/>
          <w:sz w:val="17"/>
          <w:szCs w:val="17"/>
        </w:rPr>
        <w:t>PS</w:t>
      </w:r>
      <w:r w:rsidRPr="00135CA7">
        <w:rPr>
          <w:color w:val="4F4F4F"/>
          <w:sz w:val="17"/>
          <w:szCs w:val="17"/>
        </w:rPr>
        <w:t>, Victoria University and NSW Treasury</w:t>
      </w:r>
    </w:p>
    <w:p w14:paraId="71EE16A0" w14:textId="77777777" w:rsidR="00037433" w:rsidRDefault="00037433" w:rsidP="00037433">
      <w:pPr>
        <w:pStyle w:val="BodyText"/>
      </w:pPr>
      <w:r>
        <w:lastRenderedPageBreak/>
        <w:t>Residential construction activity is most negatively affected by the shock to house prices. This fall in housing investment occurs because new residential construction projects have become less economical. Developers no longer receive a return on investment that compensates them for the risk, and the cost of construction hasn’t fallen by the same degree.</w:t>
      </w:r>
    </w:p>
    <w:p w14:paraId="55E6F4BB" w14:textId="0C96A6E3" w:rsidR="00037433" w:rsidRDefault="00037433" w:rsidP="00037433">
      <w:pPr>
        <w:pStyle w:val="BodyText"/>
      </w:pPr>
      <w:r>
        <w:t>The resulting fall in household consumption is consistent with less household income and a negative wealth effect. Lower economic activity reduces demand for employment, causing the unemployment rate to trend higher and wages to slow. Increased interstate migration outflows somewhat mute the decline in wages relative to the rest of Australia.</w:t>
      </w:r>
    </w:p>
    <w:p w14:paraId="18478679" w14:textId="757F8AC6" w:rsidR="00037433" w:rsidRDefault="00037433" w:rsidP="00037433">
      <w:pPr>
        <w:pStyle w:val="BodyText"/>
      </w:pPr>
      <w:r>
        <w:t>Partially offsetting these declines is an increased contribution from international and interstate trade</w:t>
      </w:r>
      <w:r w:rsidRPr="00830A8A">
        <w:t>.</w:t>
      </w:r>
      <w:r>
        <w:t xml:space="preserve"> </w:t>
      </w:r>
      <w:r w:rsidRPr="00830A8A">
        <w:t>A</w:t>
      </w:r>
      <w:r>
        <w:t xml:space="preserve">n increased contribution from international trade is the result of a lower </w:t>
      </w:r>
      <w:r w:rsidR="003017D9">
        <w:t>Australian dollar</w:t>
      </w:r>
      <w:r>
        <w:t>, increasing international demand for exports and reduc</w:t>
      </w:r>
      <w:r w:rsidR="00AF27BD">
        <w:t>ed</w:t>
      </w:r>
      <w:r>
        <w:t xml:space="preserve"> domestic demand for more expensive imports. Interstate trade contributes more because the State’s imports from the rest of the country decline, consistent with weaker local consumption</w:t>
      </w:r>
      <w:r w:rsidRPr="00BB0311">
        <w:t>.</w:t>
      </w:r>
      <w:r>
        <w:t xml:space="preserve"> </w:t>
      </w:r>
    </w:p>
    <w:p w14:paraId="1CAD1133" w14:textId="03C356EC" w:rsidR="005F787D" w:rsidRDefault="005B608D" w:rsidP="005F787D">
      <w:pPr>
        <w:pStyle w:val="TableFX"/>
      </w:pPr>
      <w:bookmarkStart w:id="1" w:name="_1619245678"/>
      <w:bookmarkEnd w:id="1"/>
      <w:r>
        <w:t>The effect of lower house prices on major economic parameters</w:t>
      </w:r>
    </w:p>
    <w:tbl>
      <w:tblPr>
        <w:tblW w:w="9270" w:type="dxa"/>
        <w:tblLook w:val="04A0" w:firstRow="1" w:lastRow="0" w:firstColumn="1" w:lastColumn="0" w:noHBand="0" w:noVBand="1"/>
        <w:tblCaption w:val="Table F.3: The effect of lower house prices on major economic parameters"/>
        <w:tblDescription w:val="Table F.3: The effect of lower house prices on major economic parameters"/>
      </w:tblPr>
      <w:tblGrid>
        <w:gridCol w:w="4242"/>
        <w:gridCol w:w="1257"/>
        <w:gridCol w:w="1257"/>
        <w:gridCol w:w="1257"/>
        <w:gridCol w:w="1257"/>
      </w:tblGrid>
      <w:tr w:rsidR="00565002" w:rsidRPr="00565002" w14:paraId="374513A2" w14:textId="77777777" w:rsidTr="002C6C5D">
        <w:trPr>
          <w:trHeight w:val="255"/>
        </w:trPr>
        <w:tc>
          <w:tcPr>
            <w:tcW w:w="4242" w:type="dxa"/>
            <w:tcBorders>
              <w:top w:val="nil"/>
              <w:left w:val="nil"/>
              <w:bottom w:val="nil"/>
              <w:right w:val="nil"/>
            </w:tcBorders>
            <w:shd w:val="clear" w:color="auto" w:fill="0070C0"/>
            <w:vAlign w:val="center"/>
            <w:hideMark/>
          </w:tcPr>
          <w:p w14:paraId="7DB145AE" w14:textId="7B3CD293" w:rsidR="008C199C" w:rsidRPr="00565002" w:rsidRDefault="008C199C" w:rsidP="00565002">
            <w:pPr>
              <w:spacing w:before="80" w:after="80"/>
              <w:jc w:val="both"/>
              <w:rPr>
                <w:rFonts w:ascii="Arial" w:hAnsi="Arial" w:cs="Arial"/>
                <w:color w:val="FFFFFF" w:themeColor="background1"/>
                <w:sz w:val="18"/>
                <w:szCs w:val="18"/>
                <w:lang w:val="en-AU" w:eastAsia="en-AU"/>
              </w:rPr>
            </w:pPr>
            <w:r w:rsidRPr="00565002">
              <w:rPr>
                <w:rFonts w:ascii="Arial" w:hAnsi="Arial" w:cs="Arial"/>
                <w:color w:val="FFFFFF" w:themeColor="background1"/>
                <w:sz w:val="18"/>
                <w:szCs w:val="18"/>
                <w:lang w:val="en-AU" w:eastAsia="en-AU"/>
              </w:rPr>
              <w:t> </w:t>
            </w:r>
            <w:r w:rsidR="00E0332C" w:rsidRPr="00565002">
              <w:rPr>
                <w:rFonts w:ascii="Arial" w:hAnsi="Arial" w:cs="Arial"/>
                <w:color w:val="FFFFFF" w:themeColor="background1"/>
                <w:sz w:val="18"/>
                <w:szCs w:val="18"/>
                <w:lang w:val="en-AU" w:eastAsia="en-AU"/>
              </w:rPr>
              <w:t>Financial year estimate</w:t>
            </w:r>
            <w:r w:rsidR="00366551" w:rsidRPr="00565002">
              <w:rPr>
                <w:rFonts w:ascii="Arial" w:hAnsi="Arial" w:cs="Arial"/>
                <w:color w:val="FFFFFF" w:themeColor="background1"/>
                <w:sz w:val="18"/>
                <w:szCs w:val="18"/>
                <w:vertAlign w:val="superscript"/>
                <w:lang w:val="en-AU" w:eastAsia="en-AU"/>
              </w:rPr>
              <w:t>(a)</w:t>
            </w:r>
          </w:p>
        </w:tc>
        <w:tc>
          <w:tcPr>
            <w:tcW w:w="1257" w:type="dxa"/>
            <w:tcBorders>
              <w:top w:val="nil"/>
              <w:left w:val="nil"/>
              <w:bottom w:val="nil"/>
              <w:right w:val="nil"/>
            </w:tcBorders>
            <w:shd w:val="clear" w:color="auto" w:fill="0070C0"/>
            <w:vAlign w:val="center"/>
            <w:hideMark/>
          </w:tcPr>
          <w:p w14:paraId="14CB2205" w14:textId="77777777" w:rsidR="008C199C" w:rsidRPr="00565002" w:rsidRDefault="008C199C" w:rsidP="00565002">
            <w:pPr>
              <w:spacing w:before="80" w:after="80"/>
              <w:jc w:val="center"/>
              <w:rPr>
                <w:rFonts w:ascii="Arial" w:hAnsi="Arial" w:cs="Arial"/>
                <w:color w:val="FFFFFF" w:themeColor="background1"/>
                <w:sz w:val="18"/>
                <w:szCs w:val="18"/>
                <w:lang w:val="en-AU" w:eastAsia="en-AU"/>
              </w:rPr>
            </w:pPr>
            <w:r w:rsidRPr="00565002">
              <w:rPr>
                <w:rFonts w:ascii="Arial" w:hAnsi="Arial" w:cs="Arial"/>
                <w:color w:val="FFFFFF" w:themeColor="background1"/>
                <w:sz w:val="18"/>
                <w:szCs w:val="18"/>
                <w:lang w:val="en-AU" w:eastAsia="en-AU"/>
              </w:rPr>
              <w:t xml:space="preserve">2019-20 </w:t>
            </w:r>
          </w:p>
        </w:tc>
        <w:tc>
          <w:tcPr>
            <w:tcW w:w="1257" w:type="dxa"/>
            <w:tcBorders>
              <w:top w:val="nil"/>
              <w:left w:val="nil"/>
              <w:bottom w:val="nil"/>
              <w:right w:val="nil"/>
            </w:tcBorders>
            <w:shd w:val="clear" w:color="auto" w:fill="0070C0"/>
            <w:vAlign w:val="center"/>
            <w:hideMark/>
          </w:tcPr>
          <w:p w14:paraId="4FE4CC64" w14:textId="77777777" w:rsidR="008C199C" w:rsidRPr="00565002" w:rsidRDefault="008C199C" w:rsidP="00565002">
            <w:pPr>
              <w:spacing w:before="80" w:after="80"/>
              <w:jc w:val="center"/>
              <w:rPr>
                <w:rFonts w:ascii="Arial" w:hAnsi="Arial" w:cs="Arial"/>
                <w:color w:val="FFFFFF" w:themeColor="background1"/>
                <w:sz w:val="18"/>
                <w:szCs w:val="18"/>
                <w:lang w:val="en-AU" w:eastAsia="en-AU"/>
              </w:rPr>
            </w:pPr>
            <w:r w:rsidRPr="00565002">
              <w:rPr>
                <w:rFonts w:ascii="Arial" w:hAnsi="Arial" w:cs="Arial"/>
                <w:color w:val="FFFFFF" w:themeColor="background1"/>
                <w:sz w:val="18"/>
                <w:szCs w:val="18"/>
                <w:lang w:val="en-AU" w:eastAsia="en-AU"/>
              </w:rPr>
              <w:t>2020-21</w:t>
            </w:r>
          </w:p>
        </w:tc>
        <w:tc>
          <w:tcPr>
            <w:tcW w:w="1257" w:type="dxa"/>
            <w:tcBorders>
              <w:top w:val="nil"/>
              <w:left w:val="nil"/>
              <w:bottom w:val="nil"/>
              <w:right w:val="nil"/>
            </w:tcBorders>
            <w:shd w:val="clear" w:color="auto" w:fill="0070C0"/>
            <w:vAlign w:val="center"/>
            <w:hideMark/>
          </w:tcPr>
          <w:p w14:paraId="17820979" w14:textId="77777777" w:rsidR="008C199C" w:rsidRPr="00565002" w:rsidRDefault="008C199C" w:rsidP="00565002">
            <w:pPr>
              <w:spacing w:before="80" w:after="80"/>
              <w:jc w:val="center"/>
              <w:rPr>
                <w:rFonts w:ascii="Arial" w:hAnsi="Arial" w:cs="Arial"/>
                <w:color w:val="FFFFFF" w:themeColor="background1"/>
                <w:sz w:val="18"/>
                <w:szCs w:val="18"/>
                <w:lang w:val="en-AU" w:eastAsia="en-AU"/>
              </w:rPr>
            </w:pPr>
            <w:r w:rsidRPr="00565002">
              <w:rPr>
                <w:rFonts w:ascii="Arial" w:hAnsi="Arial" w:cs="Arial"/>
                <w:color w:val="FFFFFF" w:themeColor="background1"/>
                <w:sz w:val="18"/>
                <w:szCs w:val="18"/>
                <w:lang w:val="en-AU" w:eastAsia="en-AU"/>
              </w:rPr>
              <w:t>2021-22</w:t>
            </w:r>
          </w:p>
        </w:tc>
        <w:tc>
          <w:tcPr>
            <w:tcW w:w="1257" w:type="dxa"/>
            <w:tcBorders>
              <w:top w:val="nil"/>
              <w:left w:val="nil"/>
              <w:bottom w:val="nil"/>
              <w:right w:val="nil"/>
            </w:tcBorders>
            <w:shd w:val="clear" w:color="auto" w:fill="0070C0"/>
            <w:vAlign w:val="center"/>
            <w:hideMark/>
          </w:tcPr>
          <w:p w14:paraId="72B22512" w14:textId="77777777" w:rsidR="008C199C" w:rsidRPr="00565002" w:rsidRDefault="008C199C" w:rsidP="00565002">
            <w:pPr>
              <w:spacing w:before="80" w:after="80"/>
              <w:jc w:val="center"/>
              <w:rPr>
                <w:rFonts w:ascii="Arial" w:hAnsi="Arial" w:cs="Arial"/>
                <w:color w:val="FFFFFF" w:themeColor="background1"/>
                <w:sz w:val="18"/>
                <w:szCs w:val="18"/>
                <w:lang w:val="en-AU" w:eastAsia="en-AU"/>
              </w:rPr>
            </w:pPr>
            <w:r w:rsidRPr="00565002">
              <w:rPr>
                <w:rFonts w:ascii="Arial" w:hAnsi="Arial" w:cs="Arial"/>
                <w:color w:val="FFFFFF" w:themeColor="background1"/>
                <w:sz w:val="18"/>
                <w:szCs w:val="18"/>
                <w:lang w:val="en-AU" w:eastAsia="en-AU"/>
              </w:rPr>
              <w:t>2022-23</w:t>
            </w:r>
          </w:p>
        </w:tc>
      </w:tr>
      <w:tr w:rsidR="00565002" w:rsidRPr="00565002" w14:paraId="2FD268BD" w14:textId="77777777" w:rsidTr="002C6C5D">
        <w:trPr>
          <w:trHeight w:val="255"/>
        </w:trPr>
        <w:tc>
          <w:tcPr>
            <w:tcW w:w="4242" w:type="dxa"/>
            <w:tcBorders>
              <w:top w:val="nil"/>
              <w:left w:val="nil"/>
              <w:bottom w:val="nil"/>
              <w:right w:val="nil"/>
            </w:tcBorders>
            <w:shd w:val="clear" w:color="auto" w:fill="auto"/>
            <w:vAlign w:val="center"/>
            <w:hideMark/>
          </w:tcPr>
          <w:p w14:paraId="08BB3244" w14:textId="5B754741" w:rsidR="008C199C" w:rsidRPr="00565002" w:rsidRDefault="008C199C" w:rsidP="008C199C">
            <w:pPr>
              <w:rPr>
                <w:rFonts w:ascii="Arial" w:hAnsi="Arial" w:cs="Arial"/>
                <w:sz w:val="18"/>
                <w:szCs w:val="18"/>
                <w:lang w:val="en-AU" w:eastAsia="en-AU"/>
              </w:rPr>
            </w:pPr>
            <w:r w:rsidRPr="00565002">
              <w:rPr>
                <w:rFonts w:ascii="Arial" w:hAnsi="Arial" w:cs="Arial"/>
                <w:sz w:val="18"/>
                <w:szCs w:val="18"/>
                <w:lang w:val="en-AU" w:eastAsia="en-AU"/>
              </w:rPr>
              <w:t xml:space="preserve">State </w:t>
            </w:r>
            <w:r w:rsidR="00064E45" w:rsidRPr="00565002">
              <w:rPr>
                <w:rFonts w:ascii="Arial" w:hAnsi="Arial" w:cs="Arial"/>
                <w:sz w:val="18"/>
                <w:szCs w:val="18"/>
                <w:lang w:val="en-AU" w:eastAsia="en-AU"/>
              </w:rPr>
              <w:t>f</w:t>
            </w:r>
            <w:r w:rsidRPr="00565002">
              <w:rPr>
                <w:rFonts w:ascii="Arial" w:hAnsi="Arial" w:cs="Arial"/>
                <w:sz w:val="18"/>
                <w:szCs w:val="18"/>
                <w:lang w:val="en-AU" w:eastAsia="en-AU"/>
              </w:rPr>
              <w:t xml:space="preserve">inal </w:t>
            </w:r>
            <w:r w:rsidR="00064E45" w:rsidRPr="00565002">
              <w:rPr>
                <w:rFonts w:ascii="Arial" w:hAnsi="Arial" w:cs="Arial"/>
                <w:sz w:val="18"/>
                <w:szCs w:val="18"/>
                <w:lang w:val="en-AU" w:eastAsia="en-AU"/>
              </w:rPr>
              <w:t>d</w:t>
            </w:r>
            <w:r w:rsidRPr="00565002">
              <w:rPr>
                <w:rFonts w:ascii="Arial" w:hAnsi="Arial" w:cs="Arial"/>
                <w:sz w:val="18"/>
                <w:szCs w:val="18"/>
                <w:lang w:val="en-AU" w:eastAsia="en-AU"/>
              </w:rPr>
              <w:t>emand</w:t>
            </w:r>
          </w:p>
        </w:tc>
        <w:tc>
          <w:tcPr>
            <w:tcW w:w="1257" w:type="dxa"/>
            <w:tcBorders>
              <w:top w:val="nil"/>
              <w:left w:val="nil"/>
              <w:bottom w:val="nil"/>
              <w:right w:val="nil"/>
            </w:tcBorders>
            <w:shd w:val="clear" w:color="auto" w:fill="auto"/>
            <w:vAlign w:val="center"/>
            <w:hideMark/>
          </w:tcPr>
          <w:p w14:paraId="10841633" w14:textId="68BA32A1" w:rsidR="008C199C" w:rsidRPr="00565002" w:rsidRDefault="00BD5C1D"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1.6</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36545E8C" w14:textId="0755DB4B"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1.6</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5DBBE74A" w14:textId="3BC76BA9"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1.7</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0CA4F833" w14:textId="7B134B60"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1.7</w:t>
            </w:r>
            <w:r>
              <w:rPr>
                <w:rFonts w:ascii="Arial" w:hAnsi="Arial" w:cs="Arial"/>
                <w:sz w:val="18"/>
                <w:szCs w:val="18"/>
                <w:lang w:val="en-AU" w:eastAsia="en-AU"/>
              </w:rPr>
              <w:t>)</w:t>
            </w:r>
          </w:p>
        </w:tc>
      </w:tr>
      <w:tr w:rsidR="00565002" w:rsidRPr="00565002" w14:paraId="2C08F970" w14:textId="77777777" w:rsidTr="002C6C5D">
        <w:trPr>
          <w:trHeight w:val="255"/>
        </w:trPr>
        <w:tc>
          <w:tcPr>
            <w:tcW w:w="4242" w:type="dxa"/>
            <w:tcBorders>
              <w:top w:val="nil"/>
              <w:left w:val="nil"/>
              <w:bottom w:val="nil"/>
              <w:right w:val="nil"/>
            </w:tcBorders>
            <w:shd w:val="clear" w:color="auto" w:fill="auto"/>
            <w:vAlign w:val="center"/>
            <w:hideMark/>
          </w:tcPr>
          <w:p w14:paraId="3608D495" w14:textId="0FB7975A" w:rsidR="008C199C" w:rsidRPr="00565002" w:rsidRDefault="008C199C" w:rsidP="008C199C">
            <w:pPr>
              <w:rPr>
                <w:rFonts w:ascii="Arial" w:hAnsi="Arial" w:cs="Arial"/>
                <w:sz w:val="18"/>
                <w:szCs w:val="18"/>
                <w:lang w:val="en-AU" w:eastAsia="en-AU"/>
              </w:rPr>
            </w:pPr>
            <w:r w:rsidRPr="00565002">
              <w:rPr>
                <w:rFonts w:ascii="Arial" w:hAnsi="Arial" w:cs="Arial"/>
                <w:sz w:val="18"/>
                <w:szCs w:val="18"/>
                <w:lang w:val="en-AU" w:eastAsia="en-AU"/>
              </w:rPr>
              <w:t xml:space="preserve">Gross </w:t>
            </w:r>
            <w:r w:rsidR="00064E45" w:rsidRPr="00565002">
              <w:rPr>
                <w:rFonts w:ascii="Arial" w:hAnsi="Arial" w:cs="Arial"/>
                <w:sz w:val="18"/>
                <w:szCs w:val="18"/>
                <w:lang w:val="en-AU" w:eastAsia="en-AU"/>
              </w:rPr>
              <w:t>s</w:t>
            </w:r>
            <w:r w:rsidRPr="00565002">
              <w:rPr>
                <w:rFonts w:ascii="Arial" w:hAnsi="Arial" w:cs="Arial"/>
                <w:sz w:val="18"/>
                <w:szCs w:val="18"/>
                <w:lang w:val="en-AU" w:eastAsia="en-AU"/>
              </w:rPr>
              <w:t xml:space="preserve">tate </w:t>
            </w:r>
            <w:r w:rsidR="00064E45" w:rsidRPr="00565002">
              <w:rPr>
                <w:rFonts w:ascii="Arial" w:hAnsi="Arial" w:cs="Arial"/>
                <w:sz w:val="18"/>
                <w:szCs w:val="18"/>
                <w:lang w:val="en-AU" w:eastAsia="en-AU"/>
              </w:rPr>
              <w:t>p</w:t>
            </w:r>
            <w:r w:rsidRPr="00565002">
              <w:rPr>
                <w:rFonts w:ascii="Arial" w:hAnsi="Arial" w:cs="Arial"/>
                <w:sz w:val="18"/>
                <w:szCs w:val="18"/>
                <w:lang w:val="en-AU" w:eastAsia="en-AU"/>
              </w:rPr>
              <w:t>roduct</w:t>
            </w:r>
          </w:p>
        </w:tc>
        <w:tc>
          <w:tcPr>
            <w:tcW w:w="1257" w:type="dxa"/>
            <w:tcBorders>
              <w:top w:val="nil"/>
              <w:left w:val="nil"/>
              <w:bottom w:val="nil"/>
              <w:right w:val="nil"/>
            </w:tcBorders>
            <w:shd w:val="clear" w:color="auto" w:fill="auto"/>
            <w:vAlign w:val="center"/>
            <w:hideMark/>
          </w:tcPr>
          <w:p w14:paraId="0BD01B45" w14:textId="5E81FD2D" w:rsidR="008C199C" w:rsidRPr="00565002" w:rsidRDefault="00BD5C1D"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0.6</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49B2CFF3" w14:textId="43AAB7B1"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0.7</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6BE08BB8" w14:textId="3711AA84"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0.7</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205D0802" w14:textId="0C7B8E6B"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0.7</w:t>
            </w:r>
            <w:r>
              <w:rPr>
                <w:rFonts w:ascii="Arial" w:hAnsi="Arial" w:cs="Arial"/>
                <w:sz w:val="18"/>
                <w:szCs w:val="18"/>
                <w:lang w:val="en-AU" w:eastAsia="en-AU"/>
              </w:rPr>
              <w:t>)</w:t>
            </w:r>
          </w:p>
        </w:tc>
      </w:tr>
      <w:tr w:rsidR="00565002" w:rsidRPr="00565002" w14:paraId="6056A8CB" w14:textId="77777777" w:rsidTr="002C6C5D">
        <w:trPr>
          <w:trHeight w:val="255"/>
        </w:trPr>
        <w:tc>
          <w:tcPr>
            <w:tcW w:w="4242" w:type="dxa"/>
            <w:tcBorders>
              <w:top w:val="nil"/>
              <w:left w:val="nil"/>
              <w:bottom w:val="nil"/>
              <w:right w:val="nil"/>
            </w:tcBorders>
            <w:shd w:val="clear" w:color="auto" w:fill="auto"/>
            <w:vAlign w:val="center"/>
            <w:hideMark/>
          </w:tcPr>
          <w:p w14:paraId="6F5606D1" w14:textId="77777777" w:rsidR="008C199C" w:rsidRPr="00565002" w:rsidRDefault="008C199C" w:rsidP="008C199C">
            <w:pPr>
              <w:rPr>
                <w:rFonts w:ascii="Arial" w:hAnsi="Arial" w:cs="Arial"/>
                <w:sz w:val="18"/>
                <w:szCs w:val="18"/>
                <w:lang w:val="en-AU" w:eastAsia="en-AU"/>
              </w:rPr>
            </w:pPr>
            <w:r w:rsidRPr="00565002">
              <w:rPr>
                <w:rFonts w:ascii="Arial" w:hAnsi="Arial" w:cs="Arial"/>
                <w:sz w:val="18"/>
                <w:szCs w:val="18"/>
                <w:lang w:val="en-AU" w:eastAsia="en-AU"/>
              </w:rPr>
              <w:t>Employment</w:t>
            </w:r>
          </w:p>
        </w:tc>
        <w:tc>
          <w:tcPr>
            <w:tcW w:w="1257" w:type="dxa"/>
            <w:tcBorders>
              <w:top w:val="nil"/>
              <w:left w:val="nil"/>
              <w:bottom w:val="nil"/>
              <w:right w:val="nil"/>
            </w:tcBorders>
            <w:shd w:val="clear" w:color="auto" w:fill="auto"/>
            <w:vAlign w:val="center"/>
            <w:hideMark/>
          </w:tcPr>
          <w:p w14:paraId="5250648E" w14:textId="09B27024" w:rsidR="008C199C" w:rsidRPr="00565002" w:rsidRDefault="00BD5C1D"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0.7</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712E7353" w14:textId="1163FB41"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0.6</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1E0B2BE5" w14:textId="5CDD7656"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0.6</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2D9FA3AB" w14:textId="31A7C69F"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0.5</w:t>
            </w:r>
            <w:r>
              <w:rPr>
                <w:rFonts w:ascii="Arial" w:hAnsi="Arial" w:cs="Arial"/>
                <w:sz w:val="18"/>
                <w:szCs w:val="18"/>
                <w:lang w:val="en-AU" w:eastAsia="en-AU"/>
              </w:rPr>
              <w:t>)</w:t>
            </w:r>
          </w:p>
        </w:tc>
      </w:tr>
      <w:tr w:rsidR="00565002" w:rsidRPr="00565002" w14:paraId="14101F41" w14:textId="77777777" w:rsidTr="002C6C5D">
        <w:trPr>
          <w:trHeight w:val="255"/>
        </w:trPr>
        <w:tc>
          <w:tcPr>
            <w:tcW w:w="4242" w:type="dxa"/>
            <w:tcBorders>
              <w:top w:val="nil"/>
              <w:left w:val="nil"/>
              <w:bottom w:val="nil"/>
              <w:right w:val="nil"/>
            </w:tcBorders>
            <w:shd w:val="clear" w:color="auto" w:fill="auto"/>
            <w:vAlign w:val="center"/>
            <w:hideMark/>
          </w:tcPr>
          <w:p w14:paraId="77964D22" w14:textId="77777777" w:rsidR="008C199C" w:rsidRPr="00565002" w:rsidRDefault="008C199C" w:rsidP="008C199C">
            <w:pPr>
              <w:rPr>
                <w:rFonts w:ascii="Arial" w:hAnsi="Arial" w:cs="Arial"/>
                <w:sz w:val="18"/>
                <w:szCs w:val="18"/>
                <w:lang w:val="en-AU" w:eastAsia="en-AU"/>
              </w:rPr>
            </w:pPr>
            <w:r w:rsidRPr="00565002">
              <w:rPr>
                <w:rFonts w:ascii="Arial" w:hAnsi="Arial" w:cs="Arial"/>
                <w:sz w:val="18"/>
                <w:szCs w:val="18"/>
                <w:lang w:val="en-AU" w:eastAsia="en-AU"/>
              </w:rPr>
              <w:t>Unemployment rate</w:t>
            </w:r>
          </w:p>
        </w:tc>
        <w:tc>
          <w:tcPr>
            <w:tcW w:w="1257" w:type="dxa"/>
            <w:tcBorders>
              <w:top w:val="nil"/>
              <w:left w:val="nil"/>
              <w:bottom w:val="nil"/>
              <w:right w:val="nil"/>
            </w:tcBorders>
            <w:shd w:val="clear" w:color="000000" w:fill="FFFFFF"/>
            <w:vAlign w:val="center"/>
            <w:hideMark/>
          </w:tcPr>
          <w:p w14:paraId="5C1A05F0" w14:textId="77777777" w:rsidR="008C199C" w:rsidRPr="00565002" w:rsidRDefault="008C199C" w:rsidP="008C199C">
            <w:pPr>
              <w:jc w:val="center"/>
              <w:rPr>
                <w:rFonts w:ascii="Arial" w:hAnsi="Arial" w:cs="Arial"/>
                <w:sz w:val="18"/>
                <w:szCs w:val="18"/>
                <w:lang w:val="en-AU" w:eastAsia="en-AU"/>
              </w:rPr>
            </w:pPr>
            <w:r w:rsidRPr="00565002">
              <w:rPr>
                <w:rFonts w:ascii="Arial" w:hAnsi="Arial" w:cs="Arial"/>
                <w:sz w:val="18"/>
                <w:szCs w:val="18"/>
                <w:lang w:val="en-AU" w:eastAsia="en-AU"/>
              </w:rPr>
              <w:t>0.7</w:t>
            </w:r>
          </w:p>
        </w:tc>
        <w:tc>
          <w:tcPr>
            <w:tcW w:w="1257" w:type="dxa"/>
            <w:tcBorders>
              <w:top w:val="nil"/>
              <w:left w:val="nil"/>
              <w:bottom w:val="nil"/>
              <w:right w:val="nil"/>
            </w:tcBorders>
            <w:shd w:val="clear" w:color="000000" w:fill="FFFFFF"/>
            <w:vAlign w:val="center"/>
            <w:hideMark/>
          </w:tcPr>
          <w:p w14:paraId="6D62BA4D" w14:textId="0FBAB56D" w:rsidR="008C199C" w:rsidRPr="00565002" w:rsidRDefault="008C199C" w:rsidP="008C199C">
            <w:pPr>
              <w:jc w:val="center"/>
              <w:rPr>
                <w:rFonts w:ascii="Arial" w:hAnsi="Arial" w:cs="Arial"/>
                <w:sz w:val="18"/>
                <w:szCs w:val="18"/>
                <w:lang w:val="en-AU" w:eastAsia="en-AU"/>
              </w:rPr>
            </w:pPr>
            <w:r w:rsidRPr="00565002">
              <w:rPr>
                <w:rFonts w:ascii="Arial" w:hAnsi="Arial" w:cs="Arial"/>
                <w:sz w:val="18"/>
                <w:szCs w:val="18"/>
                <w:lang w:val="en-AU" w:eastAsia="en-AU"/>
              </w:rPr>
              <w:t>0.3</w:t>
            </w:r>
          </w:p>
        </w:tc>
        <w:tc>
          <w:tcPr>
            <w:tcW w:w="1257" w:type="dxa"/>
            <w:tcBorders>
              <w:top w:val="nil"/>
              <w:left w:val="nil"/>
              <w:bottom w:val="nil"/>
              <w:right w:val="nil"/>
            </w:tcBorders>
            <w:shd w:val="clear" w:color="000000" w:fill="FFFFFF"/>
            <w:vAlign w:val="center"/>
            <w:hideMark/>
          </w:tcPr>
          <w:p w14:paraId="7F920E4F" w14:textId="08CED82A" w:rsidR="008C199C" w:rsidRPr="00565002" w:rsidRDefault="008C199C" w:rsidP="008C199C">
            <w:pPr>
              <w:jc w:val="center"/>
              <w:rPr>
                <w:rFonts w:ascii="Arial" w:hAnsi="Arial" w:cs="Arial"/>
                <w:sz w:val="18"/>
                <w:szCs w:val="18"/>
                <w:lang w:val="en-AU" w:eastAsia="en-AU"/>
              </w:rPr>
            </w:pPr>
            <w:r w:rsidRPr="00565002">
              <w:rPr>
                <w:rFonts w:ascii="Arial" w:hAnsi="Arial" w:cs="Arial"/>
                <w:sz w:val="18"/>
                <w:szCs w:val="18"/>
                <w:lang w:val="en-AU" w:eastAsia="en-AU"/>
              </w:rPr>
              <w:t>0.2</w:t>
            </w:r>
          </w:p>
        </w:tc>
        <w:tc>
          <w:tcPr>
            <w:tcW w:w="1257" w:type="dxa"/>
            <w:tcBorders>
              <w:top w:val="nil"/>
              <w:left w:val="nil"/>
              <w:bottom w:val="nil"/>
              <w:right w:val="nil"/>
            </w:tcBorders>
            <w:shd w:val="clear" w:color="000000" w:fill="FFFFFF"/>
            <w:vAlign w:val="center"/>
            <w:hideMark/>
          </w:tcPr>
          <w:p w14:paraId="213BF419" w14:textId="77777777" w:rsidR="008C199C" w:rsidRPr="00565002" w:rsidRDefault="008C199C" w:rsidP="008C199C">
            <w:pPr>
              <w:jc w:val="center"/>
              <w:rPr>
                <w:rFonts w:ascii="Arial" w:hAnsi="Arial" w:cs="Arial"/>
                <w:sz w:val="18"/>
                <w:szCs w:val="18"/>
                <w:lang w:val="en-AU" w:eastAsia="en-AU"/>
              </w:rPr>
            </w:pPr>
            <w:r w:rsidRPr="00565002">
              <w:rPr>
                <w:rFonts w:ascii="Arial" w:hAnsi="Arial" w:cs="Arial"/>
                <w:sz w:val="18"/>
                <w:szCs w:val="18"/>
                <w:lang w:val="en-AU" w:eastAsia="en-AU"/>
              </w:rPr>
              <w:t>0.1</w:t>
            </w:r>
          </w:p>
        </w:tc>
      </w:tr>
      <w:tr w:rsidR="00565002" w:rsidRPr="00565002" w14:paraId="256B7E47" w14:textId="77777777" w:rsidTr="002C6C5D">
        <w:trPr>
          <w:trHeight w:val="255"/>
        </w:trPr>
        <w:tc>
          <w:tcPr>
            <w:tcW w:w="4242" w:type="dxa"/>
            <w:tcBorders>
              <w:top w:val="nil"/>
              <w:left w:val="nil"/>
              <w:bottom w:val="nil"/>
              <w:right w:val="nil"/>
            </w:tcBorders>
            <w:shd w:val="clear" w:color="auto" w:fill="auto"/>
            <w:vAlign w:val="center"/>
            <w:hideMark/>
          </w:tcPr>
          <w:p w14:paraId="498BAE9E" w14:textId="7131D6C6" w:rsidR="008C199C" w:rsidRPr="00565002" w:rsidRDefault="008C199C" w:rsidP="008C199C">
            <w:pPr>
              <w:rPr>
                <w:rFonts w:ascii="Arial" w:hAnsi="Arial" w:cs="Arial"/>
                <w:sz w:val="18"/>
                <w:szCs w:val="18"/>
                <w:lang w:val="en-AU" w:eastAsia="en-AU"/>
              </w:rPr>
            </w:pPr>
            <w:r w:rsidRPr="00565002">
              <w:rPr>
                <w:rFonts w:ascii="Arial" w:hAnsi="Arial" w:cs="Arial"/>
                <w:sz w:val="18"/>
                <w:szCs w:val="18"/>
                <w:lang w:val="en-AU" w:eastAsia="en-AU"/>
              </w:rPr>
              <w:t xml:space="preserve">Consumer </w:t>
            </w:r>
            <w:r w:rsidR="00064E45" w:rsidRPr="00565002">
              <w:rPr>
                <w:rFonts w:ascii="Arial" w:hAnsi="Arial" w:cs="Arial"/>
                <w:sz w:val="18"/>
                <w:szCs w:val="18"/>
                <w:lang w:val="en-AU" w:eastAsia="en-AU"/>
              </w:rPr>
              <w:t>p</w:t>
            </w:r>
            <w:r w:rsidRPr="00565002">
              <w:rPr>
                <w:rFonts w:ascii="Arial" w:hAnsi="Arial" w:cs="Arial"/>
                <w:sz w:val="18"/>
                <w:szCs w:val="18"/>
                <w:lang w:val="en-AU" w:eastAsia="en-AU"/>
              </w:rPr>
              <w:t xml:space="preserve">rice </w:t>
            </w:r>
            <w:r w:rsidR="00064E45" w:rsidRPr="00565002">
              <w:rPr>
                <w:rFonts w:ascii="Arial" w:hAnsi="Arial" w:cs="Arial"/>
                <w:sz w:val="18"/>
                <w:szCs w:val="18"/>
                <w:lang w:val="en-AU" w:eastAsia="en-AU"/>
              </w:rPr>
              <w:t>i</w:t>
            </w:r>
            <w:r w:rsidRPr="00565002">
              <w:rPr>
                <w:rFonts w:ascii="Arial" w:hAnsi="Arial" w:cs="Arial"/>
                <w:sz w:val="18"/>
                <w:szCs w:val="18"/>
                <w:lang w:val="en-AU" w:eastAsia="en-AU"/>
              </w:rPr>
              <w:t>ndex</w:t>
            </w:r>
          </w:p>
        </w:tc>
        <w:tc>
          <w:tcPr>
            <w:tcW w:w="1257" w:type="dxa"/>
            <w:tcBorders>
              <w:top w:val="nil"/>
              <w:left w:val="nil"/>
              <w:bottom w:val="nil"/>
              <w:right w:val="nil"/>
            </w:tcBorders>
            <w:shd w:val="clear" w:color="000000" w:fill="FFFFFF"/>
            <w:vAlign w:val="center"/>
            <w:hideMark/>
          </w:tcPr>
          <w:p w14:paraId="0EB6D179" w14:textId="5D917C21" w:rsidR="008C199C" w:rsidRPr="00565002" w:rsidRDefault="00BD5C1D"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0.5</w:t>
            </w:r>
            <w:r>
              <w:rPr>
                <w:rFonts w:ascii="Arial" w:hAnsi="Arial" w:cs="Arial"/>
                <w:sz w:val="18"/>
                <w:szCs w:val="18"/>
                <w:lang w:val="en-AU" w:eastAsia="en-AU"/>
              </w:rPr>
              <w:t>)</w:t>
            </w:r>
          </w:p>
        </w:tc>
        <w:tc>
          <w:tcPr>
            <w:tcW w:w="1257" w:type="dxa"/>
            <w:tcBorders>
              <w:top w:val="nil"/>
              <w:left w:val="nil"/>
              <w:bottom w:val="nil"/>
              <w:right w:val="nil"/>
            </w:tcBorders>
            <w:shd w:val="clear" w:color="000000" w:fill="FFFFFF"/>
            <w:vAlign w:val="center"/>
            <w:hideMark/>
          </w:tcPr>
          <w:p w14:paraId="168EBBEB" w14:textId="7D116272"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0.3</w:t>
            </w:r>
            <w:r>
              <w:rPr>
                <w:rFonts w:ascii="Arial" w:hAnsi="Arial" w:cs="Arial"/>
                <w:sz w:val="18"/>
                <w:szCs w:val="18"/>
                <w:lang w:val="en-AU" w:eastAsia="en-AU"/>
              </w:rPr>
              <w:t>)</w:t>
            </w:r>
          </w:p>
        </w:tc>
        <w:tc>
          <w:tcPr>
            <w:tcW w:w="1257" w:type="dxa"/>
            <w:tcBorders>
              <w:top w:val="nil"/>
              <w:left w:val="nil"/>
              <w:bottom w:val="nil"/>
              <w:right w:val="nil"/>
            </w:tcBorders>
            <w:shd w:val="clear" w:color="000000" w:fill="FFFFFF"/>
            <w:vAlign w:val="center"/>
            <w:hideMark/>
          </w:tcPr>
          <w:p w14:paraId="7CCBD93E" w14:textId="5ECD9C81"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0.4</w:t>
            </w:r>
            <w:r>
              <w:rPr>
                <w:rFonts w:ascii="Arial" w:hAnsi="Arial" w:cs="Arial"/>
                <w:sz w:val="18"/>
                <w:szCs w:val="18"/>
                <w:lang w:val="en-AU" w:eastAsia="en-AU"/>
              </w:rPr>
              <w:t>)</w:t>
            </w:r>
          </w:p>
        </w:tc>
        <w:tc>
          <w:tcPr>
            <w:tcW w:w="1257" w:type="dxa"/>
            <w:tcBorders>
              <w:top w:val="nil"/>
              <w:left w:val="nil"/>
              <w:bottom w:val="nil"/>
              <w:right w:val="nil"/>
            </w:tcBorders>
            <w:shd w:val="clear" w:color="000000" w:fill="FFFFFF"/>
            <w:vAlign w:val="center"/>
            <w:hideMark/>
          </w:tcPr>
          <w:p w14:paraId="335A2C8A" w14:textId="7D5143ED"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0.3</w:t>
            </w:r>
            <w:r>
              <w:rPr>
                <w:rFonts w:ascii="Arial" w:hAnsi="Arial" w:cs="Arial"/>
                <w:sz w:val="18"/>
                <w:szCs w:val="18"/>
                <w:lang w:val="en-AU" w:eastAsia="en-AU"/>
              </w:rPr>
              <w:t>)</w:t>
            </w:r>
          </w:p>
        </w:tc>
      </w:tr>
      <w:tr w:rsidR="00565002" w:rsidRPr="00565002" w14:paraId="20C12FD3" w14:textId="77777777" w:rsidTr="002C6C5D">
        <w:trPr>
          <w:trHeight w:val="255"/>
        </w:trPr>
        <w:tc>
          <w:tcPr>
            <w:tcW w:w="4242" w:type="dxa"/>
            <w:tcBorders>
              <w:top w:val="nil"/>
              <w:left w:val="nil"/>
              <w:bottom w:val="nil"/>
              <w:right w:val="nil"/>
            </w:tcBorders>
            <w:shd w:val="clear" w:color="000000" w:fill="FFFFFF"/>
            <w:vAlign w:val="center"/>
            <w:hideMark/>
          </w:tcPr>
          <w:p w14:paraId="27D842F6" w14:textId="251F61C1" w:rsidR="008C199C" w:rsidRPr="00565002" w:rsidRDefault="008C199C" w:rsidP="008C199C">
            <w:pPr>
              <w:rPr>
                <w:rFonts w:ascii="Arial" w:hAnsi="Arial" w:cs="Arial"/>
                <w:sz w:val="18"/>
                <w:szCs w:val="18"/>
                <w:lang w:val="en-AU" w:eastAsia="en-AU"/>
              </w:rPr>
            </w:pPr>
            <w:r w:rsidRPr="00565002">
              <w:rPr>
                <w:rFonts w:ascii="Arial" w:hAnsi="Arial" w:cs="Arial"/>
                <w:sz w:val="18"/>
                <w:szCs w:val="18"/>
                <w:lang w:val="en-AU" w:eastAsia="en-AU"/>
              </w:rPr>
              <w:t xml:space="preserve">Nominal </w:t>
            </w:r>
            <w:r w:rsidR="00064E45" w:rsidRPr="00565002">
              <w:rPr>
                <w:rFonts w:ascii="Arial" w:hAnsi="Arial" w:cs="Arial"/>
                <w:sz w:val="18"/>
                <w:szCs w:val="18"/>
                <w:lang w:val="en-AU" w:eastAsia="en-AU"/>
              </w:rPr>
              <w:t>w</w:t>
            </w:r>
            <w:r w:rsidRPr="00565002">
              <w:rPr>
                <w:rFonts w:ascii="Arial" w:hAnsi="Arial" w:cs="Arial"/>
                <w:sz w:val="18"/>
                <w:szCs w:val="18"/>
                <w:lang w:val="en-AU" w:eastAsia="en-AU"/>
              </w:rPr>
              <w:t>ages</w:t>
            </w:r>
          </w:p>
        </w:tc>
        <w:tc>
          <w:tcPr>
            <w:tcW w:w="1257" w:type="dxa"/>
            <w:tcBorders>
              <w:top w:val="nil"/>
              <w:left w:val="nil"/>
              <w:bottom w:val="nil"/>
              <w:right w:val="nil"/>
            </w:tcBorders>
            <w:shd w:val="clear" w:color="000000" w:fill="FFFFFF"/>
            <w:vAlign w:val="center"/>
            <w:hideMark/>
          </w:tcPr>
          <w:p w14:paraId="2E8D90B0" w14:textId="7EB95A1B" w:rsidR="008C199C" w:rsidRPr="00565002" w:rsidRDefault="00BD5C1D"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0.6</w:t>
            </w:r>
            <w:r>
              <w:rPr>
                <w:rFonts w:ascii="Arial" w:hAnsi="Arial" w:cs="Arial"/>
                <w:sz w:val="18"/>
                <w:szCs w:val="18"/>
                <w:lang w:val="en-AU" w:eastAsia="en-AU"/>
              </w:rPr>
              <w:t>)</w:t>
            </w:r>
          </w:p>
        </w:tc>
        <w:tc>
          <w:tcPr>
            <w:tcW w:w="1257" w:type="dxa"/>
            <w:tcBorders>
              <w:top w:val="nil"/>
              <w:left w:val="nil"/>
              <w:bottom w:val="nil"/>
              <w:right w:val="nil"/>
            </w:tcBorders>
            <w:shd w:val="clear" w:color="000000" w:fill="FFFFFF"/>
            <w:vAlign w:val="center"/>
            <w:hideMark/>
          </w:tcPr>
          <w:p w14:paraId="07F4880F" w14:textId="159B2CC6"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0.7</w:t>
            </w:r>
            <w:r>
              <w:rPr>
                <w:rFonts w:ascii="Arial" w:hAnsi="Arial" w:cs="Arial"/>
                <w:sz w:val="18"/>
                <w:szCs w:val="18"/>
                <w:lang w:val="en-AU" w:eastAsia="en-AU"/>
              </w:rPr>
              <w:t>)</w:t>
            </w:r>
          </w:p>
        </w:tc>
        <w:tc>
          <w:tcPr>
            <w:tcW w:w="1257" w:type="dxa"/>
            <w:tcBorders>
              <w:top w:val="nil"/>
              <w:left w:val="nil"/>
              <w:bottom w:val="nil"/>
              <w:right w:val="nil"/>
            </w:tcBorders>
            <w:shd w:val="clear" w:color="000000" w:fill="FFFFFF"/>
            <w:vAlign w:val="center"/>
            <w:hideMark/>
          </w:tcPr>
          <w:p w14:paraId="4B144BF0" w14:textId="6F27A40E"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1.0</w:t>
            </w:r>
            <w:r>
              <w:rPr>
                <w:rFonts w:ascii="Arial" w:hAnsi="Arial" w:cs="Arial"/>
                <w:sz w:val="18"/>
                <w:szCs w:val="18"/>
                <w:lang w:val="en-AU" w:eastAsia="en-AU"/>
              </w:rPr>
              <w:t>)</w:t>
            </w:r>
          </w:p>
        </w:tc>
        <w:tc>
          <w:tcPr>
            <w:tcW w:w="1257" w:type="dxa"/>
            <w:tcBorders>
              <w:top w:val="nil"/>
              <w:left w:val="nil"/>
              <w:bottom w:val="nil"/>
              <w:right w:val="nil"/>
            </w:tcBorders>
            <w:shd w:val="clear" w:color="000000" w:fill="FFFFFF"/>
            <w:vAlign w:val="center"/>
            <w:hideMark/>
          </w:tcPr>
          <w:p w14:paraId="64B221A2" w14:textId="59D9384A" w:rsidR="008C199C"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8C199C" w:rsidRPr="00565002">
              <w:rPr>
                <w:rFonts w:ascii="Arial" w:hAnsi="Arial" w:cs="Arial"/>
                <w:sz w:val="18"/>
                <w:szCs w:val="18"/>
                <w:lang w:val="en-AU" w:eastAsia="en-AU"/>
              </w:rPr>
              <w:t>1.1</w:t>
            </w:r>
            <w:r>
              <w:rPr>
                <w:rFonts w:ascii="Arial" w:hAnsi="Arial" w:cs="Arial"/>
                <w:sz w:val="18"/>
                <w:szCs w:val="18"/>
                <w:lang w:val="en-AU" w:eastAsia="en-AU"/>
              </w:rPr>
              <w:t>)</w:t>
            </w:r>
          </w:p>
        </w:tc>
      </w:tr>
      <w:tr w:rsidR="00565002" w:rsidRPr="00565002" w14:paraId="688655E3" w14:textId="77777777" w:rsidTr="002C6C5D">
        <w:trPr>
          <w:trHeight w:val="255"/>
        </w:trPr>
        <w:tc>
          <w:tcPr>
            <w:tcW w:w="4242" w:type="dxa"/>
            <w:tcBorders>
              <w:top w:val="nil"/>
              <w:left w:val="nil"/>
              <w:bottom w:val="single" w:sz="4" w:space="0" w:color="auto"/>
              <w:right w:val="nil"/>
            </w:tcBorders>
            <w:shd w:val="clear" w:color="000000" w:fill="FFFFFF"/>
            <w:vAlign w:val="center"/>
          </w:tcPr>
          <w:p w14:paraId="1EDE5529" w14:textId="36234522" w:rsidR="00291B42" w:rsidRPr="00565002" w:rsidRDefault="00BF1C46" w:rsidP="008C199C">
            <w:pPr>
              <w:rPr>
                <w:rFonts w:ascii="Arial" w:hAnsi="Arial" w:cs="Arial"/>
                <w:sz w:val="18"/>
                <w:szCs w:val="18"/>
                <w:lang w:val="en-AU" w:eastAsia="en-AU"/>
              </w:rPr>
            </w:pPr>
            <w:r w:rsidRPr="00565002">
              <w:rPr>
                <w:rFonts w:ascii="Arial" w:hAnsi="Arial" w:cs="Arial"/>
                <w:sz w:val="18"/>
                <w:szCs w:val="18"/>
                <w:lang w:val="en-AU" w:eastAsia="en-AU"/>
              </w:rPr>
              <w:t>Working age p</w:t>
            </w:r>
            <w:r w:rsidR="00291B42" w:rsidRPr="00565002">
              <w:rPr>
                <w:rFonts w:ascii="Arial" w:hAnsi="Arial" w:cs="Arial"/>
                <w:sz w:val="18"/>
                <w:szCs w:val="18"/>
                <w:lang w:val="en-AU" w:eastAsia="en-AU"/>
              </w:rPr>
              <w:t>opulation</w:t>
            </w:r>
          </w:p>
        </w:tc>
        <w:tc>
          <w:tcPr>
            <w:tcW w:w="1257" w:type="dxa"/>
            <w:tcBorders>
              <w:top w:val="nil"/>
              <w:left w:val="nil"/>
              <w:bottom w:val="single" w:sz="4" w:space="0" w:color="auto"/>
              <w:right w:val="nil"/>
            </w:tcBorders>
            <w:shd w:val="clear" w:color="000000" w:fill="FFFFFF"/>
            <w:vAlign w:val="center"/>
          </w:tcPr>
          <w:p w14:paraId="5275DB9D" w14:textId="6DE3B3D7" w:rsidR="00291B42" w:rsidRPr="00565002" w:rsidRDefault="009C592D" w:rsidP="008C199C">
            <w:pPr>
              <w:jc w:val="center"/>
              <w:rPr>
                <w:rFonts w:ascii="Arial" w:hAnsi="Arial" w:cs="Arial"/>
                <w:sz w:val="18"/>
                <w:szCs w:val="18"/>
                <w:lang w:val="en-AU" w:eastAsia="en-AU"/>
              </w:rPr>
            </w:pPr>
            <w:r w:rsidRPr="00565002">
              <w:rPr>
                <w:rFonts w:ascii="Arial" w:hAnsi="Arial" w:cs="Arial"/>
                <w:sz w:val="18"/>
                <w:szCs w:val="18"/>
                <w:lang w:val="en-AU" w:eastAsia="en-AU"/>
              </w:rPr>
              <w:t>0.0</w:t>
            </w:r>
          </w:p>
        </w:tc>
        <w:tc>
          <w:tcPr>
            <w:tcW w:w="1257" w:type="dxa"/>
            <w:tcBorders>
              <w:top w:val="nil"/>
              <w:left w:val="nil"/>
              <w:bottom w:val="single" w:sz="4" w:space="0" w:color="auto"/>
              <w:right w:val="nil"/>
            </w:tcBorders>
            <w:shd w:val="clear" w:color="000000" w:fill="FFFFFF"/>
            <w:vAlign w:val="center"/>
          </w:tcPr>
          <w:p w14:paraId="0E76E816" w14:textId="7412F057" w:rsidR="00291B42"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9C592D" w:rsidRPr="00565002">
              <w:rPr>
                <w:rFonts w:ascii="Arial" w:hAnsi="Arial" w:cs="Arial"/>
                <w:sz w:val="18"/>
                <w:szCs w:val="18"/>
                <w:lang w:val="en-AU" w:eastAsia="en-AU"/>
              </w:rPr>
              <w:t>0.2</w:t>
            </w:r>
            <w:r>
              <w:rPr>
                <w:rFonts w:ascii="Arial" w:hAnsi="Arial" w:cs="Arial"/>
                <w:sz w:val="18"/>
                <w:szCs w:val="18"/>
                <w:lang w:val="en-AU" w:eastAsia="en-AU"/>
              </w:rPr>
              <w:t>)</w:t>
            </w:r>
          </w:p>
        </w:tc>
        <w:tc>
          <w:tcPr>
            <w:tcW w:w="1257" w:type="dxa"/>
            <w:tcBorders>
              <w:top w:val="nil"/>
              <w:left w:val="nil"/>
              <w:bottom w:val="single" w:sz="4" w:space="0" w:color="auto"/>
              <w:right w:val="nil"/>
            </w:tcBorders>
            <w:shd w:val="clear" w:color="000000" w:fill="FFFFFF"/>
            <w:vAlign w:val="center"/>
          </w:tcPr>
          <w:p w14:paraId="02B24380" w14:textId="3596A43E" w:rsidR="00291B42"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9C592D" w:rsidRPr="00565002">
              <w:rPr>
                <w:rFonts w:ascii="Arial" w:hAnsi="Arial" w:cs="Arial"/>
                <w:sz w:val="18"/>
                <w:szCs w:val="18"/>
                <w:lang w:val="en-AU" w:eastAsia="en-AU"/>
              </w:rPr>
              <w:t>0.3</w:t>
            </w:r>
            <w:r>
              <w:rPr>
                <w:rFonts w:ascii="Arial" w:hAnsi="Arial" w:cs="Arial"/>
                <w:sz w:val="18"/>
                <w:szCs w:val="18"/>
                <w:lang w:val="en-AU" w:eastAsia="en-AU"/>
              </w:rPr>
              <w:t>)</w:t>
            </w:r>
          </w:p>
        </w:tc>
        <w:tc>
          <w:tcPr>
            <w:tcW w:w="1257" w:type="dxa"/>
            <w:tcBorders>
              <w:top w:val="nil"/>
              <w:left w:val="nil"/>
              <w:bottom w:val="single" w:sz="4" w:space="0" w:color="auto"/>
              <w:right w:val="nil"/>
            </w:tcBorders>
            <w:shd w:val="clear" w:color="000000" w:fill="FFFFFF"/>
            <w:vAlign w:val="center"/>
          </w:tcPr>
          <w:p w14:paraId="0BD43F20" w14:textId="01920512" w:rsidR="00291B42" w:rsidRPr="00565002" w:rsidRDefault="007A7CFC" w:rsidP="008C199C">
            <w:pPr>
              <w:jc w:val="center"/>
              <w:rPr>
                <w:rFonts w:ascii="Arial" w:hAnsi="Arial" w:cs="Arial"/>
                <w:sz w:val="18"/>
                <w:szCs w:val="18"/>
                <w:lang w:val="en-AU" w:eastAsia="en-AU"/>
              </w:rPr>
            </w:pPr>
            <w:r>
              <w:rPr>
                <w:rFonts w:ascii="Arial" w:hAnsi="Arial" w:cs="Arial"/>
                <w:sz w:val="18"/>
                <w:szCs w:val="18"/>
                <w:lang w:val="en-AU" w:eastAsia="en-AU"/>
              </w:rPr>
              <w:t>(</w:t>
            </w:r>
            <w:r w:rsidR="00914072" w:rsidRPr="00565002">
              <w:rPr>
                <w:rFonts w:ascii="Arial" w:hAnsi="Arial" w:cs="Arial"/>
                <w:sz w:val="18"/>
                <w:szCs w:val="18"/>
                <w:lang w:val="en-AU" w:eastAsia="en-AU"/>
              </w:rPr>
              <w:t>0.4</w:t>
            </w:r>
            <w:r>
              <w:rPr>
                <w:rFonts w:ascii="Arial" w:hAnsi="Arial" w:cs="Arial"/>
                <w:sz w:val="18"/>
                <w:szCs w:val="18"/>
                <w:lang w:val="en-AU" w:eastAsia="en-AU"/>
              </w:rPr>
              <w:t>)</w:t>
            </w:r>
          </w:p>
        </w:tc>
      </w:tr>
    </w:tbl>
    <w:p w14:paraId="4E9A9361" w14:textId="77777777" w:rsidR="00135CA7" w:rsidRPr="00135CA7" w:rsidRDefault="00135CA7" w:rsidP="00135CA7">
      <w:pPr>
        <w:ind w:left="357" w:hanging="357"/>
        <w:rPr>
          <w:rFonts w:ascii="Arial" w:hAnsi="Arial" w:cs="Arial"/>
          <w:sz w:val="6"/>
          <w:szCs w:val="6"/>
        </w:rPr>
      </w:pPr>
    </w:p>
    <w:p w14:paraId="188CD435" w14:textId="0F3064E0" w:rsidR="00AB3195" w:rsidRPr="00135CA7" w:rsidRDefault="00AB3195" w:rsidP="00135CA7">
      <w:pPr>
        <w:ind w:left="357" w:hanging="357"/>
        <w:rPr>
          <w:rFonts w:ascii="Arial" w:hAnsi="Arial" w:cs="Arial"/>
          <w:sz w:val="17"/>
          <w:szCs w:val="17"/>
        </w:rPr>
      </w:pPr>
      <w:r w:rsidRPr="00135CA7">
        <w:rPr>
          <w:rFonts w:ascii="Arial" w:hAnsi="Arial" w:cs="Arial"/>
          <w:sz w:val="17"/>
          <w:szCs w:val="17"/>
        </w:rPr>
        <w:t xml:space="preserve">(a) </w:t>
      </w:r>
      <w:r w:rsidR="006471F7" w:rsidRPr="00135CA7">
        <w:rPr>
          <w:rFonts w:ascii="Arial" w:hAnsi="Arial" w:cs="Arial"/>
          <w:sz w:val="17"/>
          <w:szCs w:val="17"/>
        </w:rPr>
        <w:t>Figures reported are the per cent change in the level of each parameter relative to the baseline</w:t>
      </w:r>
      <w:r w:rsidRPr="00135CA7">
        <w:rPr>
          <w:rFonts w:ascii="Arial" w:hAnsi="Arial" w:cs="Arial"/>
          <w:sz w:val="17"/>
          <w:szCs w:val="17"/>
        </w:rPr>
        <w:t>.</w:t>
      </w:r>
    </w:p>
    <w:p w14:paraId="6DB5A162" w14:textId="522AFD7B" w:rsidR="00AB3195" w:rsidRPr="00135CA7" w:rsidRDefault="00AB3195" w:rsidP="0006007C">
      <w:pPr>
        <w:pStyle w:val="Chartx"/>
        <w:numPr>
          <w:ilvl w:val="0"/>
          <w:numId w:val="0"/>
        </w:numPr>
        <w:spacing w:before="80" w:after="0"/>
        <w:rPr>
          <w:color w:val="4F4F4F"/>
          <w:sz w:val="17"/>
          <w:szCs w:val="17"/>
        </w:rPr>
      </w:pPr>
      <w:r w:rsidRPr="00135CA7">
        <w:rPr>
          <w:color w:val="4F4F4F"/>
          <w:sz w:val="17"/>
          <w:szCs w:val="17"/>
        </w:rPr>
        <w:t xml:space="preserve">Source: </w:t>
      </w:r>
      <w:r w:rsidR="008F7F26" w:rsidRPr="00135CA7">
        <w:rPr>
          <w:color w:val="4F4F4F"/>
          <w:sz w:val="17"/>
          <w:szCs w:val="17"/>
        </w:rPr>
        <w:t>C</w:t>
      </w:r>
      <w:r w:rsidR="006F474D" w:rsidRPr="00135CA7">
        <w:rPr>
          <w:color w:val="4F4F4F"/>
          <w:sz w:val="17"/>
          <w:szCs w:val="17"/>
        </w:rPr>
        <w:t>o</w:t>
      </w:r>
      <w:r w:rsidR="008F7F26" w:rsidRPr="00135CA7">
        <w:rPr>
          <w:color w:val="4F4F4F"/>
          <w:sz w:val="17"/>
          <w:szCs w:val="17"/>
        </w:rPr>
        <w:t>PS</w:t>
      </w:r>
      <w:r w:rsidRPr="00135CA7">
        <w:rPr>
          <w:color w:val="4F4F4F"/>
          <w:sz w:val="17"/>
          <w:szCs w:val="17"/>
        </w:rPr>
        <w:t>, Victoria University and NSW Treasury</w:t>
      </w:r>
    </w:p>
    <w:p w14:paraId="1299EE0C" w14:textId="1CE970F3" w:rsidR="00154321" w:rsidRPr="005F787D" w:rsidRDefault="00154321" w:rsidP="00A62CB1">
      <w:pPr>
        <w:pStyle w:val="Heading4"/>
        <w:spacing w:before="200"/>
      </w:pPr>
      <w:r>
        <w:t>Revenue impact</w:t>
      </w:r>
      <w:r w:rsidR="00B91F4C">
        <w:t xml:space="preserve"> over </w:t>
      </w:r>
      <w:r w:rsidR="0032290B">
        <w:t>the Budget and forward estimates</w:t>
      </w:r>
    </w:p>
    <w:p w14:paraId="48EF7D08" w14:textId="20B9E0F4" w:rsidR="0000036D" w:rsidRDefault="001F0F92" w:rsidP="00385B4A">
      <w:pPr>
        <w:pStyle w:val="BodyText"/>
      </w:pPr>
      <w:r>
        <w:t xml:space="preserve">The </w:t>
      </w:r>
      <w:r w:rsidR="00F81FC9">
        <w:t xml:space="preserve">softer </w:t>
      </w:r>
      <w:r>
        <w:t xml:space="preserve">economic outlook flows through to </w:t>
      </w:r>
      <w:r w:rsidR="009111ED">
        <w:t xml:space="preserve">substantially </w:t>
      </w:r>
      <w:r>
        <w:t xml:space="preserve">lower tax </w:t>
      </w:r>
      <w:r w:rsidR="00DA4E0B">
        <w:t>collections</w:t>
      </w:r>
      <w:r w:rsidR="00AC609E">
        <w:t xml:space="preserve"> (see Table</w:t>
      </w:r>
      <w:r w:rsidR="008B4FCE">
        <w:t> F.</w:t>
      </w:r>
      <w:r w:rsidR="00AC609E">
        <w:t>4)</w:t>
      </w:r>
      <w:r>
        <w:t>.</w:t>
      </w:r>
      <w:r w:rsidR="009C5CF9">
        <w:t xml:space="preserve"> </w:t>
      </w:r>
      <w:r w:rsidR="00481B0A">
        <w:t>R</w:t>
      </w:r>
      <w:r w:rsidR="0000036D" w:rsidRPr="008E5794">
        <w:t xml:space="preserve">esidential </w:t>
      </w:r>
      <w:r w:rsidR="00F81FC9">
        <w:t>transfer</w:t>
      </w:r>
      <w:r w:rsidR="00F81FC9" w:rsidRPr="008E5794">
        <w:t xml:space="preserve"> </w:t>
      </w:r>
      <w:r w:rsidR="0000036D" w:rsidRPr="008E5794">
        <w:t>duty collections fall sharply because property valuations collapse</w:t>
      </w:r>
      <w:r w:rsidR="007B7FE5" w:rsidRPr="007B7FE5">
        <w:t xml:space="preserve"> </w:t>
      </w:r>
      <w:r w:rsidR="007B7FE5">
        <w:t xml:space="preserve">and the </w:t>
      </w:r>
      <w:r w:rsidR="00DA4E0B">
        <w:t>turnover of property declines</w:t>
      </w:r>
      <w:r w:rsidR="00F81FC9">
        <w:t>.</w:t>
      </w:r>
      <w:r w:rsidR="0000036D" w:rsidRPr="008E5794">
        <w:t xml:space="preserve"> </w:t>
      </w:r>
      <w:r w:rsidR="00D47E5B">
        <w:t>P</w:t>
      </w:r>
      <w:r w:rsidR="0000036D" w:rsidRPr="008E5794">
        <w:t xml:space="preserve">ayroll tax collections </w:t>
      </w:r>
      <w:r w:rsidR="00514041">
        <w:t>fall because employment and wages decline</w:t>
      </w:r>
      <w:r w:rsidR="0000036D" w:rsidRPr="008E5794">
        <w:t xml:space="preserve">. </w:t>
      </w:r>
      <w:r w:rsidR="00385B4A" w:rsidRPr="008E5794">
        <w:t xml:space="preserve">GST </w:t>
      </w:r>
      <w:r w:rsidR="008550C5">
        <w:t xml:space="preserve">receipts </w:t>
      </w:r>
      <w:r w:rsidR="00A25991">
        <w:t>fall</w:t>
      </w:r>
      <w:r w:rsidR="00385B4A" w:rsidRPr="008E5794">
        <w:t xml:space="preserve"> because </w:t>
      </w:r>
      <w:r w:rsidR="006B732D">
        <w:t xml:space="preserve">national </w:t>
      </w:r>
      <w:r w:rsidR="0067259B">
        <w:t xml:space="preserve">household </w:t>
      </w:r>
      <w:r w:rsidR="00DA4E0B">
        <w:t>consumption</w:t>
      </w:r>
      <w:r w:rsidR="0067259B">
        <w:t xml:space="preserve"> and dwelling investment</w:t>
      </w:r>
      <w:r w:rsidR="00DA4E0B">
        <w:t xml:space="preserve"> </w:t>
      </w:r>
      <w:r w:rsidR="008550C5">
        <w:t xml:space="preserve">is </w:t>
      </w:r>
      <w:r w:rsidR="00DA4E0B">
        <w:t>weaker</w:t>
      </w:r>
      <w:r w:rsidR="00385B4A" w:rsidRPr="008E5794">
        <w:t xml:space="preserve">. </w:t>
      </w:r>
      <w:r w:rsidR="00A93FC7">
        <w:t xml:space="preserve">Along with this, </w:t>
      </w:r>
      <w:r w:rsidR="00FC650D">
        <w:t>the State’s</w:t>
      </w:r>
      <w:r w:rsidR="00385B4A" w:rsidRPr="008E5794">
        <w:t xml:space="preserve"> share of GST revenue also falls as the </w:t>
      </w:r>
      <w:r w:rsidR="00DA4E0B">
        <w:t>rest of Australia</w:t>
      </w:r>
      <w:r w:rsidR="00DA4E0B" w:rsidRPr="008E5794">
        <w:t xml:space="preserve">’s </w:t>
      </w:r>
      <w:r w:rsidR="00385B4A" w:rsidRPr="008E5794">
        <w:t>population expands due to inter</w:t>
      </w:r>
      <w:r w:rsidR="00DA4E0B">
        <w:t>state</w:t>
      </w:r>
      <w:r w:rsidR="00DA4E0B" w:rsidRPr="008E5794">
        <w:t xml:space="preserve"> </w:t>
      </w:r>
      <w:r w:rsidR="00385B4A" w:rsidRPr="008E5794">
        <w:t>migration.</w:t>
      </w:r>
      <w:r w:rsidR="00546185">
        <w:t xml:space="preserve"> </w:t>
      </w:r>
      <w:r w:rsidR="00DA4E0B">
        <w:t>Offsetting</w:t>
      </w:r>
      <w:r w:rsidR="00933BBA">
        <w:t xml:space="preserve"> lower revenues</w:t>
      </w:r>
      <w:r w:rsidR="008E5AA1">
        <w:t xml:space="preserve"> </w:t>
      </w:r>
      <w:r w:rsidR="00DA4E0B">
        <w:t xml:space="preserve">slightly is higher </w:t>
      </w:r>
      <w:r w:rsidR="00686697">
        <w:t>c</w:t>
      </w:r>
      <w:r w:rsidR="00686697" w:rsidRPr="008E5794">
        <w:t xml:space="preserve">oal royalties </w:t>
      </w:r>
      <w:r w:rsidR="00385B4A" w:rsidRPr="008E5794">
        <w:t>in response to an improvement in international competitiveness</w:t>
      </w:r>
      <w:r w:rsidR="00C55AD4">
        <w:t xml:space="preserve">, via a </w:t>
      </w:r>
      <w:r w:rsidR="003519DA">
        <w:t>lower currency and wages</w:t>
      </w:r>
      <w:r w:rsidR="00686697">
        <w:t>.</w:t>
      </w:r>
      <w:r w:rsidR="00385B4A" w:rsidRPr="008E5794">
        <w:t xml:space="preserve"> </w:t>
      </w:r>
    </w:p>
    <w:p w14:paraId="46F80FD1" w14:textId="51488090" w:rsidR="00154321" w:rsidRDefault="00154321" w:rsidP="00154321">
      <w:pPr>
        <w:pStyle w:val="TableFX"/>
      </w:pPr>
      <w:r>
        <w:t xml:space="preserve">The effect </w:t>
      </w:r>
      <w:r w:rsidR="00EB45FC">
        <w:t xml:space="preserve">of </w:t>
      </w:r>
      <w:r w:rsidR="00B335D6">
        <w:t>lower</w:t>
      </w:r>
      <w:r w:rsidR="00EB45FC">
        <w:t xml:space="preserve"> house price</w:t>
      </w:r>
      <w:r w:rsidR="00B335D6">
        <w:t>s</w:t>
      </w:r>
      <w:r>
        <w:t xml:space="preserve"> on major revenue parameters</w:t>
      </w:r>
    </w:p>
    <w:tbl>
      <w:tblPr>
        <w:tblW w:w="9270" w:type="dxa"/>
        <w:tblLook w:val="04A0" w:firstRow="1" w:lastRow="0" w:firstColumn="1" w:lastColumn="0" w:noHBand="0" w:noVBand="1"/>
        <w:tblCaption w:val="Table F.4: The effect of lower house prices on major revenue parameters"/>
        <w:tblDescription w:val="Table F.4: The effect of lower house prices on major revenue parameters"/>
      </w:tblPr>
      <w:tblGrid>
        <w:gridCol w:w="4242"/>
        <w:gridCol w:w="1257"/>
        <w:gridCol w:w="1257"/>
        <w:gridCol w:w="1257"/>
        <w:gridCol w:w="1257"/>
      </w:tblGrid>
      <w:tr w:rsidR="00933CE2" w:rsidRPr="00565002" w14:paraId="0CB2D8AF" w14:textId="77777777" w:rsidTr="002C6C5D">
        <w:trPr>
          <w:trHeight w:val="255"/>
        </w:trPr>
        <w:tc>
          <w:tcPr>
            <w:tcW w:w="4242" w:type="dxa"/>
            <w:tcBorders>
              <w:top w:val="nil"/>
              <w:left w:val="nil"/>
              <w:bottom w:val="nil"/>
              <w:right w:val="nil"/>
            </w:tcBorders>
            <w:shd w:val="clear" w:color="auto" w:fill="0070C0"/>
            <w:vAlign w:val="center"/>
            <w:hideMark/>
          </w:tcPr>
          <w:p w14:paraId="61C39FE7" w14:textId="394F9CB3" w:rsidR="00933CE2" w:rsidRPr="00565002" w:rsidRDefault="00933CE2" w:rsidP="00565002">
            <w:pPr>
              <w:spacing w:before="80" w:after="80"/>
              <w:jc w:val="both"/>
              <w:rPr>
                <w:rFonts w:ascii="Arial" w:hAnsi="Arial" w:cs="Arial"/>
                <w:color w:val="FFFFFF"/>
                <w:sz w:val="18"/>
                <w:szCs w:val="18"/>
                <w:lang w:val="en-AU" w:eastAsia="en-AU"/>
              </w:rPr>
            </w:pPr>
            <w:r w:rsidRPr="00565002">
              <w:rPr>
                <w:rFonts w:ascii="Arial" w:hAnsi="Arial" w:cs="Arial"/>
                <w:color w:val="FFFFFF"/>
                <w:sz w:val="18"/>
                <w:szCs w:val="18"/>
                <w:lang w:val="en-AU" w:eastAsia="en-AU"/>
              </w:rPr>
              <w:t> </w:t>
            </w:r>
            <w:r w:rsidR="00E0332C" w:rsidRPr="00565002">
              <w:rPr>
                <w:rFonts w:ascii="Arial" w:hAnsi="Arial" w:cs="Arial"/>
                <w:color w:val="FFFFFF"/>
                <w:sz w:val="18"/>
                <w:szCs w:val="18"/>
                <w:lang w:val="en-AU" w:eastAsia="en-AU"/>
              </w:rPr>
              <w:t>Financial year estimate</w:t>
            </w:r>
            <w:r w:rsidR="00366551" w:rsidRPr="00565002">
              <w:rPr>
                <w:rFonts w:ascii="Arial" w:hAnsi="Arial" w:cs="Arial"/>
                <w:color w:val="FFFFFF"/>
                <w:sz w:val="18"/>
                <w:szCs w:val="18"/>
                <w:vertAlign w:val="superscript"/>
                <w:lang w:val="en-AU" w:eastAsia="en-AU"/>
              </w:rPr>
              <w:t>(a)</w:t>
            </w:r>
            <w:r w:rsidR="007A4D36" w:rsidRPr="00565002">
              <w:rPr>
                <w:rFonts w:ascii="Arial" w:hAnsi="Arial" w:cs="Arial"/>
                <w:color w:val="FFFFFF"/>
                <w:sz w:val="18"/>
                <w:szCs w:val="18"/>
                <w:vertAlign w:val="superscript"/>
                <w:lang w:val="en-AU" w:eastAsia="en-AU"/>
              </w:rPr>
              <w:t xml:space="preserve"> </w:t>
            </w:r>
            <w:r w:rsidR="007A4D36" w:rsidRPr="00565002">
              <w:rPr>
                <w:rFonts w:ascii="Arial" w:hAnsi="Arial" w:cs="Arial"/>
                <w:color w:val="FFFFFF"/>
                <w:sz w:val="18"/>
                <w:szCs w:val="18"/>
                <w:lang w:val="en-AU" w:eastAsia="en-AU"/>
              </w:rPr>
              <w:t>($, million)</w:t>
            </w:r>
          </w:p>
        </w:tc>
        <w:tc>
          <w:tcPr>
            <w:tcW w:w="1257" w:type="dxa"/>
            <w:tcBorders>
              <w:top w:val="nil"/>
              <w:left w:val="nil"/>
              <w:bottom w:val="nil"/>
              <w:right w:val="nil"/>
            </w:tcBorders>
            <w:shd w:val="clear" w:color="auto" w:fill="0070C0"/>
            <w:vAlign w:val="center"/>
            <w:hideMark/>
          </w:tcPr>
          <w:p w14:paraId="28DA58BB" w14:textId="77777777" w:rsidR="00933CE2" w:rsidRPr="00565002" w:rsidRDefault="00933CE2" w:rsidP="00565002">
            <w:pPr>
              <w:spacing w:before="80" w:after="80"/>
              <w:jc w:val="center"/>
              <w:rPr>
                <w:rFonts w:ascii="Arial" w:hAnsi="Arial" w:cs="Arial"/>
                <w:color w:val="FFFFFF"/>
                <w:sz w:val="18"/>
                <w:szCs w:val="18"/>
                <w:lang w:val="en-AU" w:eastAsia="en-AU"/>
              </w:rPr>
            </w:pPr>
            <w:r w:rsidRPr="00565002">
              <w:rPr>
                <w:rFonts w:ascii="Arial" w:hAnsi="Arial" w:cs="Arial"/>
                <w:color w:val="FFFFFF"/>
                <w:sz w:val="18"/>
                <w:szCs w:val="18"/>
                <w:lang w:val="en-AU" w:eastAsia="en-AU"/>
              </w:rPr>
              <w:t xml:space="preserve">2019-20 </w:t>
            </w:r>
          </w:p>
        </w:tc>
        <w:tc>
          <w:tcPr>
            <w:tcW w:w="1257" w:type="dxa"/>
            <w:tcBorders>
              <w:top w:val="nil"/>
              <w:left w:val="nil"/>
              <w:bottom w:val="nil"/>
              <w:right w:val="nil"/>
            </w:tcBorders>
            <w:shd w:val="clear" w:color="auto" w:fill="0070C0"/>
            <w:vAlign w:val="center"/>
            <w:hideMark/>
          </w:tcPr>
          <w:p w14:paraId="5B8AC26B" w14:textId="77777777" w:rsidR="00933CE2" w:rsidRPr="00565002" w:rsidRDefault="00933CE2" w:rsidP="00565002">
            <w:pPr>
              <w:spacing w:before="80" w:after="80"/>
              <w:jc w:val="center"/>
              <w:rPr>
                <w:rFonts w:ascii="Arial" w:hAnsi="Arial" w:cs="Arial"/>
                <w:color w:val="FFFFFF"/>
                <w:sz w:val="18"/>
                <w:szCs w:val="18"/>
                <w:lang w:val="en-AU" w:eastAsia="en-AU"/>
              </w:rPr>
            </w:pPr>
            <w:r w:rsidRPr="00565002">
              <w:rPr>
                <w:rFonts w:ascii="Arial" w:hAnsi="Arial" w:cs="Arial"/>
                <w:color w:val="FFFFFF"/>
                <w:sz w:val="18"/>
                <w:szCs w:val="18"/>
                <w:lang w:val="en-AU" w:eastAsia="en-AU"/>
              </w:rPr>
              <w:t>2020-21</w:t>
            </w:r>
          </w:p>
        </w:tc>
        <w:tc>
          <w:tcPr>
            <w:tcW w:w="1257" w:type="dxa"/>
            <w:tcBorders>
              <w:top w:val="nil"/>
              <w:left w:val="nil"/>
              <w:bottom w:val="nil"/>
              <w:right w:val="nil"/>
            </w:tcBorders>
            <w:shd w:val="clear" w:color="auto" w:fill="0070C0"/>
            <w:vAlign w:val="center"/>
            <w:hideMark/>
          </w:tcPr>
          <w:p w14:paraId="75515D75" w14:textId="77777777" w:rsidR="00933CE2" w:rsidRPr="00565002" w:rsidRDefault="00933CE2" w:rsidP="00565002">
            <w:pPr>
              <w:spacing w:before="80" w:after="80"/>
              <w:jc w:val="center"/>
              <w:rPr>
                <w:rFonts w:ascii="Arial" w:hAnsi="Arial" w:cs="Arial"/>
                <w:color w:val="FFFFFF"/>
                <w:sz w:val="18"/>
                <w:szCs w:val="18"/>
                <w:lang w:val="en-AU" w:eastAsia="en-AU"/>
              </w:rPr>
            </w:pPr>
            <w:r w:rsidRPr="00565002">
              <w:rPr>
                <w:rFonts w:ascii="Arial" w:hAnsi="Arial" w:cs="Arial"/>
                <w:color w:val="FFFFFF"/>
                <w:sz w:val="18"/>
                <w:szCs w:val="18"/>
                <w:lang w:val="en-AU" w:eastAsia="en-AU"/>
              </w:rPr>
              <w:t>2021-22</w:t>
            </w:r>
          </w:p>
        </w:tc>
        <w:tc>
          <w:tcPr>
            <w:tcW w:w="1257" w:type="dxa"/>
            <w:tcBorders>
              <w:top w:val="nil"/>
              <w:left w:val="nil"/>
              <w:bottom w:val="nil"/>
              <w:right w:val="nil"/>
            </w:tcBorders>
            <w:shd w:val="clear" w:color="auto" w:fill="0070C0"/>
            <w:vAlign w:val="center"/>
            <w:hideMark/>
          </w:tcPr>
          <w:p w14:paraId="4D7B427F" w14:textId="77777777" w:rsidR="00933CE2" w:rsidRPr="00565002" w:rsidRDefault="00933CE2" w:rsidP="00565002">
            <w:pPr>
              <w:spacing w:before="80" w:after="80"/>
              <w:jc w:val="center"/>
              <w:rPr>
                <w:rFonts w:ascii="Arial" w:hAnsi="Arial" w:cs="Arial"/>
                <w:color w:val="FFFFFF"/>
                <w:sz w:val="18"/>
                <w:szCs w:val="18"/>
                <w:lang w:val="en-AU" w:eastAsia="en-AU"/>
              </w:rPr>
            </w:pPr>
            <w:r w:rsidRPr="00565002">
              <w:rPr>
                <w:rFonts w:ascii="Arial" w:hAnsi="Arial" w:cs="Arial"/>
                <w:color w:val="FFFFFF"/>
                <w:sz w:val="18"/>
                <w:szCs w:val="18"/>
                <w:lang w:val="en-AU" w:eastAsia="en-AU"/>
              </w:rPr>
              <w:t>2022-23</w:t>
            </w:r>
          </w:p>
        </w:tc>
      </w:tr>
      <w:tr w:rsidR="00565002" w:rsidRPr="00565002" w14:paraId="42ACFAEB" w14:textId="77777777" w:rsidTr="002C6C5D">
        <w:trPr>
          <w:trHeight w:val="255"/>
        </w:trPr>
        <w:tc>
          <w:tcPr>
            <w:tcW w:w="4242" w:type="dxa"/>
            <w:tcBorders>
              <w:top w:val="nil"/>
              <w:left w:val="nil"/>
              <w:bottom w:val="nil"/>
              <w:right w:val="nil"/>
            </w:tcBorders>
            <w:shd w:val="clear" w:color="auto" w:fill="auto"/>
            <w:vAlign w:val="center"/>
            <w:hideMark/>
          </w:tcPr>
          <w:p w14:paraId="36CCA64C" w14:textId="77777777" w:rsidR="00933CE2" w:rsidRPr="00565002" w:rsidRDefault="00933CE2" w:rsidP="00933CE2">
            <w:pPr>
              <w:rPr>
                <w:rFonts w:ascii="Arial" w:hAnsi="Arial" w:cs="Arial"/>
                <w:sz w:val="18"/>
                <w:szCs w:val="18"/>
                <w:lang w:val="en-AU" w:eastAsia="en-AU"/>
              </w:rPr>
            </w:pPr>
            <w:r w:rsidRPr="00565002">
              <w:rPr>
                <w:rFonts w:ascii="Arial" w:hAnsi="Arial" w:cs="Arial"/>
                <w:sz w:val="18"/>
                <w:szCs w:val="18"/>
                <w:lang w:val="en-AU" w:eastAsia="en-AU"/>
              </w:rPr>
              <w:t xml:space="preserve">Payroll tax </w:t>
            </w:r>
          </w:p>
        </w:tc>
        <w:tc>
          <w:tcPr>
            <w:tcW w:w="1257" w:type="dxa"/>
            <w:tcBorders>
              <w:top w:val="nil"/>
              <w:left w:val="nil"/>
              <w:bottom w:val="nil"/>
              <w:right w:val="nil"/>
            </w:tcBorders>
            <w:shd w:val="clear" w:color="auto" w:fill="auto"/>
            <w:vAlign w:val="center"/>
            <w:hideMark/>
          </w:tcPr>
          <w:p w14:paraId="64148D8B" w14:textId="083C24F4"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139</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038708D5" w14:textId="245D1B1A"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144</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6E6A861A" w14:textId="517A8B98"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17</w:t>
            </w:r>
            <w:r w:rsidR="0041667E" w:rsidRPr="00565002">
              <w:rPr>
                <w:rFonts w:ascii="Arial" w:hAnsi="Arial" w:cs="Arial"/>
                <w:sz w:val="18"/>
                <w:szCs w:val="18"/>
                <w:lang w:val="en-AU" w:eastAsia="en-AU"/>
              </w:rPr>
              <w:t>8</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07A79287" w14:textId="0E93A5A6"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194</w:t>
            </w:r>
            <w:r w:rsidR="00E97C8D">
              <w:rPr>
                <w:rFonts w:ascii="Arial" w:hAnsi="Arial" w:cs="Arial"/>
                <w:sz w:val="18"/>
                <w:szCs w:val="18"/>
                <w:lang w:val="en-AU" w:eastAsia="en-AU"/>
              </w:rPr>
              <w:t>)</w:t>
            </w:r>
          </w:p>
        </w:tc>
      </w:tr>
      <w:tr w:rsidR="00565002" w:rsidRPr="00565002" w14:paraId="538E5054" w14:textId="77777777" w:rsidTr="002C6C5D">
        <w:trPr>
          <w:trHeight w:val="255"/>
        </w:trPr>
        <w:tc>
          <w:tcPr>
            <w:tcW w:w="4242" w:type="dxa"/>
            <w:tcBorders>
              <w:top w:val="nil"/>
              <w:left w:val="nil"/>
              <w:bottom w:val="nil"/>
              <w:right w:val="nil"/>
            </w:tcBorders>
            <w:shd w:val="clear" w:color="auto" w:fill="auto"/>
            <w:vAlign w:val="center"/>
            <w:hideMark/>
          </w:tcPr>
          <w:p w14:paraId="0122D3DB" w14:textId="55F76084" w:rsidR="00933CE2" w:rsidRPr="00565002" w:rsidRDefault="00106592" w:rsidP="00933CE2">
            <w:pPr>
              <w:rPr>
                <w:rFonts w:ascii="Arial" w:hAnsi="Arial" w:cs="Arial"/>
                <w:sz w:val="18"/>
                <w:szCs w:val="18"/>
                <w:lang w:val="en-AU" w:eastAsia="en-AU"/>
              </w:rPr>
            </w:pPr>
            <w:r w:rsidRPr="00565002">
              <w:rPr>
                <w:rFonts w:ascii="Arial" w:hAnsi="Arial" w:cs="Arial"/>
                <w:sz w:val="18"/>
                <w:szCs w:val="18"/>
                <w:lang w:val="en-AU" w:eastAsia="en-AU"/>
              </w:rPr>
              <w:t>L</w:t>
            </w:r>
            <w:r w:rsidR="00933CE2" w:rsidRPr="00565002">
              <w:rPr>
                <w:rFonts w:ascii="Arial" w:hAnsi="Arial" w:cs="Arial"/>
                <w:sz w:val="18"/>
                <w:szCs w:val="18"/>
                <w:lang w:val="en-AU" w:eastAsia="en-AU"/>
              </w:rPr>
              <w:t xml:space="preserve">and tax </w:t>
            </w:r>
          </w:p>
        </w:tc>
        <w:tc>
          <w:tcPr>
            <w:tcW w:w="1257" w:type="dxa"/>
            <w:tcBorders>
              <w:top w:val="nil"/>
              <w:left w:val="nil"/>
              <w:bottom w:val="nil"/>
              <w:right w:val="nil"/>
            </w:tcBorders>
            <w:shd w:val="clear" w:color="auto" w:fill="auto"/>
            <w:vAlign w:val="center"/>
            <w:hideMark/>
          </w:tcPr>
          <w:p w14:paraId="30261ACD" w14:textId="138E90B9" w:rsidR="00933CE2" w:rsidRPr="00565002" w:rsidRDefault="00933CE2" w:rsidP="0006007C">
            <w:pPr>
              <w:ind w:left="-376" w:right="294"/>
              <w:jc w:val="right"/>
              <w:rPr>
                <w:rFonts w:ascii="Arial" w:hAnsi="Arial" w:cs="Arial"/>
                <w:sz w:val="18"/>
                <w:szCs w:val="18"/>
                <w:lang w:val="en-AU" w:eastAsia="en-AU"/>
              </w:rPr>
            </w:pPr>
            <w:r w:rsidRPr="00565002">
              <w:rPr>
                <w:rFonts w:ascii="Arial" w:hAnsi="Arial" w:cs="Arial"/>
                <w:sz w:val="18"/>
                <w:szCs w:val="18"/>
                <w:lang w:val="en-AU" w:eastAsia="en-AU"/>
              </w:rPr>
              <w:t>0</w:t>
            </w:r>
          </w:p>
        </w:tc>
        <w:tc>
          <w:tcPr>
            <w:tcW w:w="1257" w:type="dxa"/>
            <w:tcBorders>
              <w:top w:val="nil"/>
              <w:left w:val="nil"/>
              <w:bottom w:val="nil"/>
              <w:right w:val="nil"/>
            </w:tcBorders>
            <w:shd w:val="clear" w:color="auto" w:fill="auto"/>
            <w:vAlign w:val="center"/>
            <w:hideMark/>
          </w:tcPr>
          <w:p w14:paraId="40DF04B0" w14:textId="26DA6B8F"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87</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46C3AD97" w14:textId="4968B87E"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121</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5BE74D53" w14:textId="01F0D122"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14</w:t>
            </w:r>
            <w:r w:rsidR="0041667E" w:rsidRPr="00565002">
              <w:rPr>
                <w:rFonts w:ascii="Arial" w:hAnsi="Arial" w:cs="Arial"/>
                <w:sz w:val="18"/>
                <w:szCs w:val="18"/>
                <w:lang w:val="en-AU" w:eastAsia="en-AU"/>
              </w:rPr>
              <w:t>5</w:t>
            </w:r>
            <w:r w:rsidR="00E97C8D">
              <w:rPr>
                <w:rFonts w:ascii="Arial" w:hAnsi="Arial" w:cs="Arial"/>
                <w:sz w:val="18"/>
                <w:szCs w:val="18"/>
                <w:lang w:val="en-AU" w:eastAsia="en-AU"/>
              </w:rPr>
              <w:t>)</w:t>
            </w:r>
          </w:p>
        </w:tc>
      </w:tr>
      <w:tr w:rsidR="00565002" w:rsidRPr="00565002" w14:paraId="35898E8B" w14:textId="77777777" w:rsidTr="002C6C5D">
        <w:trPr>
          <w:trHeight w:val="255"/>
        </w:trPr>
        <w:tc>
          <w:tcPr>
            <w:tcW w:w="4242" w:type="dxa"/>
            <w:tcBorders>
              <w:top w:val="nil"/>
              <w:left w:val="nil"/>
              <w:bottom w:val="nil"/>
              <w:right w:val="nil"/>
            </w:tcBorders>
            <w:shd w:val="clear" w:color="auto" w:fill="auto"/>
            <w:vAlign w:val="center"/>
            <w:hideMark/>
          </w:tcPr>
          <w:p w14:paraId="15AC84EE" w14:textId="07D3ADE4" w:rsidR="00933CE2" w:rsidRPr="00565002" w:rsidRDefault="00933CE2" w:rsidP="00933CE2">
            <w:pPr>
              <w:rPr>
                <w:rFonts w:ascii="Arial" w:hAnsi="Arial" w:cs="Arial"/>
                <w:sz w:val="18"/>
                <w:szCs w:val="18"/>
                <w:lang w:val="en-AU" w:eastAsia="en-AU"/>
              </w:rPr>
            </w:pPr>
            <w:r w:rsidRPr="00565002">
              <w:rPr>
                <w:rFonts w:ascii="Arial" w:hAnsi="Arial" w:cs="Arial"/>
                <w:sz w:val="18"/>
                <w:szCs w:val="18"/>
                <w:lang w:val="en-AU" w:eastAsia="en-AU"/>
              </w:rPr>
              <w:t xml:space="preserve">Transfer duty </w:t>
            </w:r>
          </w:p>
        </w:tc>
        <w:tc>
          <w:tcPr>
            <w:tcW w:w="1257" w:type="dxa"/>
            <w:tcBorders>
              <w:top w:val="nil"/>
              <w:left w:val="nil"/>
              <w:bottom w:val="nil"/>
              <w:right w:val="nil"/>
            </w:tcBorders>
            <w:shd w:val="clear" w:color="auto" w:fill="auto"/>
            <w:vAlign w:val="center"/>
            <w:hideMark/>
          </w:tcPr>
          <w:p w14:paraId="16744CD8" w14:textId="35A4A434"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47</w:t>
            </w:r>
            <w:r w:rsidR="0041667E" w:rsidRPr="00565002">
              <w:rPr>
                <w:rFonts w:ascii="Arial" w:hAnsi="Arial" w:cs="Arial"/>
                <w:sz w:val="18"/>
                <w:szCs w:val="18"/>
                <w:lang w:val="en-AU" w:eastAsia="en-AU"/>
              </w:rPr>
              <w:t>7</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06B4BEA8" w14:textId="088D1139"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51</w:t>
            </w:r>
            <w:r w:rsidR="0041667E" w:rsidRPr="00565002">
              <w:rPr>
                <w:rFonts w:ascii="Arial" w:hAnsi="Arial" w:cs="Arial"/>
                <w:sz w:val="18"/>
                <w:szCs w:val="18"/>
                <w:lang w:val="en-AU" w:eastAsia="en-AU"/>
              </w:rPr>
              <w:t>6</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5F02F1BF" w14:textId="493D22B1"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545</w:t>
            </w:r>
            <w:r>
              <w:rPr>
                <w:rFonts w:ascii="Arial" w:hAnsi="Arial" w:cs="Arial"/>
                <w:sz w:val="18"/>
                <w:szCs w:val="18"/>
                <w:lang w:val="en-AU" w:eastAsia="en-AU"/>
              </w:rPr>
              <w:t>)</w:t>
            </w:r>
          </w:p>
        </w:tc>
        <w:tc>
          <w:tcPr>
            <w:tcW w:w="1257" w:type="dxa"/>
            <w:tcBorders>
              <w:top w:val="nil"/>
              <w:left w:val="nil"/>
              <w:bottom w:val="nil"/>
              <w:right w:val="nil"/>
            </w:tcBorders>
            <w:shd w:val="clear" w:color="auto" w:fill="auto"/>
            <w:vAlign w:val="center"/>
            <w:hideMark/>
          </w:tcPr>
          <w:p w14:paraId="0F010781" w14:textId="699B3298"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561</w:t>
            </w:r>
            <w:r w:rsidR="00E97C8D">
              <w:rPr>
                <w:rFonts w:ascii="Arial" w:hAnsi="Arial" w:cs="Arial"/>
                <w:sz w:val="18"/>
                <w:szCs w:val="18"/>
                <w:lang w:val="en-AU" w:eastAsia="en-AU"/>
              </w:rPr>
              <w:t>)</w:t>
            </w:r>
          </w:p>
        </w:tc>
      </w:tr>
      <w:tr w:rsidR="00565002" w:rsidRPr="00565002" w14:paraId="3A8ECBF3" w14:textId="77777777" w:rsidTr="002C6C5D">
        <w:trPr>
          <w:trHeight w:val="255"/>
        </w:trPr>
        <w:tc>
          <w:tcPr>
            <w:tcW w:w="4242" w:type="dxa"/>
            <w:tcBorders>
              <w:top w:val="nil"/>
              <w:left w:val="nil"/>
              <w:bottom w:val="nil"/>
              <w:right w:val="nil"/>
            </w:tcBorders>
            <w:shd w:val="clear" w:color="auto" w:fill="auto"/>
            <w:vAlign w:val="center"/>
            <w:hideMark/>
          </w:tcPr>
          <w:p w14:paraId="792E4A8D" w14:textId="77777777" w:rsidR="00933CE2" w:rsidRPr="00565002" w:rsidRDefault="00933CE2" w:rsidP="00933CE2">
            <w:pPr>
              <w:rPr>
                <w:rFonts w:ascii="Arial" w:hAnsi="Arial" w:cs="Arial"/>
                <w:sz w:val="18"/>
                <w:szCs w:val="18"/>
                <w:lang w:val="en-AU" w:eastAsia="en-AU"/>
              </w:rPr>
            </w:pPr>
            <w:r w:rsidRPr="00565002">
              <w:rPr>
                <w:rFonts w:ascii="Arial" w:hAnsi="Arial" w:cs="Arial"/>
                <w:sz w:val="18"/>
                <w:szCs w:val="18"/>
                <w:lang w:val="en-AU" w:eastAsia="en-AU"/>
              </w:rPr>
              <w:t xml:space="preserve">Coal royalties </w:t>
            </w:r>
          </w:p>
        </w:tc>
        <w:tc>
          <w:tcPr>
            <w:tcW w:w="1257" w:type="dxa"/>
            <w:tcBorders>
              <w:top w:val="nil"/>
              <w:left w:val="nil"/>
              <w:bottom w:val="nil"/>
              <w:right w:val="nil"/>
            </w:tcBorders>
            <w:shd w:val="clear" w:color="000000" w:fill="FFFFFF"/>
            <w:vAlign w:val="center"/>
            <w:hideMark/>
          </w:tcPr>
          <w:p w14:paraId="7FEEFE2D" w14:textId="5BBEFADE" w:rsidR="00933CE2" w:rsidRPr="00565002" w:rsidRDefault="00933CE2" w:rsidP="0006007C">
            <w:pPr>
              <w:ind w:left="-376" w:right="294"/>
              <w:jc w:val="right"/>
              <w:rPr>
                <w:rFonts w:ascii="Arial" w:hAnsi="Arial" w:cs="Arial"/>
                <w:sz w:val="18"/>
                <w:szCs w:val="18"/>
                <w:lang w:val="en-AU" w:eastAsia="en-AU"/>
              </w:rPr>
            </w:pPr>
            <w:r w:rsidRPr="00565002">
              <w:rPr>
                <w:rFonts w:ascii="Arial" w:hAnsi="Arial" w:cs="Arial"/>
                <w:sz w:val="18"/>
                <w:szCs w:val="18"/>
                <w:lang w:val="en-AU" w:eastAsia="en-AU"/>
              </w:rPr>
              <w:t>4</w:t>
            </w:r>
            <w:r w:rsidR="0041667E" w:rsidRPr="00565002">
              <w:rPr>
                <w:rFonts w:ascii="Arial" w:hAnsi="Arial" w:cs="Arial"/>
                <w:sz w:val="18"/>
                <w:szCs w:val="18"/>
                <w:lang w:val="en-AU" w:eastAsia="en-AU"/>
              </w:rPr>
              <w:t>1</w:t>
            </w:r>
          </w:p>
        </w:tc>
        <w:tc>
          <w:tcPr>
            <w:tcW w:w="1257" w:type="dxa"/>
            <w:tcBorders>
              <w:top w:val="nil"/>
              <w:left w:val="nil"/>
              <w:bottom w:val="nil"/>
              <w:right w:val="nil"/>
            </w:tcBorders>
            <w:shd w:val="clear" w:color="000000" w:fill="FFFFFF"/>
            <w:vAlign w:val="center"/>
            <w:hideMark/>
          </w:tcPr>
          <w:p w14:paraId="0E9A0767" w14:textId="48AAF8BB" w:rsidR="00933CE2" w:rsidRPr="00565002" w:rsidRDefault="00933CE2" w:rsidP="0006007C">
            <w:pPr>
              <w:ind w:left="-376" w:right="294"/>
              <w:jc w:val="right"/>
              <w:rPr>
                <w:rFonts w:ascii="Arial" w:hAnsi="Arial" w:cs="Arial"/>
                <w:sz w:val="18"/>
                <w:szCs w:val="18"/>
                <w:lang w:val="en-AU" w:eastAsia="en-AU"/>
              </w:rPr>
            </w:pPr>
            <w:r w:rsidRPr="00565002">
              <w:rPr>
                <w:rFonts w:ascii="Arial" w:hAnsi="Arial" w:cs="Arial"/>
                <w:sz w:val="18"/>
                <w:szCs w:val="18"/>
                <w:lang w:val="en-AU" w:eastAsia="en-AU"/>
              </w:rPr>
              <w:t>33</w:t>
            </w:r>
          </w:p>
        </w:tc>
        <w:tc>
          <w:tcPr>
            <w:tcW w:w="1257" w:type="dxa"/>
            <w:tcBorders>
              <w:top w:val="nil"/>
              <w:left w:val="nil"/>
              <w:bottom w:val="nil"/>
              <w:right w:val="nil"/>
            </w:tcBorders>
            <w:shd w:val="clear" w:color="000000" w:fill="FFFFFF"/>
            <w:vAlign w:val="center"/>
            <w:hideMark/>
          </w:tcPr>
          <w:p w14:paraId="461AA20E" w14:textId="6214EEDB" w:rsidR="00933CE2" w:rsidRPr="00565002" w:rsidRDefault="00933CE2" w:rsidP="0006007C">
            <w:pPr>
              <w:ind w:left="-376" w:right="294"/>
              <w:jc w:val="right"/>
              <w:rPr>
                <w:rFonts w:ascii="Arial" w:hAnsi="Arial" w:cs="Arial"/>
                <w:sz w:val="18"/>
                <w:szCs w:val="18"/>
                <w:lang w:val="en-AU" w:eastAsia="en-AU"/>
              </w:rPr>
            </w:pPr>
            <w:r w:rsidRPr="00565002">
              <w:rPr>
                <w:rFonts w:ascii="Arial" w:hAnsi="Arial" w:cs="Arial"/>
                <w:sz w:val="18"/>
                <w:szCs w:val="18"/>
                <w:lang w:val="en-AU" w:eastAsia="en-AU"/>
              </w:rPr>
              <w:t>32</w:t>
            </w:r>
          </w:p>
        </w:tc>
        <w:tc>
          <w:tcPr>
            <w:tcW w:w="1257" w:type="dxa"/>
            <w:tcBorders>
              <w:top w:val="nil"/>
              <w:left w:val="nil"/>
              <w:bottom w:val="nil"/>
              <w:right w:val="nil"/>
            </w:tcBorders>
            <w:shd w:val="clear" w:color="000000" w:fill="FFFFFF"/>
            <w:vAlign w:val="center"/>
            <w:hideMark/>
          </w:tcPr>
          <w:p w14:paraId="06C7D04D" w14:textId="295C108A" w:rsidR="00933CE2" w:rsidRPr="00565002" w:rsidRDefault="00050DCB" w:rsidP="0006007C">
            <w:pPr>
              <w:ind w:left="-376" w:right="294"/>
              <w:jc w:val="right"/>
              <w:rPr>
                <w:rFonts w:ascii="Arial" w:hAnsi="Arial" w:cs="Arial"/>
                <w:sz w:val="18"/>
                <w:szCs w:val="18"/>
                <w:lang w:val="en-AU" w:eastAsia="en-AU"/>
              </w:rPr>
            </w:pPr>
            <w:r w:rsidRPr="00565002">
              <w:rPr>
                <w:rFonts w:ascii="Arial" w:hAnsi="Arial" w:cs="Arial"/>
                <w:sz w:val="18"/>
                <w:szCs w:val="18"/>
                <w:lang w:val="en-AU" w:eastAsia="en-AU"/>
              </w:rPr>
              <w:t>3</w:t>
            </w:r>
            <w:r w:rsidR="0026355C">
              <w:rPr>
                <w:rFonts w:ascii="Arial" w:hAnsi="Arial" w:cs="Arial"/>
                <w:sz w:val="18"/>
                <w:szCs w:val="18"/>
                <w:lang w:val="en-AU" w:eastAsia="en-AU"/>
              </w:rPr>
              <w:t>0</w:t>
            </w:r>
          </w:p>
        </w:tc>
      </w:tr>
      <w:tr w:rsidR="00565002" w:rsidRPr="00565002" w14:paraId="2DD29C64" w14:textId="77777777" w:rsidTr="002C6C5D">
        <w:trPr>
          <w:trHeight w:val="255"/>
        </w:trPr>
        <w:tc>
          <w:tcPr>
            <w:tcW w:w="4242" w:type="dxa"/>
            <w:tcBorders>
              <w:top w:val="nil"/>
              <w:left w:val="nil"/>
              <w:bottom w:val="nil"/>
              <w:right w:val="nil"/>
            </w:tcBorders>
            <w:shd w:val="clear" w:color="auto" w:fill="auto"/>
            <w:vAlign w:val="center"/>
            <w:hideMark/>
          </w:tcPr>
          <w:p w14:paraId="1333090A" w14:textId="2F8D84B8" w:rsidR="00933CE2" w:rsidRPr="00565002" w:rsidRDefault="00933CE2" w:rsidP="00933CE2">
            <w:pPr>
              <w:rPr>
                <w:rFonts w:ascii="Arial" w:hAnsi="Arial" w:cs="Arial"/>
                <w:sz w:val="18"/>
                <w:szCs w:val="18"/>
                <w:lang w:val="en-AU" w:eastAsia="en-AU"/>
              </w:rPr>
            </w:pPr>
            <w:r w:rsidRPr="00565002">
              <w:rPr>
                <w:rFonts w:ascii="Arial" w:hAnsi="Arial" w:cs="Arial"/>
                <w:sz w:val="18"/>
                <w:szCs w:val="18"/>
                <w:lang w:val="en-AU" w:eastAsia="en-AU"/>
              </w:rPr>
              <w:t>Other tax revenue</w:t>
            </w:r>
          </w:p>
        </w:tc>
        <w:tc>
          <w:tcPr>
            <w:tcW w:w="1257" w:type="dxa"/>
            <w:tcBorders>
              <w:top w:val="nil"/>
              <w:left w:val="nil"/>
              <w:bottom w:val="nil"/>
              <w:right w:val="nil"/>
            </w:tcBorders>
            <w:shd w:val="clear" w:color="000000" w:fill="FFFFFF"/>
            <w:vAlign w:val="center"/>
            <w:hideMark/>
          </w:tcPr>
          <w:p w14:paraId="27EE7D5B" w14:textId="6EFB3171"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80</w:t>
            </w:r>
            <w:r>
              <w:rPr>
                <w:rFonts w:ascii="Arial" w:hAnsi="Arial" w:cs="Arial"/>
                <w:sz w:val="18"/>
                <w:szCs w:val="18"/>
                <w:lang w:val="en-AU" w:eastAsia="en-AU"/>
              </w:rPr>
              <w:t>)</w:t>
            </w:r>
          </w:p>
        </w:tc>
        <w:tc>
          <w:tcPr>
            <w:tcW w:w="1257" w:type="dxa"/>
            <w:tcBorders>
              <w:top w:val="nil"/>
              <w:left w:val="nil"/>
              <w:bottom w:val="nil"/>
              <w:right w:val="nil"/>
            </w:tcBorders>
            <w:shd w:val="clear" w:color="000000" w:fill="FFFFFF"/>
            <w:vAlign w:val="center"/>
            <w:hideMark/>
          </w:tcPr>
          <w:p w14:paraId="034BD2CC" w14:textId="43720741"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73</w:t>
            </w:r>
            <w:r>
              <w:rPr>
                <w:rFonts w:ascii="Arial" w:hAnsi="Arial" w:cs="Arial"/>
                <w:sz w:val="18"/>
                <w:szCs w:val="18"/>
                <w:lang w:val="en-AU" w:eastAsia="en-AU"/>
              </w:rPr>
              <w:t>)</w:t>
            </w:r>
          </w:p>
        </w:tc>
        <w:tc>
          <w:tcPr>
            <w:tcW w:w="1257" w:type="dxa"/>
            <w:tcBorders>
              <w:top w:val="nil"/>
              <w:left w:val="nil"/>
              <w:bottom w:val="nil"/>
              <w:right w:val="nil"/>
            </w:tcBorders>
            <w:shd w:val="clear" w:color="000000" w:fill="FFFFFF"/>
            <w:vAlign w:val="center"/>
            <w:hideMark/>
          </w:tcPr>
          <w:p w14:paraId="0EE27B35" w14:textId="0BF4CBDA"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9</w:t>
            </w:r>
            <w:r w:rsidR="00050DCB" w:rsidRPr="00565002">
              <w:rPr>
                <w:rFonts w:ascii="Arial" w:hAnsi="Arial" w:cs="Arial"/>
                <w:sz w:val="18"/>
                <w:szCs w:val="18"/>
                <w:lang w:val="en-AU" w:eastAsia="en-AU"/>
              </w:rPr>
              <w:t>1</w:t>
            </w:r>
            <w:r>
              <w:rPr>
                <w:rFonts w:ascii="Arial" w:hAnsi="Arial" w:cs="Arial"/>
                <w:sz w:val="18"/>
                <w:szCs w:val="18"/>
                <w:lang w:val="en-AU" w:eastAsia="en-AU"/>
              </w:rPr>
              <w:t>)</w:t>
            </w:r>
          </w:p>
        </w:tc>
        <w:tc>
          <w:tcPr>
            <w:tcW w:w="1257" w:type="dxa"/>
            <w:tcBorders>
              <w:top w:val="nil"/>
              <w:left w:val="nil"/>
              <w:bottom w:val="nil"/>
              <w:right w:val="nil"/>
            </w:tcBorders>
            <w:shd w:val="clear" w:color="000000" w:fill="FFFFFF"/>
            <w:vAlign w:val="center"/>
            <w:hideMark/>
          </w:tcPr>
          <w:p w14:paraId="219D6258" w14:textId="3E9B5F13"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96</w:t>
            </w:r>
            <w:r w:rsidR="00E97C8D">
              <w:rPr>
                <w:rFonts w:ascii="Arial" w:hAnsi="Arial" w:cs="Arial"/>
                <w:sz w:val="18"/>
                <w:szCs w:val="18"/>
                <w:lang w:val="en-AU" w:eastAsia="en-AU"/>
              </w:rPr>
              <w:t>)</w:t>
            </w:r>
          </w:p>
        </w:tc>
      </w:tr>
      <w:tr w:rsidR="00565002" w:rsidRPr="00565002" w14:paraId="2E485210" w14:textId="77777777" w:rsidTr="00ED318E">
        <w:trPr>
          <w:trHeight w:val="255"/>
        </w:trPr>
        <w:tc>
          <w:tcPr>
            <w:tcW w:w="4242" w:type="dxa"/>
            <w:tcBorders>
              <w:top w:val="nil"/>
              <w:left w:val="nil"/>
              <w:bottom w:val="nil"/>
              <w:right w:val="nil"/>
            </w:tcBorders>
            <w:shd w:val="clear" w:color="auto" w:fill="auto"/>
            <w:vAlign w:val="center"/>
            <w:hideMark/>
          </w:tcPr>
          <w:p w14:paraId="03C67AAE" w14:textId="14CFDB09" w:rsidR="00933CE2" w:rsidRPr="00565002" w:rsidRDefault="00933CE2" w:rsidP="00933CE2">
            <w:pPr>
              <w:rPr>
                <w:rFonts w:ascii="Arial" w:hAnsi="Arial" w:cs="Arial"/>
                <w:sz w:val="18"/>
                <w:szCs w:val="18"/>
                <w:lang w:val="en-AU" w:eastAsia="en-AU"/>
              </w:rPr>
            </w:pPr>
            <w:r w:rsidRPr="00565002">
              <w:rPr>
                <w:rFonts w:ascii="Arial" w:hAnsi="Arial" w:cs="Arial"/>
                <w:sz w:val="18"/>
                <w:szCs w:val="18"/>
                <w:lang w:val="en-AU" w:eastAsia="en-AU"/>
              </w:rPr>
              <w:t xml:space="preserve">GST </w:t>
            </w:r>
            <w:r w:rsidR="00106592" w:rsidRPr="00565002">
              <w:rPr>
                <w:rFonts w:ascii="Arial" w:hAnsi="Arial" w:cs="Arial"/>
                <w:sz w:val="18"/>
                <w:szCs w:val="18"/>
                <w:lang w:val="en-AU" w:eastAsia="en-AU"/>
              </w:rPr>
              <w:t>revenue</w:t>
            </w:r>
            <w:r w:rsidRPr="00565002">
              <w:rPr>
                <w:rFonts w:ascii="Arial" w:hAnsi="Arial" w:cs="Arial"/>
                <w:sz w:val="18"/>
                <w:szCs w:val="18"/>
                <w:lang w:val="en-AU" w:eastAsia="en-AU"/>
              </w:rPr>
              <w:t xml:space="preserve"> </w:t>
            </w:r>
          </w:p>
        </w:tc>
        <w:tc>
          <w:tcPr>
            <w:tcW w:w="1257" w:type="dxa"/>
            <w:tcBorders>
              <w:top w:val="nil"/>
              <w:left w:val="nil"/>
              <w:bottom w:val="nil"/>
              <w:right w:val="nil"/>
            </w:tcBorders>
            <w:shd w:val="clear" w:color="000000" w:fill="FFFFFF"/>
            <w:vAlign w:val="center"/>
            <w:hideMark/>
          </w:tcPr>
          <w:p w14:paraId="705D0A39" w14:textId="363A2070"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345</w:t>
            </w:r>
            <w:r>
              <w:rPr>
                <w:rFonts w:ascii="Arial" w:hAnsi="Arial" w:cs="Arial"/>
                <w:sz w:val="18"/>
                <w:szCs w:val="18"/>
                <w:lang w:val="en-AU" w:eastAsia="en-AU"/>
              </w:rPr>
              <w:t>)</w:t>
            </w:r>
          </w:p>
        </w:tc>
        <w:tc>
          <w:tcPr>
            <w:tcW w:w="1257" w:type="dxa"/>
            <w:tcBorders>
              <w:top w:val="nil"/>
              <w:left w:val="nil"/>
              <w:bottom w:val="nil"/>
              <w:right w:val="nil"/>
            </w:tcBorders>
            <w:shd w:val="clear" w:color="000000" w:fill="FFFFFF"/>
            <w:vAlign w:val="center"/>
            <w:hideMark/>
          </w:tcPr>
          <w:p w14:paraId="3C5E2292" w14:textId="2A60177E"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36</w:t>
            </w:r>
            <w:r w:rsidR="00050DCB" w:rsidRPr="00565002">
              <w:rPr>
                <w:rFonts w:ascii="Arial" w:hAnsi="Arial" w:cs="Arial"/>
                <w:sz w:val="18"/>
                <w:szCs w:val="18"/>
                <w:lang w:val="en-AU" w:eastAsia="en-AU"/>
              </w:rPr>
              <w:t>4</w:t>
            </w:r>
            <w:r>
              <w:rPr>
                <w:rFonts w:ascii="Arial" w:hAnsi="Arial" w:cs="Arial"/>
                <w:sz w:val="18"/>
                <w:szCs w:val="18"/>
                <w:lang w:val="en-AU" w:eastAsia="en-AU"/>
              </w:rPr>
              <w:t>)</w:t>
            </w:r>
          </w:p>
        </w:tc>
        <w:tc>
          <w:tcPr>
            <w:tcW w:w="1257" w:type="dxa"/>
            <w:tcBorders>
              <w:top w:val="nil"/>
              <w:left w:val="nil"/>
              <w:bottom w:val="nil"/>
              <w:right w:val="nil"/>
            </w:tcBorders>
            <w:shd w:val="clear" w:color="000000" w:fill="FFFFFF"/>
            <w:vAlign w:val="center"/>
            <w:hideMark/>
          </w:tcPr>
          <w:p w14:paraId="02610A3E" w14:textId="507DFA36"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382</w:t>
            </w:r>
            <w:r>
              <w:rPr>
                <w:rFonts w:ascii="Arial" w:hAnsi="Arial" w:cs="Arial"/>
                <w:sz w:val="18"/>
                <w:szCs w:val="18"/>
                <w:lang w:val="en-AU" w:eastAsia="en-AU"/>
              </w:rPr>
              <w:t>)</w:t>
            </w:r>
          </w:p>
        </w:tc>
        <w:tc>
          <w:tcPr>
            <w:tcW w:w="1257" w:type="dxa"/>
            <w:tcBorders>
              <w:top w:val="nil"/>
              <w:left w:val="nil"/>
              <w:bottom w:val="nil"/>
              <w:right w:val="nil"/>
            </w:tcBorders>
            <w:shd w:val="clear" w:color="000000" w:fill="FFFFFF"/>
            <w:vAlign w:val="center"/>
            <w:hideMark/>
          </w:tcPr>
          <w:p w14:paraId="5FD29FC6" w14:textId="52205CF7" w:rsidR="00933CE2"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933CE2" w:rsidRPr="00565002">
              <w:rPr>
                <w:rFonts w:ascii="Arial" w:hAnsi="Arial" w:cs="Arial"/>
                <w:sz w:val="18"/>
                <w:szCs w:val="18"/>
                <w:lang w:val="en-AU" w:eastAsia="en-AU"/>
              </w:rPr>
              <w:t>40</w:t>
            </w:r>
            <w:r w:rsidR="00050DCB" w:rsidRPr="00565002">
              <w:rPr>
                <w:rFonts w:ascii="Arial" w:hAnsi="Arial" w:cs="Arial"/>
                <w:sz w:val="18"/>
                <w:szCs w:val="18"/>
                <w:lang w:val="en-AU" w:eastAsia="en-AU"/>
              </w:rPr>
              <w:t>3</w:t>
            </w:r>
            <w:r w:rsidR="00E97C8D">
              <w:rPr>
                <w:rFonts w:ascii="Arial" w:hAnsi="Arial" w:cs="Arial"/>
                <w:sz w:val="18"/>
                <w:szCs w:val="18"/>
                <w:lang w:val="en-AU" w:eastAsia="en-AU"/>
              </w:rPr>
              <w:t>)</w:t>
            </w:r>
          </w:p>
        </w:tc>
      </w:tr>
      <w:tr w:rsidR="00565002" w:rsidRPr="00565002" w14:paraId="72194915" w14:textId="77777777" w:rsidTr="002C6C5D">
        <w:trPr>
          <w:trHeight w:val="255"/>
        </w:trPr>
        <w:tc>
          <w:tcPr>
            <w:tcW w:w="4242" w:type="dxa"/>
            <w:tcBorders>
              <w:top w:val="nil"/>
              <w:left w:val="nil"/>
              <w:bottom w:val="single" w:sz="4" w:space="0" w:color="auto"/>
              <w:right w:val="nil"/>
            </w:tcBorders>
            <w:shd w:val="clear" w:color="auto" w:fill="auto"/>
            <w:vAlign w:val="center"/>
          </w:tcPr>
          <w:p w14:paraId="41716739" w14:textId="41F3D356" w:rsidR="00385E7D" w:rsidRPr="00565002" w:rsidRDefault="00385E7D" w:rsidP="00933CE2">
            <w:pPr>
              <w:rPr>
                <w:rFonts w:ascii="Arial" w:hAnsi="Arial" w:cs="Arial"/>
                <w:sz w:val="18"/>
                <w:szCs w:val="18"/>
                <w:lang w:val="en-AU" w:eastAsia="en-AU"/>
              </w:rPr>
            </w:pPr>
            <w:r w:rsidRPr="00565002">
              <w:rPr>
                <w:rFonts w:ascii="Arial" w:hAnsi="Arial" w:cs="Arial"/>
                <w:sz w:val="18"/>
                <w:szCs w:val="18"/>
                <w:lang w:val="en-AU" w:eastAsia="en-AU"/>
              </w:rPr>
              <w:t>Total revenue</w:t>
            </w:r>
          </w:p>
        </w:tc>
        <w:tc>
          <w:tcPr>
            <w:tcW w:w="1257" w:type="dxa"/>
            <w:tcBorders>
              <w:top w:val="nil"/>
              <w:left w:val="nil"/>
              <w:bottom w:val="single" w:sz="4" w:space="0" w:color="auto"/>
              <w:right w:val="nil"/>
            </w:tcBorders>
            <w:shd w:val="clear" w:color="000000" w:fill="FFFFFF"/>
            <w:vAlign w:val="center"/>
          </w:tcPr>
          <w:p w14:paraId="3691D4A4" w14:textId="3AC43746" w:rsidR="00385E7D"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1633DB" w:rsidRPr="00565002">
              <w:rPr>
                <w:rFonts w:ascii="Arial" w:hAnsi="Arial" w:cs="Arial"/>
                <w:sz w:val="18"/>
                <w:szCs w:val="18"/>
                <w:lang w:val="en-AU" w:eastAsia="en-AU"/>
              </w:rPr>
              <w:t>1,001</w:t>
            </w:r>
            <w:r>
              <w:rPr>
                <w:rFonts w:ascii="Arial" w:hAnsi="Arial" w:cs="Arial"/>
                <w:sz w:val="18"/>
                <w:szCs w:val="18"/>
                <w:lang w:val="en-AU" w:eastAsia="en-AU"/>
              </w:rPr>
              <w:t>)</w:t>
            </w:r>
          </w:p>
        </w:tc>
        <w:tc>
          <w:tcPr>
            <w:tcW w:w="1257" w:type="dxa"/>
            <w:tcBorders>
              <w:top w:val="nil"/>
              <w:left w:val="nil"/>
              <w:bottom w:val="single" w:sz="4" w:space="0" w:color="auto"/>
              <w:right w:val="nil"/>
            </w:tcBorders>
            <w:shd w:val="clear" w:color="000000" w:fill="FFFFFF"/>
            <w:vAlign w:val="center"/>
          </w:tcPr>
          <w:p w14:paraId="139776BD" w14:textId="2BEFD235" w:rsidR="00385E7D"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1633DB" w:rsidRPr="00565002">
              <w:rPr>
                <w:rFonts w:ascii="Arial" w:hAnsi="Arial" w:cs="Arial"/>
                <w:sz w:val="18"/>
                <w:szCs w:val="18"/>
                <w:lang w:val="en-AU" w:eastAsia="en-AU"/>
              </w:rPr>
              <w:t>1,151</w:t>
            </w:r>
            <w:r>
              <w:rPr>
                <w:rFonts w:ascii="Arial" w:hAnsi="Arial" w:cs="Arial"/>
                <w:sz w:val="18"/>
                <w:szCs w:val="18"/>
                <w:lang w:val="en-AU" w:eastAsia="en-AU"/>
              </w:rPr>
              <w:t>)</w:t>
            </w:r>
          </w:p>
        </w:tc>
        <w:tc>
          <w:tcPr>
            <w:tcW w:w="1257" w:type="dxa"/>
            <w:tcBorders>
              <w:top w:val="nil"/>
              <w:left w:val="nil"/>
              <w:bottom w:val="single" w:sz="4" w:space="0" w:color="auto"/>
              <w:right w:val="nil"/>
            </w:tcBorders>
            <w:shd w:val="clear" w:color="000000" w:fill="FFFFFF"/>
            <w:vAlign w:val="center"/>
          </w:tcPr>
          <w:p w14:paraId="34B2FE5D" w14:textId="69E9FC39" w:rsidR="00385E7D"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1633DB" w:rsidRPr="00565002">
              <w:rPr>
                <w:rFonts w:ascii="Arial" w:hAnsi="Arial" w:cs="Arial"/>
                <w:sz w:val="18"/>
                <w:szCs w:val="18"/>
                <w:lang w:val="en-AU" w:eastAsia="en-AU"/>
              </w:rPr>
              <w:t>1,285</w:t>
            </w:r>
            <w:r>
              <w:rPr>
                <w:rFonts w:ascii="Arial" w:hAnsi="Arial" w:cs="Arial"/>
                <w:sz w:val="18"/>
                <w:szCs w:val="18"/>
                <w:lang w:val="en-AU" w:eastAsia="en-AU"/>
              </w:rPr>
              <w:t>)</w:t>
            </w:r>
          </w:p>
        </w:tc>
        <w:tc>
          <w:tcPr>
            <w:tcW w:w="1257" w:type="dxa"/>
            <w:tcBorders>
              <w:top w:val="nil"/>
              <w:left w:val="nil"/>
              <w:bottom w:val="single" w:sz="4" w:space="0" w:color="auto"/>
              <w:right w:val="nil"/>
            </w:tcBorders>
            <w:shd w:val="clear" w:color="000000" w:fill="FFFFFF"/>
            <w:vAlign w:val="center"/>
          </w:tcPr>
          <w:p w14:paraId="51D4F71F" w14:textId="11DFCF4C" w:rsidR="00385E7D" w:rsidRPr="00565002" w:rsidRDefault="00335465" w:rsidP="0006007C">
            <w:pPr>
              <w:ind w:left="-376" w:right="294"/>
              <w:jc w:val="right"/>
              <w:rPr>
                <w:rFonts w:ascii="Arial" w:hAnsi="Arial" w:cs="Arial"/>
                <w:sz w:val="18"/>
                <w:szCs w:val="18"/>
                <w:lang w:val="en-AU" w:eastAsia="en-AU"/>
              </w:rPr>
            </w:pPr>
            <w:r>
              <w:rPr>
                <w:rFonts w:ascii="Arial" w:hAnsi="Arial" w:cs="Arial"/>
                <w:sz w:val="18"/>
                <w:szCs w:val="18"/>
                <w:lang w:val="en-AU" w:eastAsia="en-AU"/>
              </w:rPr>
              <w:t>(</w:t>
            </w:r>
            <w:r w:rsidR="001633DB" w:rsidRPr="00565002">
              <w:rPr>
                <w:rFonts w:ascii="Arial" w:hAnsi="Arial" w:cs="Arial"/>
                <w:sz w:val="18"/>
                <w:szCs w:val="18"/>
                <w:lang w:val="en-AU" w:eastAsia="en-AU"/>
              </w:rPr>
              <w:t>1,370</w:t>
            </w:r>
            <w:r w:rsidR="00E97C8D">
              <w:rPr>
                <w:rFonts w:ascii="Arial" w:hAnsi="Arial" w:cs="Arial"/>
                <w:sz w:val="18"/>
                <w:szCs w:val="18"/>
                <w:lang w:val="en-AU" w:eastAsia="en-AU"/>
              </w:rPr>
              <w:t>)</w:t>
            </w:r>
          </w:p>
        </w:tc>
      </w:tr>
    </w:tbl>
    <w:p w14:paraId="0AA15006" w14:textId="77777777" w:rsidR="00135CA7" w:rsidRPr="00135CA7" w:rsidRDefault="00135CA7" w:rsidP="00135CA7">
      <w:pPr>
        <w:ind w:left="357" w:hanging="357"/>
        <w:rPr>
          <w:rFonts w:ascii="Arial" w:hAnsi="Arial" w:cs="Arial"/>
          <w:sz w:val="6"/>
          <w:szCs w:val="6"/>
        </w:rPr>
      </w:pPr>
    </w:p>
    <w:p w14:paraId="14FB9C0D" w14:textId="0DAF4669" w:rsidR="00154321" w:rsidRPr="00571AD8" w:rsidRDefault="00154321" w:rsidP="00571AD8">
      <w:pPr>
        <w:pStyle w:val="ListParagraph"/>
        <w:numPr>
          <w:ilvl w:val="0"/>
          <w:numId w:val="34"/>
        </w:numPr>
        <w:ind w:left="357" w:hanging="357"/>
        <w:rPr>
          <w:rFonts w:ascii="Arial" w:hAnsi="Arial" w:cs="Arial"/>
          <w:sz w:val="17"/>
          <w:szCs w:val="17"/>
        </w:rPr>
      </w:pPr>
      <w:r w:rsidRPr="00571AD8">
        <w:rPr>
          <w:rFonts w:ascii="Arial" w:hAnsi="Arial" w:cs="Arial"/>
          <w:sz w:val="17"/>
          <w:szCs w:val="17"/>
        </w:rPr>
        <w:t xml:space="preserve"> Figures reported are the change in the level of each parameter relative to the baseline.</w:t>
      </w:r>
    </w:p>
    <w:p w14:paraId="00A8FCBD" w14:textId="20699451" w:rsidR="005F787D" w:rsidRPr="00135CA7" w:rsidRDefault="00154321" w:rsidP="0006007C">
      <w:pPr>
        <w:pStyle w:val="Chartx"/>
        <w:numPr>
          <w:ilvl w:val="0"/>
          <w:numId w:val="0"/>
        </w:numPr>
        <w:spacing w:before="80" w:after="0"/>
        <w:rPr>
          <w:color w:val="4F4F4F"/>
          <w:sz w:val="17"/>
          <w:szCs w:val="17"/>
        </w:rPr>
      </w:pPr>
      <w:r w:rsidRPr="00135CA7">
        <w:rPr>
          <w:color w:val="4F4F4F"/>
          <w:sz w:val="17"/>
          <w:szCs w:val="17"/>
        </w:rPr>
        <w:t xml:space="preserve">Source: </w:t>
      </w:r>
      <w:r w:rsidR="008F7F26" w:rsidRPr="00135CA7">
        <w:rPr>
          <w:color w:val="4F4F4F"/>
          <w:sz w:val="17"/>
          <w:szCs w:val="17"/>
        </w:rPr>
        <w:t>C</w:t>
      </w:r>
      <w:r w:rsidR="006F474D" w:rsidRPr="00135CA7">
        <w:rPr>
          <w:color w:val="4F4F4F"/>
          <w:sz w:val="17"/>
          <w:szCs w:val="17"/>
        </w:rPr>
        <w:t>o</w:t>
      </w:r>
      <w:r w:rsidR="008F7F26" w:rsidRPr="00135CA7">
        <w:rPr>
          <w:color w:val="4F4F4F"/>
          <w:sz w:val="17"/>
          <w:szCs w:val="17"/>
        </w:rPr>
        <w:t>PS</w:t>
      </w:r>
      <w:r w:rsidRPr="00135CA7">
        <w:rPr>
          <w:color w:val="4F4F4F"/>
          <w:sz w:val="17"/>
          <w:szCs w:val="17"/>
        </w:rPr>
        <w:t>, Victoria University and NSW Treasury</w:t>
      </w:r>
      <w:bookmarkStart w:id="2" w:name="_GoBack"/>
      <w:bookmarkEnd w:id="2"/>
    </w:p>
    <w:sectPr w:rsidR="005F787D" w:rsidRPr="00135CA7" w:rsidSect="003D1E4C">
      <w:headerReference w:type="even" r:id="rId16"/>
      <w:headerReference w:type="default" r:id="rId17"/>
      <w:footerReference w:type="even" r:id="rId18"/>
      <w:footerReference w:type="default" r:id="rId19"/>
      <w:headerReference w:type="first" r:id="rId20"/>
      <w:footerReference w:type="first" r:id="rId21"/>
      <w:pgSz w:w="11906" w:h="16838" w:code="9"/>
      <w:pgMar w:top="992" w:right="1134" w:bottom="567" w:left="1134"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C0E8C" w14:textId="77777777" w:rsidR="00F34EC5" w:rsidRDefault="00F34EC5" w:rsidP="0053757D">
      <w:r>
        <w:separator/>
      </w:r>
    </w:p>
  </w:endnote>
  <w:endnote w:type="continuationSeparator" w:id="0">
    <w:p w14:paraId="2AE74A57" w14:textId="77777777" w:rsidR="00F34EC5" w:rsidRDefault="00F34EC5" w:rsidP="0053757D">
      <w:r>
        <w:continuationSeparator/>
      </w:r>
    </w:p>
  </w:endnote>
  <w:endnote w:type="continuationNotice" w:id="1">
    <w:p w14:paraId="711F4758" w14:textId="77777777" w:rsidR="00F34EC5" w:rsidRDefault="00F34E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1002A87" w:usb1="00000000" w:usb2="00000000" w:usb3="00000000" w:csb0="000100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altName w:val="Arial"/>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ellGothic BT">
    <w:altName w:val="Arial Narrow"/>
    <w:charset w:val="00"/>
    <w:family w:val="swiss"/>
    <w:pitch w:val="variable"/>
    <w:sig w:usb0="00000087" w:usb1="00000000" w:usb2="00000000" w:usb3="00000000" w:csb0="0000001B" w:csb1="00000000"/>
  </w:font>
  <w:font w:name="Garamond">
    <w:panose1 w:val="020204040303010108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
    <w:altName w:val="Times New Roman"/>
    <w:panose1 w:val="00000000000000000000"/>
    <w:charset w:val="00"/>
    <w:family w:val="roman"/>
    <w:notTrueType/>
    <w:pitch w:val="default"/>
  </w:font>
  <w:font w:name="Gotham Narrow Light">
    <w:altName w:val="Taho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B19E4" w14:textId="5419066B" w:rsidR="00181A01" w:rsidRPr="00997636" w:rsidRDefault="00654C65" w:rsidP="002146B5">
    <w:pPr>
      <w:pStyle w:val="Footer"/>
      <w:tabs>
        <w:tab w:val="clear" w:pos="9072"/>
        <w:tab w:val="right" w:pos="9638"/>
      </w:tabs>
      <w:rPr>
        <w:rFonts w:ascii="Arial" w:hAnsi="Arial" w:cs="Arial"/>
        <w:szCs w:val="16"/>
      </w:rPr>
    </w:pPr>
    <w:r>
      <w:rPr>
        <w:rFonts w:ascii="Arial" w:hAnsi="Arial" w:cs="Arial"/>
        <w:szCs w:val="16"/>
      </w:rPr>
      <w:t>F</w:t>
    </w:r>
    <w:r w:rsidR="005F787D" w:rsidRPr="00C34942">
      <w:rPr>
        <w:rFonts w:ascii="Arial" w:hAnsi="Arial" w:cs="Arial"/>
        <w:szCs w:val="16"/>
      </w:rPr>
      <w:t xml:space="preserve"> - </w:t>
    </w:r>
    <w:r w:rsidR="005F787D" w:rsidRPr="00C34942">
      <w:rPr>
        <w:rFonts w:ascii="Arial" w:hAnsi="Arial" w:cs="Arial"/>
        <w:szCs w:val="16"/>
      </w:rPr>
      <w:fldChar w:fldCharType="begin"/>
    </w:r>
    <w:r w:rsidR="005F787D" w:rsidRPr="00C34942">
      <w:rPr>
        <w:rFonts w:ascii="Arial" w:hAnsi="Arial" w:cs="Arial"/>
        <w:szCs w:val="16"/>
      </w:rPr>
      <w:instrText xml:space="preserve"> PAGE  \* MERGEFORMAT </w:instrText>
    </w:r>
    <w:r w:rsidR="005F787D" w:rsidRPr="00C34942">
      <w:rPr>
        <w:rFonts w:ascii="Arial" w:hAnsi="Arial" w:cs="Arial"/>
        <w:szCs w:val="16"/>
      </w:rPr>
      <w:fldChar w:fldCharType="separate"/>
    </w:r>
    <w:r w:rsidR="005F787D">
      <w:rPr>
        <w:rFonts w:ascii="Arial" w:hAnsi="Arial" w:cs="Arial"/>
        <w:noProof/>
        <w:szCs w:val="16"/>
      </w:rPr>
      <w:t>2</w:t>
    </w:r>
    <w:r w:rsidR="005F787D" w:rsidRPr="00C34942">
      <w:rPr>
        <w:rFonts w:ascii="Arial" w:hAnsi="Arial" w:cs="Arial"/>
        <w:szCs w:val="16"/>
      </w:rPr>
      <w:fldChar w:fldCharType="end"/>
    </w:r>
    <w:r w:rsidR="005F787D" w:rsidRPr="00997636">
      <w:rPr>
        <w:rFonts w:ascii="Arial" w:hAnsi="Arial" w:cs="Arial"/>
      </w:rPr>
      <w:tab/>
    </w:r>
    <w:r w:rsidR="005F787D">
      <w:rPr>
        <w:rFonts w:ascii="Arial" w:hAnsi="Arial" w:cs="Arial"/>
        <w:szCs w:val="16"/>
      </w:rPr>
      <w:t xml:space="preserve">Budget Statement </w:t>
    </w:r>
    <w:r w:rsidR="00181A01" w:rsidRPr="00997636">
      <w:rPr>
        <w:rFonts w:ascii="Arial" w:hAnsi="Arial" w:cs="Arial"/>
        <w:szCs w:val="16"/>
      </w:rPr>
      <w:t>201</w:t>
    </w:r>
    <w:r w:rsidR="00997636" w:rsidRPr="00997636">
      <w:rPr>
        <w:rFonts w:ascii="Arial" w:hAnsi="Arial" w:cs="Arial"/>
        <w:szCs w:val="16"/>
      </w:rPr>
      <w:t>9-20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BAB93" w14:textId="459F0C83" w:rsidR="005176AE" w:rsidRDefault="005F787D" w:rsidP="005176AE">
    <w:pPr>
      <w:pStyle w:val="Footer"/>
      <w:tabs>
        <w:tab w:val="clear" w:pos="9072"/>
        <w:tab w:val="right" w:pos="9638"/>
      </w:tabs>
      <w:jc w:val="right"/>
      <w:rPr>
        <w:rFonts w:ascii="Arial" w:hAnsi="Arial" w:cs="Arial"/>
        <w:szCs w:val="16"/>
      </w:rPr>
    </w:pPr>
    <w:r>
      <w:rPr>
        <w:rFonts w:ascii="Arial" w:hAnsi="Arial" w:cs="Arial"/>
        <w:szCs w:val="16"/>
      </w:rPr>
      <w:t>Budget Statement 201</w:t>
    </w:r>
    <w:r w:rsidR="00B004D8">
      <w:rPr>
        <w:rFonts w:ascii="Arial" w:hAnsi="Arial" w:cs="Arial"/>
        <w:szCs w:val="16"/>
      </w:rPr>
      <w:t>9</w:t>
    </w:r>
    <w:r>
      <w:rPr>
        <w:rFonts w:ascii="Arial" w:hAnsi="Arial" w:cs="Arial"/>
        <w:szCs w:val="16"/>
      </w:rPr>
      <w:t>-</w:t>
    </w:r>
    <w:r w:rsidR="00B004D8">
      <w:rPr>
        <w:rFonts w:ascii="Arial" w:hAnsi="Arial" w:cs="Arial"/>
        <w:szCs w:val="16"/>
      </w:rPr>
      <w:t>20</w:t>
    </w:r>
    <w:r w:rsidR="00654C65">
      <w:rPr>
        <w:rFonts w:ascii="Arial" w:hAnsi="Arial" w:cs="Arial"/>
        <w:szCs w:val="16"/>
      </w:rPr>
      <w:tab/>
      <w:t>F</w:t>
    </w:r>
    <w:r w:rsidR="005176AE" w:rsidRPr="00C34942">
      <w:rPr>
        <w:rFonts w:ascii="Arial" w:hAnsi="Arial" w:cs="Arial"/>
        <w:szCs w:val="16"/>
      </w:rPr>
      <w:t xml:space="preserve"> - </w:t>
    </w:r>
    <w:r w:rsidR="005176AE" w:rsidRPr="00C34942">
      <w:rPr>
        <w:rFonts w:ascii="Arial" w:hAnsi="Arial" w:cs="Arial"/>
        <w:szCs w:val="16"/>
      </w:rPr>
      <w:fldChar w:fldCharType="begin"/>
    </w:r>
    <w:r w:rsidR="005176AE" w:rsidRPr="00C34942">
      <w:rPr>
        <w:rFonts w:ascii="Arial" w:hAnsi="Arial" w:cs="Arial"/>
        <w:szCs w:val="16"/>
      </w:rPr>
      <w:instrText xml:space="preserve"> PAGE  \* MERGEFORMAT </w:instrText>
    </w:r>
    <w:r w:rsidR="005176AE" w:rsidRPr="00C34942">
      <w:rPr>
        <w:rFonts w:ascii="Arial" w:hAnsi="Arial" w:cs="Arial"/>
        <w:szCs w:val="16"/>
      </w:rPr>
      <w:fldChar w:fldCharType="separate"/>
    </w:r>
    <w:r w:rsidR="005176AE">
      <w:rPr>
        <w:rFonts w:ascii="Arial" w:hAnsi="Arial" w:cs="Arial"/>
        <w:szCs w:val="16"/>
      </w:rPr>
      <w:t>3</w:t>
    </w:r>
    <w:r w:rsidR="005176AE" w:rsidRPr="00C34942">
      <w:rPr>
        <w:rFonts w:ascii="Arial" w:hAnsi="Arial" w:cs="Arial"/>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FC8CD" w14:textId="41576750" w:rsidR="00997636" w:rsidRDefault="005F787D" w:rsidP="00C34942">
    <w:pPr>
      <w:pStyle w:val="Footer"/>
      <w:tabs>
        <w:tab w:val="clear" w:pos="9072"/>
        <w:tab w:val="right" w:pos="9639"/>
      </w:tabs>
      <w:rPr>
        <w:rFonts w:ascii="Arial" w:hAnsi="Arial" w:cs="Arial"/>
        <w:szCs w:val="16"/>
      </w:rPr>
    </w:pPr>
    <w:r>
      <w:rPr>
        <w:rFonts w:ascii="Arial" w:hAnsi="Arial" w:cs="Arial"/>
        <w:szCs w:val="16"/>
      </w:rPr>
      <w:t>Budget Statement 2019-20</w:t>
    </w:r>
    <w:r w:rsidRPr="00C34942">
      <w:rPr>
        <w:rFonts w:ascii="Arial" w:hAnsi="Arial" w:cs="Arial"/>
        <w:szCs w:val="16"/>
      </w:rPr>
      <w:tab/>
    </w:r>
    <w:r w:rsidR="00654C65">
      <w:rPr>
        <w:rFonts w:ascii="Arial" w:hAnsi="Arial" w:cs="Arial"/>
        <w:szCs w:val="16"/>
      </w:rPr>
      <w:t>F</w:t>
    </w:r>
    <w:r w:rsidR="00BA41D7">
      <w:rPr>
        <w:rFonts w:ascii="Arial" w:hAnsi="Arial" w:cs="Arial"/>
        <w:szCs w:val="16"/>
      </w:rPr>
      <w:t xml:space="preserve"> - </w:t>
    </w:r>
    <w:r w:rsidR="00BA41D7" w:rsidRPr="00C34942">
      <w:rPr>
        <w:rFonts w:ascii="Arial" w:hAnsi="Arial" w:cs="Arial"/>
        <w:szCs w:val="16"/>
      </w:rPr>
      <w:fldChar w:fldCharType="begin"/>
    </w:r>
    <w:r w:rsidR="00BA41D7" w:rsidRPr="00C34942">
      <w:rPr>
        <w:rFonts w:ascii="Arial" w:hAnsi="Arial" w:cs="Arial"/>
        <w:szCs w:val="16"/>
      </w:rPr>
      <w:instrText xml:space="preserve"> PAGE  \* MERGEFORMAT </w:instrText>
    </w:r>
    <w:r w:rsidR="00BA41D7" w:rsidRPr="00C34942">
      <w:rPr>
        <w:rFonts w:ascii="Arial" w:hAnsi="Arial" w:cs="Arial"/>
        <w:szCs w:val="16"/>
      </w:rPr>
      <w:fldChar w:fldCharType="separate"/>
    </w:r>
    <w:r w:rsidR="00BA41D7">
      <w:rPr>
        <w:rFonts w:ascii="Arial" w:hAnsi="Arial" w:cs="Arial"/>
        <w:szCs w:val="16"/>
      </w:rPr>
      <w:t>1</w:t>
    </w:r>
    <w:r w:rsidR="00BA41D7" w:rsidRPr="00C34942">
      <w:rPr>
        <w:rFonts w:ascii="Arial" w:hAnsi="Arial" w:cs="Arial"/>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15A99" w14:textId="77777777" w:rsidR="00F34EC5" w:rsidRDefault="00F34EC5" w:rsidP="0053757D">
      <w:r>
        <w:separator/>
      </w:r>
    </w:p>
  </w:footnote>
  <w:footnote w:type="continuationSeparator" w:id="0">
    <w:p w14:paraId="5A4F30EF" w14:textId="77777777" w:rsidR="00F34EC5" w:rsidRDefault="00F34EC5" w:rsidP="0053757D">
      <w:r>
        <w:continuationSeparator/>
      </w:r>
    </w:p>
  </w:footnote>
  <w:footnote w:type="continuationNotice" w:id="1">
    <w:p w14:paraId="66338054" w14:textId="77777777" w:rsidR="00F34EC5" w:rsidRDefault="00F34EC5"/>
  </w:footnote>
  <w:footnote w:id="2">
    <w:p w14:paraId="7BAC82D5" w14:textId="09C4FF42" w:rsidR="00A22B4B" w:rsidRPr="00305DA2" w:rsidRDefault="00A22B4B" w:rsidP="00305DA2">
      <w:pPr>
        <w:pStyle w:val="FootnoteText"/>
        <w:ind w:hanging="283"/>
        <w:rPr>
          <w:rFonts w:ascii="Arial" w:hAnsi="Arial" w:cs="Arial"/>
          <w:i w:val="0"/>
          <w:sz w:val="17"/>
          <w:szCs w:val="17"/>
          <w:lang w:val="en-AU"/>
        </w:rPr>
      </w:pPr>
      <w:r w:rsidRPr="00305DA2">
        <w:rPr>
          <w:rStyle w:val="FootnoteReference"/>
          <w:rFonts w:ascii="Arial" w:hAnsi="Arial" w:cs="Arial"/>
          <w:i w:val="0"/>
          <w:sz w:val="17"/>
          <w:szCs w:val="17"/>
        </w:rPr>
        <w:footnoteRef/>
      </w:r>
      <w:r w:rsidRPr="00305DA2">
        <w:rPr>
          <w:rFonts w:ascii="Arial" w:hAnsi="Arial" w:cs="Arial"/>
          <w:i w:val="0"/>
          <w:sz w:val="17"/>
          <w:szCs w:val="17"/>
        </w:rPr>
        <w:t xml:space="preserve"> </w:t>
      </w:r>
      <w:r w:rsidR="00295E6B">
        <w:rPr>
          <w:rFonts w:ascii="Arial" w:hAnsi="Arial" w:cs="Arial"/>
          <w:i w:val="0"/>
          <w:sz w:val="17"/>
          <w:szCs w:val="17"/>
        </w:rPr>
        <w:tab/>
      </w:r>
      <w:r w:rsidRPr="00305DA2">
        <w:rPr>
          <w:rFonts w:ascii="Arial" w:hAnsi="Arial" w:cs="Arial"/>
          <w:i w:val="0"/>
          <w:sz w:val="17"/>
          <w:szCs w:val="17"/>
        </w:rPr>
        <w:t>VURM</w:t>
      </w:r>
      <w:r w:rsidR="00C94B87" w:rsidRPr="00305DA2">
        <w:rPr>
          <w:rFonts w:ascii="Arial" w:hAnsi="Arial" w:cs="Arial"/>
          <w:i w:val="0"/>
          <w:sz w:val="17"/>
          <w:szCs w:val="17"/>
        </w:rPr>
        <w:t>TAX</w:t>
      </w:r>
      <w:r w:rsidRPr="00305DA2">
        <w:rPr>
          <w:rFonts w:ascii="Arial" w:hAnsi="Arial" w:cs="Arial"/>
          <w:i w:val="0"/>
          <w:sz w:val="17"/>
          <w:szCs w:val="17"/>
        </w:rPr>
        <w:t xml:space="preserve"> is a dynamic computable general equilibrium model of Australia’s six states and two territories, with each region modelled as an </w:t>
      </w:r>
      <w:proofErr w:type="gramStart"/>
      <w:r w:rsidRPr="00305DA2">
        <w:rPr>
          <w:rFonts w:ascii="Arial" w:hAnsi="Arial" w:cs="Arial"/>
          <w:i w:val="0"/>
          <w:sz w:val="17"/>
          <w:szCs w:val="17"/>
        </w:rPr>
        <w:t>economy in its own right</w:t>
      </w:r>
      <w:proofErr w:type="gramEnd"/>
      <w:r w:rsidRPr="00305DA2">
        <w:rPr>
          <w:rFonts w:ascii="Arial" w:hAnsi="Arial" w:cs="Arial"/>
          <w:i w:val="0"/>
          <w:sz w:val="17"/>
          <w:szCs w:val="17"/>
        </w:rPr>
        <w:t>. See Adams, Philip, Dixon, Janine and Horridge, Mark (2015), ‘The Victoria University Regional Model (VURM): Technical Documentation, Version 1.0’, CoPS/IMPACT Working Paper Number G-254 for more detail o</w:t>
      </w:r>
      <w:r w:rsidR="009E0DAD" w:rsidRPr="00305DA2">
        <w:rPr>
          <w:rFonts w:ascii="Arial" w:hAnsi="Arial" w:cs="Arial"/>
          <w:i w:val="0"/>
          <w:sz w:val="17"/>
          <w:szCs w:val="17"/>
        </w:rPr>
        <w:t>n</w:t>
      </w:r>
      <w:r w:rsidRPr="00305DA2">
        <w:rPr>
          <w:rFonts w:ascii="Arial" w:hAnsi="Arial" w:cs="Arial"/>
          <w:i w:val="0"/>
          <w:sz w:val="17"/>
          <w:szCs w:val="17"/>
        </w:rPr>
        <w:t xml:space="preserve"> the model</w:t>
      </w:r>
      <w:r w:rsidR="00F22CD3" w:rsidRPr="00305DA2">
        <w:rPr>
          <w:rFonts w:ascii="Arial" w:hAnsi="Arial" w:cs="Arial"/>
          <w:i w:val="0"/>
          <w:sz w:val="17"/>
          <w:szCs w:val="17"/>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471C1" w14:textId="44EE2C46" w:rsidR="005F787D" w:rsidRPr="00C34942" w:rsidRDefault="00E31B55" w:rsidP="00181A01">
    <w:pPr>
      <w:pStyle w:val="Header"/>
      <w:pBdr>
        <w:bottom w:val="single" w:sz="4" w:space="4" w:color="auto"/>
      </w:pBdr>
      <w:tabs>
        <w:tab w:val="clear" w:pos="4153"/>
        <w:tab w:val="clear" w:pos="8306"/>
        <w:tab w:val="center" w:pos="4513"/>
        <w:tab w:val="right" w:pos="9026"/>
      </w:tabs>
      <w:spacing w:line="240" w:lineRule="auto"/>
      <w:rPr>
        <w:rFonts w:ascii="Arial" w:eastAsiaTheme="minorHAnsi" w:hAnsi="Arial" w:cs="Arial"/>
        <w:sz w:val="18"/>
        <w:szCs w:val="18"/>
        <w:lang w:val="en-AU"/>
      </w:rPr>
    </w:pPr>
    <w:r>
      <w:rPr>
        <w:rFonts w:ascii="Arial" w:eastAsiaTheme="minorHAnsi" w:hAnsi="Arial" w:cs="Arial"/>
        <w:sz w:val="18"/>
        <w:szCs w:val="18"/>
        <w:lang w:val="en-AU"/>
      </w:rPr>
      <w:t>Economic Scenario Analysis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86161" w14:textId="77777777" w:rsidR="00C63FAB" w:rsidRPr="00C34942" w:rsidRDefault="005F787D" w:rsidP="00C63FAB">
    <w:pPr>
      <w:pStyle w:val="Header"/>
      <w:pBdr>
        <w:bottom w:val="single" w:sz="4" w:space="4" w:color="auto"/>
      </w:pBdr>
      <w:tabs>
        <w:tab w:val="clear" w:pos="4153"/>
        <w:tab w:val="clear" w:pos="8306"/>
        <w:tab w:val="center" w:pos="4513"/>
        <w:tab w:val="right" w:pos="9026"/>
      </w:tabs>
      <w:spacing w:line="240" w:lineRule="auto"/>
      <w:jc w:val="right"/>
      <w:rPr>
        <w:rFonts w:ascii="Arial" w:eastAsiaTheme="minorHAnsi" w:hAnsi="Arial" w:cs="Arial"/>
        <w:sz w:val="18"/>
        <w:szCs w:val="18"/>
        <w:lang w:val="en-AU"/>
      </w:rPr>
    </w:pPr>
    <w:r>
      <w:rPr>
        <w:rFonts w:ascii="Arial" w:eastAsiaTheme="minorHAnsi" w:hAnsi="Arial" w:cs="Arial"/>
        <w:sz w:val="18"/>
        <w:szCs w:val="18"/>
        <w:lang w:val="en-AU"/>
      </w:rPr>
      <w:tab/>
    </w:r>
    <w:r>
      <w:rPr>
        <w:rFonts w:ascii="Arial" w:eastAsiaTheme="minorHAnsi" w:hAnsi="Arial" w:cs="Arial"/>
        <w:sz w:val="18"/>
        <w:szCs w:val="18"/>
        <w:lang w:val="en-AU"/>
      </w:rPr>
      <w:tab/>
    </w:r>
    <w:r w:rsidR="00C63FAB">
      <w:rPr>
        <w:rFonts w:ascii="Arial" w:eastAsiaTheme="minorHAnsi" w:hAnsi="Arial" w:cs="Arial"/>
        <w:sz w:val="18"/>
        <w:szCs w:val="18"/>
        <w:lang w:val="en-AU"/>
      </w:rPr>
      <w:t>Economic Scenario Analysis</w:t>
    </w:r>
  </w:p>
  <w:p w14:paraId="7CEA4328" w14:textId="300C6E8B" w:rsidR="005F787D" w:rsidRPr="00C34942" w:rsidRDefault="005F787D" w:rsidP="00135079">
    <w:pPr>
      <w:pStyle w:val="Header"/>
      <w:tabs>
        <w:tab w:val="clear" w:pos="4153"/>
        <w:tab w:val="clear" w:pos="8306"/>
        <w:tab w:val="center" w:pos="4513"/>
        <w:tab w:val="right" w:pos="9026"/>
      </w:tabs>
      <w:spacing w:line="240" w:lineRule="auto"/>
      <w:jc w:val="right"/>
      <w:rPr>
        <w:rFonts w:ascii="Arial" w:eastAsiaTheme="minorHAnsi" w:hAnsi="Arial" w:cs="Arial"/>
        <w:sz w:val="18"/>
        <w:szCs w:val="18"/>
        <w:lang w:val="en-A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7B6EA" w14:textId="77777777" w:rsidR="008821F9" w:rsidRDefault="00882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082EFF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A74D4D0"/>
    <w:lvl w:ilvl="0">
      <w:start w:val="1"/>
      <w:numFmt w:val="bullet"/>
      <w:pStyle w:val="NormalWeb"/>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707A54F6"/>
    <w:lvl w:ilvl="0">
      <w:start w:val="1"/>
      <w:numFmt w:val="decimal"/>
      <w:pStyle w:val="ListNumber"/>
      <w:lvlText w:val="%1."/>
      <w:lvlJc w:val="left"/>
      <w:pPr>
        <w:tabs>
          <w:tab w:val="num" w:pos="360"/>
        </w:tabs>
        <w:ind w:left="360" w:hanging="360"/>
      </w:pPr>
    </w:lvl>
  </w:abstractNum>
  <w:abstractNum w:abstractNumId="3" w15:restartNumberingAfterBreak="0">
    <w:nsid w:val="05DE5882"/>
    <w:multiLevelType w:val="singleLevel"/>
    <w:tmpl w:val="022A7A84"/>
    <w:lvl w:ilvl="0">
      <w:start w:val="1"/>
      <w:numFmt w:val="bullet"/>
      <w:pStyle w:val="Bullet3"/>
      <w:lvlText w:val=""/>
      <w:lvlJc w:val="left"/>
      <w:pPr>
        <w:tabs>
          <w:tab w:val="num" w:pos="1276"/>
        </w:tabs>
        <w:ind w:left="1276" w:hanging="425"/>
      </w:pPr>
      <w:rPr>
        <w:rFonts w:ascii="Symbol" w:hAnsi="Symbol" w:hint="default"/>
        <w:sz w:val="22"/>
      </w:rPr>
    </w:lvl>
  </w:abstractNum>
  <w:abstractNum w:abstractNumId="4" w15:restartNumberingAfterBreak="0">
    <w:nsid w:val="0B777EDC"/>
    <w:multiLevelType w:val="hybridMultilevel"/>
    <w:tmpl w:val="24309B1C"/>
    <w:lvl w:ilvl="0" w:tplc="22A0D0A6">
      <w:start w:val="1"/>
      <w:numFmt w:val="decimal"/>
      <w:pStyle w:val="Chart5X"/>
      <w:lvlText w:val="Chart 5.%1:"/>
      <w:lvlJc w:val="left"/>
      <w:pPr>
        <w:ind w:left="360" w:hanging="360"/>
      </w:pPr>
      <w:rPr>
        <w:rFonts w:cs="Times New Roman" w:hint="default"/>
        <w:b w:val="0"/>
        <w:i w:val="0"/>
        <w:iCs w:val="0"/>
        <w:caps w:val="0"/>
        <w:smallCaps w:val="0"/>
        <w:strike w:val="0"/>
        <w:dstrike w:val="0"/>
        <w:vanish w:val="0"/>
        <w:color w:val="00A1DE"/>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CAB29B1C">
      <w:numFmt w:val="bullet"/>
      <w:lvlText w:val="•"/>
      <w:lvlJc w:val="left"/>
      <w:pPr>
        <w:ind w:left="1800" w:hanging="720"/>
      </w:pPr>
      <w:rPr>
        <w:rFonts w:ascii="Minion Pro" w:eastAsia="Times New Roman" w:hAnsi="Minion Pro" w:cs="Aria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BA61D21"/>
    <w:multiLevelType w:val="hybridMultilevel"/>
    <w:tmpl w:val="50426C54"/>
    <w:lvl w:ilvl="0" w:tplc="7C80C020">
      <w:start w:val="1"/>
      <w:numFmt w:val="decimal"/>
      <w:pStyle w:val="Table3x"/>
      <w:lvlText w:val="Table 3.%1:"/>
      <w:lvlJc w:val="left"/>
      <w:pPr>
        <w:ind w:left="720" w:hanging="360"/>
      </w:pPr>
      <w:rPr>
        <w:rFonts w:ascii="Lucida Sans" w:hAnsi="Lucida Sans" w:hint="default"/>
        <w:b w:val="0"/>
        <w:i w:val="0"/>
        <w:caps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DCB4AFF"/>
    <w:multiLevelType w:val="hybridMultilevel"/>
    <w:tmpl w:val="C4CC58DA"/>
    <w:lvl w:ilvl="0" w:tplc="D97AD104">
      <w:start w:val="1"/>
      <w:numFmt w:val="bullet"/>
      <w:pStyle w:val="ListBullet1"/>
      <w:lvlText w:val=""/>
      <w:lvlJc w:val="left"/>
      <w:pPr>
        <w:tabs>
          <w:tab w:val="num" w:pos="454"/>
        </w:tabs>
        <w:ind w:left="454" w:hanging="454"/>
      </w:pPr>
      <w:rPr>
        <w:rFonts w:ascii="Symbol" w:hAnsi="Symbol" w:hint="default"/>
      </w:rPr>
    </w:lvl>
    <w:lvl w:ilvl="1" w:tplc="5A70E5E4">
      <w:numFmt w:val="bullet"/>
      <w:lvlText w:val="-"/>
      <w:lvlJc w:val="left"/>
      <w:pPr>
        <w:tabs>
          <w:tab w:val="num" w:pos="1440"/>
        </w:tabs>
        <w:ind w:left="1440" w:hanging="360"/>
      </w:pPr>
      <w:rPr>
        <w:rFonts w:ascii="Arial" w:eastAsia="Times New Roman" w:hAnsi="Arial"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7E4323"/>
    <w:multiLevelType w:val="hybridMultilevel"/>
    <w:tmpl w:val="0DB6566C"/>
    <w:lvl w:ilvl="0" w:tplc="C36A3914">
      <w:start w:val="1"/>
      <w:numFmt w:val="decimal"/>
      <w:pStyle w:val="TableFX"/>
      <w:lvlText w:val="Table F.%1:"/>
      <w:lvlJc w:val="left"/>
      <w:pPr>
        <w:ind w:left="360" w:hanging="360"/>
      </w:pPr>
      <w:rPr>
        <w:rFonts w:ascii="Arial" w:eastAsia="Arial Unicode MS" w:hAnsi="Arial" w:cs="Arial" w:hint="default"/>
        <w:b w:val="0"/>
        <w:i/>
        <w:caps w:val="0"/>
        <w:color w:val="57514D"/>
        <w:sz w:val="22"/>
        <w:szCs w:val="22"/>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12AC08A6"/>
    <w:multiLevelType w:val="hybridMultilevel"/>
    <w:tmpl w:val="273A3A4E"/>
    <w:lvl w:ilvl="0" w:tplc="0C090001">
      <w:start w:val="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82C0F13"/>
    <w:multiLevelType w:val="hybridMultilevel"/>
    <w:tmpl w:val="F89AAFDE"/>
    <w:lvl w:ilvl="0" w:tplc="B7A6EEC0">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BD73A11"/>
    <w:multiLevelType w:val="hybridMultilevel"/>
    <w:tmpl w:val="61E85D8E"/>
    <w:lvl w:ilvl="0" w:tplc="999A11A4">
      <w:start w:val="1"/>
      <w:numFmt w:val="bullet"/>
      <w:pStyle w:val="Bullet"/>
      <w:lvlText w:val=""/>
      <w:lvlJc w:val="left"/>
      <w:pPr>
        <w:tabs>
          <w:tab w:val="num" w:pos="113"/>
        </w:tabs>
        <w:ind w:left="0" w:firstLine="113"/>
      </w:pPr>
      <w:rPr>
        <w:rFonts w:ascii="Wingdings" w:hAnsi="Wingdings" w:hint="default"/>
      </w:rPr>
    </w:lvl>
    <w:lvl w:ilvl="1" w:tplc="0C090003" w:tentative="1">
      <w:start w:val="1"/>
      <w:numFmt w:val="bullet"/>
      <w:lvlText w:val="o"/>
      <w:lvlJc w:val="left"/>
      <w:pPr>
        <w:ind w:left="1193" w:hanging="360"/>
      </w:pPr>
      <w:rPr>
        <w:rFonts w:ascii="Courier New" w:hAnsi="Courier New" w:cs="Courier New" w:hint="default"/>
      </w:rPr>
    </w:lvl>
    <w:lvl w:ilvl="2" w:tplc="0C090005" w:tentative="1">
      <w:start w:val="1"/>
      <w:numFmt w:val="bullet"/>
      <w:lvlText w:val=""/>
      <w:lvlJc w:val="left"/>
      <w:pPr>
        <w:ind w:left="1913" w:hanging="360"/>
      </w:pPr>
      <w:rPr>
        <w:rFonts w:ascii="Wingdings" w:hAnsi="Wingdings" w:hint="default"/>
      </w:rPr>
    </w:lvl>
    <w:lvl w:ilvl="3" w:tplc="0C090001" w:tentative="1">
      <w:start w:val="1"/>
      <w:numFmt w:val="bullet"/>
      <w:lvlText w:val=""/>
      <w:lvlJc w:val="left"/>
      <w:pPr>
        <w:ind w:left="2633" w:hanging="360"/>
      </w:pPr>
      <w:rPr>
        <w:rFonts w:ascii="Symbol" w:hAnsi="Symbol" w:hint="default"/>
      </w:rPr>
    </w:lvl>
    <w:lvl w:ilvl="4" w:tplc="0C090003" w:tentative="1">
      <w:start w:val="1"/>
      <w:numFmt w:val="bullet"/>
      <w:lvlText w:val="o"/>
      <w:lvlJc w:val="left"/>
      <w:pPr>
        <w:ind w:left="3353" w:hanging="360"/>
      </w:pPr>
      <w:rPr>
        <w:rFonts w:ascii="Courier New" w:hAnsi="Courier New" w:cs="Courier New" w:hint="default"/>
      </w:rPr>
    </w:lvl>
    <w:lvl w:ilvl="5" w:tplc="0C090005" w:tentative="1">
      <w:start w:val="1"/>
      <w:numFmt w:val="bullet"/>
      <w:lvlText w:val=""/>
      <w:lvlJc w:val="left"/>
      <w:pPr>
        <w:ind w:left="4073" w:hanging="360"/>
      </w:pPr>
      <w:rPr>
        <w:rFonts w:ascii="Wingdings" w:hAnsi="Wingdings" w:hint="default"/>
      </w:rPr>
    </w:lvl>
    <w:lvl w:ilvl="6" w:tplc="0C090001" w:tentative="1">
      <w:start w:val="1"/>
      <w:numFmt w:val="bullet"/>
      <w:lvlText w:val=""/>
      <w:lvlJc w:val="left"/>
      <w:pPr>
        <w:ind w:left="4793" w:hanging="360"/>
      </w:pPr>
      <w:rPr>
        <w:rFonts w:ascii="Symbol" w:hAnsi="Symbol" w:hint="default"/>
      </w:rPr>
    </w:lvl>
    <w:lvl w:ilvl="7" w:tplc="0C090003" w:tentative="1">
      <w:start w:val="1"/>
      <w:numFmt w:val="bullet"/>
      <w:lvlText w:val="o"/>
      <w:lvlJc w:val="left"/>
      <w:pPr>
        <w:ind w:left="5513" w:hanging="360"/>
      </w:pPr>
      <w:rPr>
        <w:rFonts w:ascii="Courier New" w:hAnsi="Courier New" w:cs="Courier New" w:hint="default"/>
      </w:rPr>
    </w:lvl>
    <w:lvl w:ilvl="8" w:tplc="0C090005" w:tentative="1">
      <w:start w:val="1"/>
      <w:numFmt w:val="bullet"/>
      <w:lvlText w:val=""/>
      <w:lvlJc w:val="left"/>
      <w:pPr>
        <w:ind w:left="6233" w:hanging="360"/>
      </w:pPr>
      <w:rPr>
        <w:rFonts w:ascii="Wingdings" w:hAnsi="Wingdings" w:hint="default"/>
      </w:rPr>
    </w:lvl>
  </w:abstractNum>
  <w:abstractNum w:abstractNumId="11" w15:restartNumberingAfterBreak="0">
    <w:nsid w:val="1DAA3D06"/>
    <w:multiLevelType w:val="hybridMultilevel"/>
    <w:tmpl w:val="3BA0D3A0"/>
    <w:lvl w:ilvl="0" w:tplc="52724C64">
      <w:start w:val="1"/>
      <w:numFmt w:val="bullet"/>
      <w:pStyle w:val="Bullet-1stlevel"/>
      <w:lvlText w:val=""/>
      <w:lvlJc w:val="left"/>
      <w:pPr>
        <w:ind w:left="720" w:hanging="360"/>
      </w:pPr>
      <w:rPr>
        <w:rFonts w:ascii="Symbol" w:hAnsi="Symbol" w:hint="default"/>
        <w:sz w:val="18"/>
      </w:rPr>
    </w:lvl>
    <w:lvl w:ilvl="1" w:tplc="857A31B8">
      <w:start w:val="1"/>
      <w:numFmt w:val="bullet"/>
      <w:pStyle w:val="Bullet-2ndlevel"/>
      <w:lvlText w:val="-"/>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F815FFE"/>
    <w:multiLevelType w:val="hybridMultilevel"/>
    <w:tmpl w:val="E92E1D9E"/>
    <w:lvl w:ilvl="0" w:tplc="DDB4D10A">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31E7A8E"/>
    <w:multiLevelType w:val="multilevel"/>
    <w:tmpl w:val="0C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2E0C34"/>
    <w:multiLevelType w:val="multilevel"/>
    <w:tmpl w:val="BB540AD0"/>
    <w:styleLink w:val="BulletPoints"/>
    <w:lvl w:ilvl="0">
      <w:start w:val="1"/>
      <w:numFmt w:val="bullet"/>
      <w:pStyle w:val="BulletPointStyle"/>
      <w:lvlText w:val=""/>
      <w:lvlJc w:val="left"/>
      <w:pPr>
        <w:ind w:left="357" w:hanging="357"/>
      </w:pPr>
      <w:rPr>
        <w:rFonts w:ascii="Wingdings" w:hAnsi="Wingdings"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hint="default"/>
      </w:rPr>
    </w:lvl>
    <w:lvl w:ilvl="8">
      <w:start w:val="1"/>
      <w:numFmt w:val="bullet"/>
      <w:lvlText w:val=""/>
      <w:lvlJc w:val="left"/>
      <w:pPr>
        <w:ind w:left="3213" w:hanging="357"/>
      </w:pPr>
      <w:rPr>
        <w:rFonts w:ascii="Wingdings" w:hAnsi="Wingdings" w:hint="default"/>
      </w:rPr>
    </w:lvl>
  </w:abstractNum>
  <w:abstractNum w:abstractNumId="15" w15:restartNumberingAfterBreak="0">
    <w:nsid w:val="2E1E75AE"/>
    <w:multiLevelType w:val="hybridMultilevel"/>
    <w:tmpl w:val="9E4C36F0"/>
    <w:lvl w:ilvl="0" w:tplc="B1E63B5C">
      <w:start w:val="1"/>
      <w:numFmt w:val="decimal"/>
      <w:pStyle w:val="Tablex"/>
      <w:lvlText w:val="Table %1:"/>
      <w:lvlJc w:val="left"/>
      <w:pPr>
        <w:ind w:left="360" w:hanging="360"/>
      </w:pPr>
      <w:rPr>
        <w:rFonts w:ascii="Arial" w:hAnsi="Arial" w:hint="default"/>
        <w:b w:val="0"/>
        <w:i/>
        <w:caps w:val="0"/>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2F230D21"/>
    <w:multiLevelType w:val="hybridMultilevel"/>
    <w:tmpl w:val="3B581196"/>
    <w:lvl w:ilvl="0" w:tplc="01989CEC">
      <w:start w:val="1"/>
      <w:numFmt w:val="bullet"/>
      <w:pStyle w:val="Bullet1stlevel"/>
      <w:lvlText w:val=""/>
      <w:lvlJc w:val="left"/>
      <w:pPr>
        <w:ind w:left="1080" w:hanging="360"/>
      </w:pPr>
      <w:rPr>
        <w:rFonts w:ascii="Symbol" w:hAnsi="Symbol" w:hint="default"/>
        <w:sz w:val="18"/>
      </w:rPr>
    </w:lvl>
    <w:lvl w:ilvl="1" w:tplc="E6865E28">
      <w:start w:val="1"/>
      <w:numFmt w:val="bullet"/>
      <w:pStyle w:val="Bullet2ndlevel"/>
      <w:lvlText w:val="-"/>
      <w:lvlJc w:val="left"/>
      <w:pPr>
        <w:ind w:left="1800" w:hanging="360"/>
      </w:pPr>
      <w:rPr>
        <w:rFonts w:ascii="Courier New" w:hAnsi="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2F3B24A9"/>
    <w:multiLevelType w:val="hybridMultilevel"/>
    <w:tmpl w:val="55A402F6"/>
    <w:lvl w:ilvl="0" w:tplc="111C9F6A">
      <w:start w:val="1"/>
      <w:numFmt w:val="decimal"/>
      <w:pStyle w:val="Chart3X"/>
      <w:lvlText w:val="Chart 3.%1:"/>
      <w:lvlJc w:val="left"/>
      <w:pPr>
        <w:ind w:left="2062" w:hanging="360"/>
      </w:pPr>
      <w:rPr>
        <w:rFonts w:ascii="Lucida Sans" w:hAnsi="Lucida Sans" w:hint="default"/>
        <w:b w:val="0"/>
        <w:i w:val="0"/>
        <w:caps w:val="0"/>
        <w:sz w:val="22"/>
      </w:rPr>
    </w:lvl>
    <w:lvl w:ilvl="1" w:tplc="0C090019">
      <w:start w:val="1"/>
      <w:numFmt w:val="lowerLetter"/>
      <w:lvlText w:val="%2."/>
      <w:lvlJc w:val="left"/>
      <w:pPr>
        <w:ind w:left="1931" w:hanging="360"/>
      </w:pPr>
    </w:lvl>
    <w:lvl w:ilvl="2" w:tplc="0C09001B">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18" w15:restartNumberingAfterBreak="0">
    <w:nsid w:val="33B02147"/>
    <w:multiLevelType w:val="hybridMultilevel"/>
    <w:tmpl w:val="B866B280"/>
    <w:lvl w:ilvl="0" w:tplc="32205AD0">
      <w:start w:val="1"/>
      <w:numFmt w:val="decimal"/>
      <w:pStyle w:val="Table5"/>
      <w:lvlText w:val="Table 5.%1:"/>
      <w:lvlJc w:val="left"/>
      <w:pPr>
        <w:ind w:left="720" w:hanging="360"/>
      </w:pPr>
      <w:rPr>
        <w:rFonts w:cs="Times New Roman" w:hint="default"/>
        <w:b w:val="0"/>
        <w:i w:val="0"/>
        <w:caps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35331E4E"/>
    <w:multiLevelType w:val="singleLevel"/>
    <w:tmpl w:val="F42CF918"/>
    <w:lvl w:ilvl="0">
      <w:start w:val="1"/>
      <w:numFmt w:val="bullet"/>
      <w:pStyle w:val="Bullet1box"/>
      <w:lvlText w:val=""/>
      <w:lvlJc w:val="left"/>
      <w:pPr>
        <w:tabs>
          <w:tab w:val="num" w:pos="425"/>
        </w:tabs>
        <w:ind w:left="425" w:hanging="425"/>
      </w:pPr>
      <w:rPr>
        <w:rFonts w:ascii="Wingdings" w:hAnsi="Wingdings" w:hint="default"/>
        <w:sz w:val="21"/>
      </w:rPr>
    </w:lvl>
  </w:abstractNum>
  <w:abstractNum w:abstractNumId="20" w15:restartNumberingAfterBreak="0">
    <w:nsid w:val="365E6516"/>
    <w:multiLevelType w:val="hybridMultilevel"/>
    <w:tmpl w:val="7840D4C8"/>
    <w:lvl w:ilvl="0" w:tplc="0982036A">
      <w:start w:val="1"/>
      <w:numFmt w:val="decimal"/>
      <w:pStyle w:val="Graph1X"/>
      <w:lvlText w:val="Graph 1.%1:"/>
      <w:lvlJc w:val="left"/>
      <w:pPr>
        <w:ind w:left="720" w:hanging="360"/>
      </w:pPr>
      <w:rPr>
        <w:rFonts w:ascii="Lucida Sans" w:hAnsi="Lucida Sans" w:hint="default"/>
        <w:b w:val="0"/>
        <w:i w:val="0"/>
        <w:caps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3AB030E8"/>
    <w:multiLevelType w:val="hybridMultilevel"/>
    <w:tmpl w:val="BFE2F1D6"/>
    <w:lvl w:ilvl="0" w:tplc="6980E54A">
      <w:start w:val="1"/>
      <w:numFmt w:val="bullet"/>
      <w:pStyle w:val="Bullet1inabox"/>
      <w:lvlText w:val="•"/>
      <w:lvlJc w:val="left"/>
      <w:pPr>
        <w:ind w:left="360" w:hanging="360"/>
      </w:pPr>
      <w:rPr>
        <w:rFonts w:ascii="Arial" w:hAnsi="Arial" w:hint="default"/>
        <w:color w:val="0579B9"/>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DF944FB"/>
    <w:multiLevelType w:val="singleLevel"/>
    <w:tmpl w:val="96863882"/>
    <w:lvl w:ilvl="0">
      <w:start w:val="1"/>
      <w:numFmt w:val="bullet"/>
      <w:pStyle w:val="Bullet4"/>
      <w:lvlText w:val=""/>
      <w:lvlJc w:val="left"/>
      <w:pPr>
        <w:tabs>
          <w:tab w:val="num" w:pos="1701"/>
        </w:tabs>
        <w:ind w:left="1701" w:hanging="425"/>
      </w:pPr>
      <w:rPr>
        <w:rFonts w:ascii="Symbol" w:hAnsi="Symbol" w:hint="default"/>
        <w:sz w:val="22"/>
      </w:rPr>
    </w:lvl>
  </w:abstractNum>
  <w:abstractNum w:abstractNumId="23" w15:restartNumberingAfterBreak="0">
    <w:nsid w:val="401B0688"/>
    <w:multiLevelType w:val="hybridMultilevel"/>
    <w:tmpl w:val="72DCFD98"/>
    <w:lvl w:ilvl="0" w:tplc="938A90D4">
      <w:start w:val="1"/>
      <w:numFmt w:val="decimal"/>
      <w:pStyle w:val="Chart2X"/>
      <w:lvlText w:val="Chart 2.%1:"/>
      <w:lvlJc w:val="left"/>
      <w:pPr>
        <w:ind w:left="1211" w:hanging="360"/>
      </w:pPr>
      <w:rPr>
        <w:rFonts w:ascii="Arial" w:hAnsi="Arial" w:hint="default"/>
        <w:b w:val="0"/>
        <w:i/>
        <w:caps w:val="0"/>
        <w:sz w:val="20"/>
      </w:rPr>
    </w:lvl>
    <w:lvl w:ilvl="1" w:tplc="0C090019" w:tentative="1">
      <w:start w:val="1"/>
      <w:numFmt w:val="lowerLetter"/>
      <w:lvlText w:val="%2."/>
      <w:lvlJc w:val="left"/>
      <w:pPr>
        <w:ind w:left="1931" w:hanging="360"/>
      </w:pPr>
    </w:lvl>
    <w:lvl w:ilvl="2" w:tplc="0C09001B" w:tentative="1">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24" w15:restartNumberingAfterBreak="0">
    <w:nsid w:val="410931B3"/>
    <w:multiLevelType w:val="hybridMultilevel"/>
    <w:tmpl w:val="1DDA819E"/>
    <w:lvl w:ilvl="0" w:tplc="038675A8">
      <w:start w:val="1"/>
      <w:numFmt w:val="bullet"/>
      <w:pStyle w:val="Bullet1"/>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4E4A4250"/>
    <w:multiLevelType w:val="hybridMultilevel"/>
    <w:tmpl w:val="868AFABA"/>
    <w:lvl w:ilvl="0" w:tplc="FCB65C70">
      <w:start w:val="1"/>
      <w:numFmt w:val="decimal"/>
      <w:pStyle w:val="Table2X"/>
      <w:lvlText w:val="Table 2.%1:"/>
      <w:lvlJc w:val="left"/>
      <w:pPr>
        <w:ind w:left="360" w:hanging="360"/>
      </w:pPr>
      <w:rPr>
        <w:rFonts w:ascii="Arial" w:hAnsi="Arial" w:hint="default"/>
        <w:b w:val="0"/>
        <w:i/>
        <w:caps w:val="0"/>
        <w:color w:val="57514D"/>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1045771"/>
    <w:multiLevelType w:val="hybridMultilevel"/>
    <w:tmpl w:val="CADA9D78"/>
    <w:lvl w:ilvl="0" w:tplc="37E0EB26">
      <w:start w:val="1"/>
      <w:numFmt w:val="decimal"/>
      <w:pStyle w:val="TableHeading"/>
      <w:lvlText w:val="Table x.%1:"/>
      <w:lvlJc w:val="left"/>
      <w:pPr>
        <w:tabs>
          <w:tab w:val="num" w:pos="1440"/>
        </w:tabs>
        <w:ind w:left="360" w:hanging="360"/>
      </w:pPr>
      <w:rPr>
        <w:rFonts w:ascii="Arial" w:hAnsi="Arial" w:hint="default"/>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52BD70C2"/>
    <w:multiLevelType w:val="hybridMultilevel"/>
    <w:tmpl w:val="577A4FCA"/>
    <w:lvl w:ilvl="0" w:tplc="8A46047C">
      <w:start w:val="1"/>
      <w:numFmt w:val="bullet"/>
      <w:pStyle w:val="Bullet2"/>
      <w:lvlText w:val="–"/>
      <w:lvlJc w:val="left"/>
      <w:pPr>
        <w:tabs>
          <w:tab w:val="num" w:pos="785"/>
        </w:tabs>
        <w:ind w:left="785" w:hanging="360"/>
      </w:pPr>
      <w:rPr>
        <w:rFonts w:ascii="Lucida Sans" w:hAnsi="Lucida Sans" w:hint="default"/>
        <w:sz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041D7B"/>
    <w:multiLevelType w:val="singleLevel"/>
    <w:tmpl w:val="FFC03410"/>
    <w:lvl w:ilvl="0">
      <w:start w:val="1"/>
      <w:numFmt w:val="decimal"/>
      <w:pStyle w:val="Chartx"/>
      <w:lvlText w:val="Chart F.%1:"/>
      <w:lvlJc w:val="left"/>
      <w:pPr>
        <w:ind w:left="360" w:hanging="360"/>
      </w:pPr>
      <w:rPr>
        <w:rFonts w:ascii="Arial" w:hAnsi="Arial" w:hint="default"/>
        <w:b w:val="0"/>
        <w:i/>
        <w:caps w:val="0"/>
        <w:color w:val="57514D"/>
        <w:sz w:val="22"/>
      </w:rPr>
    </w:lvl>
  </w:abstractNum>
  <w:abstractNum w:abstractNumId="29" w15:restartNumberingAfterBreak="0">
    <w:nsid w:val="5B150C89"/>
    <w:multiLevelType w:val="multilevel"/>
    <w:tmpl w:val="123AAB14"/>
    <w:lvl w:ilvl="0">
      <w:start w:val="1"/>
      <w:numFmt w:val="none"/>
      <w:pStyle w:val="TableXX"/>
      <w:lvlText w:val=""/>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5CBA2855"/>
    <w:multiLevelType w:val="hybridMultilevel"/>
    <w:tmpl w:val="6C36B87A"/>
    <w:lvl w:ilvl="0" w:tplc="34805C90">
      <w:start w:val="1"/>
      <w:numFmt w:val="decimal"/>
      <w:pStyle w:val="Heading2"/>
      <w:lvlText w:val="F.%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3114A99"/>
    <w:multiLevelType w:val="hybridMultilevel"/>
    <w:tmpl w:val="49CC8E78"/>
    <w:lvl w:ilvl="0" w:tplc="7F461328">
      <w:start w:val="1"/>
      <w:numFmt w:val="decimal"/>
      <w:pStyle w:val="ChartB4X"/>
      <w:lvlText w:val="Chart B4.%1:"/>
      <w:lvlJc w:val="left"/>
      <w:pPr>
        <w:ind w:left="360" w:hanging="360"/>
      </w:pPr>
      <w:rPr>
        <w:rFonts w:ascii="Arial Bold" w:hAnsi="Arial Bold" w:hint="default"/>
        <w:b/>
        <w:i w:val="0"/>
        <w:caps w:val="0"/>
        <w:sz w:val="22"/>
      </w:rPr>
    </w:lvl>
    <w:lvl w:ilvl="1" w:tplc="0C090019" w:tentative="1">
      <w:start w:val="1"/>
      <w:numFmt w:val="lowerLetter"/>
      <w:lvlText w:val="%2."/>
      <w:lvlJc w:val="left"/>
      <w:pPr>
        <w:ind w:left="2354" w:hanging="360"/>
      </w:pPr>
    </w:lvl>
    <w:lvl w:ilvl="2" w:tplc="0C09001B" w:tentative="1">
      <w:start w:val="1"/>
      <w:numFmt w:val="lowerRoman"/>
      <w:lvlText w:val="%3."/>
      <w:lvlJc w:val="right"/>
      <w:pPr>
        <w:ind w:left="3074" w:hanging="180"/>
      </w:pPr>
    </w:lvl>
    <w:lvl w:ilvl="3" w:tplc="0C09000F" w:tentative="1">
      <w:start w:val="1"/>
      <w:numFmt w:val="decimal"/>
      <w:lvlText w:val="%4."/>
      <w:lvlJc w:val="left"/>
      <w:pPr>
        <w:ind w:left="3794" w:hanging="360"/>
      </w:pPr>
    </w:lvl>
    <w:lvl w:ilvl="4" w:tplc="0C090019" w:tentative="1">
      <w:start w:val="1"/>
      <w:numFmt w:val="lowerLetter"/>
      <w:lvlText w:val="%5."/>
      <w:lvlJc w:val="left"/>
      <w:pPr>
        <w:ind w:left="4514" w:hanging="360"/>
      </w:pPr>
    </w:lvl>
    <w:lvl w:ilvl="5" w:tplc="0C09001B" w:tentative="1">
      <w:start w:val="1"/>
      <w:numFmt w:val="lowerRoman"/>
      <w:lvlText w:val="%6."/>
      <w:lvlJc w:val="right"/>
      <w:pPr>
        <w:ind w:left="5234" w:hanging="180"/>
      </w:pPr>
    </w:lvl>
    <w:lvl w:ilvl="6" w:tplc="0C09000F" w:tentative="1">
      <w:start w:val="1"/>
      <w:numFmt w:val="decimal"/>
      <w:lvlText w:val="%7."/>
      <w:lvlJc w:val="left"/>
      <w:pPr>
        <w:ind w:left="5954" w:hanging="360"/>
      </w:pPr>
    </w:lvl>
    <w:lvl w:ilvl="7" w:tplc="0C090019" w:tentative="1">
      <w:start w:val="1"/>
      <w:numFmt w:val="lowerLetter"/>
      <w:lvlText w:val="%8."/>
      <w:lvlJc w:val="left"/>
      <w:pPr>
        <w:ind w:left="6674" w:hanging="360"/>
      </w:pPr>
    </w:lvl>
    <w:lvl w:ilvl="8" w:tplc="0C09001B" w:tentative="1">
      <w:start w:val="1"/>
      <w:numFmt w:val="lowerRoman"/>
      <w:lvlText w:val="%9."/>
      <w:lvlJc w:val="right"/>
      <w:pPr>
        <w:ind w:left="7394" w:hanging="180"/>
      </w:pPr>
    </w:lvl>
  </w:abstractNum>
  <w:abstractNum w:abstractNumId="32" w15:restartNumberingAfterBreak="0">
    <w:nsid w:val="719944AF"/>
    <w:multiLevelType w:val="hybridMultilevel"/>
    <w:tmpl w:val="68E44EFA"/>
    <w:lvl w:ilvl="0" w:tplc="D6BEE68E">
      <w:start w:val="1"/>
      <w:numFmt w:val="decimal"/>
      <w:pStyle w:val="TableB2X"/>
      <w:lvlText w:val="Table B2.%1:"/>
      <w:lvlJc w:val="left"/>
      <w:pPr>
        <w:ind w:left="720" w:hanging="360"/>
      </w:pPr>
      <w:rPr>
        <w:rFonts w:hint="default"/>
        <w:b w:val="0"/>
        <w:i/>
        <w:color w:val="57514D"/>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0"/>
  </w:num>
  <w:num w:numId="2">
    <w:abstractNumId w:val="11"/>
  </w:num>
  <w:num w:numId="3">
    <w:abstractNumId w:val="16"/>
  </w:num>
  <w:num w:numId="4">
    <w:abstractNumId w:val="19"/>
  </w:num>
  <w:num w:numId="5">
    <w:abstractNumId w:val="21"/>
  </w:num>
  <w:num w:numId="6">
    <w:abstractNumId w:val="27"/>
  </w:num>
  <w:num w:numId="7">
    <w:abstractNumId w:val="3"/>
  </w:num>
  <w:num w:numId="8">
    <w:abstractNumId w:val="22"/>
  </w:num>
  <w:num w:numId="9">
    <w:abstractNumId w:val="14"/>
  </w:num>
  <w:num w:numId="10">
    <w:abstractNumId w:val="26"/>
  </w:num>
  <w:num w:numId="11">
    <w:abstractNumId w:val="7"/>
  </w:num>
  <w:num w:numId="12">
    <w:abstractNumId w:val="23"/>
  </w:num>
  <w:num w:numId="13">
    <w:abstractNumId w:val="17"/>
  </w:num>
  <w:num w:numId="14">
    <w:abstractNumId w:val="29"/>
  </w:num>
  <w:num w:numId="15">
    <w:abstractNumId w:val="4"/>
  </w:num>
  <w:num w:numId="16">
    <w:abstractNumId w:val="31"/>
  </w:num>
  <w:num w:numId="17">
    <w:abstractNumId w:val="28"/>
  </w:num>
  <w:num w:numId="18">
    <w:abstractNumId w:val="20"/>
  </w:num>
  <w:num w:numId="19">
    <w:abstractNumId w:val="0"/>
  </w:num>
  <w:num w:numId="20">
    <w:abstractNumId w:val="6"/>
  </w:num>
  <w:num w:numId="21">
    <w:abstractNumId w:val="2"/>
  </w:num>
  <w:num w:numId="22">
    <w:abstractNumId w:val="1"/>
  </w:num>
  <w:num w:numId="23">
    <w:abstractNumId w:val="13"/>
  </w:num>
  <w:num w:numId="24">
    <w:abstractNumId w:val="25"/>
  </w:num>
  <w:num w:numId="25">
    <w:abstractNumId w:val="5"/>
  </w:num>
  <w:num w:numId="26">
    <w:abstractNumId w:val="18"/>
  </w:num>
  <w:num w:numId="27">
    <w:abstractNumId w:val="32"/>
  </w:num>
  <w:num w:numId="28">
    <w:abstractNumId w:val="15"/>
  </w:num>
  <w:num w:numId="29">
    <w:abstractNumId w:val="24"/>
  </w:num>
  <w:num w:numId="30">
    <w:abstractNumId w:val="30"/>
  </w:num>
  <w:num w:numId="31">
    <w:abstractNumId w:val="28"/>
  </w:num>
  <w:num w:numId="32">
    <w:abstractNumId w:val="12"/>
  </w:num>
  <w:num w:numId="33">
    <w:abstractNumId w:val="8"/>
  </w:num>
  <w:num w:numId="34">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evenAndOddHeaders/>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471"/>
    <w:rsid w:val="0000036D"/>
    <w:rsid w:val="000006CF"/>
    <w:rsid w:val="00001581"/>
    <w:rsid w:val="00002AD3"/>
    <w:rsid w:val="00003F3C"/>
    <w:rsid w:val="00007C5F"/>
    <w:rsid w:val="00010AAB"/>
    <w:rsid w:val="00012A94"/>
    <w:rsid w:val="00012C31"/>
    <w:rsid w:val="00014521"/>
    <w:rsid w:val="00014F28"/>
    <w:rsid w:val="000165A4"/>
    <w:rsid w:val="000175AB"/>
    <w:rsid w:val="00022D13"/>
    <w:rsid w:val="000249AE"/>
    <w:rsid w:val="00024C4A"/>
    <w:rsid w:val="0002505E"/>
    <w:rsid w:val="00025FA5"/>
    <w:rsid w:val="000272A7"/>
    <w:rsid w:val="000303AA"/>
    <w:rsid w:val="00030B64"/>
    <w:rsid w:val="00032460"/>
    <w:rsid w:val="00032EA0"/>
    <w:rsid w:val="000341A4"/>
    <w:rsid w:val="00035CCA"/>
    <w:rsid w:val="00037433"/>
    <w:rsid w:val="0004001B"/>
    <w:rsid w:val="000401A7"/>
    <w:rsid w:val="000406AD"/>
    <w:rsid w:val="00040FC0"/>
    <w:rsid w:val="00041C42"/>
    <w:rsid w:val="000435C8"/>
    <w:rsid w:val="00045088"/>
    <w:rsid w:val="0004538D"/>
    <w:rsid w:val="0004561E"/>
    <w:rsid w:val="00045636"/>
    <w:rsid w:val="00045E32"/>
    <w:rsid w:val="000477A6"/>
    <w:rsid w:val="00050704"/>
    <w:rsid w:val="00050A61"/>
    <w:rsid w:val="00050AF4"/>
    <w:rsid w:val="00050DCB"/>
    <w:rsid w:val="00051264"/>
    <w:rsid w:val="00052B09"/>
    <w:rsid w:val="00053792"/>
    <w:rsid w:val="00053F3E"/>
    <w:rsid w:val="0005458A"/>
    <w:rsid w:val="000557B4"/>
    <w:rsid w:val="00055A41"/>
    <w:rsid w:val="00056303"/>
    <w:rsid w:val="000563F1"/>
    <w:rsid w:val="0005669C"/>
    <w:rsid w:val="00057831"/>
    <w:rsid w:val="0006007C"/>
    <w:rsid w:val="00060EFB"/>
    <w:rsid w:val="00061A9A"/>
    <w:rsid w:val="0006231B"/>
    <w:rsid w:val="00062794"/>
    <w:rsid w:val="0006295C"/>
    <w:rsid w:val="00063254"/>
    <w:rsid w:val="000635BA"/>
    <w:rsid w:val="00063718"/>
    <w:rsid w:val="00064191"/>
    <w:rsid w:val="00064424"/>
    <w:rsid w:val="00064593"/>
    <w:rsid w:val="00064612"/>
    <w:rsid w:val="00064E45"/>
    <w:rsid w:val="0006596A"/>
    <w:rsid w:val="00065B6E"/>
    <w:rsid w:val="00066906"/>
    <w:rsid w:val="00070EE3"/>
    <w:rsid w:val="00071A5C"/>
    <w:rsid w:val="00072107"/>
    <w:rsid w:val="00072831"/>
    <w:rsid w:val="00073586"/>
    <w:rsid w:val="0007392B"/>
    <w:rsid w:val="00073985"/>
    <w:rsid w:val="000754AC"/>
    <w:rsid w:val="00075FF9"/>
    <w:rsid w:val="00076B3B"/>
    <w:rsid w:val="00077595"/>
    <w:rsid w:val="000775B5"/>
    <w:rsid w:val="00077A35"/>
    <w:rsid w:val="0008195C"/>
    <w:rsid w:val="00082577"/>
    <w:rsid w:val="00082FDD"/>
    <w:rsid w:val="000843C8"/>
    <w:rsid w:val="000846CF"/>
    <w:rsid w:val="00084790"/>
    <w:rsid w:val="00084DAE"/>
    <w:rsid w:val="00085EF0"/>
    <w:rsid w:val="00085F01"/>
    <w:rsid w:val="00086A3C"/>
    <w:rsid w:val="00087490"/>
    <w:rsid w:val="000874A6"/>
    <w:rsid w:val="000876ED"/>
    <w:rsid w:val="0009000A"/>
    <w:rsid w:val="00091978"/>
    <w:rsid w:val="000921F1"/>
    <w:rsid w:val="0009302E"/>
    <w:rsid w:val="000932CC"/>
    <w:rsid w:val="00093F49"/>
    <w:rsid w:val="00093FE0"/>
    <w:rsid w:val="00094099"/>
    <w:rsid w:val="00096AB8"/>
    <w:rsid w:val="00097C64"/>
    <w:rsid w:val="000A063D"/>
    <w:rsid w:val="000A1053"/>
    <w:rsid w:val="000A27F7"/>
    <w:rsid w:val="000A2C08"/>
    <w:rsid w:val="000A2F84"/>
    <w:rsid w:val="000A32AE"/>
    <w:rsid w:val="000A395A"/>
    <w:rsid w:val="000A6A48"/>
    <w:rsid w:val="000A78F3"/>
    <w:rsid w:val="000A7994"/>
    <w:rsid w:val="000A7CC3"/>
    <w:rsid w:val="000A7EBF"/>
    <w:rsid w:val="000B0A22"/>
    <w:rsid w:val="000B1F21"/>
    <w:rsid w:val="000B3164"/>
    <w:rsid w:val="000B4B5B"/>
    <w:rsid w:val="000B6A59"/>
    <w:rsid w:val="000B6B98"/>
    <w:rsid w:val="000C0072"/>
    <w:rsid w:val="000C0909"/>
    <w:rsid w:val="000C17EB"/>
    <w:rsid w:val="000C2662"/>
    <w:rsid w:val="000C2ED3"/>
    <w:rsid w:val="000C3EA2"/>
    <w:rsid w:val="000C3FA8"/>
    <w:rsid w:val="000C46E8"/>
    <w:rsid w:val="000C473E"/>
    <w:rsid w:val="000C4F01"/>
    <w:rsid w:val="000C5964"/>
    <w:rsid w:val="000C5B43"/>
    <w:rsid w:val="000C5D2F"/>
    <w:rsid w:val="000C61A1"/>
    <w:rsid w:val="000C6FB3"/>
    <w:rsid w:val="000C71E7"/>
    <w:rsid w:val="000C7870"/>
    <w:rsid w:val="000C7DDB"/>
    <w:rsid w:val="000D0961"/>
    <w:rsid w:val="000D1D23"/>
    <w:rsid w:val="000D3682"/>
    <w:rsid w:val="000D4FD8"/>
    <w:rsid w:val="000D516E"/>
    <w:rsid w:val="000D6871"/>
    <w:rsid w:val="000D71C9"/>
    <w:rsid w:val="000D7A5C"/>
    <w:rsid w:val="000D7C00"/>
    <w:rsid w:val="000E2CCB"/>
    <w:rsid w:val="000E36A8"/>
    <w:rsid w:val="000E3B91"/>
    <w:rsid w:val="000E45BB"/>
    <w:rsid w:val="000E5153"/>
    <w:rsid w:val="000E6061"/>
    <w:rsid w:val="000E619B"/>
    <w:rsid w:val="000E6F44"/>
    <w:rsid w:val="000E7140"/>
    <w:rsid w:val="000F0A67"/>
    <w:rsid w:val="000F14B0"/>
    <w:rsid w:val="000F1E2C"/>
    <w:rsid w:val="000F2206"/>
    <w:rsid w:val="000F29E1"/>
    <w:rsid w:val="000F3715"/>
    <w:rsid w:val="000F4DB2"/>
    <w:rsid w:val="000F5310"/>
    <w:rsid w:val="000F5424"/>
    <w:rsid w:val="000F54DA"/>
    <w:rsid w:val="000F58C9"/>
    <w:rsid w:val="000F5F12"/>
    <w:rsid w:val="000F71FB"/>
    <w:rsid w:val="000F7BBC"/>
    <w:rsid w:val="00100123"/>
    <w:rsid w:val="001020E1"/>
    <w:rsid w:val="001022B7"/>
    <w:rsid w:val="00102E8F"/>
    <w:rsid w:val="001031AC"/>
    <w:rsid w:val="00104172"/>
    <w:rsid w:val="001051F7"/>
    <w:rsid w:val="001057A8"/>
    <w:rsid w:val="001058BC"/>
    <w:rsid w:val="00105D3B"/>
    <w:rsid w:val="00106592"/>
    <w:rsid w:val="0011014C"/>
    <w:rsid w:val="00110246"/>
    <w:rsid w:val="00110C23"/>
    <w:rsid w:val="00113BC3"/>
    <w:rsid w:val="0011554E"/>
    <w:rsid w:val="00115949"/>
    <w:rsid w:val="00116201"/>
    <w:rsid w:val="00116598"/>
    <w:rsid w:val="00116EE0"/>
    <w:rsid w:val="00117718"/>
    <w:rsid w:val="0012055D"/>
    <w:rsid w:val="0012231C"/>
    <w:rsid w:val="00122D91"/>
    <w:rsid w:val="001235CD"/>
    <w:rsid w:val="00124682"/>
    <w:rsid w:val="00124B9D"/>
    <w:rsid w:val="0012631A"/>
    <w:rsid w:val="00126981"/>
    <w:rsid w:val="00126FCA"/>
    <w:rsid w:val="001300A3"/>
    <w:rsid w:val="001319E9"/>
    <w:rsid w:val="00131BE8"/>
    <w:rsid w:val="00133678"/>
    <w:rsid w:val="00134905"/>
    <w:rsid w:val="00134A87"/>
    <w:rsid w:val="00135079"/>
    <w:rsid w:val="00135CA7"/>
    <w:rsid w:val="001360EB"/>
    <w:rsid w:val="00137DD7"/>
    <w:rsid w:val="00141B0D"/>
    <w:rsid w:val="0014227A"/>
    <w:rsid w:val="00142AA3"/>
    <w:rsid w:val="0014362C"/>
    <w:rsid w:val="0014385D"/>
    <w:rsid w:val="00144A90"/>
    <w:rsid w:val="001470EB"/>
    <w:rsid w:val="001474B2"/>
    <w:rsid w:val="001476CF"/>
    <w:rsid w:val="00150399"/>
    <w:rsid w:val="00151314"/>
    <w:rsid w:val="00151388"/>
    <w:rsid w:val="00151AE3"/>
    <w:rsid w:val="00151D6B"/>
    <w:rsid w:val="00153951"/>
    <w:rsid w:val="00153F2F"/>
    <w:rsid w:val="00154321"/>
    <w:rsid w:val="00155905"/>
    <w:rsid w:val="00156290"/>
    <w:rsid w:val="0015656C"/>
    <w:rsid w:val="001567DB"/>
    <w:rsid w:val="00156885"/>
    <w:rsid w:val="001578B4"/>
    <w:rsid w:val="00157FED"/>
    <w:rsid w:val="001600F5"/>
    <w:rsid w:val="00161918"/>
    <w:rsid w:val="00161FAF"/>
    <w:rsid w:val="001633DB"/>
    <w:rsid w:val="00163836"/>
    <w:rsid w:val="00163AFE"/>
    <w:rsid w:val="00164703"/>
    <w:rsid w:val="0016523E"/>
    <w:rsid w:val="001663F1"/>
    <w:rsid w:val="0016640F"/>
    <w:rsid w:val="0016799A"/>
    <w:rsid w:val="00167F40"/>
    <w:rsid w:val="001735C5"/>
    <w:rsid w:val="00174C66"/>
    <w:rsid w:val="00174C75"/>
    <w:rsid w:val="00175AE5"/>
    <w:rsid w:val="00175FA0"/>
    <w:rsid w:val="00176EE2"/>
    <w:rsid w:val="00177227"/>
    <w:rsid w:val="00177B9C"/>
    <w:rsid w:val="00177CC2"/>
    <w:rsid w:val="00177FE8"/>
    <w:rsid w:val="00180ABD"/>
    <w:rsid w:val="001816FF"/>
    <w:rsid w:val="00181A01"/>
    <w:rsid w:val="001831D1"/>
    <w:rsid w:val="0018440A"/>
    <w:rsid w:val="00185831"/>
    <w:rsid w:val="00185E8B"/>
    <w:rsid w:val="001874C2"/>
    <w:rsid w:val="0019118A"/>
    <w:rsid w:val="001948F9"/>
    <w:rsid w:val="00196EC0"/>
    <w:rsid w:val="00197E5B"/>
    <w:rsid w:val="001A1513"/>
    <w:rsid w:val="001A1B6E"/>
    <w:rsid w:val="001A1FB9"/>
    <w:rsid w:val="001A2EB2"/>
    <w:rsid w:val="001A4318"/>
    <w:rsid w:val="001A49E6"/>
    <w:rsid w:val="001A59E9"/>
    <w:rsid w:val="001A5DF4"/>
    <w:rsid w:val="001A6BBF"/>
    <w:rsid w:val="001A6E6F"/>
    <w:rsid w:val="001A729D"/>
    <w:rsid w:val="001A7879"/>
    <w:rsid w:val="001A7DB1"/>
    <w:rsid w:val="001A7E0E"/>
    <w:rsid w:val="001B3FB3"/>
    <w:rsid w:val="001B4B68"/>
    <w:rsid w:val="001B5E35"/>
    <w:rsid w:val="001B6EB5"/>
    <w:rsid w:val="001B7ADB"/>
    <w:rsid w:val="001C0493"/>
    <w:rsid w:val="001C067D"/>
    <w:rsid w:val="001C1DE0"/>
    <w:rsid w:val="001C24F3"/>
    <w:rsid w:val="001C270C"/>
    <w:rsid w:val="001C2A29"/>
    <w:rsid w:val="001C32E7"/>
    <w:rsid w:val="001C434D"/>
    <w:rsid w:val="001C6359"/>
    <w:rsid w:val="001D055A"/>
    <w:rsid w:val="001D0A45"/>
    <w:rsid w:val="001D0B3A"/>
    <w:rsid w:val="001D0ED7"/>
    <w:rsid w:val="001D3167"/>
    <w:rsid w:val="001D5206"/>
    <w:rsid w:val="001D5EB7"/>
    <w:rsid w:val="001D5F35"/>
    <w:rsid w:val="001D6FAF"/>
    <w:rsid w:val="001D7837"/>
    <w:rsid w:val="001E0315"/>
    <w:rsid w:val="001E0B7D"/>
    <w:rsid w:val="001E0DF6"/>
    <w:rsid w:val="001E23FB"/>
    <w:rsid w:val="001E2B4F"/>
    <w:rsid w:val="001E31C7"/>
    <w:rsid w:val="001E33B7"/>
    <w:rsid w:val="001E3A66"/>
    <w:rsid w:val="001E428E"/>
    <w:rsid w:val="001E4739"/>
    <w:rsid w:val="001E659E"/>
    <w:rsid w:val="001E65EA"/>
    <w:rsid w:val="001F0F92"/>
    <w:rsid w:val="001F2093"/>
    <w:rsid w:val="001F29C9"/>
    <w:rsid w:val="001F2D35"/>
    <w:rsid w:val="001F3911"/>
    <w:rsid w:val="001F406D"/>
    <w:rsid w:val="001F470D"/>
    <w:rsid w:val="001F4CC1"/>
    <w:rsid w:val="001F5175"/>
    <w:rsid w:val="001F5849"/>
    <w:rsid w:val="001F5AC9"/>
    <w:rsid w:val="001F5EF0"/>
    <w:rsid w:val="001F6851"/>
    <w:rsid w:val="001F69A9"/>
    <w:rsid w:val="001F7288"/>
    <w:rsid w:val="001F7988"/>
    <w:rsid w:val="001F7C23"/>
    <w:rsid w:val="001F7CEF"/>
    <w:rsid w:val="00200771"/>
    <w:rsid w:val="00200C2E"/>
    <w:rsid w:val="00202064"/>
    <w:rsid w:val="00202160"/>
    <w:rsid w:val="00203D1B"/>
    <w:rsid w:val="00203F52"/>
    <w:rsid w:val="002047A3"/>
    <w:rsid w:val="00205A85"/>
    <w:rsid w:val="002062C3"/>
    <w:rsid w:val="002065AC"/>
    <w:rsid w:val="00206F4A"/>
    <w:rsid w:val="00207648"/>
    <w:rsid w:val="00210364"/>
    <w:rsid w:val="00210558"/>
    <w:rsid w:val="002113EA"/>
    <w:rsid w:val="00211908"/>
    <w:rsid w:val="002122B2"/>
    <w:rsid w:val="00212F16"/>
    <w:rsid w:val="002146B5"/>
    <w:rsid w:val="00215856"/>
    <w:rsid w:val="00215B95"/>
    <w:rsid w:val="002170CC"/>
    <w:rsid w:val="00217D26"/>
    <w:rsid w:val="00220381"/>
    <w:rsid w:val="00221F54"/>
    <w:rsid w:val="002224E5"/>
    <w:rsid w:val="00222DE0"/>
    <w:rsid w:val="002241A8"/>
    <w:rsid w:val="002245B2"/>
    <w:rsid w:val="00225DA7"/>
    <w:rsid w:val="00226BFD"/>
    <w:rsid w:val="00226C7C"/>
    <w:rsid w:val="00230793"/>
    <w:rsid w:val="00230951"/>
    <w:rsid w:val="00230D7E"/>
    <w:rsid w:val="0023170D"/>
    <w:rsid w:val="00231A7D"/>
    <w:rsid w:val="002330CF"/>
    <w:rsid w:val="0023386B"/>
    <w:rsid w:val="00235108"/>
    <w:rsid w:val="0023542F"/>
    <w:rsid w:val="0023768A"/>
    <w:rsid w:val="00240C8F"/>
    <w:rsid w:val="00240EB0"/>
    <w:rsid w:val="0024147A"/>
    <w:rsid w:val="0024190A"/>
    <w:rsid w:val="00241B82"/>
    <w:rsid w:val="00241D94"/>
    <w:rsid w:val="00242EF3"/>
    <w:rsid w:val="00243FF9"/>
    <w:rsid w:val="0024504A"/>
    <w:rsid w:val="002464D8"/>
    <w:rsid w:val="00246D37"/>
    <w:rsid w:val="00247C18"/>
    <w:rsid w:val="00247EE8"/>
    <w:rsid w:val="00250D85"/>
    <w:rsid w:val="00250FA9"/>
    <w:rsid w:val="00251463"/>
    <w:rsid w:val="002521CD"/>
    <w:rsid w:val="00252FD5"/>
    <w:rsid w:val="00255E8E"/>
    <w:rsid w:val="00256073"/>
    <w:rsid w:val="00256432"/>
    <w:rsid w:val="0025665B"/>
    <w:rsid w:val="00256B25"/>
    <w:rsid w:val="00256FB5"/>
    <w:rsid w:val="0025754B"/>
    <w:rsid w:val="00260979"/>
    <w:rsid w:val="00260B5A"/>
    <w:rsid w:val="00260D10"/>
    <w:rsid w:val="00261369"/>
    <w:rsid w:val="00263363"/>
    <w:rsid w:val="0026355C"/>
    <w:rsid w:val="00263901"/>
    <w:rsid w:val="00263D73"/>
    <w:rsid w:val="00264253"/>
    <w:rsid w:val="00266C00"/>
    <w:rsid w:val="00272BD2"/>
    <w:rsid w:val="00274910"/>
    <w:rsid w:val="00274CA5"/>
    <w:rsid w:val="0027501A"/>
    <w:rsid w:val="00276937"/>
    <w:rsid w:val="002806E9"/>
    <w:rsid w:val="0028099E"/>
    <w:rsid w:val="0028152D"/>
    <w:rsid w:val="002815F2"/>
    <w:rsid w:val="002817B6"/>
    <w:rsid w:val="00281906"/>
    <w:rsid w:val="00281B5F"/>
    <w:rsid w:val="002824F4"/>
    <w:rsid w:val="00282518"/>
    <w:rsid w:val="002826A5"/>
    <w:rsid w:val="00283C6D"/>
    <w:rsid w:val="00283C6F"/>
    <w:rsid w:val="00285399"/>
    <w:rsid w:val="00285803"/>
    <w:rsid w:val="00286176"/>
    <w:rsid w:val="002864D5"/>
    <w:rsid w:val="002864DC"/>
    <w:rsid w:val="002869AB"/>
    <w:rsid w:val="00287522"/>
    <w:rsid w:val="002901D7"/>
    <w:rsid w:val="002905B7"/>
    <w:rsid w:val="002909D2"/>
    <w:rsid w:val="00290B09"/>
    <w:rsid w:val="0029114A"/>
    <w:rsid w:val="002917B8"/>
    <w:rsid w:val="00291B42"/>
    <w:rsid w:val="002941BE"/>
    <w:rsid w:val="00295B01"/>
    <w:rsid w:val="00295BCB"/>
    <w:rsid w:val="00295E6B"/>
    <w:rsid w:val="00297C91"/>
    <w:rsid w:val="002A12B4"/>
    <w:rsid w:val="002A169C"/>
    <w:rsid w:val="002A2443"/>
    <w:rsid w:val="002A3A0E"/>
    <w:rsid w:val="002A3E45"/>
    <w:rsid w:val="002A44B9"/>
    <w:rsid w:val="002A5480"/>
    <w:rsid w:val="002A5C29"/>
    <w:rsid w:val="002A6CC2"/>
    <w:rsid w:val="002A732D"/>
    <w:rsid w:val="002B0610"/>
    <w:rsid w:val="002B066A"/>
    <w:rsid w:val="002B1040"/>
    <w:rsid w:val="002B173A"/>
    <w:rsid w:val="002B1C72"/>
    <w:rsid w:val="002B2998"/>
    <w:rsid w:val="002B40D6"/>
    <w:rsid w:val="002B4877"/>
    <w:rsid w:val="002B6138"/>
    <w:rsid w:val="002B71E1"/>
    <w:rsid w:val="002B7A61"/>
    <w:rsid w:val="002C1588"/>
    <w:rsid w:val="002C1824"/>
    <w:rsid w:val="002C2337"/>
    <w:rsid w:val="002C45D3"/>
    <w:rsid w:val="002C6962"/>
    <w:rsid w:val="002C6B84"/>
    <w:rsid w:val="002C6C5D"/>
    <w:rsid w:val="002C7D0C"/>
    <w:rsid w:val="002D0769"/>
    <w:rsid w:val="002D0BBA"/>
    <w:rsid w:val="002D2118"/>
    <w:rsid w:val="002D27BC"/>
    <w:rsid w:val="002D2E37"/>
    <w:rsid w:val="002D39F6"/>
    <w:rsid w:val="002D3CD3"/>
    <w:rsid w:val="002D4FDF"/>
    <w:rsid w:val="002D5211"/>
    <w:rsid w:val="002D6112"/>
    <w:rsid w:val="002D6B26"/>
    <w:rsid w:val="002D7E43"/>
    <w:rsid w:val="002E09CB"/>
    <w:rsid w:val="002E22F1"/>
    <w:rsid w:val="002E4B91"/>
    <w:rsid w:val="002E6192"/>
    <w:rsid w:val="002E6315"/>
    <w:rsid w:val="002E6727"/>
    <w:rsid w:val="002E74D3"/>
    <w:rsid w:val="002E755D"/>
    <w:rsid w:val="002F084A"/>
    <w:rsid w:val="002F34B8"/>
    <w:rsid w:val="002F40ED"/>
    <w:rsid w:val="002F40F0"/>
    <w:rsid w:val="002F43AD"/>
    <w:rsid w:val="002F4A63"/>
    <w:rsid w:val="002F5122"/>
    <w:rsid w:val="002F6652"/>
    <w:rsid w:val="002F7129"/>
    <w:rsid w:val="002F750D"/>
    <w:rsid w:val="002F764E"/>
    <w:rsid w:val="002F7CB5"/>
    <w:rsid w:val="00300096"/>
    <w:rsid w:val="0030080D"/>
    <w:rsid w:val="003017D9"/>
    <w:rsid w:val="0030252D"/>
    <w:rsid w:val="00303FE9"/>
    <w:rsid w:val="0030555A"/>
    <w:rsid w:val="00305DA2"/>
    <w:rsid w:val="00306031"/>
    <w:rsid w:val="003061CB"/>
    <w:rsid w:val="00306A8C"/>
    <w:rsid w:val="00307FC1"/>
    <w:rsid w:val="00310C8C"/>
    <w:rsid w:val="00310D54"/>
    <w:rsid w:val="00310E7D"/>
    <w:rsid w:val="0031291B"/>
    <w:rsid w:val="00312DB0"/>
    <w:rsid w:val="00313237"/>
    <w:rsid w:val="00313A61"/>
    <w:rsid w:val="003169CD"/>
    <w:rsid w:val="0031720E"/>
    <w:rsid w:val="0032130A"/>
    <w:rsid w:val="0032290B"/>
    <w:rsid w:val="00323501"/>
    <w:rsid w:val="00325DD9"/>
    <w:rsid w:val="00326025"/>
    <w:rsid w:val="00327D37"/>
    <w:rsid w:val="00330C3B"/>
    <w:rsid w:val="003341E8"/>
    <w:rsid w:val="003349BD"/>
    <w:rsid w:val="00334E18"/>
    <w:rsid w:val="00335465"/>
    <w:rsid w:val="00335C1C"/>
    <w:rsid w:val="0033710B"/>
    <w:rsid w:val="00337427"/>
    <w:rsid w:val="00337C85"/>
    <w:rsid w:val="00340662"/>
    <w:rsid w:val="003436D3"/>
    <w:rsid w:val="003450A1"/>
    <w:rsid w:val="00347455"/>
    <w:rsid w:val="00350097"/>
    <w:rsid w:val="0035148D"/>
    <w:rsid w:val="00351524"/>
    <w:rsid w:val="0035196D"/>
    <w:rsid w:val="003519DA"/>
    <w:rsid w:val="003534F6"/>
    <w:rsid w:val="00354703"/>
    <w:rsid w:val="00354780"/>
    <w:rsid w:val="003557FE"/>
    <w:rsid w:val="00355E9D"/>
    <w:rsid w:val="00357407"/>
    <w:rsid w:val="00360155"/>
    <w:rsid w:val="003623CB"/>
    <w:rsid w:val="003632F7"/>
    <w:rsid w:val="0036391F"/>
    <w:rsid w:val="00364551"/>
    <w:rsid w:val="00366551"/>
    <w:rsid w:val="00366938"/>
    <w:rsid w:val="00367055"/>
    <w:rsid w:val="003703E3"/>
    <w:rsid w:val="00370751"/>
    <w:rsid w:val="0037162E"/>
    <w:rsid w:val="00373026"/>
    <w:rsid w:val="00373571"/>
    <w:rsid w:val="003737FA"/>
    <w:rsid w:val="00373C25"/>
    <w:rsid w:val="00375E8F"/>
    <w:rsid w:val="00377CE7"/>
    <w:rsid w:val="00377D44"/>
    <w:rsid w:val="00380020"/>
    <w:rsid w:val="00380137"/>
    <w:rsid w:val="003806DB"/>
    <w:rsid w:val="00381CD8"/>
    <w:rsid w:val="00381F4F"/>
    <w:rsid w:val="00382595"/>
    <w:rsid w:val="00382D39"/>
    <w:rsid w:val="00384F46"/>
    <w:rsid w:val="00384F4F"/>
    <w:rsid w:val="00385228"/>
    <w:rsid w:val="00385B4A"/>
    <w:rsid w:val="00385D03"/>
    <w:rsid w:val="00385E7D"/>
    <w:rsid w:val="00385F06"/>
    <w:rsid w:val="00387582"/>
    <w:rsid w:val="00387E2F"/>
    <w:rsid w:val="00390791"/>
    <w:rsid w:val="00392EEA"/>
    <w:rsid w:val="00394337"/>
    <w:rsid w:val="00394F33"/>
    <w:rsid w:val="00395554"/>
    <w:rsid w:val="00396982"/>
    <w:rsid w:val="00396B07"/>
    <w:rsid w:val="003A2E56"/>
    <w:rsid w:val="003A46B2"/>
    <w:rsid w:val="003A5728"/>
    <w:rsid w:val="003A5E87"/>
    <w:rsid w:val="003A676C"/>
    <w:rsid w:val="003B17C8"/>
    <w:rsid w:val="003B1DDD"/>
    <w:rsid w:val="003B27B1"/>
    <w:rsid w:val="003B27F8"/>
    <w:rsid w:val="003B3FB0"/>
    <w:rsid w:val="003B57FD"/>
    <w:rsid w:val="003B64B9"/>
    <w:rsid w:val="003B688C"/>
    <w:rsid w:val="003B7584"/>
    <w:rsid w:val="003B7904"/>
    <w:rsid w:val="003B7A7C"/>
    <w:rsid w:val="003C25BB"/>
    <w:rsid w:val="003C2930"/>
    <w:rsid w:val="003C3A33"/>
    <w:rsid w:val="003C4345"/>
    <w:rsid w:val="003C4CC9"/>
    <w:rsid w:val="003C5754"/>
    <w:rsid w:val="003C6918"/>
    <w:rsid w:val="003C7315"/>
    <w:rsid w:val="003D0F97"/>
    <w:rsid w:val="003D1E4C"/>
    <w:rsid w:val="003D210D"/>
    <w:rsid w:val="003D246E"/>
    <w:rsid w:val="003D41F9"/>
    <w:rsid w:val="003D5627"/>
    <w:rsid w:val="003D5EAA"/>
    <w:rsid w:val="003D67FC"/>
    <w:rsid w:val="003D6D0A"/>
    <w:rsid w:val="003D720F"/>
    <w:rsid w:val="003E1157"/>
    <w:rsid w:val="003E37A7"/>
    <w:rsid w:val="003E3D19"/>
    <w:rsid w:val="003E55E8"/>
    <w:rsid w:val="003E6C64"/>
    <w:rsid w:val="003E6E7A"/>
    <w:rsid w:val="003E77B3"/>
    <w:rsid w:val="003E7A84"/>
    <w:rsid w:val="003F0E08"/>
    <w:rsid w:val="003F2A14"/>
    <w:rsid w:val="003F2EF0"/>
    <w:rsid w:val="003F3738"/>
    <w:rsid w:val="003F7484"/>
    <w:rsid w:val="003F7873"/>
    <w:rsid w:val="00400B89"/>
    <w:rsid w:val="004011B6"/>
    <w:rsid w:val="004032D5"/>
    <w:rsid w:val="004042B9"/>
    <w:rsid w:val="00404802"/>
    <w:rsid w:val="0040583B"/>
    <w:rsid w:val="00405FD6"/>
    <w:rsid w:val="00406EEB"/>
    <w:rsid w:val="004109A5"/>
    <w:rsid w:val="00410A9C"/>
    <w:rsid w:val="00410C17"/>
    <w:rsid w:val="004119DF"/>
    <w:rsid w:val="00413234"/>
    <w:rsid w:val="00413A90"/>
    <w:rsid w:val="00414B98"/>
    <w:rsid w:val="0041545E"/>
    <w:rsid w:val="00415828"/>
    <w:rsid w:val="0041667E"/>
    <w:rsid w:val="00417B6A"/>
    <w:rsid w:val="00420144"/>
    <w:rsid w:val="00420E5E"/>
    <w:rsid w:val="00422512"/>
    <w:rsid w:val="00422B6C"/>
    <w:rsid w:val="00422D02"/>
    <w:rsid w:val="00423019"/>
    <w:rsid w:val="004237E8"/>
    <w:rsid w:val="004248F1"/>
    <w:rsid w:val="00424974"/>
    <w:rsid w:val="004259D2"/>
    <w:rsid w:val="00427013"/>
    <w:rsid w:val="00430496"/>
    <w:rsid w:val="004305A0"/>
    <w:rsid w:val="004323E7"/>
    <w:rsid w:val="00432424"/>
    <w:rsid w:val="00432E9B"/>
    <w:rsid w:val="0043337D"/>
    <w:rsid w:val="00433C1A"/>
    <w:rsid w:val="004346D6"/>
    <w:rsid w:val="00434A66"/>
    <w:rsid w:val="00434A70"/>
    <w:rsid w:val="00435E76"/>
    <w:rsid w:val="0043774C"/>
    <w:rsid w:val="00437959"/>
    <w:rsid w:val="00437AB1"/>
    <w:rsid w:val="004405AA"/>
    <w:rsid w:val="004411A2"/>
    <w:rsid w:val="0044132F"/>
    <w:rsid w:val="004414AD"/>
    <w:rsid w:val="00442F6A"/>
    <w:rsid w:val="00444718"/>
    <w:rsid w:val="00444DEB"/>
    <w:rsid w:val="00445AC1"/>
    <w:rsid w:val="00446C38"/>
    <w:rsid w:val="0045036D"/>
    <w:rsid w:val="0045073E"/>
    <w:rsid w:val="0045143C"/>
    <w:rsid w:val="004539CC"/>
    <w:rsid w:val="00453EE4"/>
    <w:rsid w:val="004553A0"/>
    <w:rsid w:val="00455B61"/>
    <w:rsid w:val="00455DBA"/>
    <w:rsid w:val="00456F1A"/>
    <w:rsid w:val="004576E2"/>
    <w:rsid w:val="00457FAE"/>
    <w:rsid w:val="0046110A"/>
    <w:rsid w:val="00461361"/>
    <w:rsid w:val="00462166"/>
    <w:rsid w:val="0046280D"/>
    <w:rsid w:val="0046293C"/>
    <w:rsid w:val="004632E3"/>
    <w:rsid w:val="004634A1"/>
    <w:rsid w:val="004649D0"/>
    <w:rsid w:val="00464D56"/>
    <w:rsid w:val="00466676"/>
    <w:rsid w:val="00466F74"/>
    <w:rsid w:val="00467F3C"/>
    <w:rsid w:val="00470013"/>
    <w:rsid w:val="004701C8"/>
    <w:rsid w:val="00472C41"/>
    <w:rsid w:val="0047334F"/>
    <w:rsid w:val="00473C44"/>
    <w:rsid w:val="0047468D"/>
    <w:rsid w:val="00474DAD"/>
    <w:rsid w:val="00474E77"/>
    <w:rsid w:val="0047536B"/>
    <w:rsid w:val="004762C4"/>
    <w:rsid w:val="004767EC"/>
    <w:rsid w:val="0048008E"/>
    <w:rsid w:val="00481B0A"/>
    <w:rsid w:val="00481E0B"/>
    <w:rsid w:val="00484415"/>
    <w:rsid w:val="00487F5A"/>
    <w:rsid w:val="004915BF"/>
    <w:rsid w:val="00492681"/>
    <w:rsid w:val="00492C1B"/>
    <w:rsid w:val="0049449D"/>
    <w:rsid w:val="004949CE"/>
    <w:rsid w:val="004956B5"/>
    <w:rsid w:val="00495D96"/>
    <w:rsid w:val="00496A00"/>
    <w:rsid w:val="004973A5"/>
    <w:rsid w:val="004A1CDC"/>
    <w:rsid w:val="004A3E68"/>
    <w:rsid w:val="004A3FBF"/>
    <w:rsid w:val="004A48DE"/>
    <w:rsid w:val="004A4ACA"/>
    <w:rsid w:val="004A6567"/>
    <w:rsid w:val="004A6B21"/>
    <w:rsid w:val="004A761F"/>
    <w:rsid w:val="004B03B7"/>
    <w:rsid w:val="004B0F7F"/>
    <w:rsid w:val="004B25FA"/>
    <w:rsid w:val="004B3229"/>
    <w:rsid w:val="004B32A8"/>
    <w:rsid w:val="004B3951"/>
    <w:rsid w:val="004B48E2"/>
    <w:rsid w:val="004B4DE9"/>
    <w:rsid w:val="004B590A"/>
    <w:rsid w:val="004B5AFA"/>
    <w:rsid w:val="004B7148"/>
    <w:rsid w:val="004C3963"/>
    <w:rsid w:val="004C3B4B"/>
    <w:rsid w:val="004C3E59"/>
    <w:rsid w:val="004C49D5"/>
    <w:rsid w:val="004C520C"/>
    <w:rsid w:val="004C6A63"/>
    <w:rsid w:val="004C7BE0"/>
    <w:rsid w:val="004C7F56"/>
    <w:rsid w:val="004D3BE9"/>
    <w:rsid w:val="004D5106"/>
    <w:rsid w:val="004D5515"/>
    <w:rsid w:val="004D5EB2"/>
    <w:rsid w:val="004D637D"/>
    <w:rsid w:val="004D6D3A"/>
    <w:rsid w:val="004D706C"/>
    <w:rsid w:val="004E0D77"/>
    <w:rsid w:val="004E1F0F"/>
    <w:rsid w:val="004E41F5"/>
    <w:rsid w:val="004E4949"/>
    <w:rsid w:val="004E4F1B"/>
    <w:rsid w:val="004F1998"/>
    <w:rsid w:val="004F2455"/>
    <w:rsid w:val="004F371F"/>
    <w:rsid w:val="004F3CAF"/>
    <w:rsid w:val="004F4973"/>
    <w:rsid w:val="004F5385"/>
    <w:rsid w:val="004F673F"/>
    <w:rsid w:val="004F7062"/>
    <w:rsid w:val="005008B5"/>
    <w:rsid w:val="00501225"/>
    <w:rsid w:val="005035E6"/>
    <w:rsid w:val="00503A85"/>
    <w:rsid w:val="005042CE"/>
    <w:rsid w:val="00504F21"/>
    <w:rsid w:val="00506328"/>
    <w:rsid w:val="00506772"/>
    <w:rsid w:val="0050713D"/>
    <w:rsid w:val="00507623"/>
    <w:rsid w:val="00507769"/>
    <w:rsid w:val="00507A01"/>
    <w:rsid w:val="00511B9E"/>
    <w:rsid w:val="00512A10"/>
    <w:rsid w:val="005132CC"/>
    <w:rsid w:val="00513F76"/>
    <w:rsid w:val="00514041"/>
    <w:rsid w:val="005176AE"/>
    <w:rsid w:val="00517FDE"/>
    <w:rsid w:val="00520616"/>
    <w:rsid w:val="005220D5"/>
    <w:rsid w:val="00523810"/>
    <w:rsid w:val="005257BC"/>
    <w:rsid w:val="00525FDB"/>
    <w:rsid w:val="00531645"/>
    <w:rsid w:val="005322F4"/>
    <w:rsid w:val="005322F7"/>
    <w:rsid w:val="0053240D"/>
    <w:rsid w:val="00532427"/>
    <w:rsid w:val="00532A17"/>
    <w:rsid w:val="00533DC5"/>
    <w:rsid w:val="00534A7C"/>
    <w:rsid w:val="0053502A"/>
    <w:rsid w:val="005363FE"/>
    <w:rsid w:val="00536960"/>
    <w:rsid w:val="00536970"/>
    <w:rsid w:val="0053757D"/>
    <w:rsid w:val="00537D3D"/>
    <w:rsid w:val="00540BAC"/>
    <w:rsid w:val="0054127A"/>
    <w:rsid w:val="005418D0"/>
    <w:rsid w:val="00541C99"/>
    <w:rsid w:val="00543FCC"/>
    <w:rsid w:val="0054400A"/>
    <w:rsid w:val="00544BB8"/>
    <w:rsid w:val="00546185"/>
    <w:rsid w:val="0054656F"/>
    <w:rsid w:val="00546B69"/>
    <w:rsid w:val="005478F1"/>
    <w:rsid w:val="00547E13"/>
    <w:rsid w:val="00552061"/>
    <w:rsid w:val="0055221C"/>
    <w:rsid w:val="005537B2"/>
    <w:rsid w:val="00554563"/>
    <w:rsid w:val="00554F34"/>
    <w:rsid w:val="00556150"/>
    <w:rsid w:val="00556576"/>
    <w:rsid w:val="005565B4"/>
    <w:rsid w:val="00560AF3"/>
    <w:rsid w:val="00560FE3"/>
    <w:rsid w:val="0056148F"/>
    <w:rsid w:val="005618E0"/>
    <w:rsid w:val="00562902"/>
    <w:rsid w:val="00563715"/>
    <w:rsid w:val="00563FAC"/>
    <w:rsid w:val="0056488E"/>
    <w:rsid w:val="005649E4"/>
    <w:rsid w:val="00565002"/>
    <w:rsid w:val="00566701"/>
    <w:rsid w:val="005673AE"/>
    <w:rsid w:val="00567722"/>
    <w:rsid w:val="0056780C"/>
    <w:rsid w:val="0056786D"/>
    <w:rsid w:val="005705EC"/>
    <w:rsid w:val="005708D9"/>
    <w:rsid w:val="00571AD8"/>
    <w:rsid w:val="00571BDB"/>
    <w:rsid w:val="005735BD"/>
    <w:rsid w:val="0057451A"/>
    <w:rsid w:val="00574FC7"/>
    <w:rsid w:val="005754F9"/>
    <w:rsid w:val="005761CD"/>
    <w:rsid w:val="00577B6B"/>
    <w:rsid w:val="0058012B"/>
    <w:rsid w:val="00581AAC"/>
    <w:rsid w:val="00581C50"/>
    <w:rsid w:val="00584264"/>
    <w:rsid w:val="00584A83"/>
    <w:rsid w:val="0058568F"/>
    <w:rsid w:val="00585AE1"/>
    <w:rsid w:val="00586DC5"/>
    <w:rsid w:val="00587243"/>
    <w:rsid w:val="005875A2"/>
    <w:rsid w:val="00587FDF"/>
    <w:rsid w:val="005902B7"/>
    <w:rsid w:val="005910D3"/>
    <w:rsid w:val="00591E73"/>
    <w:rsid w:val="00592C09"/>
    <w:rsid w:val="005932CE"/>
    <w:rsid w:val="00593C2D"/>
    <w:rsid w:val="00594E73"/>
    <w:rsid w:val="00595C92"/>
    <w:rsid w:val="00595D77"/>
    <w:rsid w:val="005965B7"/>
    <w:rsid w:val="005973C5"/>
    <w:rsid w:val="005A1B19"/>
    <w:rsid w:val="005A23CB"/>
    <w:rsid w:val="005A23E3"/>
    <w:rsid w:val="005A28C0"/>
    <w:rsid w:val="005A2AE8"/>
    <w:rsid w:val="005A2DEF"/>
    <w:rsid w:val="005A470B"/>
    <w:rsid w:val="005A5EF7"/>
    <w:rsid w:val="005A6CD3"/>
    <w:rsid w:val="005A7FBA"/>
    <w:rsid w:val="005B0FFF"/>
    <w:rsid w:val="005B2800"/>
    <w:rsid w:val="005B2E7C"/>
    <w:rsid w:val="005B3D68"/>
    <w:rsid w:val="005B5248"/>
    <w:rsid w:val="005B59E4"/>
    <w:rsid w:val="005B608D"/>
    <w:rsid w:val="005C0A4A"/>
    <w:rsid w:val="005C27FF"/>
    <w:rsid w:val="005C3AB0"/>
    <w:rsid w:val="005C43B9"/>
    <w:rsid w:val="005C4BFC"/>
    <w:rsid w:val="005C4F6A"/>
    <w:rsid w:val="005C580A"/>
    <w:rsid w:val="005C6145"/>
    <w:rsid w:val="005C69F1"/>
    <w:rsid w:val="005D1EB0"/>
    <w:rsid w:val="005D287A"/>
    <w:rsid w:val="005D3FEE"/>
    <w:rsid w:val="005D55EB"/>
    <w:rsid w:val="005D582B"/>
    <w:rsid w:val="005D653D"/>
    <w:rsid w:val="005D67D7"/>
    <w:rsid w:val="005D76ED"/>
    <w:rsid w:val="005E126D"/>
    <w:rsid w:val="005E1460"/>
    <w:rsid w:val="005E1895"/>
    <w:rsid w:val="005E28A7"/>
    <w:rsid w:val="005E3F71"/>
    <w:rsid w:val="005E430A"/>
    <w:rsid w:val="005E468C"/>
    <w:rsid w:val="005E4AF6"/>
    <w:rsid w:val="005E4D87"/>
    <w:rsid w:val="005E563C"/>
    <w:rsid w:val="005E7648"/>
    <w:rsid w:val="005F06BC"/>
    <w:rsid w:val="005F0ED2"/>
    <w:rsid w:val="005F105A"/>
    <w:rsid w:val="005F2999"/>
    <w:rsid w:val="005F2ABE"/>
    <w:rsid w:val="005F34AD"/>
    <w:rsid w:val="005F3BF3"/>
    <w:rsid w:val="005F47FE"/>
    <w:rsid w:val="005F48E5"/>
    <w:rsid w:val="005F4CFD"/>
    <w:rsid w:val="005F4FBD"/>
    <w:rsid w:val="005F63EA"/>
    <w:rsid w:val="005F71B5"/>
    <w:rsid w:val="005F752A"/>
    <w:rsid w:val="005F77D1"/>
    <w:rsid w:val="005F787D"/>
    <w:rsid w:val="006017AE"/>
    <w:rsid w:val="00601A81"/>
    <w:rsid w:val="00603735"/>
    <w:rsid w:val="00603796"/>
    <w:rsid w:val="00605976"/>
    <w:rsid w:val="00605B55"/>
    <w:rsid w:val="00607229"/>
    <w:rsid w:val="00607794"/>
    <w:rsid w:val="006078EE"/>
    <w:rsid w:val="006112D5"/>
    <w:rsid w:val="00611BB0"/>
    <w:rsid w:val="0061264C"/>
    <w:rsid w:val="006131FD"/>
    <w:rsid w:val="0061396F"/>
    <w:rsid w:val="00614E62"/>
    <w:rsid w:val="00615AB1"/>
    <w:rsid w:val="0061699B"/>
    <w:rsid w:val="00620BD8"/>
    <w:rsid w:val="00621567"/>
    <w:rsid w:val="00621B62"/>
    <w:rsid w:val="00622493"/>
    <w:rsid w:val="006244C5"/>
    <w:rsid w:val="0062521D"/>
    <w:rsid w:val="0062623F"/>
    <w:rsid w:val="006265D0"/>
    <w:rsid w:val="00626B14"/>
    <w:rsid w:val="00627621"/>
    <w:rsid w:val="006319AB"/>
    <w:rsid w:val="00632087"/>
    <w:rsid w:val="0063239E"/>
    <w:rsid w:val="00634EF5"/>
    <w:rsid w:val="00635DFA"/>
    <w:rsid w:val="00636EF2"/>
    <w:rsid w:val="0063784B"/>
    <w:rsid w:val="006379D8"/>
    <w:rsid w:val="00640366"/>
    <w:rsid w:val="00641BC5"/>
    <w:rsid w:val="00641DBB"/>
    <w:rsid w:val="00642368"/>
    <w:rsid w:val="00642B4F"/>
    <w:rsid w:val="00643054"/>
    <w:rsid w:val="00644A99"/>
    <w:rsid w:val="00645025"/>
    <w:rsid w:val="00645F7B"/>
    <w:rsid w:val="006471F7"/>
    <w:rsid w:val="00647CDC"/>
    <w:rsid w:val="006503BF"/>
    <w:rsid w:val="00651FED"/>
    <w:rsid w:val="006548B0"/>
    <w:rsid w:val="00654A33"/>
    <w:rsid w:val="00654C65"/>
    <w:rsid w:val="00660C88"/>
    <w:rsid w:val="0066125C"/>
    <w:rsid w:val="00662442"/>
    <w:rsid w:val="006644A7"/>
    <w:rsid w:val="00664CF4"/>
    <w:rsid w:val="00665E38"/>
    <w:rsid w:val="00666076"/>
    <w:rsid w:val="00666FA6"/>
    <w:rsid w:val="006674FE"/>
    <w:rsid w:val="00672057"/>
    <w:rsid w:val="006720B2"/>
    <w:rsid w:val="0067259B"/>
    <w:rsid w:val="0067373F"/>
    <w:rsid w:val="006737FD"/>
    <w:rsid w:val="00674D3D"/>
    <w:rsid w:val="00674E64"/>
    <w:rsid w:val="00674F04"/>
    <w:rsid w:val="0067541E"/>
    <w:rsid w:val="00675A38"/>
    <w:rsid w:val="00675BCA"/>
    <w:rsid w:val="00675DC9"/>
    <w:rsid w:val="00676136"/>
    <w:rsid w:val="00676430"/>
    <w:rsid w:val="006768F4"/>
    <w:rsid w:val="006770C0"/>
    <w:rsid w:val="00680B2A"/>
    <w:rsid w:val="00680E7F"/>
    <w:rsid w:val="006810A1"/>
    <w:rsid w:val="006814E8"/>
    <w:rsid w:val="00681A2D"/>
    <w:rsid w:val="00681E06"/>
    <w:rsid w:val="00683077"/>
    <w:rsid w:val="00683147"/>
    <w:rsid w:val="00683471"/>
    <w:rsid w:val="00684936"/>
    <w:rsid w:val="00684B52"/>
    <w:rsid w:val="00686697"/>
    <w:rsid w:val="0069001B"/>
    <w:rsid w:val="00691142"/>
    <w:rsid w:val="006928B0"/>
    <w:rsid w:val="00694EC7"/>
    <w:rsid w:val="00694FDE"/>
    <w:rsid w:val="00695301"/>
    <w:rsid w:val="0069623D"/>
    <w:rsid w:val="0069669E"/>
    <w:rsid w:val="00697212"/>
    <w:rsid w:val="006979A4"/>
    <w:rsid w:val="006A0695"/>
    <w:rsid w:val="006A0D06"/>
    <w:rsid w:val="006A24B2"/>
    <w:rsid w:val="006A36DE"/>
    <w:rsid w:val="006A46B5"/>
    <w:rsid w:val="006A519E"/>
    <w:rsid w:val="006A75BE"/>
    <w:rsid w:val="006B03B7"/>
    <w:rsid w:val="006B0772"/>
    <w:rsid w:val="006B091C"/>
    <w:rsid w:val="006B232B"/>
    <w:rsid w:val="006B25F9"/>
    <w:rsid w:val="006B3631"/>
    <w:rsid w:val="006B510B"/>
    <w:rsid w:val="006B5275"/>
    <w:rsid w:val="006B661A"/>
    <w:rsid w:val="006B7005"/>
    <w:rsid w:val="006B732D"/>
    <w:rsid w:val="006C05CC"/>
    <w:rsid w:val="006C0860"/>
    <w:rsid w:val="006C0DA8"/>
    <w:rsid w:val="006C1232"/>
    <w:rsid w:val="006C2AE6"/>
    <w:rsid w:val="006C32F3"/>
    <w:rsid w:val="006C46BD"/>
    <w:rsid w:val="006C4ED0"/>
    <w:rsid w:val="006D00E3"/>
    <w:rsid w:val="006D029C"/>
    <w:rsid w:val="006D02AD"/>
    <w:rsid w:val="006D1807"/>
    <w:rsid w:val="006D2DA6"/>
    <w:rsid w:val="006D34D8"/>
    <w:rsid w:val="006D5D7A"/>
    <w:rsid w:val="006D617B"/>
    <w:rsid w:val="006D6269"/>
    <w:rsid w:val="006D77FB"/>
    <w:rsid w:val="006D7801"/>
    <w:rsid w:val="006E080E"/>
    <w:rsid w:val="006E1383"/>
    <w:rsid w:val="006E13C9"/>
    <w:rsid w:val="006E2753"/>
    <w:rsid w:val="006E30C0"/>
    <w:rsid w:val="006E4D0F"/>
    <w:rsid w:val="006E56D2"/>
    <w:rsid w:val="006E61B5"/>
    <w:rsid w:val="006F0353"/>
    <w:rsid w:val="006F062A"/>
    <w:rsid w:val="006F092B"/>
    <w:rsid w:val="006F3602"/>
    <w:rsid w:val="006F3CD5"/>
    <w:rsid w:val="006F474D"/>
    <w:rsid w:val="006F4B0A"/>
    <w:rsid w:val="006F55BC"/>
    <w:rsid w:val="006F5D99"/>
    <w:rsid w:val="006F683F"/>
    <w:rsid w:val="006F778E"/>
    <w:rsid w:val="00700283"/>
    <w:rsid w:val="007005C7"/>
    <w:rsid w:val="00700E7B"/>
    <w:rsid w:val="007032C6"/>
    <w:rsid w:val="0070404D"/>
    <w:rsid w:val="00705321"/>
    <w:rsid w:val="00705B96"/>
    <w:rsid w:val="00705DDB"/>
    <w:rsid w:val="007065CB"/>
    <w:rsid w:val="00707D49"/>
    <w:rsid w:val="00711150"/>
    <w:rsid w:val="007115CE"/>
    <w:rsid w:val="00713C40"/>
    <w:rsid w:val="007150D1"/>
    <w:rsid w:val="00715B2B"/>
    <w:rsid w:val="00716541"/>
    <w:rsid w:val="00716C9F"/>
    <w:rsid w:val="00720386"/>
    <w:rsid w:val="00720CB0"/>
    <w:rsid w:val="007212B9"/>
    <w:rsid w:val="00721679"/>
    <w:rsid w:val="00722113"/>
    <w:rsid w:val="007222BF"/>
    <w:rsid w:val="007222D3"/>
    <w:rsid w:val="007226B0"/>
    <w:rsid w:val="0072365F"/>
    <w:rsid w:val="00724A0B"/>
    <w:rsid w:val="00724FA2"/>
    <w:rsid w:val="00726301"/>
    <w:rsid w:val="00730928"/>
    <w:rsid w:val="00731184"/>
    <w:rsid w:val="00731506"/>
    <w:rsid w:val="007331C9"/>
    <w:rsid w:val="007331CA"/>
    <w:rsid w:val="00733BF3"/>
    <w:rsid w:val="00735010"/>
    <w:rsid w:val="007371EE"/>
    <w:rsid w:val="00742D47"/>
    <w:rsid w:val="00743B3A"/>
    <w:rsid w:val="00744DA0"/>
    <w:rsid w:val="00745051"/>
    <w:rsid w:val="00746BA0"/>
    <w:rsid w:val="0075172A"/>
    <w:rsid w:val="00754F1C"/>
    <w:rsid w:val="0075699F"/>
    <w:rsid w:val="00757487"/>
    <w:rsid w:val="00760546"/>
    <w:rsid w:val="00760709"/>
    <w:rsid w:val="0076075B"/>
    <w:rsid w:val="00760AAB"/>
    <w:rsid w:val="007621EB"/>
    <w:rsid w:val="007625C7"/>
    <w:rsid w:val="0076348A"/>
    <w:rsid w:val="007645F4"/>
    <w:rsid w:val="00764B74"/>
    <w:rsid w:val="007679F6"/>
    <w:rsid w:val="007706CD"/>
    <w:rsid w:val="00771B52"/>
    <w:rsid w:val="00771E62"/>
    <w:rsid w:val="00772C0C"/>
    <w:rsid w:val="00772E74"/>
    <w:rsid w:val="007730F1"/>
    <w:rsid w:val="00773504"/>
    <w:rsid w:val="00774722"/>
    <w:rsid w:val="00774E97"/>
    <w:rsid w:val="00775FB1"/>
    <w:rsid w:val="00776172"/>
    <w:rsid w:val="00776204"/>
    <w:rsid w:val="0077636B"/>
    <w:rsid w:val="00780FCD"/>
    <w:rsid w:val="007812D0"/>
    <w:rsid w:val="00782C45"/>
    <w:rsid w:val="00783B33"/>
    <w:rsid w:val="0078601C"/>
    <w:rsid w:val="00786C2D"/>
    <w:rsid w:val="00787356"/>
    <w:rsid w:val="007906E7"/>
    <w:rsid w:val="00791EFE"/>
    <w:rsid w:val="00792BCB"/>
    <w:rsid w:val="007953CB"/>
    <w:rsid w:val="00795453"/>
    <w:rsid w:val="00795827"/>
    <w:rsid w:val="00796168"/>
    <w:rsid w:val="0079695A"/>
    <w:rsid w:val="007A0C3B"/>
    <w:rsid w:val="007A134D"/>
    <w:rsid w:val="007A1BC0"/>
    <w:rsid w:val="007A1BDE"/>
    <w:rsid w:val="007A396E"/>
    <w:rsid w:val="007A43A4"/>
    <w:rsid w:val="007A4D36"/>
    <w:rsid w:val="007A60C6"/>
    <w:rsid w:val="007A71FC"/>
    <w:rsid w:val="007A73CF"/>
    <w:rsid w:val="007A7CFC"/>
    <w:rsid w:val="007A7D6F"/>
    <w:rsid w:val="007B023E"/>
    <w:rsid w:val="007B07AD"/>
    <w:rsid w:val="007B1177"/>
    <w:rsid w:val="007B11E5"/>
    <w:rsid w:val="007B177B"/>
    <w:rsid w:val="007B2997"/>
    <w:rsid w:val="007B406D"/>
    <w:rsid w:val="007B48B4"/>
    <w:rsid w:val="007B5BEE"/>
    <w:rsid w:val="007B7FE5"/>
    <w:rsid w:val="007C1AB4"/>
    <w:rsid w:val="007C3313"/>
    <w:rsid w:val="007C3978"/>
    <w:rsid w:val="007C58CD"/>
    <w:rsid w:val="007C6C4C"/>
    <w:rsid w:val="007C73C8"/>
    <w:rsid w:val="007C754E"/>
    <w:rsid w:val="007D03C6"/>
    <w:rsid w:val="007D1B94"/>
    <w:rsid w:val="007D29E8"/>
    <w:rsid w:val="007D2EB0"/>
    <w:rsid w:val="007D32B1"/>
    <w:rsid w:val="007D42A3"/>
    <w:rsid w:val="007D47E1"/>
    <w:rsid w:val="007D5FC1"/>
    <w:rsid w:val="007D6293"/>
    <w:rsid w:val="007D6514"/>
    <w:rsid w:val="007D6C5B"/>
    <w:rsid w:val="007D6EC2"/>
    <w:rsid w:val="007D74B2"/>
    <w:rsid w:val="007D7512"/>
    <w:rsid w:val="007E0707"/>
    <w:rsid w:val="007E17DE"/>
    <w:rsid w:val="007E292C"/>
    <w:rsid w:val="007E34E9"/>
    <w:rsid w:val="007E3A05"/>
    <w:rsid w:val="007E3C05"/>
    <w:rsid w:val="007E3F38"/>
    <w:rsid w:val="007E4122"/>
    <w:rsid w:val="007E4F25"/>
    <w:rsid w:val="007E5594"/>
    <w:rsid w:val="007E63BC"/>
    <w:rsid w:val="007E6D8F"/>
    <w:rsid w:val="007E71F8"/>
    <w:rsid w:val="007E76C4"/>
    <w:rsid w:val="007E7AEE"/>
    <w:rsid w:val="007F046A"/>
    <w:rsid w:val="007F1E08"/>
    <w:rsid w:val="007F264D"/>
    <w:rsid w:val="007F26B1"/>
    <w:rsid w:val="007F3680"/>
    <w:rsid w:val="007F4AF8"/>
    <w:rsid w:val="007F5F6C"/>
    <w:rsid w:val="007F614E"/>
    <w:rsid w:val="007F78E0"/>
    <w:rsid w:val="00800273"/>
    <w:rsid w:val="008007A4"/>
    <w:rsid w:val="00801B4D"/>
    <w:rsid w:val="00803E00"/>
    <w:rsid w:val="00803FB4"/>
    <w:rsid w:val="0080487D"/>
    <w:rsid w:val="0080514A"/>
    <w:rsid w:val="008051C3"/>
    <w:rsid w:val="00806A0F"/>
    <w:rsid w:val="00806F49"/>
    <w:rsid w:val="008078BA"/>
    <w:rsid w:val="00811659"/>
    <w:rsid w:val="0081286F"/>
    <w:rsid w:val="00814D56"/>
    <w:rsid w:val="008161FC"/>
    <w:rsid w:val="00817A29"/>
    <w:rsid w:val="00820773"/>
    <w:rsid w:val="00822F44"/>
    <w:rsid w:val="00824379"/>
    <w:rsid w:val="00824F3C"/>
    <w:rsid w:val="0082535D"/>
    <w:rsid w:val="0082717C"/>
    <w:rsid w:val="00827376"/>
    <w:rsid w:val="00827CD6"/>
    <w:rsid w:val="00830A8A"/>
    <w:rsid w:val="00831A80"/>
    <w:rsid w:val="00832C6B"/>
    <w:rsid w:val="00833398"/>
    <w:rsid w:val="00833F86"/>
    <w:rsid w:val="008341DC"/>
    <w:rsid w:val="00834F83"/>
    <w:rsid w:val="00835125"/>
    <w:rsid w:val="008351E5"/>
    <w:rsid w:val="008351F5"/>
    <w:rsid w:val="00840EAF"/>
    <w:rsid w:val="00842C51"/>
    <w:rsid w:val="00844672"/>
    <w:rsid w:val="00844B2D"/>
    <w:rsid w:val="00846B68"/>
    <w:rsid w:val="0084754B"/>
    <w:rsid w:val="0085092E"/>
    <w:rsid w:val="00852E0D"/>
    <w:rsid w:val="008531E6"/>
    <w:rsid w:val="00853310"/>
    <w:rsid w:val="0085423C"/>
    <w:rsid w:val="008545EF"/>
    <w:rsid w:val="00854C61"/>
    <w:rsid w:val="008550C5"/>
    <w:rsid w:val="008551D5"/>
    <w:rsid w:val="00855570"/>
    <w:rsid w:val="00855CC0"/>
    <w:rsid w:val="008561FB"/>
    <w:rsid w:val="00857DA4"/>
    <w:rsid w:val="008603C7"/>
    <w:rsid w:val="00862072"/>
    <w:rsid w:val="0086231F"/>
    <w:rsid w:val="00862757"/>
    <w:rsid w:val="00862BDA"/>
    <w:rsid w:val="008635D9"/>
    <w:rsid w:val="00863F71"/>
    <w:rsid w:val="0086646F"/>
    <w:rsid w:val="008704B8"/>
    <w:rsid w:val="008710BD"/>
    <w:rsid w:val="008711D3"/>
    <w:rsid w:val="00872648"/>
    <w:rsid w:val="00872D9F"/>
    <w:rsid w:val="0087348D"/>
    <w:rsid w:val="00874116"/>
    <w:rsid w:val="00874212"/>
    <w:rsid w:val="008745EA"/>
    <w:rsid w:val="0087474F"/>
    <w:rsid w:val="00874F27"/>
    <w:rsid w:val="008756C4"/>
    <w:rsid w:val="008807C8"/>
    <w:rsid w:val="00880968"/>
    <w:rsid w:val="0088147D"/>
    <w:rsid w:val="00881EE6"/>
    <w:rsid w:val="008821C8"/>
    <w:rsid w:val="008821F9"/>
    <w:rsid w:val="00882836"/>
    <w:rsid w:val="00883771"/>
    <w:rsid w:val="00883DA7"/>
    <w:rsid w:val="008845A7"/>
    <w:rsid w:val="00884D69"/>
    <w:rsid w:val="0089057F"/>
    <w:rsid w:val="008908A2"/>
    <w:rsid w:val="00890B83"/>
    <w:rsid w:val="008912B6"/>
    <w:rsid w:val="0089131A"/>
    <w:rsid w:val="00892F4F"/>
    <w:rsid w:val="008958A7"/>
    <w:rsid w:val="00895C3F"/>
    <w:rsid w:val="00896003"/>
    <w:rsid w:val="008A283C"/>
    <w:rsid w:val="008A2C23"/>
    <w:rsid w:val="008A3512"/>
    <w:rsid w:val="008A35F9"/>
    <w:rsid w:val="008A37EA"/>
    <w:rsid w:val="008A402C"/>
    <w:rsid w:val="008A6C33"/>
    <w:rsid w:val="008A7E0C"/>
    <w:rsid w:val="008B0BF0"/>
    <w:rsid w:val="008B2216"/>
    <w:rsid w:val="008B2DE3"/>
    <w:rsid w:val="008B3165"/>
    <w:rsid w:val="008B3F59"/>
    <w:rsid w:val="008B4FCE"/>
    <w:rsid w:val="008B54E9"/>
    <w:rsid w:val="008B7D33"/>
    <w:rsid w:val="008C1207"/>
    <w:rsid w:val="008C1324"/>
    <w:rsid w:val="008C199C"/>
    <w:rsid w:val="008C2141"/>
    <w:rsid w:val="008C26B6"/>
    <w:rsid w:val="008C2B99"/>
    <w:rsid w:val="008C53B2"/>
    <w:rsid w:val="008C6156"/>
    <w:rsid w:val="008C61EB"/>
    <w:rsid w:val="008C68CF"/>
    <w:rsid w:val="008C707C"/>
    <w:rsid w:val="008C7CCA"/>
    <w:rsid w:val="008D0C87"/>
    <w:rsid w:val="008D0F41"/>
    <w:rsid w:val="008D117A"/>
    <w:rsid w:val="008D32C9"/>
    <w:rsid w:val="008D33F5"/>
    <w:rsid w:val="008D4898"/>
    <w:rsid w:val="008D53BD"/>
    <w:rsid w:val="008D6106"/>
    <w:rsid w:val="008D6B2B"/>
    <w:rsid w:val="008D7323"/>
    <w:rsid w:val="008D7B90"/>
    <w:rsid w:val="008E0C30"/>
    <w:rsid w:val="008E0FB4"/>
    <w:rsid w:val="008E11C0"/>
    <w:rsid w:val="008E2D13"/>
    <w:rsid w:val="008E2EFE"/>
    <w:rsid w:val="008E5794"/>
    <w:rsid w:val="008E5AA1"/>
    <w:rsid w:val="008E709B"/>
    <w:rsid w:val="008E7532"/>
    <w:rsid w:val="008E7A0E"/>
    <w:rsid w:val="008E7BF3"/>
    <w:rsid w:val="008F0996"/>
    <w:rsid w:val="008F15FB"/>
    <w:rsid w:val="008F19A6"/>
    <w:rsid w:val="008F3992"/>
    <w:rsid w:val="008F3C69"/>
    <w:rsid w:val="008F430E"/>
    <w:rsid w:val="008F485E"/>
    <w:rsid w:val="008F536B"/>
    <w:rsid w:val="008F5A3E"/>
    <w:rsid w:val="008F5AC7"/>
    <w:rsid w:val="008F5CAC"/>
    <w:rsid w:val="008F7F26"/>
    <w:rsid w:val="008F7F49"/>
    <w:rsid w:val="00900510"/>
    <w:rsid w:val="00901B3A"/>
    <w:rsid w:val="0090265E"/>
    <w:rsid w:val="0090274F"/>
    <w:rsid w:val="009040BB"/>
    <w:rsid w:val="0090561E"/>
    <w:rsid w:val="00910166"/>
    <w:rsid w:val="009111ED"/>
    <w:rsid w:val="00911A7E"/>
    <w:rsid w:val="009129A8"/>
    <w:rsid w:val="0091374B"/>
    <w:rsid w:val="0091397A"/>
    <w:rsid w:val="00914072"/>
    <w:rsid w:val="00915724"/>
    <w:rsid w:val="00915AF7"/>
    <w:rsid w:val="00916608"/>
    <w:rsid w:val="00916690"/>
    <w:rsid w:val="00920254"/>
    <w:rsid w:val="00920832"/>
    <w:rsid w:val="00921A3F"/>
    <w:rsid w:val="00921DF9"/>
    <w:rsid w:val="00922791"/>
    <w:rsid w:val="00922DDB"/>
    <w:rsid w:val="00923B5C"/>
    <w:rsid w:val="00923CE2"/>
    <w:rsid w:val="00924407"/>
    <w:rsid w:val="00924ECC"/>
    <w:rsid w:val="009253CD"/>
    <w:rsid w:val="00926037"/>
    <w:rsid w:val="00926782"/>
    <w:rsid w:val="009267CE"/>
    <w:rsid w:val="00927730"/>
    <w:rsid w:val="00927C1C"/>
    <w:rsid w:val="00930628"/>
    <w:rsid w:val="00930EF5"/>
    <w:rsid w:val="009319CC"/>
    <w:rsid w:val="0093239F"/>
    <w:rsid w:val="00933BBA"/>
    <w:rsid w:val="00933CE2"/>
    <w:rsid w:val="00934CC5"/>
    <w:rsid w:val="0093596E"/>
    <w:rsid w:val="00937D77"/>
    <w:rsid w:val="00940581"/>
    <w:rsid w:val="00940CD2"/>
    <w:rsid w:val="00940E21"/>
    <w:rsid w:val="0094358B"/>
    <w:rsid w:val="00943E89"/>
    <w:rsid w:val="00944641"/>
    <w:rsid w:val="00947190"/>
    <w:rsid w:val="00947350"/>
    <w:rsid w:val="0095053B"/>
    <w:rsid w:val="009507BF"/>
    <w:rsid w:val="0095092E"/>
    <w:rsid w:val="00950DA3"/>
    <w:rsid w:val="0095147B"/>
    <w:rsid w:val="00953175"/>
    <w:rsid w:val="0095543B"/>
    <w:rsid w:val="00955E02"/>
    <w:rsid w:val="00957E6C"/>
    <w:rsid w:val="00960B08"/>
    <w:rsid w:val="00960C22"/>
    <w:rsid w:val="009621A9"/>
    <w:rsid w:val="009637E0"/>
    <w:rsid w:val="00963840"/>
    <w:rsid w:val="00964C70"/>
    <w:rsid w:val="00964ED6"/>
    <w:rsid w:val="009660F0"/>
    <w:rsid w:val="0096627E"/>
    <w:rsid w:val="00967089"/>
    <w:rsid w:val="00967D1D"/>
    <w:rsid w:val="009704D0"/>
    <w:rsid w:val="00971BB5"/>
    <w:rsid w:val="00971BC5"/>
    <w:rsid w:val="00972496"/>
    <w:rsid w:val="009732C1"/>
    <w:rsid w:val="00974128"/>
    <w:rsid w:val="00975486"/>
    <w:rsid w:val="00977341"/>
    <w:rsid w:val="00977598"/>
    <w:rsid w:val="0098236B"/>
    <w:rsid w:val="00983117"/>
    <w:rsid w:val="0098575B"/>
    <w:rsid w:val="00985AE3"/>
    <w:rsid w:val="00985FC6"/>
    <w:rsid w:val="00986217"/>
    <w:rsid w:val="00986A36"/>
    <w:rsid w:val="009873A0"/>
    <w:rsid w:val="00987545"/>
    <w:rsid w:val="00990FDB"/>
    <w:rsid w:val="00991765"/>
    <w:rsid w:val="00991B17"/>
    <w:rsid w:val="00991BF9"/>
    <w:rsid w:val="00991D3F"/>
    <w:rsid w:val="00994321"/>
    <w:rsid w:val="00994B79"/>
    <w:rsid w:val="0099569C"/>
    <w:rsid w:val="00996027"/>
    <w:rsid w:val="00996206"/>
    <w:rsid w:val="00997636"/>
    <w:rsid w:val="009A072E"/>
    <w:rsid w:val="009A13E5"/>
    <w:rsid w:val="009A163F"/>
    <w:rsid w:val="009A1735"/>
    <w:rsid w:val="009A279F"/>
    <w:rsid w:val="009A291E"/>
    <w:rsid w:val="009A2D4D"/>
    <w:rsid w:val="009A500D"/>
    <w:rsid w:val="009A544E"/>
    <w:rsid w:val="009A5C85"/>
    <w:rsid w:val="009A5ED8"/>
    <w:rsid w:val="009A6D9B"/>
    <w:rsid w:val="009B1725"/>
    <w:rsid w:val="009B1BB4"/>
    <w:rsid w:val="009B1D23"/>
    <w:rsid w:val="009B2298"/>
    <w:rsid w:val="009B2CBC"/>
    <w:rsid w:val="009B31E4"/>
    <w:rsid w:val="009B3932"/>
    <w:rsid w:val="009B4454"/>
    <w:rsid w:val="009B6594"/>
    <w:rsid w:val="009B6780"/>
    <w:rsid w:val="009B6954"/>
    <w:rsid w:val="009B79D2"/>
    <w:rsid w:val="009C18A0"/>
    <w:rsid w:val="009C2514"/>
    <w:rsid w:val="009C3200"/>
    <w:rsid w:val="009C4E19"/>
    <w:rsid w:val="009C52B4"/>
    <w:rsid w:val="009C592D"/>
    <w:rsid w:val="009C5CF9"/>
    <w:rsid w:val="009D0C73"/>
    <w:rsid w:val="009D1C39"/>
    <w:rsid w:val="009D22E9"/>
    <w:rsid w:val="009D2424"/>
    <w:rsid w:val="009D2DCB"/>
    <w:rsid w:val="009D3053"/>
    <w:rsid w:val="009D4459"/>
    <w:rsid w:val="009D44B0"/>
    <w:rsid w:val="009D5A4E"/>
    <w:rsid w:val="009D5A8F"/>
    <w:rsid w:val="009D6115"/>
    <w:rsid w:val="009D794C"/>
    <w:rsid w:val="009E0DAD"/>
    <w:rsid w:val="009E1C38"/>
    <w:rsid w:val="009E2F4C"/>
    <w:rsid w:val="009E3E32"/>
    <w:rsid w:val="009E6150"/>
    <w:rsid w:val="009E6B9F"/>
    <w:rsid w:val="009E783C"/>
    <w:rsid w:val="009E7CFF"/>
    <w:rsid w:val="009F0918"/>
    <w:rsid w:val="009F1B85"/>
    <w:rsid w:val="009F2BD6"/>
    <w:rsid w:val="009F3A59"/>
    <w:rsid w:val="009F7398"/>
    <w:rsid w:val="00A01971"/>
    <w:rsid w:val="00A02108"/>
    <w:rsid w:val="00A027F5"/>
    <w:rsid w:val="00A034BD"/>
    <w:rsid w:val="00A04529"/>
    <w:rsid w:val="00A057E6"/>
    <w:rsid w:val="00A05F70"/>
    <w:rsid w:val="00A0684E"/>
    <w:rsid w:val="00A0719E"/>
    <w:rsid w:val="00A10D91"/>
    <w:rsid w:val="00A11BA7"/>
    <w:rsid w:val="00A133CB"/>
    <w:rsid w:val="00A13AC5"/>
    <w:rsid w:val="00A13FAF"/>
    <w:rsid w:val="00A1455D"/>
    <w:rsid w:val="00A176E9"/>
    <w:rsid w:val="00A177EB"/>
    <w:rsid w:val="00A17C16"/>
    <w:rsid w:val="00A17FE1"/>
    <w:rsid w:val="00A2082E"/>
    <w:rsid w:val="00A209F3"/>
    <w:rsid w:val="00A20BA1"/>
    <w:rsid w:val="00A21862"/>
    <w:rsid w:val="00A22B4B"/>
    <w:rsid w:val="00A2380E"/>
    <w:rsid w:val="00A244DC"/>
    <w:rsid w:val="00A25991"/>
    <w:rsid w:val="00A2601C"/>
    <w:rsid w:val="00A26659"/>
    <w:rsid w:val="00A2720A"/>
    <w:rsid w:val="00A2769D"/>
    <w:rsid w:val="00A27770"/>
    <w:rsid w:val="00A27CD2"/>
    <w:rsid w:val="00A30964"/>
    <w:rsid w:val="00A31B61"/>
    <w:rsid w:val="00A332C6"/>
    <w:rsid w:val="00A33CE0"/>
    <w:rsid w:val="00A345BE"/>
    <w:rsid w:val="00A34AAC"/>
    <w:rsid w:val="00A34D90"/>
    <w:rsid w:val="00A354A3"/>
    <w:rsid w:val="00A36D71"/>
    <w:rsid w:val="00A3727C"/>
    <w:rsid w:val="00A3728F"/>
    <w:rsid w:val="00A374BF"/>
    <w:rsid w:val="00A37B12"/>
    <w:rsid w:val="00A410B6"/>
    <w:rsid w:val="00A412B9"/>
    <w:rsid w:val="00A42492"/>
    <w:rsid w:val="00A43153"/>
    <w:rsid w:val="00A44DA9"/>
    <w:rsid w:val="00A44E3A"/>
    <w:rsid w:val="00A45B3B"/>
    <w:rsid w:val="00A46671"/>
    <w:rsid w:val="00A477B1"/>
    <w:rsid w:val="00A47F0E"/>
    <w:rsid w:val="00A53785"/>
    <w:rsid w:val="00A549EB"/>
    <w:rsid w:val="00A54BF0"/>
    <w:rsid w:val="00A55A8D"/>
    <w:rsid w:val="00A5618F"/>
    <w:rsid w:val="00A56438"/>
    <w:rsid w:val="00A5676B"/>
    <w:rsid w:val="00A57187"/>
    <w:rsid w:val="00A61B0B"/>
    <w:rsid w:val="00A62CB1"/>
    <w:rsid w:val="00A63CD5"/>
    <w:rsid w:val="00A6520B"/>
    <w:rsid w:val="00A666AC"/>
    <w:rsid w:val="00A66BE8"/>
    <w:rsid w:val="00A670F2"/>
    <w:rsid w:val="00A671EA"/>
    <w:rsid w:val="00A711A7"/>
    <w:rsid w:val="00A713FA"/>
    <w:rsid w:val="00A71B98"/>
    <w:rsid w:val="00A737D5"/>
    <w:rsid w:val="00A740FB"/>
    <w:rsid w:val="00A7447B"/>
    <w:rsid w:val="00A7490A"/>
    <w:rsid w:val="00A75229"/>
    <w:rsid w:val="00A7613F"/>
    <w:rsid w:val="00A77FAE"/>
    <w:rsid w:val="00A80A1C"/>
    <w:rsid w:val="00A80B89"/>
    <w:rsid w:val="00A819AA"/>
    <w:rsid w:val="00A81A39"/>
    <w:rsid w:val="00A824F9"/>
    <w:rsid w:val="00A837E2"/>
    <w:rsid w:val="00A837FC"/>
    <w:rsid w:val="00A8449B"/>
    <w:rsid w:val="00A85D6C"/>
    <w:rsid w:val="00A85E12"/>
    <w:rsid w:val="00A861C3"/>
    <w:rsid w:val="00A86668"/>
    <w:rsid w:val="00A879AD"/>
    <w:rsid w:val="00A905A9"/>
    <w:rsid w:val="00A90B70"/>
    <w:rsid w:val="00A90DE6"/>
    <w:rsid w:val="00A911F8"/>
    <w:rsid w:val="00A91FF9"/>
    <w:rsid w:val="00A9224D"/>
    <w:rsid w:val="00A928A8"/>
    <w:rsid w:val="00A92FEA"/>
    <w:rsid w:val="00A93FC7"/>
    <w:rsid w:val="00A952AD"/>
    <w:rsid w:val="00A960E1"/>
    <w:rsid w:val="00A96424"/>
    <w:rsid w:val="00A97C0B"/>
    <w:rsid w:val="00AA0DD3"/>
    <w:rsid w:val="00AA0FCB"/>
    <w:rsid w:val="00AA1650"/>
    <w:rsid w:val="00AA170F"/>
    <w:rsid w:val="00AA3DFE"/>
    <w:rsid w:val="00AA517D"/>
    <w:rsid w:val="00AA59A2"/>
    <w:rsid w:val="00AA5E94"/>
    <w:rsid w:val="00AA7871"/>
    <w:rsid w:val="00AA7CB6"/>
    <w:rsid w:val="00AB123C"/>
    <w:rsid w:val="00AB3195"/>
    <w:rsid w:val="00AB31A5"/>
    <w:rsid w:val="00AB3EAB"/>
    <w:rsid w:val="00AB4304"/>
    <w:rsid w:val="00AB503D"/>
    <w:rsid w:val="00AB5525"/>
    <w:rsid w:val="00AC0E2F"/>
    <w:rsid w:val="00AC17DE"/>
    <w:rsid w:val="00AC19DE"/>
    <w:rsid w:val="00AC1DE0"/>
    <w:rsid w:val="00AC21E6"/>
    <w:rsid w:val="00AC4B29"/>
    <w:rsid w:val="00AC4D97"/>
    <w:rsid w:val="00AC4E61"/>
    <w:rsid w:val="00AC5539"/>
    <w:rsid w:val="00AC5CF1"/>
    <w:rsid w:val="00AC5E2E"/>
    <w:rsid w:val="00AC609E"/>
    <w:rsid w:val="00AC63B2"/>
    <w:rsid w:val="00AC69E4"/>
    <w:rsid w:val="00AD0BF4"/>
    <w:rsid w:val="00AD11D3"/>
    <w:rsid w:val="00AD157F"/>
    <w:rsid w:val="00AD1E7F"/>
    <w:rsid w:val="00AD3277"/>
    <w:rsid w:val="00AD3E4F"/>
    <w:rsid w:val="00AD4F4D"/>
    <w:rsid w:val="00AD6354"/>
    <w:rsid w:val="00AD6C4A"/>
    <w:rsid w:val="00AD6E84"/>
    <w:rsid w:val="00AD79B7"/>
    <w:rsid w:val="00AE0D33"/>
    <w:rsid w:val="00AE22A6"/>
    <w:rsid w:val="00AE2316"/>
    <w:rsid w:val="00AE2B44"/>
    <w:rsid w:val="00AE49E8"/>
    <w:rsid w:val="00AE64C8"/>
    <w:rsid w:val="00AE755F"/>
    <w:rsid w:val="00AE7D4E"/>
    <w:rsid w:val="00AF0366"/>
    <w:rsid w:val="00AF062C"/>
    <w:rsid w:val="00AF1761"/>
    <w:rsid w:val="00AF27BD"/>
    <w:rsid w:val="00AF3F60"/>
    <w:rsid w:val="00AF5190"/>
    <w:rsid w:val="00AF5538"/>
    <w:rsid w:val="00AF75FD"/>
    <w:rsid w:val="00B004D8"/>
    <w:rsid w:val="00B00BA0"/>
    <w:rsid w:val="00B016CE"/>
    <w:rsid w:val="00B03023"/>
    <w:rsid w:val="00B032A3"/>
    <w:rsid w:val="00B05100"/>
    <w:rsid w:val="00B05866"/>
    <w:rsid w:val="00B104EA"/>
    <w:rsid w:val="00B10D63"/>
    <w:rsid w:val="00B12505"/>
    <w:rsid w:val="00B13D91"/>
    <w:rsid w:val="00B141AE"/>
    <w:rsid w:val="00B14746"/>
    <w:rsid w:val="00B14C70"/>
    <w:rsid w:val="00B15C62"/>
    <w:rsid w:val="00B1693A"/>
    <w:rsid w:val="00B17CBF"/>
    <w:rsid w:val="00B20AD2"/>
    <w:rsid w:val="00B20D7F"/>
    <w:rsid w:val="00B20D86"/>
    <w:rsid w:val="00B20F0B"/>
    <w:rsid w:val="00B22E02"/>
    <w:rsid w:val="00B23E7A"/>
    <w:rsid w:val="00B240BC"/>
    <w:rsid w:val="00B257BB"/>
    <w:rsid w:val="00B25876"/>
    <w:rsid w:val="00B26D92"/>
    <w:rsid w:val="00B27078"/>
    <w:rsid w:val="00B3130C"/>
    <w:rsid w:val="00B32491"/>
    <w:rsid w:val="00B335D6"/>
    <w:rsid w:val="00B34EA1"/>
    <w:rsid w:val="00B35265"/>
    <w:rsid w:val="00B35360"/>
    <w:rsid w:val="00B36740"/>
    <w:rsid w:val="00B36E8F"/>
    <w:rsid w:val="00B376EA"/>
    <w:rsid w:val="00B4295C"/>
    <w:rsid w:val="00B42D70"/>
    <w:rsid w:val="00B42F80"/>
    <w:rsid w:val="00B44552"/>
    <w:rsid w:val="00B46828"/>
    <w:rsid w:val="00B4795A"/>
    <w:rsid w:val="00B53FD9"/>
    <w:rsid w:val="00B5522E"/>
    <w:rsid w:val="00B56CD4"/>
    <w:rsid w:val="00B57C58"/>
    <w:rsid w:val="00B626D8"/>
    <w:rsid w:val="00B62B42"/>
    <w:rsid w:val="00B659AF"/>
    <w:rsid w:val="00B67EDE"/>
    <w:rsid w:val="00B70216"/>
    <w:rsid w:val="00B709D2"/>
    <w:rsid w:val="00B70E8A"/>
    <w:rsid w:val="00B71EEE"/>
    <w:rsid w:val="00B7260C"/>
    <w:rsid w:val="00B72A60"/>
    <w:rsid w:val="00B735B1"/>
    <w:rsid w:val="00B749F8"/>
    <w:rsid w:val="00B75175"/>
    <w:rsid w:val="00B75FA4"/>
    <w:rsid w:val="00B76658"/>
    <w:rsid w:val="00B77369"/>
    <w:rsid w:val="00B775E9"/>
    <w:rsid w:val="00B7770C"/>
    <w:rsid w:val="00B815D7"/>
    <w:rsid w:val="00B8284E"/>
    <w:rsid w:val="00B82FA9"/>
    <w:rsid w:val="00B83D7B"/>
    <w:rsid w:val="00B83EFB"/>
    <w:rsid w:val="00B8632C"/>
    <w:rsid w:val="00B9124B"/>
    <w:rsid w:val="00B91F4C"/>
    <w:rsid w:val="00B91FB5"/>
    <w:rsid w:val="00B92AF4"/>
    <w:rsid w:val="00B92CBB"/>
    <w:rsid w:val="00B93697"/>
    <w:rsid w:val="00B944AA"/>
    <w:rsid w:val="00B944C9"/>
    <w:rsid w:val="00B957FB"/>
    <w:rsid w:val="00BA00F3"/>
    <w:rsid w:val="00BA0110"/>
    <w:rsid w:val="00BA027B"/>
    <w:rsid w:val="00BA0582"/>
    <w:rsid w:val="00BA0AC3"/>
    <w:rsid w:val="00BA12EB"/>
    <w:rsid w:val="00BA1A4D"/>
    <w:rsid w:val="00BA1FB5"/>
    <w:rsid w:val="00BA21F6"/>
    <w:rsid w:val="00BA2F74"/>
    <w:rsid w:val="00BA41D7"/>
    <w:rsid w:val="00BB0311"/>
    <w:rsid w:val="00BB1E52"/>
    <w:rsid w:val="00BB26E6"/>
    <w:rsid w:val="00BB2E82"/>
    <w:rsid w:val="00BB35AB"/>
    <w:rsid w:val="00BB3834"/>
    <w:rsid w:val="00BB3D54"/>
    <w:rsid w:val="00BB435F"/>
    <w:rsid w:val="00BB475C"/>
    <w:rsid w:val="00BB50BA"/>
    <w:rsid w:val="00BB52F5"/>
    <w:rsid w:val="00BB54CA"/>
    <w:rsid w:val="00BB5E29"/>
    <w:rsid w:val="00BB628F"/>
    <w:rsid w:val="00BB690B"/>
    <w:rsid w:val="00BB7495"/>
    <w:rsid w:val="00BB7831"/>
    <w:rsid w:val="00BB797C"/>
    <w:rsid w:val="00BC1561"/>
    <w:rsid w:val="00BC1D8B"/>
    <w:rsid w:val="00BC2E84"/>
    <w:rsid w:val="00BC3D3E"/>
    <w:rsid w:val="00BC4122"/>
    <w:rsid w:val="00BC4AF2"/>
    <w:rsid w:val="00BC4D5F"/>
    <w:rsid w:val="00BC5471"/>
    <w:rsid w:val="00BC5B3C"/>
    <w:rsid w:val="00BC6642"/>
    <w:rsid w:val="00BC6DB9"/>
    <w:rsid w:val="00BC76A7"/>
    <w:rsid w:val="00BC7AD4"/>
    <w:rsid w:val="00BD01EE"/>
    <w:rsid w:val="00BD0CE0"/>
    <w:rsid w:val="00BD32A2"/>
    <w:rsid w:val="00BD3803"/>
    <w:rsid w:val="00BD49A0"/>
    <w:rsid w:val="00BD5C1D"/>
    <w:rsid w:val="00BD6511"/>
    <w:rsid w:val="00BD70C7"/>
    <w:rsid w:val="00BD7342"/>
    <w:rsid w:val="00BE0146"/>
    <w:rsid w:val="00BE038A"/>
    <w:rsid w:val="00BE04DC"/>
    <w:rsid w:val="00BE2A13"/>
    <w:rsid w:val="00BE2A4D"/>
    <w:rsid w:val="00BE5B8F"/>
    <w:rsid w:val="00BE781A"/>
    <w:rsid w:val="00BF079E"/>
    <w:rsid w:val="00BF0B48"/>
    <w:rsid w:val="00BF1C46"/>
    <w:rsid w:val="00BF38D4"/>
    <w:rsid w:val="00BF3A1D"/>
    <w:rsid w:val="00BF4069"/>
    <w:rsid w:val="00BF4327"/>
    <w:rsid w:val="00BF5E9F"/>
    <w:rsid w:val="00BF667B"/>
    <w:rsid w:val="00BF6CC8"/>
    <w:rsid w:val="00BF6DA4"/>
    <w:rsid w:val="00BF77AB"/>
    <w:rsid w:val="00BF78F6"/>
    <w:rsid w:val="00C017D4"/>
    <w:rsid w:val="00C0190A"/>
    <w:rsid w:val="00C01A76"/>
    <w:rsid w:val="00C02582"/>
    <w:rsid w:val="00C027F3"/>
    <w:rsid w:val="00C030A5"/>
    <w:rsid w:val="00C04562"/>
    <w:rsid w:val="00C04735"/>
    <w:rsid w:val="00C04F80"/>
    <w:rsid w:val="00C0503E"/>
    <w:rsid w:val="00C05C28"/>
    <w:rsid w:val="00C0734C"/>
    <w:rsid w:val="00C0761C"/>
    <w:rsid w:val="00C102C8"/>
    <w:rsid w:val="00C13856"/>
    <w:rsid w:val="00C13B19"/>
    <w:rsid w:val="00C15174"/>
    <w:rsid w:val="00C155F1"/>
    <w:rsid w:val="00C1565C"/>
    <w:rsid w:val="00C15927"/>
    <w:rsid w:val="00C16679"/>
    <w:rsid w:val="00C170AC"/>
    <w:rsid w:val="00C17A12"/>
    <w:rsid w:val="00C17BB0"/>
    <w:rsid w:val="00C2020D"/>
    <w:rsid w:val="00C211CA"/>
    <w:rsid w:val="00C224AC"/>
    <w:rsid w:val="00C23572"/>
    <w:rsid w:val="00C23EE6"/>
    <w:rsid w:val="00C243C0"/>
    <w:rsid w:val="00C24650"/>
    <w:rsid w:val="00C247C5"/>
    <w:rsid w:val="00C24CAA"/>
    <w:rsid w:val="00C2644A"/>
    <w:rsid w:val="00C2767D"/>
    <w:rsid w:val="00C27791"/>
    <w:rsid w:val="00C305E1"/>
    <w:rsid w:val="00C3152D"/>
    <w:rsid w:val="00C3436E"/>
    <w:rsid w:val="00C34942"/>
    <w:rsid w:val="00C35475"/>
    <w:rsid w:val="00C36DD9"/>
    <w:rsid w:val="00C37728"/>
    <w:rsid w:val="00C37DF1"/>
    <w:rsid w:val="00C40011"/>
    <w:rsid w:val="00C405B5"/>
    <w:rsid w:val="00C42161"/>
    <w:rsid w:val="00C42492"/>
    <w:rsid w:val="00C42D23"/>
    <w:rsid w:val="00C44903"/>
    <w:rsid w:val="00C44FB7"/>
    <w:rsid w:val="00C4598F"/>
    <w:rsid w:val="00C45ED3"/>
    <w:rsid w:val="00C46671"/>
    <w:rsid w:val="00C478BE"/>
    <w:rsid w:val="00C479B0"/>
    <w:rsid w:val="00C50BAD"/>
    <w:rsid w:val="00C514A2"/>
    <w:rsid w:val="00C51803"/>
    <w:rsid w:val="00C53150"/>
    <w:rsid w:val="00C53F4A"/>
    <w:rsid w:val="00C5586F"/>
    <w:rsid w:val="00C55AD4"/>
    <w:rsid w:val="00C55E46"/>
    <w:rsid w:val="00C562D1"/>
    <w:rsid w:val="00C577EA"/>
    <w:rsid w:val="00C57A06"/>
    <w:rsid w:val="00C57A64"/>
    <w:rsid w:val="00C604C4"/>
    <w:rsid w:val="00C607EF"/>
    <w:rsid w:val="00C60DE8"/>
    <w:rsid w:val="00C629AD"/>
    <w:rsid w:val="00C62A98"/>
    <w:rsid w:val="00C63023"/>
    <w:rsid w:val="00C6332A"/>
    <w:rsid w:val="00C638D9"/>
    <w:rsid w:val="00C63FAB"/>
    <w:rsid w:val="00C645CB"/>
    <w:rsid w:val="00C6487A"/>
    <w:rsid w:val="00C64D9E"/>
    <w:rsid w:val="00C70403"/>
    <w:rsid w:val="00C70F88"/>
    <w:rsid w:val="00C711DA"/>
    <w:rsid w:val="00C72F95"/>
    <w:rsid w:val="00C732A1"/>
    <w:rsid w:val="00C73B27"/>
    <w:rsid w:val="00C743F2"/>
    <w:rsid w:val="00C74D39"/>
    <w:rsid w:val="00C74FF2"/>
    <w:rsid w:val="00C7573E"/>
    <w:rsid w:val="00C75A13"/>
    <w:rsid w:val="00C761E7"/>
    <w:rsid w:val="00C76426"/>
    <w:rsid w:val="00C8019E"/>
    <w:rsid w:val="00C804F2"/>
    <w:rsid w:val="00C80773"/>
    <w:rsid w:val="00C8207B"/>
    <w:rsid w:val="00C83B3C"/>
    <w:rsid w:val="00C83D0A"/>
    <w:rsid w:val="00C83D4A"/>
    <w:rsid w:val="00C83ED0"/>
    <w:rsid w:val="00C8536B"/>
    <w:rsid w:val="00C87A12"/>
    <w:rsid w:val="00C90443"/>
    <w:rsid w:val="00C910A2"/>
    <w:rsid w:val="00C9114D"/>
    <w:rsid w:val="00C9139A"/>
    <w:rsid w:val="00C92DE3"/>
    <w:rsid w:val="00C930B7"/>
    <w:rsid w:val="00C93940"/>
    <w:rsid w:val="00C93B2A"/>
    <w:rsid w:val="00C93BC5"/>
    <w:rsid w:val="00C941B5"/>
    <w:rsid w:val="00C9425F"/>
    <w:rsid w:val="00C94B87"/>
    <w:rsid w:val="00C95171"/>
    <w:rsid w:val="00C96223"/>
    <w:rsid w:val="00C9669B"/>
    <w:rsid w:val="00C96711"/>
    <w:rsid w:val="00C967E2"/>
    <w:rsid w:val="00C974F6"/>
    <w:rsid w:val="00CA0136"/>
    <w:rsid w:val="00CA2AE0"/>
    <w:rsid w:val="00CA2C5F"/>
    <w:rsid w:val="00CA390D"/>
    <w:rsid w:val="00CA420B"/>
    <w:rsid w:val="00CA4655"/>
    <w:rsid w:val="00CA4C1E"/>
    <w:rsid w:val="00CA7F23"/>
    <w:rsid w:val="00CB13E0"/>
    <w:rsid w:val="00CB13F1"/>
    <w:rsid w:val="00CB18FD"/>
    <w:rsid w:val="00CB1B84"/>
    <w:rsid w:val="00CB2857"/>
    <w:rsid w:val="00CB2D15"/>
    <w:rsid w:val="00CB444E"/>
    <w:rsid w:val="00CB476C"/>
    <w:rsid w:val="00CB6C5E"/>
    <w:rsid w:val="00CB6E0C"/>
    <w:rsid w:val="00CB7CB5"/>
    <w:rsid w:val="00CC112F"/>
    <w:rsid w:val="00CC1359"/>
    <w:rsid w:val="00CC1527"/>
    <w:rsid w:val="00CC229F"/>
    <w:rsid w:val="00CC29B4"/>
    <w:rsid w:val="00CC3372"/>
    <w:rsid w:val="00CC3B87"/>
    <w:rsid w:val="00CC3C47"/>
    <w:rsid w:val="00CC45B6"/>
    <w:rsid w:val="00CC5311"/>
    <w:rsid w:val="00CC5776"/>
    <w:rsid w:val="00CC5E10"/>
    <w:rsid w:val="00CC6E0F"/>
    <w:rsid w:val="00CC710C"/>
    <w:rsid w:val="00CC7E46"/>
    <w:rsid w:val="00CD1224"/>
    <w:rsid w:val="00CD1277"/>
    <w:rsid w:val="00CD179F"/>
    <w:rsid w:val="00CD223F"/>
    <w:rsid w:val="00CD39E5"/>
    <w:rsid w:val="00CD4069"/>
    <w:rsid w:val="00CD41D2"/>
    <w:rsid w:val="00CD5A24"/>
    <w:rsid w:val="00CD5F1C"/>
    <w:rsid w:val="00CD60EA"/>
    <w:rsid w:val="00CD70B5"/>
    <w:rsid w:val="00CD727E"/>
    <w:rsid w:val="00CE13C8"/>
    <w:rsid w:val="00CE1A2C"/>
    <w:rsid w:val="00CE3229"/>
    <w:rsid w:val="00CE484A"/>
    <w:rsid w:val="00CE5AD1"/>
    <w:rsid w:val="00CE77B6"/>
    <w:rsid w:val="00CE7C46"/>
    <w:rsid w:val="00CE7D89"/>
    <w:rsid w:val="00CF05E9"/>
    <w:rsid w:val="00CF08C3"/>
    <w:rsid w:val="00CF0B32"/>
    <w:rsid w:val="00CF0B90"/>
    <w:rsid w:val="00CF19D6"/>
    <w:rsid w:val="00CF1FDC"/>
    <w:rsid w:val="00CF3117"/>
    <w:rsid w:val="00CF4015"/>
    <w:rsid w:val="00CF497B"/>
    <w:rsid w:val="00CF6B9C"/>
    <w:rsid w:val="00CF71CE"/>
    <w:rsid w:val="00CF7586"/>
    <w:rsid w:val="00CF7890"/>
    <w:rsid w:val="00D011B9"/>
    <w:rsid w:val="00D02B8E"/>
    <w:rsid w:val="00D02F17"/>
    <w:rsid w:val="00D041C6"/>
    <w:rsid w:val="00D048A6"/>
    <w:rsid w:val="00D072D9"/>
    <w:rsid w:val="00D10D38"/>
    <w:rsid w:val="00D11015"/>
    <w:rsid w:val="00D1110F"/>
    <w:rsid w:val="00D1317B"/>
    <w:rsid w:val="00D13FCE"/>
    <w:rsid w:val="00D14108"/>
    <w:rsid w:val="00D1577D"/>
    <w:rsid w:val="00D1725C"/>
    <w:rsid w:val="00D175D2"/>
    <w:rsid w:val="00D1778A"/>
    <w:rsid w:val="00D17B27"/>
    <w:rsid w:val="00D20FC4"/>
    <w:rsid w:val="00D216D4"/>
    <w:rsid w:val="00D21EEC"/>
    <w:rsid w:val="00D22379"/>
    <w:rsid w:val="00D2241A"/>
    <w:rsid w:val="00D229A9"/>
    <w:rsid w:val="00D23967"/>
    <w:rsid w:val="00D24894"/>
    <w:rsid w:val="00D24F9E"/>
    <w:rsid w:val="00D267CC"/>
    <w:rsid w:val="00D27098"/>
    <w:rsid w:val="00D2709C"/>
    <w:rsid w:val="00D27715"/>
    <w:rsid w:val="00D31153"/>
    <w:rsid w:val="00D33791"/>
    <w:rsid w:val="00D3454B"/>
    <w:rsid w:val="00D34683"/>
    <w:rsid w:val="00D34832"/>
    <w:rsid w:val="00D34E0C"/>
    <w:rsid w:val="00D37D39"/>
    <w:rsid w:val="00D40D47"/>
    <w:rsid w:val="00D4159D"/>
    <w:rsid w:val="00D41651"/>
    <w:rsid w:val="00D4239C"/>
    <w:rsid w:val="00D428D3"/>
    <w:rsid w:val="00D433B7"/>
    <w:rsid w:val="00D43C12"/>
    <w:rsid w:val="00D44512"/>
    <w:rsid w:val="00D44647"/>
    <w:rsid w:val="00D44E49"/>
    <w:rsid w:val="00D450B5"/>
    <w:rsid w:val="00D4592D"/>
    <w:rsid w:val="00D46C67"/>
    <w:rsid w:val="00D47238"/>
    <w:rsid w:val="00D47E5B"/>
    <w:rsid w:val="00D47ECE"/>
    <w:rsid w:val="00D50591"/>
    <w:rsid w:val="00D50772"/>
    <w:rsid w:val="00D51175"/>
    <w:rsid w:val="00D5134C"/>
    <w:rsid w:val="00D52C9F"/>
    <w:rsid w:val="00D53F6A"/>
    <w:rsid w:val="00D57B76"/>
    <w:rsid w:val="00D61362"/>
    <w:rsid w:val="00D61F2C"/>
    <w:rsid w:val="00D623BB"/>
    <w:rsid w:val="00D638BD"/>
    <w:rsid w:val="00D63976"/>
    <w:rsid w:val="00D64444"/>
    <w:rsid w:val="00D65101"/>
    <w:rsid w:val="00D66250"/>
    <w:rsid w:val="00D665E7"/>
    <w:rsid w:val="00D67C0B"/>
    <w:rsid w:val="00D70126"/>
    <w:rsid w:val="00D7045B"/>
    <w:rsid w:val="00D70D3F"/>
    <w:rsid w:val="00D7232A"/>
    <w:rsid w:val="00D729D2"/>
    <w:rsid w:val="00D74B70"/>
    <w:rsid w:val="00D75295"/>
    <w:rsid w:val="00D760DF"/>
    <w:rsid w:val="00D7776A"/>
    <w:rsid w:val="00D80872"/>
    <w:rsid w:val="00D80FD4"/>
    <w:rsid w:val="00D82262"/>
    <w:rsid w:val="00D824C8"/>
    <w:rsid w:val="00D8275C"/>
    <w:rsid w:val="00D82E47"/>
    <w:rsid w:val="00D830E6"/>
    <w:rsid w:val="00D8359A"/>
    <w:rsid w:val="00D84429"/>
    <w:rsid w:val="00D84444"/>
    <w:rsid w:val="00D848F0"/>
    <w:rsid w:val="00D85725"/>
    <w:rsid w:val="00D86352"/>
    <w:rsid w:val="00D8717D"/>
    <w:rsid w:val="00D900C8"/>
    <w:rsid w:val="00D90B2C"/>
    <w:rsid w:val="00D925DA"/>
    <w:rsid w:val="00D92601"/>
    <w:rsid w:val="00D969EB"/>
    <w:rsid w:val="00D96C8B"/>
    <w:rsid w:val="00DA1DD2"/>
    <w:rsid w:val="00DA1ECF"/>
    <w:rsid w:val="00DA1FCA"/>
    <w:rsid w:val="00DA4345"/>
    <w:rsid w:val="00DA46AE"/>
    <w:rsid w:val="00DA4931"/>
    <w:rsid w:val="00DA4E0B"/>
    <w:rsid w:val="00DA52AF"/>
    <w:rsid w:val="00DA5825"/>
    <w:rsid w:val="00DA5AAC"/>
    <w:rsid w:val="00DA708A"/>
    <w:rsid w:val="00DA771B"/>
    <w:rsid w:val="00DB12B7"/>
    <w:rsid w:val="00DB1D9E"/>
    <w:rsid w:val="00DB3329"/>
    <w:rsid w:val="00DB3E92"/>
    <w:rsid w:val="00DB482D"/>
    <w:rsid w:val="00DB4959"/>
    <w:rsid w:val="00DB4B80"/>
    <w:rsid w:val="00DB5E92"/>
    <w:rsid w:val="00DB6F37"/>
    <w:rsid w:val="00DB72AD"/>
    <w:rsid w:val="00DB7FD9"/>
    <w:rsid w:val="00DC0210"/>
    <w:rsid w:val="00DC2765"/>
    <w:rsid w:val="00DC3476"/>
    <w:rsid w:val="00DC4D0E"/>
    <w:rsid w:val="00DC4ED2"/>
    <w:rsid w:val="00DC570A"/>
    <w:rsid w:val="00DC579E"/>
    <w:rsid w:val="00DC6551"/>
    <w:rsid w:val="00DC69DF"/>
    <w:rsid w:val="00DC6CF9"/>
    <w:rsid w:val="00DC726D"/>
    <w:rsid w:val="00DC7CC3"/>
    <w:rsid w:val="00DD0D91"/>
    <w:rsid w:val="00DD408A"/>
    <w:rsid w:val="00DD52FF"/>
    <w:rsid w:val="00DD75A8"/>
    <w:rsid w:val="00DD75F3"/>
    <w:rsid w:val="00DE0081"/>
    <w:rsid w:val="00DE0271"/>
    <w:rsid w:val="00DE0BB7"/>
    <w:rsid w:val="00DE2E49"/>
    <w:rsid w:val="00DE337B"/>
    <w:rsid w:val="00DE3CDD"/>
    <w:rsid w:val="00DE4EAF"/>
    <w:rsid w:val="00DE5123"/>
    <w:rsid w:val="00DE541C"/>
    <w:rsid w:val="00DE5A9E"/>
    <w:rsid w:val="00DE7CD8"/>
    <w:rsid w:val="00DE7FCB"/>
    <w:rsid w:val="00DF0BE0"/>
    <w:rsid w:val="00DF10CA"/>
    <w:rsid w:val="00DF2F80"/>
    <w:rsid w:val="00DF314A"/>
    <w:rsid w:val="00DF328B"/>
    <w:rsid w:val="00DF33B7"/>
    <w:rsid w:val="00DF465A"/>
    <w:rsid w:val="00DF4885"/>
    <w:rsid w:val="00DF52F5"/>
    <w:rsid w:val="00DF558F"/>
    <w:rsid w:val="00DF631E"/>
    <w:rsid w:val="00DF6684"/>
    <w:rsid w:val="00DF6701"/>
    <w:rsid w:val="00E00883"/>
    <w:rsid w:val="00E0177F"/>
    <w:rsid w:val="00E01838"/>
    <w:rsid w:val="00E02E50"/>
    <w:rsid w:val="00E0315D"/>
    <w:rsid w:val="00E0332C"/>
    <w:rsid w:val="00E03367"/>
    <w:rsid w:val="00E03620"/>
    <w:rsid w:val="00E03D36"/>
    <w:rsid w:val="00E04319"/>
    <w:rsid w:val="00E04E2E"/>
    <w:rsid w:val="00E05049"/>
    <w:rsid w:val="00E06041"/>
    <w:rsid w:val="00E0624E"/>
    <w:rsid w:val="00E06829"/>
    <w:rsid w:val="00E06B65"/>
    <w:rsid w:val="00E14CB0"/>
    <w:rsid w:val="00E1500D"/>
    <w:rsid w:val="00E15D14"/>
    <w:rsid w:val="00E16C1A"/>
    <w:rsid w:val="00E174AF"/>
    <w:rsid w:val="00E20921"/>
    <w:rsid w:val="00E20C90"/>
    <w:rsid w:val="00E21629"/>
    <w:rsid w:val="00E21713"/>
    <w:rsid w:val="00E21D02"/>
    <w:rsid w:val="00E22EBA"/>
    <w:rsid w:val="00E24F06"/>
    <w:rsid w:val="00E257F1"/>
    <w:rsid w:val="00E267F8"/>
    <w:rsid w:val="00E27770"/>
    <w:rsid w:val="00E30DBF"/>
    <w:rsid w:val="00E31642"/>
    <w:rsid w:val="00E31B55"/>
    <w:rsid w:val="00E328AF"/>
    <w:rsid w:val="00E32ADA"/>
    <w:rsid w:val="00E33AD3"/>
    <w:rsid w:val="00E34746"/>
    <w:rsid w:val="00E35564"/>
    <w:rsid w:val="00E35CAE"/>
    <w:rsid w:val="00E370B1"/>
    <w:rsid w:val="00E40617"/>
    <w:rsid w:val="00E42006"/>
    <w:rsid w:val="00E433B7"/>
    <w:rsid w:val="00E45014"/>
    <w:rsid w:val="00E45586"/>
    <w:rsid w:val="00E45982"/>
    <w:rsid w:val="00E45F7A"/>
    <w:rsid w:val="00E46487"/>
    <w:rsid w:val="00E477F9"/>
    <w:rsid w:val="00E50123"/>
    <w:rsid w:val="00E51B7B"/>
    <w:rsid w:val="00E51EA8"/>
    <w:rsid w:val="00E525D6"/>
    <w:rsid w:val="00E54526"/>
    <w:rsid w:val="00E5506E"/>
    <w:rsid w:val="00E55711"/>
    <w:rsid w:val="00E55A7D"/>
    <w:rsid w:val="00E55B18"/>
    <w:rsid w:val="00E560E5"/>
    <w:rsid w:val="00E571A4"/>
    <w:rsid w:val="00E573BB"/>
    <w:rsid w:val="00E6115B"/>
    <w:rsid w:val="00E6144A"/>
    <w:rsid w:val="00E614A3"/>
    <w:rsid w:val="00E61DFA"/>
    <w:rsid w:val="00E6261F"/>
    <w:rsid w:val="00E629E0"/>
    <w:rsid w:val="00E63387"/>
    <w:rsid w:val="00E644FD"/>
    <w:rsid w:val="00E64A27"/>
    <w:rsid w:val="00E64D07"/>
    <w:rsid w:val="00E65C81"/>
    <w:rsid w:val="00E67314"/>
    <w:rsid w:val="00E6786B"/>
    <w:rsid w:val="00E6787B"/>
    <w:rsid w:val="00E70E49"/>
    <w:rsid w:val="00E71001"/>
    <w:rsid w:val="00E715C0"/>
    <w:rsid w:val="00E71C7C"/>
    <w:rsid w:val="00E71D5F"/>
    <w:rsid w:val="00E72072"/>
    <w:rsid w:val="00E724DA"/>
    <w:rsid w:val="00E72501"/>
    <w:rsid w:val="00E72658"/>
    <w:rsid w:val="00E728F6"/>
    <w:rsid w:val="00E733F4"/>
    <w:rsid w:val="00E75590"/>
    <w:rsid w:val="00E757F2"/>
    <w:rsid w:val="00E76395"/>
    <w:rsid w:val="00E76F39"/>
    <w:rsid w:val="00E7727B"/>
    <w:rsid w:val="00E77549"/>
    <w:rsid w:val="00E77868"/>
    <w:rsid w:val="00E77AE9"/>
    <w:rsid w:val="00E8065B"/>
    <w:rsid w:val="00E80F14"/>
    <w:rsid w:val="00E85B8E"/>
    <w:rsid w:val="00E86FD8"/>
    <w:rsid w:val="00E873A6"/>
    <w:rsid w:val="00E876D7"/>
    <w:rsid w:val="00E879DD"/>
    <w:rsid w:val="00E901AF"/>
    <w:rsid w:val="00E90724"/>
    <w:rsid w:val="00E90A70"/>
    <w:rsid w:val="00E90F56"/>
    <w:rsid w:val="00E91B25"/>
    <w:rsid w:val="00E96168"/>
    <w:rsid w:val="00E9675E"/>
    <w:rsid w:val="00E97714"/>
    <w:rsid w:val="00E97C8D"/>
    <w:rsid w:val="00EA156B"/>
    <w:rsid w:val="00EA2429"/>
    <w:rsid w:val="00EA26D3"/>
    <w:rsid w:val="00EA2D1B"/>
    <w:rsid w:val="00EA3192"/>
    <w:rsid w:val="00EA3A1D"/>
    <w:rsid w:val="00EA44CD"/>
    <w:rsid w:val="00EA4747"/>
    <w:rsid w:val="00EA4988"/>
    <w:rsid w:val="00EA4BDA"/>
    <w:rsid w:val="00EA58E7"/>
    <w:rsid w:val="00EA7406"/>
    <w:rsid w:val="00EA75ED"/>
    <w:rsid w:val="00EA798D"/>
    <w:rsid w:val="00EB16D1"/>
    <w:rsid w:val="00EB1CF8"/>
    <w:rsid w:val="00EB45FC"/>
    <w:rsid w:val="00EB4918"/>
    <w:rsid w:val="00EC01E9"/>
    <w:rsid w:val="00EC079C"/>
    <w:rsid w:val="00EC079F"/>
    <w:rsid w:val="00EC0C39"/>
    <w:rsid w:val="00EC16E4"/>
    <w:rsid w:val="00EC1B44"/>
    <w:rsid w:val="00EC23B2"/>
    <w:rsid w:val="00EC2CCB"/>
    <w:rsid w:val="00EC318F"/>
    <w:rsid w:val="00EC3352"/>
    <w:rsid w:val="00EC41D7"/>
    <w:rsid w:val="00EC6B6F"/>
    <w:rsid w:val="00EC7BE4"/>
    <w:rsid w:val="00ED0234"/>
    <w:rsid w:val="00ED05EB"/>
    <w:rsid w:val="00ED1E81"/>
    <w:rsid w:val="00ED2749"/>
    <w:rsid w:val="00ED275A"/>
    <w:rsid w:val="00ED2BBB"/>
    <w:rsid w:val="00ED2D73"/>
    <w:rsid w:val="00ED318E"/>
    <w:rsid w:val="00ED31E3"/>
    <w:rsid w:val="00ED4C31"/>
    <w:rsid w:val="00ED574F"/>
    <w:rsid w:val="00ED603C"/>
    <w:rsid w:val="00ED6B4D"/>
    <w:rsid w:val="00ED7CEF"/>
    <w:rsid w:val="00ED7F8F"/>
    <w:rsid w:val="00EE1C0F"/>
    <w:rsid w:val="00EE2D30"/>
    <w:rsid w:val="00EE396A"/>
    <w:rsid w:val="00EE51CD"/>
    <w:rsid w:val="00EE5E89"/>
    <w:rsid w:val="00EE740D"/>
    <w:rsid w:val="00EE763C"/>
    <w:rsid w:val="00EF05C1"/>
    <w:rsid w:val="00EF4C5E"/>
    <w:rsid w:val="00EF50E7"/>
    <w:rsid w:val="00EF5297"/>
    <w:rsid w:val="00EF60A4"/>
    <w:rsid w:val="00EF76DE"/>
    <w:rsid w:val="00EF7807"/>
    <w:rsid w:val="00EF7A90"/>
    <w:rsid w:val="00F01B5C"/>
    <w:rsid w:val="00F02466"/>
    <w:rsid w:val="00F03132"/>
    <w:rsid w:val="00F03A24"/>
    <w:rsid w:val="00F043F8"/>
    <w:rsid w:val="00F04D2B"/>
    <w:rsid w:val="00F074C4"/>
    <w:rsid w:val="00F07BBB"/>
    <w:rsid w:val="00F10CDA"/>
    <w:rsid w:val="00F11999"/>
    <w:rsid w:val="00F128E1"/>
    <w:rsid w:val="00F136D1"/>
    <w:rsid w:val="00F13943"/>
    <w:rsid w:val="00F14CB6"/>
    <w:rsid w:val="00F154A1"/>
    <w:rsid w:val="00F17E7B"/>
    <w:rsid w:val="00F21364"/>
    <w:rsid w:val="00F2152B"/>
    <w:rsid w:val="00F22B66"/>
    <w:rsid w:val="00F22CD3"/>
    <w:rsid w:val="00F22E8F"/>
    <w:rsid w:val="00F233C0"/>
    <w:rsid w:val="00F23D01"/>
    <w:rsid w:val="00F24622"/>
    <w:rsid w:val="00F2514E"/>
    <w:rsid w:val="00F261B0"/>
    <w:rsid w:val="00F2747B"/>
    <w:rsid w:val="00F30CF3"/>
    <w:rsid w:val="00F30D24"/>
    <w:rsid w:val="00F34EC5"/>
    <w:rsid w:val="00F3567B"/>
    <w:rsid w:val="00F35BDE"/>
    <w:rsid w:val="00F35D06"/>
    <w:rsid w:val="00F40C18"/>
    <w:rsid w:val="00F40DA6"/>
    <w:rsid w:val="00F41480"/>
    <w:rsid w:val="00F4171B"/>
    <w:rsid w:val="00F427BA"/>
    <w:rsid w:val="00F42E8C"/>
    <w:rsid w:val="00F4390D"/>
    <w:rsid w:val="00F46058"/>
    <w:rsid w:val="00F469D8"/>
    <w:rsid w:val="00F46EC6"/>
    <w:rsid w:val="00F4739C"/>
    <w:rsid w:val="00F50E35"/>
    <w:rsid w:val="00F514A0"/>
    <w:rsid w:val="00F531D7"/>
    <w:rsid w:val="00F549AA"/>
    <w:rsid w:val="00F54E72"/>
    <w:rsid w:val="00F57E25"/>
    <w:rsid w:val="00F62BD7"/>
    <w:rsid w:val="00F62F73"/>
    <w:rsid w:val="00F64248"/>
    <w:rsid w:val="00F6569C"/>
    <w:rsid w:val="00F665CB"/>
    <w:rsid w:val="00F66B63"/>
    <w:rsid w:val="00F67B78"/>
    <w:rsid w:val="00F70B65"/>
    <w:rsid w:val="00F71A88"/>
    <w:rsid w:val="00F77DEA"/>
    <w:rsid w:val="00F81A94"/>
    <w:rsid w:val="00F81CE5"/>
    <w:rsid w:val="00F81FC9"/>
    <w:rsid w:val="00F827E1"/>
    <w:rsid w:val="00F83221"/>
    <w:rsid w:val="00F83387"/>
    <w:rsid w:val="00F833E8"/>
    <w:rsid w:val="00F8368D"/>
    <w:rsid w:val="00F83DFB"/>
    <w:rsid w:val="00F83FB1"/>
    <w:rsid w:val="00F849C5"/>
    <w:rsid w:val="00F86BB5"/>
    <w:rsid w:val="00F90384"/>
    <w:rsid w:val="00F90541"/>
    <w:rsid w:val="00F90B88"/>
    <w:rsid w:val="00F91A17"/>
    <w:rsid w:val="00F91EF8"/>
    <w:rsid w:val="00F946A6"/>
    <w:rsid w:val="00F97DC1"/>
    <w:rsid w:val="00F97E59"/>
    <w:rsid w:val="00FA12AF"/>
    <w:rsid w:val="00FA26DB"/>
    <w:rsid w:val="00FA2EEC"/>
    <w:rsid w:val="00FA4101"/>
    <w:rsid w:val="00FA49C4"/>
    <w:rsid w:val="00FA5762"/>
    <w:rsid w:val="00FA6873"/>
    <w:rsid w:val="00FA6B82"/>
    <w:rsid w:val="00FB2283"/>
    <w:rsid w:val="00FB4504"/>
    <w:rsid w:val="00FB456E"/>
    <w:rsid w:val="00FB56D2"/>
    <w:rsid w:val="00FB639D"/>
    <w:rsid w:val="00FC0318"/>
    <w:rsid w:val="00FC1917"/>
    <w:rsid w:val="00FC208D"/>
    <w:rsid w:val="00FC5EC9"/>
    <w:rsid w:val="00FC650D"/>
    <w:rsid w:val="00FC66C1"/>
    <w:rsid w:val="00FC79E2"/>
    <w:rsid w:val="00FD1117"/>
    <w:rsid w:val="00FD11EB"/>
    <w:rsid w:val="00FD1BC0"/>
    <w:rsid w:val="00FD22C4"/>
    <w:rsid w:val="00FD2C11"/>
    <w:rsid w:val="00FD2DF9"/>
    <w:rsid w:val="00FD3025"/>
    <w:rsid w:val="00FD430E"/>
    <w:rsid w:val="00FD446D"/>
    <w:rsid w:val="00FD4AA1"/>
    <w:rsid w:val="00FD4E09"/>
    <w:rsid w:val="00FD51E9"/>
    <w:rsid w:val="00FD51EA"/>
    <w:rsid w:val="00FD53D1"/>
    <w:rsid w:val="00FD6914"/>
    <w:rsid w:val="00FD7020"/>
    <w:rsid w:val="00FD76F7"/>
    <w:rsid w:val="00FE0702"/>
    <w:rsid w:val="00FE137C"/>
    <w:rsid w:val="00FE13B9"/>
    <w:rsid w:val="00FE189C"/>
    <w:rsid w:val="00FE2421"/>
    <w:rsid w:val="00FE2E64"/>
    <w:rsid w:val="00FE3E4B"/>
    <w:rsid w:val="00FE44B6"/>
    <w:rsid w:val="00FE4B2F"/>
    <w:rsid w:val="00FE517B"/>
    <w:rsid w:val="00FE55BD"/>
    <w:rsid w:val="00FE55FF"/>
    <w:rsid w:val="00FE640A"/>
    <w:rsid w:val="00FE64A1"/>
    <w:rsid w:val="00FE72BC"/>
    <w:rsid w:val="00FF0E09"/>
    <w:rsid w:val="00FF118C"/>
    <w:rsid w:val="00FF1912"/>
    <w:rsid w:val="00FF2316"/>
    <w:rsid w:val="00FF3ECE"/>
    <w:rsid w:val="00FF3F8B"/>
    <w:rsid w:val="00FF434C"/>
    <w:rsid w:val="00FF703E"/>
    <w:rsid w:val="00FF755B"/>
    <w:rsid w:val="00FF7D1F"/>
    <w:rsid w:val="33065684"/>
    <w:rsid w:val="6515CE6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486284"/>
  <w15:docId w15:val="{D45E915F-C821-4A43-8525-FE6BD1A7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408A"/>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BodyText"/>
    <w:link w:val="Heading1Char"/>
    <w:qFormat/>
    <w:rsid w:val="00DD408A"/>
    <w:pPr>
      <w:keepNext/>
      <w:tabs>
        <w:tab w:val="left" w:pos="567"/>
      </w:tabs>
      <w:spacing w:before="400" w:after="720"/>
      <w:outlineLvl w:val="0"/>
    </w:pPr>
    <w:rPr>
      <w:rFonts w:ascii="Arial" w:hAnsi="Arial"/>
      <w:caps/>
      <w:color w:val="1D3278"/>
      <w:kern w:val="28"/>
      <w:sz w:val="40"/>
      <w:szCs w:val="36"/>
      <w:lang w:val="en-AU"/>
    </w:rPr>
  </w:style>
  <w:style w:type="paragraph" w:styleId="Heading2">
    <w:name w:val="heading 2"/>
    <w:basedOn w:val="Normal"/>
    <w:next w:val="BodyText"/>
    <w:link w:val="Heading2Char"/>
    <w:qFormat/>
    <w:rsid w:val="00032460"/>
    <w:pPr>
      <w:keepNext/>
      <w:widowControl w:val="0"/>
      <w:numPr>
        <w:numId w:val="30"/>
      </w:numPr>
      <w:pBdr>
        <w:bottom w:val="single" w:sz="4" w:space="2" w:color="25A9FF"/>
      </w:pBdr>
      <w:spacing w:before="240" w:after="100"/>
      <w:outlineLvl w:val="1"/>
    </w:pPr>
    <w:rPr>
      <w:rFonts w:ascii="Arial Bold" w:eastAsia="Arial Unicode MS" w:hAnsi="Arial Bold"/>
      <w:b/>
      <w:color w:val="25A9FF"/>
      <w:kern w:val="28"/>
      <w:sz w:val="28"/>
      <w:szCs w:val="36"/>
      <w:lang w:val="en-AU"/>
    </w:rPr>
  </w:style>
  <w:style w:type="paragraph" w:styleId="Heading3">
    <w:name w:val="heading 3"/>
    <w:basedOn w:val="Heading2"/>
    <w:next w:val="BodyText"/>
    <w:link w:val="Heading3Char"/>
    <w:qFormat/>
    <w:rsid w:val="00EC079F"/>
    <w:pPr>
      <w:keepNext w:val="0"/>
      <w:numPr>
        <w:numId w:val="0"/>
      </w:numPr>
      <w:pBdr>
        <w:bottom w:val="none" w:sz="0" w:space="0" w:color="auto"/>
      </w:pBdr>
      <w:spacing w:before="320" w:after="120" w:line="240" w:lineRule="atLeast"/>
      <w:outlineLvl w:val="2"/>
    </w:pPr>
    <w:rPr>
      <w:color w:val="auto"/>
      <w:sz w:val="26"/>
    </w:rPr>
  </w:style>
  <w:style w:type="paragraph" w:styleId="Heading4">
    <w:name w:val="heading 4"/>
    <w:basedOn w:val="Heading3"/>
    <w:next w:val="Normal"/>
    <w:link w:val="Heading4Char"/>
    <w:qFormat/>
    <w:rsid w:val="00181A01"/>
    <w:pPr>
      <w:spacing w:line="320" w:lineRule="exact"/>
      <w:outlineLvl w:val="3"/>
    </w:pPr>
    <w:rPr>
      <w:sz w:val="25"/>
    </w:rPr>
  </w:style>
  <w:style w:type="paragraph" w:styleId="Heading5">
    <w:name w:val="heading 5"/>
    <w:basedOn w:val="Heading4"/>
    <w:next w:val="BodyText"/>
    <w:link w:val="Heading5Char"/>
    <w:qFormat/>
    <w:rsid w:val="00D216D4"/>
    <w:pPr>
      <w:spacing w:before="400" w:after="60"/>
      <w:outlineLvl w:val="4"/>
    </w:pPr>
    <w:rPr>
      <w:rFonts w:ascii="Arial" w:hAnsi="Arial"/>
      <w:b w:val="0"/>
      <w:i/>
      <w:sz w:val="24"/>
    </w:rPr>
  </w:style>
  <w:style w:type="paragraph" w:styleId="Heading6">
    <w:name w:val="heading 6"/>
    <w:basedOn w:val="Heading1"/>
    <w:next w:val="Normal"/>
    <w:link w:val="Heading6Char"/>
    <w:qFormat/>
    <w:rsid w:val="00DD408A"/>
    <w:pPr>
      <w:spacing w:before="320" w:after="120"/>
      <w:outlineLvl w:val="5"/>
    </w:pPr>
    <w:rPr>
      <w:kern w:val="0"/>
      <w:sz w:val="20"/>
    </w:rPr>
  </w:style>
  <w:style w:type="paragraph" w:styleId="Heading7">
    <w:name w:val="heading 7"/>
    <w:basedOn w:val="Heading5"/>
    <w:next w:val="Normal"/>
    <w:link w:val="Heading7Char"/>
    <w:qFormat/>
    <w:rsid w:val="00DD408A"/>
    <w:pPr>
      <w:spacing w:before="120"/>
      <w:ind w:left="425"/>
      <w:jc w:val="both"/>
      <w:outlineLvl w:val="6"/>
    </w:pPr>
    <w:rPr>
      <w:i w:val="0"/>
      <w:sz w:val="23"/>
    </w:rPr>
  </w:style>
  <w:style w:type="paragraph" w:styleId="Heading8">
    <w:name w:val="heading 8"/>
    <w:basedOn w:val="Heading7"/>
    <w:next w:val="Normal"/>
    <w:link w:val="Heading8Char"/>
    <w:qFormat/>
    <w:rsid w:val="00DD408A"/>
    <w:pPr>
      <w:outlineLvl w:val="7"/>
    </w:pPr>
    <w:rPr>
      <w:i/>
    </w:rPr>
  </w:style>
  <w:style w:type="paragraph" w:styleId="Heading9">
    <w:name w:val="heading 9"/>
    <w:basedOn w:val="Heading8"/>
    <w:next w:val="Normal"/>
    <w:link w:val="Heading9Char"/>
    <w:qFormat/>
    <w:rsid w:val="00DD408A"/>
    <w:pPr>
      <w:ind w:left="851"/>
      <w:outlineLvl w:val="8"/>
    </w:pPr>
    <w:rPr>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C079F"/>
    <w:rPr>
      <w:rFonts w:ascii="Arial Bold" w:eastAsia="Arial Unicode MS" w:hAnsi="Arial Bold" w:cs="Times New Roman"/>
      <w:b/>
      <w:color w:val="25A9FF"/>
      <w:kern w:val="28"/>
      <w:sz w:val="28"/>
      <w:szCs w:val="36"/>
    </w:rPr>
  </w:style>
  <w:style w:type="paragraph" w:styleId="BodyText">
    <w:name w:val="Body Text"/>
    <w:link w:val="BodyTextChar"/>
    <w:rsid w:val="00D216D4"/>
    <w:pPr>
      <w:spacing w:before="160" w:after="100" w:line="240" w:lineRule="atLeast"/>
    </w:pPr>
    <w:rPr>
      <w:rFonts w:ascii="Arial" w:eastAsia="Times New Roman" w:hAnsi="Arial" w:cs="Times New Roman"/>
      <w:sz w:val="23"/>
      <w:szCs w:val="20"/>
    </w:rPr>
  </w:style>
  <w:style w:type="character" w:customStyle="1" w:styleId="BodyTextChar">
    <w:name w:val="Body Text Char"/>
    <w:link w:val="BodyText"/>
    <w:rsid w:val="00D216D4"/>
    <w:rPr>
      <w:rFonts w:ascii="Arial" w:eastAsia="Times New Roman" w:hAnsi="Arial" w:cs="Times New Roman"/>
      <w:sz w:val="23"/>
      <w:szCs w:val="20"/>
    </w:rPr>
  </w:style>
  <w:style w:type="paragraph" w:styleId="ListParagraph">
    <w:name w:val="List Paragraph"/>
    <w:basedOn w:val="Normal"/>
    <w:link w:val="ListParagraphChar"/>
    <w:uiPriority w:val="34"/>
    <w:qFormat/>
    <w:rsid w:val="00DD408A"/>
    <w:pPr>
      <w:ind w:left="720"/>
      <w:contextualSpacing/>
    </w:pPr>
  </w:style>
  <w:style w:type="character" w:customStyle="1" w:styleId="ListParagraphChar">
    <w:name w:val="List Paragraph Char"/>
    <w:link w:val="ListParagraph"/>
    <w:uiPriority w:val="34"/>
    <w:locked/>
    <w:rsid w:val="00DD408A"/>
    <w:rPr>
      <w:rFonts w:ascii="Times New Roman" w:eastAsia="Times New Roman" w:hAnsi="Times New Roman" w:cs="Times New Roman"/>
      <w:sz w:val="20"/>
      <w:szCs w:val="20"/>
      <w:lang w:val="en-US"/>
    </w:rPr>
  </w:style>
  <w:style w:type="character" w:customStyle="1" w:styleId="Heading1Char">
    <w:name w:val="Heading 1 Char"/>
    <w:link w:val="Heading1"/>
    <w:rsid w:val="00DD408A"/>
    <w:rPr>
      <w:rFonts w:ascii="Arial" w:eastAsia="Times New Roman" w:hAnsi="Arial" w:cs="Times New Roman"/>
      <w:caps/>
      <w:color w:val="1D3278"/>
      <w:kern w:val="28"/>
      <w:sz w:val="40"/>
      <w:szCs w:val="36"/>
    </w:rPr>
  </w:style>
  <w:style w:type="paragraph" w:styleId="Header">
    <w:name w:val="header"/>
    <w:basedOn w:val="Normal"/>
    <w:link w:val="HeaderChar"/>
    <w:uiPriority w:val="99"/>
    <w:rsid w:val="00DD408A"/>
    <w:pPr>
      <w:tabs>
        <w:tab w:val="center" w:pos="4153"/>
        <w:tab w:val="right" w:pos="8306"/>
      </w:tabs>
      <w:spacing w:line="192" w:lineRule="auto"/>
      <w:contextualSpacing/>
    </w:pPr>
    <w:rPr>
      <w:rFonts w:ascii="Arial Unicode MS" w:hAnsi="Arial Unicode MS"/>
    </w:rPr>
  </w:style>
  <w:style w:type="character" w:customStyle="1" w:styleId="HeaderChar">
    <w:name w:val="Header Char"/>
    <w:link w:val="Header"/>
    <w:uiPriority w:val="99"/>
    <w:rsid w:val="00DD408A"/>
    <w:rPr>
      <w:rFonts w:ascii="Arial Unicode MS" w:eastAsia="Times New Roman" w:hAnsi="Arial Unicode MS" w:cs="Times New Roman"/>
      <w:sz w:val="20"/>
      <w:szCs w:val="20"/>
      <w:lang w:val="en-US"/>
    </w:rPr>
  </w:style>
  <w:style w:type="paragraph" w:styleId="Footer">
    <w:name w:val="footer"/>
    <w:basedOn w:val="Normal"/>
    <w:link w:val="FooterChar"/>
    <w:rsid w:val="00DD408A"/>
    <w:pPr>
      <w:pBdr>
        <w:top w:val="single" w:sz="4" w:space="4" w:color="auto"/>
      </w:pBdr>
      <w:tabs>
        <w:tab w:val="right" w:pos="9072"/>
      </w:tabs>
    </w:pPr>
    <w:rPr>
      <w:rFonts w:ascii="Lucida Sans" w:hAnsi="Lucida Sans"/>
      <w:sz w:val="18"/>
    </w:rPr>
  </w:style>
  <w:style w:type="character" w:customStyle="1" w:styleId="FooterChar">
    <w:name w:val="Footer Char"/>
    <w:link w:val="Footer"/>
    <w:rsid w:val="00DD408A"/>
    <w:rPr>
      <w:rFonts w:ascii="Lucida Sans" w:eastAsia="Times New Roman" w:hAnsi="Lucida Sans" w:cs="Times New Roman"/>
      <w:sz w:val="18"/>
      <w:szCs w:val="20"/>
      <w:lang w:val="en-US"/>
    </w:rPr>
  </w:style>
  <w:style w:type="paragraph" w:styleId="BalloonText">
    <w:name w:val="Balloon Text"/>
    <w:basedOn w:val="Normal"/>
    <w:link w:val="BalloonTextChar"/>
    <w:uiPriority w:val="99"/>
    <w:rsid w:val="00DD408A"/>
    <w:rPr>
      <w:rFonts w:ascii="Tahoma" w:hAnsi="Tahoma" w:cs="Tahoma"/>
      <w:sz w:val="16"/>
      <w:szCs w:val="16"/>
    </w:rPr>
  </w:style>
  <w:style w:type="character" w:customStyle="1" w:styleId="BalloonTextChar">
    <w:name w:val="Balloon Text Char"/>
    <w:link w:val="BalloonText"/>
    <w:uiPriority w:val="99"/>
    <w:rsid w:val="00DD408A"/>
    <w:rPr>
      <w:rFonts w:ascii="Tahoma" w:eastAsia="Times New Roman" w:hAnsi="Tahoma" w:cs="Tahoma"/>
      <w:sz w:val="16"/>
      <w:szCs w:val="16"/>
      <w:lang w:val="en-US"/>
    </w:rPr>
  </w:style>
  <w:style w:type="paragraph" w:customStyle="1" w:styleId="Activitytexts">
    <w:name w:val="Activity texts"/>
    <w:basedOn w:val="Normal"/>
    <w:autoRedefine/>
    <w:uiPriority w:val="99"/>
    <w:rsid w:val="00DD408A"/>
    <w:pPr>
      <w:widowControl w:val="0"/>
      <w:tabs>
        <w:tab w:val="left" w:pos="567"/>
        <w:tab w:val="right" w:pos="3725"/>
        <w:tab w:val="right" w:pos="4689"/>
        <w:tab w:val="right" w:pos="5754"/>
        <w:tab w:val="right" w:pos="6831"/>
        <w:tab w:val="right" w:pos="7937"/>
        <w:tab w:val="right" w:pos="9071"/>
      </w:tabs>
      <w:autoSpaceDE w:val="0"/>
      <w:autoSpaceDN w:val="0"/>
      <w:spacing w:before="80"/>
      <w:ind w:left="340" w:hanging="340"/>
      <w:jc w:val="both"/>
    </w:pPr>
    <w:rPr>
      <w:rFonts w:ascii="Lucida Sans" w:eastAsia="MS Mincho" w:hAnsi="Lucida Sans" w:cs="Arial"/>
      <w:sz w:val="17"/>
      <w:szCs w:val="18"/>
      <w:lang w:val="en-AU" w:eastAsia="en-AU"/>
    </w:rPr>
  </w:style>
  <w:style w:type="paragraph" w:customStyle="1" w:styleId="Active-Uline">
    <w:name w:val="Active-Uline"/>
    <w:basedOn w:val="Activitytexts"/>
    <w:uiPriority w:val="99"/>
    <w:rsid w:val="00DD408A"/>
    <w:pPr>
      <w:widowControl/>
      <w:tabs>
        <w:tab w:val="left" w:pos="5529"/>
        <w:tab w:val="left" w:pos="6180"/>
        <w:tab w:val="left" w:pos="6804"/>
        <w:tab w:val="left" w:pos="7456"/>
      </w:tabs>
    </w:pPr>
  </w:style>
  <w:style w:type="paragraph" w:customStyle="1" w:styleId="AverageStaffing">
    <w:name w:val="Average Staffing"/>
    <w:basedOn w:val="Normal"/>
    <w:autoRedefine/>
    <w:uiPriority w:val="99"/>
    <w:rsid w:val="00DD408A"/>
    <w:pPr>
      <w:widowControl w:val="0"/>
      <w:tabs>
        <w:tab w:val="right" w:pos="3725"/>
        <w:tab w:val="right" w:pos="4689"/>
        <w:tab w:val="right" w:pos="5754"/>
        <w:tab w:val="right" w:pos="6831"/>
        <w:tab w:val="right" w:pos="7937"/>
        <w:tab w:val="right" w:pos="9071"/>
      </w:tabs>
      <w:autoSpaceDE w:val="0"/>
      <w:autoSpaceDN w:val="0"/>
    </w:pPr>
    <w:rPr>
      <w:rFonts w:ascii="Lucida Sans" w:eastAsia="MS Mincho" w:hAnsi="Lucida Sans" w:cs="Arial"/>
      <w:sz w:val="18"/>
      <w:szCs w:val="18"/>
      <w:lang w:val="en-AU" w:eastAsia="en-AU"/>
    </w:rPr>
  </w:style>
  <w:style w:type="paragraph" w:customStyle="1" w:styleId="Active-Year-TopLine">
    <w:name w:val="Active-Year-TopLine"/>
    <w:basedOn w:val="AverageStaffing"/>
    <w:uiPriority w:val="99"/>
    <w:rsid w:val="00DD408A"/>
    <w:pPr>
      <w:widowControl/>
      <w:tabs>
        <w:tab w:val="left" w:pos="7371"/>
      </w:tabs>
    </w:pPr>
  </w:style>
  <w:style w:type="paragraph" w:customStyle="1" w:styleId="Activitytotallines">
    <w:name w:val="Activity total lines"/>
    <w:basedOn w:val="Activitytexts"/>
    <w:uiPriority w:val="99"/>
    <w:rsid w:val="00DD408A"/>
    <w:pPr>
      <w:tabs>
        <w:tab w:val="right" w:pos="5472"/>
        <w:tab w:val="right" w:pos="6464"/>
        <w:tab w:val="right" w:pos="6747"/>
        <w:tab w:val="right" w:pos="7740"/>
      </w:tabs>
    </w:pPr>
  </w:style>
  <w:style w:type="paragraph" w:customStyle="1" w:styleId="Agency">
    <w:name w:val="Agency"/>
    <w:basedOn w:val="Normal"/>
    <w:autoRedefine/>
    <w:uiPriority w:val="99"/>
    <w:rsid w:val="00DD408A"/>
    <w:pPr>
      <w:widowControl w:val="0"/>
      <w:tabs>
        <w:tab w:val="right" w:pos="4196"/>
        <w:tab w:val="right" w:pos="5046"/>
        <w:tab w:val="right" w:pos="5897"/>
        <w:tab w:val="right" w:pos="6747"/>
        <w:tab w:val="right" w:pos="7598"/>
      </w:tabs>
      <w:autoSpaceDE w:val="0"/>
      <w:autoSpaceDN w:val="0"/>
    </w:pPr>
    <w:rPr>
      <w:rFonts w:ascii="Lucida Sans" w:eastAsia="MS Mincho" w:hAnsi="Lucida Sans" w:cs="Arial"/>
      <w:b/>
      <w:bCs/>
      <w:sz w:val="27"/>
      <w:szCs w:val="22"/>
      <w:lang w:val="en-AU" w:eastAsia="en-AU"/>
    </w:rPr>
  </w:style>
  <w:style w:type="paragraph" w:customStyle="1" w:styleId="Agency2">
    <w:name w:val="Agency 2"/>
    <w:basedOn w:val="Normal"/>
    <w:autoRedefine/>
    <w:uiPriority w:val="99"/>
    <w:rsid w:val="00DD408A"/>
    <w:pPr>
      <w:pageBreakBefore/>
      <w:widowControl w:val="0"/>
      <w:pBdr>
        <w:bottom w:val="single" w:sz="4" w:space="6" w:color="999999"/>
      </w:pBdr>
      <w:tabs>
        <w:tab w:val="right" w:pos="4196"/>
        <w:tab w:val="right" w:pos="5046"/>
        <w:tab w:val="right" w:pos="5897"/>
        <w:tab w:val="right" w:pos="6747"/>
        <w:tab w:val="right" w:pos="7598"/>
      </w:tabs>
      <w:autoSpaceDE w:val="0"/>
      <w:autoSpaceDN w:val="0"/>
    </w:pPr>
    <w:rPr>
      <w:rFonts w:ascii="Lucida Sans" w:eastAsia="MS Mincho" w:hAnsi="Lucida Sans" w:cs="Arial"/>
      <w:b/>
      <w:bCs/>
      <w:color w:val="999999"/>
      <w:sz w:val="27"/>
      <w:szCs w:val="22"/>
      <w:lang w:val="en-AU" w:eastAsia="en-AU"/>
    </w:rPr>
  </w:style>
  <w:style w:type="character" w:customStyle="1" w:styleId="apple-converted-space">
    <w:name w:val="apple-converted-space"/>
    <w:rsid w:val="00DD408A"/>
  </w:style>
  <w:style w:type="character" w:customStyle="1" w:styleId="apple-tab-span">
    <w:name w:val="apple-tab-span"/>
    <w:rsid w:val="00DD408A"/>
  </w:style>
  <w:style w:type="character" w:customStyle="1" w:styleId="Arial-6">
    <w:name w:val="Arial-6"/>
    <w:rsid w:val="00DD408A"/>
    <w:rPr>
      <w:rFonts w:ascii="Lucida Sans" w:hAnsi="Lucida Sans" w:cs="Arial"/>
      <w:b/>
      <w:bCs/>
      <w:sz w:val="18"/>
      <w:szCs w:val="14"/>
    </w:rPr>
  </w:style>
  <w:style w:type="paragraph" w:customStyle="1" w:styleId="Averageframe">
    <w:name w:val="Average frame"/>
    <w:basedOn w:val="Normal"/>
    <w:uiPriority w:val="99"/>
    <w:rsid w:val="00DD408A"/>
    <w:pPr>
      <w:framePr w:w="1843" w:h="11" w:hRule="exact" w:hSpace="181" w:wrap="notBeside" w:vAnchor="text" w:hAnchor="page" w:x="6748" w:y="103"/>
      <w:widowControl w:val="0"/>
      <w:pBdr>
        <w:top w:val="single" w:sz="6" w:space="1" w:color="auto"/>
        <w:left w:val="single" w:sz="6" w:space="1" w:color="auto"/>
        <w:bottom w:val="single" w:sz="6" w:space="1" w:color="auto"/>
        <w:right w:val="single" w:sz="6" w:space="1" w:color="auto"/>
      </w:pBdr>
      <w:tabs>
        <w:tab w:val="right" w:pos="4196"/>
        <w:tab w:val="right" w:pos="5046"/>
        <w:tab w:val="right" w:pos="5897"/>
        <w:tab w:val="right" w:pos="6747"/>
        <w:tab w:val="right" w:pos="7598"/>
      </w:tabs>
      <w:autoSpaceDE w:val="0"/>
      <w:autoSpaceDN w:val="0"/>
    </w:pPr>
    <w:rPr>
      <w:rFonts w:ascii="Arial" w:eastAsia="MS Mincho" w:hAnsi="Arial" w:cs="Arial"/>
      <w:lang w:val="en-AU" w:eastAsia="en-AU"/>
    </w:rPr>
  </w:style>
  <w:style w:type="paragraph" w:customStyle="1" w:styleId="Averagestaffingdata">
    <w:name w:val="Average staffing data"/>
    <w:basedOn w:val="Normal"/>
    <w:uiPriority w:val="99"/>
    <w:rsid w:val="00DD408A"/>
    <w:pPr>
      <w:widowControl w:val="0"/>
      <w:tabs>
        <w:tab w:val="right" w:pos="4196"/>
        <w:tab w:val="right" w:pos="5046"/>
        <w:tab w:val="right" w:pos="5897"/>
        <w:tab w:val="right" w:pos="6747"/>
        <w:tab w:val="right" w:pos="7598"/>
      </w:tabs>
      <w:autoSpaceDE w:val="0"/>
      <w:autoSpaceDN w:val="0"/>
    </w:pPr>
    <w:rPr>
      <w:rFonts w:ascii="Arial" w:eastAsia="MS Mincho" w:hAnsi="Arial" w:cs="Arial"/>
      <w:sz w:val="18"/>
      <w:szCs w:val="18"/>
      <w:lang w:val="en-AU" w:eastAsia="en-AU"/>
    </w:rPr>
  </w:style>
  <w:style w:type="paragraph" w:customStyle="1" w:styleId="AverageYears">
    <w:name w:val="Average Years"/>
    <w:basedOn w:val="AverageStaffing"/>
    <w:uiPriority w:val="99"/>
    <w:rsid w:val="00DD408A"/>
    <w:pPr>
      <w:tabs>
        <w:tab w:val="left" w:pos="6747"/>
      </w:tabs>
    </w:pPr>
  </w:style>
  <w:style w:type="paragraph" w:styleId="NoteHeading">
    <w:name w:val="Note Heading"/>
    <w:basedOn w:val="Normal"/>
    <w:next w:val="Normal"/>
    <w:link w:val="NoteHeadingChar"/>
    <w:rsid w:val="00DD408A"/>
  </w:style>
  <w:style w:type="character" w:customStyle="1" w:styleId="NoteHeadingChar">
    <w:name w:val="Note Heading Char"/>
    <w:link w:val="NoteHeading"/>
    <w:rsid w:val="00DD408A"/>
    <w:rPr>
      <w:rFonts w:ascii="Times New Roman" w:eastAsia="Times New Roman" w:hAnsi="Times New Roman" w:cs="Times New Roman"/>
      <w:sz w:val="20"/>
      <w:szCs w:val="20"/>
      <w:lang w:val="en-US"/>
    </w:rPr>
  </w:style>
  <w:style w:type="paragraph" w:customStyle="1" w:styleId="BlankPage">
    <w:name w:val="Blank Page"/>
    <w:basedOn w:val="NoteHeading"/>
    <w:rsid w:val="00DD408A"/>
    <w:pPr>
      <w:keepNext/>
      <w:tabs>
        <w:tab w:val="num" w:pos="425"/>
        <w:tab w:val="left" w:pos="1440"/>
        <w:tab w:val="left" w:pos="1620"/>
        <w:tab w:val="left" w:pos="2160"/>
        <w:tab w:val="left" w:pos="2880"/>
        <w:tab w:val="left" w:pos="3402"/>
        <w:tab w:val="left" w:pos="3600"/>
        <w:tab w:val="left" w:pos="4320"/>
        <w:tab w:val="left" w:pos="5040"/>
        <w:tab w:val="left" w:pos="5760"/>
        <w:tab w:val="left" w:pos="6480"/>
        <w:tab w:val="left" w:pos="6804"/>
        <w:tab w:val="left" w:pos="7200"/>
        <w:tab w:val="left" w:pos="7920"/>
        <w:tab w:val="left" w:pos="8640"/>
      </w:tabs>
      <w:ind w:left="432" w:hanging="432"/>
      <w:jc w:val="center"/>
    </w:pPr>
    <w:rPr>
      <w:rFonts w:ascii="BellGothic BT" w:hAnsi="BellGothic BT"/>
      <w:b/>
      <w:caps/>
      <w:color w:val="808080"/>
      <w:sz w:val="32"/>
      <w:lang w:val="en-AU"/>
    </w:rPr>
  </w:style>
  <w:style w:type="paragraph" w:customStyle="1" w:styleId="Body">
    <w:name w:val="Body"/>
    <w:basedOn w:val="Normal"/>
    <w:autoRedefine/>
    <w:uiPriority w:val="99"/>
    <w:rsid w:val="00DD408A"/>
    <w:pPr>
      <w:widowControl w:val="0"/>
      <w:tabs>
        <w:tab w:val="left" w:pos="2897"/>
        <w:tab w:val="center" w:pos="4354"/>
        <w:tab w:val="center" w:pos="5182"/>
        <w:tab w:val="right" w:pos="6520"/>
        <w:tab w:val="right" w:pos="7699"/>
        <w:tab w:val="right" w:pos="9054"/>
      </w:tabs>
      <w:autoSpaceDE w:val="0"/>
      <w:autoSpaceDN w:val="0"/>
    </w:pPr>
    <w:rPr>
      <w:rFonts w:ascii="Lucida Sans" w:eastAsia="MS Mincho" w:hAnsi="Lucida Sans" w:cs="Arial"/>
      <w:sz w:val="17"/>
      <w:szCs w:val="14"/>
      <w:lang w:val="en-AU" w:eastAsia="en-AU"/>
    </w:rPr>
  </w:style>
  <w:style w:type="paragraph" w:styleId="BodyText2">
    <w:name w:val="Body Text 2"/>
    <w:basedOn w:val="Normal"/>
    <w:link w:val="BodyText2Char"/>
    <w:rsid w:val="00DD408A"/>
    <w:rPr>
      <w:sz w:val="21"/>
    </w:rPr>
  </w:style>
  <w:style w:type="character" w:customStyle="1" w:styleId="BodyText2Char">
    <w:name w:val="Body Text 2 Char"/>
    <w:link w:val="BodyText2"/>
    <w:rsid w:val="00DD408A"/>
    <w:rPr>
      <w:rFonts w:ascii="Times New Roman" w:eastAsia="Times New Roman" w:hAnsi="Times New Roman" w:cs="Times New Roman"/>
      <w:sz w:val="21"/>
      <w:szCs w:val="20"/>
      <w:lang w:val="en-US"/>
    </w:rPr>
  </w:style>
  <w:style w:type="paragraph" w:customStyle="1" w:styleId="BodyTextBox">
    <w:name w:val="Body Text Box"/>
    <w:basedOn w:val="Normal"/>
    <w:link w:val="BodyTextBoxChar"/>
    <w:autoRedefine/>
    <w:rsid w:val="00DD408A"/>
    <w:pPr>
      <w:spacing w:before="80" w:after="80" w:line="260" w:lineRule="exact"/>
    </w:pPr>
    <w:rPr>
      <w:rFonts w:ascii="Arial" w:hAnsi="Arial"/>
      <w:color w:val="0579B9"/>
      <w:sz w:val="19"/>
      <w:szCs w:val="22"/>
    </w:rPr>
  </w:style>
  <w:style w:type="character" w:customStyle="1" w:styleId="BodyTextBoxChar">
    <w:name w:val="Body Text Box Char"/>
    <w:link w:val="BodyTextBox"/>
    <w:rsid w:val="00DD408A"/>
    <w:rPr>
      <w:rFonts w:ascii="Arial" w:eastAsia="Times New Roman" w:hAnsi="Arial" w:cs="Times New Roman"/>
      <w:color w:val="0579B9"/>
      <w:sz w:val="19"/>
      <w:lang w:val="en-US"/>
    </w:rPr>
  </w:style>
  <w:style w:type="paragraph" w:styleId="BodyTextIndent2">
    <w:name w:val="Body Text Indent 2"/>
    <w:basedOn w:val="Normal"/>
    <w:link w:val="BodyTextIndent2Char"/>
    <w:autoRedefine/>
    <w:rsid w:val="00DD408A"/>
    <w:pPr>
      <w:spacing w:after="120"/>
      <w:ind w:left="284"/>
    </w:pPr>
    <w:rPr>
      <w:i/>
      <w:sz w:val="23"/>
    </w:rPr>
  </w:style>
  <w:style w:type="character" w:customStyle="1" w:styleId="BodyTextIndent2Char">
    <w:name w:val="Body Text Indent 2 Char"/>
    <w:link w:val="BodyTextIndent2"/>
    <w:rsid w:val="00DD408A"/>
    <w:rPr>
      <w:rFonts w:ascii="Times New Roman" w:eastAsia="Times New Roman" w:hAnsi="Times New Roman" w:cs="Times New Roman"/>
      <w:i/>
      <w:sz w:val="23"/>
      <w:szCs w:val="20"/>
      <w:lang w:val="en-US"/>
    </w:rPr>
  </w:style>
  <w:style w:type="paragraph" w:customStyle="1" w:styleId="BodyTextlettereditaliclist">
    <w:name w:val="Body Text lettered italic list"/>
    <w:basedOn w:val="Normal"/>
    <w:rsid w:val="00DD408A"/>
    <w:pPr>
      <w:ind w:left="426" w:hanging="426"/>
    </w:pPr>
    <w:rPr>
      <w:i/>
    </w:rPr>
  </w:style>
  <w:style w:type="paragraph" w:customStyle="1" w:styleId="Bodytextnumbered">
    <w:name w:val="Body text numbered"/>
    <w:basedOn w:val="Heading1"/>
    <w:qFormat/>
    <w:rsid w:val="00DD408A"/>
    <w:pPr>
      <w:keepNext w:val="0"/>
      <w:tabs>
        <w:tab w:val="num" w:pos="454"/>
      </w:tabs>
      <w:spacing w:before="200" w:line="320" w:lineRule="atLeast"/>
      <w:ind w:left="454" w:hanging="454"/>
    </w:pPr>
    <w:rPr>
      <w:b/>
      <w:kern w:val="0"/>
      <w:sz w:val="22"/>
      <w:szCs w:val="22"/>
    </w:rPr>
  </w:style>
  <w:style w:type="paragraph" w:customStyle="1" w:styleId="BodyText1">
    <w:name w:val="Body Text1"/>
    <w:basedOn w:val="BodyText"/>
    <w:link w:val="bodytextChar0"/>
    <w:autoRedefine/>
    <w:rsid w:val="00DD408A"/>
    <w:pPr>
      <w:spacing w:line="360" w:lineRule="auto"/>
      <w:ind w:right="-17"/>
    </w:pPr>
    <w:rPr>
      <w:szCs w:val="24"/>
    </w:rPr>
  </w:style>
  <w:style w:type="character" w:customStyle="1" w:styleId="bodytextChar0">
    <w:name w:val="body text Char"/>
    <w:link w:val="BodyText1"/>
    <w:rsid w:val="00DD408A"/>
    <w:rPr>
      <w:rFonts w:ascii="Arial" w:eastAsia="Times New Roman" w:hAnsi="Arial" w:cs="Times New Roman"/>
      <w:sz w:val="20"/>
      <w:szCs w:val="24"/>
    </w:rPr>
  </w:style>
  <w:style w:type="character" w:customStyle="1" w:styleId="Bold">
    <w:name w:val="Bold"/>
    <w:uiPriority w:val="99"/>
    <w:rsid w:val="00DD408A"/>
    <w:rPr>
      <w:b/>
    </w:rPr>
  </w:style>
  <w:style w:type="character" w:styleId="BookTitle">
    <w:name w:val="Book Title"/>
    <w:uiPriority w:val="33"/>
    <w:qFormat/>
    <w:rsid w:val="00DD408A"/>
    <w:rPr>
      <w:b/>
      <w:bCs/>
      <w:smallCaps/>
      <w:spacing w:val="5"/>
    </w:rPr>
  </w:style>
  <w:style w:type="character" w:customStyle="1" w:styleId="Heading3Char">
    <w:name w:val="Heading 3 Char"/>
    <w:link w:val="Heading3"/>
    <w:rsid w:val="000F1E2C"/>
    <w:rPr>
      <w:rFonts w:ascii="Arial Bold" w:eastAsia="Arial Unicode MS" w:hAnsi="Arial Bold" w:cs="Times New Roman"/>
      <w:b/>
      <w:kern w:val="28"/>
      <w:sz w:val="26"/>
      <w:szCs w:val="36"/>
    </w:rPr>
  </w:style>
  <w:style w:type="paragraph" w:customStyle="1" w:styleId="ObjectHeading">
    <w:name w:val="Object Heading"/>
    <w:basedOn w:val="Heading3"/>
    <w:next w:val="Normal"/>
    <w:rsid w:val="00DD408A"/>
    <w:pPr>
      <w:tabs>
        <w:tab w:val="left" w:pos="1418"/>
      </w:tabs>
      <w:ind w:left="1418" w:hanging="1418"/>
    </w:pPr>
    <w:rPr>
      <w:kern w:val="0"/>
    </w:rPr>
  </w:style>
  <w:style w:type="paragraph" w:customStyle="1" w:styleId="BoxHeading">
    <w:name w:val="Box Heading"/>
    <w:basedOn w:val="ObjectHeading"/>
    <w:link w:val="BoxHeadingChar"/>
    <w:autoRedefine/>
    <w:rsid w:val="00DD408A"/>
    <w:pPr>
      <w:tabs>
        <w:tab w:val="clear" w:pos="1418"/>
        <w:tab w:val="left" w:pos="1168"/>
      </w:tabs>
      <w:spacing w:before="120" w:after="60"/>
      <w:ind w:left="1168" w:hanging="1168"/>
    </w:pPr>
    <w:rPr>
      <w:rFonts w:ascii="Arial" w:hAnsi="Arial"/>
      <w:b w:val="0"/>
      <w:bCs/>
      <w:szCs w:val="23"/>
      <w:lang w:val="en-US"/>
    </w:rPr>
  </w:style>
  <w:style w:type="character" w:customStyle="1" w:styleId="BoxHeadingChar">
    <w:name w:val="Box Heading Char"/>
    <w:link w:val="BoxHeading"/>
    <w:rsid w:val="00DD408A"/>
    <w:rPr>
      <w:rFonts w:ascii="Arial" w:eastAsia="Arial Unicode MS" w:hAnsi="Arial" w:cs="Times New Roman"/>
      <w:bCs/>
      <w:sz w:val="20"/>
      <w:szCs w:val="23"/>
      <w:lang w:val="en-US"/>
    </w:rPr>
  </w:style>
  <w:style w:type="paragraph" w:customStyle="1" w:styleId="Bullet">
    <w:name w:val="Bullet"/>
    <w:basedOn w:val="BodyText"/>
    <w:rsid w:val="00DD408A"/>
    <w:pPr>
      <w:numPr>
        <w:numId w:val="1"/>
      </w:numPr>
      <w:spacing w:before="180" w:after="180" w:line="288" w:lineRule="auto"/>
      <w:outlineLvl w:val="0"/>
    </w:pPr>
    <w:rPr>
      <w:rFonts w:cs="Arial"/>
      <w:szCs w:val="22"/>
    </w:rPr>
  </w:style>
  <w:style w:type="paragraph" w:customStyle="1" w:styleId="Bullet-1stlevel">
    <w:name w:val="Bullet - 1st level"/>
    <w:basedOn w:val="Normal"/>
    <w:qFormat/>
    <w:rsid w:val="00DD408A"/>
    <w:pPr>
      <w:numPr>
        <w:numId w:val="2"/>
      </w:numPr>
      <w:spacing w:before="60" w:after="60"/>
    </w:pPr>
    <w:rPr>
      <w:rFonts w:ascii="Arial" w:hAnsi="Arial" w:cs="Arial"/>
      <w:szCs w:val="18"/>
      <w:lang w:val="en-AU" w:bidi="en-US"/>
    </w:rPr>
  </w:style>
  <w:style w:type="paragraph" w:customStyle="1" w:styleId="Bullet1stlevel">
    <w:name w:val="Bullet – 1st level"/>
    <w:qFormat/>
    <w:rsid w:val="00DD408A"/>
    <w:pPr>
      <w:numPr>
        <w:numId w:val="3"/>
      </w:numPr>
      <w:spacing w:before="60" w:after="60" w:line="240" w:lineRule="auto"/>
    </w:pPr>
    <w:rPr>
      <w:rFonts w:ascii="Arial" w:eastAsia="Times New Roman" w:hAnsi="Arial" w:cs="Times New Roman"/>
      <w:sz w:val="20"/>
      <w:lang w:bidi="en-US"/>
    </w:rPr>
  </w:style>
  <w:style w:type="paragraph" w:customStyle="1" w:styleId="Bullet-2ndlevel">
    <w:name w:val="Bullet - 2nd level"/>
    <w:basedOn w:val="Bullet-1stlevel"/>
    <w:qFormat/>
    <w:rsid w:val="00DD408A"/>
    <w:pPr>
      <w:numPr>
        <w:ilvl w:val="1"/>
      </w:numPr>
      <w:tabs>
        <w:tab w:val="left" w:pos="1134"/>
      </w:tabs>
    </w:pPr>
  </w:style>
  <w:style w:type="paragraph" w:customStyle="1" w:styleId="Bullet2ndlevel">
    <w:name w:val="Bullet – 2nd level"/>
    <w:basedOn w:val="Bullet1stlevel"/>
    <w:qFormat/>
    <w:rsid w:val="00DD408A"/>
    <w:pPr>
      <w:numPr>
        <w:ilvl w:val="1"/>
      </w:numPr>
      <w:tabs>
        <w:tab w:val="left" w:pos="1134"/>
      </w:tabs>
    </w:pPr>
  </w:style>
  <w:style w:type="paragraph" w:customStyle="1" w:styleId="Bullet1">
    <w:name w:val="Bullet 1"/>
    <w:link w:val="Bullet1Char"/>
    <w:autoRedefine/>
    <w:rsid w:val="005F787D"/>
    <w:pPr>
      <w:numPr>
        <w:numId w:val="29"/>
      </w:numPr>
      <w:spacing w:before="120" w:after="80" w:line="240" w:lineRule="atLeast"/>
    </w:pPr>
    <w:rPr>
      <w:rFonts w:ascii="Arial" w:eastAsia="Times New Roman" w:hAnsi="Arial" w:cs="Times New Roman"/>
      <w:sz w:val="23"/>
      <w:szCs w:val="23"/>
    </w:rPr>
  </w:style>
  <w:style w:type="character" w:customStyle="1" w:styleId="Bullet1Char">
    <w:name w:val="Bullet 1 Char"/>
    <w:link w:val="Bullet1"/>
    <w:rsid w:val="005F787D"/>
    <w:rPr>
      <w:rFonts w:ascii="Arial" w:eastAsia="Times New Roman" w:hAnsi="Arial" w:cs="Times New Roman"/>
      <w:sz w:val="23"/>
      <w:szCs w:val="23"/>
    </w:rPr>
  </w:style>
  <w:style w:type="paragraph" w:customStyle="1" w:styleId="Bullet1box">
    <w:name w:val="Bullet 1 box"/>
    <w:basedOn w:val="Bullet1"/>
    <w:autoRedefine/>
    <w:rsid w:val="00DD408A"/>
    <w:pPr>
      <w:numPr>
        <w:numId w:val="4"/>
      </w:numPr>
      <w:shd w:val="clear" w:color="auto" w:fill="FFFFFF"/>
      <w:spacing w:after="60" w:line="260" w:lineRule="exact"/>
    </w:pPr>
  </w:style>
  <w:style w:type="paragraph" w:customStyle="1" w:styleId="Bullet1inabox">
    <w:name w:val="Bullet 1 in a box"/>
    <w:basedOn w:val="Bullet1"/>
    <w:autoRedefine/>
    <w:rsid w:val="00DD408A"/>
    <w:pPr>
      <w:numPr>
        <w:numId w:val="5"/>
      </w:numPr>
      <w:spacing w:before="80" w:after="40" w:line="260" w:lineRule="exact"/>
    </w:pPr>
    <w:rPr>
      <w:color w:val="0579B9"/>
      <w:sz w:val="19"/>
    </w:rPr>
  </w:style>
  <w:style w:type="paragraph" w:customStyle="1" w:styleId="Bullet1Paragraph">
    <w:name w:val="Bullet 1 Paragraph"/>
    <w:basedOn w:val="Normal"/>
    <w:rsid w:val="00DD408A"/>
    <w:pPr>
      <w:ind w:left="425"/>
    </w:pPr>
  </w:style>
  <w:style w:type="paragraph" w:customStyle="1" w:styleId="Bullet2">
    <w:name w:val="Bullet 2"/>
    <w:basedOn w:val="Bullet1"/>
    <w:rsid w:val="007C58CD"/>
    <w:pPr>
      <w:numPr>
        <w:numId w:val="6"/>
      </w:numPr>
      <w:tabs>
        <w:tab w:val="left" w:pos="851"/>
      </w:tabs>
      <w:spacing w:before="80" w:after="40"/>
      <w:ind w:left="714" w:hanging="357"/>
    </w:pPr>
  </w:style>
  <w:style w:type="paragraph" w:customStyle="1" w:styleId="Bullet2innumberedlist">
    <w:name w:val="Bullet 2 in numbered list"/>
    <w:basedOn w:val="Bullet2"/>
    <w:rsid w:val="00DD408A"/>
    <w:pPr>
      <w:numPr>
        <w:numId w:val="0"/>
      </w:numPr>
      <w:tabs>
        <w:tab w:val="num" w:pos="851"/>
      </w:tabs>
      <w:ind w:left="851" w:hanging="426"/>
    </w:pPr>
  </w:style>
  <w:style w:type="paragraph" w:customStyle="1" w:styleId="Bullet2Paragraph">
    <w:name w:val="Bullet 2 Paragraph"/>
    <w:basedOn w:val="Bullet1Paragraph"/>
    <w:rsid w:val="00DD408A"/>
    <w:pPr>
      <w:ind w:left="851"/>
    </w:pPr>
  </w:style>
  <w:style w:type="paragraph" w:customStyle="1" w:styleId="Bullet3">
    <w:name w:val="Bullet 3"/>
    <w:basedOn w:val="Bullet2"/>
    <w:rsid w:val="00DD408A"/>
    <w:pPr>
      <w:numPr>
        <w:numId w:val="7"/>
      </w:numPr>
    </w:pPr>
  </w:style>
  <w:style w:type="paragraph" w:customStyle="1" w:styleId="Bullet3Paragraph">
    <w:name w:val="Bullet 3 Paragraph"/>
    <w:basedOn w:val="Bullet2Paragraph"/>
    <w:rsid w:val="00DD408A"/>
    <w:pPr>
      <w:ind w:left="1276"/>
    </w:pPr>
  </w:style>
  <w:style w:type="paragraph" w:customStyle="1" w:styleId="Bullet4">
    <w:name w:val="Bullet 4"/>
    <w:basedOn w:val="Bullet3"/>
    <w:rsid w:val="00DD408A"/>
    <w:pPr>
      <w:numPr>
        <w:numId w:val="8"/>
      </w:numPr>
    </w:pPr>
  </w:style>
  <w:style w:type="paragraph" w:customStyle="1" w:styleId="Bullet4Paragraph">
    <w:name w:val="Bullet 4 Paragraph"/>
    <w:basedOn w:val="Bullet3Paragraph"/>
    <w:rsid w:val="00DD408A"/>
    <w:pPr>
      <w:ind w:left="1701"/>
    </w:pPr>
  </w:style>
  <w:style w:type="paragraph" w:customStyle="1" w:styleId="BulletPointStyle">
    <w:name w:val="Bullet Point Style"/>
    <w:basedOn w:val="BodyText"/>
    <w:link w:val="BulletPointStyleChar"/>
    <w:qFormat/>
    <w:rsid w:val="00DD408A"/>
    <w:pPr>
      <w:numPr>
        <w:numId w:val="9"/>
      </w:numPr>
      <w:spacing w:after="80"/>
    </w:pPr>
    <w:rPr>
      <w:rFonts w:ascii="Garamond" w:hAnsi="Garamond"/>
      <w:lang w:eastAsia="x-none"/>
    </w:rPr>
  </w:style>
  <w:style w:type="character" w:customStyle="1" w:styleId="BulletPointStyleChar">
    <w:name w:val="Bullet Point Style Char"/>
    <w:link w:val="BulletPointStyle"/>
    <w:locked/>
    <w:rsid w:val="00DD408A"/>
    <w:rPr>
      <w:rFonts w:ascii="Garamond" w:eastAsia="Times New Roman" w:hAnsi="Garamond" w:cs="Times New Roman"/>
      <w:sz w:val="23"/>
      <w:szCs w:val="20"/>
      <w:lang w:eastAsia="x-none"/>
    </w:rPr>
  </w:style>
  <w:style w:type="numbering" w:customStyle="1" w:styleId="BulletPoints">
    <w:name w:val="Bullet Points"/>
    <w:uiPriority w:val="99"/>
    <w:rsid w:val="00DD408A"/>
    <w:pPr>
      <w:numPr>
        <w:numId w:val="9"/>
      </w:numPr>
    </w:pPr>
  </w:style>
  <w:style w:type="paragraph" w:customStyle="1" w:styleId="Bulletpoints0">
    <w:name w:val="Bullet points"/>
    <w:basedOn w:val="Normal"/>
    <w:link w:val="BulletpointsChar"/>
    <w:qFormat/>
    <w:rsid w:val="00DD408A"/>
    <w:pPr>
      <w:tabs>
        <w:tab w:val="num" w:pos="425"/>
      </w:tabs>
      <w:spacing w:before="180" w:after="180" w:line="288" w:lineRule="auto"/>
      <w:ind w:left="425" w:hanging="425"/>
      <w:outlineLvl w:val="0"/>
    </w:pPr>
    <w:rPr>
      <w:rFonts w:ascii="Arial" w:hAnsi="Arial" w:cs="Arial"/>
      <w:sz w:val="22"/>
      <w:szCs w:val="22"/>
      <w:lang w:val="en-AU"/>
    </w:rPr>
  </w:style>
  <w:style w:type="character" w:customStyle="1" w:styleId="BulletpointsChar">
    <w:name w:val="Bullet points Char"/>
    <w:link w:val="Bulletpoints0"/>
    <w:rsid w:val="00DD408A"/>
    <w:rPr>
      <w:rFonts w:ascii="Arial" w:eastAsia="Times New Roman" w:hAnsi="Arial" w:cs="Arial"/>
    </w:rPr>
  </w:style>
  <w:style w:type="paragraph" w:customStyle="1" w:styleId="OpStatementData">
    <w:name w:val="Op. Statement Data"/>
    <w:basedOn w:val="Normal"/>
    <w:autoRedefine/>
    <w:uiPriority w:val="99"/>
    <w:rsid w:val="00DD408A"/>
    <w:pPr>
      <w:widowControl w:val="0"/>
      <w:tabs>
        <w:tab w:val="right" w:pos="6650"/>
        <w:tab w:val="right" w:pos="7841"/>
        <w:tab w:val="right" w:pos="9043"/>
      </w:tabs>
      <w:autoSpaceDE w:val="0"/>
      <w:autoSpaceDN w:val="0"/>
      <w:spacing w:before="60"/>
    </w:pPr>
    <w:rPr>
      <w:rFonts w:ascii="Lucida Sans" w:eastAsia="MS Mincho" w:hAnsi="Lucida Sans" w:cs="Arial"/>
      <w:sz w:val="18"/>
      <w:szCs w:val="18"/>
      <w:lang w:val="en-AU" w:eastAsia="en-AU"/>
    </w:rPr>
  </w:style>
  <w:style w:type="paragraph" w:customStyle="1" w:styleId="CapitalProgTotal">
    <w:name w:val="Capital Prog Total"/>
    <w:basedOn w:val="OpStatementData"/>
    <w:uiPriority w:val="99"/>
    <w:rsid w:val="00DD408A"/>
    <w:pPr>
      <w:pBdr>
        <w:top w:val="single" w:sz="6" w:space="1" w:color="auto"/>
      </w:pBdr>
    </w:pPr>
    <w:rPr>
      <w:b/>
      <w:bCs/>
    </w:rPr>
  </w:style>
  <w:style w:type="paragraph" w:styleId="Caption">
    <w:name w:val="caption"/>
    <w:basedOn w:val="Normal"/>
    <w:next w:val="Normal"/>
    <w:qFormat/>
    <w:rsid w:val="00DD408A"/>
    <w:pPr>
      <w:spacing w:before="120" w:after="120"/>
    </w:pPr>
    <w:rPr>
      <w:b/>
    </w:rPr>
  </w:style>
  <w:style w:type="character" w:customStyle="1" w:styleId="CentreLine">
    <w:name w:val="Centre Line"/>
    <w:uiPriority w:val="99"/>
    <w:rsid w:val="00DD408A"/>
    <w:rPr>
      <w:sz w:val="20"/>
      <w:u w:val="single"/>
      <w:vertAlign w:val="superscript"/>
    </w:rPr>
  </w:style>
  <w:style w:type="paragraph" w:customStyle="1" w:styleId="Chart1X">
    <w:name w:val="Chart 1.X"/>
    <w:basedOn w:val="Normal"/>
    <w:rsid w:val="00DD408A"/>
    <w:pPr>
      <w:keepLines/>
      <w:widowControl w:val="0"/>
      <w:tabs>
        <w:tab w:val="left" w:pos="992"/>
      </w:tabs>
      <w:autoSpaceDE w:val="0"/>
      <w:autoSpaceDN w:val="0"/>
      <w:spacing w:before="360" w:after="120"/>
    </w:pPr>
    <w:rPr>
      <w:rFonts w:ascii="Arial" w:hAnsi="Arial"/>
      <w:i/>
      <w:color w:val="57514D"/>
      <w:lang w:val="en-AU" w:eastAsia="en-AU"/>
    </w:rPr>
  </w:style>
  <w:style w:type="paragraph" w:customStyle="1" w:styleId="TableHeading">
    <w:name w:val="Table Heading"/>
    <w:basedOn w:val="Normal"/>
    <w:link w:val="TableHeadingChar"/>
    <w:autoRedefine/>
    <w:rsid w:val="00DD408A"/>
    <w:pPr>
      <w:keepNext/>
      <w:keepLines/>
      <w:numPr>
        <w:numId w:val="10"/>
      </w:numPr>
      <w:spacing w:before="120" w:after="120"/>
    </w:pPr>
    <w:rPr>
      <w:rFonts w:ascii="Arial" w:hAnsi="Arial"/>
      <w:b/>
      <w:sz w:val="24"/>
    </w:rPr>
  </w:style>
  <w:style w:type="character" w:customStyle="1" w:styleId="TableHeadingChar">
    <w:name w:val="Table Heading Char"/>
    <w:link w:val="TableHeading"/>
    <w:rsid w:val="00DD408A"/>
    <w:rPr>
      <w:rFonts w:ascii="Arial" w:eastAsia="Times New Roman" w:hAnsi="Arial" w:cs="Times New Roman"/>
      <w:b/>
      <w:sz w:val="24"/>
      <w:szCs w:val="20"/>
      <w:lang w:val="en-US"/>
    </w:rPr>
  </w:style>
  <w:style w:type="paragraph" w:customStyle="1" w:styleId="TableFX">
    <w:name w:val="Table F.X"/>
    <w:basedOn w:val="TableHeading"/>
    <w:rsid w:val="003B27B1"/>
    <w:pPr>
      <w:keepNext w:val="0"/>
      <w:keepLines w:val="0"/>
      <w:widowControl w:val="0"/>
      <w:numPr>
        <w:numId w:val="11"/>
      </w:numPr>
      <w:tabs>
        <w:tab w:val="left" w:pos="1304"/>
      </w:tabs>
      <w:spacing w:before="240"/>
    </w:pPr>
    <w:rPr>
      <w:b w:val="0"/>
      <w:bCs/>
      <w:i/>
      <w:color w:val="57514D"/>
      <w:kern w:val="28"/>
      <w:sz w:val="22"/>
      <w:szCs w:val="22"/>
    </w:rPr>
  </w:style>
  <w:style w:type="paragraph" w:customStyle="1" w:styleId="Chart2X">
    <w:name w:val="Chart 2.X"/>
    <w:basedOn w:val="TableFX"/>
    <w:rsid w:val="00DD408A"/>
    <w:pPr>
      <w:numPr>
        <w:numId w:val="12"/>
      </w:numPr>
    </w:pPr>
  </w:style>
  <w:style w:type="paragraph" w:customStyle="1" w:styleId="Chart3X">
    <w:name w:val="Chart 3.X"/>
    <w:basedOn w:val="TableFX"/>
    <w:rsid w:val="00DD408A"/>
    <w:pPr>
      <w:numPr>
        <w:numId w:val="13"/>
      </w:numPr>
      <w:spacing w:before="600"/>
    </w:pPr>
    <w:rPr>
      <w:rFonts w:ascii="Lucida Sans" w:hAnsi="Lucida Sans"/>
      <w:color w:val="auto"/>
    </w:rPr>
  </w:style>
  <w:style w:type="paragraph" w:customStyle="1" w:styleId="TableXX">
    <w:name w:val="Table X.X"/>
    <w:basedOn w:val="Normal"/>
    <w:rsid w:val="00DD408A"/>
    <w:pPr>
      <w:widowControl w:val="0"/>
      <w:numPr>
        <w:numId w:val="14"/>
      </w:numPr>
      <w:tabs>
        <w:tab w:val="left" w:pos="1232"/>
      </w:tabs>
      <w:spacing w:before="360" w:after="120"/>
    </w:pPr>
    <w:rPr>
      <w:rFonts w:ascii="Lucida Sans" w:hAnsi="Lucida Sans"/>
      <w:bCs/>
      <w:kern w:val="28"/>
      <w:sz w:val="22"/>
      <w:szCs w:val="22"/>
    </w:rPr>
  </w:style>
  <w:style w:type="paragraph" w:customStyle="1" w:styleId="Chart5X">
    <w:name w:val="Chart 5.X"/>
    <w:basedOn w:val="TableXX"/>
    <w:rsid w:val="00DD408A"/>
    <w:pPr>
      <w:numPr>
        <w:numId w:val="15"/>
      </w:numPr>
      <w:tabs>
        <w:tab w:val="clear" w:pos="1232"/>
        <w:tab w:val="left" w:pos="851"/>
        <w:tab w:val="left" w:pos="1418"/>
      </w:tabs>
    </w:pPr>
    <w:rPr>
      <w:rFonts w:ascii="Arial" w:eastAsia="Arial Unicode MS" w:hAnsi="Arial"/>
      <w:i/>
      <w:color w:val="57514D"/>
    </w:rPr>
  </w:style>
  <w:style w:type="paragraph" w:customStyle="1" w:styleId="Chart6X">
    <w:name w:val="Chart 6.X"/>
    <w:basedOn w:val="Normal"/>
    <w:rsid w:val="00DD408A"/>
    <w:pPr>
      <w:keepLines/>
      <w:spacing w:before="360" w:after="120"/>
    </w:pPr>
    <w:rPr>
      <w:rFonts w:ascii="Lucida Sans" w:hAnsi="Lucida Sans"/>
      <w:sz w:val="22"/>
    </w:rPr>
  </w:style>
  <w:style w:type="paragraph" w:customStyle="1" w:styleId="Table7X">
    <w:name w:val="Table 7.X"/>
    <w:basedOn w:val="Normal"/>
    <w:rsid w:val="00DD408A"/>
    <w:pPr>
      <w:widowControl w:val="0"/>
      <w:tabs>
        <w:tab w:val="left" w:pos="1232"/>
      </w:tabs>
      <w:spacing w:before="360" w:after="120"/>
    </w:pPr>
    <w:rPr>
      <w:rFonts w:ascii="Lucida Sans" w:hAnsi="Lucida Sans"/>
      <w:bCs/>
      <w:kern w:val="28"/>
      <w:sz w:val="22"/>
      <w:szCs w:val="22"/>
    </w:rPr>
  </w:style>
  <w:style w:type="paragraph" w:customStyle="1" w:styleId="Chart7X">
    <w:name w:val="Chart 7.X"/>
    <w:basedOn w:val="Table7X"/>
    <w:rsid w:val="00DD408A"/>
    <w:pPr>
      <w:tabs>
        <w:tab w:val="clear" w:pos="1232"/>
      </w:tabs>
      <w:ind w:left="1418" w:hanging="1418"/>
    </w:pPr>
  </w:style>
  <w:style w:type="paragraph" w:customStyle="1" w:styleId="Chart9X">
    <w:name w:val="Chart 9.X"/>
    <w:basedOn w:val="Normal"/>
    <w:rsid w:val="00DD408A"/>
    <w:pPr>
      <w:widowControl w:val="0"/>
      <w:spacing w:before="360" w:after="120"/>
      <w:ind w:left="1418" w:hanging="1418"/>
    </w:pPr>
    <w:rPr>
      <w:rFonts w:ascii="Lucida Sans" w:hAnsi="Lucida Sans"/>
      <w:bCs/>
      <w:kern w:val="28"/>
      <w:sz w:val="22"/>
      <w:szCs w:val="22"/>
    </w:rPr>
  </w:style>
  <w:style w:type="paragraph" w:customStyle="1" w:styleId="ChartB4X">
    <w:name w:val="Chart B4.X"/>
    <w:basedOn w:val="Normal"/>
    <w:rsid w:val="00DD408A"/>
    <w:pPr>
      <w:widowControl w:val="0"/>
      <w:numPr>
        <w:numId w:val="16"/>
      </w:numPr>
      <w:spacing w:before="360" w:after="120"/>
    </w:pPr>
    <w:rPr>
      <w:rFonts w:ascii="Arial" w:hAnsi="Arial"/>
      <w:b/>
      <w:bCs/>
      <w:kern w:val="28"/>
      <w:sz w:val="22"/>
      <w:szCs w:val="22"/>
    </w:rPr>
  </w:style>
  <w:style w:type="paragraph" w:customStyle="1" w:styleId="ChartHeading">
    <w:name w:val="Chart Heading"/>
    <w:basedOn w:val="Normal"/>
    <w:autoRedefine/>
    <w:rsid w:val="00DD408A"/>
    <w:pPr>
      <w:keepNext/>
      <w:widowControl w:val="0"/>
      <w:spacing w:before="240" w:after="120"/>
    </w:pPr>
    <w:rPr>
      <w:rFonts w:ascii="Arial" w:hAnsi="Arial"/>
      <w:b/>
      <w:sz w:val="24"/>
    </w:rPr>
  </w:style>
  <w:style w:type="paragraph" w:customStyle="1" w:styleId="Chartpara">
    <w:name w:val="Chart para"/>
    <w:basedOn w:val="Normal"/>
    <w:semiHidden/>
    <w:rsid w:val="00DD408A"/>
    <w:rPr>
      <w:rFonts w:ascii="Garamond" w:hAnsi="Garamond"/>
      <w:sz w:val="22"/>
      <w:lang w:val="en-AU"/>
    </w:rPr>
  </w:style>
  <w:style w:type="paragraph" w:customStyle="1" w:styleId="Chartx">
    <w:name w:val="Chart x"/>
    <w:basedOn w:val="Normal"/>
    <w:rsid w:val="00D37D39"/>
    <w:pPr>
      <w:keepLines/>
      <w:numPr>
        <w:numId w:val="17"/>
      </w:numPr>
      <w:tabs>
        <w:tab w:val="left" w:pos="1304"/>
      </w:tabs>
      <w:spacing w:before="240" w:after="120"/>
    </w:pPr>
    <w:rPr>
      <w:rFonts w:ascii="Arial" w:hAnsi="Arial"/>
      <w:i/>
      <w:color w:val="57514D"/>
      <w:sz w:val="22"/>
    </w:rPr>
  </w:style>
  <w:style w:type="character" w:styleId="CommentReference">
    <w:name w:val="annotation reference"/>
    <w:uiPriority w:val="99"/>
    <w:rsid w:val="00DD408A"/>
    <w:rPr>
      <w:sz w:val="16"/>
      <w:szCs w:val="16"/>
    </w:rPr>
  </w:style>
  <w:style w:type="paragraph" w:styleId="CommentText">
    <w:name w:val="annotation text"/>
    <w:basedOn w:val="Normal"/>
    <w:link w:val="CommentTextChar"/>
    <w:uiPriority w:val="99"/>
    <w:rsid w:val="00DD408A"/>
  </w:style>
  <w:style w:type="character" w:customStyle="1" w:styleId="CommentTextChar">
    <w:name w:val="Comment Text Char"/>
    <w:link w:val="CommentText"/>
    <w:uiPriority w:val="99"/>
    <w:rsid w:val="00DD408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rsid w:val="00DD408A"/>
    <w:rPr>
      <w:b/>
      <w:bCs/>
    </w:rPr>
  </w:style>
  <w:style w:type="character" w:customStyle="1" w:styleId="CommentSubjectChar">
    <w:name w:val="Comment Subject Char"/>
    <w:link w:val="CommentSubject"/>
    <w:rsid w:val="00DD408A"/>
    <w:rPr>
      <w:rFonts w:ascii="Times New Roman" w:eastAsia="Times New Roman" w:hAnsi="Times New Roman" w:cs="Times New Roman"/>
      <w:b/>
      <w:bCs/>
      <w:sz w:val="20"/>
      <w:szCs w:val="20"/>
      <w:lang w:val="en-US"/>
    </w:rPr>
  </w:style>
  <w:style w:type="paragraph" w:customStyle="1" w:styleId="Default">
    <w:name w:val="Default"/>
    <w:rsid w:val="00DD408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Dept">
    <w:name w:val="Dept"/>
    <w:basedOn w:val="Normal"/>
    <w:autoRedefine/>
    <w:rsid w:val="00DD408A"/>
    <w:pPr>
      <w:keepNext/>
      <w:keepLines/>
      <w:pageBreakBefore/>
      <w:autoSpaceDE w:val="0"/>
      <w:autoSpaceDN w:val="0"/>
      <w:adjustRightInd w:val="0"/>
    </w:pPr>
    <w:rPr>
      <w:rFonts w:ascii="Lucida Sans" w:eastAsia="MS Mincho" w:hAnsi="Lucida Sans" w:cs="Arial"/>
      <w:b/>
      <w:bCs/>
      <w:sz w:val="22"/>
      <w:lang w:val="en-AU" w:eastAsia="en-AU"/>
    </w:rPr>
  </w:style>
  <w:style w:type="paragraph" w:styleId="DocumentMap">
    <w:name w:val="Document Map"/>
    <w:basedOn w:val="Normal"/>
    <w:link w:val="DocumentMapChar"/>
    <w:rsid w:val="00DD408A"/>
    <w:pPr>
      <w:shd w:val="clear" w:color="auto" w:fill="000080"/>
    </w:pPr>
    <w:rPr>
      <w:rFonts w:ascii="Tahoma" w:hAnsi="Tahoma" w:cs="Tahoma"/>
    </w:rPr>
  </w:style>
  <w:style w:type="character" w:customStyle="1" w:styleId="DocumentMapChar">
    <w:name w:val="Document Map Char"/>
    <w:link w:val="DocumentMap"/>
    <w:rsid w:val="00DD408A"/>
    <w:rPr>
      <w:rFonts w:ascii="Tahoma" w:eastAsia="Times New Roman" w:hAnsi="Tahoma" w:cs="Tahoma"/>
      <w:sz w:val="20"/>
      <w:szCs w:val="20"/>
      <w:shd w:val="clear" w:color="auto" w:fill="000080"/>
      <w:lang w:val="en-US"/>
    </w:rPr>
  </w:style>
  <w:style w:type="paragraph" w:customStyle="1" w:styleId="DoubleBorder">
    <w:name w:val="Double Border"/>
    <w:basedOn w:val="Agency2"/>
    <w:uiPriority w:val="99"/>
    <w:rsid w:val="00DD408A"/>
    <w:pPr>
      <w:pBdr>
        <w:top w:val="single" w:sz="6" w:space="1" w:color="auto"/>
        <w:bottom w:val="single" w:sz="6" w:space="1" w:color="auto"/>
      </w:pBdr>
    </w:pPr>
    <w:rPr>
      <w:sz w:val="18"/>
      <w:szCs w:val="18"/>
    </w:rPr>
  </w:style>
  <w:style w:type="character" w:styleId="Emphasis">
    <w:name w:val="Emphasis"/>
    <w:qFormat/>
    <w:rsid w:val="00DD408A"/>
    <w:rPr>
      <w:i/>
      <w:iCs/>
    </w:rPr>
  </w:style>
  <w:style w:type="character" w:styleId="EndnoteReference">
    <w:name w:val="endnote reference"/>
    <w:rsid w:val="00DD408A"/>
    <w:rPr>
      <w:i/>
      <w:sz w:val="16"/>
      <w:vertAlign w:val="superscript"/>
    </w:rPr>
  </w:style>
  <w:style w:type="paragraph" w:styleId="EndnoteText">
    <w:name w:val="endnote text"/>
    <w:basedOn w:val="Normal"/>
    <w:link w:val="EndnoteTextChar"/>
    <w:rsid w:val="00DD408A"/>
  </w:style>
  <w:style w:type="character" w:customStyle="1" w:styleId="EndnoteTextChar">
    <w:name w:val="Endnote Text Char"/>
    <w:link w:val="EndnoteText"/>
    <w:rsid w:val="00DD408A"/>
    <w:rPr>
      <w:rFonts w:ascii="Times New Roman" w:eastAsia="Times New Roman" w:hAnsi="Times New Roman" w:cs="Times New Roman"/>
      <w:sz w:val="20"/>
      <w:szCs w:val="20"/>
      <w:lang w:val="en-US"/>
    </w:rPr>
  </w:style>
  <w:style w:type="paragraph" w:customStyle="1" w:styleId="Estimates-BudgetYear">
    <w:name w:val="Estimates - Budget Year"/>
    <w:basedOn w:val="Normal"/>
    <w:uiPriority w:val="99"/>
    <w:rsid w:val="00DD408A"/>
    <w:pPr>
      <w:widowControl w:val="0"/>
      <w:pBdr>
        <w:bottom w:val="single" w:sz="6" w:space="1" w:color="auto"/>
      </w:pBdr>
      <w:tabs>
        <w:tab w:val="right" w:pos="4196"/>
        <w:tab w:val="right" w:pos="5046"/>
        <w:tab w:val="right" w:pos="5897"/>
        <w:tab w:val="right" w:pos="6747"/>
        <w:tab w:val="right" w:pos="7598"/>
      </w:tabs>
      <w:autoSpaceDE w:val="0"/>
      <w:autoSpaceDN w:val="0"/>
      <w:jc w:val="center"/>
    </w:pPr>
    <w:rPr>
      <w:rFonts w:ascii="Arial" w:eastAsia="MS Mincho" w:hAnsi="Arial" w:cs="Arial"/>
      <w:sz w:val="22"/>
      <w:szCs w:val="22"/>
      <w:lang w:val="en-AU" w:eastAsia="en-AU"/>
    </w:rPr>
  </w:style>
  <w:style w:type="paragraph" w:customStyle="1" w:styleId="Estimates-withNewPage">
    <w:name w:val="Estimates - with New Page"/>
    <w:basedOn w:val="Estimates-BudgetYear"/>
    <w:uiPriority w:val="99"/>
    <w:rsid w:val="00DD408A"/>
    <w:pPr>
      <w:pageBreakBefore/>
      <w:pBdr>
        <w:bottom w:val="single" w:sz="6" w:space="6" w:color="auto"/>
      </w:pBdr>
    </w:pPr>
    <w:rPr>
      <w:sz w:val="20"/>
      <w:szCs w:val="20"/>
    </w:rPr>
  </w:style>
  <w:style w:type="character" w:styleId="FollowedHyperlink">
    <w:name w:val="FollowedHyperlink"/>
    <w:rsid w:val="00DD408A"/>
    <w:rPr>
      <w:color w:val="800080"/>
      <w:u w:val="single"/>
    </w:rPr>
  </w:style>
  <w:style w:type="character" w:styleId="FootnoteReference">
    <w:name w:val="footnote reference"/>
    <w:uiPriority w:val="99"/>
    <w:rsid w:val="00DD408A"/>
    <w:rPr>
      <w:vertAlign w:val="superscript"/>
    </w:rPr>
  </w:style>
  <w:style w:type="paragraph" w:styleId="FootnoteText">
    <w:name w:val="footnote text"/>
    <w:basedOn w:val="Normal"/>
    <w:link w:val="FootnoteTextChar"/>
    <w:uiPriority w:val="99"/>
    <w:rsid w:val="00DD408A"/>
    <w:pPr>
      <w:spacing w:before="80" w:after="80"/>
      <w:ind w:left="709" w:hanging="142"/>
    </w:pPr>
    <w:rPr>
      <w:i/>
      <w:sz w:val="16"/>
    </w:rPr>
  </w:style>
  <w:style w:type="character" w:customStyle="1" w:styleId="FootnoteTextChar">
    <w:name w:val="Footnote Text Char"/>
    <w:link w:val="FootnoteText"/>
    <w:uiPriority w:val="99"/>
    <w:rsid w:val="00DD408A"/>
    <w:rPr>
      <w:rFonts w:ascii="Times New Roman" w:eastAsia="Times New Roman" w:hAnsi="Times New Roman" w:cs="Times New Roman"/>
      <w:i/>
      <w:sz w:val="16"/>
      <w:szCs w:val="20"/>
      <w:lang w:val="en-US"/>
    </w:rPr>
  </w:style>
  <w:style w:type="paragraph" w:customStyle="1" w:styleId="Graph1X">
    <w:name w:val="Graph 1.X"/>
    <w:basedOn w:val="TableFX"/>
    <w:qFormat/>
    <w:rsid w:val="00DD408A"/>
    <w:pPr>
      <w:numPr>
        <w:numId w:val="18"/>
      </w:numPr>
    </w:pPr>
  </w:style>
  <w:style w:type="paragraph" w:customStyle="1" w:styleId="HeaderHeading">
    <w:name w:val="Header Heading"/>
    <w:basedOn w:val="Normal"/>
    <w:rsid w:val="00DD408A"/>
    <w:pPr>
      <w:pageBreakBefore/>
      <w:widowControl w:val="0"/>
      <w:pBdr>
        <w:bottom w:val="single" w:sz="8" w:space="6" w:color="auto"/>
      </w:pBdr>
      <w:tabs>
        <w:tab w:val="right" w:pos="4196"/>
        <w:tab w:val="right" w:pos="5046"/>
        <w:tab w:val="right" w:pos="5897"/>
        <w:tab w:val="right" w:pos="6747"/>
        <w:tab w:val="right" w:pos="7598"/>
      </w:tabs>
      <w:autoSpaceDE w:val="0"/>
      <w:autoSpaceDN w:val="0"/>
    </w:pPr>
    <w:rPr>
      <w:rFonts w:ascii="Lucida Sans" w:eastAsia="PMingLiU" w:hAnsi="Lucida Sans" w:cs="Arial"/>
      <w:lang w:val="en-AU" w:eastAsia="en-AU"/>
    </w:rPr>
  </w:style>
  <w:style w:type="paragraph" w:customStyle="1" w:styleId="Heading-Centred">
    <w:name w:val="Heading - Centred"/>
    <w:qFormat/>
    <w:rsid w:val="00DD408A"/>
    <w:pPr>
      <w:spacing w:after="0" w:line="240" w:lineRule="auto"/>
      <w:contextualSpacing/>
      <w:jc w:val="center"/>
    </w:pPr>
    <w:rPr>
      <w:rFonts w:ascii="Arial" w:eastAsia="Times New Roman" w:hAnsi="Arial" w:cs="Times New Roman"/>
      <w:b/>
      <w:bCs/>
      <w:sz w:val="24"/>
      <w:szCs w:val="28"/>
      <w:lang w:bidi="en-US"/>
    </w:rPr>
  </w:style>
  <w:style w:type="paragraph" w:customStyle="1" w:styleId="Heading-Centredsmall">
    <w:name w:val="Heading - Centred (small)"/>
    <w:qFormat/>
    <w:rsid w:val="00DD408A"/>
    <w:pPr>
      <w:spacing w:after="0" w:line="240" w:lineRule="auto"/>
      <w:jc w:val="center"/>
    </w:pPr>
    <w:rPr>
      <w:rFonts w:ascii="Arial" w:eastAsia="Times New Roman" w:hAnsi="Arial" w:cs="Times New Roman"/>
      <w:b/>
      <w:bCs/>
      <w:sz w:val="20"/>
      <w:szCs w:val="28"/>
      <w:lang w:bidi="en-US"/>
    </w:rPr>
  </w:style>
  <w:style w:type="paragraph" w:customStyle="1" w:styleId="Heading1BP2">
    <w:name w:val="Heading 1 BP2"/>
    <w:rsid w:val="00DD408A"/>
    <w:pPr>
      <w:keepNext/>
      <w:tabs>
        <w:tab w:val="left" w:pos="284"/>
      </w:tabs>
      <w:spacing w:before="400" w:after="240" w:line="240" w:lineRule="auto"/>
    </w:pPr>
    <w:rPr>
      <w:rFonts w:ascii="Arial" w:eastAsia="Times New Roman" w:hAnsi="Arial" w:cs="Times New Roman"/>
      <w:color w:val="0579B9"/>
      <w:kern w:val="28"/>
      <w:sz w:val="36"/>
      <w:szCs w:val="36"/>
    </w:rPr>
  </w:style>
  <w:style w:type="paragraph" w:customStyle="1" w:styleId="Heading1BP3">
    <w:name w:val="Heading 1 BP3"/>
    <w:rsid w:val="00DD408A"/>
    <w:pPr>
      <w:keepNext/>
      <w:tabs>
        <w:tab w:val="left" w:pos="284"/>
      </w:tabs>
      <w:spacing w:before="400" w:after="0" w:line="240" w:lineRule="auto"/>
    </w:pPr>
    <w:rPr>
      <w:rFonts w:ascii="Lucida Sans" w:eastAsia="Times New Roman" w:hAnsi="Lucida Sans" w:cs="Times New Roman"/>
      <w:kern w:val="28"/>
      <w:sz w:val="36"/>
      <w:szCs w:val="36"/>
    </w:rPr>
  </w:style>
  <w:style w:type="character" w:customStyle="1" w:styleId="Heading3Char1">
    <w:name w:val="Heading 3 Char1"/>
    <w:rsid w:val="00DD408A"/>
    <w:rPr>
      <w:rFonts w:ascii="Lucida Sans" w:eastAsia="Times New Roman" w:hAnsi="Lucida Sans" w:cs="Times New Roman"/>
      <w:b/>
      <w:kern w:val="28"/>
      <w:sz w:val="24"/>
      <w:szCs w:val="36"/>
    </w:rPr>
  </w:style>
  <w:style w:type="character" w:customStyle="1" w:styleId="Heading4Char">
    <w:name w:val="Heading 4 Char"/>
    <w:link w:val="Heading4"/>
    <w:rsid w:val="00181A01"/>
    <w:rPr>
      <w:rFonts w:ascii="Arial Bold" w:eastAsia="Arial Unicode MS" w:hAnsi="Arial Bold" w:cs="Times New Roman"/>
      <w:b/>
      <w:kern w:val="28"/>
      <w:sz w:val="25"/>
      <w:szCs w:val="36"/>
    </w:rPr>
  </w:style>
  <w:style w:type="character" w:customStyle="1" w:styleId="Heading5Char">
    <w:name w:val="Heading 5 Char"/>
    <w:link w:val="Heading5"/>
    <w:rsid w:val="00D216D4"/>
    <w:rPr>
      <w:rFonts w:ascii="Arial" w:eastAsia="Arial Unicode MS" w:hAnsi="Arial" w:cs="Times New Roman"/>
      <w:i/>
      <w:kern w:val="28"/>
      <w:sz w:val="24"/>
      <w:szCs w:val="36"/>
    </w:rPr>
  </w:style>
  <w:style w:type="character" w:customStyle="1" w:styleId="Heading6Char">
    <w:name w:val="Heading 6 Char"/>
    <w:link w:val="Heading6"/>
    <w:rsid w:val="00DD408A"/>
    <w:rPr>
      <w:rFonts w:ascii="Arial" w:eastAsia="Times New Roman" w:hAnsi="Arial" w:cs="Times New Roman"/>
      <w:caps/>
      <w:color w:val="1D3278"/>
      <w:sz w:val="20"/>
      <w:szCs w:val="36"/>
    </w:rPr>
  </w:style>
  <w:style w:type="character" w:customStyle="1" w:styleId="Heading7Char">
    <w:name w:val="Heading 7 Char"/>
    <w:link w:val="Heading7"/>
    <w:rsid w:val="00DD408A"/>
    <w:rPr>
      <w:rFonts w:ascii="Arial" w:eastAsia="Arial Unicode MS" w:hAnsi="Arial" w:cs="Times New Roman"/>
      <w:b/>
      <w:kern w:val="28"/>
      <w:sz w:val="23"/>
      <w:szCs w:val="36"/>
    </w:rPr>
  </w:style>
  <w:style w:type="character" w:customStyle="1" w:styleId="Heading8Char">
    <w:name w:val="Heading 8 Char"/>
    <w:link w:val="Heading8"/>
    <w:rsid w:val="00DD408A"/>
    <w:rPr>
      <w:rFonts w:ascii="Arial" w:eastAsia="Arial Unicode MS" w:hAnsi="Arial" w:cs="Times New Roman"/>
      <w:b/>
      <w:i/>
      <w:kern w:val="28"/>
      <w:sz w:val="23"/>
      <w:szCs w:val="36"/>
    </w:rPr>
  </w:style>
  <w:style w:type="character" w:customStyle="1" w:styleId="Heading9Char">
    <w:name w:val="Heading 9 Char"/>
    <w:link w:val="Heading9"/>
    <w:rsid w:val="00DD408A"/>
    <w:rPr>
      <w:rFonts w:ascii="Arial" w:eastAsia="Arial Unicode MS" w:hAnsi="Arial" w:cs="Times New Roman"/>
      <w:b/>
      <w:kern w:val="28"/>
      <w:sz w:val="23"/>
      <w:szCs w:val="36"/>
    </w:rPr>
  </w:style>
  <w:style w:type="character" w:styleId="Hyperlink">
    <w:name w:val="Hyperlink"/>
    <w:uiPriority w:val="99"/>
    <w:unhideWhenUsed/>
    <w:rsid w:val="00DD408A"/>
    <w:rPr>
      <w:color w:val="0000FF"/>
      <w:u w:val="single"/>
    </w:rPr>
  </w:style>
  <w:style w:type="character" w:styleId="IntenseEmphasis">
    <w:name w:val="Intense Emphasis"/>
    <w:uiPriority w:val="21"/>
    <w:qFormat/>
    <w:rsid w:val="00DD408A"/>
    <w:rPr>
      <w:b/>
      <w:bCs/>
      <w:i/>
      <w:iCs/>
      <w:color w:val="4F81BD"/>
    </w:rPr>
  </w:style>
  <w:style w:type="paragraph" w:styleId="IntenseQuote">
    <w:name w:val="Intense Quote"/>
    <w:basedOn w:val="Normal"/>
    <w:next w:val="Normal"/>
    <w:link w:val="IntenseQuoteChar"/>
    <w:uiPriority w:val="30"/>
    <w:qFormat/>
    <w:rsid w:val="00DD408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DD408A"/>
    <w:rPr>
      <w:rFonts w:ascii="Times New Roman" w:eastAsia="Times New Roman" w:hAnsi="Times New Roman" w:cs="Times New Roman"/>
      <w:b/>
      <w:bCs/>
      <w:i/>
      <w:iCs/>
      <w:color w:val="4F81BD"/>
      <w:sz w:val="20"/>
      <w:szCs w:val="20"/>
      <w:lang w:val="en-US"/>
    </w:rPr>
  </w:style>
  <w:style w:type="character" w:styleId="IntenseReference">
    <w:name w:val="Intense Reference"/>
    <w:uiPriority w:val="32"/>
    <w:qFormat/>
    <w:rsid w:val="00DD408A"/>
    <w:rPr>
      <w:b/>
      <w:bCs/>
      <w:smallCaps/>
      <w:color w:val="C0504D"/>
      <w:spacing w:val="5"/>
      <w:u w:val="single"/>
    </w:rPr>
  </w:style>
  <w:style w:type="paragraph" w:customStyle="1" w:styleId="Keypointsheading">
    <w:name w:val="Key points heading"/>
    <w:basedOn w:val="Heading2"/>
    <w:next w:val="Bullet"/>
    <w:rsid w:val="00DD408A"/>
    <w:pPr>
      <w:keepNext w:val="0"/>
      <w:widowControl/>
      <w:spacing w:before="360" w:after="180"/>
    </w:pPr>
    <w:rPr>
      <w:rFonts w:cs="Arial"/>
      <w:b w:val="0"/>
      <w:color w:val="003366"/>
      <w:kern w:val="0"/>
      <w:szCs w:val="24"/>
    </w:rPr>
  </w:style>
  <w:style w:type="paragraph" w:styleId="ListBullet">
    <w:name w:val="List Bullet"/>
    <w:basedOn w:val="Normal"/>
    <w:uiPriority w:val="1"/>
    <w:qFormat/>
    <w:rsid w:val="00DD408A"/>
    <w:pPr>
      <w:spacing w:after="80" w:line="240" w:lineRule="atLeast"/>
    </w:pPr>
    <w:rPr>
      <w:rFonts w:ascii="Calibri" w:hAnsi="Calibri"/>
      <w:sz w:val="18"/>
      <w:szCs w:val="24"/>
      <w:lang w:val="en-AU" w:eastAsia="en-AU"/>
    </w:rPr>
  </w:style>
  <w:style w:type="paragraph" w:styleId="ListBullet3">
    <w:name w:val="List Bullet 3"/>
    <w:basedOn w:val="Normal"/>
    <w:rsid w:val="00DD408A"/>
    <w:pPr>
      <w:numPr>
        <w:numId w:val="19"/>
      </w:numPr>
    </w:pPr>
  </w:style>
  <w:style w:type="paragraph" w:customStyle="1" w:styleId="ListBullet1">
    <w:name w:val="List Bullet1"/>
    <w:basedOn w:val="Normal"/>
    <w:autoRedefine/>
    <w:rsid w:val="00DD408A"/>
    <w:pPr>
      <w:numPr>
        <w:numId w:val="20"/>
      </w:numPr>
      <w:spacing w:line="360" w:lineRule="auto"/>
    </w:pPr>
    <w:rPr>
      <w:rFonts w:ascii="Arial" w:hAnsi="Arial"/>
      <w:sz w:val="28"/>
      <w:lang w:val="en-AU"/>
    </w:rPr>
  </w:style>
  <w:style w:type="paragraph" w:styleId="ListNumber">
    <w:name w:val="List Number"/>
    <w:basedOn w:val="Normal"/>
    <w:uiPriority w:val="1"/>
    <w:qFormat/>
    <w:rsid w:val="00DD408A"/>
    <w:pPr>
      <w:numPr>
        <w:numId w:val="21"/>
      </w:numPr>
      <w:spacing w:after="80" w:line="240" w:lineRule="atLeast"/>
    </w:pPr>
    <w:rPr>
      <w:rFonts w:ascii="Calibri" w:eastAsia="Calibri" w:hAnsi="Calibri"/>
      <w:sz w:val="18"/>
      <w:szCs w:val="22"/>
      <w:lang w:val="en-AU"/>
    </w:rPr>
  </w:style>
  <w:style w:type="paragraph" w:customStyle="1" w:styleId="Marginalnote">
    <w:name w:val="Marginal note"/>
    <w:basedOn w:val="BodyText"/>
    <w:link w:val="MarginalnoteChar"/>
    <w:semiHidden/>
    <w:rsid w:val="00DD408A"/>
    <w:pPr>
      <w:spacing w:after="240" w:line="240" w:lineRule="auto"/>
    </w:pPr>
    <w:rPr>
      <w:rFonts w:cs="Arial"/>
      <w:color w:val="000000"/>
      <w:sz w:val="19"/>
      <w:szCs w:val="22"/>
      <w:lang w:eastAsia="en-AU"/>
    </w:rPr>
  </w:style>
  <w:style w:type="character" w:customStyle="1" w:styleId="MarginalnoteChar">
    <w:name w:val="Marginal note Char"/>
    <w:link w:val="Marginalnote"/>
    <w:semiHidden/>
    <w:rsid w:val="00DD408A"/>
    <w:rPr>
      <w:rFonts w:ascii="Arial" w:eastAsia="Times New Roman" w:hAnsi="Arial" w:cs="Arial"/>
      <w:color w:val="000000"/>
      <w:sz w:val="19"/>
      <w:lang w:eastAsia="en-AU"/>
    </w:rPr>
  </w:style>
  <w:style w:type="paragraph" w:customStyle="1" w:styleId="Minister">
    <w:name w:val="Minister"/>
    <w:basedOn w:val="Normal"/>
    <w:uiPriority w:val="99"/>
    <w:rsid w:val="00DD408A"/>
    <w:pPr>
      <w:widowControl w:val="0"/>
      <w:tabs>
        <w:tab w:val="right" w:pos="4196"/>
        <w:tab w:val="right" w:pos="5046"/>
        <w:tab w:val="right" w:pos="5897"/>
        <w:tab w:val="right" w:pos="6747"/>
        <w:tab w:val="right" w:pos="7598"/>
      </w:tabs>
      <w:autoSpaceDE w:val="0"/>
      <w:autoSpaceDN w:val="0"/>
      <w:jc w:val="center"/>
    </w:pPr>
    <w:rPr>
      <w:rFonts w:ascii="Arial" w:eastAsia="MS Mincho" w:hAnsi="Arial" w:cs="Arial"/>
      <w:b/>
      <w:bCs/>
      <w:sz w:val="24"/>
      <w:szCs w:val="24"/>
      <w:lang w:val="en-AU" w:eastAsia="en-AU"/>
    </w:rPr>
  </w:style>
  <w:style w:type="paragraph" w:customStyle="1" w:styleId="Minr">
    <w:name w:val="Minr"/>
    <w:basedOn w:val="Normal"/>
    <w:autoRedefine/>
    <w:uiPriority w:val="99"/>
    <w:rsid w:val="00DD408A"/>
    <w:pPr>
      <w:widowControl w:val="0"/>
      <w:autoSpaceDE w:val="0"/>
      <w:autoSpaceDN w:val="0"/>
      <w:adjustRightInd w:val="0"/>
    </w:pPr>
    <w:rPr>
      <w:rFonts w:ascii="Lucida Sans" w:eastAsia="MS Mincho" w:hAnsi="Lucida Sans" w:cs="Arial"/>
      <w:b/>
      <w:bCs/>
      <w:szCs w:val="24"/>
      <w:lang w:val="en-AU" w:eastAsia="en-AU"/>
    </w:rPr>
  </w:style>
  <w:style w:type="paragraph" w:styleId="NoSpacing">
    <w:name w:val="No Spacing"/>
    <w:basedOn w:val="Normal"/>
    <w:link w:val="NoSpacingChar"/>
    <w:qFormat/>
    <w:rsid w:val="00DD408A"/>
  </w:style>
  <w:style w:type="character" w:customStyle="1" w:styleId="NoSpacingChar">
    <w:name w:val="No Spacing Char"/>
    <w:link w:val="NoSpacing"/>
    <w:rsid w:val="00DD408A"/>
    <w:rPr>
      <w:rFonts w:ascii="Times New Roman" w:eastAsia="Times New Roman" w:hAnsi="Times New Roman" w:cs="Times New Roman"/>
      <w:sz w:val="20"/>
      <w:szCs w:val="20"/>
      <w:lang w:val="en-US"/>
    </w:rPr>
  </w:style>
  <w:style w:type="paragraph" w:styleId="NormalWeb">
    <w:name w:val="Normal (Web)"/>
    <w:basedOn w:val="Normal"/>
    <w:uiPriority w:val="99"/>
    <w:rsid w:val="00DD408A"/>
    <w:pPr>
      <w:widowControl w:val="0"/>
      <w:numPr>
        <w:numId w:val="22"/>
      </w:numPr>
      <w:autoSpaceDE w:val="0"/>
      <w:autoSpaceDN w:val="0"/>
    </w:pPr>
    <w:rPr>
      <w:rFonts w:ascii=".." w:hAnsi=".."/>
      <w:lang w:val="en-AU" w:eastAsia="en-AU"/>
    </w:rPr>
  </w:style>
  <w:style w:type="paragraph" w:customStyle="1" w:styleId="Object">
    <w:name w:val="Object"/>
    <w:basedOn w:val="Normal"/>
    <w:next w:val="Normal"/>
    <w:rsid w:val="00DD408A"/>
    <w:pPr>
      <w:jc w:val="center"/>
    </w:pPr>
  </w:style>
  <w:style w:type="paragraph" w:customStyle="1" w:styleId="ObjectFootnote">
    <w:name w:val="Object Footnote"/>
    <w:basedOn w:val="Object"/>
    <w:next w:val="Normal"/>
    <w:rsid w:val="00DD408A"/>
    <w:pPr>
      <w:spacing w:after="60"/>
    </w:pPr>
    <w:rPr>
      <w:i/>
      <w:sz w:val="14"/>
    </w:rPr>
  </w:style>
  <w:style w:type="paragraph" w:customStyle="1" w:styleId="ObjectFootnotelettered">
    <w:name w:val="Object Footnote lettered"/>
    <w:basedOn w:val="ObjectFootnote"/>
    <w:rsid w:val="00DD408A"/>
    <w:pPr>
      <w:tabs>
        <w:tab w:val="left" w:pos="709"/>
      </w:tabs>
      <w:ind w:left="426"/>
      <w:jc w:val="left"/>
    </w:pPr>
  </w:style>
  <w:style w:type="paragraph" w:customStyle="1" w:styleId="ObjectFootnoteleft">
    <w:name w:val="Object Footnote left"/>
    <w:basedOn w:val="ObjectFootnotelettered"/>
    <w:rsid w:val="00DD408A"/>
    <w:pPr>
      <w:ind w:left="709" w:hanging="283"/>
    </w:pPr>
  </w:style>
  <w:style w:type="paragraph" w:customStyle="1" w:styleId="ObjectivesandDescr">
    <w:name w:val="Objectives and Descr"/>
    <w:basedOn w:val="Normal"/>
    <w:autoRedefine/>
    <w:uiPriority w:val="99"/>
    <w:rsid w:val="00DD408A"/>
    <w:pPr>
      <w:widowControl w:val="0"/>
      <w:tabs>
        <w:tab w:val="left" w:pos="1985"/>
        <w:tab w:val="right" w:pos="4196"/>
        <w:tab w:val="right" w:pos="5046"/>
        <w:tab w:val="right" w:pos="5897"/>
        <w:tab w:val="right" w:pos="6747"/>
        <w:tab w:val="right" w:pos="7598"/>
      </w:tabs>
      <w:autoSpaceDE w:val="0"/>
      <w:autoSpaceDN w:val="0"/>
      <w:ind w:left="1985" w:hanging="1985"/>
      <w:jc w:val="both"/>
    </w:pPr>
    <w:rPr>
      <w:rFonts w:ascii="Lucida Sans" w:eastAsia="MS Mincho" w:hAnsi="Lucida Sans" w:cs="Arial"/>
      <w:sz w:val="18"/>
      <w:szCs w:val="18"/>
      <w:lang w:val="en-AU" w:eastAsia="en-AU"/>
    </w:rPr>
  </w:style>
  <w:style w:type="paragraph" w:customStyle="1" w:styleId="OpStatementcol">
    <w:name w:val="Op.Statement col"/>
    <w:basedOn w:val="Normal"/>
    <w:autoRedefine/>
    <w:uiPriority w:val="99"/>
    <w:rsid w:val="00DD408A"/>
    <w:pPr>
      <w:widowControl w:val="0"/>
      <w:tabs>
        <w:tab w:val="center" w:pos="6236"/>
        <w:tab w:val="center" w:pos="6803"/>
        <w:tab w:val="center" w:pos="7370"/>
        <w:tab w:val="center" w:pos="8646"/>
      </w:tabs>
      <w:autoSpaceDE w:val="0"/>
      <w:autoSpaceDN w:val="0"/>
    </w:pPr>
    <w:rPr>
      <w:rFonts w:ascii="Lucida Sans" w:eastAsia="MS Mincho" w:hAnsi="Lucida Sans" w:cs="Arial"/>
      <w:sz w:val="18"/>
      <w:szCs w:val="18"/>
      <w:lang w:val="en-AU" w:eastAsia="en-AU"/>
    </w:rPr>
  </w:style>
  <w:style w:type="paragraph" w:customStyle="1" w:styleId="OpStatementcol2">
    <w:name w:val="Op.Statement col 2"/>
    <w:basedOn w:val="OpStatementcol"/>
    <w:autoRedefine/>
    <w:uiPriority w:val="99"/>
    <w:rsid w:val="00DD408A"/>
    <w:pPr>
      <w:tabs>
        <w:tab w:val="clear" w:pos="6236"/>
        <w:tab w:val="clear" w:pos="6803"/>
        <w:tab w:val="clear" w:pos="7370"/>
        <w:tab w:val="center" w:pos="6826"/>
      </w:tabs>
    </w:pPr>
  </w:style>
  <w:style w:type="paragraph" w:customStyle="1" w:styleId="OpStatementSub">
    <w:name w:val="Op.Statement Sub"/>
    <w:basedOn w:val="Normal"/>
    <w:autoRedefine/>
    <w:uiPriority w:val="99"/>
    <w:rsid w:val="00DD408A"/>
    <w:pPr>
      <w:widowControl w:val="0"/>
      <w:tabs>
        <w:tab w:val="right" w:pos="6650"/>
        <w:tab w:val="right" w:pos="7841"/>
        <w:tab w:val="right" w:pos="9043"/>
      </w:tabs>
      <w:autoSpaceDE w:val="0"/>
      <w:autoSpaceDN w:val="0"/>
    </w:pPr>
    <w:rPr>
      <w:rFonts w:ascii="Lucida Sans" w:eastAsia="MS Mincho" w:hAnsi="Lucida Sans" w:cs="Arial"/>
      <w:b/>
      <w:bCs/>
      <w:sz w:val="18"/>
      <w:szCs w:val="18"/>
      <w:lang w:val="en-AU" w:eastAsia="en-AU"/>
    </w:rPr>
  </w:style>
  <w:style w:type="paragraph" w:customStyle="1" w:styleId="OperatingStatement">
    <w:name w:val="Operating Statement"/>
    <w:basedOn w:val="Normal"/>
    <w:autoRedefine/>
    <w:uiPriority w:val="99"/>
    <w:rsid w:val="00DD408A"/>
    <w:pPr>
      <w:widowControl w:val="0"/>
      <w:tabs>
        <w:tab w:val="right" w:pos="4196"/>
        <w:tab w:val="right" w:pos="5046"/>
        <w:tab w:val="right" w:pos="5897"/>
        <w:tab w:val="right" w:pos="6747"/>
        <w:tab w:val="right" w:pos="7598"/>
      </w:tabs>
      <w:autoSpaceDE w:val="0"/>
      <w:autoSpaceDN w:val="0"/>
      <w:spacing w:before="120" w:line="240" w:lineRule="exact"/>
    </w:pPr>
    <w:rPr>
      <w:rFonts w:ascii="Lucida Sans" w:eastAsia="MS Mincho" w:hAnsi="Lucida Sans" w:cs="Arial"/>
      <w:b/>
      <w:bCs/>
      <w:iCs/>
      <w:sz w:val="24"/>
      <w:lang w:val="en-AU" w:eastAsia="en-AU"/>
    </w:rPr>
  </w:style>
  <w:style w:type="paragraph" w:customStyle="1" w:styleId="OutputsColumns">
    <w:name w:val="Outputs Columns"/>
    <w:basedOn w:val="Normal"/>
    <w:autoRedefine/>
    <w:uiPriority w:val="99"/>
    <w:rsid w:val="00DD408A"/>
    <w:pPr>
      <w:widowControl w:val="0"/>
      <w:tabs>
        <w:tab w:val="right" w:pos="6650"/>
        <w:tab w:val="right" w:pos="7841"/>
        <w:tab w:val="right" w:pos="9043"/>
      </w:tabs>
      <w:autoSpaceDE w:val="0"/>
      <w:autoSpaceDN w:val="0"/>
    </w:pPr>
    <w:rPr>
      <w:rFonts w:ascii="Lucida Sans" w:eastAsia="MS Mincho" w:hAnsi="Lucida Sans" w:cs="Arial"/>
      <w:b/>
      <w:szCs w:val="18"/>
      <w:lang w:val="en-AU" w:eastAsia="en-AU"/>
    </w:rPr>
  </w:style>
  <w:style w:type="paragraph" w:customStyle="1" w:styleId="OutputsData">
    <w:name w:val="Outputs Data"/>
    <w:basedOn w:val="Normal"/>
    <w:autoRedefine/>
    <w:uiPriority w:val="99"/>
    <w:rsid w:val="00DD408A"/>
    <w:pPr>
      <w:widowControl w:val="0"/>
      <w:tabs>
        <w:tab w:val="right" w:pos="6650"/>
        <w:tab w:val="right" w:pos="7841"/>
        <w:tab w:val="right" w:pos="9043"/>
      </w:tabs>
      <w:autoSpaceDE w:val="0"/>
      <w:autoSpaceDN w:val="0"/>
    </w:pPr>
    <w:rPr>
      <w:rFonts w:ascii="Lucida Sans" w:eastAsia="MS Mincho" w:hAnsi="Lucida Sans" w:cs="Arial"/>
      <w:sz w:val="18"/>
      <w:szCs w:val="18"/>
      <w:lang w:val="en-AU" w:eastAsia="en-AU"/>
    </w:rPr>
  </w:style>
  <w:style w:type="paragraph" w:customStyle="1" w:styleId="OutputsName">
    <w:name w:val="Outputs Name"/>
    <w:basedOn w:val="Normal"/>
    <w:uiPriority w:val="99"/>
    <w:rsid w:val="00DD408A"/>
    <w:pPr>
      <w:widowControl w:val="0"/>
      <w:tabs>
        <w:tab w:val="left" w:pos="3828"/>
        <w:tab w:val="right" w:pos="4196"/>
        <w:tab w:val="right" w:pos="5046"/>
        <w:tab w:val="right" w:pos="5897"/>
        <w:tab w:val="right" w:pos="6747"/>
        <w:tab w:val="right" w:pos="7598"/>
      </w:tabs>
      <w:autoSpaceDE w:val="0"/>
      <w:autoSpaceDN w:val="0"/>
    </w:pPr>
    <w:rPr>
      <w:rFonts w:ascii="Arial" w:eastAsia="MS Mincho" w:hAnsi="Arial" w:cs="Arial"/>
      <w:sz w:val="18"/>
      <w:szCs w:val="18"/>
      <w:u w:val="single"/>
      <w:lang w:val="en-AU" w:eastAsia="en-AU"/>
    </w:rPr>
  </w:style>
  <w:style w:type="paragraph" w:customStyle="1" w:styleId="Pa0">
    <w:name w:val="Pa0"/>
    <w:basedOn w:val="Default"/>
    <w:next w:val="Default"/>
    <w:uiPriority w:val="99"/>
    <w:rsid w:val="00DD408A"/>
    <w:pPr>
      <w:spacing w:line="201" w:lineRule="atLeast"/>
    </w:pPr>
    <w:rPr>
      <w:rFonts w:ascii="Gotham Narrow Light" w:hAnsi="Gotham Narrow Light" w:cs="Times New Roman"/>
      <w:color w:val="auto"/>
    </w:rPr>
  </w:style>
  <w:style w:type="character" w:styleId="PageNumber">
    <w:name w:val="page number"/>
    <w:rsid w:val="00DD408A"/>
  </w:style>
  <w:style w:type="paragraph" w:customStyle="1" w:styleId="Program">
    <w:name w:val="Program"/>
    <w:basedOn w:val="Normal"/>
    <w:uiPriority w:val="99"/>
    <w:rsid w:val="00DD408A"/>
    <w:pPr>
      <w:widowControl w:val="0"/>
      <w:tabs>
        <w:tab w:val="right" w:pos="4196"/>
        <w:tab w:val="right" w:pos="5046"/>
        <w:tab w:val="right" w:pos="5897"/>
        <w:tab w:val="right" w:pos="6747"/>
        <w:tab w:val="right" w:pos="7598"/>
      </w:tabs>
      <w:autoSpaceDE w:val="0"/>
      <w:autoSpaceDN w:val="0"/>
      <w:ind w:left="567"/>
    </w:pPr>
    <w:rPr>
      <w:rFonts w:ascii="Arial" w:eastAsia="MS Mincho" w:hAnsi="Arial" w:cs="Arial"/>
      <w:b/>
      <w:bCs/>
      <w:lang w:val="en-AU" w:eastAsia="en-AU"/>
    </w:rPr>
  </w:style>
  <w:style w:type="paragraph" w:customStyle="1" w:styleId="ProgramArea">
    <w:name w:val="Program Area"/>
    <w:basedOn w:val="Normal"/>
    <w:autoRedefine/>
    <w:uiPriority w:val="99"/>
    <w:rsid w:val="00DD408A"/>
    <w:pPr>
      <w:widowControl w:val="0"/>
      <w:tabs>
        <w:tab w:val="right" w:pos="4196"/>
        <w:tab w:val="right" w:pos="5046"/>
        <w:tab w:val="right" w:pos="5897"/>
        <w:tab w:val="right" w:pos="6747"/>
        <w:tab w:val="right" w:pos="7598"/>
      </w:tabs>
      <w:autoSpaceDE w:val="0"/>
      <w:autoSpaceDN w:val="0"/>
      <w:spacing w:before="120"/>
    </w:pPr>
    <w:rPr>
      <w:rFonts w:ascii="Lucida Sans" w:eastAsia="MS Mincho" w:hAnsi="Lucida Sans" w:cs="Arial"/>
      <w:b/>
      <w:bCs/>
      <w:sz w:val="21"/>
      <w:lang w:val="en-AU" w:eastAsia="en-AU"/>
    </w:rPr>
  </w:style>
  <w:style w:type="paragraph" w:styleId="Quote">
    <w:name w:val="Quote"/>
    <w:basedOn w:val="Normal"/>
    <w:next w:val="Normal"/>
    <w:link w:val="QuoteChar"/>
    <w:uiPriority w:val="29"/>
    <w:qFormat/>
    <w:rsid w:val="00DD408A"/>
    <w:rPr>
      <w:i/>
      <w:iCs/>
      <w:color w:val="000000"/>
    </w:rPr>
  </w:style>
  <w:style w:type="character" w:customStyle="1" w:styleId="QuoteChar">
    <w:name w:val="Quote Char"/>
    <w:link w:val="Quote"/>
    <w:uiPriority w:val="29"/>
    <w:rsid w:val="00DD408A"/>
    <w:rPr>
      <w:rFonts w:ascii="Times New Roman" w:eastAsia="Times New Roman" w:hAnsi="Times New Roman" w:cs="Times New Roman"/>
      <w:i/>
      <w:iCs/>
      <w:color w:val="000000"/>
      <w:sz w:val="20"/>
      <w:szCs w:val="20"/>
      <w:lang w:val="en-US"/>
    </w:rPr>
  </w:style>
  <w:style w:type="paragraph" w:customStyle="1" w:styleId="SmallGap">
    <w:name w:val="Small Gap"/>
    <w:basedOn w:val="Normal"/>
    <w:autoRedefine/>
    <w:uiPriority w:val="99"/>
    <w:rsid w:val="00DD408A"/>
    <w:pPr>
      <w:widowControl w:val="0"/>
      <w:tabs>
        <w:tab w:val="right" w:pos="4196"/>
        <w:tab w:val="right" w:pos="5046"/>
        <w:tab w:val="right" w:pos="5897"/>
        <w:tab w:val="right" w:pos="6747"/>
        <w:tab w:val="right" w:pos="7598"/>
      </w:tabs>
      <w:autoSpaceDE w:val="0"/>
      <w:autoSpaceDN w:val="0"/>
    </w:pPr>
    <w:rPr>
      <w:rFonts w:ascii="Lucida Sans" w:eastAsia="MS Mincho" w:hAnsi="Lucida Sans" w:cs="Arial"/>
      <w:sz w:val="4"/>
      <w:szCs w:val="14"/>
      <w:lang w:val="en-AU" w:eastAsia="en-AU"/>
    </w:rPr>
  </w:style>
  <w:style w:type="paragraph" w:customStyle="1" w:styleId="SmallGapwithBorder">
    <w:name w:val="Small Gap with Border"/>
    <w:basedOn w:val="OpStatementData"/>
    <w:uiPriority w:val="99"/>
    <w:rsid w:val="00DD408A"/>
    <w:pPr>
      <w:pBdr>
        <w:bottom w:val="single" w:sz="6" w:space="1" w:color="auto"/>
      </w:pBdr>
    </w:pPr>
    <w:rPr>
      <w:sz w:val="14"/>
      <w:szCs w:val="14"/>
    </w:rPr>
  </w:style>
  <w:style w:type="character" w:customStyle="1" w:styleId="st1">
    <w:name w:val="st1"/>
    <w:rsid w:val="00DD408A"/>
  </w:style>
  <w:style w:type="character" w:customStyle="1" w:styleId="Strikethrou">
    <w:name w:val="Strikethrou"/>
    <w:uiPriority w:val="99"/>
    <w:rsid w:val="00DD408A"/>
    <w:rPr>
      <w:rFonts w:ascii="Arial" w:hAnsi="Arial" w:cs="Arial"/>
      <w:color w:val="auto"/>
      <w:sz w:val="16"/>
      <w:szCs w:val="16"/>
      <w:vertAlign w:val="superscript"/>
    </w:rPr>
  </w:style>
  <w:style w:type="character" w:customStyle="1" w:styleId="StrikeThrough">
    <w:name w:val="StrikeThrough"/>
    <w:rsid w:val="00DD408A"/>
    <w:rPr>
      <w:strike/>
      <w:dstrike w:val="0"/>
      <w:color w:val="00A1DE"/>
    </w:rPr>
  </w:style>
  <w:style w:type="character" w:styleId="Strong">
    <w:name w:val="Strong"/>
    <w:qFormat/>
    <w:rsid w:val="00DD408A"/>
    <w:rPr>
      <w:b/>
      <w:bCs/>
    </w:rPr>
  </w:style>
  <w:style w:type="paragraph" w:customStyle="1" w:styleId="Style211HeadingBold">
    <w:name w:val="Style 2.1.1 Heading + Bold"/>
    <w:basedOn w:val="Normal"/>
    <w:rsid w:val="00DD408A"/>
    <w:rPr>
      <w:b/>
      <w:bCs/>
      <w:i/>
      <w:iCs/>
    </w:rPr>
  </w:style>
  <w:style w:type="paragraph" w:customStyle="1" w:styleId="StyleChapterHeadingAfter12pt">
    <w:name w:val="Style Chapter Heading + After:  12 pt"/>
    <w:basedOn w:val="Normal"/>
    <w:rsid w:val="00DD408A"/>
    <w:pPr>
      <w:keepNext/>
      <w:pageBreakBefore/>
      <w:pBdr>
        <w:bottom w:val="single" w:sz="6" w:space="31" w:color="auto"/>
      </w:pBdr>
      <w:tabs>
        <w:tab w:val="left" w:pos="284"/>
        <w:tab w:val="left" w:pos="2268"/>
      </w:tabs>
      <w:spacing w:after="240"/>
      <w:outlineLvl w:val="0"/>
    </w:pPr>
    <w:rPr>
      <w:rFonts w:ascii="Lucida Sans" w:hAnsi="Lucida Sans"/>
      <w:b/>
      <w:bCs/>
      <w:kern w:val="28"/>
      <w:sz w:val="36"/>
      <w:lang w:val="en-AU"/>
    </w:rPr>
  </w:style>
  <w:style w:type="paragraph" w:customStyle="1" w:styleId="StyleChapterHeadingLucidaSans19ptNotBoldNotAllcaps">
    <w:name w:val="Style Chapter Heading + Lucida Sans 19 pt Not Bold Not All caps..."/>
    <w:basedOn w:val="Normal"/>
    <w:rsid w:val="00DD408A"/>
    <w:pPr>
      <w:keepNext/>
      <w:keepLines/>
      <w:pageBreakBefore/>
      <w:pBdr>
        <w:bottom w:val="single" w:sz="6" w:space="1" w:color="808080"/>
      </w:pBdr>
      <w:tabs>
        <w:tab w:val="left" w:pos="2268"/>
      </w:tabs>
      <w:spacing w:after="480"/>
      <w:outlineLvl w:val="0"/>
    </w:pPr>
    <w:rPr>
      <w:rFonts w:ascii="Lucida Sans" w:hAnsi="Lucida Sans"/>
      <w:kern w:val="28"/>
      <w:sz w:val="38"/>
      <w:lang w:val="en-AU"/>
    </w:rPr>
  </w:style>
  <w:style w:type="numbering" w:customStyle="1" w:styleId="Style1">
    <w:name w:val="Style1"/>
    <w:uiPriority w:val="99"/>
    <w:rsid w:val="00DD408A"/>
    <w:pPr>
      <w:numPr>
        <w:numId w:val="23"/>
      </w:numPr>
    </w:pPr>
  </w:style>
  <w:style w:type="paragraph" w:styleId="Subtitle">
    <w:name w:val="Subtitle"/>
    <w:basedOn w:val="Normal"/>
    <w:link w:val="SubtitleChar"/>
    <w:qFormat/>
    <w:rsid w:val="00DD408A"/>
    <w:pPr>
      <w:spacing w:after="60"/>
      <w:jc w:val="center"/>
      <w:outlineLvl w:val="1"/>
    </w:pPr>
    <w:rPr>
      <w:rFonts w:ascii="Arial" w:hAnsi="Arial"/>
      <w:sz w:val="24"/>
    </w:rPr>
  </w:style>
  <w:style w:type="character" w:customStyle="1" w:styleId="SubtitleChar">
    <w:name w:val="Subtitle Char"/>
    <w:link w:val="Subtitle"/>
    <w:rsid w:val="00DD408A"/>
    <w:rPr>
      <w:rFonts w:ascii="Arial" w:eastAsia="Times New Roman" w:hAnsi="Arial" w:cs="Times New Roman"/>
      <w:sz w:val="24"/>
      <w:szCs w:val="20"/>
      <w:lang w:val="en-US"/>
    </w:rPr>
  </w:style>
  <w:style w:type="character" w:styleId="SubtleEmphasis">
    <w:name w:val="Subtle Emphasis"/>
    <w:uiPriority w:val="19"/>
    <w:qFormat/>
    <w:rsid w:val="00DD408A"/>
    <w:rPr>
      <w:i/>
      <w:iCs/>
      <w:color w:val="808080"/>
    </w:rPr>
  </w:style>
  <w:style w:type="character" w:styleId="SubtleReference">
    <w:name w:val="Subtle Reference"/>
    <w:uiPriority w:val="31"/>
    <w:qFormat/>
    <w:rsid w:val="00DD408A"/>
    <w:rPr>
      <w:smallCaps/>
      <w:color w:val="C0504D"/>
      <w:u w:val="single"/>
    </w:rPr>
  </w:style>
  <w:style w:type="paragraph" w:customStyle="1" w:styleId="Table2X">
    <w:name w:val="Table 2.X"/>
    <w:basedOn w:val="TableFX"/>
    <w:qFormat/>
    <w:rsid w:val="00DD408A"/>
    <w:pPr>
      <w:numPr>
        <w:numId w:val="24"/>
      </w:numPr>
    </w:pPr>
  </w:style>
  <w:style w:type="paragraph" w:customStyle="1" w:styleId="Table3x">
    <w:name w:val="Table 3.x"/>
    <w:basedOn w:val="TableFX"/>
    <w:qFormat/>
    <w:rsid w:val="00DD408A"/>
    <w:pPr>
      <w:numPr>
        <w:numId w:val="25"/>
      </w:numPr>
    </w:pPr>
  </w:style>
  <w:style w:type="paragraph" w:customStyle="1" w:styleId="Table5">
    <w:name w:val="Table 5"/>
    <w:basedOn w:val="TableFX"/>
    <w:qFormat/>
    <w:rsid w:val="00DD408A"/>
    <w:pPr>
      <w:numPr>
        <w:numId w:val="26"/>
      </w:numPr>
      <w:tabs>
        <w:tab w:val="left" w:pos="1418"/>
      </w:tabs>
    </w:pPr>
  </w:style>
  <w:style w:type="paragraph" w:customStyle="1" w:styleId="Table5x">
    <w:name w:val="Table 5.x"/>
    <w:basedOn w:val="Normal"/>
    <w:qFormat/>
    <w:rsid w:val="00DD408A"/>
    <w:pPr>
      <w:widowControl w:val="0"/>
      <w:spacing w:before="320" w:after="120"/>
    </w:pPr>
    <w:rPr>
      <w:rFonts w:ascii="Arial Unicode MS" w:eastAsia="Arial Unicode MS" w:hAnsi="Arial Unicode MS"/>
      <w:bCs/>
      <w:color w:val="00A1DE"/>
      <w:kern w:val="28"/>
      <w:sz w:val="22"/>
      <w:szCs w:val="22"/>
    </w:rPr>
  </w:style>
  <w:style w:type="paragraph" w:customStyle="1" w:styleId="Table5X0">
    <w:name w:val="Table 5.X"/>
    <w:basedOn w:val="Normal"/>
    <w:rsid w:val="00DD408A"/>
    <w:pPr>
      <w:widowControl w:val="0"/>
      <w:tabs>
        <w:tab w:val="left" w:pos="1232"/>
      </w:tabs>
      <w:spacing w:before="360" w:after="120"/>
      <w:ind w:left="1627" w:hanging="360"/>
    </w:pPr>
    <w:rPr>
      <w:rFonts w:ascii="Lucida Sans" w:hAnsi="Lucida Sans"/>
      <w:bCs/>
      <w:kern w:val="28"/>
      <w:sz w:val="22"/>
      <w:szCs w:val="22"/>
    </w:rPr>
  </w:style>
  <w:style w:type="paragraph" w:customStyle="1" w:styleId="Table6X">
    <w:name w:val="Table 6.X"/>
    <w:basedOn w:val="Normal"/>
    <w:rsid w:val="00DD408A"/>
    <w:pPr>
      <w:widowControl w:val="0"/>
      <w:tabs>
        <w:tab w:val="left" w:pos="1232"/>
      </w:tabs>
      <w:spacing w:before="360" w:after="120"/>
    </w:pPr>
    <w:rPr>
      <w:rFonts w:ascii="Lucida Sans" w:hAnsi="Lucida Sans"/>
      <w:bCs/>
      <w:kern w:val="28"/>
      <w:sz w:val="22"/>
      <w:szCs w:val="22"/>
    </w:rPr>
  </w:style>
  <w:style w:type="paragraph" w:customStyle="1" w:styleId="Table6x0">
    <w:name w:val="Table 6.x"/>
    <w:basedOn w:val="TableFX"/>
    <w:qFormat/>
    <w:rsid w:val="00DD408A"/>
    <w:pPr>
      <w:numPr>
        <w:numId w:val="0"/>
      </w:numPr>
    </w:pPr>
  </w:style>
  <w:style w:type="paragraph" w:customStyle="1" w:styleId="TableB2X">
    <w:name w:val="Table B2.X"/>
    <w:basedOn w:val="TableHeading"/>
    <w:rsid w:val="00DD408A"/>
    <w:pPr>
      <w:keepNext w:val="0"/>
      <w:keepLines w:val="0"/>
      <w:widowControl w:val="0"/>
      <w:numPr>
        <w:numId w:val="27"/>
      </w:numPr>
      <w:tabs>
        <w:tab w:val="left" w:pos="1232"/>
      </w:tabs>
      <w:spacing w:before="360"/>
    </w:pPr>
    <w:rPr>
      <w:b w:val="0"/>
      <w:bCs/>
      <w:i/>
      <w:color w:val="57514D"/>
      <w:kern w:val="28"/>
      <w:sz w:val="20"/>
      <w:szCs w:val="22"/>
    </w:rPr>
  </w:style>
  <w:style w:type="paragraph" w:customStyle="1" w:styleId="TableFootnote">
    <w:name w:val="Table Footnote"/>
    <w:basedOn w:val="Normal"/>
    <w:link w:val="TableFootnoteChar"/>
    <w:rsid w:val="00DD408A"/>
    <w:pPr>
      <w:spacing w:before="60" w:after="60"/>
      <w:ind w:left="284"/>
    </w:pPr>
    <w:rPr>
      <w:rFonts w:ascii="Arial" w:hAnsi="Arial"/>
      <w:i/>
      <w:sz w:val="14"/>
    </w:rPr>
  </w:style>
  <w:style w:type="character" w:customStyle="1" w:styleId="TableFootnoteChar">
    <w:name w:val="Table Footnote Char"/>
    <w:link w:val="TableFootnote"/>
    <w:rsid w:val="00DD408A"/>
    <w:rPr>
      <w:rFonts w:ascii="Arial" w:eastAsia="Times New Roman" w:hAnsi="Arial" w:cs="Times New Roman"/>
      <w:i/>
      <w:sz w:val="14"/>
      <w:szCs w:val="20"/>
      <w:lang w:val="en-US"/>
    </w:rPr>
  </w:style>
  <w:style w:type="table" w:styleId="TableGrid">
    <w:name w:val="Table Grid"/>
    <w:basedOn w:val="TableNormal"/>
    <w:rsid w:val="00DD40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ont">
    <w:name w:val="Table Heading Cont'"/>
    <w:basedOn w:val="TableHeading"/>
    <w:rsid w:val="00DD408A"/>
    <w:pPr>
      <w:numPr>
        <w:numId w:val="0"/>
      </w:numPr>
      <w:tabs>
        <w:tab w:val="left" w:pos="1418"/>
      </w:tabs>
    </w:pPr>
  </w:style>
  <w:style w:type="paragraph" w:customStyle="1" w:styleId="TableStubParagraph">
    <w:name w:val="Table Stub Paragraph"/>
    <w:basedOn w:val="Normal"/>
    <w:rsid w:val="00DD408A"/>
    <w:pPr>
      <w:spacing w:before="120" w:after="120"/>
    </w:pPr>
    <w:rPr>
      <w:rFonts w:ascii="Arial" w:hAnsi="Arial" w:cs="Arial"/>
      <w:sz w:val="18"/>
      <w:szCs w:val="18"/>
    </w:rPr>
  </w:style>
  <w:style w:type="paragraph" w:customStyle="1" w:styleId="Tablex">
    <w:name w:val="Table x"/>
    <w:basedOn w:val="Table2X"/>
    <w:qFormat/>
    <w:rsid w:val="00DD408A"/>
    <w:pPr>
      <w:keepNext/>
      <w:keepLines/>
      <w:numPr>
        <w:numId w:val="28"/>
      </w:numPr>
    </w:pPr>
  </w:style>
  <w:style w:type="paragraph" w:customStyle="1" w:styleId="TestRightAlign">
    <w:name w:val="Test Right Align"/>
    <w:basedOn w:val="Normal"/>
    <w:autoRedefine/>
    <w:uiPriority w:val="99"/>
    <w:rsid w:val="00DD408A"/>
    <w:pPr>
      <w:widowControl w:val="0"/>
      <w:tabs>
        <w:tab w:val="right" w:pos="3725"/>
        <w:tab w:val="right" w:pos="4689"/>
        <w:tab w:val="right" w:pos="5754"/>
        <w:tab w:val="right" w:pos="6831"/>
        <w:tab w:val="right" w:pos="7937"/>
        <w:tab w:val="right" w:pos="9071"/>
      </w:tabs>
      <w:autoSpaceDE w:val="0"/>
      <w:autoSpaceDN w:val="0"/>
      <w:spacing w:line="240" w:lineRule="exact"/>
    </w:pPr>
    <w:rPr>
      <w:rFonts w:ascii="Lucida Sans" w:eastAsia="MS Mincho" w:hAnsi="Lucida Sans" w:cs="Arial"/>
      <w:sz w:val="18"/>
      <w:lang w:val="en-AU" w:eastAsia="en-AU"/>
    </w:rPr>
  </w:style>
  <w:style w:type="paragraph" w:customStyle="1" w:styleId="Titel-status">
    <w:name w:val="Titel-status"/>
    <w:basedOn w:val="Normal"/>
    <w:autoRedefine/>
    <w:rsid w:val="00DD408A"/>
    <w:pPr>
      <w:widowControl w:val="0"/>
      <w:tabs>
        <w:tab w:val="right" w:pos="9639"/>
      </w:tabs>
      <w:autoSpaceDE w:val="0"/>
      <w:autoSpaceDN w:val="0"/>
      <w:spacing w:line="192" w:lineRule="auto"/>
      <w:jc w:val="both"/>
    </w:pPr>
    <w:rPr>
      <w:rFonts w:ascii="Arial Unicode MS" w:eastAsia="Arial Unicode MS" w:hAnsi="Arial Unicode MS" w:cs="Arial Unicode MS"/>
      <w:b/>
      <w:bCs/>
      <w:color w:val="00A1DE"/>
      <w:sz w:val="18"/>
      <w:szCs w:val="14"/>
      <w:lang w:val="en-AU" w:eastAsia="en-AU"/>
    </w:rPr>
  </w:style>
  <w:style w:type="paragraph" w:styleId="Title">
    <w:name w:val="Title"/>
    <w:basedOn w:val="Normal"/>
    <w:link w:val="TitleChar"/>
    <w:qFormat/>
    <w:rsid w:val="00DD408A"/>
    <w:pPr>
      <w:spacing w:before="240" w:after="60"/>
      <w:jc w:val="center"/>
      <w:outlineLvl w:val="0"/>
    </w:pPr>
    <w:rPr>
      <w:rFonts w:ascii="Arial" w:hAnsi="Arial"/>
      <w:b/>
      <w:kern w:val="28"/>
      <w:sz w:val="32"/>
    </w:rPr>
  </w:style>
  <w:style w:type="character" w:customStyle="1" w:styleId="TitleChar">
    <w:name w:val="Title Char"/>
    <w:link w:val="Title"/>
    <w:rsid w:val="00DD408A"/>
    <w:rPr>
      <w:rFonts w:ascii="Arial" w:eastAsia="Times New Roman" w:hAnsi="Arial" w:cs="Times New Roman"/>
      <w:b/>
      <w:kern w:val="28"/>
      <w:sz w:val="32"/>
      <w:szCs w:val="20"/>
      <w:lang w:val="en-US"/>
    </w:rPr>
  </w:style>
  <w:style w:type="paragraph" w:customStyle="1" w:styleId="TitleinGreyBox">
    <w:name w:val="Title in Grey Box"/>
    <w:basedOn w:val="Normal"/>
    <w:qFormat/>
    <w:rsid w:val="00DD408A"/>
    <w:pPr>
      <w:pBdr>
        <w:top w:val="single" w:sz="4" w:space="1" w:color="auto"/>
        <w:left w:val="single" w:sz="4" w:space="4" w:color="auto"/>
        <w:bottom w:val="single" w:sz="4" w:space="1" w:color="auto"/>
        <w:right w:val="single" w:sz="4" w:space="4" w:color="auto"/>
      </w:pBdr>
      <w:shd w:val="clear" w:color="auto" w:fill="D9D9D9"/>
      <w:spacing w:after="120"/>
    </w:pPr>
    <w:rPr>
      <w:rFonts w:ascii="Lucida Sans" w:eastAsia="Calibri" w:hAnsi="Lucida Sans"/>
      <w:b/>
      <w:sz w:val="24"/>
      <w:szCs w:val="24"/>
      <w:lang w:val="en-AU"/>
    </w:rPr>
  </w:style>
  <w:style w:type="paragraph" w:customStyle="1" w:styleId="Title-Total">
    <w:name w:val="Title-Total"/>
    <w:basedOn w:val="Normal"/>
    <w:autoRedefine/>
    <w:rsid w:val="00DD408A"/>
    <w:pPr>
      <w:widowControl w:val="0"/>
      <w:tabs>
        <w:tab w:val="left" w:pos="8101"/>
        <w:tab w:val="right" w:pos="9603"/>
      </w:tabs>
      <w:autoSpaceDE w:val="0"/>
      <w:autoSpaceDN w:val="0"/>
      <w:spacing w:before="60" w:after="60" w:line="180" w:lineRule="auto"/>
    </w:pPr>
    <w:rPr>
      <w:rFonts w:ascii="Arial Unicode MS" w:eastAsia="Arial Unicode MS" w:hAnsi="Arial Unicode MS" w:cs="Arial"/>
      <w:b/>
      <w:bCs/>
      <w:sz w:val="18"/>
      <w:szCs w:val="16"/>
      <w:lang w:val="en-AU" w:eastAsia="en-AU"/>
    </w:rPr>
  </w:style>
  <w:style w:type="paragraph" w:styleId="TOC1">
    <w:name w:val="toc 1"/>
    <w:basedOn w:val="Normal"/>
    <w:next w:val="Normal"/>
    <w:autoRedefine/>
    <w:uiPriority w:val="39"/>
    <w:rsid w:val="00DD408A"/>
    <w:pPr>
      <w:tabs>
        <w:tab w:val="right" w:leader="dot" w:pos="8539"/>
        <w:tab w:val="right" w:pos="9475"/>
      </w:tabs>
      <w:spacing w:before="360" w:after="120"/>
      <w:ind w:left="561" w:right="567" w:hanging="561"/>
    </w:pPr>
    <w:rPr>
      <w:rFonts w:ascii="Lucida Sans" w:hAnsi="Lucida Sans"/>
      <w:b/>
      <w:noProof/>
      <w:color w:val="000000"/>
      <w:sz w:val="22"/>
      <w:szCs w:val="22"/>
    </w:rPr>
  </w:style>
  <w:style w:type="paragraph" w:styleId="TOC2">
    <w:name w:val="toc 2"/>
    <w:basedOn w:val="Normal"/>
    <w:next w:val="Normal"/>
    <w:autoRedefine/>
    <w:uiPriority w:val="39"/>
    <w:rsid w:val="00DD408A"/>
    <w:pPr>
      <w:widowControl w:val="0"/>
      <w:tabs>
        <w:tab w:val="left" w:leader="dot" w:pos="8539"/>
        <w:tab w:val="right" w:pos="9475"/>
      </w:tabs>
      <w:spacing w:after="120"/>
      <w:ind w:left="1123" w:right="567" w:hanging="550"/>
    </w:pPr>
    <w:rPr>
      <w:rFonts w:ascii="Lucida Sans" w:hAnsi="Lucida Sans"/>
      <w:noProof/>
      <w:color w:val="000000"/>
    </w:rPr>
  </w:style>
  <w:style w:type="paragraph" w:styleId="TOCHeading">
    <w:name w:val="TOC Heading"/>
    <w:basedOn w:val="Heading1"/>
    <w:next w:val="Normal"/>
    <w:uiPriority w:val="39"/>
    <w:semiHidden/>
    <w:unhideWhenUsed/>
    <w:qFormat/>
    <w:rsid w:val="00DD408A"/>
    <w:pPr>
      <w:keepLines/>
      <w:spacing w:before="480" w:after="0"/>
      <w:outlineLvl w:val="9"/>
    </w:pPr>
    <w:rPr>
      <w:rFonts w:ascii="Cambria" w:hAnsi="Cambria"/>
      <w:b/>
      <w:bCs/>
      <w:color w:val="365F91"/>
      <w:kern w:val="0"/>
      <w:szCs w:val="28"/>
      <w:lang w:val="en-US"/>
    </w:rPr>
  </w:style>
  <w:style w:type="paragraph" w:customStyle="1" w:styleId="TOC3">
    <w:name w:val="TOC3"/>
    <w:basedOn w:val="Normal"/>
    <w:rsid w:val="00DD408A"/>
    <w:pPr>
      <w:keepNext/>
      <w:keepLines/>
      <w:tabs>
        <w:tab w:val="left" w:pos="142"/>
        <w:tab w:val="right" w:leader="dot" w:pos="6096"/>
        <w:tab w:val="decimal" w:pos="6379"/>
        <w:tab w:val="decimal" w:pos="7371"/>
      </w:tabs>
      <w:spacing w:before="600" w:after="120"/>
      <w:ind w:left="142" w:hanging="142"/>
    </w:pPr>
    <w:rPr>
      <w:rFonts w:ascii="Arial" w:hAnsi="Arial"/>
      <w:b/>
      <w:smallCaps/>
      <w:kern w:val="32"/>
      <w:sz w:val="22"/>
      <w:lang w:val="en-AU"/>
    </w:rPr>
  </w:style>
  <w:style w:type="paragraph" w:customStyle="1" w:styleId="TotalsLine">
    <w:name w:val="Totals Line"/>
    <w:basedOn w:val="Normal"/>
    <w:autoRedefine/>
    <w:uiPriority w:val="99"/>
    <w:rsid w:val="00DD408A"/>
    <w:pPr>
      <w:tabs>
        <w:tab w:val="right" w:pos="9054"/>
      </w:tabs>
      <w:autoSpaceDE w:val="0"/>
      <w:autoSpaceDN w:val="0"/>
    </w:pPr>
    <w:rPr>
      <w:rFonts w:ascii="Lucida Sans" w:eastAsia="MS Mincho" w:hAnsi="Lucida Sans" w:cs="Arial"/>
      <w:b/>
      <w:strike/>
      <w:sz w:val="18"/>
      <w:lang w:val="en-AU" w:eastAsia="en-AU"/>
    </w:rPr>
  </w:style>
  <w:style w:type="paragraph" w:customStyle="1" w:styleId="TotalsLine2">
    <w:name w:val="Totals Line 2"/>
    <w:basedOn w:val="Normal"/>
    <w:autoRedefine/>
    <w:uiPriority w:val="99"/>
    <w:rsid w:val="00DD408A"/>
    <w:pPr>
      <w:framePr w:w="3175" w:h="11" w:hRule="exact" w:hSpace="181" w:wrap="around" w:vAnchor="text" w:hAnchor="page" w:x="7235" w:y="63"/>
      <w:widowControl w:val="0"/>
      <w:pBdr>
        <w:top w:val="single" w:sz="6" w:space="1" w:color="auto"/>
        <w:left w:val="single" w:sz="6" w:space="1" w:color="auto"/>
        <w:bottom w:val="single" w:sz="6" w:space="1" w:color="auto"/>
        <w:right w:val="single" w:sz="6" w:space="1" w:color="auto"/>
      </w:pBdr>
      <w:tabs>
        <w:tab w:val="right" w:pos="4196"/>
        <w:tab w:val="right" w:pos="5046"/>
        <w:tab w:val="right" w:pos="5897"/>
        <w:tab w:val="right" w:pos="6747"/>
        <w:tab w:val="right" w:pos="7598"/>
      </w:tabs>
      <w:autoSpaceDE w:val="0"/>
      <w:autoSpaceDN w:val="0"/>
    </w:pPr>
    <w:rPr>
      <w:rFonts w:ascii="Arial" w:eastAsia="MS Mincho" w:hAnsi="Arial" w:cs="Arial"/>
      <w:lang w:val="en-AU" w:eastAsia="en-AU"/>
    </w:rPr>
  </w:style>
  <w:style w:type="character" w:customStyle="1" w:styleId="Underline">
    <w:name w:val="Underline"/>
    <w:uiPriority w:val="99"/>
    <w:rsid w:val="00DD408A"/>
    <w:rPr>
      <w:u w:val="single"/>
    </w:rPr>
  </w:style>
  <w:style w:type="paragraph" w:styleId="Revision">
    <w:name w:val="Revision"/>
    <w:hidden/>
    <w:uiPriority w:val="99"/>
    <w:semiHidden/>
    <w:rsid w:val="00937D77"/>
    <w:pPr>
      <w:spacing w:after="0" w:line="240" w:lineRule="auto"/>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99">
      <w:bodyDiv w:val="1"/>
      <w:marLeft w:val="0"/>
      <w:marRight w:val="0"/>
      <w:marTop w:val="0"/>
      <w:marBottom w:val="0"/>
      <w:divBdr>
        <w:top w:val="none" w:sz="0" w:space="0" w:color="auto"/>
        <w:left w:val="none" w:sz="0" w:space="0" w:color="auto"/>
        <w:bottom w:val="none" w:sz="0" w:space="0" w:color="auto"/>
        <w:right w:val="none" w:sz="0" w:space="0" w:color="auto"/>
      </w:divBdr>
    </w:div>
    <w:div w:id="218398369">
      <w:bodyDiv w:val="1"/>
      <w:marLeft w:val="0"/>
      <w:marRight w:val="0"/>
      <w:marTop w:val="0"/>
      <w:marBottom w:val="0"/>
      <w:divBdr>
        <w:top w:val="none" w:sz="0" w:space="0" w:color="auto"/>
        <w:left w:val="none" w:sz="0" w:space="0" w:color="auto"/>
        <w:bottom w:val="none" w:sz="0" w:space="0" w:color="auto"/>
        <w:right w:val="none" w:sz="0" w:space="0" w:color="auto"/>
      </w:divBdr>
      <w:divsChild>
        <w:div w:id="397826618">
          <w:marLeft w:val="0"/>
          <w:marRight w:val="0"/>
          <w:marTop w:val="0"/>
          <w:marBottom w:val="0"/>
          <w:divBdr>
            <w:top w:val="none" w:sz="0" w:space="0" w:color="auto"/>
            <w:left w:val="none" w:sz="0" w:space="0" w:color="auto"/>
            <w:bottom w:val="none" w:sz="0" w:space="0" w:color="auto"/>
            <w:right w:val="none" w:sz="0" w:space="0" w:color="auto"/>
          </w:divBdr>
          <w:divsChild>
            <w:div w:id="134940500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88226829">
          <w:marLeft w:val="0"/>
          <w:marRight w:val="0"/>
          <w:marTop w:val="0"/>
          <w:marBottom w:val="0"/>
          <w:divBdr>
            <w:top w:val="none" w:sz="0" w:space="0" w:color="auto"/>
            <w:left w:val="none" w:sz="0" w:space="0" w:color="auto"/>
            <w:bottom w:val="none" w:sz="0" w:space="0" w:color="auto"/>
            <w:right w:val="none" w:sz="0" w:space="0" w:color="auto"/>
          </w:divBdr>
          <w:divsChild>
            <w:div w:id="38098608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97796469">
          <w:marLeft w:val="0"/>
          <w:marRight w:val="0"/>
          <w:marTop w:val="0"/>
          <w:marBottom w:val="0"/>
          <w:divBdr>
            <w:top w:val="none" w:sz="0" w:space="0" w:color="auto"/>
            <w:left w:val="none" w:sz="0" w:space="0" w:color="auto"/>
            <w:bottom w:val="none" w:sz="0" w:space="0" w:color="auto"/>
            <w:right w:val="none" w:sz="0" w:space="0" w:color="auto"/>
          </w:divBdr>
          <w:divsChild>
            <w:div w:id="119966288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458307278">
          <w:marLeft w:val="0"/>
          <w:marRight w:val="0"/>
          <w:marTop w:val="0"/>
          <w:marBottom w:val="0"/>
          <w:divBdr>
            <w:top w:val="none" w:sz="0" w:space="0" w:color="auto"/>
            <w:left w:val="none" w:sz="0" w:space="0" w:color="auto"/>
            <w:bottom w:val="none" w:sz="0" w:space="0" w:color="auto"/>
            <w:right w:val="none" w:sz="0" w:space="0" w:color="auto"/>
          </w:divBdr>
          <w:divsChild>
            <w:div w:id="130916979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243076095">
      <w:bodyDiv w:val="1"/>
      <w:marLeft w:val="0"/>
      <w:marRight w:val="0"/>
      <w:marTop w:val="0"/>
      <w:marBottom w:val="0"/>
      <w:divBdr>
        <w:top w:val="none" w:sz="0" w:space="0" w:color="auto"/>
        <w:left w:val="none" w:sz="0" w:space="0" w:color="auto"/>
        <w:bottom w:val="none" w:sz="0" w:space="0" w:color="auto"/>
        <w:right w:val="none" w:sz="0" w:space="0" w:color="auto"/>
      </w:divBdr>
    </w:div>
    <w:div w:id="294874192">
      <w:bodyDiv w:val="1"/>
      <w:marLeft w:val="0"/>
      <w:marRight w:val="0"/>
      <w:marTop w:val="0"/>
      <w:marBottom w:val="0"/>
      <w:divBdr>
        <w:top w:val="none" w:sz="0" w:space="0" w:color="auto"/>
        <w:left w:val="none" w:sz="0" w:space="0" w:color="auto"/>
        <w:bottom w:val="none" w:sz="0" w:space="0" w:color="auto"/>
        <w:right w:val="none" w:sz="0" w:space="0" w:color="auto"/>
      </w:divBdr>
    </w:div>
    <w:div w:id="358161133">
      <w:bodyDiv w:val="1"/>
      <w:marLeft w:val="0"/>
      <w:marRight w:val="0"/>
      <w:marTop w:val="0"/>
      <w:marBottom w:val="0"/>
      <w:divBdr>
        <w:top w:val="none" w:sz="0" w:space="0" w:color="auto"/>
        <w:left w:val="none" w:sz="0" w:space="0" w:color="auto"/>
        <w:bottom w:val="none" w:sz="0" w:space="0" w:color="auto"/>
        <w:right w:val="none" w:sz="0" w:space="0" w:color="auto"/>
      </w:divBdr>
    </w:div>
    <w:div w:id="378096914">
      <w:bodyDiv w:val="1"/>
      <w:marLeft w:val="0"/>
      <w:marRight w:val="0"/>
      <w:marTop w:val="0"/>
      <w:marBottom w:val="0"/>
      <w:divBdr>
        <w:top w:val="none" w:sz="0" w:space="0" w:color="auto"/>
        <w:left w:val="none" w:sz="0" w:space="0" w:color="auto"/>
        <w:bottom w:val="none" w:sz="0" w:space="0" w:color="auto"/>
        <w:right w:val="none" w:sz="0" w:space="0" w:color="auto"/>
      </w:divBdr>
    </w:div>
    <w:div w:id="473988667">
      <w:bodyDiv w:val="1"/>
      <w:marLeft w:val="0"/>
      <w:marRight w:val="0"/>
      <w:marTop w:val="0"/>
      <w:marBottom w:val="0"/>
      <w:divBdr>
        <w:top w:val="none" w:sz="0" w:space="0" w:color="auto"/>
        <w:left w:val="none" w:sz="0" w:space="0" w:color="auto"/>
        <w:bottom w:val="none" w:sz="0" w:space="0" w:color="auto"/>
        <w:right w:val="none" w:sz="0" w:space="0" w:color="auto"/>
      </w:divBdr>
    </w:div>
    <w:div w:id="502857806">
      <w:bodyDiv w:val="1"/>
      <w:marLeft w:val="0"/>
      <w:marRight w:val="0"/>
      <w:marTop w:val="0"/>
      <w:marBottom w:val="0"/>
      <w:divBdr>
        <w:top w:val="none" w:sz="0" w:space="0" w:color="auto"/>
        <w:left w:val="none" w:sz="0" w:space="0" w:color="auto"/>
        <w:bottom w:val="none" w:sz="0" w:space="0" w:color="auto"/>
        <w:right w:val="none" w:sz="0" w:space="0" w:color="auto"/>
      </w:divBdr>
    </w:div>
    <w:div w:id="624655337">
      <w:bodyDiv w:val="1"/>
      <w:marLeft w:val="0"/>
      <w:marRight w:val="0"/>
      <w:marTop w:val="0"/>
      <w:marBottom w:val="0"/>
      <w:divBdr>
        <w:top w:val="none" w:sz="0" w:space="0" w:color="auto"/>
        <w:left w:val="none" w:sz="0" w:space="0" w:color="auto"/>
        <w:bottom w:val="none" w:sz="0" w:space="0" w:color="auto"/>
        <w:right w:val="none" w:sz="0" w:space="0" w:color="auto"/>
      </w:divBdr>
    </w:div>
    <w:div w:id="670915453">
      <w:bodyDiv w:val="1"/>
      <w:marLeft w:val="0"/>
      <w:marRight w:val="0"/>
      <w:marTop w:val="0"/>
      <w:marBottom w:val="0"/>
      <w:divBdr>
        <w:top w:val="none" w:sz="0" w:space="0" w:color="auto"/>
        <w:left w:val="none" w:sz="0" w:space="0" w:color="auto"/>
        <w:bottom w:val="none" w:sz="0" w:space="0" w:color="auto"/>
        <w:right w:val="none" w:sz="0" w:space="0" w:color="auto"/>
      </w:divBdr>
    </w:div>
    <w:div w:id="688797632">
      <w:bodyDiv w:val="1"/>
      <w:marLeft w:val="0"/>
      <w:marRight w:val="0"/>
      <w:marTop w:val="0"/>
      <w:marBottom w:val="0"/>
      <w:divBdr>
        <w:top w:val="none" w:sz="0" w:space="0" w:color="auto"/>
        <w:left w:val="none" w:sz="0" w:space="0" w:color="auto"/>
        <w:bottom w:val="none" w:sz="0" w:space="0" w:color="auto"/>
        <w:right w:val="none" w:sz="0" w:space="0" w:color="auto"/>
      </w:divBdr>
      <w:divsChild>
        <w:div w:id="1373769820">
          <w:marLeft w:val="0"/>
          <w:marRight w:val="0"/>
          <w:marTop w:val="0"/>
          <w:marBottom w:val="0"/>
          <w:divBdr>
            <w:top w:val="none" w:sz="0" w:space="0" w:color="auto"/>
            <w:left w:val="none" w:sz="0" w:space="0" w:color="auto"/>
            <w:bottom w:val="none" w:sz="0" w:space="0" w:color="auto"/>
            <w:right w:val="none" w:sz="0" w:space="0" w:color="auto"/>
          </w:divBdr>
          <w:divsChild>
            <w:div w:id="198635286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59139620">
          <w:marLeft w:val="0"/>
          <w:marRight w:val="0"/>
          <w:marTop w:val="0"/>
          <w:marBottom w:val="0"/>
          <w:divBdr>
            <w:top w:val="none" w:sz="0" w:space="0" w:color="auto"/>
            <w:left w:val="none" w:sz="0" w:space="0" w:color="auto"/>
            <w:bottom w:val="none" w:sz="0" w:space="0" w:color="auto"/>
            <w:right w:val="none" w:sz="0" w:space="0" w:color="auto"/>
          </w:divBdr>
          <w:divsChild>
            <w:div w:id="32855735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798186404">
      <w:bodyDiv w:val="1"/>
      <w:marLeft w:val="0"/>
      <w:marRight w:val="0"/>
      <w:marTop w:val="0"/>
      <w:marBottom w:val="0"/>
      <w:divBdr>
        <w:top w:val="none" w:sz="0" w:space="0" w:color="auto"/>
        <w:left w:val="none" w:sz="0" w:space="0" w:color="auto"/>
        <w:bottom w:val="none" w:sz="0" w:space="0" w:color="auto"/>
        <w:right w:val="none" w:sz="0" w:space="0" w:color="auto"/>
      </w:divBdr>
    </w:div>
    <w:div w:id="799223106">
      <w:bodyDiv w:val="1"/>
      <w:marLeft w:val="0"/>
      <w:marRight w:val="0"/>
      <w:marTop w:val="0"/>
      <w:marBottom w:val="0"/>
      <w:divBdr>
        <w:top w:val="none" w:sz="0" w:space="0" w:color="auto"/>
        <w:left w:val="none" w:sz="0" w:space="0" w:color="auto"/>
        <w:bottom w:val="none" w:sz="0" w:space="0" w:color="auto"/>
        <w:right w:val="none" w:sz="0" w:space="0" w:color="auto"/>
      </w:divBdr>
    </w:div>
    <w:div w:id="814831907">
      <w:bodyDiv w:val="1"/>
      <w:marLeft w:val="0"/>
      <w:marRight w:val="0"/>
      <w:marTop w:val="0"/>
      <w:marBottom w:val="0"/>
      <w:divBdr>
        <w:top w:val="none" w:sz="0" w:space="0" w:color="auto"/>
        <w:left w:val="none" w:sz="0" w:space="0" w:color="auto"/>
        <w:bottom w:val="none" w:sz="0" w:space="0" w:color="auto"/>
        <w:right w:val="none" w:sz="0" w:space="0" w:color="auto"/>
      </w:divBdr>
    </w:div>
    <w:div w:id="836388389">
      <w:bodyDiv w:val="1"/>
      <w:marLeft w:val="0"/>
      <w:marRight w:val="0"/>
      <w:marTop w:val="0"/>
      <w:marBottom w:val="0"/>
      <w:divBdr>
        <w:top w:val="none" w:sz="0" w:space="0" w:color="auto"/>
        <w:left w:val="none" w:sz="0" w:space="0" w:color="auto"/>
        <w:bottom w:val="none" w:sz="0" w:space="0" w:color="auto"/>
        <w:right w:val="none" w:sz="0" w:space="0" w:color="auto"/>
      </w:divBdr>
    </w:div>
    <w:div w:id="849221736">
      <w:bodyDiv w:val="1"/>
      <w:marLeft w:val="0"/>
      <w:marRight w:val="0"/>
      <w:marTop w:val="0"/>
      <w:marBottom w:val="0"/>
      <w:divBdr>
        <w:top w:val="none" w:sz="0" w:space="0" w:color="auto"/>
        <w:left w:val="none" w:sz="0" w:space="0" w:color="auto"/>
        <w:bottom w:val="none" w:sz="0" w:space="0" w:color="auto"/>
        <w:right w:val="none" w:sz="0" w:space="0" w:color="auto"/>
      </w:divBdr>
    </w:div>
    <w:div w:id="1022245351">
      <w:bodyDiv w:val="1"/>
      <w:marLeft w:val="0"/>
      <w:marRight w:val="0"/>
      <w:marTop w:val="0"/>
      <w:marBottom w:val="0"/>
      <w:divBdr>
        <w:top w:val="none" w:sz="0" w:space="0" w:color="auto"/>
        <w:left w:val="none" w:sz="0" w:space="0" w:color="auto"/>
        <w:bottom w:val="none" w:sz="0" w:space="0" w:color="auto"/>
        <w:right w:val="none" w:sz="0" w:space="0" w:color="auto"/>
      </w:divBdr>
    </w:div>
    <w:div w:id="1060447097">
      <w:bodyDiv w:val="1"/>
      <w:marLeft w:val="0"/>
      <w:marRight w:val="0"/>
      <w:marTop w:val="0"/>
      <w:marBottom w:val="0"/>
      <w:divBdr>
        <w:top w:val="none" w:sz="0" w:space="0" w:color="auto"/>
        <w:left w:val="none" w:sz="0" w:space="0" w:color="auto"/>
        <w:bottom w:val="none" w:sz="0" w:space="0" w:color="auto"/>
        <w:right w:val="none" w:sz="0" w:space="0" w:color="auto"/>
      </w:divBdr>
      <w:divsChild>
        <w:div w:id="2096315941">
          <w:marLeft w:val="0"/>
          <w:marRight w:val="0"/>
          <w:marTop w:val="0"/>
          <w:marBottom w:val="0"/>
          <w:divBdr>
            <w:top w:val="none" w:sz="0" w:space="0" w:color="auto"/>
            <w:left w:val="none" w:sz="0" w:space="0" w:color="auto"/>
            <w:bottom w:val="none" w:sz="0" w:space="0" w:color="auto"/>
            <w:right w:val="none" w:sz="0" w:space="0" w:color="auto"/>
          </w:divBdr>
          <w:divsChild>
            <w:div w:id="205372527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082212877">
          <w:marLeft w:val="0"/>
          <w:marRight w:val="0"/>
          <w:marTop w:val="0"/>
          <w:marBottom w:val="0"/>
          <w:divBdr>
            <w:top w:val="none" w:sz="0" w:space="0" w:color="auto"/>
            <w:left w:val="none" w:sz="0" w:space="0" w:color="auto"/>
            <w:bottom w:val="none" w:sz="0" w:space="0" w:color="auto"/>
            <w:right w:val="none" w:sz="0" w:space="0" w:color="auto"/>
          </w:divBdr>
          <w:divsChild>
            <w:div w:id="90278796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20377824">
          <w:marLeft w:val="0"/>
          <w:marRight w:val="0"/>
          <w:marTop w:val="0"/>
          <w:marBottom w:val="0"/>
          <w:divBdr>
            <w:top w:val="none" w:sz="0" w:space="0" w:color="auto"/>
            <w:left w:val="none" w:sz="0" w:space="0" w:color="auto"/>
            <w:bottom w:val="none" w:sz="0" w:space="0" w:color="auto"/>
            <w:right w:val="none" w:sz="0" w:space="0" w:color="auto"/>
          </w:divBdr>
          <w:divsChild>
            <w:div w:id="147780058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190295738">
      <w:bodyDiv w:val="1"/>
      <w:marLeft w:val="0"/>
      <w:marRight w:val="0"/>
      <w:marTop w:val="0"/>
      <w:marBottom w:val="0"/>
      <w:divBdr>
        <w:top w:val="none" w:sz="0" w:space="0" w:color="auto"/>
        <w:left w:val="none" w:sz="0" w:space="0" w:color="auto"/>
        <w:bottom w:val="none" w:sz="0" w:space="0" w:color="auto"/>
        <w:right w:val="none" w:sz="0" w:space="0" w:color="auto"/>
      </w:divBdr>
    </w:div>
    <w:div w:id="1264728808">
      <w:bodyDiv w:val="1"/>
      <w:marLeft w:val="0"/>
      <w:marRight w:val="0"/>
      <w:marTop w:val="0"/>
      <w:marBottom w:val="0"/>
      <w:divBdr>
        <w:top w:val="none" w:sz="0" w:space="0" w:color="auto"/>
        <w:left w:val="none" w:sz="0" w:space="0" w:color="auto"/>
        <w:bottom w:val="none" w:sz="0" w:space="0" w:color="auto"/>
        <w:right w:val="none" w:sz="0" w:space="0" w:color="auto"/>
      </w:divBdr>
    </w:div>
    <w:div w:id="1286307628">
      <w:bodyDiv w:val="1"/>
      <w:marLeft w:val="0"/>
      <w:marRight w:val="0"/>
      <w:marTop w:val="0"/>
      <w:marBottom w:val="0"/>
      <w:divBdr>
        <w:top w:val="none" w:sz="0" w:space="0" w:color="auto"/>
        <w:left w:val="none" w:sz="0" w:space="0" w:color="auto"/>
        <w:bottom w:val="none" w:sz="0" w:space="0" w:color="auto"/>
        <w:right w:val="none" w:sz="0" w:space="0" w:color="auto"/>
      </w:divBdr>
    </w:div>
    <w:div w:id="1341355591">
      <w:bodyDiv w:val="1"/>
      <w:marLeft w:val="0"/>
      <w:marRight w:val="0"/>
      <w:marTop w:val="0"/>
      <w:marBottom w:val="0"/>
      <w:divBdr>
        <w:top w:val="none" w:sz="0" w:space="0" w:color="auto"/>
        <w:left w:val="none" w:sz="0" w:space="0" w:color="auto"/>
        <w:bottom w:val="none" w:sz="0" w:space="0" w:color="auto"/>
        <w:right w:val="none" w:sz="0" w:space="0" w:color="auto"/>
      </w:divBdr>
    </w:div>
    <w:div w:id="1391227614">
      <w:bodyDiv w:val="1"/>
      <w:marLeft w:val="0"/>
      <w:marRight w:val="0"/>
      <w:marTop w:val="0"/>
      <w:marBottom w:val="0"/>
      <w:divBdr>
        <w:top w:val="none" w:sz="0" w:space="0" w:color="auto"/>
        <w:left w:val="none" w:sz="0" w:space="0" w:color="auto"/>
        <w:bottom w:val="none" w:sz="0" w:space="0" w:color="auto"/>
        <w:right w:val="none" w:sz="0" w:space="0" w:color="auto"/>
      </w:divBdr>
    </w:div>
    <w:div w:id="1613051366">
      <w:bodyDiv w:val="1"/>
      <w:marLeft w:val="0"/>
      <w:marRight w:val="0"/>
      <w:marTop w:val="0"/>
      <w:marBottom w:val="0"/>
      <w:divBdr>
        <w:top w:val="none" w:sz="0" w:space="0" w:color="auto"/>
        <w:left w:val="none" w:sz="0" w:space="0" w:color="auto"/>
        <w:bottom w:val="none" w:sz="0" w:space="0" w:color="auto"/>
        <w:right w:val="none" w:sz="0" w:space="0" w:color="auto"/>
      </w:divBdr>
    </w:div>
    <w:div w:id="1696888038">
      <w:bodyDiv w:val="1"/>
      <w:marLeft w:val="0"/>
      <w:marRight w:val="0"/>
      <w:marTop w:val="0"/>
      <w:marBottom w:val="0"/>
      <w:divBdr>
        <w:top w:val="none" w:sz="0" w:space="0" w:color="auto"/>
        <w:left w:val="none" w:sz="0" w:space="0" w:color="auto"/>
        <w:bottom w:val="none" w:sz="0" w:space="0" w:color="auto"/>
        <w:right w:val="none" w:sz="0" w:space="0" w:color="auto"/>
      </w:divBdr>
    </w:div>
    <w:div w:id="2033410752">
      <w:bodyDiv w:val="1"/>
      <w:marLeft w:val="0"/>
      <w:marRight w:val="0"/>
      <w:marTop w:val="0"/>
      <w:marBottom w:val="0"/>
      <w:divBdr>
        <w:top w:val="none" w:sz="0" w:space="0" w:color="auto"/>
        <w:left w:val="none" w:sz="0" w:space="0" w:color="auto"/>
        <w:bottom w:val="none" w:sz="0" w:space="0" w:color="auto"/>
        <w:right w:val="none" w:sz="0" w:space="0" w:color="auto"/>
      </w:divBdr>
    </w:div>
    <w:div w:id="212738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5.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https://nswgov.sharepoint.com/sites/TSY2019-20Budget/Shared%20Documents/General/Budget/04.%20Budget%20Paper%201%20(Budget%20Statement)/Appendix%20F%20-%20Sensitivity%20analysis/BP1%20Appendix%20F.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https://nswgov.sharepoint.com/sites/TSY2019-20Budget/Shared%20Documents/General/Budget/04.%20Budget%20Paper%201%20(Budget%20Statement)/Appendix%20F%20-%20Sensitivity%20analysis/BP1%20Appendix%20F.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nswgov.sharepoint.com/sites/TSY2019-20Budget/Shared%20Documents/General/Budget/04.%20Budget%20Paper%201%20(Budget%20Statement)/Appendix%20F%20-%20Sensitivity%20analysis/BP1%20Appendix%20F.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vfilertsy.govnet.nsw.gov.au\TSY-Group\ef\EFB\Macro%20Reporting\Worksheets\Housing\CoreLogic.xlsx" TargetMode="External"/><Relationship Id="rId2" Type="http://schemas.microsoft.com/office/2011/relationships/chartColorStyle" Target="colors1.xml"/><Relationship Id="rId1" Type="http://schemas.microsoft.com/office/2011/relationships/chartStyle" Target="style1.xml"/></Relationships>
</file>

<file path=word/charts/_rels/chart5.xml.rels><?xml version="1.0" encoding="UTF-8" standalone="yes"?>
<Relationships xmlns="http://schemas.openxmlformats.org/package/2006/relationships"><Relationship Id="rId3" Type="http://schemas.openxmlformats.org/officeDocument/2006/relationships/oleObject" Target="file:///\\vfilertsy.govnet.nsw.gov.au\TSY-Group\ef\EFB\Forecasting\Forecast%20Admin\2019\Budget\VU%20-%20Sensitivity%20Analysis\Scenarios\VU%20Scenario%20output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723220099141409E-2"/>
          <c:y val="4.944747474747474E-2"/>
          <c:w val="0.91267829393431665"/>
          <c:h val="0.86368333333333336"/>
        </c:manualLayout>
      </c:layout>
      <c:lineChart>
        <c:grouping val="standard"/>
        <c:varyColors val="0"/>
        <c:ser>
          <c:idx val="0"/>
          <c:order val="0"/>
          <c:tx>
            <c:strRef>
              <c:f>'Chart F.1 Part rate'!$B$2</c:f>
              <c:strCache>
                <c:ptCount val="1"/>
                <c:pt idx="0">
                  <c:v>2016 IGR equilibrium^</c:v>
                </c:pt>
              </c:strCache>
            </c:strRef>
          </c:tx>
          <c:spPr>
            <a:ln w="28575" cap="rnd">
              <a:solidFill>
                <a:srgbClr val="0070C0"/>
              </a:solidFill>
              <a:round/>
            </a:ln>
            <a:effectLst/>
          </c:spPr>
          <c:marker>
            <c:symbol val="none"/>
          </c:marker>
          <c:cat>
            <c:numRef>
              <c:f>'Chart F.1 Part rate'!$A$3:$A$43</c:f>
              <c:numCache>
                <c:formatCode>General</c:formatCode>
                <c:ptCount val="41"/>
                <c:pt idx="0">
                  <c:v>1979</c:v>
                </c:pt>
                <c:pt idx="1">
                  <c:v>1980</c:v>
                </c:pt>
                <c:pt idx="2">
                  <c:v>1981</c:v>
                </c:pt>
                <c:pt idx="3">
                  <c:v>1982</c:v>
                </c:pt>
                <c:pt idx="4">
                  <c:v>1983</c:v>
                </c:pt>
                <c:pt idx="5">
                  <c:v>1984</c:v>
                </c:pt>
                <c:pt idx="6">
                  <c:v>1985</c:v>
                </c:pt>
                <c:pt idx="7">
                  <c:v>1986</c:v>
                </c:pt>
                <c:pt idx="8">
                  <c:v>1987</c:v>
                </c:pt>
                <c:pt idx="9">
                  <c:v>1988</c:v>
                </c:pt>
                <c:pt idx="10">
                  <c:v>1989</c:v>
                </c:pt>
                <c:pt idx="11">
                  <c:v>1990</c:v>
                </c:pt>
                <c:pt idx="12">
                  <c:v>1991</c:v>
                </c:pt>
                <c:pt idx="13">
                  <c:v>1992</c:v>
                </c:pt>
                <c:pt idx="14">
                  <c:v>1993</c:v>
                </c:pt>
                <c:pt idx="15">
                  <c:v>1994</c:v>
                </c:pt>
                <c:pt idx="16">
                  <c:v>1995</c:v>
                </c:pt>
                <c:pt idx="17">
                  <c:v>1996</c:v>
                </c:pt>
                <c:pt idx="18">
                  <c:v>1997</c:v>
                </c:pt>
                <c:pt idx="19">
                  <c:v>1998</c:v>
                </c:pt>
                <c:pt idx="20">
                  <c:v>1999</c:v>
                </c:pt>
                <c:pt idx="21">
                  <c:v>2000</c:v>
                </c:pt>
                <c:pt idx="22">
                  <c:v>2001</c:v>
                </c:pt>
                <c:pt idx="23">
                  <c:v>2002</c:v>
                </c:pt>
                <c:pt idx="24">
                  <c:v>2003</c:v>
                </c:pt>
                <c:pt idx="25">
                  <c:v>2004</c:v>
                </c:pt>
                <c:pt idx="26">
                  <c:v>2005</c:v>
                </c:pt>
                <c:pt idx="27">
                  <c:v>2006</c:v>
                </c:pt>
                <c:pt idx="28">
                  <c:v>2007</c:v>
                </c:pt>
                <c:pt idx="29">
                  <c:v>2008</c:v>
                </c:pt>
                <c:pt idx="30">
                  <c:v>2009</c:v>
                </c:pt>
                <c:pt idx="31">
                  <c:v>2010</c:v>
                </c:pt>
                <c:pt idx="32">
                  <c:v>2011</c:v>
                </c:pt>
                <c:pt idx="33">
                  <c:v>2012</c:v>
                </c:pt>
                <c:pt idx="34">
                  <c:v>2013</c:v>
                </c:pt>
                <c:pt idx="35">
                  <c:v>2014</c:v>
                </c:pt>
                <c:pt idx="36">
                  <c:v>2015</c:v>
                </c:pt>
                <c:pt idx="37">
                  <c:v>2016</c:v>
                </c:pt>
                <c:pt idx="38">
                  <c:v>2017</c:v>
                </c:pt>
                <c:pt idx="39">
                  <c:v>2018</c:v>
                </c:pt>
                <c:pt idx="40">
                  <c:v>2019</c:v>
                </c:pt>
              </c:numCache>
            </c:numRef>
          </c:cat>
          <c:val>
            <c:numRef>
              <c:f>'Chart F.1 Part rate'!$B$3:$B$43</c:f>
              <c:numCache>
                <c:formatCode>0.0</c:formatCode>
                <c:ptCount val="41"/>
                <c:pt idx="0">
                  <c:v>60.090838641779918</c:v>
                </c:pt>
                <c:pt idx="1">
                  <c:v>60.197782952883337</c:v>
                </c:pt>
                <c:pt idx="2">
                  <c:v>60.320070369772907</c:v>
                </c:pt>
                <c:pt idx="3">
                  <c:v>60.463092379347017</c:v>
                </c:pt>
                <c:pt idx="4">
                  <c:v>60.555679686230981</c:v>
                </c:pt>
                <c:pt idx="5">
                  <c:v>60.639345235366967</c:v>
                </c:pt>
                <c:pt idx="6">
                  <c:v>60.760267899489428</c:v>
                </c:pt>
                <c:pt idx="7">
                  <c:v>60.806724340951121</c:v>
                </c:pt>
                <c:pt idx="8">
                  <c:v>60.945909903228376</c:v>
                </c:pt>
                <c:pt idx="9">
                  <c:v>61.140465413634118</c:v>
                </c:pt>
                <c:pt idx="10">
                  <c:v>61.290872722772725</c:v>
                </c:pt>
                <c:pt idx="11">
                  <c:v>61.482138129482053</c:v>
                </c:pt>
                <c:pt idx="12">
                  <c:v>61.614438687730669</c:v>
                </c:pt>
                <c:pt idx="13">
                  <c:v>61.759227922532368</c:v>
                </c:pt>
                <c:pt idx="14">
                  <c:v>61.812022326462078</c:v>
                </c:pt>
                <c:pt idx="15">
                  <c:v>61.869756480433722</c:v>
                </c:pt>
                <c:pt idx="16">
                  <c:v>61.959653046459117</c:v>
                </c:pt>
                <c:pt idx="17">
                  <c:v>62.008535625244633</c:v>
                </c:pt>
                <c:pt idx="18">
                  <c:v>61.990181724893588</c:v>
                </c:pt>
                <c:pt idx="19">
                  <c:v>61.990729833117832</c:v>
                </c:pt>
                <c:pt idx="20">
                  <c:v>62.019434406247107</c:v>
                </c:pt>
                <c:pt idx="21">
                  <c:v>62.085673256292353</c:v>
                </c:pt>
                <c:pt idx="22">
                  <c:v>62.1626884962456</c:v>
                </c:pt>
                <c:pt idx="23">
                  <c:v>62.283170324711868</c:v>
                </c:pt>
                <c:pt idx="24">
                  <c:v>62.44266726687998</c:v>
                </c:pt>
                <c:pt idx="25">
                  <c:v>62.585440497822795</c:v>
                </c:pt>
                <c:pt idx="26">
                  <c:v>62.730153256264067</c:v>
                </c:pt>
                <c:pt idx="27">
                  <c:v>62.910797658126015</c:v>
                </c:pt>
                <c:pt idx="28">
                  <c:v>62.997323313020622</c:v>
                </c:pt>
                <c:pt idx="29">
                  <c:v>63.156594848869616</c:v>
                </c:pt>
                <c:pt idx="30">
                  <c:v>63.305413472886599</c:v>
                </c:pt>
                <c:pt idx="31">
                  <c:v>63.353101237406776</c:v>
                </c:pt>
                <c:pt idx="32">
                  <c:v>63.356281781425395</c:v>
                </c:pt>
                <c:pt idx="33">
                  <c:v>63.332473307816585</c:v>
                </c:pt>
                <c:pt idx="34">
                  <c:v>63.323290301081833</c:v>
                </c:pt>
                <c:pt idx="35">
                  <c:v>63.354578144381257</c:v>
                </c:pt>
                <c:pt idx="36">
                  <c:v>63.40638531094114</c:v>
                </c:pt>
                <c:pt idx="37">
                  <c:v>63.371386076853511</c:v>
                </c:pt>
                <c:pt idx="38">
                  <c:v>63.350277055427718</c:v>
                </c:pt>
                <c:pt idx="39">
                  <c:v>63.289206137511414</c:v>
                </c:pt>
                <c:pt idx="40">
                  <c:v>63.222968584167326</c:v>
                </c:pt>
              </c:numCache>
            </c:numRef>
          </c:val>
          <c:smooth val="0"/>
          <c:extLst>
            <c:ext xmlns:c16="http://schemas.microsoft.com/office/drawing/2014/chart" uri="{C3380CC4-5D6E-409C-BE32-E72D297353CC}">
              <c16:uniqueId val="{00000000-D506-4F9C-854F-E32A749EFE5A}"/>
            </c:ext>
          </c:extLst>
        </c:ser>
        <c:ser>
          <c:idx val="1"/>
          <c:order val="1"/>
          <c:tx>
            <c:strRef>
              <c:f>'Chart F.1 Part rate'!$C$2</c:f>
              <c:strCache>
                <c:ptCount val="1"/>
                <c:pt idx="0">
                  <c:v>Updated equilibrium^</c:v>
                </c:pt>
              </c:strCache>
            </c:strRef>
          </c:tx>
          <c:spPr>
            <a:ln w="28575" cap="rnd">
              <a:solidFill>
                <a:srgbClr val="002060"/>
              </a:solidFill>
              <a:round/>
            </a:ln>
            <a:effectLst/>
          </c:spPr>
          <c:marker>
            <c:symbol val="none"/>
          </c:marker>
          <c:cat>
            <c:numRef>
              <c:f>'Chart F.1 Part rate'!$A$3:$A$43</c:f>
              <c:numCache>
                <c:formatCode>General</c:formatCode>
                <c:ptCount val="41"/>
                <c:pt idx="0">
                  <c:v>1979</c:v>
                </c:pt>
                <c:pt idx="1">
                  <c:v>1980</c:v>
                </c:pt>
                <c:pt idx="2">
                  <c:v>1981</c:v>
                </c:pt>
                <c:pt idx="3">
                  <c:v>1982</c:v>
                </c:pt>
                <c:pt idx="4">
                  <c:v>1983</c:v>
                </c:pt>
                <c:pt idx="5">
                  <c:v>1984</c:v>
                </c:pt>
                <c:pt idx="6">
                  <c:v>1985</c:v>
                </c:pt>
                <c:pt idx="7">
                  <c:v>1986</c:v>
                </c:pt>
                <c:pt idx="8">
                  <c:v>1987</c:v>
                </c:pt>
                <c:pt idx="9">
                  <c:v>1988</c:v>
                </c:pt>
                <c:pt idx="10">
                  <c:v>1989</c:v>
                </c:pt>
                <c:pt idx="11">
                  <c:v>1990</c:v>
                </c:pt>
                <c:pt idx="12">
                  <c:v>1991</c:v>
                </c:pt>
                <c:pt idx="13">
                  <c:v>1992</c:v>
                </c:pt>
                <c:pt idx="14">
                  <c:v>1993</c:v>
                </c:pt>
                <c:pt idx="15">
                  <c:v>1994</c:v>
                </c:pt>
                <c:pt idx="16">
                  <c:v>1995</c:v>
                </c:pt>
                <c:pt idx="17">
                  <c:v>1996</c:v>
                </c:pt>
                <c:pt idx="18">
                  <c:v>1997</c:v>
                </c:pt>
                <c:pt idx="19">
                  <c:v>1998</c:v>
                </c:pt>
                <c:pt idx="20">
                  <c:v>1999</c:v>
                </c:pt>
                <c:pt idx="21">
                  <c:v>2000</c:v>
                </c:pt>
                <c:pt idx="22">
                  <c:v>2001</c:v>
                </c:pt>
                <c:pt idx="23">
                  <c:v>2002</c:v>
                </c:pt>
                <c:pt idx="24">
                  <c:v>2003</c:v>
                </c:pt>
                <c:pt idx="25">
                  <c:v>2004</c:v>
                </c:pt>
                <c:pt idx="26">
                  <c:v>2005</c:v>
                </c:pt>
                <c:pt idx="27">
                  <c:v>2006</c:v>
                </c:pt>
                <c:pt idx="28">
                  <c:v>2007</c:v>
                </c:pt>
                <c:pt idx="29">
                  <c:v>2008</c:v>
                </c:pt>
                <c:pt idx="30">
                  <c:v>2009</c:v>
                </c:pt>
                <c:pt idx="31">
                  <c:v>2010</c:v>
                </c:pt>
                <c:pt idx="32">
                  <c:v>2011</c:v>
                </c:pt>
                <c:pt idx="33">
                  <c:v>2012</c:v>
                </c:pt>
                <c:pt idx="34">
                  <c:v>2013</c:v>
                </c:pt>
                <c:pt idx="35">
                  <c:v>2014</c:v>
                </c:pt>
                <c:pt idx="36">
                  <c:v>2015</c:v>
                </c:pt>
                <c:pt idx="37">
                  <c:v>2016</c:v>
                </c:pt>
                <c:pt idx="38">
                  <c:v>2017</c:v>
                </c:pt>
                <c:pt idx="39">
                  <c:v>2018</c:v>
                </c:pt>
                <c:pt idx="40">
                  <c:v>2019</c:v>
                </c:pt>
              </c:numCache>
            </c:numRef>
          </c:cat>
          <c:val>
            <c:numRef>
              <c:f>'Chart F.1 Part rate'!$C$3:$C$43</c:f>
              <c:numCache>
                <c:formatCode>General</c:formatCode>
                <c:ptCount val="41"/>
                <c:pt idx="34" formatCode="0.0">
                  <c:v>63.460272743359212</c:v>
                </c:pt>
                <c:pt idx="35" formatCode="0.0">
                  <c:v>63.564625308617536</c:v>
                </c:pt>
                <c:pt idx="36" formatCode="0.0">
                  <c:v>63.701232364389114</c:v>
                </c:pt>
                <c:pt idx="37" formatCode="0.0">
                  <c:v>63.843159041155587</c:v>
                </c:pt>
                <c:pt idx="38" formatCode="0.0">
                  <c:v>64.016182693336503</c:v>
                </c:pt>
                <c:pt idx="39" formatCode="0.0">
                  <c:v>64.128715551189032</c:v>
                </c:pt>
                <c:pt idx="40" formatCode="0.0">
                  <c:v>64.134986392933243</c:v>
                </c:pt>
              </c:numCache>
            </c:numRef>
          </c:val>
          <c:smooth val="0"/>
          <c:extLst>
            <c:ext xmlns:c16="http://schemas.microsoft.com/office/drawing/2014/chart" uri="{C3380CC4-5D6E-409C-BE32-E72D297353CC}">
              <c16:uniqueId val="{00000001-D506-4F9C-854F-E32A749EFE5A}"/>
            </c:ext>
          </c:extLst>
        </c:ser>
        <c:ser>
          <c:idx val="2"/>
          <c:order val="2"/>
          <c:tx>
            <c:strRef>
              <c:f>'Chart F.1 Part rate'!$D$2</c:f>
              <c:strCache>
                <c:ptCount val="1"/>
                <c:pt idx="0">
                  <c:v>Actual*</c:v>
                </c:pt>
              </c:strCache>
            </c:strRef>
          </c:tx>
          <c:spPr>
            <a:ln w="28575" cap="rnd">
              <a:solidFill>
                <a:srgbClr val="92D050"/>
              </a:solidFill>
              <a:round/>
            </a:ln>
            <a:effectLst/>
          </c:spPr>
          <c:marker>
            <c:symbol val="none"/>
          </c:marker>
          <c:cat>
            <c:numRef>
              <c:f>'Chart F.1 Part rate'!$A$3:$A$43</c:f>
              <c:numCache>
                <c:formatCode>General</c:formatCode>
                <c:ptCount val="41"/>
                <c:pt idx="0">
                  <c:v>1979</c:v>
                </c:pt>
                <c:pt idx="1">
                  <c:v>1980</c:v>
                </c:pt>
                <c:pt idx="2">
                  <c:v>1981</c:v>
                </c:pt>
                <c:pt idx="3">
                  <c:v>1982</c:v>
                </c:pt>
                <c:pt idx="4">
                  <c:v>1983</c:v>
                </c:pt>
                <c:pt idx="5">
                  <c:v>1984</c:v>
                </c:pt>
                <c:pt idx="6">
                  <c:v>1985</c:v>
                </c:pt>
                <c:pt idx="7">
                  <c:v>1986</c:v>
                </c:pt>
                <c:pt idx="8">
                  <c:v>1987</c:v>
                </c:pt>
                <c:pt idx="9">
                  <c:v>1988</c:v>
                </c:pt>
                <c:pt idx="10">
                  <c:v>1989</c:v>
                </c:pt>
                <c:pt idx="11">
                  <c:v>1990</c:v>
                </c:pt>
                <c:pt idx="12">
                  <c:v>1991</c:v>
                </c:pt>
                <c:pt idx="13">
                  <c:v>1992</c:v>
                </c:pt>
                <c:pt idx="14">
                  <c:v>1993</c:v>
                </c:pt>
                <c:pt idx="15">
                  <c:v>1994</c:v>
                </c:pt>
                <c:pt idx="16">
                  <c:v>1995</c:v>
                </c:pt>
                <c:pt idx="17">
                  <c:v>1996</c:v>
                </c:pt>
                <c:pt idx="18">
                  <c:v>1997</c:v>
                </c:pt>
                <c:pt idx="19">
                  <c:v>1998</c:v>
                </c:pt>
                <c:pt idx="20">
                  <c:v>1999</c:v>
                </c:pt>
                <c:pt idx="21">
                  <c:v>2000</c:v>
                </c:pt>
                <c:pt idx="22">
                  <c:v>2001</c:v>
                </c:pt>
                <c:pt idx="23">
                  <c:v>2002</c:v>
                </c:pt>
                <c:pt idx="24">
                  <c:v>2003</c:v>
                </c:pt>
                <c:pt idx="25">
                  <c:v>2004</c:v>
                </c:pt>
                <c:pt idx="26">
                  <c:v>2005</c:v>
                </c:pt>
                <c:pt idx="27">
                  <c:v>2006</c:v>
                </c:pt>
                <c:pt idx="28">
                  <c:v>2007</c:v>
                </c:pt>
                <c:pt idx="29">
                  <c:v>2008</c:v>
                </c:pt>
                <c:pt idx="30">
                  <c:v>2009</c:v>
                </c:pt>
                <c:pt idx="31">
                  <c:v>2010</c:v>
                </c:pt>
                <c:pt idx="32">
                  <c:v>2011</c:v>
                </c:pt>
                <c:pt idx="33">
                  <c:v>2012</c:v>
                </c:pt>
                <c:pt idx="34">
                  <c:v>2013</c:v>
                </c:pt>
                <c:pt idx="35">
                  <c:v>2014</c:v>
                </c:pt>
                <c:pt idx="36">
                  <c:v>2015</c:v>
                </c:pt>
                <c:pt idx="37">
                  <c:v>2016</c:v>
                </c:pt>
                <c:pt idx="38">
                  <c:v>2017</c:v>
                </c:pt>
                <c:pt idx="39">
                  <c:v>2018</c:v>
                </c:pt>
                <c:pt idx="40">
                  <c:v>2019</c:v>
                </c:pt>
              </c:numCache>
            </c:numRef>
          </c:cat>
          <c:val>
            <c:numRef>
              <c:f>'Chart F.1 Part rate'!$D$3:$D$43</c:f>
              <c:numCache>
                <c:formatCode>0.0</c:formatCode>
                <c:ptCount val="41"/>
                <c:pt idx="0">
                  <c:v>59.665657658333345</c:v>
                </c:pt>
                <c:pt idx="1">
                  <c:v>60.204520475000002</c:v>
                </c:pt>
                <c:pt idx="2">
                  <c:v>60.448877158333339</c:v>
                </c:pt>
                <c:pt idx="3">
                  <c:v>60.228283091666661</c:v>
                </c:pt>
                <c:pt idx="4">
                  <c:v>60.040162766666668</c:v>
                </c:pt>
                <c:pt idx="5">
                  <c:v>59.851462041666672</c:v>
                </c:pt>
                <c:pt idx="6">
                  <c:v>60.090206308333336</c:v>
                </c:pt>
                <c:pt idx="7">
                  <c:v>60.517069016666674</c:v>
                </c:pt>
                <c:pt idx="8">
                  <c:v>60.570347875000003</c:v>
                </c:pt>
                <c:pt idx="9">
                  <c:v>61.234766158333336</c:v>
                </c:pt>
                <c:pt idx="10">
                  <c:v>61.250582691666665</c:v>
                </c:pt>
                <c:pt idx="11">
                  <c:v>61.883115366666658</c:v>
                </c:pt>
                <c:pt idx="12">
                  <c:v>62.176282816666664</c:v>
                </c:pt>
                <c:pt idx="13">
                  <c:v>61.859884575000002</c:v>
                </c:pt>
                <c:pt idx="14">
                  <c:v>61.320666966666671</c:v>
                </c:pt>
                <c:pt idx="15">
                  <c:v>61.350798150000003</c:v>
                </c:pt>
                <c:pt idx="16">
                  <c:v>61.886732658333329</c:v>
                </c:pt>
                <c:pt idx="17">
                  <c:v>62.464228258333321</c:v>
                </c:pt>
                <c:pt idx="18">
                  <c:v>61.986451658333344</c:v>
                </c:pt>
                <c:pt idx="19">
                  <c:v>61.451022824999995</c:v>
                </c:pt>
                <c:pt idx="20">
                  <c:v>61.345443558333336</c:v>
                </c:pt>
                <c:pt idx="21">
                  <c:v>61.747969475000012</c:v>
                </c:pt>
                <c:pt idx="22">
                  <c:v>61.943136916666667</c:v>
                </c:pt>
                <c:pt idx="23">
                  <c:v>62.159278233333332</c:v>
                </c:pt>
                <c:pt idx="24">
                  <c:v>62.521539916666676</c:v>
                </c:pt>
                <c:pt idx="25">
                  <c:v>62.344642958333331</c:v>
                </c:pt>
                <c:pt idx="26">
                  <c:v>62.396233891666668</c:v>
                </c:pt>
                <c:pt idx="27">
                  <c:v>62.961544941666666</c:v>
                </c:pt>
                <c:pt idx="28">
                  <c:v>63.230034933333322</c:v>
                </c:pt>
                <c:pt idx="29">
                  <c:v>63.740126750000002</c:v>
                </c:pt>
                <c:pt idx="30">
                  <c:v>63.667490024999999</c:v>
                </c:pt>
                <c:pt idx="31">
                  <c:v>63.152843891666663</c:v>
                </c:pt>
                <c:pt idx="32">
                  <c:v>63.493353308333326</c:v>
                </c:pt>
                <c:pt idx="33">
                  <c:v>63.232292950000009</c:v>
                </c:pt>
                <c:pt idx="34">
                  <c:v>63.490738325000002</c:v>
                </c:pt>
                <c:pt idx="35">
                  <c:v>63.185362908333339</c:v>
                </c:pt>
                <c:pt idx="36">
                  <c:v>63.206125633333336</c:v>
                </c:pt>
                <c:pt idx="37">
                  <c:v>64.296261141666662</c:v>
                </c:pt>
                <c:pt idx="38">
                  <c:v>63.599737358333336</c:v>
                </c:pt>
                <c:pt idx="39">
                  <c:v>64.429146458333335</c:v>
                </c:pt>
                <c:pt idx="40">
                  <c:v>65.216693727272727</c:v>
                </c:pt>
              </c:numCache>
            </c:numRef>
          </c:val>
          <c:smooth val="0"/>
          <c:extLst>
            <c:ext xmlns:c16="http://schemas.microsoft.com/office/drawing/2014/chart" uri="{C3380CC4-5D6E-409C-BE32-E72D297353CC}">
              <c16:uniqueId val="{00000002-D506-4F9C-854F-E32A749EFE5A}"/>
            </c:ext>
          </c:extLst>
        </c:ser>
        <c:ser>
          <c:idx val="3"/>
          <c:order val="3"/>
          <c:tx>
            <c:strRef>
              <c:f>'Chart F.1 Part rate'!$E$2</c:f>
              <c:strCache>
                <c:ptCount val="1"/>
                <c:pt idx="0">
                  <c:v>May-2019</c:v>
                </c:pt>
              </c:strCache>
            </c:strRef>
          </c:tx>
          <c:spPr>
            <a:ln w="28575" cap="rnd">
              <a:noFill/>
              <a:round/>
            </a:ln>
            <a:effectLst/>
          </c:spPr>
          <c:marker>
            <c:symbol val="diamond"/>
            <c:size val="7"/>
            <c:spPr>
              <a:solidFill>
                <a:srgbClr val="00B0F0"/>
              </a:solidFill>
              <a:ln w="9525">
                <a:noFill/>
              </a:ln>
              <a:effectLst/>
            </c:spPr>
          </c:marker>
          <c:cat>
            <c:numRef>
              <c:f>'Chart F.1 Part rate'!$A$3:$A$43</c:f>
              <c:numCache>
                <c:formatCode>General</c:formatCode>
                <c:ptCount val="41"/>
                <c:pt idx="0">
                  <c:v>1979</c:v>
                </c:pt>
                <c:pt idx="1">
                  <c:v>1980</c:v>
                </c:pt>
                <c:pt idx="2">
                  <c:v>1981</c:v>
                </c:pt>
                <c:pt idx="3">
                  <c:v>1982</c:v>
                </c:pt>
                <c:pt idx="4">
                  <c:v>1983</c:v>
                </c:pt>
                <c:pt idx="5">
                  <c:v>1984</c:v>
                </c:pt>
                <c:pt idx="6">
                  <c:v>1985</c:v>
                </c:pt>
                <c:pt idx="7">
                  <c:v>1986</c:v>
                </c:pt>
                <c:pt idx="8">
                  <c:v>1987</c:v>
                </c:pt>
                <c:pt idx="9">
                  <c:v>1988</c:v>
                </c:pt>
                <c:pt idx="10">
                  <c:v>1989</c:v>
                </c:pt>
                <c:pt idx="11">
                  <c:v>1990</c:v>
                </c:pt>
                <c:pt idx="12">
                  <c:v>1991</c:v>
                </c:pt>
                <c:pt idx="13">
                  <c:v>1992</c:v>
                </c:pt>
                <c:pt idx="14">
                  <c:v>1993</c:v>
                </c:pt>
                <c:pt idx="15">
                  <c:v>1994</c:v>
                </c:pt>
                <c:pt idx="16">
                  <c:v>1995</c:v>
                </c:pt>
                <c:pt idx="17">
                  <c:v>1996</c:v>
                </c:pt>
                <c:pt idx="18">
                  <c:v>1997</c:v>
                </c:pt>
                <c:pt idx="19">
                  <c:v>1998</c:v>
                </c:pt>
                <c:pt idx="20">
                  <c:v>1999</c:v>
                </c:pt>
                <c:pt idx="21">
                  <c:v>2000</c:v>
                </c:pt>
                <c:pt idx="22">
                  <c:v>2001</c:v>
                </c:pt>
                <c:pt idx="23">
                  <c:v>2002</c:v>
                </c:pt>
                <c:pt idx="24">
                  <c:v>2003</c:v>
                </c:pt>
                <c:pt idx="25">
                  <c:v>2004</c:v>
                </c:pt>
                <c:pt idx="26">
                  <c:v>2005</c:v>
                </c:pt>
                <c:pt idx="27">
                  <c:v>2006</c:v>
                </c:pt>
                <c:pt idx="28">
                  <c:v>2007</c:v>
                </c:pt>
                <c:pt idx="29">
                  <c:v>2008</c:v>
                </c:pt>
                <c:pt idx="30">
                  <c:v>2009</c:v>
                </c:pt>
                <c:pt idx="31">
                  <c:v>2010</c:v>
                </c:pt>
                <c:pt idx="32">
                  <c:v>2011</c:v>
                </c:pt>
                <c:pt idx="33">
                  <c:v>2012</c:v>
                </c:pt>
                <c:pt idx="34">
                  <c:v>2013</c:v>
                </c:pt>
                <c:pt idx="35">
                  <c:v>2014</c:v>
                </c:pt>
                <c:pt idx="36">
                  <c:v>2015</c:v>
                </c:pt>
                <c:pt idx="37">
                  <c:v>2016</c:v>
                </c:pt>
                <c:pt idx="38">
                  <c:v>2017</c:v>
                </c:pt>
                <c:pt idx="39">
                  <c:v>2018</c:v>
                </c:pt>
                <c:pt idx="40">
                  <c:v>2019</c:v>
                </c:pt>
              </c:numCache>
            </c:numRef>
          </c:cat>
          <c:val>
            <c:numRef>
              <c:f>'Chart F.1 Part rate'!$E$3:$E$43</c:f>
              <c:numCache>
                <c:formatCode>General</c:formatCode>
                <c:ptCount val="41"/>
                <c:pt idx="40" formatCode="0.0">
                  <c:v>66.217811499999996</c:v>
                </c:pt>
              </c:numCache>
            </c:numRef>
          </c:val>
          <c:smooth val="0"/>
          <c:extLst>
            <c:ext xmlns:c16="http://schemas.microsoft.com/office/drawing/2014/chart" uri="{C3380CC4-5D6E-409C-BE32-E72D297353CC}">
              <c16:uniqueId val="{00000003-D506-4F9C-854F-E32A749EFE5A}"/>
            </c:ext>
          </c:extLst>
        </c:ser>
        <c:dLbls>
          <c:showLegendKey val="0"/>
          <c:showVal val="0"/>
          <c:showCatName val="0"/>
          <c:showSerName val="0"/>
          <c:showPercent val="0"/>
          <c:showBubbleSize val="0"/>
        </c:dLbls>
        <c:smooth val="0"/>
        <c:axId val="907466544"/>
        <c:axId val="907464904"/>
      </c:lineChart>
      <c:catAx>
        <c:axId val="907466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907464904"/>
        <c:crosses val="autoZero"/>
        <c:auto val="1"/>
        <c:lblAlgn val="ctr"/>
        <c:lblOffset val="100"/>
        <c:tickLblSkip val="4"/>
        <c:noMultiLvlLbl val="0"/>
      </c:catAx>
      <c:valAx>
        <c:axId val="907464904"/>
        <c:scaling>
          <c:orientation val="minMax"/>
          <c:max val="67"/>
          <c:min val="5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a:t>Per cent</a:t>
                </a:r>
              </a:p>
            </c:rich>
          </c:tx>
          <c:overlay val="0"/>
          <c:spPr>
            <a:noFill/>
            <a:ln>
              <a:noFill/>
            </a:ln>
            <a:effectLst/>
          </c:sp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907466544"/>
        <c:crosses val="autoZero"/>
        <c:crossBetween val="between"/>
      </c:valAx>
    </c:plotArea>
    <c:legend>
      <c:legendPos val="b"/>
      <c:layout>
        <c:manualLayout>
          <c:xMode val="edge"/>
          <c:yMode val="edge"/>
          <c:x val="8.9836284722222229E-2"/>
          <c:y val="0.14744888888888888"/>
          <c:w val="0.69133663194444439"/>
          <c:h val="0.17972277777777776"/>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extLst/>
  </c:chart>
  <c:spPr>
    <a:noFill/>
    <a:ln w="9525" cap="flat" cmpd="sng" algn="ctr">
      <a:noFill/>
      <a:round/>
    </a:ln>
    <a:effectLst/>
  </c:spPr>
  <c:txPr>
    <a:bodyPr/>
    <a:lstStyle/>
    <a:p>
      <a:pPr>
        <a:defRPr sz="700">
          <a:solidFill>
            <a:sysClr val="windowText" lastClr="000000"/>
          </a:solidFill>
          <a:latin typeface="Arial" panose="020B0604020202020204" pitchFamily="34" charset="0"/>
          <a:cs typeface="Arial" panose="020B0604020202020204"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059722222222225E-2"/>
          <c:y val="4.7272222222222215E-2"/>
          <c:w val="0.80306111111111111"/>
          <c:h val="0.86299490740740736"/>
        </c:manualLayout>
      </c:layout>
      <c:barChart>
        <c:barDir val="col"/>
        <c:grouping val="stacked"/>
        <c:varyColors val="0"/>
        <c:ser>
          <c:idx val="1"/>
          <c:order val="1"/>
          <c:tx>
            <c:strRef>
              <c:f>'Chart F.2 Labour force flows'!$A$4</c:f>
              <c:strCache>
                <c:ptCount val="1"/>
                <c:pt idx="0">
                  <c:v>Employed</c:v>
                </c:pt>
              </c:strCache>
            </c:strRef>
          </c:tx>
          <c:spPr>
            <a:solidFill>
              <a:srgbClr val="0070C0"/>
            </a:solidFill>
            <a:ln>
              <a:noFill/>
            </a:ln>
            <a:effectLst/>
          </c:spPr>
          <c:invertIfNegative val="0"/>
          <c:cat>
            <c:strRef>
              <c:f>'Chart F.2 Labour force flows'!$B$2:$K$2</c:f>
              <c:strCache>
                <c:ptCount val="10"/>
                <c:pt idx="0">
                  <c:v>2018-19</c:v>
                </c:pt>
                <c:pt idx="1">
                  <c:v>2019-20</c:v>
                </c:pt>
                <c:pt idx="2">
                  <c:v>2020-21</c:v>
                </c:pt>
                <c:pt idx="3">
                  <c:v>2021-22</c:v>
                </c:pt>
                <c:pt idx="4">
                  <c:v>2022-23</c:v>
                </c:pt>
                <c:pt idx="5">
                  <c:v>2018-19</c:v>
                </c:pt>
                <c:pt idx="6">
                  <c:v>2019-20</c:v>
                </c:pt>
                <c:pt idx="7">
                  <c:v>2020-21</c:v>
                </c:pt>
                <c:pt idx="8">
                  <c:v>2021-22</c:v>
                </c:pt>
                <c:pt idx="9">
                  <c:v>2022-23</c:v>
                </c:pt>
              </c:strCache>
            </c:strRef>
          </c:cat>
          <c:val>
            <c:numRef>
              <c:f>'Chart F.2 Labour force flows'!$B$4:$K$4</c:f>
              <c:numCache>
                <c:formatCode>0.0</c:formatCode>
                <c:ptCount val="10"/>
                <c:pt idx="0">
                  <c:v>0</c:v>
                </c:pt>
                <c:pt idx="1">
                  <c:v>5.6785362171685847</c:v>
                </c:pt>
                <c:pt idx="2">
                  <c:v>13.960582405086825</c:v>
                </c:pt>
                <c:pt idx="3">
                  <c:v>17.785225356384217</c:v>
                </c:pt>
                <c:pt idx="4">
                  <c:v>19.2940760405736</c:v>
                </c:pt>
              </c:numCache>
            </c:numRef>
          </c:val>
          <c:extLst>
            <c:ext xmlns:c16="http://schemas.microsoft.com/office/drawing/2014/chart" uri="{C3380CC4-5D6E-409C-BE32-E72D297353CC}">
              <c16:uniqueId val="{00000000-9E09-4172-8337-5511178CC02D}"/>
            </c:ext>
          </c:extLst>
        </c:ser>
        <c:ser>
          <c:idx val="2"/>
          <c:order val="2"/>
          <c:tx>
            <c:strRef>
              <c:f>'Chart F.2 Labour force flows'!$A$5</c:f>
              <c:strCache>
                <c:ptCount val="1"/>
                <c:pt idx="0">
                  <c:v>Unemployed</c:v>
                </c:pt>
              </c:strCache>
            </c:strRef>
          </c:tx>
          <c:spPr>
            <a:solidFill>
              <a:schemeClr val="tx1">
                <a:lumMod val="75000"/>
                <a:lumOff val="25000"/>
              </a:schemeClr>
            </a:solidFill>
            <a:ln>
              <a:noFill/>
            </a:ln>
            <a:effectLst/>
          </c:spPr>
          <c:invertIfNegative val="0"/>
          <c:cat>
            <c:strRef>
              <c:f>'Chart F.2 Labour force flows'!$B$2:$K$2</c:f>
              <c:strCache>
                <c:ptCount val="10"/>
                <c:pt idx="0">
                  <c:v>2018-19</c:v>
                </c:pt>
                <c:pt idx="1">
                  <c:v>2019-20</c:v>
                </c:pt>
                <c:pt idx="2">
                  <c:v>2020-21</c:v>
                </c:pt>
                <c:pt idx="3">
                  <c:v>2021-22</c:v>
                </c:pt>
                <c:pt idx="4">
                  <c:v>2022-23</c:v>
                </c:pt>
                <c:pt idx="5">
                  <c:v>2018-19</c:v>
                </c:pt>
                <c:pt idx="6">
                  <c:v>2019-20</c:v>
                </c:pt>
                <c:pt idx="7">
                  <c:v>2020-21</c:v>
                </c:pt>
                <c:pt idx="8">
                  <c:v>2021-22</c:v>
                </c:pt>
                <c:pt idx="9">
                  <c:v>2022-23</c:v>
                </c:pt>
              </c:strCache>
            </c:strRef>
          </c:cat>
          <c:val>
            <c:numRef>
              <c:f>'Chart F.2 Labour force flows'!$B$5:$K$5</c:f>
              <c:numCache>
                <c:formatCode>0.0</c:formatCode>
                <c:ptCount val="10"/>
                <c:pt idx="0">
                  <c:v>0</c:v>
                </c:pt>
                <c:pt idx="1">
                  <c:v>15.7607498007022</c:v>
                </c:pt>
                <c:pt idx="2">
                  <c:v>24.99836475523972</c:v>
                </c:pt>
                <c:pt idx="3">
                  <c:v>12.980595929474362</c:v>
                </c:pt>
                <c:pt idx="4">
                  <c:v>4.5071409782473495</c:v>
                </c:pt>
              </c:numCache>
            </c:numRef>
          </c:val>
          <c:extLst>
            <c:ext xmlns:c16="http://schemas.microsoft.com/office/drawing/2014/chart" uri="{C3380CC4-5D6E-409C-BE32-E72D297353CC}">
              <c16:uniqueId val="{00000001-9E09-4172-8337-5511178CC02D}"/>
            </c:ext>
          </c:extLst>
        </c:ser>
        <c:dLbls>
          <c:showLegendKey val="0"/>
          <c:showVal val="0"/>
          <c:showCatName val="0"/>
          <c:showSerName val="0"/>
          <c:showPercent val="0"/>
          <c:showBubbleSize val="0"/>
        </c:dLbls>
        <c:gapWidth val="44"/>
        <c:overlap val="100"/>
        <c:axId val="1030935744"/>
        <c:axId val="1030939352"/>
      </c:barChart>
      <c:barChart>
        <c:barDir val="col"/>
        <c:grouping val="stacked"/>
        <c:varyColors val="0"/>
        <c:ser>
          <c:idx val="3"/>
          <c:order val="3"/>
          <c:tx>
            <c:strRef>
              <c:f>'Chart F.2 Labour force flows'!$A$6</c:f>
              <c:strCache>
                <c:ptCount val="1"/>
                <c:pt idx="0">
                  <c:v>Population +15</c:v>
                </c:pt>
              </c:strCache>
            </c:strRef>
          </c:tx>
          <c:spPr>
            <a:solidFill>
              <a:srgbClr val="002060"/>
            </a:solidFill>
            <a:ln>
              <a:noFill/>
            </a:ln>
            <a:effectLst/>
          </c:spPr>
          <c:invertIfNegative val="0"/>
          <c:cat>
            <c:strRef>
              <c:f>'Chart F.2 Labour force flows'!$B$2:$K$2</c:f>
              <c:strCache>
                <c:ptCount val="10"/>
                <c:pt idx="0">
                  <c:v>2018-19</c:v>
                </c:pt>
                <c:pt idx="1">
                  <c:v>2019-20</c:v>
                </c:pt>
                <c:pt idx="2">
                  <c:v>2020-21</c:v>
                </c:pt>
                <c:pt idx="3">
                  <c:v>2021-22</c:v>
                </c:pt>
                <c:pt idx="4">
                  <c:v>2022-23</c:v>
                </c:pt>
                <c:pt idx="5">
                  <c:v>2018-19</c:v>
                </c:pt>
                <c:pt idx="6">
                  <c:v>2019-20</c:v>
                </c:pt>
                <c:pt idx="7">
                  <c:v>2020-21</c:v>
                </c:pt>
                <c:pt idx="8">
                  <c:v>2021-22</c:v>
                </c:pt>
                <c:pt idx="9">
                  <c:v>2022-23</c:v>
                </c:pt>
              </c:strCache>
            </c:strRef>
          </c:cat>
          <c:val>
            <c:numRef>
              <c:f>'Chart F.2 Labour force flows'!$B$6:$K$6</c:f>
              <c:numCache>
                <c:formatCode>General</c:formatCode>
                <c:ptCount val="10"/>
                <c:pt idx="5" formatCode="0.0">
                  <c:v>0</c:v>
                </c:pt>
                <c:pt idx="6" formatCode="0.0">
                  <c:v>0</c:v>
                </c:pt>
                <c:pt idx="7" formatCode="0.0">
                  <c:v>-6.8689782025048771</c:v>
                </c:pt>
                <c:pt idx="8" formatCode="0.0">
                  <c:v>-20.3452471587525</c:v>
                </c:pt>
                <c:pt idx="9" formatCode="0.0">
                  <c:v>-31.962113463663627</c:v>
                </c:pt>
              </c:numCache>
            </c:numRef>
          </c:val>
          <c:extLst>
            <c:ext xmlns:c16="http://schemas.microsoft.com/office/drawing/2014/chart" uri="{C3380CC4-5D6E-409C-BE32-E72D297353CC}">
              <c16:uniqueId val="{00000002-9E09-4172-8337-5511178CC02D}"/>
            </c:ext>
          </c:extLst>
        </c:ser>
        <c:dLbls>
          <c:showLegendKey val="0"/>
          <c:showVal val="0"/>
          <c:showCatName val="0"/>
          <c:showSerName val="0"/>
          <c:showPercent val="0"/>
          <c:showBubbleSize val="0"/>
        </c:dLbls>
        <c:gapWidth val="44"/>
        <c:overlap val="100"/>
        <c:axId val="1030932792"/>
        <c:axId val="1000658640"/>
      </c:barChart>
      <c:lineChart>
        <c:grouping val="standard"/>
        <c:varyColors val="0"/>
        <c:ser>
          <c:idx val="0"/>
          <c:order val="0"/>
          <c:tx>
            <c:strRef>
              <c:f>'Chart F.2 Labour force flows'!$A$3</c:f>
              <c:strCache>
                <c:ptCount val="1"/>
                <c:pt idx="0">
                  <c:v>Labour force</c:v>
                </c:pt>
              </c:strCache>
            </c:strRef>
          </c:tx>
          <c:spPr>
            <a:ln w="28575" cap="rnd">
              <a:solidFill>
                <a:srgbClr val="92D050"/>
              </a:solidFill>
              <a:round/>
            </a:ln>
            <a:effectLst/>
          </c:spPr>
          <c:marker>
            <c:symbol val="none"/>
          </c:marker>
          <c:cat>
            <c:strRef>
              <c:f>'Chart F.2 Labour force flows'!$B$2:$K$2</c:f>
              <c:strCache>
                <c:ptCount val="10"/>
                <c:pt idx="0">
                  <c:v>2018-19</c:v>
                </c:pt>
                <c:pt idx="1">
                  <c:v>2019-20</c:v>
                </c:pt>
                <c:pt idx="2">
                  <c:v>2020-21</c:v>
                </c:pt>
                <c:pt idx="3">
                  <c:v>2021-22</c:v>
                </c:pt>
                <c:pt idx="4">
                  <c:v>2022-23</c:v>
                </c:pt>
                <c:pt idx="5">
                  <c:v>2018-19</c:v>
                </c:pt>
                <c:pt idx="6">
                  <c:v>2019-20</c:v>
                </c:pt>
                <c:pt idx="7">
                  <c:v>2020-21</c:v>
                </c:pt>
                <c:pt idx="8">
                  <c:v>2021-22</c:v>
                </c:pt>
                <c:pt idx="9">
                  <c:v>2022-23</c:v>
                </c:pt>
              </c:strCache>
            </c:strRef>
          </c:cat>
          <c:val>
            <c:numRef>
              <c:f>'Chart F.2 Labour force flows'!$B$3:$K$3</c:f>
              <c:numCache>
                <c:formatCode>0.0</c:formatCode>
                <c:ptCount val="10"/>
                <c:pt idx="0">
                  <c:v>0</c:v>
                </c:pt>
                <c:pt idx="1">
                  <c:v>21.523525898846856</c:v>
                </c:pt>
                <c:pt idx="2">
                  <c:v>39.097006154993323</c:v>
                </c:pt>
                <c:pt idx="3">
                  <c:v>30.838416091472027</c:v>
                </c:pt>
                <c:pt idx="4">
                  <c:v>23.854681242185507</c:v>
                </c:pt>
              </c:numCache>
            </c:numRef>
          </c:val>
          <c:smooth val="0"/>
          <c:extLst>
            <c:ext xmlns:c16="http://schemas.microsoft.com/office/drawing/2014/chart" uri="{C3380CC4-5D6E-409C-BE32-E72D297353CC}">
              <c16:uniqueId val="{00000003-9E09-4172-8337-5511178CC02D}"/>
            </c:ext>
          </c:extLst>
        </c:ser>
        <c:dLbls>
          <c:showLegendKey val="0"/>
          <c:showVal val="0"/>
          <c:showCatName val="0"/>
          <c:showSerName val="0"/>
          <c:showPercent val="0"/>
          <c:showBubbleSize val="0"/>
        </c:dLbls>
        <c:marker val="1"/>
        <c:smooth val="0"/>
        <c:axId val="1030935744"/>
        <c:axId val="1030939352"/>
      </c:lineChart>
      <c:catAx>
        <c:axId val="1030935744"/>
        <c:scaling>
          <c:orientation val="minMax"/>
        </c:scaling>
        <c:delete val="0"/>
        <c:axPos val="b"/>
        <c:numFmt formatCode="General" sourceLinked="1"/>
        <c:majorTickMark val="cross"/>
        <c:minorTickMark val="none"/>
        <c:tickLblPos val="low"/>
        <c:spPr>
          <a:noFill/>
          <a:ln w="9525" cap="flat" cmpd="sng" algn="ctr">
            <a:solidFill>
              <a:schemeClr val="tx1">
                <a:lumMod val="65000"/>
                <a:lumOff val="3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1030939352"/>
        <c:crosses val="autoZero"/>
        <c:auto val="1"/>
        <c:lblAlgn val="ctr"/>
        <c:lblOffset val="100"/>
        <c:tickLblSkip val="2"/>
        <c:noMultiLvlLbl val="0"/>
      </c:catAx>
      <c:valAx>
        <c:axId val="1030939352"/>
        <c:scaling>
          <c:orientation val="minMax"/>
          <c:min val="-5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a:t>Thousand</a:t>
                </a:r>
              </a:p>
            </c:rich>
          </c:tx>
          <c:overlay val="0"/>
          <c:spPr>
            <a:noFill/>
            <a:ln>
              <a:noFill/>
            </a:ln>
            <a:effectLst/>
          </c:sp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1030935744"/>
        <c:crosses val="autoZero"/>
        <c:crossBetween val="between"/>
        <c:majorUnit val="10"/>
      </c:valAx>
      <c:valAx>
        <c:axId val="1000658640"/>
        <c:scaling>
          <c:orientation val="minMax"/>
          <c:max val="50"/>
          <c:min val="-50"/>
        </c:scaling>
        <c:delete val="0"/>
        <c:axPos val="r"/>
        <c:title>
          <c:tx>
            <c:rich>
              <a:bodyPr/>
              <a:lstStyle/>
              <a:p>
                <a:pPr>
                  <a:defRPr b="0"/>
                </a:pPr>
                <a:r>
                  <a:rPr lang="en-US" b="0"/>
                  <a:t>Thousand</a:t>
                </a:r>
              </a:p>
            </c:rich>
          </c:tx>
          <c:overlay val="0"/>
        </c:title>
        <c:numFmt formatCode="0" sourceLinked="0"/>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1030932792"/>
        <c:crosses val="max"/>
        <c:crossBetween val="between"/>
      </c:valAx>
      <c:catAx>
        <c:axId val="1030932792"/>
        <c:scaling>
          <c:orientation val="minMax"/>
        </c:scaling>
        <c:delete val="1"/>
        <c:axPos val="b"/>
        <c:numFmt formatCode="General" sourceLinked="1"/>
        <c:majorTickMark val="out"/>
        <c:minorTickMark val="none"/>
        <c:tickLblPos val="nextTo"/>
        <c:crossAx val="1000658640"/>
        <c:crosses val="autoZero"/>
        <c:auto val="1"/>
        <c:lblAlgn val="ctr"/>
        <c:lblOffset val="100"/>
        <c:noMultiLvlLbl val="0"/>
      </c:catAx>
    </c:plotArea>
    <c:legend>
      <c:legendPos val="b"/>
      <c:layout>
        <c:manualLayout>
          <c:xMode val="edge"/>
          <c:yMode val="edge"/>
          <c:x val="4.7969618055555545E-2"/>
          <c:y val="0.58933379629629634"/>
          <c:w val="0.46529340277777786"/>
          <c:h val="0.3107125"/>
        </c:manualLayout>
      </c:layou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extLst/>
  </c:chart>
  <c:spPr>
    <a:noFill/>
    <a:ln w="9525" cap="flat" cmpd="sng" algn="ctr">
      <a:noFill/>
      <a:round/>
    </a:ln>
    <a:effectLst/>
  </c:spPr>
  <c:txPr>
    <a:bodyPr/>
    <a:lstStyle/>
    <a:p>
      <a:pPr>
        <a:defRPr sz="600">
          <a:solidFill>
            <a:sysClr val="windowText" lastClr="000000"/>
          </a:solidFill>
          <a:latin typeface="Arial" panose="020B0604020202020204" pitchFamily="34" charset="0"/>
          <a:cs typeface="Arial" panose="020B0604020202020204" pitchFamily="34" charset="0"/>
        </a:defRPr>
      </a:pPr>
      <a:endParaRPr lang="en-US"/>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174742922763732"/>
          <c:y val="2.1361685035021213E-2"/>
          <c:w val="0.83974561968228545"/>
          <c:h val="0.90326663821454578"/>
        </c:manualLayout>
      </c:layout>
      <c:barChart>
        <c:barDir val="col"/>
        <c:grouping val="stacked"/>
        <c:varyColors val="0"/>
        <c:ser>
          <c:idx val="0"/>
          <c:order val="0"/>
          <c:tx>
            <c:strRef>
              <c:f>'Chart F.3 Real Inc &amp; Consum'!$A$6</c:f>
              <c:strCache>
                <c:ptCount val="1"/>
                <c:pt idx="0">
                  <c:v>Real tax</c:v>
                </c:pt>
              </c:strCache>
            </c:strRef>
          </c:tx>
          <c:spPr>
            <a:solidFill>
              <a:schemeClr val="bg1">
                <a:lumMod val="50000"/>
              </a:schemeClr>
            </a:solidFill>
            <a:ln w="28575" cap="rnd">
              <a:noFill/>
              <a:round/>
            </a:ln>
            <a:effectLst/>
          </c:spPr>
          <c:invertIfNegative val="0"/>
          <c:cat>
            <c:strRef>
              <c:f>'Chart F.3 Real Inc &amp; Consum'!$B$3:$F$3</c:f>
              <c:strCache>
                <c:ptCount val="5"/>
                <c:pt idx="0">
                  <c:v>2018-19</c:v>
                </c:pt>
                <c:pt idx="1">
                  <c:v>2019-20</c:v>
                </c:pt>
                <c:pt idx="2">
                  <c:v>2020-21</c:v>
                </c:pt>
                <c:pt idx="3">
                  <c:v>2021-22</c:v>
                </c:pt>
                <c:pt idx="4">
                  <c:v>2022-23</c:v>
                </c:pt>
              </c:strCache>
            </c:strRef>
          </c:cat>
          <c:val>
            <c:numRef>
              <c:f>'Chart F.3 Real Inc &amp; Consum'!$B$6:$F$6</c:f>
              <c:numCache>
                <c:formatCode>0.0</c:formatCode>
                <c:ptCount val="5"/>
                <c:pt idx="0">
                  <c:v>0</c:v>
                </c:pt>
                <c:pt idx="1">
                  <c:v>3.0363769427318131E-3</c:v>
                </c:pt>
                <c:pt idx="2">
                  <c:v>8.5227388336625801E-3</c:v>
                </c:pt>
                <c:pt idx="3">
                  <c:v>1.313651598666965E-2</c:v>
                </c:pt>
                <c:pt idx="4">
                  <c:v>1.6324617922474156E-2</c:v>
                </c:pt>
              </c:numCache>
            </c:numRef>
          </c:val>
          <c:extLst>
            <c:ext xmlns:c16="http://schemas.microsoft.com/office/drawing/2014/chart" uri="{C3380CC4-5D6E-409C-BE32-E72D297353CC}">
              <c16:uniqueId val="{00000000-768F-4524-88F9-8C25706A16D3}"/>
            </c:ext>
          </c:extLst>
        </c:ser>
        <c:ser>
          <c:idx val="1"/>
          <c:order val="1"/>
          <c:tx>
            <c:strRef>
              <c:f>'Chart F.3 Real Inc &amp; Consum'!$A$5</c:f>
              <c:strCache>
                <c:ptCount val="1"/>
                <c:pt idx="0">
                  <c:v>Real non-labour income</c:v>
                </c:pt>
              </c:strCache>
            </c:strRef>
          </c:tx>
          <c:spPr>
            <a:solidFill>
              <a:srgbClr val="0070C0"/>
            </a:solidFill>
            <a:ln>
              <a:noFill/>
            </a:ln>
            <a:effectLst/>
          </c:spPr>
          <c:invertIfNegative val="0"/>
          <c:cat>
            <c:strRef>
              <c:f>'Chart F.3 Real Inc &amp; Consum'!$B$3:$F$3</c:f>
              <c:strCache>
                <c:ptCount val="5"/>
                <c:pt idx="0">
                  <c:v>2018-19</c:v>
                </c:pt>
                <c:pt idx="1">
                  <c:v>2019-20</c:v>
                </c:pt>
                <c:pt idx="2">
                  <c:v>2020-21</c:v>
                </c:pt>
                <c:pt idx="3">
                  <c:v>2021-22</c:v>
                </c:pt>
                <c:pt idx="4">
                  <c:v>2022-23</c:v>
                </c:pt>
              </c:strCache>
            </c:strRef>
          </c:cat>
          <c:val>
            <c:numRef>
              <c:f>'Chart F.3 Real Inc &amp; Consum'!$B$5:$F$5</c:f>
              <c:numCache>
                <c:formatCode>0.0</c:formatCode>
                <c:ptCount val="5"/>
                <c:pt idx="0">
                  <c:v>0</c:v>
                </c:pt>
                <c:pt idx="1">
                  <c:v>9.7155060897894926E-2</c:v>
                </c:pt>
                <c:pt idx="2">
                  <c:v>0.19756530698565589</c:v>
                </c:pt>
                <c:pt idx="3">
                  <c:v>0.18624402590839481</c:v>
                </c:pt>
                <c:pt idx="4">
                  <c:v>0.148239118882739</c:v>
                </c:pt>
              </c:numCache>
            </c:numRef>
          </c:val>
          <c:extLst>
            <c:ext xmlns:c16="http://schemas.microsoft.com/office/drawing/2014/chart" uri="{C3380CC4-5D6E-409C-BE32-E72D297353CC}">
              <c16:uniqueId val="{00000001-768F-4524-88F9-8C25706A16D3}"/>
            </c:ext>
          </c:extLst>
        </c:ser>
        <c:ser>
          <c:idx val="2"/>
          <c:order val="2"/>
          <c:tx>
            <c:strRef>
              <c:f>'Chart F.3 Real Inc &amp; Consum'!$A$4</c:f>
              <c:strCache>
                <c:ptCount val="1"/>
                <c:pt idx="0">
                  <c:v>Real labour income</c:v>
                </c:pt>
              </c:strCache>
            </c:strRef>
          </c:tx>
          <c:spPr>
            <a:solidFill>
              <a:srgbClr val="00B0F0"/>
            </a:solidFill>
            <a:ln>
              <a:noFill/>
            </a:ln>
            <a:effectLst/>
          </c:spPr>
          <c:invertIfNegative val="0"/>
          <c:cat>
            <c:strRef>
              <c:f>'Chart F.3 Real Inc &amp; Consum'!$B$3:$F$3</c:f>
              <c:strCache>
                <c:ptCount val="5"/>
                <c:pt idx="0">
                  <c:v>2018-19</c:v>
                </c:pt>
                <c:pt idx="1">
                  <c:v>2019-20</c:v>
                </c:pt>
                <c:pt idx="2">
                  <c:v>2020-21</c:v>
                </c:pt>
                <c:pt idx="3">
                  <c:v>2021-22</c:v>
                </c:pt>
                <c:pt idx="4">
                  <c:v>2022-23</c:v>
                </c:pt>
              </c:strCache>
            </c:strRef>
          </c:cat>
          <c:val>
            <c:numRef>
              <c:f>'Chart F.3 Real Inc &amp; Consum'!$B$4:$F$4</c:f>
              <c:numCache>
                <c:formatCode>0.0</c:formatCode>
                <c:ptCount val="5"/>
                <c:pt idx="0">
                  <c:v>0</c:v>
                </c:pt>
                <c:pt idx="1">
                  <c:v>-4.2101564945083887E-2</c:v>
                </c:pt>
                <c:pt idx="2">
                  <c:v>-0.10858801161950563</c:v>
                </c:pt>
                <c:pt idx="3">
                  <c:v>-0.13859572935166661</c:v>
                </c:pt>
                <c:pt idx="4">
                  <c:v>-0.13988140004868269</c:v>
                </c:pt>
              </c:numCache>
            </c:numRef>
          </c:val>
          <c:extLst>
            <c:ext xmlns:c16="http://schemas.microsoft.com/office/drawing/2014/chart" uri="{C3380CC4-5D6E-409C-BE32-E72D297353CC}">
              <c16:uniqueId val="{00000002-768F-4524-88F9-8C25706A16D3}"/>
            </c:ext>
          </c:extLst>
        </c:ser>
        <c:dLbls>
          <c:showLegendKey val="0"/>
          <c:showVal val="0"/>
          <c:showCatName val="0"/>
          <c:showSerName val="0"/>
          <c:showPercent val="0"/>
          <c:showBubbleSize val="0"/>
        </c:dLbls>
        <c:gapWidth val="150"/>
        <c:overlap val="100"/>
        <c:axId val="1000672744"/>
        <c:axId val="1000670120"/>
      </c:barChart>
      <c:lineChart>
        <c:grouping val="standard"/>
        <c:varyColors val="0"/>
        <c:ser>
          <c:idx val="3"/>
          <c:order val="3"/>
          <c:tx>
            <c:strRef>
              <c:f>'Chart F.3 Real Inc &amp; Consum'!$A$7</c:f>
              <c:strCache>
                <c:ptCount val="1"/>
                <c:pt idx="0">
                  <c:v>Real household disposable income</c:v>
                </c:pt>
              </c:strCache>
            </c:strRef>
          </c:tx>
          <c:spPr>
            <a:ln w="28575">
              <a:solidFill>
                <a:srgbClr val="002060"/>
              </a:solidFill>
            </a:ln>
            <a:effectLst/>
          </c:spPr>
          <c:marker>
            <c:symbol val="triangle"/>
            <c:size val="4"/>
            <c:spPr>
              <a:noFill/>
              <a:ln w="28575">
                <a:solidFill>
                  <a:srgbClr val="002060"/>
                </a:solidFill>
              </a:ln>
            </c:spPr>
          </c:marker>
          <c:cat>
            <c:strRef>
              <c:f>'Chart F.3 Real Inc &amp; Consum'!$B$3:$F$3</c:f>
              <c:strCache>
                <c:ptCount val="5"/>
                <c:pt idx="0">
                  <c:v>2018-19</c:v>
                </c:pt>
                <c:pt idx="1">
                  <c:v>2019-20</c:v>
                </c:pt>
                <c:pt idx="2">
                  <c:v>2020-21</c:v>
                </c:pt>
                <c:pt idx="3">
                  <c:v>2021-22</c:v>
                </c:pt>
                <c:pt idx="4">
                  <c:v>2022-23</c:v>
                </c:pt>
              </c:strCache>
            </c:strRef>
          </c:cat>
          <c:val>
            <c:numRef>
              <c:f>'Chart F.3 Real Inc &amp; Consum'!$B$7:$F$7</c:f>
              <c:numCache>
                <c:formatCode>0.0</c:formatCode>
                <c:ptCount val="5"/>
                <c:pt idx="0">
                  <c:v>0</c:v>
                </c:pt>
                <c:pt idx="1">
                  <c:v>5.808987289556037E-2</c:v>
                </c:pt>
                <c:pt idx="2">
                  <c:v>9.7500034199806157E-2</c:v>
                </c:pt>
                <c:pt idx="3">
                  <c:v>6.0784812543407479E-2</c:v>
                </c:pt>
                <c:pt idx="4">
                  <c:v>2.4682336756524297E-2</c:v>
                </c:pt>
              </c:numCache>
            </c:numRef>
          </c:val>
          <c:smooth val="0"/>
          <c:extLst>
            <c:ext xmlns:c16="http://schemas.microsoft.com/office/drawing/2014/chart" uri="{C3380CC4-5D6E-409C-BE32-E72D297353CC}">
              <c16:uniqueId val="{00000003-768F-4524-88F9-8C25706A16D3}"/>
            </c:ext>
          </c:extLst>
        </c:ser>
        <c:ser>
          <c:idx val="4"/>
          <c:order val="4"/>
          <c:tx>
            <c:strRef>
              <c:f>'Chart F.3 Real Inc &amp; Consum'!$A$8</c:f>
              <c:strCache>
                <c:ptCount val="1"/>
                <c:pt idx="0">
                  <c:v>Real household consumption</c:v>
                </c:pt>
              </c:strCache>
            </c:strRef>
          </c:tx>
          <c:spPr>
            <a:ln w="28575">
              <a:solidFill>
                <a:srgbClr val="92D050"/>
              </a:solidFill>
            </a:ln>
          </c:spPr>
          <c:marker>
            <c:symbol val="circle"/>
            <c:size val="4"/>
            <c:spPr>
              <a:solidFill>
                <a:srgbClr val="92D050"/>
              </a:solidFill>
              <a:ln w="28575">
                <a:solidFill>
                  <a:srgbClr val="92D050"/>
                </a:solidFill>
              </a:ln>
            </c:spPr>
          </c:marker>
          <c:cat>
            <c:strRef>
              <c:f>'Chart F.3 Real Inc &amp; Consum'!$B$3:$F$3</c:f>
              <c:strCache>
                <c:ptCount val="5"/>
                <c:pt idx="0">
                  <c:v>2018-19</c:v>
                </c:pt>
                <c:pt idx="1">
                  <c:v>2019-20</c:v>
                </c:pt>
                <c:pt idx="2">
                  <c:v>2020-21</c:v>
                </c:pt>
                <c:pt idx="3">
                  <c:v>2021-22</c:v>
                </c:pt>
                <c:pt idx="4">
                  <c:v>2022-23</c:v>
                </c:pt>
              </c:strCache>
            </c:strRef>
          </c:cat>
          <c:val>
            <c:numRef>
              <c:f>'Chart F.3 Real Inc &amp; Consum'!$B$8:$F$8</c:f>
              <c:numCache>
                <c:formatCode>0.0</c:formatCode>
                <c:ptCount val="5"/>
                <c:pt idx="0">
                  <c:v>0</c:v>
                </c:pt>
                <c:pt idx="1">
                  <c:v>6.5465120000000002E-2</c:v>
                </c:pt>
                <c:pt idx="2">
                  <c:v>0.11247600000000001</c:v>
                </c:pt>
                <c:pt idx="3">
                  <c:v>7.1492050000000001E-2</c:v>
                </c:pt>
                <c:pt idx="4">
                  <c:v>2.9931530000000001E-2</c:v>
                </c:pt>
              </c:numCache>
            </c:numRef>
          </c:val>
          <c:smooth val="0"/>
          <c:extLst>
            <c:ext xmlns:c16="http://schemas.microsoft.com/office/drawing/2014/chart" uri="{C3380CC4-5D6E-409C-BE32-E72D297353CC}">
              <c16:uniqueId val="{00000004-768F-4524-88F9-8C25706A16D3}"/>
            </c:ext>
          </c:extLst>
        </c:ser>
        <c:dLbls>
          <c:showLegendKey val="0"/>
          <c:showVal val="0"/>
          <c:showCatName val="0"/>
          <c:showSerName val="0"/>
          <c:showPercent val="0"/>
          <c:showBubbleSize val="0"/>
        </c:dLbls>
        <c:marker val="1"/>
        <c:smooth val="0"/>
        <c:axId val="1000672744"/>
        <c:axId val="1000670120"/>
      </c:lineChart>
      <c:catAx>
        <c:axId val="1000672744"/>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1000670120"/>
        <c:crosses val="autoZero"/>
        <c:auto val="1"/>
        <c:lblAlgn val="ctr"/>
        <c:lblOffset val="100"/>
        <c:noMultiLvlLbl val="0"/>
      </c:catAx>
      <c:valAx>
        <c:axId val="1000670120"/>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b="0"/>
                </a:pPr>
                <a:r>
                  <a:rPr lang="en-US" b="0"/>
                  <a:t>Percentage point, deviation</a:t>
                </a:r>
              </a:p>
            </c:rich>
          </c:tx>
          <c:layout>
            <c:manualLayout>
              <c:xMode val="edge"/>
              <c:yMode val="edge"/>
              <c:x val="0"/>
              <c:y val="0.23972918234483037"/>
            </c:manualLayout>
          </c:layout>
          <c:overlay val="0"/>
        </c:title>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1000672744"/>
        <c:crosses val="autoZero"/>
        <c:crossBetween val="between"/>
      </c:valAx>
    </c:plotArea>
    <c:legend>
      <c:legendPos val="b"/>
      <c:layout>
        <c:manualLayout>
          <c:xMode val="edge"/>
          <c:yMode val="edge"/>
          <c:x val="5.894166666666667E-2"/>
          <c:y val="0.64140505050505059"/>
          <c:w val="0.60352513354096704"/>
          <c:h val="0.26089122084703636"/>
        </c:manualLayout>
      </c:layou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extLst/>
  </c:chart>
  <c:spPr>
    <a:noFill/>
    <a:ln w="9525" cap="flat" cmpd="sng" algn="ctr">
      <a:noFill/>
      <a:round/>
    </a:ln>
    <a:effectLst/>
  </c:spPr>
  <c:txPr>
    <a:bodyPr/>
    <a:lstStyle/>
    <a:p>
      <a:pPr>
        <a:defRPr sz="600">
          <a:solidFill>
            <a:sysClr val="windowText" lastClr="000000"/>
          </a:solidFill>
          <a:latin typeface="Arial" panose="020B0604020202020204" pitchFamily="34" charset="0"/>
          <a:cs typeface="Arial" panose="020B0604020202020204"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073784722222222E-2"/>
          <c:y val="3.1690509513990536E-2"/>
          <c:w val="0.91938402777777772"/>
          <c:h val="0.82754294033640996"/>
        </c:manualLayout>
      </c:layout>
      <c:lineChart>
        <c:grouping val="standard"/>
        <c:varyColors val="0"/>
        <c:ser>
          <c:idx val="0"/>
          <c:order val="0"/>
          <c:tx>
            <c:strRef>
              <c:f>'Charts data'!$B$3</c:f>
              <c:strCache>
                <c:ptCount val="1"/>
                <c:pt idx="0">
                  <c:v>1982-83</c:v>
                </c:pt>
              </c:strCache>
            </c:strRef>
          </c:tx>
          <c:spPr>
            <a:ln w="25400" cap="rnd">
              <a:solidFill>
                <a:schemeClr val="accent1">
                  <a:lumMod val="60000"/>
                  <a:lumOff val="40000"/>
                </a:schemeClr>
              </a:solidFill>
              <a:round/>
            </a:ln>
            <a:effectLst/>
          </c:spPr>
          <c:marker>
            <c:symbol val="none"/>
          </c:marker>
          <c:dLbls>
            <c:dLbl>
              <c:idx val="11"/>
              <c:layout>
                <c:manualLayout>
                  <c:x val="-3.4662045060658619E-2"/>
                  <c:y val="1.63599392749970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995-4D70-9904-8ED4A64570BD}"/>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'Charts data'!$A$4:$A$42</c:f>
              <c:numCache>
                <c:formatCode>General</c:formatCode>
                <c:ptCount val="3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numCache>
            </c:numRef>
          </c:cat>
          <c:val>
            <c:numRef>
              <c:f>'Charts data'!$B$4:$B$42</c:f>
              <c:numCache>
                <c:formatCode>0.0</c:formatCode>
                <c:ptCount val="39"/>
                <c:pt idx="0">
                  <c:v>0</c:v>
                </c:pt>
                <c:pt idx="1">
                  <c:v>-0.39809763414652366</c:v>
                </c:pt>
                <c:pt idx="2">
                  <c:v>-0.79256971684958444</c:v>
                </c:pt>
                <c:pt idx="3">
                  <c:v>-2.2319416831627308</c:v>
                </c:pt>
                <c:pt idx="4">
                  <c:v>-1.744038116144381</c:v>
                </c:pt>
                <c:pt idx="5">
                  <c:v>-2.022677870006433</c:v>
                </c:pt>
                <c:pt idx="6">
                  <c:v>-1.2193993099527773</c:v>
                </c:pt>
                <c:pt idx="7">
                  <c:v>-2.6848937031589628</c:v>
                </c:pt>
                <c:pt idx="8">
                  <c:v>-2.4211450250453623</c:v>
                </c:pt>
                <c:pt idx="9">
                  <c:v>-4.4411182674946303</c:v>
                </c:pt>
                <c:pt idx="10">
                  <c:v>-4.6161012275426003</c:v>
                </c:pt>
                <c:pt idx="11">
                  <c:v>-6.2506931043203622</c:v>
                </c:pt>
              </c:numCache>
            </c:numRef>
          </c:val>
          <c:smooth val="0"/>
          <c:extLst>
            <c:ext xmlns:c16="http://schemas.microsoft.com/office/drawing/2014/chart" uri="{C3380CC4-5D6E-409C-BE32-E72D297353CC}">
              <c16:uniqueId val="{00000001-3995-4D70-9904-8ED4A64570BD}"/>
            </c:ext>
          </c:extLst>
        </c:ser>
        <c:ser>
          <c:idx val="1"/>
          <c:order val="1"/>
          <c:tx>
            <c:strRef>
              <c:f>'Charts data'!$C$3</c:f>
              <c:strCache>
                <c:ptCount val="1"/>
                <c:pt idx="0">
                  <c:v>1989-90</c:v>
                </c:pt>
              </c:strCache>
            </c:strRef>
          </c:tx>
          <c:spPr>
            <a:ln w="25400" cap="rnd">
              <a:solidFill>
                <a:schemeClr val="accent3">
                  <a:lumMod val="40000"/>
                  <a:lumOff val="60000"/>
                </a:schemeClr>
              </a:solidFill>
              <a:round/>
            </a:ln>
            <a:effectLst/>
          </c:spPr>
          <c:marker>
            <c:symbol val="none"/>
          </c:marker>
          <c:dLbls>
            <c:dLbl>
              <c:idx val="14"/>
              <c:layout>
                <c:manualLayout>
                  <c:x val="-3.8055969608530658E-2"/>
                  <c:y val="4.084786324786324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995-4D70-9904-8ED4A64570BD}"/>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'Charts data'!$A$4:$A$42</c:f>
              <c:numCache>
                <c:formatCode>General</c:formatCode>
                <c:ptCount val="3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numCache>
            </c:numRef>
          </c:cat>
          <c:val>
            <c:numRef>
              <c:f>'Charts data'!$C$4:$C$42</c:f>
              <c:numCache>
                <c:formatCode>0.0</c:formatCode>
                <c:ptCount val="39"/>
                <c:pt idx="0">
                  <c:v>0</c:v>
                </c:pt>
                <c:pt idx="1">
                  <c:v>-1.323220269061423</c:v>
                </c:pt>
                <c:pt idx="2">
                  <c:v>-2.0440549022344783</c:v>
                </c:pt>
                <c:pt idx="3">
                  <c:v>-2.1156538276311636</c:v>
                </c:pt>
                <c:pt idx="4">
                  <c:v>-1.6028287793783562</c:v>
                </c:pt>
                <c:pt idx="5">
                  <c:v>-2.5883563703547026</c:v>
                </c:pt>
                <c:pt idx="6">
                  <c:v>-3.1107368189999391</c:v>
                </c:pt>
                <c:pt idx="7">
                  <c:v>-3.4541581669815997</c:v>
                </c:pt>
                <c:pt idx="8">
                  <c:v>-4.1989252478404637</c:v>
                </c:pt>
                <c:pt idx="9">
                  <c:v>-2.5576927983637887</c:v>
                </c:pt>
                <c:pt idx="10">
                  <c:v>-1.5515832492207551</c:v>
                </c:pt>
                <c:pt idx="11">
                  <c:v>-2.1702166268269139</c:v>
                </c:pt>
                <c:pt idx="12">
                  <c:v>-4.1551175860643639</c:v>
                </c:pt>
                <c:pt idx="13">
                  <c:v>-5.5667564280616659</c:v>
                </c:pt>
                <c:pt idx="14">
                  <c:v>-6.1266031876528046</c:v>
                </c:pt>
              </c:numCache>
            </c:numRef>
          </c:val>
          <c:smooth val="0"/>
          <c:extLst>
            <c:ext xmlns:c16="http://schemas.microsoft.com/office/drawing/2014/chart" uri="{C3380CC4-5D6E-409C-BE32-E72D297353CC}">
              <c16:uniqueId val="{00000003-3995-4D70-9904-8ED4A64570BD}"/>
            </c:ext>
          </c:extLst>
        </c:ser>
        <c:ser>
          <c:idx val="2"/>
          <c:order val="2"/>
          <c:tx>
            <c:strRef>
              <c:f>'Charts data'!$D$3</c:f>
              <c:strCache>
                <c:ptCount val="1"/>
                <c:pt idx="0">
                  <c:v>1994-95</c:v>
                </c:pt>
              </c:strCache>
            </c:strRef>
          </c:tx>
          <c:spPr>
            <a:ln w="25400" cap="rnd">
              <a:solidFill>
                <a:schemeClr val="tx1"/>
              </a:solidFill>
              <a:round/>
            </a:ln>
            <a:effectLst/>
          </c:spPr>
          <c:marker>
            <c:symbol val="none"/>
          </c:marker>
          <c:dLbls>
            <c:dLbl>
              <c:idx val="3"/>
              <c:layout>
                <c:manualLayout>
                  <c:x val="-1.7868720103482102E-2"/>
                  <c:y val="-7.752698951443183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995-4D70-9904-8ED4A64570BD}"/>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'Charts data'!$A$4:$A$42</c:f>
              <c:numCache>
                <c:formatCode>General</c:formatCode>
                <c:ptCount val="3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numCache>
            </c:numRef>
          </c:cat>
          <c:val>
            <c:numRef>
              <c:f>'Charts data'!$D$4:$D$42</c:f>
              <c:numCache>
                <c:formatCode>0.0</c:formatCode>
                <c:ptCount val="39"/>
                <c:pt idx="0">
                  <c:v>0</c:v>
                </c:pt>
                <c:pt idx="1">
                  <c:v>-6.4112269972255831E-2</c:v>
                </c:pt>
                <c:pt idx="2">
                  <c:v>-0.3037158817481469</c:v>
                </c:pt>
                <c:pt idx="3">
                  <c:v>-1.3628921204223587</c:v>
                </c:pt>
              </c:numCache>
            </c:numRef>
          </c:val>
          <c:smooth val="0"/>
          <c:extLst>
            <c:ext xmlns:c16="http://schemas.microsoft.com/office/drawing/2014/chart" uri="{C3380CC4-5D6E-409C-BE32-E72D297353CC}">
              <c16:uniqueId val="{00000005-3995-4D70-9904-8ED4A64570BD}"/>
            </c:ext>
          </c:extLst>
        </c:ser>
        <c:ser>
          <c:idx val="3"/>
          <c:order val="3"/>
          <c:tx>
            <c:strRef>
              <c:f>'Charts data'!$E$3</c:f>
              <c:strCache>
                <c:ptCount val="1"/>
                <c:pt idx="0">
                  <c:v>2004-06</c:v>
                </c:pt>
              </c:strCache>
            </c:strRef>
          </c:tx>
          <c:spPr>
            <a:ln w="25400" cap="rnd">
              <a:solidFill>
                <a:schemeClr val="bg1">
                  <a:lumMod val="50000"/>
                </a:schemeClr>
              </a:solidFill>
              <a:round/>
            </a:ln>
            <a:effectLst/>
          </c:spPr>
          <c:marker>
            <c:symbol val="none"/>
          </c:marker>
          <c:dLbls>
            <c:dLbl>
              <c:idx val="35"/>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995-4D70-9904-8ED4A64570BD}"/>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'Charts data'!$A$4:$A$42</c:f>
              <c:numCache>
                <c:formatCode>General</c:formatCode>
                <c:ptCount val="3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numCache>
            </c:numRef>
          </c:cat>
          <c:val>
            <c:numRef>
              <c:f>'Charts data'!$E$4:$E$42</c:f>
              <c:numCache>
                <c:formatCode>0.0</c:formatCode>
                <c:ptCount val="39"/>
                <c:pt idx="0">
                  <c:v>0</c:v>
                </c:pt>
                <c:pt idx="1">
                  <c:v>-0.20608575001340057</c:v>
                </c:pt>
                <c:pt idx="2">
                  <c:v>-1.9486226206953461</c:v>
                </c:pt>
                <c:pt idx="3">
                  <c:v>-3.0155127315614152</c:v>
                </c:pt>
                <c:pt idx="4">
                  <c:v>-3.7224252518413863</c:v>
                </c:pt>
                <c:pt idx="5">
                  <c:v>-3.3994404316982525</c:v>
                </c:pt>
                <c:pt idx="6">
                  <c:v>-4.1387345800592783</c:v>
                </c:pt>
                <c:pt idx="7">
                  <c:v>-5.231497209550156</c:v>
                </c:pt>
                <c:pt idx="8">
                  <c:v>-4.884363925984843</c:v>
                </c:pt>
                <c:pt idx="9">
                  <c:v>-4.5258269454352131</c:v>
                </c:pt>
                <c:pt idx="10">
                  <c:v>-4.283027254785253</c:v>
                </c:pt>
                <c:pt idx="11">
                  <c:v>-4.5363159027054536</c:v>
                </c:pt>
                <c:pt idx="12">
                  <c:v>-5.3533786353241624</c:v>
                </c:pt>
                <c:pt idx="13">
                  <c:v>-5.6211892486661839</c:v>
                </c:pt>
                <c:pt idx="14">
                  <c:v>-6.144137205324256</c:v>
                </c:pt>
                <c:pt idx="15">
                  <c:v>-6.6523947883850525</c:v>
                </c:pt>
                <c:pt idx="16">
                  <c:v>-7.0492578733176572</c:v>
                </c:pt>
                <c:pt idx="17">
                  <c:v>-7.5436797681592793</c:v>
                </c:pt>
                <c:pt idx="18">
                  <c:v>-7.8791320750336098</c:v>
                </c:pt>
                <c:pt idx="19">
                  <c:v>-7.887988747197241</c:v>
                </c:pt>
                <c:pt idx="20">
                  <c:v>-7.9943968720136382</c:v>
                </c:pt>
                <c:pt idx="21">
                  <c:v>-7.9172101046257666</c:v>
                </c:pt>
                <c:pt idx="22">
                  <c:v>-7.9764607724769405</c:v>
                </c:pt>
                <c:pt idx="23">
                  <c:v>-8.3957198322119808</c:v>
                </c:pt>
                <c:pt idx="24">
                  <c:v>-8.4472030705072427</c:v>
                </c:pt>
                <c:pt idx="25">
                  <c:v>-8.2233311194688952</c:v>
                </c:pt>
                <c:pt idx="26">
                  <c:v>-7.8852763726379891</c:v>
                </c:pt>
                <c:pt idx="27">
                  <c:v>-7.347731298668009</c:v>
                </c:pt>
                <c:pt idx="28">
                  <c:v>-7.1134979345496987</c:v>
                </c:pt>
                <c:pt idx="29">
                  <c:v>-7.5643301900060465</c:v>
                </c:pt>
                <c:pt idx="30">
                  <c:v>-7.785139760834781</c:v>
                </c:pt>
                <c:pt idx="31">
                  <c:v>-8.2739880822545899</c:v>
                </c:pt>
                <c:pt idx="32">
                  <c:v>-8.0900336513924742</c:v>
                </c:pt>
                <c:pt idx="33">
                  <c:v>-8.4496726435438347</c:v>
                </c:pt>
                <c:pt idx="34">
                  <c:v>-8.3704066202990504</c:v>
                </c:pt>
                <c:pt idx="35">
                  <c:v>-8.5432410112276358</c:v>
                </c:pt>
              </c:numCache>
            </c:numRef>
          </c:val>
          <c:smooth val="0"/>
          <c:extLst>
            <c:ext xmlns:c16="http://schemas.microsoft.com/office/drawing/2014/chart" uri="{C3380CC4-5D6E-409C-BE32-E72D297353CC}">
              <c16:uniqueId val="{00000007-3995-4D70-9904-8ED4A64570BD}"/>
            </c:ext>
          </c:extLst>
        </c:ser>
        <c:ser>
          <c:idx val="4"/>
          <c:order val="4"/>
          <c:tx>
            <c:strRef>
              <c:f>'Charts data'!$F$3</c:f>
              <c:strCache>
                <c:ptCount val="1"/>
                <c:pt idx="0">
                  <c:v>2008</c:v>
                </c:pt>
              </c:strCache>
            </c:strRef>
          </c:tx>
          <c:spPr>
            <a:ln w="25400" cap="rnd">
              <a:solidFill>
                <a:srgbClr val="00B0F0"/>
              </a:solidFill>
              <a:round/>
            </a:ln>
            <a:effectLst/>
          </c:spPr>
          <c:marker>
            <c:symbol val="none"/>
          </c:marker>
          <c:dLbls>
            <c:dLbl>
              <c:idx val="9"/>
              <c:layout>
                <c:manualLayout>
                  <c:x val="-2.3108030040439053E-2"/>
                  <c:y val="-2.72665654583284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995-4D70-9904-8ED4A64570BD}"/>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'Charts data'!$A$4:$A$42</c:f>
              <c:numCache>
                <c:formatCode>General</c:formatCode>
                <c:ptCount val="3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numCache>
            </c:numRef>
          </c:cat>
          <c:val>
            <c:numRef>
              <c:f>'Charts data'!$F$4:$F$42</c:f>
              <c:numCache>
                <c:formatCode>0.0</c:formatCode>
                <c:ptCount val="39"/>
                <c:pt idx="0">
                  <c:v>0</c:v>
                </c:pt>
                <c:pt idx="1">
                  <c:v>-0.69123777993608826</c:v>
                </c:pt>
                <c:pt idx="2">
                  <c:v>-1.2438245590008847</c:v>
                </c:pt>
                <c:pt idx="3">
                  <c:v>-2.194751863977686</c:v>
                </c:pt>
                <c:pt idx="4">
                  <c:v>-2.6363817038343171</c:v>
                </c:pt>
                <c:pt idx="5">
                  <c:v>-3.346955473277049</c:v>
                </c:pt>
                <c:pt idx="6">
                  <c:v>-3.6669611195721501</c:v>
                </c:pt>
                <c:pt idx="7">
                  <c:v>-3.8008124267732768</c:v>
                </c:pt>
                <c:pt idx="8">
                  <c:v>-4.0041200643943142</c:v>
                </c:pt>
                <c:pt idx="9">
                  <c:v>-4.0775529887236104</c:v>
                </c:pt>
              </c:numCache>
            </c:numRef>
          </c:val>
          <c:smooth val="0"/>
          <c:extLst>
            <c:ext xmlns:c16="http://schemas.microsoft.com/office/drawing/2014/chart" uri="{C3380CC4-5D6E-409C-BE32-E72D297353CC}">
              <c16:uniqueId val="{00000009-3995-4D70-9904-8ED4A64570BD}"/>
            </c:ext>
          </c:extLst>
        </c:ser>
        <c:ser>
          <c:idx val="5"/>
          <c:order val="5"/>
          <c:tx>
            <c:strRef>
              <c:f>'Charts data'!$G$3</c:f>
              <c:strCache>
                <c:ptCount val="1"/>
                <c:pt idx="0">
                  <c:v>2010-11</c:v>
                </c:pt>
              </c:strCache>
            </c:strRef>
          </c:tx>
          <c:spPr>
            <a:ln w="25400" cap="rnd">
              <a:solidFill>
                <a:srgbClr val="92D050"/>
              </a:solidFill>
              <a:round/>
            </a:ln>
            <a:effectLst/>
          </c:spPr>
          <c:marker>
            <c:symbol val="none"/>
          </c:marker>
          <c:dLbls>
            <c:dLbl>
              <c:idx val="12"/>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995-4D70-9904-8ED4A64570BD}"/>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'Charts data'!$A$4:$A$42</c:f>
              <c:numCache>
                <c:formatCode>General</c:formatCode>
                <c:ptCount val="3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numCache>
            </c:numRef>
          </c:cat>
          <c:val>
            <c:numRef>
              <c:f>'Charts data'!$G$4:$G$42</c:f>
              <c:numCache>
                <c:formatCode>0.0</c:formatCode>
                <c:ptCount val="39"/>
                <c:pt idx="0">
                  <c:v>0</c:v>
                </c:pt>
                <c:pt idx="1">
                  <c:v>-0.20379931058926104</c:v>
                </c:pt>
                <c:pt idx="2">
                  <c:v>-0.46961122108470477</c:v>
                </c:pt>
                <c:pt idx="3">
                  <c:v>-0.39610294239659538</c:v>
                </c:pt>
                <c:pt idx="4">
                  <c:v>-0.33601470116238374</c:v>
                </c:pt>
                <c:pt idx="5">
                  <c:v>-0.33127584621200867</c:v>
                </c:pt>
                <c:pt idx="6">
                  <c:v>-0.46050972088436026</c:v>
                </c:pt>
                <c:pt idx="7">
                  <c:v>-0.13737383403969261</c:v>
                </c:pt>
                <c:pt idx="8">
                  <c:v>-0.61707207760892402</c:v>
                </c:pt>
                <c:pt idx="9">
                  <c:v>-0.22291650008533281</c:v>
                </c:pt>
                <c:pt idx="10">
                  <c:v>-0.54765271023210005</c:v>
                </c:pt>
                <c:pt idx="11">
                  <c:v>-0.72542644642862797</c:v>
                </c:pt>
                <c:pt idx="12">
                  <c:v>-1.0148627965878489</c:v>
                </c:pt>
              </c:numCache>
            </c:numRef>
          </c:val>
          <c:smooth val="0"/>
          <c:extLst>
            <c:ext xmlns:c16="http://schemas.microsoft.com/office/drawing/2014/chart" uri="{C3380CC4-5D6E-409C-BE32-E72D297353CC}">
              <c16:uniqueId val="{0000000B-3995-4D70-9904-8ED4A64570BD}"/>
            </c:ext>
          </c:extLst>
        </c:ser>
        <c:ser>
          <c:idx val="6"/>
          <c:order val="6"/>
          <c:tx>
            <c:strRef>
              <c:f>'Charts data'!$H$3</c:f>
              <c:strCache>
                <c:ptCount val="1"/>
                <c:pt idx="0">
                  <c:v>2015-16</c:v>
                </c:pt>
              </c:strCache>
            </c:strRef>
          </c:tx>
          <c:spPr>
            <a:ln w="28575" cap="rnd">
              <a:solidFill>
                <a:srgbClr val="0070C0"/>
              </a:solidFill>
              <a:round/>
            </a:ln>
            <a:effectLst/>
          </c:spPr>
          <c:marker>
            <c:symbol val="none"/>
          </c:marker>
          <c:dLbls>
            <c:dLbl>
              <c:idx val="4"/>
              <c:layout>
                <c:manualLayout>
                  <c:x val="9.2432120161756205E-3"/>
                  <c:y val="-1.09066261833313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3995-4D70-9904-8ED4A64570BD}"/>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'Charts data'!$A$4:$A$42</c:f>
              <c:numCache>
                <c:formatCode>General</c:formatCode>
                <c:ptCount val="3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numCache>
            </c:numRef>
          </c:cat>
          <c:val>
            <c:numRef>
              <c:f>'Charts data'!$H$4:$H$42</c:f>
              <c:numCache>
                <c:formatCode>0.0</c:formatCode>
                <c:ptCount val="39"/>
                <c:pt idx="0">
                  <c:v>0</c:v>
                </c:pt>
                <c:pt idx="1">
                  <c:v>-0.12050555324985623</c:v>
                </c:pt>
                <c:pt idx="2">
                  <c:v>-1.0942051451301467</c:v>
                </c:pt>
                <c:pt idx="3">
                  <c:v>-1.9021373395736845</c:v>
                </c:pt>
                <c:pt idx="4">
                  <c:v>-2.4051245406176349</c:v>
                </c:pt>
              </c:numCache>
            </c:numRef>
          </c:val>
          <c:smooth val="0"/>
          <c:extLst>
            <c:ext xmlns:c16="http://schemas.microsoft.com/office/drawing/2014/chart" uri="{C3380CC4-5D6E-409C-BE32-E72D297353CC}">
              <c16:uniqueId val="{0000000D-3995-4D70-9904-8ED4A64570BD}"/>
            </c:ext>
          </c:extLst>
        </c:ser>
        <c:ser>
          <c:idx val="7"/>
          <c:order val="7"/>
          <c:tx>
            <c:strRef>
              <c:f>'Charts data'!$I$3</c:f>
              <c:strCache>
                <c:ptCount val="1"/>
                <c:pt idx="0">
                  <c:v>Current</c:v>
                </c:pt>
              </c:strCache>
            </c:strRef>
          </c:tx>
          <c:spPr>
            <a:ln w="28575" cap="rnd">
              <a:solidFill>
                <a:srgbClr val="002060"/>
              </a:solidFill>
              <a:round/>
            </a:ln>
            <a:effectLst/>
          </c:spPr>
          <c:marker>
            <c:symbol val="none"/>
          </c:marker>
          <c:dPt>
            <c:idx val="10"/>
            <c:marker>
              <c:symbol val="none"/>
            </c:marker>
            <c:bubble3D val="0"/>
            <c:extLst>
              <c:ext xmlns:c16="http://schemas.microsoft.com/office/drawing/2014/chart" uri="{C3380CC4-5D6E-409C-BE32-E72D297353CC}">
                <c16:uniqueId val="{0000000E-3995-4D70-9904-8ED4A64570BD}"/>
              </c:ext>
            </c:extLst>
          </c:dPt>
          <c:dPt>
            <c:idx val="16"/>
            <c:marker>
              <c:symbol val="none"/>
            </c:marker>
            <c:bubble3D val="0"/>
            <c:spPr>
              <a:ln w="31750" cap="rnd">
                <a:solidFill>
                  <a:srgbClr val="002060"/>
                </a:solidFill>
                <a:round/>
              </a:ln>
              <a:effectLst/>
            </c:spPr>
            <c:extLst>
              <c:ext xmlns:c16="http://schemas.microsoft.com/office/drawing/2014/chart" uri="{C3380CC4-5D6E-409C-BE32-E72D297353CC}">
                <c16:uniqueId val="{00000010-3995-4D70-9904-8ED4A64570BD}"/>
              </c:ext>
            </c:extLst>
          </c:dPt>
          <c:dLbls>
            <c:dLbl>
              <c:idx val="23"/>
              <c:layout>
                <c:manualLayout>
                  <c:x val="-4.4101433296582946E-3"/>
                  <c:y val="1.92431045542014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FCE-4E08-BA1C-8713765A550B}"/>
                </c:ext>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'Charts data'!$A$4:$A$42</c:f>
              <c:numCache>
                <c:formatCode>General</c:formatCode>
                <c:ptCount val="3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numCache>
            </c:numRef>
          </c:cat>
          <c:val>
            <c:numRef>
              <c:f>'Charts data'!$I$4:$I$42</c:f>
              <c:numCache>
                <c:formatCode>0.0</c:formatCode>
                <c:ptCount val="39"/>
                <c:pt idx="0">
                  <c:v>0</c:v>
                </c:pt>
                <c:pt idx="1">
                  <c:v>-5.9466518841901461E-2</c:v>
                </c:pt>
                <c:pt idx="2">
                  <c:v>-0.47295669979129684</c:v>
                </c:pt>
                <c:pt idx="3">
                  <c:v>-0.66699456537644153</c:v>
                </c:pt>
                <c:pt idx="4">
                  <c:v>-0.59822122461680749</c:v>
                </c:pt>
                <c:pt idx="5">
                  <c:v>-0.5932124763555322</c:v>
                </c:pt>
                <c:pt idx="6">
                  <c:v>-0.86121269690799807</c:v>
                </c:pt>
                <c:pt idx="7">
                  <c:v>-1.1568030549472326</c:v>
                </c:pt>
                <c:pt idx="8">
                  <c:v>-1.0522851614169468</c:v>
                </c:pt>
                <c:pt idx="9">
                  <c:v>-1.8910160779314396</c:v>
                </c:pt>
                <c:pt idx="10">
                  <c:v>-2.711301884919493</c:v>
                </c:pt>
                <c:pt idx="11">
                  <c:v>-3.372155189971366</c:v>
                </c:pt>
                <c:pt idx="12">
                  <c:v>-4.4397359400663703</c:v>
                </c:pt>
                <c:pt idx="13">
                  <c:v>-4.932068022353036</c:v>
                </c:pt>
                <c:pt idx="14">
                  <c:v>-5.3091539929445872</c:v>
                </c:pt>
                <c:pt idx="15">
                  <c:v>-6.128426420407223</c:v>
                </c:pt>
                <c:pt idx="16">
                  <c:v>-7.2889296543185367</c:v>
                </c:pt>
                <c:pt idx="17">
                  <c:v>-8.5607576063108581</c:v>
                </c:pt>
                <c:pt idx="18">
                  <c:v>-9.1938465010026675</c:v>
                </c:pt>
                <c:pt idx="19">
                  <c:v>-9.9453038997800718</c:v>
                </c:pt>
                <c:pt idx="20">
                  <c:v>-11.594117172155308</c:v>
                </c:pt>
                <c:pt idx="21">
                  <c:v>-13.042021578013191</c:v>
                </c:pt>
                <c:pt idx="22">
                  <c:v>-13.277590614757017</c:v>
                </c:pt>
                <c:pt idx="23">
                  <c:v>-14.07878060347943</c:v>
                </c:pt>
              </c:numCache>
            </c:numRef>
          </c:val>
          <c:smooth val="0"/>
          <c:extLst>
            <c:ext xmlns:c16="http://schemas.microsoft.com/office/drawing/2014/chart" uri="{C3380CC4-5D6E-409C-BE32-E72D297353CC}">
              <c16:uniqueId val="{00000012-3995-4D70-9904-8ED4A64570BD}"/>
            </c:ext>
          </c:extLst>
        </c:ser>
        <c:dLbls>
          <c:showLegendKey val="0"/>
          <c:showVal val="0"/>
          <c:showCatName val="0"/>
          <c:showSerName val="0"/>
          <c:showPercent val="0"/>
          <c:showBubbleSize val="0"/>
        </c:dLbls>
        <c:smooth val="0"/>
        <c:axId val="801244496"/>
        <c:axId val="801248104"/>
      </c:lineChart>
      <c:catAx>
        <c:axId val="801244496"/>
        <c:scaling>
          <c:orientation val="minMax"/>
        </c:scaling>
        <c:delete val="0"/>
        <c:axPos val="b"/>
        <c:title>
          <c:tx>
            <c:rich>
              <a:bodyPr rot="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AU"/>
                  <a:t>Months since peak</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801248104"/>
        <c:crosses val="autoZero"/>
        <c:auto val="1"/>
        <c:lblAlgn val="ctr"/>
        <c:lblOffset val="100"/>
        <c:tickLblSkip val="6"/>
        <c:tickMarkSkip val="6"/>
        <c:noMultiLvlLbl val="0"/>
      </c:catAx>
      <c:valAx>
        <c:axId val="8012481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AU"/>
                  <a:t>Per cent</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801244496"/>
        <c:crosses val="autoZero"/>
        <c:crossBetween val="between"/>
      </c:valAx>
      <c:spPr>
        <a:solidFill>
          <a:schemeClr val="bg1"/>
        </a:solidFill>
        <a:ln>
          <a:noFill/>
        </a:ln>
        <a:effectLst/>
      </c:spPr>
    </c:plotArea>
    <c:legend>
      <c:legendPos val="b"/>
      <c:layout>
        <c:manualLayout>
          <c:xMode val="edge"/>
          <c:yMode val="edge"/>
          <c:x val="0.52379583669210139"/>
          <c:y val="0.15892129920102238"/>
          <c:w val="0.38960738642339421"/>
          <c:h val="0.25093036554788195"/>
        </c:manualLayout>
      </c:layou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noFill/>
    <a:ln w="9525" cap="flat" cmpd="sng" algn="ctr">
      <a:noFill/>
      <a:round/>
    </a:ln>
    <a:effectLst/>
  </c:spPr>
  <c:txPr>
    <a:bodyPr/>
    <a:lstStyle/>
    <a:p>
      <a:pPr>
        <a:defRPr sz="600">
          <a:solidFill>
            <a:sysClr val="windowText" lastClr="000000"/>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0794693937789211E-2"/>
          <c:y val="4.0637047511967832E-2"/>
          <c:w val="0.91962600595542976"/>
          <c:h val="0.88976342540539921"/>
        </c:manualLayout>
      </c:layout>
      <c:barChart>
        <c:barDir val="col"/>
        <c:grouping val="stacked"/>
        <c:varyColors val="0"/>
        <c:ser>
          <c:idx val="1"/>
          <c:order val="1"/>
          <c:tx>
            <c:strRef>
              <c:f>VURMTAX_HSE_Price!$Q$8</c:f>
              <c:strCache>
                <c:ptCount val="1"/>
                <c:pt idx="0">
                  <c:v>Household consumption</c:v>
                </c:pt>
              </c:strCache>
            </c:strRef>
          </c:tx>
          <c:spPr>
            <a:solidFill>
              <a:srgbClr val="0070C0"/>
            </a:solidFill>
            <a:ln>
              <a:noFill/>
            </a:ln>
            <a:effectLst/>
          </c:spPr>
          <c:invertIfNegative val="0"/>
          <c:cat>
            <c:strRef>
              <c:f>VURMTAX_HSE_Price!$R$6:$V$6</c:f>
              <c:strCache>
                <c:ptCount val="5"/>
                <c:pt idx="0">
                  <c:v>2018-19</c:v>
                </c:pt>
                <c:pt idx="1">
                  <c:v>2019-20</c:v>
                </c:pt>
                <c:pt idx="2">
                  <c:v>2020-21</c:v>
                </c:pt>
                <c:pt idx="3">
                  <c:v>2021-22</c:v>
                </c:pt>
                <c:pt idx="4">
                  <c:v>2022-23</c:v>
                </c:pt>
              </c:strCache>
            </c:strRef>
          </c:cat>
          <c:val>
            <c:numRef>
              <c:f>VURMTAX_HSE_Price!$R$8:$V$8</c:f>
              <c:numCache>
                <c:formatCode>0.0</c:formatCode>
                <c:ptCount val="5"/>
                <c:pt idx="0">
                  <c:v>0</c:v>
                </c:pt>
                <c:pt idx="1">
                  <c:v>-0.41921041553584476</c:v>
                </c:pt>
                <c:pt idx="2">
                  <c:v>-0.5452433670545167</c:v>
                </c:pt>
                <c:pt idx="3">
                  <c:v>-0.60206503385581722</c:v>
                </c:pt>
                <c:pt idx="4">
                  <c:v>-0.67816385473455998</c:v>
                </c:pt>
              </c:numCache>
            </c:numRef>
          </c:val>
          <c:extLst>
            <c:ext xmlns:c16="http://schemas.microsoft.com/office/drawing/2014/chart" uri="{C3380CC4-5D6E-409C-BE32-E72D297353CC}">
              <c16:uniqueId val="{00000000-DBE8-4467-8C44-A889497F7655}"/>
            </c:ext>
          </c:extLst>
        </c:ser>
        <c:ser>
          <c:idx val="2"/>
          <c:order val="2"/>
          <c:tx>
            <c:strRef>
              <c:f>VURMTAX_HSE_Price!$Q$12</c:f>
              <c:strCache>
                <c:ptCount val="1"/>
                <c:pt idx="0">
                  <c:v>Dwelling investment</c:v>
                </c:pt>
              </c:strCache>
            </c:strRef>
          </c:tx>
          <c:spPr>
            <a:solidFill>
              <a:srgbClr val="002060"/>
            </a:solidFill>
            <a:ln>
              <a:noFill/>
            </a:ln>
            <a:effectLst/>
          </c:spPr>
          <c:invertIfNegative val="0"/>
          <c:cat>
            <c:strRef>
              <c:f>VURMTAX_HSE_Price!$R$6:$V$6</c:f>
              <c:strCache>
                <c:ptCount val="5"/>
                <c:pt idx="0">
                  <c:v>2018-19</c:v>
                </c:pt>
                <c:pt idx="1">
                  <c:v>2019-20</c:v>
                </c:pt>
                <c:pt idx="2">
                  <c:v>2020-21</c:v>
                </c:pt>
                <c:pt idx="3">
                  <c:v>2021-22</c:v>
                </c:pt>
                <c:pt idx="4">
                  <c:v>2022-23</c:v>
                </c:pt>
              </c:strCache>
            </c:strRef>
          </c:cat>
          <c:val>
            <c:numRef>
              <c:f>VURMTAX_HSE_Price!$R$12:$V$12</c:f>
              <c:numCache>
                <c:formatCode>0.0</c:formatCode>
                <c:ptCount val="5"/>
                <c:pt idx="0">
                  <c:v>0</c:v>
                </c:pt>
                <c:pt idx="1">
                  <c:v>-0.97738890629615915</c:v>
                </c:pt>
                <c:pt idx="2">
                  <c:v>-0.98178398413568368</c:v>
                </c:pt>
                <c:pt idx="3">
                  <c:v>-0.97221233889858272</c:v>
                </c:pt>
                <c:pt idx="4">
                  <c:v>-0.96647441390986732</c:v>
                </c:pt>
              </c:numCache>
            </c:numRef>
          </c:val>
          <c:extLst>
            <c:ext xmlns:c16="http://schemas.microsoft.com/office/drawing/2014/chart" uri="{C3380CC4-5D6E-409C-BE32-E72D297353CC}">
              <c16:uniqueId val="{00000001-DBE8-4467-8C44-A889497F7655}"/>
            </c:ext>
          </c:extLst>
        </c:ser>
        <c:ser>
          <c:idx val="3"/>
          <c:order val="3"/>
          <c:tx>
            <c:strRef>
              <c:f>VURMTAX_HSE_Price!$Q$18</c:f>
              <c:strCache>
                <c:ptCount val="1"/>
                <c:pt idx="0">
                  <c:v>Net international exports</c:v>
                </c:pt>
              </c:strCache>
            </c:strRef>
          </c:tx>
          <c:spPr>
            <a:solidFill>
              <a:srgbClr val="00B0F0"/>
            </a:solidFill>
            <a:ln>
              <a:noFill/>
            </a:ln>
            <a:effectLst/>
          </c:spPr>
          <c:invertIfNegative val="0"/>
          <c:cat>
            <c:strRef>
              <c:f>VURMTAX_HSE_Price!$R$6:$V$6</c:f>
              <c:strCache>
                <c:ptCount val="5"/>
                <c:pt idx="0">
                  <c:v>2018-19</c:v>
                </c:pt>
                <c:pt idx="1">
                  <c:v>2019-20</c:v>
                </c:pt>
                <c:pt idx="2">
                  <c:v>2020-21</c:v>
                </c:pt>
                <c:pt idx="3">
                  <c:v>2021-22</c:v>
                </c:pt>
                <c:pt idx="4">
                  <c:v>2022-23</c:v>
                </c:pt>
              </c:strCache>
            </c:strRef>
          </c:cat>
          <c:val>
            <c:numRef>
              <c:f>VURMTAX_HSE_Price!$R$18:$V$18</c:f>
              <c:numCache>
                <c:formatCode>0.0</c:formatCode>
                <c:ptCount val="5"/>
                <c:pt idx="0">
                  <c:v>0</c:v>
                </c:pt>
                <c:pt idx="1">
                  <c:v>0.80612102294847621</c:v>
                </c:pt>
                <c:pt idx="2">
                  <c:v>0.71743654535547408</c:v>
                </c:pt>
                <c:pt idx="3">
                  <c:v>0.73740279758909677</c:v>
                </c:pt>
                <c:pt idx="4">
                  <c:v>0.71646748746519973</c:v>
                </c:pt>
              </c:numCache>
            </c:numRef>
          </c:val>
          <c:extLst>
            <c:ext xmlns:c16="http://schemas.microsoft.com/office/drawing/2014/chart" uri="{C3380CC4-5D6E-409C-BE32-E72D297353CC}">
              <c16:uniqueId val="{00000002-DBE8-4467-8C44-A889497F7655}"/>
            </c:ext>
          </c:extLst>
        </c:ser>
        <c:ser>
          <c:idx val="4"/>
          <c:order val="4"/>
          <c:tx>
            <c:strRef>
              <c:f>VURMTAX_HSE_Price!$Q$19</c:f>
              <c:strCache>
                <c:ptCount val="1"/>
                <c:pt idx="0">
                  <c:v>Net interstate exports</c:v>
                </c:pt>
              </c:strCache>
            </c:strRef>
          </c:tx>
          <c:spPr>
            <a:solidFill>
              <a:schemeClr val="accent5">
                <a:lumMod val="60000"/>
                <a:lumOff val="40000"/>
              </a:schemeClr>
            </a:solidFill>
            <a:ln>
              <a:noFill/>
            </a:ln>
            <a:effectLst/>
          </c:spPr>
          <c:invertIfNegative val="0"/>
          <c:cat>
            <c:strRef>
              <c:f>VURMTAX_HSE_Price!$R$6:$V$6</c:f>
              <c:strCache>
                <c:ptCount val="5"/>
                <c:pt idx="0">
                  <c:v>2018-19</c:v>
                </c:pt>
                <c:pt idx="1">
                  <c:v>2019-20</c:v>
                </c:pt>
                <c:pt idx="2">
                  <c:v>2020-21</c:v>
                </c:pt>
                <c:pt idx="3">
                  <c:v>2021-22</c:v>
                </c:pt>
                <c:pt idx="4">
                  <c:v>2022-23</c:v>
                </c:pt>
              </c:strCache>
            </c:strRef>
          </c:cat>
          <c:val>
            <c:numRef>
              <c:f>VURMTAX_HSE_Price!$R$19:$V$19</c:f>
              <c:numCache>
                <c:formatCode>0.0</c:formatCode>
                <c:ptCount val="5"/>
                <c:pt idx="0">
                  <c:v>0</c:v>
                </c:pt>
                <c:pt idx="1">
                  <c:v>0.1732929909104208</c:v>
                </c:pt>
                <c:pt idx="2">
                  <c:v>0.1634279661518149</c:v>
                </c:pt>
                <c:pt idx="3">
                  <c:v>0.18235005963716</c:v>
                </c:pt>
                <c:pt idx="4">
                  <c:v>0.18794549491608359</c:v>
                </c:pt>
              </c:numCache>
            </c:numRef>
          </c:val>
          <c:extLst>
            <c:ext xmlns:c16="http://schemas.microsoft.com/office/drawing/2014/chart" uri="{C3380CC4-5D6E-409C-BE32-E72D297353CC}">
              <c16:uniqueId val="{00000003-DBE8-4467-8C44-A889497F7655}"/>
            </c:ext>
          </c:extLst>
        </c:ser>
        <c:ser>
          <c:idx val="5"/>
          <c:order val="5"/>
          <c:tx>
            <c:strRef>
              <c:f>VURMTAX_HSE_Price!$Q$13</c:f>
              <c:strCache>
                <c:ptCount val="1"/>
                <c:pt idx="0">
                  <c:v>Non-residential investment</c:v>
                </c:pt>
              </c:strCache>
            </c:strRef>
          </c:tx>
          <c:spPr>
            <a:solidFill>
              <a:schemeClr val="tx1">
                <a:lumMod val="75000"/>
                <a:lumOff val="25000"/>
              </a:schemeClr>
            </a:solidFill>
            <a:ln>
              <a:noFill/>
            </a:ln>
            <a:effectLst/>
          </c:spPr>
          <c:invertIfNegative val="0"/>
          <c:val>
            <c:numRef>
              <c:f>VURMTAX_HSE_Price!$R$13:$V$13</c:f>
              <c:numCache>
                <c:formatCode>0.0</c:formatCode>
                <c:ptCount val="5"/>
                <c:pt idx="0">
                  <c:v>0</c:v>
                </c:pt>
                <c:pt idx="1">
                  <c:v>-0.19977883357145576</c:v>
                </c:pt>
                <c:pt idx="2">
                  <c:v>-2.1180590441301592E-2</c:v>
                </c:pt>
                <c:pt idx="3">
                  <c:v>-3.8737455816681532E-2</c:v>
                </c:pt>
                <c:pt idx="4">
                  <c:v>-1.4858944020563177E-2</c:v>
                </c:pt>
              </c:numCache>
            </c:numRef>
          </c:val>
          <c:extLst>
            <c:ext xmlns:c16="http://schemas.microsoft.com/office/drawing/2014/chart" uri="{C3380CC4-5D6E-409C-BE32-E72D297353CC}">
              <c16:uniqueId val="{00000004-DBE8-4467-8C44-A889497F7655}"/>
            </c:ext>
          </c:extLst>
        </c:ser>
        <c:dLbls>
          <c:showLegendKey val="0"/>
          <c:showVal val="0"/>
          <c:showCatName val="0"/>
          <c:showSerName val="0"/>
          <c:showPercent val="0"/>
          <c:showBubbleSize val="0"/>
        </c:dLbls>
        <c:gapWidth val="151"/>
        <c:overlap val="100"/>
        <c:axId val="852962992"/>
        <c:axId val="852963320"/>
      </c:barChart>
      <c:lineChart>
        <c:grouping val="standard"/>
        <c:varyColors val="0"/>
        <c:ser>
          <c:idx val="0"/>
          <c:order val="0"/>
          <c:tx>
            <c:strRef>
              <c:f>VURMTAX_HSE_Price!$Q$7</c:f>
              <c:strCache>
                <c:ptCount val="1"/>
                <c:pt idx="0">
                  <c:v>Real GSP</c:v>
                </c:pt>
              </c:strCache>
            </c:strRef>
          </c:tx>
          <c:spPr>
            <a:ln w="28575" cap="rnd">
              <a:solidFill>
                <a:srgbClr val="92D050"/>
              </a:solidFill>
              <a:round/>
            </a:ln>
            <a:effectLst/>
          </c:spPr>
          <c:marker>
            <c:symbol val="diamond"/>
            <c:size val="6"/>
            <c:spPr>
              <a:solidFill>
                <a:srgbClr val="92D050"/>
              </a:solidFill>
              <a:ln w="9525">
                <a:solidFill>
                  <a:srgbClr val="92D050"/>
                </a:solidFill>
              </a:ln>
              <a:effectLst/>
            </c:spPr>
          </c:marker>
          <c:dLbls>
            <c:dLbl>
              <c:idx val="0"/>
              <c:delete val="1"/>
              <c:extLst>
                <c:ext xmlns:c15="http://schemas.microsoft.com/office/drawing/2012/chart" uri="{CE6537A1-D6FC-4f65-9D91-7224C49458BB}"/>
                <c:ext xmlns:c16="http://schemas.microsoft.com/office/drawing/2014/chart" uri="{C3380CC4-5D6E-409C-BE32-E72D297353CC}">
                  <c16:uniqueId val="{00000005-DBE8-4467-8C44-A889497F7655}"/>
                </c:ext>
              </c:extLst>
            </c:dLbl>
            <c:dLbl>
              <c:idx val="1"/>
              <c:layout>
                <c:manualLayout>
                  <c:x val="-3.3070518886351999E-2"/>
                  <c:y val="5.5055481759456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BE8-4467-8C44-A889497F7655}"/>
                </c:ext>
              </c:extLst>
            </c:dLbl>
            <c:dLbl>
              <c:idx val="2"/>
              <c:layout>
                <c:manualLayout>
                  <c:x val="-3.5275243295800812E-2"/>
                  <c:y val="4.810675124878151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BE8-4467-8C44-A889497F7655}"/>
                </c:ext>
              </c:extLst>
            </c:dLbl>
            <c:dLbl>
              <c:idx val="3"/>
              <c:layout>
                <c:manualLayout>
                  <c:x val="-3.5276111434251536E-2"/>
                  <c:y val="4.75718838544797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BE8-4467-8C44-A889497F7655}"/>
                </c:ext>
              </c:extLst>
            </c:dLbl>
            <c:dLbl>
              <c:idx val="4"/>
              <c:layout>
                <c:manualLayout>
                  <c:x val="-3.0865447221523051E-2"/>
                  <c:y val="4.11575156697459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BE8-4467-8C44-A889497F7655}"/>
                </c:ext>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bg1"/>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VURMTAX_HSE_Price!$R$6:$V$6</c:f>
              <c:strCache>
                <c:ptCount val="5"/>
                <c:pt idx="0">
                  <c:v>2018-19</c:v>
                </c:pt>
                <c:pt idx="1">
                  <c:v>2019-20</c:v>
                </c:pt>
                <c:pt idx="2">
                  <c:v>2020-21</c:v>
                </c:pt>
                <c:pt idx="3">
                  <c:v>2021-22</c:v>
                </c:pt>
                <c:pt idx="4">
                  <c:v>2022-23</c:v>
                </c:pt>
              </c:strCache>
            </c:strRef>
          </c:cat>
          <c:val>
            <c:numRef>
              <c:f>VURMTAX_HSE_Price!$R$7:$V$7</c:f>
              <c:numCache>
                <c:formatCode>0.0</c:formatCode>
                <c:ptCount val="5"/>
                <c:pt idx="0">
                  <c:v>0</c:v>
                </c:pt>
                <c:pt idx="1">
                  <c:v>-0.60008605351356248</c:v>
                </c:pt>
                <c:pt idx="2">
                  <c:v>-0.65338776194313253</c:v>
                </c:pt>
                <c:pt idx="3">
                  <c:v>-0.67943510163784848</c:v>
                </c:pt>
                <c:pt idx="4">
                  <c:v>-0.74216820622445101</c:v>
                </c:pt>
              </c:numCache>
            </c:numRef>
          </c:val>
          <c:smooth val="0"/>
          <c:extLst>
            <c:ext xmlns:c16="http://schemas.microsoft.com/office/drawing/2014/chart" uri="{C3380CC4-5D6E-409C-BE32-E72D297353CC}">
              <c16:uniqueId val="{0000000A-DBE8-4467-8C44-A889497F7655}"/>
            </c:ext>
          </c:extLst>
        </c:ser>
        <c:dLbls>
          <c:showLegendKey val="0"/>
          <c:showVal val="0"/>
          <c:showCatName val="0"/>
          <c:showSerName val="0"/>
          <c:showPercent val="0"/>
          <c:showBubbleSize val="0"/>
        </c:dLbls>
        <c:marker val="1"/>
        <c:smooth val="0"/>
        <c:axId val="852962992"/>
        <c:axId val="852963320"/>
      </c:lineChart>
      <c:catAx>
        <c:axId val="852962992"/>
        <c:scaling>
          <c:orientation val="minMax"/>
        </c:scaling>
        <c:delete val="0"/>
        <c:axPos val="b"/>
        <c:numFmt formatCode="General" sourceLinked="1"/>
        <c:majorTickMark val="none"/>
        <c:minorTickMark val="none"/>
        <c:tickLblPos val="low"/>
        <c:spPr>
          <a:noFill/>
          <a:ln w="9525" cap="flat" cmpd="sng" algn="ctr">
            <a:solidFill>
              <a:schemeClr val="tx1">
                <a:lumMod val="75000"/>
                <a:lumOff val="2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852963320"/>
        <c:crosses val="autoZero"/>
        <c:auto val="1"/>
        <c:lblAlgn val="ctr"/>
        <c:lblOffset val="100"/>
        <c:noMultiLvlLbl val="0"/>
      </c:catAx>
      <c:valAx>
        <c:axId val="852963320"/>
        <c:scaling>
          <c:orientation val="minMax"/>
          <c:max val="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a:t>Percentage points, contribution</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852962992"/>
        <c:crosses val="autoZero"/>
        <c:crossBetween val="between"/>
      </c:valAx>
      <c:spPr>
        <a:noFill/>
        <a:ln>
          <a:noFill/>
        </a:ln>
        <a:effectLst/>
      </c:spPr>
    </c:plotArea>
    <c:legend>
      <c:legendPos val="b"/>
      <c:legendEntry>
        <c:idx val="1"/>
        <c:txPr>
          <a:bodyPr rot="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Entry>
      <c:layout>
        <c:manualLayout>
          <c:xMode val="edge"/>
          <c:yMode val="edge"/>
          <c:x val="0.11345844040110396"/>
          <c:y val="6.6863474971337364E-2"/>
          <c:w val="0.86596585944056548"/>
          <c:h val="0.15257307076512805"/>
        </c:manualLayout>
      </c:layou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600">
          <a:solidFill>
            <a:sysClr val="windowText" lastClr="000000"/>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0.5515</cdr:x>
      <cdr:y>0.04851</cdr:y>
    </cdr:from>
    <cdr:to>
      <cdr:x>0.5515</cdr:x>
      <cdr:y>0.9062</cdr:y>
    </cdr:to>
    <cdr:cxnSp macro="">
      <cdr:nvCxnSpPr>
        <cdr:cNvPr id="3" name="Straight Connector 2">
          <a:extLst xmlns:a="http://schemas.openxmlformats.org/drawingml/2006/main">
            <a:ext uri="{FF2B5EF4-FFF2-40B4-BE49-F238E27FC236}">
              <a16:creationId xmlns:a16="http://schemas.microsoft.com/office/drawing/2014/main" id="{5149DF23-4953-4DF2-8DEC-CADAA1831BF3}"/>
            </a:ext>
          </a:extLst>
        </cdr:cNvPr>
        <cdr:cNvCxnSpPr/>
      </cdr:nvCxnSpPr>
      <cdr:spPr>
        <a:xfrm xmlns:a="http://schemas.openxmlformats.org/drawingml/2006/main">
          <a:off x="1588307" y="104775"/>
          <a:ext cx="0" cy="1852618"/>
        </a:xfrm>
        <a:prstGeom xmlns:a="http://schemas.openxmlformats.org/drawingml/2006/main" prst="line">
          <a:avLst/>
        </a:prstGeom>
        <a:ln xmlns:a="http://schemas.openxmlformats.org/drawingml/2006/main">
          <a:solidFill>
            <a:schemeClr val="tx1">
              <a:lumMod val="95000"/>
              <a:lumOff val="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1c478e85-8130-4c67-8ee4-8bdf1c0e604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F16F1AFBDE54EBD2685E90FE1922F" ma:contentTypeVersion="11" ma:contentTypeDescription="Create a new document." ma:contentTypeScope="" ma:versionID="09dc3bd8f1f17fedb8a1949fc26bace1">
  <xsd:schema xmlns:xsd="http://www.w3.org/2001/XMLSchema" xmlns:xs="http://www.w3.org/2001/XMLSchema" xmlns:p="http://schemas.microsoft.com/office/2006/metadata/properties" xmlns:ns2="801a5968-9419-4033-b9de-7ffe8168468e" xmlns:ns3="1c478e85-8130-4c67-8ee4-8bdf1c0e6049" targetNamespace="http://schemas.microsoft.com/office/2006/metadata/properties" ma:root="true" ma:fieldsID="b368971463d79661f3ec0885fa2b6f01" ns2:_="" ns3:_="">
    <xsd:import namespace="801a5968-9419-4033-b9de-7ffe8168468e"/>
    <xsd:import namespace="1c478e85-8130-4c67-8ee4-8bdf1c0e604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5968-9419-4033-b9de-7ffe816846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78e85-8130-4c67-8ee4-8bdf1c0e604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FEE4D-25EC-41DB-BDC0-998AB0C4A83D}">
  <ds:schemaRefs>
    <ds:schemaRef ds:uri="http://purl.org/dc/terms/"/>
    <ds:schemaRef ds:uri="1c478e85-8130-4c67-8ee4-8bdf1c0e6049"/>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801a5968-9419-4033-b9de-7ffe8168468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4A906AA-FBFA-4CDD-9F8D-83C4CDF86034}">
  <ds:schemaRefs>
    <ds:schemaRef ds:uri="http://schemas.microsoft.com/sharepoint/v3/contenttype/forms"/>
  </ds:schemaRefs>
</ds:datastoreItem>
</file>

<file path=customXml/itemProps3.xml><?xml version="1.0" encoding="utf-8"?>
<ds:datastoreItem xmlns:ds="http://schemas.openxmlformats.org/officeDocument/2006/customXml" ds:itemID="{A0677CF1-E161-46F6-A01A-74FB9547F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a5968-9419-4033-b9de-7ffe8168468e"/>
    <ds:schemaRef ds:uri="1c478e85-8130-4c67-8ee4-8bdf1c0e6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77D00-C9C7-4E34-8084-B9615BAF6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5594</TotalTime>
  <Pages>5</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2019-20 Budget Paper No. 1 - Budget Statement - Appendix - Economic Scenario Analysis</vt:lpstr>
    </vt:vector>
  </TitlesOfParts>
  <Company>ServiceFirst</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 Budget Paper No. 1 - Budget Statement - Appendix F - Economic Scenario Analysis</dc:title>
  <dc:creator>The Treasury</dc:creator>
  <cp:lastModifiedBy>Eliza Souter</cp:lastModifiedBy>
  <cp:revision>1292</cp:revision>
  <cp:lastPrinted>2019-06-15T03:56:00Z</cp:lastPrinted>
  <dcterms:created xsi:type="dcterms:W3CDTF">2019-05-12T23:43:00Z</dcterms:created>
  <dcterms:modified xsi:type="dcterms:W3CDTF">2019-06-16T01:01:00Z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0x010100F02F16F1AFBDE54EBD2685E90FE1922F</vt:lpwstr>
  </property>
</Properties>
</file>