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8C860" w14:textId="77777777" w:rsidR="00E87ECC" w:rsidRPr="004B2BB4" w:rsidRDefault="00E87ECC" w:rsidP="00F718EF">
      <w:pPr>
        <w:pStyle w:val="Heading1"/>
        <w:keepNext w:val="0"/>
        <w:widowControl w:val="0"/>
        <w:tabs>
          <w:tab w:val="clear" w:pos="284"/>
          <w:tab w:val="left" w:pos="709"/>
          <w:tab w:val="left" w:pos="2127"/>
        </w:tabs>
        <w:spacing w:before="480" w:after="480"/>
        <w:rPr>
          <w:rFonts w:ascii="Arial" w:hAnsi="Arial"/>
          <w:caps/>
          <w:color w:val="1D3278"/>
          <w:sz w:val="40"/>
        </w:rPr>
      </w:pPr>
      <w:bookmarkStart w:id="0" w:name="_GoBack"/>
      <w:bookmarkEnd w:id="0"/>
      <w:r w:rsidRPr="004B2BB4">
        <w:rPr>
          <w:rFonts w:ascii="Arial" w:hAnsi="Arial"/>
          <w:caps/>
          <w:color w:val="1D3278"/>
          <w:sz w:val="40"/>
        </w:rPr>
        <w:t>Glossary</w:t>
      </w:r>
    </w:p>
    <w:tbl>
      <w:tblPr>
        <w:tblStyle w:val="TableGrid"/>
        <w:tblW w:w="9639" w:type="dxa"/>
        <w:tblBorders>
          <w:top w:val="none" w:sz="0" w:space="0" w:color="auto"/>
          <w:left w:val="none" w:sz="0" w:space="0" w:color="auto"/>
          <w:right w:val="none" w:sz="0" w:space="0" w:color="auto"/>
          <w:insideH w:val="single" w:sz="4" w:space="0" w:color="A6A6A6" w:themeColor="background1" w:themeShade="A6"/>
          <w:insideV w:val="none" w:sz="0" w:space="0" w:color="auto"/>
        </w:tblBorders>
        <w:tblLook w:val="01E0" w:firstRow="1" w:lastRow="1" w:firstColumn="1" w:lastColumn="1" w:noHBand="0" w:noVBand="0"/>
      </w:tblPr>
      <w:tblGrid>
        <w:gridCol w:w="2352"/>
        <w:gridCol w:w="14"/>
        <w:gridCol w:w="7273"/>
      </w:tblGrid>
      <w:tr w:rsidR="00E33E0B" w:rsidRPr="004B2BB4" w14:paraId="2696B7FC" w14:textId="77777777" w:rsidTr="00DE7F19">
        <w:trPr>
          <w:cantSplit/>
          <w:trHeight w:val="80"/>
        </w:trPr>
        <w:tc>
          <w:tcPr>
            <w:tcW w:w="2366" w:type="dxa"/>
            <w:gridSpan w:val="2"/>
            <w:tcBorders>
              <w:top w:val="single" w:sz="4" w:space="0" w:color="A6A6A6" w:themeColor="background1" w:themeShade="A6"/>
              <w:bottom w:val="single" w:sz="4" w:space="0" w:color="A6A6A6" w:themeColor="background1" w:themeShade="A6"/>
            </w:tcBorders>
          </w:tcPr>
          <w:p w14:paraId="546B2C89" w14:textId="3B3500AA" w:rsidR="00E33E0B" w:rsidRPr="004B2BB4" w:rsidRDefault="00977E93" w:rsidP="00B443CE">
            <w:pPr>
              <w:pStyle w:val="Heading3"/>
              <w:keepNext w:val="0"/>
              <w:spacing w:before="60" w:after="60" w:line="240" w:lineRule="atLeast"/>
              <w:rPr>
                <w:rFonts w:ascii="Arial" w:hAnsi="Arial" w:cs="Arial"/>
                <w:b w:val="0"/>
                <w:sz w:val="17"/>
                <w:szCs w:val="17"/>
              </w:rPr>
            </w:pPr>
            <w:r>
              <w:rPr>
                <w:rFonts w:ascii="Arial" w:hAnsi="Arial" w:cs="Arial"/>
                <w:b w:val="0"/>
                <w:sz w:val="17"/>
                <w:szCs w:val="17"/>
              </w:rPr>
              <w:t xml:space="preserve">2019 </w:t>
            </w:r>
            <w:r w:rsidR="00473840">
              <w:rPr>
                <w:rFonts w:ascii="Arial" w:hAnsi="Arial" w:cs="Arial"/>
                <w:b w:val="0"/>
                <w:sz w:val="17"/>
                <w:szCs w:val="17"/>
              </w:rPr>
              <w:t>Pre-election Budget Update</w:t>
            </w:r>
          </w:p>
        </w:tc>
        <w:tc>
          <w:tcPr>
            <w:tcW w:w="7273" w:type="dxa"/>
            <w:tcBorders>
              <w:top w:val="single" w:sz="4" w:space="0" w:color="A6A6A6" w:themeColor="background1" w:themeShade="A6"/>
              <w:bottom w:val="single" w:sz="4" w:space="0" w:color="A6A6A6" w:themeColor="background1" w:themeShade="A6"/>
            </w:tcBorders>
          </w:tcPr>
          <w:p w14:paraId="2E985F8F" w14:textId="39D3DB35" w:rsidR="00E33E0B" w:rsidRPr="004B2BB4" w:rsidRDefault="00E2780C" w:rsidP="00ED3642">
            <w:pPr>
              <w:pStyle w:val="BodyText"/>
            </w:pPr>
            <w:r>
              <w:t>The Pre-election</w:t>
            </w:r>
            <w:r w:rsidR="00194563">
              <w:t xml:space="preserve"> </w:t>
            </w:r>
            <w:r>
              <w:t xml:space="preserve">Budget Update was released </w:t>
            </w:r>
            <w:r w:rsidR="007400DA">
              <w:t>by the Treasury Secretary on 5 March 2019. As</w:t>
            </w:r>
            <w:r w:rsidR="00902CD7">
              <w:t> </w:t>
            </w:r>
            <w:r w:rsidR="007400DA">
              <w:t xml:space="preserve">required under the </w:t>
            </w:r>
            <w:r w:rsidR="00667C6F" w:rsidRPr="00DE7F19">
              <w:rPr>
                <w:i/>
              </w:rPr>
              <w:t>P</w:t>
            </w:r>
            <w:r w:rsidR="007400DA" w:rsidRPr="00DE7F19">
              <w:rPr>
                <w:i/>
              </w:rPr>
              <w:t xml:space="preserve">arliamentary </w:t>
            </w:r>
            <w:r w:rsidR="00FB09BF" w:rsidRPr="00DE7F19">
              <w:rPr>
                <w:i/>
              </w:rPr>
              <w:t>Budget Officer Act 2010</w:t>
            </w:r>
            <w:r w:rsidR="00FB09BF">
              <w:t xml:space="preserve">, the Pre-election Budget Update </w:t>
            </w:r>
            <w:r w:rsidR="002A7E10">
              <w:t xml:space="preserve">provided an update to the State’s </w:t>
            </w:r>
            <w:r w:rsidR="008F4CA8">
              <w:t>economic</w:t>
            </w:r>
            <w:r w:rsidR="002A7E10">
              <w:t xml:space="preserve"> and </w:t>
            </w:r>
            <w:r w:rsidR="008F4CA8">
              <w:t xml:space="preserve">fiscal outlook following the release of the </w:t>
            </w:r>
            <w:r w:rsidR="00194563">
              <w:t>2018</w:t>
            </w:r>
            <w:r w:rsidR="00902CD7">
              <w:noBreakHyphen/>
            </w:r>
            <w:r w:rsidR="00194563">
              <w:t>19 Half-yearly Review.</w:t>
            </w:r>
          </w:p>
        </w:tc>
      </w:tr>
      <w:tr w:rsidR="00025E35" w:rsidRPr="004B2BB4" w14:paraId="263AAA30" w14:textId="77777777" w:rsidTr="00DE7F19">
        <w:trPr>
          <w:cantSplit/>
          <w:trHeight w:val="80"/>
        </w:trPr>
        <w:tc>
          <w:tcPr>
            <w:tcW w:w="2366" w:type="dxa"/>
            <w:gridSpan w:val="2"/>
            <w:tcBorders>
              <w:top w:val="single" w:sz="4" w:space="0" w:color="A6A6A6" w:themeColor="background1" w:themeShade="A6"/>
              <w:bottom w:val="single" w:sz="4" w:space="0" w:color="A6A6A6" w:themeColor="background1" w:themeShade="A6"/>
            </w:tcBorders>
          </w:tcPr>
          <w:p w14:paraId="0F5BCB9E" w14:textId="77777777" w:rsidR="00025E35" w:rsidRPr="004B2BB4" w:rsidRDefault="00025E35" w:rsidP="00B443CE">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 xml:space="preserve">ABS </w:t>
            </w:r>
            <w:r w:rsidR="006A4D92" w:rsidRPr="004B2BB4">
              <w:rPr>
                <w:rFonts w:ascii="Arial" w:hAnsi="Arial" w:cs="Arial"/>
                <w:b w:val="0"/>
                <w:sz w:val="17"/>
                <w:szCs w:val="17"/>
                <w:lang w:val="en-US"/>
              </w:rPr>
              <w:t>Government Finance Statistics</w:t>
            </w:r>
            <w:r w:rsidR="006A4D92" w:rsidRPr="004B2BB4">
              <w:rPr>
                <w:rFonts w:ascii="Arial" w:hAnsi="Arial" w:cs="Arial"/>
                <w:b w:val="0"/>
                <w:sz w:val="17"/>
                <w:szCs w:val="17"/>
              </w:rPr>
              <w:t xml:space="preserve"> </w:t>
            </w:r>
            <w:r w:rsidR="002F5B4F" w:rsidRPr="004B2BB4">
              <w:rPr>
                <w:rFonts w:ascii="Arial" w:hAnsi="Arial" w:cs="Arial"/>
                <w:b w:val="0"/>
                <w:sz w:val="17"/>
                <w:szCs w:val="17"/>
              </w:rPr>
              <w:t>GFS M</w:t>
            </w:r>
            <w:r w:rsidRPr="004B2BB4">
              <w:rPr>
                <w:rFonts w:ascii="Arial" w:hAnsi="Arial" w:cs="Arial"/>
                <w:b w:val="0"/>
                <w:sz w:val="17"/>
                <w:szCs w:val="17"/>
              </w:rPr>
              <w:t>anual</w:t>
            </w:r>
            <w:r w:rsidR="005614BD" w:rsidRPr="004B2BB4">
              <w:rPr>
                <w:rFonts w:ascii="Arial" w:hAnsi="Arial" w:cs="Arial"/>
                <w:b w:val="0"/>
                <w:sz w:val="17"/>
                <w:szCs w:val="17"/>
              </w:rPr>
              <w:t xml:space="preserve"> (ABS GFS)</w:t>
            </w:r>
          </w:p>
        </w:tc>
        <w:tc>
          <w:tcPr>
            <w:tcW w:w="7273" w:type="dxa"/>
            <w:tcBorders>
              <w:top w:val="single" w:sz="4" w:space="0" w:color="A6A6A6" w:themeColor="background1" w:themeShade="A6"/>
              <w:bottom w:val="single" w:sz="4" w:space="0" w:color="A6A6A6" w:themeColor="background1" w:themeShade="A6"/>
            </w:tcBorders>
          </w:tcPr>
          <w:p w14:paraId="4F9F1D7A" w14:textId="77777777" w:rsidR="00025E35" w:rsidRPr="004B2BB4" w:rsidRDefault="00025E35" w:rsidP="00ED3642">
            <w:pPr>
              <w:pStyle w:val="BodyText"/>
            </w:pPr>
            <w:r w:rsidRPr="004B2BB4">
              <w:t>The ABS publication Australian System of Government Finance Statistics: Concepts, Sources and Methods as updated from time to time.</w:t>
            </w:r>
          </w:p>
        </w:tc>
      </w:tr>
      <w:tr w:rsidR="00E14F4A" w:rsidRPr="004B2BB4" w14:paraId="3EF588C4" w14:textId="77777777" w:rsidTr="00DE7F19">
        <w:trPr>
          <w:cantSplit/>
        </w:trPr>
        <w:tc>
          <w:tcPr>
            <w:tcW w:w="2366" w:type="dxa"/>
            <w:gridSpan w:val="2"/>
            <w:tcBorders>
              <w:top w:val="single" w:sz="4" w:space="0" w:color="A6A6A6" w:themeColor="background1" w:themeShade="A6"/>
            </w:tcBorders>
          </w:tcPr>
          <w:p w14:paraId="339FB740" w14:textId="77777777" w:rsidR="00E14F4A" w:rsidRPr="004B2BB4" w:rsidRDefault="00E14F4A" w:rsidP="00B443CE">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Appropriation</w:t>
            </w:r>
          </w:p>
        </w:tc>
        <w:tc>
          <w:tcPr>
            <w:tcW w:w="7273" w:type="dxa"/>
            <w:tcBorders>
              <w:top w:val="single" w:sz="4" w:space="0" w:color="A6A6A6" w:themeColor="background1" w:themeShade="A6"/>
            </w:tcBorders>
          </w:tcPr>
          <w:p w14:paraId="1145D47D" w14:textId="0F8D5753" w:rsidR="00E14F4A" w:rsidRPr="004B2BB4" w:rsidRDefault="00CF0E62" w:rsidP="00ED3642">
            <w:pPr>
              <w:pStyle w:val="BodyText"/>
            </w:pPr>
            <w:r w:rsidRPr="004B2BB4">
              <w:t>The</w:t>
            </w:r>
            <w:r>
              <w:t xml:space="preserve"> authority given to by Parliament for the expenditure of monies </w:t>
            </w:r>
            <w:r w:rsidRPr="004B2BB4">
              <w:t xml:space="preserve">from the consolidated </w:t>
            </w:r>
            <w:r>
              <w:t xml:space="preserve">fund </w:t>
            </w:r>
            <w:r w:rsidRPr="004B2BB4">
              <w:t xml:space="preserve">for the </w:t>
            </w:r>
            <w:r>
              <w:t>annual services of Government and the Legislature</w:t>
            </w:r>
            <w:r w:rsidRPr="004B2BB4">
              <w:t>.</w:t>
            </w:r>
            <w:r>
              <w:t xml:space="preserve"> This authority is given to Ministers by the annual Appropriation Act.</w:t>
            </w:r>
          </w:p>
        </w:tc>
      </w:tr>
      <w:tr w:rsidR="00B94ABD" w:rsidRPr="004B2BB4" w14:paraId="6ADE4D50" w14:textId="77777777" w:rsidTr="00DE7F19">
        <w:trPr>
          <w:cantSplit/>
        </w:trPr>
        <w:tc>
          <w:tcPr>
            <w:tcW w:w="2366" w:type="dxa"/>
            <w:gridSpan w:val="2"/>
            <w:tcBorders>
              <w:top w:val="single" w:sz="4" w:space="0" w:color="A6A6A6" w:themeColor="background1" w:themeShade="A6"/>
            </w:tcBorders>
          </w:tcPr>
          <w:p w14:paraId="6C8C9A5F" w14:textId="270EB3C4" w:rsidR="00B94ABD" w:rsidRPr="00DE7F19" w:rsidRDefault="00CF0E62" w:rsidP="00B443CE">
            <w:pPr>
              <w:pStyle w:val="Heading3"/>
              <w:keepNext w:val="0"/>
              <w:spacing w:before="60" w:after="60" w:line="240" w:lineRule="atLeast"/>
              <w:rPr>
                <w:rFonts w:ascii="Arial" w:hAnsi="Arial" w:cs="Arial"/>
                <w:b w:val="0"/>
                <w:sz w:val="17"/>
                <w:szCs w:val="17"/>
                <w:highlight w:val="yellow"/>
              </w:rPr>
            </w:pPr>
            <w:r w:rsidRPr="00DE7F19">
              <w:rPr>
                <w:rFonts w:ascii="Arial" w:hAnsi="Arial" w:cs="Arial"/>
                <w:b w:val="0"/>
                <w:sz w:val="17"/>
                <w:szCs w:val="17"/>
              </w:rPr>
              <w:t xml:space="preserve">Capital </w:t>
            </w:r>
            <w:r w:rsidR="00B94ABD" w:rsidRPr="00A63B80">
              <w:rPr>
                <w:rFonts w:ascii="Arial" w:hAnsi="Arial" w:cs="Arial"/>
                <w:b w:val="0"/>
                <w:sz w:val="17"/>
                <w:szCs w:val="17"/>
              </w:rPr>
              <w:t>Allocation 201</w:t>
            </w:r>
            <w:r w:rsidR="00C05694" w:rsidRPr="00A63B80">
              <w:rPr>
                <w:rFonts w:ascii="Arial" w:hAnsi="Arial" w:cs="Arial"/>
                <w:b w:val="0"/>
                <w:sz w:val="17"/>
                <w:szCs w:val="17"/>
              </w:rPr>
              <w:t>9</w:t>
            </w:r>
            <w:r w:rsidR="00B94ABD" w:rsidRPr="00A63B80">
              <w:rPr>
                <w:rFonts w:ascii="Arial" w:hAnsi="Arial" w:cs="Arial"/>
                <w:b w:val="0"/>
                <w:sz w:val="17"/>
                <w:szCs w:val="17"/>
              </w:rPr>
              <w:t>-</w:t>
            </w:r>
            <w:r w:rsidR="00C05694" w:rsidRPr="00A63B80">
              <w:rPr>
                <w:rFonts w:ascii="Arial" w:hAnsi="Arial" w:cs="Arial"/>
                <w:b w:val="0"/>
                <w:sz w:val="17"/>
                <w:szCs w:val="17"/>
              </w:rPr>
              <w:t>20</w:t>
            </w:r>
          </w:p>
        </w:tc>
        <w:tc>
          <w:tcPr>
            <w:tcW w:w="7273" w:type="dxa"/>
            <w:tcBorders>
              <w:top w:val="single" w:sz="4" w:space="0" w:color="A6A6A6" w:themeColor="background1" w:themeShade="A6"/>
            </w:tcBorders>
            <w:shd w:val="clear" w:color="auto" w:fill="auto"/>
          </w:tcPr>
          <w:p w14:paraId="690B202D" w14:textId="4BBB63A3" w:rsidR="00B94ABD" w:rsidRPr="00DE7F19" w:rsidRDefault="00A06D9A" w:rsidP="00ED3642">
            <w:pPr>
              <w:pStyle w:val="BodyText"/>
              <w:rPr>
                <w:highlight w:val="yellow"/>
              </w:rPr>
            </w:pPr>
            <w:r w:rsidRPr="00A63B80">
              <w:t>The a</w:t>
            </w:r>
            <w:r w:rsidR="00B94ABD" w:rsidRPr="00133365">
              <w:t>mount of project expenditure approved in the 201</w:t>
            </w:r>
            <w:r w:rsidR="00C05694" w:rsidRPr="00C94DEA">
              <w:t>9-</w:t>
            </w:r>
            <w:r w:rsidR="00C05694" w:rsidRPr="00AD7D33">
              <w:t>20</w:t>
            </w:r>
            <w:r w:rsidR="00B94ABD" w:rsidRPr="00046AE8">
              <w:t xml:space="preserve"> Budget</w:t>
            </w:r>
            <w:r w:rsidRPr="00A63B80">
              <w:t>.</w:t>
            </w:r>
          </w:p>
        </w:tc>
      </w:tr>
      <w:tr w:rsidR="00257212" w:rsidRPr="004B2BB4" w14:paraId="07404256" w14:textId="77777777" w:rsidTr="00DE7F19">
        <w:trPr>
          <w:cantSplit/>
        </w:trPr>
        <w:tc>
          <w:tcPr>
            <w:tcW w:w="2366" w:type="dxa"/>
            <w:gridSpan w:val="2"/>
          </w:tcPr>
          <w:p w14:paraId="2F66ED07" w14:textId="77777777" w:rsidR="00257212" w:rsidRPr="004B2BB4" w:rsidRDefault="00257212" w:rsidP="00B443CE">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Capital expenditure</w:t>
            </w:r>
          </w:p>
        </w:tc>
        <w:tc>
          <w:tcPr>
            <w:tcW w:w="7273" w:type="dxa"/>
          </w:tcPr>
          <w:p w14:paraId="1AA00082" w14:textId="77777777" w:rsidR="00257212" w:rsidRPr="004B2BB4" w:rsidRDefault="00257212" w:rsidP="00ED3642">
            <w:pPr>
              <w:pStyle w:val="BodyText"/>
            </w:pPr>
            <w:r w:rsidRPr="004B2BB4">
              <w:t>This is expenditure relating to the acquisition or enhancement of property, plant and equipment (including land and buildings, plant and equipment and infrastructure systems) and intangibles (including computer software and easements).</w:t>
            </w:r>
            <w:r w:rsidR="00F67A20">
              <w:t xml:space="preserve"> Capital expenditure also includes assets acquired using finance leases.</w:t>
            </w:r>
          </w:p>
        </w:tc>
      </w:tr>
      <w:tr w:rsidR="00257212" w:rsidRPr="004B2BB4" w14:paraId="6D60DA3D" w14:textId="77777777" w:rsidTr="00DE7F19">
        <w:trPr>
          <w:cantSplit/>
        </w:trPr>
        <w:tc>
          <w:tcPr>
            <w:tcW w:w="2366" w:type="dxa"/>
            <w:gridSpan w:val="2"/>
          </w:tcPr>
          <w:p w14:paraId="473D9F2E" w14:textId="77777777" w:rsidR="00257212" w:rsidRPr="004B2BB4" w:rsidRDefault="00257212" w:rsidP="00B443CE">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Capital grants</w:t>
            </w:r>
          </w:p>
        </w:tc>
        <w:tc>
          <w:tcPr>
            <w:tcW w:w="7273" w:type="dxa"/>
          </w:tcPr>
          <w:p w14:paraId="22107B8F" w14:textId="77777777" w:rsidR="00257212" w:rsidRPr="004B2BB4" w:rsidRDefault="00257212" w:rsidP="00ED3642">
            <w:pPr>
              <w:pStyle w:val="BodyText"/>
            </w:pPr>
            <w:r w:rsidRPr="004B2BB4">
              <w:t xml:space="preserve">Amounts paid or received for capital purposes for which no economic benefits of equal value are receivable or payable in return.  </w:t>
            </w:r>
          </w:p>
        </w:tc>
      </w:tr>
      <w:tr w:rsidR="00BC0777" w:rsidRPr="004B2BB4" w14:paraId="421D211A" w14:textId="77777777" w:rsidTr="00DE7F19">
        <w:trPr>
          <w:cantSplit/>
        </w:trPr>
        <w:tc>
          <w:tcPr>
            <w:tcW w:w="2366" w:type="dxa"/>
            <w:gridSpan w:val="2"/>
          </w:tcPr>
          <w:p w14:paraId="101EA92F" w14:textId="77777777" w:rsidR="00BC0777" w:rsidRDefault="00BC0777" w:rsidP="00B443CE">
            <w:pPr>
              <w:pStyle w:val="Heading3"/>
              <w:keepNext w:val="0"/>
              <w:spacing w:before="60" w:after="60" w:line="240" w:lineRule="atLeast"/>
              <w:rPr>
                <w:rFonts w:ascii="Arial" w:hAnsi="Arial" w:cs="Arial"/>
                <w:b w:val="0"/>
                <w:sz w:val="17"/>
                <w:szCs w:val="17"/>
              </w:rPr>
            </w:pPr>
            <w:r>
              <w:rPr>
                <w:rFonts w:ascii="Arial" w:hAnsi="Arial" w:cs="Arial"/>
                <w:b w:val="0"/>
                <w:sz w:val="17"/>
                <w:szCs w:val="17"/>
              </w:rPr>
              <w:t>Cluster</w:t>
            </w:r>
          </w:p>
        </w:tc>
        <w:tc>
          <w:tcPr>
            <w:tcW w:w="7273" w:type="dxa"/>
          </w:tcPr>
          <w:p w14:paraId="034D28A6" w14:textId="21FE077A" w:rsidR="00BC0777" w:rsidRDefault="00BC0777" w:rsidP="00ED3642">
            <w:pPr>
              <w:pStyle w:val="BodyText"/>
            </w:pPr>
            <w:r w:rsidRPr="00BC0777">
              <w:t>NSW Government entities have been consolidated into clusters reflecting broad policy areas of Government. These clusters are not legal entities. They are administrative arrangements that bring together a group of different legal and administrative entities</w:t>
            </w:r>
            <w:r w:rsidR="006645A2">
              <w:t>.</w:t>
            </w:r>
            <w:r w:rsidRPr="00BC0777">
              <w:t xml:space="preserve"> </w:t>
            </w:r>
          </w:p>
        </w:tc>
      </w:tr>
      <w:tr w:rsidR="00BC0777" w:rsidRPr="004B2BB4" w14:paraId="11E7BD47" w14:textId="77777777" w:rsidTr="00DE7F19">
        <w:trPr>
          <w:cantSplit/>
        </w:trPr>
        <w:tc>
          <w:tcPr>
            <w:tcW w:w="2366" w:type="dxa"/>
            <w:gridSpan w:val="2"/>
          </w:tcPr>
          <w:p w14:paraId="728BB025" w14:textId="77777777" w:rsidR="00BC0777" w:rsidRDefault="00BC0777" w:rsidP="00B443CE">
            <w:pPr>
              <w:pStyle w:val="Heading3"/>
              <w:keepNext w:val="0"/>
              <w:spacing w:before="60" w:after="60" w:line="240" w:lineRule="atLeast"/>
              <w:rPr>
                <w:rFonts w:ascii="Arial" w:hAnsi="Arial" w:cs="Arial"/>
                <w:b w:val="0"/>
                <w:sz w:val="17"/>
                <w:szCs w:val="17"/>
              </w:rPr>
            </w:pPr>
            <w:r>
              <w:rPr>
                <w:rFonts w:ascii="Arial" w:hAnsi="Arial" w:cs="Arial"/>
                <w:b w:val="0"/>
                <w:sz w:val="17"/>
                <w:szCs w:val="17"/>
              </w:rPr>
              <w:t>Cluster grants</w:t>
            </w:r>
          </w:p>
        </w:tc>
        <w:tc>
          <w:tcPr>
            <w:tcW w:w="7273" w:type="dxa"/>
          </w:tcPr>
          <w:p w14:paraId="73F17A24" w14:textId="741FBE64" w:rsidR="00BC0777" w:rsidRPr="00BC0777" w:rsidRDefault="00C94DEA" w:rsidP="00ED3642">
            <w:pPr>
              <w:pStyle w:val="BodyText"/>
            </w:pPr>
            <w:r w:rsidRPr="00BC0777">
              <w:t xml:space="preserve">This represents the </w:t>
            </w:r>
            <w:r>
              <w:t xml:space="preserve">appropriation </w:t>
            </w:r>
            <w:r w:rsidRPr="00BC0777">
              <w:t>passed on by the principal agencies to the other government agencies within the cluster</w:t>
            </w:r>
            <w:r>
              <w:t xml:space="preserve"> to fund their services</w:t>
            </w:r>
            <w:r w:rsidRPr="00BC0777">
              <w:t>.</w:t>
            </w:r>
          </w:p>
        </w:tc>
      </w:tr>
      <w:tr w:rsidR="00BC0777" w:rsidRPr="004B2BB4" w14:paraId="1D5B8A20" w14:textId="77777777" w:rsidTr="00DE7F19">
        <w:trPr>
          <w:cantSplit/>
        </w:trPr>
        <w:tc>
          <w:tcPr>
            <w:tcW w:w="2366" w:type="dxa"/>
            <w:gridSpan w:val="2"/>
          </w:tcPr>
          <w:p w14:paraId="10047DBE" w14:textId="77777777" w:rsidR="00BC0777" w:rsidRDefault="00BC0777" w:rsidP="00B443CE">
            <w:pPr>
              <w:pStyle w:val="Heading3"/>
              <w:keepNext w:val="0"/>
              <w:spacing w:before="60" w:after="60" w:line="240" w:lineRule="atLeast"/>
              <w:rPr>
                <w:rFonts w:ascii="Arial" w:hAnsi="Arial" w:cs="Arial"/>
                <w:b w:val="0"/>
                <w:sz w:val="17"/>
                <w:szCs w:val="17"/>
              </w:rPr>
            </w:pPr>
            <w:r>
              <w:rPr>
                <w:rFonts w:ascii="Arial" w:hAnsi="Arial" w:cs="Arial"/>
                <w:b w:val="0"/>
                <w:sz w:val="17"/>
                <w:szCs w:val="17"/>
              </w:rPr>
              <w:t>Commitments*</w:t>
            </w:r>
          </w:p>
          <w:p w14:paraId="02550C90" w14:textId="3446627E" w:rsidR="00032304" w:rsidRPr="00032304" w:rsidRDefault="008E4940" w:rsidP="00ED3642">
            <w:pPr>
              <w:pStyle w:val="BodyText"/>
            </w:pPr>
            <w:r>
              <w:t>(</w:t>
            </w:r>
            <w:r w:rsidR="00032304">
              <w:t>Restart NSW</w:t>
            </w:r>
            <w:r>
              <w:t>)</w:t>
            </w:r>
          </w:p>
        </w:tc>
        <w:tc>
          <w:tcPr>
            <w:tcW w:w="7273" w:type="dxa"/>
          </w:tcPr>
          <w:p w14:paraId="13CF9388" w14:textId="467D2611" w:rsidR="00BC0777" w:rsidRDefault="00BC0777" w:rsidP="00ED3642">
            <w:pPr>
              <w:pStyle w:val="BodyText"/>
            </w:pPr>
            <w:r w:rsidRPr="00070C38">
              <w:t xml:space="preserve">Inflows that are committed to be spent on an individual project. A Restart NSW commitment can only be recognised once the Treasurer has accepted a specific funding recommendation from Infrastructure NSW for an individual project, as required by the </w:t>
            </w:r>
            <w:r w:rsidRPr="00070C38">
              <w:rPr>
                <w:i/>
              </w:rPr>
              <w:t>Restart NSW Fund Act 2011</w:t>
            </w:r>
            <w:r w:rsidRPr="00070C38">
              <w:t xml:space="preserve"> (Restart Act). </w:t>
            </w:r>
          </w:p>
        </w:tc>
      </w:tr>
      <w:tr w:rsidR="00BC0777" w:rsidRPr="004B2BB4" w14:paraId="7EDC9AF0" w14:textId="77777777" w:rsidTr="00DE7F19">
        <w:trPr>
          <w:cantSplit/>
        </w:trPr>
        <w:tc>
          <w:tcPr>
            <w:tcW w:w="2366" w:type="dxa"/>
            <w:gridSpan w:val="2"/>
            <w:tcBorders>
              <w:bottom w:val="single" w:sz="4" w:space="0" w:color="A6A6A6" w:themeColor="background1" w:themeShade="A6"/>
            </w:tcBorders>
          </w:tcPr>
          <w:p w14:paraId="64006690" w14:textId="77777777" w:rsidR="00BC0777" w:rsidRPr="004B2BB4" w:rsidRDefault="00BC0777" w:rsidP="00B443CE">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Consolidated Fund</w:t>
            </w:r>
          </w:p>
        </w:tc>
        <w:tc>
          <w:tcPr>
            <w:tcW w:w="7273" w:type="dxa"/>
            <w:tcBorders>
              <w:bottom w:val="single" w:sz="4" w:space="0" w:color="A6A6A6" w:themeColor="background1" w:themeShade="A6"/>
            </w:tcBorders>
          </w:tcPr>
          <w:p w14:paraId="7E6B8BBC" w14:textId="77777777" w:rsidR="00BC0777" w:rsidRPr="004B2BB4" w:rsidRDefault="00BC0777" w:rsidP="00ED3642">
            <w:pPr>
              <w:pStyle w:val="BodyText"/>
            </w:pPr>
            <w:r w:rsidRPr="004B2BB4">
              <w:t>The fund is established under s39 of the</w:t>
            </w:r>
            <w:r w:rsidRPr="004B2BB4">
              <w:rPr>
                <w:i/>
              </w:rPr>
              <w:t xml:space="preserve"> Constitution Act 1902</w:t>
            </w:r>
            <w:r w:rsidRPr="004B2BB4">
              <w:t xml:space="preserve"> to collect public monies collected on behalf of the State.  </w:t>
            </w:r>
          </w:p>
        </w:tc>
      </w:tr>
      <w:tr w:rsidR="00F718EF" w:rsidRPr="004B2BB4" w14:paraId="6B8DC224" w14:textId="77777777" w:rsidTr="00DE7F19">
        <w:trPr>
          <w:cantSplit/>
        </w:trPr>
        <w:tc>
          <w:tcPr>
            <w:tcW w:w="2366" w:type="dxa"/>
            <w:gridSpan w:val="2"/>
            <w:tcBorders>
              <w:top w:val="single" w:sz="4" w:space="0" w:color="A6A6A6" w:themeColor="background1" w:themeShade="A6"/>
              <w:bottom w:val="single" w:sz="4" w:space="0" w:color="A6A6A6" w:themeColor="background1" w:themeShade="A6"/>
            </w:tcBorders>
          </w:tcPr>
          <w:p w14:paraId="547DFC36" w14:textId="5C687AF6" w:rsidR="00F718EF" w:rsidRPr="004B2BB4" w:rsidRDefault="00F718EF" w:rsidP="00F718EF">
            <w:pPr>
              <w:pStyle w:val="Heading3"/>
              <w:keepNext w:val="0"/>
              <w:spacing w:before="60" w:after="60" w:line="240" w:lineRule="atLeast"/>
              <w:rPr>
                <w:rFonts w:ascii="Arial" w:hAnsi="Arial" w:cs="Arial"/>
                <w:b w:val="0"/>
                <w:sz w:val="17"/>
                <w:szCs w:val="17"/>
              </w:rPr>
            </w:pPr>
            <w:r>
              <w:rPr>
                <w:rFonts w:ascii="Arial" w:hAnsi="Arial" w:cs="Arial"/>
                <w:b w:val="0"/>
                <w:sz w:val="17"/>
                <w:szCs w:val="17"/>
              </w:rPr>
              <w:t>Crown Entity</w:t>
            </w:r>
          </w:p>
        </w:tc>
        <w:tc>
          <w:tcPr>
            <w:tcW w:w="7273" w:type="dxa"/>
            <w:tcBorders>
              <w:top w:val="single" w:sz="4" w:space="0" w:color="A6A6A6" w:themeColor="background1" w:themeShade="A6"/>
              <w:bottom w:val="single" w:sz="4" w:space="0" w:color="A6A6A6" w:themeColor="background1" w:themeShade="A6"/>
            </w:tcBorders>
          </w:tcPr>
          <w:p w14:paraId="00417E0F" w14:textId="2F421665" w:rsidR="00F718EF" w:rsidRPr="004B2BB4" w:rsidRDefault="00F718EF" w:rsidP="00ED3642">
            <w:pPr>
              <w:pStyle w:val="BodyText"/>
            </w:pPr>
            <w:r w:rsidRPr="00BC0777">
              <w:t>Includes the Crown Finance Entity and the Consolidated Fund</w:t>
            </w:r>
            <w:r>
              <w:t>.</w:t>
            </w:r>
          </w:p>
        </w:tc>
      </w:tr>
      <w:tr w:rsidR="000F2048" w:rsidRPr="004B2BB4" w14:paraId="5F7DD93E" w14:textId="77777777" w:rsidTr="00DE7F19">
        <w:trPr>
          <w:cantSplit/>
        </w:trPr>
        <w:tc>
          <w:tcPr>
            <w:tcW w:w="2352" w:type="dxa"/>
            <w:tcBorders>
              <w:top w:val="nil"/>
              <w:bottom w:val="single" w:sz="4" w:space="0" w:color="A6A6A6" w:themeColor="background1" w:themeShade="A6"/>
            </w:tcBorders>
          </w:tcPr>
          <w:p w14:paraId="30A15DEE" w14:textId="03883D39" w:rsidR="000F2048" w:rsidRPr="004B2BB4" w:rsidRDefault="000F2048" w:rsidP="000F2048">
            <w:pPr>
              <w:pStyle w:val="Heading3"/>
              <w:keepNext w:val="0"/>
              <w:spacing w:before="60" w:after="60" w:line="240" w:lineRule="atLeast"/>
              <w:rPr>
                <w:rFonts w:ascii="Arial" w:hAnsi="Arial" w:cs="Arial"/>
                <w:b w:val="0"/>
                <w:sz w:val="17"/>
                <w:szCs w:val="17"/>
              </w:rPr>
            </w:pPr>
            <w:r>
              <w:rPr>
                <w:rFonts w:ascii="Arial" w:hAnsi="Arial" w:cs="Arial"/>
                <w:b w:val="0"/>
                <w:sz w:val="17"/>
                <w:szCs w:val="17"/>
              </w:rPr>
              <w:t>Crown Finance Entity</w:t>
            </w:r>
          </w:p>
        </w:tc>
        <w:tc>
          <w:tcPr>
            <w:tcW w:w="7287" w:type="dxa"/>
            <w:gridSpan w:val="2"/>
            <w:tcBorders>
              <w:top w:val="nil"/>
              <w:bottom w:val="single" w:sz="4" w:space="0" w:color="A6A6A6" w:themeColor="background1" w:themeShade="A6"/>
            </w:tcBorders>
          </w:tcPr>
          <w:p w14:paraId="399D3819" w14:textId="31CCA32C" w:rsidR="000F2048" w:rsidRPr="004B2BB4" w:rsidRDefault="000F2048" w:rsidP="00ED3642">
            <w:pPr>
              <w:pStyle w:val="BodyText"/>
            </w:pPr>
            <w:r w:rsidRPr="00BC0777">
              <w:t xml:space="preserve">The Crown Finance Entity acts as the residual entity for NSW whole-of-government transactions that are not the responsibility of any other state public sector agency. Major assets reported by the Crown Finance Entity include investments for the NSW Infrastructure Future Fund and Social Affordable Housing Fund. </w:t>
            </w:r>
          </w:p>
        </w:tc>
      </w:tr>
      <w:tr w:rsidR="000F2048" w:rsidRPr="004B2BB4" w14:paraId="14D79B59"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257794E4" w14:textId="6A85FBB8" w:rsidR="000F2048" w:rsidRPr="004B2BB4" w:rsidRDefault="000F2048" w:rsidP="000F2048">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Current grants</w:t>
            </w:r>
          </w:p>
        </w:tc>
        <w:tc>
          <w:tcPr>
            <w:tcW w:w="7287" w:type="dxa"/>
            <w:gridSpan w:val="2"/>
            <w:tcBorders>
              <w:top w:val="single" w:sz="4" w:space="0" w:color="A6A6A6" w:themeColor="background1" w:themeShade="A6"/>
              <w:bottom w:val="single" w:sz="4" w:space="0" w:color="A6A6A6" w:themeColor="background1" w:themeShade="A6"/>
            </w:tcBorders>
          </w:tcPr>
          <w:p w14:paraId="7797C7C4" w14:textId="3116AFB1" w:rsidR="000F2048" w:rsidRPr="004B2BB4" w:rsidRDefault="000F2048" w:rsidP="00ED3642">
            <w:pPr>
              <w:pStyle w:val="BodyText"/>
            </w:pPr>
            <w:r w:rsidRPr="004B2BB4">
              <w:t>Amounts paid or received for current purposes for which no economic benefits of equal value are receivable or payable in return.</w:t>
            </w:r>
          </w:p>
        </w:tc>
      </w:tr>
      <w:tr w:rsidR="000F2048" w:rsidRPr="004B2BB4" w14:paraId="08D396BE"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40239476" w14:textId="5328ED6D" w:rsidR="000F2048" w:rsidRPr="004B2BB4" w:rsidRDefault="000F2048" w:rsidP="000F2048">
            <w:pPr>
              <w:pStyle w:val="Heading3"/>
              <w:keepNext w:val="0"/>
              <w:spacing w:before="60" w:after="60" w:line="240" w:lineRule="atLeast"/>
              <w:rPr>
                <w:rFonts w:ascii="Arial" w:hAnsi="Arial" w:cs="Arial"/>
                <w:b w:val="0"/>
                <w:sz w:val="17"/>
                <w:szCs w:val="17"/>
              </w:rPr>
            </w:pPr>
            <w:r>
              <w:rPr>
                <w:rFonts w:ascii="Arial" w:hAnsi="Arial" w:cs="Arial"/>
                <w:b w:val="0"/>
                <w:sz w:val="17"/>
                <w:szCs w:val="17"/>
              </w:rPr>
              <w:t>Estimated total cost (ETC)</w:t>
            </w:r>
          </w:p>
        </w:tc>
        <w:tc>
          <w:tcPr>
            <w:tcW w:w="7287" w:type="dxa"/>
            <w:gridSpan w:val="2"/>
            <w:tcBorders>
              <w:top w:val="single" w:sz="4" w:space="0" w:color="A6A6A6" w:themeColor="background1" w:themeShade="A6"/>
              <w:bottom w:val="single" w:sz="4" w:space="0" w:color="A6A6A6" w:themeColor="background1" w:themeShade="A6"/>
            </w:tcBorders>
          </w:tcPr>
          <w:p w14:paraId="30034750" w14:textId="1298AF19" w:rsidR="000F2048" w:rsidRPr="004B2BB4" w:rsidRDefault="000F2048" w:rsidP="00ED3642">
            <w:pPr>
              <w:pStyle w:val="BodyText"/>
            </w:pPr>
            <w:r>
              <w:t>Represents the current cost estimate of planning, procuring and delivering the infrastructure/project/asset. The ETC may change as more detailed planning is undertaken and further information on market conditions becomes available. Due to commercial sensitivities, the ETC for some major works is not included.</w:t>
            </w:r>
          </w:p>
        </w:tc>
      </w:tr>
      <w:tr w:rsidR="000F2048" w:rsidRPr="004B2BB4" w14:paraId="10777B63"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52326896" w14:textId="016FA298" w:rsidR="000F2048" w:rsidRPr="004B2BB4" w:rsidRDefault="000F2048" w:rsidP="000F2048">
            <w:pPr>
              <w:pStyle w:val="Heading3"/>
              <w:keepNext w:val="0"/>
              <w:spacing w:before="60" w:after="60" w:line="240" w:lineRule="atLeast"/>
              <w:rPr>
                <w:rFonts w:ascii="Arial" w:hAnsi="Arial" w:cs="Arial"/>
                <w:b w:val="0"/>
                <w:sz w:val="17"/>
                <w:szCs w:val="17"/>
              </w:rPr>
            </w:pPr>
            <w:r w:rsidRPr="004B2BB4">
              <w:rPr>
                <w:rFonts w:ascii="Arial" w:hAnsi="Arial" w:cs="Arial"/>
                <w:b w:val="0"/>
                <w:i/>
                <w:sz w:val="17"/>
                <w:szCs w:val="17"/>
              </w:rPr>
              <w:t xml:space="preserve">Fiscal Responsibility Act 2012 </w:t>
            </w:r>
            <w:r w:rsidRPr="004B2BB4">
              <w:rPr>
                <w:rFonts w:ascii="Arial" w:hAnsi="Arial" w:cs="Arial"/>
                <w:b w:val="0"/>
                <w:sz w:val="17"/>
                <w:szCs w:val="17"/>
              </w:rPr>
              <w:t>(FRA)</w:t>
            </w:r>
            <w:r w:rsidR="006162B6">
              <w:rPr>
                <w:rFonts w:ascii="Arial" w:hAnsi="Arial" w:cs="Arial"/>
                <w:b w:val="0"/>
                <w:sz w:val="17"/>
                <w:szCs w:val="17"/>
              </w:rPr>
              <w:t xml:space="preserve"> Act</w:t>
            </w:r>
          </w:p>
        </w:tc>
        <w:tc>
          <w:tcPr>
            <w:tcW w:w="7287" w:type="dxa"/>
            <w:gridSpan w:val="2"/>
            <w:tcBorders>
              <w:top w:val="single" w:sz="4" w:space="0" w:color="A6A6A6" w:themeColor="background1" w:themeShade="A6"/>
              <w:bottom w:val="single" w:sz="4" w:space="0" w:color="A6A6A6" w:themeColor="background1" w:themeShade="A6"/>
            </w:tcBorders>
          </w:tcPr>
          <w:p w14:paraId="72E32E63" w14:textId="77777777" w:rsidR="000F2048" w:rsidRPr="004B2BB4" w:rsidRDefault="000F2048" w:rsidP="00ED3642">
            <w:pPr>
              <w:pStyle w:val="BodyText"/>
            </w:pPr>
            <w:r w:rsidRPr="004B2BB4">
              <w:t>The Act sets out both medium-term and long-term fiscal targets and principles providing a framework for budgeting in New South Wales.</w:t>
            </w:r>
          </w:p>
        </w:tc>
      </w:tr>
      <w:tr w:rsidR="000F2048" w:rsidRPr="004B2BB4" w14:paraId="0EECD816"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3478A126" w14:textId="1C7E51A1" w:rsidR="000F2048" w:rsidRPr="004B2BB4" w:rsidRDefault="000F2048" w:rsidP="000F2048">
            <w:pPr>
              <w:pStyle w:val="Heading3"/>
              <w:keepNext w:val="0"/>
              <w:spacing w:before="60" w:after="60" w:line="240" w:lineRule="atLeast"/>
              <w:rPr>
                <w:rFonts w:ascii="Arial" w:hAnsi="Arial" w:cs="Arial"/>
                <w:b w:val="0"/>
                <w:i/>
                <w:sz w:val="17"/>
                <w:szCs w:val="17"/>
              </w:rPr>
            </w:pPr>
            <w:r>
              <w:rPr>
                <w:rFonts w:ascii="Arial" w:hAnsi="Arial" w:cs="Arial"/>
                <w:b w:val="0"/>
                <w:sz w:val="17"/>
                <w:szCs w:val="17"/>
              </w:rPr>
              <w:t>Forward estimates</w:t>
            </w:r>
          </w:p>
        </w:tc>
        <w:tc>
          <w:tcPr>
            <w:tcW w:w="7287" w:type="dxa"/>
            <w:gridSpan w:val="2"/>
            <w:tcBorders>
              <w:top w:val="single" w:sz="4" w:space="0" w:color="A6A6A6" w:themeColor="background1" w:themeShade="A6"/>
              <w:bottom w:val="single" w:sz="4" w:space="0" w:color="A6A6A6" w:themeColor="background1" w:themeShade="A6"/>
            </w:tcBorders>
          </w:tcPr>
          <w:p w14:paraId="12CAF384" w14:textId="25DD6114" w:rsidR="000F2048" w:rsidRPr="004B2BB4" w:rsidRDefault="000F2048" w:rsidP="00ED3642">
            <w:pPr>
              <w:pStyle w:val="BodyText"/>
            </w:pPr>
            <w:r>
              <w:t>Refers to the period from 20</w:t>
            </w:r>
            <w:r w:rsidR="00B348D5">
              <w:t>20</w:t>
            </w:r>
            <w:r>
              <w:t>-2</w:t>
            </w:r>
            <w:r w:rsidR="00B348D5">
              <w:t>1</w:t>
            </w:r>
            <w:r>
              <w:t xml:space="preserve"> to 202</w:t>
            </w:r>
            <w:r w:rsidR="00B348D5">
              <w:t>2</w:t>
            </w:r>
            <w:r>
              <w:t>-2</w:t>
            </w:r>
            <w:r w:rsidR="00B348D5">
              <w:t>3</w:t>
            </w:r>
            <w:r>
              <w:t>.</w:t>
            </w:r>
          </w:p>
        </w:tc>
      </w:tr>
      <w:tr w:rsidR="000F2048" w:rsidRPr="004B2BB4" w14:paraId="24F5CCEA"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52C53C56" w14:textId="77777777" w:rsidR="000F2048" w:rsidRPr="004B2BB4" w:rsidRDefault="000F2048" w:rsidP="000F2048">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General government sector (GGS)</w:t>
            </w:r>
          </w:p>
        </w:tc>
        <w:tc>
          <w:tcPr>
            <w:tcW w:w="7287" w:type="dxa"/>
            <w:gridSpan w:val="2"/>
            <w:tcBorders>
              <w:top w:val="single" w:sz="4" w:space="0" w:color="A6A6A6" w:themeColor="background1" w:themeShade="A6"/>
              <w:bottom w:val="single" w:sz="4" w:space="0" w:color="A6A6A6" w:themeColor="background1" w:themeShade="A6"/>
            </w:tcBorders>
          </w:tcPr>
          <w:p w14:paraId="73A891FF" w14:textId="77777777" w:rsidR="000F2048" w:rsidRPr="004B2BB4" w:rsidRDefault="000F2048" w:rsidP="00ED3642">
            <w:pPr>
              <w:pStyle w:val="BodyText"/>
            </w:pPr>
            <w:r w:rsidRPr="004B2BB4">
              <w:t xml:space="preserve">This is an ABS classification of agencies that provide public services (such as health, education and police), or </w:t>
            </w:r>
            <w:r>
              <w:t xml:space="preserve">perform a regulatory function. </w:t>
            </w:r>
            <w:r w:rsidRPr="004B2BB4">
              <w:t xml:space="preserve">General government agencies are funded in the main by taxation (directly or indirectly). </w:t>
            </w:r>
          </w:p>
        </w:tc>
      </w:tr>
      <w:tr w:rsidR="000F2048" w:rsidRPr="004B2BB4" w14:paraId="354A2F43"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5A76CC3F" w14:textId="5528CD7C" w:rsidR="000F2048" w:rsidRPr="004B2BB4" w:rsidRDefault="000F2048" w:rsidP="000F2048">
            <w:pPr>
              <w:pStyle w:val="Heading3"/>
              <w:keepNext w:val="0"/>
              <w:spacing w:before="60" w:after="60" w:line="240" w:lineRule="atLeast"/>
              <w:rPr>
                <w:rFonts w:ascii="Arial" w:hAnsi="Arial" w:cs="Arial"/>
                <w:b w:val="0"/>
                <w:sz w:val="17"/>
                <w:szCs w:val="17"/>
              </w:rPr>
            </w:pPr>
            <w:r>
              <w:rPr>
                <w:rFonts w:ascii="Arial" w:hAnsi="Arial" w:cs="Arial"/>
                <w:b w:val="0"/>
                <w:sz w:val="17"/>
                <w:szCs w:val="17"/>
              </w:rPr>
              <w:lastRenderedPageBreak/>
              <w:t>government / Government</w:t>
            </w:r>
          </w:p>
        </w:tc>
        <w:tc>
          <w:tcPr>
            <w:tcW w:w="7287" w:type="dxa"/>
            <w:gridSpan w:val="2"/>
            <w:tcBorders>
              <w:top w:val="single" w:sz="4" w:space="0" w:color="A6A6A6" w:themeColor="background1" w:themeShade="A6"/>
              <w:bottom w:val="single" w:sz="4" w:space="0" w:color="A6A6A6" w:themeColor="background1" w:themeShade="A6"/>
            </w:tcBorders>
          </w:tcPr>
          <w:p w14:paraId="12ED9751" w14:textId="42B855D7" w:rsidR="000F2048" w:rsidRDefault="000F2048" w:rsidP="00ED3642">
            <w:pPr>
              <w:pStyle w:val="BodyText"/>
            </w:pPr>
            <w:r>
              <w:t>‘government’ refers to the institution of government and is used as a pronoun in these budget papers (e.g. government department).</w:t>
            </w:r>
          </w:p>
          <w:p w14:paraId="1A868287" w14:textId="654895B8" w:rsidR="000F2048" w:rsidRPr="004B2BB4" w:rsidRDefault="000F2048" w:rsidP="00ED3642">
            <w:pPr>
              <w:pStyle w:val="BodyText"/>
            </w:pPr>
            <w:r>
              <w:t>The ‘Government’ refers to the present Government constituted by the Executive</w:t>
            </w:r>
            <w:r w:rsidR="00BC14BC">
              <w:t>.</w:t>
            </w:r>
          </w:p>
        </w:tc>
      </w:tr>
      <w:tr w:rsidR="000F2048" w:rsidRPr="004B2BB4" w14:paraId="6D408BE2"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6129B383" w14:textId="77777777" w:rsidR="000F2048" w:rsidRPr="004B2BB4" w:rsidRDefault="000F2048" w:rsidP="000F2048">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Government finance statistics (GFS)</w:t>
            </w:r>
          </w:p>
        </w:tc>
        <w:tc>
          <w:tcPr>
            <w:tcW w:w="7287" w:type="dxa"/>
            <w:gridSpan w:val="2"/>
            <w:tcBorders>
              <w:top w:val="single" w:sz="4" w:space="0" w:color="A6A6A6" w:themeColor="background1" w:themeShade="A6"/>
              <w:bottom w:val="single" w:sz="4" w:space="0" w:color="A6A6A6" w:themeColor="background1" w:themeShade="A6"/>
            </w:tcBorders>
          </w:tcPr>
          <w:p w14:paraId="17D8A50C" w14:textId="77777777" w:rsidR="000F2048" w:rsidRPr="004B2BB4" w:rsidRDefault="000F2048" w:rsidP="00ED3642">
            <w:pPr>
              <w:pStyle w:val="BodyText"/>
            </w:pPr>
            <w:r w:rsidRPr="004B2BB4">
              <w:t>A system of financial reporting developed by the International Monetary Fund and used by the Australian Bureau of Statistics to classify the financial transactions of governments and measure their impact on the rest of the economy.</w:t>
            </w:r>
          </w:p>
        </w:tc>
      </w:tr>
      <w:tr w:rsidR="00D057C2" w:rsidRPr="004B2BB4" w14:paraId="5AB12AE1" w14:textId="77777777" w:rsidTr="009251AA">
        <w:trPr>
          <w:cantSplit/>
        </w:trPr>
        <w:tc>
          <w:tcPr>
            <w:tcW w:w="2352" w:type="dxa"/>
            <w:tcBorders>
              <w:top w:val="single" w:sz="4" w:space="0" w:color="A6A6A6" w:themeColor="background1" w:themeShade="A6"/>
              <w:bottom w:val="single" w:sz="4" w:space="0" w:color="A6A6A6" w:themeColor="background1" w:themeShade="A6"/>
            </w:tcBorders>
          </w:tcPr>
          <w:p w14:paraId="290851FF" w14:textId="6F2C2E64" w:rsidR="00D057C2" w:rsidRPr="009251AA" w:rsidRDefault="00686F71" w:rsidP="009251AA">
            <w:pPr>
              <w:pStyle w:val="Heading3"/>
              <w:keepNext w:val="0"/>
              <w:spacing w:before="60" w:after="60" w:line="240" w:lineRule="atLeast"/>
              <w:rPr>
                <w:rFonts w:ascii="Arial" w:hAnsi="Arial" w:cs="Arial"/>
                <w:b w:val="0"/>
                <w:i/>
                <w:sz w:val="17"/>
                <w:szCs w:val="17"/>
              </w:rPr>
            </w:pPr>
            <w:r w:rsidRPr="00A54AD0">
              <w:rPr>
                <w:rFonts w:ascii="Arial" w:hAnsi="Arial" w:cs="Arial"/>
                <w:b w:val="0"/>
                <w:i/>
                <w:sz w:val="17"/>
                <w:szCs w:val="17"/>
              </w:rPr>
              <w:t>Government Sector Finance Act 2018</w:t>
            </w:r>
          </w:p>
        </w:tc>
        <w:tc>
          <w:tcPr>
            <w:tcW w:w="7287" w:type="dxa"/>
            <w:gridSpan w:val="2"/>
            <w:tcBorders>
              <w:top w:val="single" w:sz="4" w:space="0" w:color="A6A6A6" w:themeColor="background1" w:themeShade="A6"/>
              <w:bottom w:val="single" w:sz="4" w:space="0" w:color="A6A6A6" w:themeColor="background1" w:themeShade="A6"/>
            </w:tcBorders>
          </w:tcPr>
          <w:p w14:paraId="7FF825EF" w14:textId="77777777" w:rsidR="00AD7D33" w:rsidRDefault="00AD7D33" w:rsidP="00ED3642">
            <w:pPr>
              <w:pStyle w:val="BodyText"/>
            </w:pPr>
            <w:r>
              <w:t xml:space="preserve">The </w:t>
            </w:r>
            <w:r w:rsidRPr="005D485B">
              <w:rPr>
                <w:i/>
              </w:rPr>
              <w:t>Government Sector Finance Act 2018</w:t>
            </w:r>
            <w:r>
              <w:t xml:space="preserve"> creates the financial management framework for the government sector in New South Wales that promotes and supports sound financial management, budgeting, performance, financial risk management, transparency and accountability in the government sector. This Act will eventually replace four other Acts. </w:t>
            </w:r>
          </w:p>
          <w:p w14:paraId="6DD44C24" w14:textId="77777777" w:rsidR="00AD7D33" w:rsidRDefault="00AD7D33" w:rsidP="00DE7F19">
            <w:pPr>
              <w:pStyle w:val="Bullet1"/>
              <w:numPr>
                <w:ilvl w:val="0"/>
                <w:numId w:val="13"/>
              </w:numPr>
              <w:spacing w:line="240" w:lineRule="atLeast"/>
              <w:ind w:left="357" w:hanging="357"/>
            </w:pPr>
            <w:r>
              <w:t xml:space="preserve">The GSF Act replaced the Public Authorities (Financial Arrangements) Act 1987 from 1 December 2018. </w:t>
            </w:r>
          </w:p>
          <w:p w14:paraId="0479E6E9" w14:textId="77777777" w:rsidR="00AD7D33" w:rsidRDefault="00AD7D33" w:rsidP="00DE7F19">
            <w:pPr>
              <w:pStyle w:val="Bullet1"/>
              <w:numPr>
                <w:ilvl w:val="0"/>
                <w:numId w:val="13"/>
              </w:numPr>
              <w:spacing w:line="240" w:lineRule="atLeast"/>
              <w:ind w:left="357" w:hanging="357"/>
            </w:pPr>
            <w:r>
              <w:t xml:space="preserve">The GSF Act is proposed to replace the Annual Reports (Departments) Act 1985 and Annual Reports (Statutory Bodies) Act 1984 from 1 July 2020. </w:t>
            </w:r>
          </w:p>
          <w:p w14:paraId="3F3E78E8" w14:textId="195C2CA8" w:rsidR="00D057C2" w:rsidRPr="004B2BB4" w:rsidRDefault="00AD7D33" w:rsidP="00ED3642">
            <w:pPr>
              <w:pStyle w:val="BodyText"/>
            </w:pPr>
            <w:r>
              <w:t xml:space="preserve">The </w:t>
            </w:r>
            <w:r>
              <w:rPr>
                <w:i/>
                <w:iCs/>
              </w:rPr>
              <w:t>Public Finance and Audit Act 1983</w:t>
            </w:r>
            <w:r>
              <w:t xml:space="preserve"> is proposed to be renamed the </w:t>
            </w:r>
            <w:r>
              <w:rPr>
                <w:i/>
                <w:iCs/>
              </w:rPr>
              <w:t>Government Sector Audit Act 1983</w:t>
            </w:r>
            <w:r>
              <w:t xml:space="preserve"> from 1 July 2020 once all provisions other than those dealing with the Auditor-General, audit matters and the Public Accounts Committee have been omitted and replaced by the GSF </w:t>
            </w:r>
            <w:proofErr w:type="gramStart"/>
            <w:r>
              <w:t>Act.</w:t>
            </w:r>
            <w:r w:rsidR="00D057C2">
              <w:t>.</w:t>
            </w:r>
            <w:proofErr w:type="gramEnd"/>
            <w:r w:rsidR="00D057C2">
              <w:t xml:space="preserve"> </w:t>
            </w:r>
          </w:p>
        </w:tc>
      </w:tr>
      <w:tr w:rsidR="000F2048" w:rsidRPr="004B2BB4" w14:paraId="70E09C24" w14:textId="77777777" w:rsidTr="01B7C9C6">
        <w:trPr>
          <w:cantSplit/>
        </w:trPr>
        <w:tc>
          <w:tcPr>
            <w:tcW w:w="2352" w:type="dxa"/>
          </w:tcPr>
          <w:p w14:paraId="1C2CA582" w14:textId="77777777" w:rsidR="000F2048" w:rsidRPr="004B2BB4" w:rsidRDefault="000F2048" w:rsidP="000F2048">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Gross state product (GSP)</w:t>
            </w:r>
          </w:p>
        </w:tc>
        <w:tc>
          <w:tcPr>
            <w:tcW w:w="7287" w:type="dxa"/>
            <w:gridSpan w:val="2"/>
          </w:tcPr>
          <w:p w14:paraId="77D63C9F" w14:textId="77777777" w:rsidR="000F2048" w:rsidRPr="004B2BB4" w:rsidRDefault="000F2048" w:rsidP="00ED3642">
            <w:pPr>
              <w:pStyle w:val="BodyText"/>
            </w:pPr>
            <w:r w:rsidRPr="004B2BB4">
              <w:t>The total market value of final goods and services produced within a state.</w:t>
            </w:r>
          </w:p>
        </w:tc>
      </w:tr>
      <w:tr w:rsidR="00A83959" w:rsidRPr="004B2BB4" w14:paraId="5F683C6F" w14:textId="77777777" w:rsidTr="01B7C9C6">
        <w:trPr>
          <w:cantSplit/>
        </w:trPr>
        <w:tc>
          <w:tcPr>
            <w:tcW w:w="2352" w:type="dxa"/>
          </w:tcPr>
          <w:p w14:paraId="38C75875" w14:textId="358239E5" w:rsidR="00A83959" w:rsidRPr="004B2BB4" w:rsidRDefault="00A83959" w:rsidP="00A83959">
            <w:pPr>
              <w:pStyle w:val="Heading3"/>
              <w:keepNext w:val="0"/>
              <w:spacing w:before="60" w:after="60" w:line="240" w:lineRule="atLeast"/>
              <w:rPr>
                <w:rFonts w:ascii="Arial" w:hAnsi="Arial" w:cs="Arial"/>
                <w:b w:val="0"/>
                <w:sz w:val="17"/>
                <w:szCs w:val="17"/>
              </w:rPr>
            </w:pPr>
            <w:r>
              <w:rPr>
                <w:rFonts w:ascii="Arial" w:hAnsi="Arial" w:cs="Arial"/>
                <w:b w:val="0"/>
                <w:sz w:val="17"/>
                <w:szCs w:val="17"/>
              </w:rPr>
              <w:t>Half-Yearly Review</w:t>
            </w:r>
          </w:p>
        </w:tc>
        <w:tc>
          <w:tcPr>
            <w:tcW w:w="7287" w:type="dxa"/>
            <w:gridSpan w:val="2"/>
          </w:tcPr>
          <w:p w14:paraId="5299553F" w14:textId="5FF3DB75" w:rsidR="00A83959" w:rsidRPr="004B2BB4" w:rsidRDefault="00A83959" w:rsidP="00ED3642">
            <w:pPr>
              <w:pStyle w:val="BodyText"/>
            </w:pPr>
            <w:r>
              <w:t>Required under legislation, the Half-Yearly Review provides an update to the economic and financial assumptions released in the Budget.</w:t>
            </w:r>
          </w:p>
        </w:tc>
      </w:tr>
      <w:tr w:rsidR="00A83959" w:rsidRPr="004B2BB4" w14:paraId="4BED3907" w14:textId="77777777" w:rsidTr="01B7C9C6">
        <w:trPr>
          <w:cantSplit/>
        </w:trPr>
        <w:tc>
          <w:tcPr>
            <w:tcW w:w="2352" w:type="dxa"/>
          </w:tcPr>
          <w:p w14:paraId="0C6B9313" w14:textId="77777777" w:rsidR="00A83959" w:rsidRDefault="00A83959" w:rsidP="00A83959">
            <w:pPr>
              <w:pStyle w:val="Heading3"/>
              <w:keepNext w:val="0"/>
              <w:spacing w:before="60" w:line="240" w:lineRule="atLeast"/>
              <w:rPr>
                <w:rFonts w:ascii="Arial" w:hAnsi="Arial" w:cs="Arial"/>
                <w:b w:val="0"/>
                <w:sz w:val="17"/>
                <w:szCs w:val="17"/>
              </w:rPr>
            </w:pPr>
            <w:r>
              <w:rPr>
                <w:rFonts w:ascii="Arial" w:hAnsi="Arial" w:cs="Arial"/>
                <w:b w:val="0"/>
                <w:sz w:val="17"/>
                <w:szCs w:val="17"/>
              </w:rPr>
              <w:t>Inflows*</w:t>
            </w:r>
          </w:p>
          <w:p w14:paraId="73D2FEFF" w14:textId="21746AD3" w:rsidR="00A83959" w:rsidRPr="00AE26B3" w:rsidRDefault="00A83959" w:rsidP="00ED3642">
            <w:pPr>
              <w:pStyle w:val="BodyText"/>
            </w:pPr>
            <w:r w:rsidRPr="00AE26B3">
              <w:t>(Restart NSW)</w:t>
            </w:r>
          </w:p>
        </w:tc>
        <w:tc>
          <w:tcPr>
            <w:tcW w:w="7287" w:type="dxa"/>
            <w:gridSpan w:val="2"/>
          </w:tcPr>
          <w:p w14:paraId="008D6876" w14:textId="77777777" w:rsidR="00A83959" w:rsidRPr="004B2BB4" w:rsidRDefault="00A83959" w:rsidP="00ED3642">
            <w:pPr>
              <w:pStyle w:val="BodyText"/>
            </w:pPr>
            <w:r w:rsidRPr="00070C38">
              <w:t>Funds deposited into Restart NSW, including proceeds from asset recycling transactions, Commonwealth Government Asset Recycling Initiative payments, proceeds from Waratah Bonds, windfall tax revenue, and investment earnings, which are then invested into Rebuilding NSW and other Restart NSW projects</w:t>
            </w:r>
            <w:r>
              <w:t>.</w:t>
            </w:r>
          </w:p>
        </w:tc>
      </w:tr>
      <w:tr w:rsidR="00A83959" w:rsidRPr="004B2BB4" w14:paraId="1A1F8092"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3B377623" w14:textId="07662A6A" w:rsidR="00A83959" w:rsidRDefault="00A83959" w:rsidP="00A83959">
            <w:pPr>
              <w:pStyle w:val="Heading3"/>
              <w:keepNext w:val="0"/>
              <w:spacing w:before="60" w:after="60" w:line="240" w:lineRule="atLeast"/>
              <w:rPr>
                <w:rFonts w:ascii="Arial" w:hAnsi="Arial" w:cs="Arial"/>
                <w:b w:val="0"/>
                <w:sz w:val="17"/>
                <w:szCs w:val="17"/>
              </w:rPr>
            </w:pPr>
            <w:r>
              <w:rPr>
                <w:rFonts w:ascii="Arial" w:hAnsi="Arial" w:cs="Arial"/>
                <w:b w:val="0"/>
                <w:sz w:val="17"/>
                <w:szCs w:val="17"/>
              </w:rPr>
              <w:t xml:space="preserve">Machinery of </w:t>
            </w:r>
            <w:r w:rsidR="004C65C6">
              <w:rPr>
                <w:rFonts w:ascii="Arial" w:hAnsi="Arial" w:cs="Arial"/>
                <w:b w:val="0"/>
                <w:sz w:val="17"/>
                <w:szCs w:val="17"/>
              </w:rPr>
              <w:t>G</w:t>
            </w:r>
            <w:r>
              <w:rPr>
                <w:rFonts w:ascii="Arial" w:hAnsi="Arial" w:cs="Arial"/>
                <w:b w:val="0"/>
                <w:sz w:val="17"/>
                <w:szCs w:val="17"/>
              </w:rPr>
              <w:t>overnment (</w:t>
            </w:r>
            <w:proofErr w:type="spellStart"/>
            <w:r>
              <w:rPr>
                <w:rFonts w:ascii="Arial" w:hAnsi="Arial" w:cs="Arial"/>
                <w:b w:val="0"/>
                <w:sz w:val="17"/>
                <w:szCs w:val="17"/>
              </w:rPr>
              <w:t>MoG</w:t>
            </w:r>
            <w:proofErr w:type="spellEnd"/>
            <w:r>
              <w:rPr>
                <w:rFonts w:ascii="Arial" w:hAnsi="Arial" w:cs="Arial"/>
                <w:b w:val="0"/>
                <w:sz w:val="17"/>
                <w:szCs w:val="17"/>
              </w:rPr>
              <w:t>)</w:t>
            </w:r>
          </w:p>
        </w:tc>
        <w:tc>
          <w:tcPr>
            <w:tcW w:w="7287" w:type="dxa"/>
            <w:gridSpan w:val="2"/>
            <w:tcBorders>
              <w:top w:val="single" w:sz="4" w:space="0" w:color="A6A6A6" w:themeColor="background1" w:themeShade="A6"/>
              <w:bottom w:val="single" w:sz="4" w:space="0" w:color="A6A6A6" w:themeColor="background1" w:themeShade="A6"/>
            </w:tcBorders>
          </w:tcPr>
          <w:p w14:paraId="59BBF128" w14:textId="77777777" w:rsidR="00A83959" w:rsidRDefault="00A83959" w:rsidP="00ED3642">
            <w:pPr>
              <w:pStyle w:val="BodyText"/>
            </w:pPr>
            <w:proofErr w:type="spellStart"/>
            <w:r w:rsidRPr="001E2E42">
              <w:t>MoG</w:t>
            </w:r>
            <w:proofErr w:type="spellEnd"/>
            <w:r w:rsidRPr="001E2E42">
              <w:t xml:space="preserve"> changes vary in scope and can involve: the abolition or creation of new government entities; the merger or absorption of entities; and small or large transfers of policy, program or service delivery responsibilities to other entities.</w:t>
            </w:r>
          </w:p>
        </w:tc>
      </w:tr>
      <w:tr w:rsidR="00A83959" w:rsidRPr="004B2BB4" w14:paraId="20089698"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3F30AD34" w14:textId="77777777" w:rsidR="00A83959" w:rsidRPr="004B2BB4" w:rsidRDefault="00A83959" w:rsidP="00A83959">
            <w:pPr>
              <w:pStyle w:val="Heading3"/>
              <w:keepNext w:val="0"/>
              <w:spacing w:before="60" w:after="60" w:line="240" w:lineRule="atLeast"/>
              <w:rPr>
                <w:rFonts w:ascii="Arial" w:hAnsi="Arial" w:cs="Arial"/>
                <w:b w:val="0"/>
                <w:sz w:val="17"/>
                <w:szCs w:val="17"/>
              </w:rPr>
            </w:pPr>
            <w:r>
              <w:rPr>
                <w:rFonts w:ascii="Arial" w:hAnsi="Arial" w:cs="Arial"/>
                <w:b w:val="0"/>
                <w:sz w:val="17"/>
                <w:szCs w:val="17"/>
              </w:rPr>
              <w:t>Major works</w:t>
            </w:r>
          </w:p>
        </w:tc>
        <w:tc>
          <w:tcPr>
            <w:tcW w:w="7287" w:type="dxa"/>
            <w:gridSpan w:val="2"/>
            <w:tcBorders>
              <w:top w:val="single" w:sz="4" w:space="0" w:color="A6A6A6" w:themeColor="background1" w:themeShade="A6"/>
              <w:bottom w:val="single" w:sz="4" w:space="0" w:color="A6A6A6" w:themeColor="background1" w:themeShade="A6"/>
            </w:tcBorders>
          </w:tcPr>
          <w:p w14:paraId="497170FE" w14:textId="4E0440FE" w:rsidR="00A83959" w:rsidRPr="004B2BB4" w:rsidRDefault="00A83959" w:rsidP="00ED3642">
            <w:pPr>
              <w:pStyle w:val="BodyText"/>
            </w:pPr>
            <w:r>
              <w:t>Refers to projects with an estimated total cost of $250,000 or above, subdivided into new projects (approved to begin in 2019-20) and works in progress (commenced before 2019-20 but not yet completed).</w:t>
            </w:r>
          </w:p>
        </w:tc>
      </w:tr>
      <w:tr w:rsidR="00A83959" w:rsidRPr="004B2BB4" w14:paraId="75A32CA2" w14:textId="77777777" w:rsidTr="01B7C9C6">
        <w:trPr>
          <w:cantSplit/>
        </w:trPr>
        <w:tc>
          <w:tcPr>
            <w:tcW w:w="2352" w:type="dxa"/>
            <w:tcBorders>
              <w:bottom w:val="single" w:sz="4" w:space="0" w:color="A6A6A6" w:themeColor="background1" w:themeShade="A6"/>
            </w:tcBorders>
          </w:tcPr>
          <w:p w14:paraId="0486024A" w14:textId="77777777" w:rsidR="00A83959" w:rsidRPr="004B2BB4" w:rsidRDefault="00A83959" w:rsidP="00A83959">
            <w:pPr>
              <w:pStyle w:val="Heading3"/>
              <w:keepNext w:val="0"/>
              <w:spacing w:before="60" w:after="60" w:line="240" w:lineRule="atLeast"/>
              <w:rPr>
                <w:rFonts w:ascii="Arial" w:hAnsi="Arial" w:cs="Arial"/>
                <w:b w:val="0"/>
                <w:sz w:val="17"/>
                <w:szCs w:val="17"/>
              </w:rPr>
            </w:pPr>
            <w:r>
              <w:rPr>
                <w:rFonts w:ascii="Arial" w:hAnsi="Arial" w:cs="Arial"/>
                <w:b w:val="0"/>
                <w:sz w:val="17"/>
                <w:szCs w:val="17"/>
              </w:rPr>
              <w:t>Minor works</w:t>
            </w:r>
          </w:p>
        </w:tc>
        <w:tc>
          <w:tcPr>
            <w:tcW w:w="7287" w:type="dxa"/>
            <w:gridSpan w:val="2"/>
            <w:tcBorders>
              <w:bottom w:val="single" w:sz="4" w:space="0" w:color="A6A6A6" w:themeColor="background1" w:themeShade="A6"/>
            </w:tcBorders>
          </w:tcPr>
          <w:p w14:paraId="241285C9" w14:textId="77777777" w:rsidR="00A83959" w:rsidRPr="004B2BB4" w:rsidRDefault="00A83959" w:rsidP="00ED3642">
            <w:pPr>
              <w:pStyle w:val="BodyText"/>
            </w:pPr>
            <w:r>
              <w:t xml:space="preserve">Refers to projects with an estimated total cost below $250,000, such as minor plant and equipment or annual provisions for replacements. </w:t>
            </w:r>
          </w:p>
        </w:tc>
      </w:tr>
      <w:tr w:rsidR="00A83959" w:rsidRPr="004B2BB4" w14:paraId="5E235DD1"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0FF44109" w14:textId="77777777" w:rsidR="00A83959" w:rsidRPr="004B2BB4" w:rsidRDefault="00A83959" w:rsidP="00A83959">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National Agreement (please also see National Specific Purpose Payments)</w:t>
            </w:r>
          </w:p>
        </w:tc>
        <w:tc>
          <w:tcPr>
            <w:tcW w:w="7287" w:type="dxa"/>
            <w:gridSpan w:val="2"/>
            <w:tcBorders>
              <w:top w:val="single" w:sz="4" w:space="0" w:color="A6A6A6" w:themeColor="background1" w:themeShade="A6"/>
              <w:bottom w:val="single" w:sz="4" w:space="0" w:color="A6A6A6" w:themeColor="background1" w:themeShade="A6"/>
            </w:tcBorders>
          </w:tcPr>
          <w:p w14:paraId="286FA540" w14:textId="77777777" w:rsidR="00A83959" w:rsidRPr="004B2BB4" w:rsidRDefault="00A83959" w:rsidP="00ED3642">
            <w:pPr>
              <w:pStyle w:val="BodyText"/>
            </w:pPr>
            <w:r w:rsidRPr="004B2BB4">
              <w:t xml:space="preserve">National Agreements define the objectives, outcomes, outputs and performance indicators, and clarify the roles and responsibilities that guide the Commonwealth and the States in the delivery of services across a </w:t>
            </w:r>
            <w:proofErr w:type="gramStart"/>
            <w:r w:rsidRPr="004B2BB4">
              <w:t>particular sector</w:t>
            </w:r>
            <w:proofErr w:type="gramEnd"/>
            <w:r w:rsidRPr="004B2BB4">
              <w:t>. The sectors include; Health, Education, Skills and Workforce, Disability and Indigenous.</w:t>
            </w:r>
          </w:p>
        </w:tc>
      </w:tr>
      <w:tr w:rsidR="00A83959" w:rsidRPr="004B2BB4" w14:paraId="0277427F"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0DD30567" w14:textId="77777777" w:rsidR="00A83959" w:rsidRPr="004B2BB4" w:rsidRDefault="00A83959" w:rsidP="00A83959">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National Partnership Payment (NPP)</w:t>
            </w:r>
          </w:p>
        </w:tc>
        <w:tc>
          <w:tcPr>
            <w:tcW w:w="7287" w:type="dxa"/>
            <w:gridSpan w:val="2"/>
            <w:tcBorders>
              <w:top w:val="single" w:sz="4" w:space="0" w:color="A6A6A6" w:themeColor="background1" w:themeShade="A6"/>
              <w:bottom w:val="single" w:sz="4" w:space="0" w:color="A6A6A6" w:themeColor="background1" w:themeShade="A6"/>
            </w:tcBorders>
          </w:tcPr>
          <w:p w14:paraId="7382F829" w14:textId="77777777" w:rsidR="00A83959" w:rsidRPr="004B2BB4" w:rsidRDefault="00A83959" w:rsidP="00ED3642">
            <w:pPr>
              <w:pStyle w:val="BodyText"/>
            </w:pPr>
            <w:r>
              <w:t xml:space="preserve">A Commonwealth </w:t>
            </w:r>
            <w:r w:rsidRPr="004B2BB4">
              <w:t>Government grant to States and Territories to support the delivery of specified outputs or projects, to facilitate reforms or to reward the delivery of n</w:t>
            </w:r>
            <w:r>
              <w:t>ationally significant reforms. </w:t>
            </w:r>
            <w:r w:rsidRPr="004B2BB4">
              <w:t>Each NPP is supported by a National Partnership Agreement which defines mutually agreed objectives, outputs and performance benchmarks.</w:t>
            </w:r>
          </w:p>
        </w:tc>
      </w:tr>
      <w:tr w:rsidR="00A83959" w:rsidRPr="004B2BB4" w14:paraId="6D950494" w14:textId="77777777" w:rsidTr="00DE7F19">
        <w:trPr>
          <w:cantSplit/>
        </w:trPr>
        <w:tc>
          <w:tcPr>
            <w:tcW w:w="2352" w:type="dxa"/>
            <w:tcBorders>
              <w:top w:val="single" w:sz="4" w:space="0" w:color="A6A6A6" w:themeColor="background1" w:themeShade="A6"/>
              <w:bottom w:val="single" w:sz="4" w:space="0" w:color="A6A6A6" w:themeColor="background1" w:themeShade="A6"/>
            </w:tcBorders>
          </w:tcPr>
          <w:p w14:paraId="343EB085" w14:textId="77777777" w:rsidR="00A83959" w:rsidRPr="004B2BB4" w:rsidRDefault="00A83959" w:rsidP="00A83959">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National Specific Purpose Payments (SPP)</w:t>
            </w:r>
          </w:p>
        </w:tc>
        <w:tc>
          <w:tcPr>
            <w:tcW w:w="7287" w:type="dxa"/>
            <w:gridSpan w:val="2"/>
            <w:tcBorders>
              <w:top w:val="single" w:sz="4" w:space="0" w:color="A6A6A6" w:themeColor="background1" w:themeShade="A6"/>
              <w:bottom w:val="single" w:sz="4" w:space="0" w:color="A6A6A6" w:themeColor="background1" w:themeShade="A6"/>
            </w:tcBorders>
          </w:tcPr>
          <w:p w14:paraId="6406A280" w14:textId="77777777" w:rsidR="00A83959" w:rsidRPr="004B2BB4" w:rsidRDefault="00A83959" w:rsidP="00ED3642">
            <w:pPr>
              <w:pStyle w:val="BodyText"/>
            </w:pPr>
            <w:r>
              <w:t xml:space="preserve">A Commonwealth </w:t>
            </w:r>
            <w:r w:rsidRPr="004B2BB4">
              <w:t>Government grant made to the States and Territories under the associated National Agreement. These grants must be spent in the key service delivery sector (Health, Education, Skills and Workforce, Disability and Indigenous) for which it is provided. States are free to allocate the funds within that sector to achieve the mutually agreed objectives specified in the associated National Agreement.</w:t>
            </w:r>
          </w:p>
        </w:tc>
      </w:tr>
      <w:tr w:rsidR="00A83959" w:rsidRPr="004B2BB4" w14:paraId="4FDCABD5" w14:textId="77777777" w:rsidTr="00DE7F19">
        <w:trPr>
          <w:cantSplit/>
        </w:trPr>
        <w:tc>
          <w:tcPr>
            <w:tcW w:w="2352" w:type="dxa"/>
            <w:tcBorders>
              <w:top w:val="single" w:sz="4" w:space="0" w:color="A6A6A6" w:themeColor="background1" w:themeShade="A6"/>
              <w:bottom w:val="single" w:sz="4" w:space="0" w:color="A6A6A6" w:themeColor="background1" w:themeShade="A6"/>
            </w:tcBorders>
          </w:tcPr>
          <w:p w14:paraId="08DD9A2E" w14:textId="77777777" w:rsidR="00A83959" w:rsidRPr="004B2BB4" w:rsidRDefault="00A83959" w:rsidP="00A83959">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 xml:space="preserve">Net acquisition of </w:t>
            </w:r>
            <w:r w:rsidRPr="004B2BB4">
              <w:rPr>
                <w:rFonts w:ascii="Arial" w:hAnsi="Arial" w:cs="Arial"/>
                <w:b w:val="0"/>
                <w:sz w:val="17"/>
                <w:szCs w:val="17"/>
              </w:rPr>
              <w:br/>
              <w:t xml:space="preserve">non-financial assets </w:t>
            </w:r>
          </w:p>
        </w:tc>
        <w:tc>
          <w:tcPr>
            <w:tcW w:w="7287" w:type="dxa"/>
            <w:gridSpan w:val="2"/>
            <w:tcBorders>
              <w:top w:val="single" w:sz="4" w:space="0" w:color="A6A6A6" w:themeColor="background1" w:themeShade="A6"/>
              <w:bottom w:val="single" w:sz="4" w:space="0" w:color="A6A6A6" w:themeColor="background1" w:themeShade="A6"/>
            </w:tcBorders>
          </w:tcPr>
          <w:p w14:paraId="3870864B" w14:textId="77777777" w:rsidR="00A83959" w:rsidRPr="004B2BB4" w:rsidRDefault="00A83959" w:rsidP="00ED3642">
            <w:pPr>
              <w:pStyle w:val="BodyText"/>
            </w:pPr>
            <w:r w:rsidRPr="004B2BB4">
              <w:t>This is purchases (or acquisitions) of non-financial assets less sales (or disposals) of non</w:t>
            </w:r>
            <w:r>
              <w:noBreakHyphen/>
            </w:r>
            <w:r w:rsidRPr="004B2BB4">
              <w:t>financial assets less depreciation plus changes in inventories and other move</w:t>
            </w:r>
            <w:r>
              <w:t>ments in non</w:t>
            </w:r>
            <w:r>
              <w:noBreakHyphen/>
              <w:t xml:space="preserve">financial assets. </w:t>
            </w:r>
            <w:r w:rsidRPr="004B2BB4">
              <w:t>Purchases and sales (or net acquisitions) of non-financial assets generally include accrued expenses and payables for ca</w:t>
            </w:r>
            <w:r>
              <w:t xml:space="preserve">pital items. </w:t>
            </w:r>
            <w:r w:rsidRPr="004B2BB4">
              <w:t>Other movement in non-financial assets include non-cash capital grant revenue/expenses such as developer contribution assets.</w:t>
            </w:r>
          </w:p>
        </w:tc>
      </w:tr>
      <w:tr w:rsidR="00A83959" w:rsidRPr="004B2BB4" w14:paraId="3EA13ED8" w14:textId="77777777" w:rsidTr="00DE7F19">
        <w:trPr>
          <w:cantSplit/>
        </w:trPr>
        <w:tc>
          <w:tcPr>
            <w:tcW w:w="2352" w:type="dxa"/>
            <w:tcBorders>
              <w:top w:val="single" w:sz="4" w:space="0" w:color="A6A6A6" w:themeColor="background1" w:themeShade="A6"/>
              <w:bottom w:val="single" w:sz="4" w:space="0" w:color="A6A6A6" w:themeColor="background1" w:themeShade="A6"/>
            </w:tcBorders>
          </w:tcPr>
          <w:p w14:paraId="2AE18C4F" w14:textId="77777777" w:rsidR="00A83959" w:rsidRPr="004B2BB4" w:rsidRDefault="00A83959" w:rsidP="00A83959">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lastRenderedPageBreak/>
              <w:t>Net debt</w:t>
            </w:r>
          </w:p>
        </w:tc>
        <w:tc>
          <w:tcPr>
            <w:tcW w:w="7287" w:type="dxa"/>
            <w:gridSpan w:val="2"/>
            <w:tcBorders>
              <w:top w:val="single" w:sz="4" w:space="0" w:color="A6A6A6" w:themeColor="background1" w:themeShade="A6"/>
              <w:bottom w:val="single" w:sz="4" w:space="0" w:color="A6A6A6" w:themeColor="background1" w:themeShade="A6"/>
            </w:tcBorders>
          </w:tcPr>
          <w:p w14:paraId="29D07EE7" w14:textId="77777777" w:rsidR="00A83959" w:rsidRPr="004B2BB4" w:rsidRDefault="00A83959" w:rsidP="00ED3642">
            <w:pPr>
              <w:pStyle w:val="BodyText"/>
            </w:pPr>
            <w:r w:rsidRPr="004B2BB4">
              <w:t>Net debt equals the sum of financial liabilities (deposits held, advances received, loans and other borrowings) less the sum of financial assets (cash and deposits, advances paid and investments, loans and placements).</w:t>
            </w:r>
          </w:p>
        </w:tc>
      </w:tr>
      <w:tr w:rsidR="00A83959" w:rsidRPr="004B2BB4" w14:paraId="67DDDAD3"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3D7C771B" w14:textId="77777777" w:rsidR="00A83959" w:rsidRPr="004B2BB4" w:rsidRDefault="00A83959" w:rsidP="00A83959">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Net lending/(borrowing)</w:t>
            </w:r>
          </w:p>
        </w:tc>
        <w:tc>
          <w:tcPr>
            <w:tcW w:w="7287" w:type="dxa"/>
            <w:gridSpan w:val="2"/>
            <w:tcBorders>
              <w:top w:val="single" w:sz="4" w:space="0" w:color="A6A6A6" w:themeColor="background1" w:themeShade="A6"/>
              <w:bottom w:val="single" w:sz="4" w:space="0" w:color="A6A6A6" w:themeColor="background1" w:themeShade="A6"/>
            </w:tcBorders>
          </w:tcPr>
          <w:p w14:paraId="6AF22E0F" w14:textId="77777777" w:rsidR="00A83959" w:rsidRPr="004B2BB4" w:rsidRDefault="00A83959" w:rsidP="00ED3642">
            <w:pPr>
              <w:pStyle w:val="BodyText"/>
            </w:pPr>
            <w:r w:rsidRPr="004B2BB4">
              <w:t>This is the financing requirement of government, calculated as the net operating balance less the net acquisition of non-financial assets. It also equals transactions in financial assets les</w:t>
            </w:r>
            <w:r>
              <w:t>s transactions in liabilities. </w:t>
            </w:r>
            <w:r w:rsidRPr="004B2BB4">
              <w:t>A positive result reflects a net lending position and a negative result reflects a net borrowing position.</w:t>
            </w:r>
          </w:p>
        </w:tc>
      </w:tr>
      <w:tr w:rsidR="00A83959" w:rsidRPr="004B2BB4" w14:paraId="1CC462F9"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739CCAC9" w14:textId="77777777" w:rsidR="00A83959" w:rsidRPr="004B2BB4" w:rsidRDefault="00A83959" w:rsidP="00A83959">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Nominal dollars/prices</w:t>
            </w:r>
          </w:p>
        </w:tc>
        <w:tc>
          <w:tcPr>
            <w:tcW w:w="7287" w:type="dxa"/>
            <w:gridSpan w:val="2"/>
            <w:tcBorders>
              <w:top w:val="single" w:sz="4" w:space="0" w:color="A6A6A6" w:themeColor="background1" w:themeShade="A6"/>
              <w:bottom w:val="single" w:sz="4" w:space="0" w:color="A6A6A6" w:themeColor="background1" w:themeShade="A6"/>
            </w:tcBorders>
          </w:tcPr>
          <w:p w14:paraId="611C7BC0" w14:textId="77777777" w:rsidR="00A83959" w:rsidRPr="004B2BB4" w:rsidRDefault="00A83959" w:rsidP="00ED3642">
            <w:pPr>
              <w:pStyle w:val="BodyText"/>
            </w:pPr>
            <w:r w:rsidRPr="004B2BB4">
              <w:t>This shows the d</w:t>
            </w:r>
            <w:r>
              <w:t xml:space="preserve">ollars of the relevant period. </w:t>
            </w:r>
            <w:r w:rsidRPr="004B2BB4">
              <w:t xml:space="preserve">No adjustment is made each </w:t>
            </w:r>
            <w:proofErr w:type="gramStart"/>
            <w:r w:rsidRPr="004B2BB4">
              <w:t>time period</w:t>
            </w:r>
            <w:proofErr w:type="gramEnd"/>
            <w:r w:rsidRPr="004B2BB4">
              <w:t xml:space="preserve"> for inflation.</w:t>
            </w:r>
          </w:p>
        </w:tc>
      </w:tr>
      <w:tr w:rsidR="00A83959" w:rsidRPr="004B2BB4" w14:paraId="1EF2F3B4" w14:textId="77777777" w:rsidTr="01B7C9C6">
        <w:trPr>
          <w:cantSplit/>
        </w:trPr>
        <w:tc>
          <w:tcPr>
            <w:tcW w:w="2352" w:type="dxa"/>
            <w:tcBorders>
              <w:top w:val="single" w:sz="4" w:space="0" w:color="A6A6A6" w:themeColor="background1" w:themeShade="A6"/>
            </w:tcBorders>
          </w:tcPr>
          <w:p w14:paraId="3515A55A" w14:textId="77777777" w:rsidR="00A83959" w:rsidRPr="004B2BB4" w:rsidRDefault="00A83959" w:rsidP="00A83959">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Non-financial public sector (NFPS)</w:t>
            </w:r>
          </w:p>
        </w:tc>
        <w:tc>
          <w:tcPr>
            <w:tcW w:w="7287" w:type="dxa"/>
            <w:gridSpan w:val="2"/>
            <w:tcBorders>
              <w:top w:val="single" w:sz="4" w:space="0" w:color="A6A6A6" w:themeColor="background1" w:themeShade="A6"/>
            </w:tcBorders>
          </w:tcPr>
          <w:p w14:paraId="1A753EB2" w14:textId="77777777" w:rsidR="00A83959" w:rsidRPr="004B2BB4" w:rsidRDefault="00A83959" w:rsidP="00ED3642">
            <w:pPr>
              <w:pStyle w:val="BodyText"/>
            </w:pPr>
            <w:r w:rsidRPr="004B2BB4">
              <w:t>This is a sub-sector formed by the consolidation of the general government sector and public non-financial corporations (PNFC) sector.</w:t>
            </w:r>
          </w:p>
        </w:tc>
      </w:tr>
      <w:tr w:rsidR="00932A3D" w:rsidRPr="004B2BB4" w14:paraId="087665EF" w14:textId="77777777" w:rsidTr="01B7C9C6">
        <w:trPr>
          <w:cantSplit/>
        </w:trPr>
        <w:tc>
          <w:tcPr>
            <w:tcW w:w="2352" w:type="dxa"/>
          </w:tcPr>
          <w:p w14:paraId="303A96FC" w14:textId="77777777" w:rsidR="00932A3D" w:rsidRPr="00E2707B" w:rsidRDefault="00932A3D" w:rsidP="00932A3D">
            <w:pPr>
              <w:pStyle w:val="Heading3"/>
              <w:keepNext w:val="0"/>
              <w:spacing w:before="60" w:after="60" w:line="240" w:lineRule="atLeast"/>
              <w:rPr>
                <w:rFonts w:ascii="Arial" w:hAnsi="Arial" w:cs="Arial"/>
                <w:b w:val="0"/>
                <w:sz w:val="17"/>
                <w:szCs w:val="17"/>
              </w:rPr>
            </w:pPr>
            <w:r>
              <w:rPr>
                <w:rFonts w:ascii="Arial" w:hAnsi="Arial" w:cs="Arial"/>
                <w:b w:val="0"/>
                <w:sz w:val="17"/>
                <w:szCs w:val="17"/>
              </w:rPr>
              <w:t>Program group</w:t>
            </w:r>
          </w:p>
        </w:tc>
        <w:tc>
          <w:tcPr>
            <w:tcW w:w="7287" w:type="dxa"/>
            <w:gridSpan w:val="2"/>
          </w:tcPr>
          <w:p w14:paraId="52BF1ADD" w14:textId="77777777" w:rsidR="00932A3D" w:rsidRPr="004B2BB4" w:rsidRDefault="00932A3D" w:rsidP="00ED3642">
            <w:pPr>
              <w:pStyle w:val="BodyText"/>
            </w:pPr>
            <w:r>
              <w:t xml:space="preserve">A group of aligned activities aimed at delivering an agreed outcome. These activities may be performed by more than one agency.   </w:t>
            </w:r>
          </w:p>
        </w:tc>
      </w:tr>
      <w:tr w:rsidR="00932A3D" w:rsidRPr="004B2BB4" w14:paraId="4314C2DF" w14:textId="77777777" w:rsidTr="00DE7F19">
        <w:trPr>
          <w:cantSplit/>
        </w:trPr>
        <w:tc>
          <w:tcPr>
            <w:tcW w:w="2352" w:type="dxa"/>
            <w:shd w:val="clear" w:color="auto" w:fill="auto"/>
          </w:tcPr>
          <w:p w14:paraId="4131268A" w14:textId="77777777" w:rsidR="00932A3D" w:rsidRPr="00132805" w:rsidRDefault="00932A3D" w:rsidP="00932A3D">
            <w:pPr>
              <w:pStyle w:val="Heading3"/>
              <w:keepNext w:val="0"/>
              <w:spacing w:before="60" w:after="60" w:line="240" w:lineRule="atLeast"/>
              <w:rPr>
                <w:rFonts w:ascii="Arial" w:hAnsi="Arial" w:cs="Arial"/>
                <w:b w:val="0"/>
                <w:i/>
                <w:sz w:val="17"/>
                <w:szCs w:val="17"/>
              </w:rPr>
            </w:pPr>
            <w:r w:rsidRPr="00132805">
              <w:rPr>
                <w:rFonts w:ascii="Arial" w:hAnsi="Arial" w:cs="Arial"/>
                <w:b w:val="0"/>
                <w:i/>
                <w:sz w:val="17"/>
                <w:szCs w:val="17"/>
              </w:rPr>
              <w:t>Public Finance and Audit Act 19</w:t>
            </w:r>
            <w:r w:rsidRPr="00DE7F19">
              <w:rPr>
                <w:rFonts w:ascii="Arial" w:hAnsi="Arial" w:cs="Arial"/>
                <w:b w:val="0"/>
                <w:sz w:val="17"/>
                <w:szCs w:val="17"/>
              </w:rPr>
              <w:t>83</w:t>
            </w:r>
          </w:p>
        </w:tc>
        <w:tc>
          <w:tcPr>
            <w:tcW w:w="7287" w:type="dxa"/>
            <w:gridSpan w:val="2"/>
            <w:shd w:val="clear" w:color="auto" w:fill="auto"/>
          </w:tcPr>
          <w:p w14:paraId="15A05620" w14:textId="77777777" w:rsidR="00932A3D" w:rsidRPr="00132805" w:rsidRDefault="00932A3D" w:rsidP="00ED3642">
            <w:pPr>
              <w:pStyle w:val="BodyText"/>
            </w:pPr>
            <w:r w:rsidRPr="00132805">
              <w:t>An Act to make provision with respect to the administration and audit of public finances and for other purposes.</w:t>
            </w:r>
          </w:p>
        </w:tc>
      </w:tr>
      <w:tr w:rsidR="00932A3D" w:rsidRPr="004B2BB4" w14:paraId="22151E0F" w14:textId="77777777" w:rsidTr="01B7C9C6">
        <w:trPr>
          <w:cantSplit/>
        </w:trPr>
        <w:tc>
          <w:tcPr>
            <w:tcW w:w="2352" w:type="dxa"/>
          </w:tcPr>
          <w:p w14:paraId="37864DF9" w14:textId="77777777" w:rsidR="00932A3D" w:rsidRPr="004B2BB4" w:rsidRDefault="00932A3D" w:rsidP="00932A3D">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Public Private Partnerships (PPP)</w:t>
            </w:r>
          </w:p>
        </w:tc>
        <w:tc>
          <w:tcPr>
            <w:tcW w:w="7287" w:type="dxa"/>
            <w:gridSpan w:val="2"/>
          </w:tcPr>
          <w:p w14:paraId="366A2B8A" w14:textId="77777777" w:rsidR="00932A3D" w:rsidRPr="004B2BB4" w:rsidRDefault="00932A3D" w:rsidP="00ED3642">
            <w:pPr>
              <w:pStyle w:val="BodyText"/>
            </w:pPr>
            <w:r w:rsidRPr="004B2BB4">
              <w:t>The creation of an infrastructure asset through private sector financing and private ownership for a concessi</w:t>
            </w:r>
            <w:r>
              <w:t xml:space="preserve">on period (usually long term). </w:t>
            </w:r>
            <w:r w:rsidRPr="004B2BB4">
              <w:t>The Government may contribute to the project by providing land or capital works, through risk sharing, revenue diversion or purchase of the agreed services.</w:t>
            </w:r>
          </w:p>
        </w:tc>
      </w:tr>
      <w:tr w:rsidR="00932A3D" w:rsidRPr="004B2BB4" w14:paraId="2445D42F" w14:textId="77777777" w:rsidTr="00DE7F19">
        <w:trPr>
          <w:cantSplit/>
          <w:trHeight w:val="1030"/>
        </w:trPr>
        <w:tc>
          <w:tcPr>
            <w:tcW w:w="2352" w:type="dxa"/>
          </w:tcPr>
          <w:p w14:paraId="1F2EDF85" w14:textId="77777777" w:rsidR="00932A3D" w:rsidRPr="004B2BB4" w:rsidRDefault="00932A3D" w:rsidP="00932A3D">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Public financial corporations (PFC)</w:t>
            </w:r>
          </w:p>
        </w:tc>
        <w:tc>
          <w:tcPr>
            <w:tcW w:w="7287" w:type="dxa"/>
            <w:gridSpan w:val="2"/>
          </w:tcPr>
          <w:p w14:paraId="6441C263" w14:textId="77777777" w:rsidR="00932A3D" w:rsidRPr="004B2BB4" w:rsidRDefault="00932A3D" w:rsidP="00ED3642">
            <w:pPr>
              <w:pStyle w:val="BodyText"/>
            </w:pPr>
            <w:r w:rsidRPr="004B2BB4">
              <w:t>An ABS classification of agencies that have one, or more, of the following functions:</w:t>
            </w:r>
          </w:p>
          <w:p w14:paraId="49CB3E55" w14:textId="77777777" w:rsidR="00932A3D" w:rsidRPr="004B2BB4" w:rsidRDefault="00932A3D" w:rsidP="00DE7F19">
            <w:pPr>
              <w:pStyle w:val="Bullet1"/>
              <w:numPr>
                <w:ilvl w:val="0"/>
                <w:numId w:val="13"/>
              </w:numPr>
              <w:spacing w:line="240" w:lineRule="atLeast"/>
              <w:ind w:left="357" w:hanging="357"/>
            </w:pPr>
            <w:r w:rsidRPr="004B2BB4">
              <w:t>that of a central bank</w:t>
            </w:r>
          </w:p>
          <w:p w14:paraId="15233213" w14:textId="77777777" w:rsidR="00932A3D" w:rsidRPr="004B2BB4" w:rsidRDefault="00932A3D" w:rsidP="00DE7F19">
            <w:pPr>
              <w:pStyle w:val="Bullet1"/>
              <w:numPr>
                <w:ilvl w:val="0"/>
                <w:numId w:val="13"/>
              </w:numPr>
              <w:spacing w:line="240" w:lineRule="atLeast"/>
              <w:ind w:left="357" w:hanging="357"/>
            </w:pPr>
            <w:r w:rsidRPr="004B2BB4">
              <w:t>the acceptance of demand, time or savings deposits or</w:t>
            </w:r>
          </w:p>
          <w:p w14:paraId="0244CBA9" w14:textId="77777777" w:rsidR="00932A3D" w:rsidRPr="004B2BB4" w:rsidRDefault="00932A3D" w:rsidP="00DE7F19">
            <w:pPr>
              <w:pStyle w:val="Bullet1"/>
              <w:numPr>
                <w:ilvl w:val="0"/>
                <w:numId w:val="13"/>
              </w:numPr>
              <w:spacing w:line="240" w:lineRule="atLeast"/>
              <w:ind w:left="357" w:hanging="357"/>
            </w:pPr>
            <w:r w:rsidRPr="004B2BB4">
              <w:t>the authority to incur liabilities and acquire financial assets in the market on their own account.</w:t>
            </w:r>
          </w:p>
        </w:tc>
      </w:tr>
      <w:tr w:rsidR="00932A3D" w:rsidRPr="004B2BB4" w14:paraId="124F9FFC" w14:textId="77777777" w:rsidTr="01B7C9C6">
        <w:trPr>
          <w:cantSplit/>
        </w:trPr>
        <w:tc>
          <w:tcPr>
            <w:tcW w:w="2352" w:type="dxa"/>
            <w:tcBorders>
              <w:bottom w:val="single" w:sz="4" w:space="0" w:color="A6A6A6" w:themeColor="background1" w:themeShade="A6"/>
            </w:tcBorders>
          </w:tcPr>
          <w:p w14:paraId="25E9D4FD" w14:textId="77777777" w:rsidR="00932A3D" w:rsidRPr="004B2BB4" w:rsidRDefault="00932A3D" w:rsidP="00932A3D">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Public non-financial corporations</w:t>
            </w:r>
            <w:r w:rsidRPr="004B2BB4">
              <w:rPr>
                <w:rFonts w:ascii="Arial" w:hAnsi="Arial" w:cs="Arial"/>
                <w:sz w:val="17"/>
                <w:szCs w:val="17"/>
              </w:rPr>
              <w:t xml:space="preserve"> </w:t>
            </w:r>
            <w:r w:rsidRPr="004B2BB4">
              <w:rPr>
                <w:rFonts w:ascii="Arial" w:hAnsi="Arial" w:cs="Arial"/>
                <w:b w:val="0"/>
                <w:sz w:val="17"/>
                <w:szCs w:val="17"/>
              </w:rPr>
              <w:t>(PNFC)</w:t>
            </w:r>
          </w:p>
        </w:tc>
        <w:tc>
          <w:tcPr>
            <w:tcW w:w="7287" w:type="dxa"/>
            <w:gridSpan w:val="2"/>
            <w:tcBorders>
              <w:bottom w:val="single" w:sz="4" w:space="0" w:color="A6A6A6" w:themeColor="background1" w:themeShade="A6"/>
            </w:tcBorders>
          </w:tcPr>
          <w:p w14:paraId="169CA416" w14:textId="77777777" w:rsidR="00932A3D" w:rsidRPr="004B2BB4" w:rsidRDefault="00932A3D" w:rsidP="00ED3642">
            <w:pPr>
              <w:pStyle w:val="BodyText"/>
            </w:pPr>
            <w:r w:rsidRPr="004B2BB4">
              <w:t xml:space="preserve">Government controlled agencies where user charges represent a significant proportion of revenue and the agencies operate within a broadly commercial orientation.  </w:t>
            </w:r>
          </w:p>
        </w:tc>
      </w:tr>
      <w:tr w:rsidR="00932A3D" w:rsidRPr="004B2BB4" w14:paraId="6B12F9A9"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714595C9" w14:textId="77777777" w:rsidR="00932A3D" w:rsidRDefault="00932A3D" w:rsidP="00932A3D">
            <w:pPr>
              <w:pStyle w:val="Heading3"/>
              <w:keepNext w:val="0"/>
              <w:spacing w:before="60" w:after="60" w:line="240" w:lineRule="atLeast"/>
              <w:rPr>
                <w:rFonts w:ascii="Arial" w:hAnsi="Arial" w:cs="Arial"/>
                <w:b w:val="0"/>
                <w:sz w:val="17"/>
                <w:szCs w:val="17"/>
              </w:rPr>
            </w:pPr>
            <w:r>
              <w:rPr>
                <w:rFonts w:ascii="Arial" w:hAnsi="Arial" w:cs="Arial"/>
                <w:b w:val="0"/>
                <w:sz w:val="17"/>
                <w:szCs w:val="17"/>
              </w:rPr>
              <w:t>Reservations*</w:t>
            </w:r>
          </w:p>
          <w:p w14:paraId="54331C68" w14:textId="1D46FD62" w:rsidR="00932A3D" w:rsidRPr="00032304" w:rsidRDefault="00932A3D" w:rsidP="00ED3642">
            <w:pPr>
              <w:pStyle w:val="BodyText"/>
            </w:pPr>
            <w:r>
              <w:t>(Restart NSW)</w:t>
            </w:r>
          </w:p>
        </w:tc>
        <w:tc>
          <w:tcPr>
            <w:tcW w:w="7287" w:type="dxa"/>
            <w:gridSpan w:val="2"/>
            <w:tcBorders>
              <w:top w:val="single" w:sz="4" w:space="0" w:color="A6A6A6" w:themeColor="background1" w:themeShade="A6"/>
              <w:bottom w:val="single" w:sz="4" w:space="0" w:color="A6A6A6" w:themeColor="background1" w:themeShade="A6"/>
            </w:tcBorders>
          </w:tcPr>
          <w:p w14:paraId="47D5AB21" w14:textId="54B99B1A" w:rsidR="00932A3D" w:rsidRPr="004B2BB4" w:rsidRDefault="00932A3D" w:rsidP="00ED3642">
            <w:pPr>
              <w:pStyle w:val="BodyText"/>
            </w:pPr>
            <w:r w:rsidRPr="00070C38">
              <w:t>Inflows that are reserved with a view to a future commitment</w:t>
            </w:r>
            <w:r>
              <w:t>.</w:t>
            </w:r>
            <w:r w:rsidRPr="00070C38">
              <w:t xml:space="preserve"> A Restart NSW reservation can only become a commitment once the Treasurer has accepted a specific Infrastructure NSW recommendation for each individual project.</w:t>
            </w:r>
          </w:p>
        </w:tc>
      </w:tr>
      <w:tr w:rsidR="00932A3D" w:rsidRPr="004B2BB4" w14:paraId="3EC379E4"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5200BF15" w14:textId="77777777" w:rsidR="00932A3D" w:rsidRPr="004B2BB4" w:rsidRDefault="00932A3D" w:rsidP="00932A3D">
            <w:pPr>
              <w:pStyle w:val="Heading3"/>
              <w:keepNext w:val="0"/>
              <w:spacing w:before="60" w:after="60" w:line="240" w:lineRule="atLeast"/>
              <w:rPr>
                <w:rFonts w:ascii="Arial" w:hAnsi="Arial" w:cs="Arial"/>
                <w:b w:val="0"/>
                <w:sz w:val="17"/>
                <w:szCs w:val="17"/>
              </w:rPr>
            </w:pPr>
            <w:r>
              <w:rPr>
                <w:rFonts w:ascii="Arial" w:hAnsi="Arial" w:cs="Arial"/>
                <w:b w:val="0"/>
                <w:sz w:val="17"/>
                <w:szCs w:val="17"/>
              </w:rPr>
              <w:t>Restart NSW</w:t>
            </w:r>
          </w:p>
        </w:tc>
        <w:tc>
          <w:tcPr>
            <w:tcW w:w="7287" w:type="dxa"/>
            <w:gridSpan w:val="2"/>
            <w:tcBorders>
              <w:top w:val="single" w:sz="4" w:space="0" w:color="A6A6A6" w:themeColor="background1" w:themeShade="A6"/>
              <w:bottom w:val="single" w:sz="4" w:space="0" w:color="A6A6A6" w:themeColor="background1" w:themeShade="A6"/>
            </w:tcBorders>
          </w:tcPr>
          <w:p w14:paraId="01AF57AF" w14:textId="1F96CDD9" w:rsidR="00932A3D" w:rsidRPr="004B2BB4" w:rsidRDefault="00932A3D" w:rsidP="00ED3642">
            <w:pPr>
              <w:pStyle w:val="BodyText"/>
            </w:pPr>
            <w:r>
              <w:t xml:space="preserve">A fund established by the NSW Government in 2011. Funds deposited into Restart NSW come from asset recycling transactions, Commonwealth Government asset recycling initiative payments, proceeds from Waratah Bonds, windfall tax revenue and investment earnings. </w:t>
            </w:r>
          </w:p>
        </w:tc>
      </w:tr>
      <w:tr w:rsidR="00932A3D" w:rsidRPr="004B2BB4" w14:paraId="251B4DE8" w14:textId="77777777" w:rsidTr="01B7C9C6">
        <w:trPr>
          <w:cantSplit/>
        </w:trPr>
        <w:tc>
          <w:tcPr>
            <w:tcW w:w="2352" w:type="dxa"/>
            <w:tcBorders>
              <w:top w:val="single" w:sz="4" w:space="0" w:color="A6A6A6" w:themeColor="background1" w:themeShade="A6"/>
              <w:bottom w:val="single" w:sz="4" w:space="0" w:color="A6A6A6" w:themeColor="background1" w:themeShade="A6"/>
            </w:tcBorders>
          </w:tcPr>
          <w:p w14:paraId="6C27E4D6" w14:textId="77777777" w:rsidR="00932A3D" w:rsidRDefault="00932A3D" w:rsidP="00932A3D">
            <w:pPr>
              <w:pStyle w:val="Heading3"/>
              <w:keepNext w:val="0"/>
              <w:spacing w:before="60" w:after="60" w:line="240" w:lineRule="atLeast"/>
              <w:rPr>
                <w:rFonts w:ascii="Arial" w:hAnsi="Arial" w:cs="Arial"/>
                <w:b w:val="0"/>
                <w:sz w:val="17"/>
                <w:szCs w:val="17"/>
              </w:rPr>
            </w:pPr>
            <w:r>
              <w:rPr>
                <w:rFonts w:ascii="Arial" w:hAnsi="Arial" w:cs="Arial"/>
                <w:b w:val="0"/>
                <w:sz w:val="17"/>
                <w:szCs w:val="17"/>
              </w:rPr>
              <w:t>Rebuilding NSW</w:t>
            </w:r>
          </w:p>
        </w:tc>
        <w:tc>
          <w:tcPr>
            <w:tcW w:w="7287" w:type="dxa"/>
            <w:gridSpan w:val="2"/>
            <w:tcBorders>
              <w:top w:val="single" w:sz="4" w:space="0" w:color="A6A6A6" w:themeColor="background1" w:themeShade="A6"/>
              <w:bottom w:val="single" w:sz="4" w:space="0" w:color="A6A6A6" w:themeColor="background1" w:themeShade="A6"/>
            </w:tcBorders>
          </w:tcPr>
          <w:p w14:paraId="5182E1BF" w14:textId="77777777" w:rsidR="00932A3D" w:rsidRPr="004B2BB4" w:rsidRDefault="00932A3D" w:rsidP="00ED3642">
            <w:pPr>
              <w:pStyle w:val="BodyText"/>
            </w:pPr>
            <w:r>
              <w:t xml:space="preserve">The NSW Government’s 10-year plan to invest $20 billion in new infrastructure funded by electricity network transactions, Commonwealth Government asset recycling initiative payments, and investment earnings. Proceeds are first deposited into Restart NSW before being invested into Rebuilding NSW projects. </w:t>
            </w:r>
          </w:p>
        </w:tc>
      </w:tr>
      <w:tr w:rsidR="00932A3D" w:rsidRPr="004B2BB4" w14:paraId="3949A4B8" w14:textId="77777777" w:rsidTr="01B7C9C6">
        <w:trPr>
          <w:cantSplit/>
        </w:trPr>
        <w:tc>
          <w:tcPr>
            <w:tcW w:w="2352" w:type="dxa"/>
            <w:tcBorders>
              <w:top w:val="single" w:sz="4" w:space="0" w:color="A6A6A6" w:themeColor="background1" w:themeShade="A6"/>
            </w:tcBorders>
          </w:tcPr>
          <w:p w14:paraId="6126C2A6" w14:textId="77777777" w:rsidR="00932A3D" w:rsidRPr="004B2BB4" w:rsidRDefault="00932A3D" w:rsidP="00932A3D">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Services</w:t>
            </w:r>
          </w:p>
        </w:tc>
        <w:tc>
          <w:tcPr>
            <w:tcW w:w="7287" w:type="dxa"/>
            <w:gridSpan w:val="2"/>
            <w:tcBorders>
              <w:top w:val="single" w:sz="4" w:space="0" w:color="A6A6A6" w:themeColor="background1" w:themeShade="A6"/>
            </w:tcBorders>
          </w:tcPr>
          <w:p w14:paraId="27065723" w14:textId="77777777" w:rsidR="00932A3D" w:rsidRPr="004B2BB4" w:rsidRDefault="00932A3D" w:rsidP="00ED3642">
            <w:pPr>
              <w:pStyle w:val="BodyText"/>
            </w:pPr>
            <w:r w:rsidRPr="004B2BB4">
              <w:t>These are the ‘end products’ or direct services that are delivered to clients or recipients, the broader community or another government agency.  They are expected to contribute to Government priorities.</w:t>
            </w:r>
          </w:p>
        </w:tc>
      </w:tr>
      <w:tr w:rsidR="00932A3D" w:rsidRPr="004B2BB4" w14:paraId="21E8A53A" w14:textId="77777777" w:rsidTr="01B7C9C6">
        <w:trPr>
          <w:cantSplit/>
        </w:trPr>
        <w:tc>
          <w:tcPr>
            <w:tcW w:w="2352" w:type="dxa"/>
            <w:tcBorders>
              <w:top w:val="single" w:sz="4" w:space="0" w:color="A6A6A6" w:themeColor="background1" w:themeShade="A6"/>
            </w:tcBorders>
          </w:tcPr>
          <w:p w14:paraId="5940F9DD" w14:textId="5E1CD3AB" w:rsidR="00932A3D" w:rsidRPr="004B2BB4" w:rsidRDefault="00932A3D" w:rsidP="00932A3D">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State</w:t>
            </w:r>
            <w:r w:rsidR="007E3CA0">
              <w:rPr>
                <w:rFonts w:ascii="Arial" w:hAnsi="Arial" w:cs="Arial"/>
                <w:b w:val="0"/>
                <w:sz w:val="17"/>
                <w:szCs w:val="17"/>
              </w:rPr>
              <w:t xml:space="preserve"> O</w:t>
            </w:r>
            <w:r w:rsidRPr="004B2BB4">
              <w:rPr>
                <w:rFonts w:ascii="Arial" w:hAnsi="Arial" w:cs="Arial"/>
                <w:b w:val="0"/>
                <w:sz w:val="17"/>
                <w:szCs w:val="17"/>
              </w:rPr>
              <w:t xml:space="preserve">wned </w:t>
            </w:r>
            <w:r w:rsidR="007E3CA0">
              <w:rPr>
                <w:rFonts w:ascii="Arial" w:hAnsi="Arial" w:cs="Arial"/>
                <w:b w:val="0"/>
                <w:sz w:val="17"/>
                <w:szCs w:val="17"/>
              </w:rPr>
              <w:t>C</w:t>
            </w:r>
            <w:r w:rsidRPr="004B2BB4">
              <w:rPr>
                <w:rFonts w:ascii="Arial" w:hAnsi="Arial" w:cs="Arial"/>
                <w:b w:val="0"/>
                <w:sz w:val="17"/>
                <w:szCs w:val="17"/>
              </w:rPr>
              <w:t>orporation (SOC)</w:t>
            </w:r>
          </w:p>
        </w:tc>
        <w:tc>
          <w:tcPr>
            <w:tcW w:w="7287" w:type="dxa"/>
            <w:gridSpan w:val="2"/>
            <w:tcBorders>
              <w:top w:val="single" w:sz="4" w:space="0" w:color="A6A6A6" w:themeColor="background1" w:themeShade="A6"/>
            </w:tcBorders>
          </w:tcPr>
          <w:p w14:paraId="2CBE7704" w14:textId="77777777" w:rsidR="00932A3D" w:rsidRPr="004B2BB4" w:rsidRDefault="00932A3D" w:rsidP="00ED3642">
            <w:pPr>
              <w:pStyle w:val="BodyText"/>
            </w:pPr>
            <w:r w:rsidRPr="004B2BB4">
              <w:t>Government entities (mostly PNFCs) which have been established with a governance structure mirroring as far as possible that</w:t>
            </w:r>
            <w:r>
              <w:t xml:space="preserve"> of a publicly listed company. </w:t>
            </w:r>
            <w:r w:rsidRPr="004B2BB4">
              <w:t xml:space="preserve">NSW state owned corporations are scheduled under the </w:t>
            </w:r>
            <w:proofErr w:type="gramStart"/>
            <w:r w:rsidRPr="004B2BB4">
              <w:rPr>
                <w:i/>
              </w:rPr>
              <w:t>State Owned</w:t>
            </w:r>
            <w:proofErr w:type="gramEnd"/>
            <w:r w:rsidRPr="004B2BB4">
              <w:rPr>
                <w:i/>
              </w:rPr>
              <w:t xml:space="preserve"> Corporations Act 1989 </w:t>
            </w:r>
            <w:r w:rsidRPr="004B2BB4">
              <w:t>(Schedule 5).</w:t>
            </w:r>
          </w:p>
        </w:tc>
      </w:tr>
      <w:tr w:rsidR="00932A3D" w:rsidRPr="004B2BB4" w14:paraId="64A25287" w14:textId="77777777" w:rsidTr="01B7C9C6">
        <w:trPr>
          <w:cantSplit/>
        </w:trPr>
        <w:tc>
          <w:tcPr>
            <w:tcW w:w="2352" w:type="dxa"/>
            <w:tcBorders>
              <w:top w:val="single" w:sz="4" w:space="0" w:color="A6A6A6" w:themeColor="background1" w:themeShade="A6"/>
            </w:tcBorders>
          </w:tcPr>
          <w:p w14:paraId="75177490" w14:textId="77777777" w:rsidR="00932A3D" w:rsidRPr="004B2BB4" w:rsidRDefault="00932A3D" w:rsidP="00932A3D">
            <w:pPr>
              <w:pStyle w:val="Heading3"/>
              <w:keepNext w:val="0"/>
              <w:spacing w:before="60" w:after="60" w:line="240" w:lineRule="atLeast"/>
              <w:rPr>
                <w:rFonts w:ascii="Arial" w:hAnsi="Arial" w:cs="Arial"/>
                <w:b w:val="0"/>
                <w:sz w:val="17"/>
                <w:szCs w:val="17"/>
              </w:rPr>
            </w:pPr>
            <w:r>
              <w:rPr>
                <w:rFonts w:ascii="Arial" w:hAnsi="Arial" w:cs="Arial"/>
                <w:b w:val="0"/>
                <w:sz w:val="17"/>
                <w:szCs w:val="17"/>
              </w:rPr>
              <w:t>State Outcomes</w:t>
            </w:r>
          </w:p>
        </w:tc>
        <w:tc>
          <w:tcPr>
            <w:tcW w:w="7287" w:type="dxa"/>
            <w:gridSpan w:val="2"/>
            <w:tcBorders>
              <w:top w:val="single" w:sz="4" w:space="0" w:color="A6A6A6" w:themeColor="background1" w:themeShade="A6"/>
            </w:tcBorders>
          </w:tcPr>
          <w:p w14:paraId="1FDFB7FE" w14:textId="53FB0B18" w:rsidR="00932A3D" w:rsidRPr="004B2BB4" w:rsidRDefault="00C328A4" w:rsidP="00ED3642">
            <w:pPr>
              <w:pStyle w:val="BodyText"/>
            </w:pPr>
            <w:r>
              <w:t>The outcomes which</w:t>
            </w:r>
            <w:r w:rsidRPr="001E2E42">
              <w:t xml:space="preserve"> the government is seeking to achieve fo</w:t>
            </w:r>
            <w:r>
              <w:t>r the people of New South Wales</w:t>
            </w:r>
            <w:r w:rsidRPr="001E2E42">
              <w:t>.</w:t>
            </w:r>
            <w:r>
              <w:t xml:space="preserve"> </w:t>
            </w:r>
          </w:p>
        </w:tc>
      </w:tr>
      <w:tr w:rsidR="00932A3D" w:rsidRPr="004B2BB4" w14:paraId="161326AE" w14:textId="77777777" w:rsidTr="01B7C9C6">
        <w:trPr>
          <w:cantSplit/>
        </w:trPr>
        <w:tc>
          <w:tcPr>
            <w:tcW w:w="2352" w:type="dxa"/>
            <w:tcBorders>
              <w:top w:val="single" w:sz="4" w:space="0" w:color="A6A6A6" w:themeColor="background1" w:themeShade="A6"/>
            </w:tcBorders>
          </w:tcPr>
          <w:p w14:paraId="27E9B125" w14:textId="77777777" w:rsidR="00932A3D" w:rsidRPr="004B2BB4" w:rsidRDefault="00932A3D" w:rsidP="00932A3D">
            <w:pPr>
              <w:pStyle w:val="Heading3"/>
              <w:keepNext w:val="0"/>
              <w:spacing w:before="60" w:after="60" w:line="240" w:lineRule="atLeast"/>
              <w:rPr>
                <w:rFonts w:ascii="Arial" w:hAnsi="Arial" w:cs="Arial"/>
                <w:b w:val="0"/>
                <w:sz w:val="17"/>
                <w:szCs w:val="17"/>
              </w:rPr>
            </w:pPr>
            <w:r w:rsidRPr="004B2BB4">
              <w:rPr>
                <w:rFonts w:ascii="Arial" w:hAnsi="Arial" w:cs="Arial"/>
                <w:b w:val="0"/>
                <w:sz w:val="17"/>
                <w:szCs w:val="17"/>
              </w:rPr>
              <w:t>Total state sector</w:t>
            </w:r>
          </w:p>
        </w:tc>
        <w:tc>
          <w:tcPr>
            <w:tcW w:w="7287" w:type="dxa"/>
            <w:gridSpan w:val="2"/>
            <w:tcBorders>
              <w:top w:val="single" w:sz="4" w:space="0" w:color="A6A6A6" w:themeColor="background1" w:themeShade="A6"/>
            </w:tcBorders>
          </w:tcPr>
          <w:p w14:paraId="4B3D9F40" w14:textId="77777777" w:rsidR="00932A3D" w:rsidRPr="004B2BB4" w:rsidRDefault="00932A3D" w:rsidP="00ED3642">
            <w:pPr>
              <w:pStyle w:val="BodyText"/>
            </w:pPr>
            <w:r w:rsidRPr="004B2BB4">
              <w:t>This represents all agencies and corporations owned and con</w:t>
            </w:r>
            <w:r>
              <w:t>trolled by the NSW Government. </w:t>
            </w:r>
            <w:r w:rsidRPr="004B2BB4">
              <w:t>It comprises the general government, public non-financial corporations and public financial corporations.</w:t>
            </w:r>
          </w:p>
        </w:tc>
      </w:tr>
    </w:tbl>
    <w:p w14:paraId="73E63F2A" w14:textId="77777777" w:rsidR="00070C38" w:rsidRDefault="00070C38" w:rsidP="00070C38">
      <w:pPr>
        <w:rPr>
          <w:rFonts w:ascii="Arial" w:hAnsi="Arial" w:cs="Arial"/>
          <w:sz w:val="17"/>
          <w:szCs w:val="17"/>
        </w:rPr>
      </w:pPr>
    </w:p>
    <w:p w14:paraId="63121DF9" w14:textId="77777777" w:rsidR="005A126E" w:rsidRPr="00070C38" w:rsidRDefault="005A126E" w:rsidP="005A126E">
      <w:pPr>
        <w:rPr>
          <w:rFonts w:ascii="Arial" w:hAnsi="Arial" w:cs="Arial"/>
          <w:sz w:val="17"/>
          <w:szCs w:val="17"/>
        </w:rPr>
      </w:pPr>
      <w:r w:rsidRPr="00070C38">
        <w:rPr>
          <w:rFonts w:ascii="Arial" w:hAnsi="Arial" w:cs="Arial"/>
          <w:sz w:val="17"/>
          <w:szCs w:val="17"/>
        </w:rPr>
        <w:t xml:space="preserve">* terms used when referring to </w:t>
      </w:r>
      <w:r>
        <w:rPr>
          <w:rFonts w:ascii="Arial" w:hAnsi="Arial" w:cs="Arial"/>
          <w:sz w:val="17"/>
          <w:szCs w:val="17"/>
        </w:rPr>
        <w:t xml:space="preserve">the </w:t>
      </w:r>
      <w:r w:rsidRPr="00070C38">
        <w:rPr>
          <w:rFonts w:ascii="Arial" w:hAnsi="Arial" w:cs="Arial"/>
          <w:sz w:val="17"/>
          <w:szCs w:val="17"/>
        </w:rPr>
        <w:t>Restart NSW and Rebuilding NSW</w:t>
      </w:r>
      <w:r>
        <w:rPr>
          <w:rFonts w:ascii="Arial" w:hAnsi="Arial" w:cs="Arial"/>
          <w:sz w:val="17"/>
          <w:szCs w:val="17"/>
        </w:rPr>
        <w:t xml:space="preserve"> programs</w:t>
      </w:r>
    </w:p>
    <w:p w14:paraId="3DB0F20F" w14:textId="4A459333" w:rsidR="00B94ABD" w:rsidRPr="00B94ABD" w:rsidRDefault="00887BEC" w:rsidP="00DE7F19">
      <w:pPr>
        <w:pStyle w:val="Heading3"/>
        <w:keepNext w:val="0"/>
        <w:spacing w:before="60" w:after="60" w:line="240" w:lineRule="atLeast"/>
      </w:pPr>
      <w:r w:rsidRPr="004B6A70">
        <w:rPr>
          <w:rFonts w:ascii="Arial" w:hAnsi="Arial" w:cs="Arial"/>
          <w:b w:val="0"/>
          <w:sz w:val="17"/>
          <w:szCs w:val="17"/>
        </w:rPr>
        <w:t xml:space="preserve">To gain a better understanding of the terminology and key aggregates used in these </w:t>
      </w:r>
      <w:r w:rsidR="004B2BB4" w:rsidRPr="004B6A70">
        <w:rPr>
          <w:rFonts w:ascii="Arial" w:hAnsi="Arial" w:cs="Arial"/>
          <w:b w:val="0"/>
          <w:sz w:val="17"/>
          <w:szCs w:val="17"/>
        </w:rPr>
        <w:t>b</w:t>
      </w:r>
      <w:r w:rsidRPr="004B6A70">
        <w:rPr>
          <w:rFonts w:ascii="Arial" w:hAnsi="Arial" w:cs="Arial"/>
          <w:b w:val="0"/>
          <w:sz w:val="17"/>
          <w:szCs w:val="17"/>
        </w:rPr>
        <w:t xml:space="preserve">udget </w:t>
      </w:r>
      <w:r w:rsidR="004B2BB4" w:rsidRPr="004B6A70">
        <w:rPr>
          <w:rFonts w:ascii="Arial" w:hAnsi="Arial" w:cs="Arial"/>
          <w:b w:val="0"/>
          <w:sz w:val="17"/>
          <w:szCs w:val="17"/>
        </w:rPr>
        <w:t>p</w:t>
      </w:r>
      <w:r w:rsidRPr="004B6A70">
        <w:rPr>
          <w:rFonts w:ascii="Arial" w:hAnsi="Arial" w:cs="Arial"/>
          <w:b w:val="0"/>
          <w:sz w:val="17"/>
          <w:szCs w:val="17"/>
        </w:rPr>
        <w:t>apers, a glossary of terms can be found in Note </w:t>
      </w:r>
      <w:r w:rsidR="00646F3C" w:rsidRPr="004B6A70">
        <w:rPr>
          <w:rFonts w:ascii="Arial" w:hAnsi="Arial" w:cs="Arial"/>
          <w:b w:val="0"/>
          <w:sz w:val="17"/>
          <w:szCs w:val="17"/>
        </w:rPr>
        <w:t>3</w:t>
      </w:r>
      <w:r w:rsidR="004B6A70" w:rsidRPr="004B6A70">
        <w:rPr>
          <w:rFonts w:ascii="Arial" w:hAnsi="Arial" w:cs="Arial"/>
          <w:b w:val="0"/>
          <w:sz w:val="17"/>
          <w:szCs w:val="17"/>
        </w:rPr>
        <w:t>7</w:t>
      </w:r>
      <w:r w:rsidRPr="004B6A70">
        <w:rPr>
          <w:rFonts w:ascii="Arial" w:hAnsi="Arial" w:cs="Arial"/>
          <w:b w:val="0"/>
          <w:sz w:val="17"/>
          <w:szCs w:val="17"/>
        </w:rPr>
        <w:t xml:space="preserve"> of </w:t>
      </w:r>
      <w:r w:rsidR="0056153F" w:rsidRPr="004B6A70">
        <w:rPr>
          <w:rFonts w:ascii="Arial" w:hAnsi="Arial" w:cs="Arial"/>
          <w:b w:val="0"/>
          <w:sz w:val="17"/>
          <w:szCs w:val="17"/>
        </w:rPr>
        <w:t xml:space="preserve">the </w:t>
      </w:r>
      <w:r w:rsidR="00646F3C" w:rsidRPr="004B6A70">
        <w:rPr>
          <w:rFonts w:ascii="Arial" w:hAnsi="Arial" w:cs="Arial"/>
          <w:b w:val="0"/>
          <w:sz w:val="17"/>
          <w:szCs w:val="17"/>
        </w:rPr>
        <w:t>Report on State Finances 201</w:t>
      </w:r>
      <w:r w:rsidR="00840207">
        <w:rPr>
          <w:rFonts w:ascii="Arial" w:hAnsi="Arial" w:cs="Arial"/>
          <w:b w:val="0"/>
          <w:sz w:val="17"/>
          <w:szCs w:val="17"/>
        </w:rPr>
        <w:t>7</w:t>
      </w:r>
      <w:r w:rsidR="00646F3C" w:rsidRPr="004B6A70">
        <w:rPr>
          <w:rFonts w:ascii="Arial" w:hAnsi="Arial" w:cs="Arial"/>
          <w:b w:val="0"/>
          <w:sz w:val="17"/>
          <w:szCs w:val="17"/>
        </w:rPr>
        <w:t>-1</w:t>
      </w:r>
      <w:r w:rsidR="00840207">
        <w:rPr>
          <w:rFonts w:ascii="Arial" w:hAnsi="Arial" w:cs="Arial"/>
          <w:b w:val="0"/>
          <w:sz w:val="17"/>
          <w:szCs w:val="17"/>
        </w:rPr>
        <w:t>8</w:t>
      </w:r>
      <w:r w:rsidR="00646F3C" w:rsidRPr="004B6A70">
        <w:rPr>
          <w:rFonts w:ascii="Arial" w:hAnsi="Arial" w:cs="Arial"/>
          <w:b w:val="0"/>
          <w:sz w:val="17"/>
          <w:szCs w:val="17"/>
        </w:rPr>
        <w:t>.</w:t>
      </w:r>
    </w:p>
    <w:sectPr w:rsidR="00B94ABD" w:rsidRPr="00B94ABD" w:rsidSect="00DE7F19">
      <w:headerReference w:type="even" r:id="rId11"/>
      <w:headerReference w:type="default" r:id="rId12"/>
      <w:footerReference w:type="even" r:id="rId13"/>
      <w:footerReference w:type="default" r:id="rId14"/>
      <w:headerReference w:type="first" r:id="rId15"/>
      <w:footerReference w:type="first" r:id="rId16"/>
      <w:pgSz w:w="11907" w:h="16840" w:code="9"/>
      <w:pgMar w:top="1134" w:right="1134" w:bottom="567" w:left="1134" w:header="454"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CB42EA" w14:textId="77777777" w:rsidR="009213EB" w:rsidRDefault="009213EB">
      <w:r>
        <w:separator/>
      </w:r>
    </w:p>
  </w:endnote>
  <w:endnote w:type="continuationSeparator" w:id="0">
    <w:p w14:paraId="4394A4B3" w14:textId="77777777" w:rsidR="009213EB" w:rsidRDefault="00921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40502020204"/>
    <w:charset w:val="00"/>
    <w:family w:val="swiss"/>
    <w:pitch w:val="variable"/>
    <w:sig w:usb0="01002A87" w:usb1="00000000" w:usb2="00000000" w:usb3="00000000" w:csb0="000100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E3C5B" w14:textId="363262DF" w:rsidR="00996DE1" w:rsidRPr="002710A9" w:rsidRDefault="00AF7E44" w:rsidP="00DE7F19">
    <w:pPr>
      <w:pBdr>
        <w:top w:val="single" w:sz="4" w:space="4" w:color="auto"/>
      </w:pBdr>
      <w:tabs>
        <w:tab w:val="right" w:pos="9639"/>
      </w:tabs>
      <w:rPr>
        <w:rFonts w:cs="Arial"/>
        <w:szCs w:val="18"/>
      </w:rPr>
    </w:pPr>
    <w:r>
      <w:rPr>
        <w:rFonts w:ascii="Arial" w:hAnsi="Arial" w:cs="Arial"/>
        <w:sz w:val="18"/>
        <w:szCs w:val="18"/>
      </w:rPr>
      <w:t>C</w:t>
    </w:r>
    <w:r w:rsidR="002710A9" w:rsidRPr="00BC14BC">
      <w:rPr>
        <w:rFonts w:ascii="Arial" w:hAnsi="Arial" w:cs="Arial"/>
        <w:sz w:val="18"/>
        <w:szCs w:val="18"/>
      </w:rPr>
      <w:t xml:space="preserve"> - </w:t>
    </w:r>
    <w:r w:rsidR="002710A9" w:rsidRPr="00BC14BC">
      <w:rPr>
        <w:rFonts w:ascii="Arial" w:hAnsi="Arial" w:cs="Arial"/>
        <w:sz w:val="18"/>
        <w:szCs w:val="18"/>
      </w:rPr>
      <w:fldChar w:fldCharType="begin"/>
    </w:r>
    <w:r w:rsidR="002710A9" w:rsidRPr="00BC14BC">
      <w:rPr>
        <w:rFonts w:ascii="Arial" w:hAnsi="Arial" w:cs="Arial"/>
        <w:sz w:val="18"/>
        <w:szCs w:val="18"/>
      </w:rPr>
      <w:instrText xml:space="preserve"> PAGE   \* MERGEFORMAT </w:instrText>
    </w:r>
    <w:r w:rsidR="002710A9" w:rsidRPr="00BC14BC">
      <w:rPr>
        <w:rFonts w:ascii="Arial" w:hAnsi="Arial" w:cs="Arial"/>
        <w:sz w:val="18"/>
        <w:szCs w:val="18"/>
      </w:rPr>
      <w:fldChar w:fldCharType="separate"/>
    </w:r>
    <w:r w:rsidR="002710A9">
      <w:rPr>
        <w:rFonts w:ascii="Arial" w:hAnsi="Arial" w:cs="Arial"/>
        <w:sz w:val="18"/>
        <w:szCs w:val="18"/>
      </w:rPr>
      <w:t>2</w:t>
    </w:r>
    <w:r w:rsidR="002710A9" w:rsidRPr="00BC14BC">
      <w:rPr>
        <w:rFonts w:ascii="Arial" w:hAnsi="Arial" w:cs="Arial"/>
        <w:noProof/>
        <w:sz w:val="18"/>
        <w:szCs w:val="18"/>
      </w:rPr>
      <w:fldChar w:fldCharType="end"/>
    </w:r>
    <w:r w:rsidR="002710A9">
      <w:rPr>
        <w:rFonts w:ascii="Arial" w:hAnsi="Arial" w:cs="Arial"/>
        <w:noProof/>
        <w:sz w:val="18"/>
        <w:szCs w:val="18"/>
      </w:rPr>
      <w:tab/>
    </w:r>
    <w:r w:rsidR="00996DE1" w:rsidRPr="00BC14BC">
      <w:rPr>
        <w:rFonts w:ascii="Arial" w:hAnsi="Arial" w:cs="Arial"/>
        <w:sz w:val="18"/>
        <w:szCs w:val="18"/>
      </w:rPr>
      <w:t>Infrastructure Statement 201</w:t>
    </w:r>
    <w:r w:rsidR="00996DE1">
      <w:rPr>
        <w:rFonts w:ascii="Arial" w:hAnsi="Arial" w:cs="Arial"/>
        <w:sz w:val="18"/>
        <w:szCs w:val="18"/>
      </w:rPr>
      <w:t>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37219" w14:textId="34EF1A89" w:rsidR="00F6162B" w:rsidRPr="00BC14BC" w:rsidRDefault="006F5ECB" w:rsidP="0018346E">
    <w:pPr>
      <w:pBdr>
        <w:top w:val="single" w:sz="4" w:space="4" w:color="auto"/>
      </w:pBdr>
      <w:tabs>
        <w:tab w:val="right" w:pos="9639"/>
      </w:tabs>
      <w:rPr>
        <w:rFonts w:ascii="Arial" w:hAnsi="Arial" w:cs="Arial"/>
        <w:noProof/>
        <w:sz w:val="18"/>
        <w:szCs w:val="18"/>
      </w:rPr>
    </w:pPr>
    <w:r w:rsidRPr="00BC14BC">
      <w:rPr>
        <w:rFonts w:ascii="Arial" w:hAnsi="Arial" w:cs="Arial"/>
        <w:sz w:val="18"/>
        <w:szCs w:val="18"/>
      </w:rPr>
      <w:t>Infrastructure Statement 201</w:t>
    </w:r>
    <w:r>
      <w:rPr>
        <w:rFonts w:ascii="Arial" w:hAnsi="Arial" w:cs="Arial"/>
        <w:sz w:val="18"/>
        <w:szCs w:val="18"/>
      </w:rPr>
      <w:t>9-20</w:t>
    </w:r>
    <w:r w:rsidR="002710A9" w:rsidRPr="002710A9">
      <w:rPr>
        <w:rFonts w:ascii="Arial" w:hAnsi="Arial" w:cs="Arial"/>
        <w:sz w:val="18"/>
        <w:szCs w:val="18"/>
      </w:rPr>
      <w:t xml:space="preserve"> </w:t>
    </w:r>
    <w:r w:rsidR="002710A9">
      <w:rPr>
        <w:rFonts w:ascii="Arial" w:hAnsi="Arial" w:cs="Arial"/>
        <w:sz w:val="18"/>
        <w:szCs w:val="18"/>
      </w:rPr>
      <w:tab/>
    </w:r>
    <w:r w:rsidR="00AF7E44">
      <w:rPr>
        <w:rFonts w:ascii="Arial" w:hAnsi="Arial" w:cs="Arial"/>
        <w:sz w:val="18"/>
        <w:szCs w:val="18"/>
      </w:rPr>
      <w:t>C</w:t>
    </w:r>
    <w:r w:rsidR="002710A9" w:rsidRPr="00BC14BC">
      <w:rPr>
        <w:rFonts w:ascii="Arial" w:hAnsi="Arial" w:cs="Arial"/>
        <w:sz w:val="18"/>
        <w:szCs w:val="18"/>
      </w:rPr>
      <w:t xml:space="preserve"> - </w:t>
    </w:r>
    <w:r w:rsidR="002710A9" w:rsidRPr="00BC14BC">
      <w:rPr>
        <w:rFonts w:ascii="Arial" w:hAnsi="Arial" w:cs="Arial"/>
        <w:sz w:val="18"/>
        <w:szCs w:val="18"/>
      </w:rPr>
      <w:fldChar w:fldCharType="begin"/>
    </w:r>
    <w:r w:rsidR="002710A9" w:rsidRPr="00BC14BC">
      <w:rPr>
        <w:rFonts w:ascii="Arial" w:hAnsi="Arial" w:cs="Arial"/>
        <w:sz w:val="18"/>
        <w:szCs w:val="18"/>
      </w:rPr>
      <w:instrText xml:space="preserve"> PAGE   \* MERGEFORMAT </w:instrText>
    </w:r>
    <w:r w:rsidR="002710A9" w:rsidRPr="00BC14BC">
      <w:rPr>
        <w:rFonts w:ascii="Arial" w:hAnsi="Arial" w:cs="Arial"/>
        <w:sz w:val="18"/>
        <w:szCs w:val="18"/>
      </w:rPr>
      <w:fldChar w:fldCharType="separate"/>
    </w:r>
    <w:r w:rsidR="002710A9">
      <w:rPr>
        <w:rFonts w:ascii="Arial" w:hAnsi="Arial" w:cs="Arial"/>
        <w:sz w:val="18"/>
        <w:szCs w:val="18"/>
      </w:rPr>
      <w:t>3</w:t>
    </w:r>
    <w:r w:rsidR="002710A9" w:rsidRPr="00BC14BC">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F6B78" w14:textId="57A3C098" w:rsidR="00F6162B" w:rsidRPr="00BC14BC" w:rsidRDefault="0018346E" w:rsidP="0018346E">
    <w:pPr>
      <w:pBdr>
        <w:top w:val="single" w:sz="4" w:space="4" w:color="auto"/>
      </w:pBdr>
      <w:tabs>
        <w:tab w:val="right" w:pos="9639"/>
      </w:tabs>
      <w:rPr>
        <w:rFonts w:ascii="Arial" w:hAnsi="Arial" w:cs="Arial"/>
        <w:sz w:val="18"/>
        <w:szCs w:val="18"/>
      </w:rPr>
    </w:pPr>
    <w:r w:rsidRPr="00BC14BC">
      <w:rPr>
        <w:rFonts w:ascii="Arial" w:hAnsi="Arial" w:cs="Arial"/>
        <w:sz w:val="18"/>
        <w:szCs w:val="18"/>
      </w:rPr>
      <w:t>Infrastructure Statement 201</w:t>
    </w:r>
    <w:r w:rsidR="005826D6">
      <w:rPr>
        <w:rFonts w:ascii="Arial" w:hAnsi="Arial" w:cs="Arial"/>
        <w:sz w:val="18"/>
        <w:szCs w:val="18"/>
      </w:rPr>
      <w:t>9-20</w:t>
    </w:r>
    <w:r w:rsidR="002710A9" w:rsidRPr="002710A9">
      <w:rPr>
        <w:rFonts w:ascii="Arial" w:hAnsi="Arial" w:cs="Arial"/>
        <w:sz w:val="18"/>
        <w:szCs w:val="18"/>
      </w:rPr>
      <w:t xml:space="preserve"> </w:t>
    </w:r>
    <w:r w:rsidR="002710A9">
      <w:rPr>
        <w:rFonts w:ascii="Arial" w:hAnsi="Arial" w:cs="Arial"/>
        <w:sz w:val="18"/>
        <w:szCs w:val="18"/>
      </w:rPr>
      <w:tab/>
    </w:r>
    <w:r w:rsidR="00AF7E44">
      <w:rPr>
        <w:rFonts w:ascii="Arial" w:hAnsi="Arial" w:cs="Arial"/>
        <w:sz w:val="18"/>
        <w:szCs w:val="18"/>
      </w:rPr>
      <w:t>C</w:t>
    </w:r>
    <w:r w:rsidR="002710A9" w:rsidRPr="00BC14BC">
      <w:rPr>
        <w:rFonts w:ascii="Arial" w:hAnsi="Arial" w:cs="Arial"/>
        <w:sz w:val="18"/>
        <w:szCs w:val="18"/>
      </w:rPr>
      <w:t xml:space="preserve"> - </w:t>
    </w:r>
    <w:r w:rsidR="002710A9" w:rsidRPr="00BC14BC">
      <w:rPr>
        <w:rFonts w:ascii="Arial" w:hAnsi="Arial" w:cs="Arial"/>
        <w:sz w:val="18"/>
        <w:szCs w:val="18"/>
      </w:rPr>
      <w:fldChar w:fldCharType="begin"/>
    </w:r>
    <w:r w:rsidR="002710A9" w:rsidRPr="00BC14BC">
      <w:rPr>
        <w:rFonts w:ascii="Arial" w:hAnsi="Arial" w:cs="Arial"/>
        <w:sz w:val="18"/>
        <w:szCs w:val="18"/>
      </w:rPr>
      <w:instrText xml:space="preserve"> PAGE   \* MERGEFORMAT </w:instrText>
    </w:r>
    <w:r w:rsidR="002710A9" w:rsidRPr="00BC14BC">
      <w:rPr>
        <w:rFonts w:ascii="Arial" w:hAnsi="Arial" w:cs="Arial"/>
        <w:sz w:val="18"/>
        <w:szCs w:val="18"/>
      </w:rPr>
      <w:fldChar w:fldCharType="separate"/>
    </w:r>
    <w:r w:rsidR="002710A9">
      <w:rPr>
        <w:rFonts w:ascii="Arial" w:hAnsi="Arial" w:cs="Arial"/>
        <w:sz w:val="18"/>
        <w:szCs w:val="18"/>
      </w:rPr>
      <w:t>1</w:t>
    </w:r>
    <w:r w:rsidR="002710A9" w:rsidRPr="00BC14BC">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89166" w14:textId="77777777" w:rsidR="009213EB" w:rsidRDefault="009213EB">
      <w:pPr>
        <w:spacing w:before="120"/>
      </w:pPr>
      <w:r>
        <w:separator/>
      </w:r>
    </w:p>
  </w:footnote>
  <w:footnote w:type="continuationSeparator" w:id="0">
    <w:p w14:paraId="2D3A4B76" w14:textId="77777777" w:rsidR="009213EB" w:rsidRDefault="009213EB">
      <w:pPr>
        <w:spacing w:before="120"/>
      </w:pPr>
      <w:r>
        <w:continuationSeparator/>
      </w:r>
    </w:p>
  </w:footnote>
  <w:footnote w:type="continuationNotice" w:id="1">
    <w:p w14:paraId="7E2BC114" w14:textId="77777777" w:rsidR="009213EB" w:rsidRDefault="009213EB">
      <w:pPr>
        <w:rPr>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E8EA6" w14:textId="77777777" w:rsidR="002710A9" w:rsidRPr="003E1BC1" w:rsidRDefault="002710A9" w:rsidP="002710A9">
    <w:pPr>
      <w:pStyle w:val="Header"/>
      <w:pBdr>
        <w:bottom w:val="single" w:sz="2" w:space="4" w:color="auto"/>
      </w:pBdr>
      <w:tabs>
        <w:tab w:val="clear" w:pos="4153"/>
        <w:tab w:val="clear" w:pos="8306"/>
        <w:tab w:val="center" w:pos="4513"/>
        <w:tab w:val="right" w:pos="9026"/>
      </w:tabs>
      <w:rPr>
        <w:rFonts w:ascii="Arial" w:eastAsia="Calibri" w:hAnsi="Arial" w:cs="Arial"/>
        <w:sz w:val="18"/>
        <w:szCs w:val="18"/>
        <w:lang w:val="en-AU"/>
      </w:rPr>
    </w:pPr>
    <w:r w:rsidRPr="003E1BC1">
      <w:rPr>
        <w:rFonts w:ascii="Arial" w:eastAsia="Calibri" w:hAnsi="Arial" w:cs="Arial"/>
        <w:sz w:val="18"/>
        <w:szCs w:val="18"/>
        <w:lang w:val="en-AU"/>
      </w:rPr>
      <w:t>Glossary</w:t>
    </w:r>
  </w:p>
  <w:p w14:paraId="42A4FB5D" w14:textId="77777777" w:rsidR="006F5ECB" w:rsidRPr="002710A9" w:rsidRDefault="006F5ECB" w:rsidP="002710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0EF96" w14:textId="77777777" w:rsidR="002710A9" w:rsidRPr="003E1BC1" w:rsidRDefault="002710A9" w:rsidP="00DE7F19">
    <w:pPr>
      <w:pStyle w:val="Header"/>
      <w:pBdr>
        <w:bottom w:val="single" w:sz="2" w:space="4" w:color="auto"/>
      </w:pBdr>
      <w:tabs>
        <w:tab w:val="clear" w:pos="4153"/>
        <w:tab w:val="clear" w:pos="8306"/>
        <w:tab w:val="center" w:pos="4513"/>
        <w:tab w:val="right" w:pos="9026"/>
      </w:tabs>
      <w:jc w:val="right"/>
      <w:rPr>
        <w:rFonts w:ascii="Arial" w:eastAsia="Calibri" w:hAnsi="Arial" w:cs="Arial"/>
        <w:sz w:val="18"/>
        <w:szCs w:val="18"/>
        <w:lang w:val="en-AU"/>
      </w:rPr>
    </w:pPr>
    <w:r w:rsidRPr="003E1BC1">
      <w:rPr>
        <w:rFonts w:ascii="Arial" w:eastAsia="Calibri" w:hAnsi="Arial" w:cs="Arial"/>
        <w:sz w:val="18"/>
        <w:szCs w:val="18"/>
        <w:lang w:val="en-AU"/>
      </w:rPr>
      <w:t>Glossary</w:t>
    </w:r>
  </w:p>
  <w:p w14:paraId="52CA6C97" w14:textId="77777777" w:rsidR="006F5ECB" w:rsidRPr="002710A9" w:rsidRDefault="006F5ECB" w:rsidP="002710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F6799" w14:textId="3912EBA6" w:rsidR="005A126E" w:rsidRPr="003E1BC1" w:rsidRDefault="005A126E" w:rsidP="00DE7F19">
    <w:pPr>
      <w:pStyle w:val="Header"/>
      <w:tabs>
        <w:tab w:val="clear" w:pos="4153"/>
        <w:tab w:val="clear" w:pos="8306"/>
        <w:tab w:val="center" w:pos="4513"/>
        <w:tab w:val="right" w:pos="9026"/>
      </w:tabs>
      <w:rPr>
        <w:rFonts w:ascii="Arial" w:eastAsia="Calibri" w:hAnsi="Arial" w:cs="Arial"/>
        <w:sz w:val="18"/>
        <w:szCs w:val="1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E499A"/>
    <w:multiLevelType w:val="singleLevel"/>
    <w:tmpl w:val="54E65F4A"/>
    <w:lvl w:ilvl="0">
      <w:start w:val="1"/>
      <w:numFmt w:val="bullet"/>
      <w:pStyle w:val="Bullet1inabox"/>
      <w:lvlText w:val=""/>
      <w:lvlJc w:val="left"/>
      <w:pPr>
        <w:tabs>
          <w:tab w:val="num" w:pos="425"/>
        </w:tabs>
        <w:ind w:left="425" w:hanging="425"/>
      </w:pPr>
      <w:rPr>
        <w:rFonts w:ascii="Symbol" w:hAnsi="Symbol" w:hint="default"/>
      </w:rPr>
    </w:lvl>
  </w:abstractNum>
  <w:abstractNum w:abstractNumId="1" w15:restartNumberingAfterBreak="0">
    <w:nsid w:val="05DE5882"/>
    <w:multiLevelType w:val="singleLevel"/>
    <w:tmpl w:val="022A7A84"/>
    <w:lvl w:ilvl="0">
      <w:start w:val="1"/>
      <w:numFmt w:val="bullet"/>
      <w:pStyle w:val="Bullet3"/>
      <w:lvlText w:val=""/>
      <w:lvlJc w:val="left"/>
      <w:pPr>
        <w:tabs>
          <w:tab w:val="num" w:pos="1276"/>
        </w:tabs>
        <w:ind w:left="1276" w:hanging="425"/>
      </w:pPr>
      <w:rPr>
        <w:rFonts w:ascii="Symbol" w:hAnsi="Symbol" w:hint="default"/>
        <w:sz w:val="22"/>
      </w:rPr>
    </w:lvl>
  </w:abstractNum>
  <w:abstractNum w:abstractNumId="2" w15:restartNumberingAfterBreak="0">
    <w:nsid w:val="15F057A9"/>
    <w:multiLevelType w:val="hybridMultilevel"/>
    <w:tmpl w:val="D604ED84"/>
    <w:lvl w:ilvl="0" w:tplc="A1CA3822">
      <w:start w:val="1"/>
      <w:numFmt w:val="lowerLetter"/>
      <w:lvlText w:val="(%1)"/>
      <w:lvlJc w:val="left"/>
      <w:pPr>
        <w:tabs>
          <w:tab w:val="num" w:pos="1420"/>
        </w:tabs>
        <w:ind w:left="1420" w:hanging="1420"/>
      </w:pPr>
      <w:rPr>
        <w:rFonts w:hint="default"/>
        <w:b w:val="0"/>
        <w:i/>
        <w:caps w:val="0"/>
        <w:sz w:val="16"/>
      </w:rPr>
    </w:lvl>
    <w:lvl w:ilvl="1" w:tplc="2AAEBBC0">
      <w:start w:val="1"/>
      <w:numFmt w:val="lowerLetter"/>
      <w:pStyle w:val="ObjectFootnotelettered"/>
      <w:lvlText w:val="(%2)"/>
      <w:lvlJc w:val="left"/>
      <w:pPr>
        <w:tabs>
          <w:tab w:val="num" w:pos="1420"/>
        </w:tabs>
        <w:ind w:left="1420" w:hanging="340"/>
      </w:pPr>
      <w:rPr>
        <w:rFonts w:hint="default"/>
        <w:b w:val="0"/>
        <w:i/>
        <w:caps w:val="0"/>
        <w:sz w:val="16"/>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26FA10BB"/>
    <w:multiLevelType w:val="hybridMultilevel"/>
    <w:tmpl w:val="17B253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45E3CD8"/>
    <w:multiLevelType w:val="hybridMultilevel"/>
    <w:tmpl w:val="C730FF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331E4E"/>
    <w:multiLevelType w:val="singleLevel"/>
    <w:tmpl w:val="D6E6C5DC"/>
    <w:lvl w:ilvl="0">
      <w:start w:val="1"/>
      <w:numFmt w:val="bullet"/>
      <w:pStyle w:val="Bullet1box"/>
      <w:lvlText w:val=""/>
      <w:lvlJc w:val="left"/>
      <w:pPr>
        <w:ind w:left="360" w:hanging="360"/>
      </w:pPr>
      <w:rPr>
        <w:rFonts w:ascii="Wingdings" w:hAnsi="Wingdings" w:hint="default"/>
      </w:rPr>
    </w:lvl>
  </w:abstractNum>
  <w:abstractNum w:abstractNumId="6" w15:restartNumberingAfterBreak="0">
    <w:nsid w:val="3DF944FB"/>
    <w:multiLevelType w:val="singleLevel"/>
    <w:tmpl w:val="96863882"/>
    <w:lvl w:ilvl="0">
      <w:start w:val="1"/>
      <w:numFmt w:val="bullet"/>
      <w:pStyle w:val="Bullet4"/>
      <w:lvlText w:val=""/>
      <w:lvlJc w:val="left"/>
      <w:pPr>
        <w:tabs>
          <w:tab w:val="num" w:pos="1701"/>
        </w:tabs>
        <w:ind w:left="1701" w:hanging="425"/>
      </w:pPr>
      <w:rPr>
        <w:rFonts w:ascii="Symbol" w:hAnsi="Symbol" w:hint="default"/>
        <w:sz w:val="22"/>
      </w:rPr>
    </w:lvl>
  </w:abstractNum>
  <w:abstractNum w:abstractNumId="7" w15:restartNumberingAfterBreak="0">
    <w:nsid w:val="52BD70C2"/>
    <w:multiLevelType w:val="hybridMultilevel"/>
    <w:tmpl w:val="577A4FCA"/>
    <w:lvl w:ilvl="0" w:tplc="8A46047C">
      <w:start w:val="1"/>
      <w:numFmt w:val="bullet"/>
      <w:pStyle w:val="Bullet2"/>
      <w:lvlText w:val="–"/>
      <w:lvlJc w:val="left"/>
      <w:pPr>
        <w:tabs>
          <w:tab w:val="num" w:pos="785"/>
        </w:tabs>
        <w:ind w:left="785" w:hanging="360"/>
      </w:pPr>
      <w:rPr>
        <w:rFonts w:ascii="Lucida Sans" w:hAnsi="Lucida Sans" w:hint="default"/>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6041D7B"/>
    <w:multiLevelType w:val="singleLevel"/>
    <w:tmpl w:val="77F8C614"/>
    <w:lvl w:ilvl="0">
      <w:start w:val="1"/>
      <w:numFmt w:val="decimal"/>
      <w:pStyle w:val="ChartHeading"/>
      <w:lvlText w:val="Chart 2.%1:"/>
      <w:lvlJc w:val="left"/>
      <w:pPr>
        <w:tabs>
          <w:tab w:val="num" w:pos="1418"/>
        </w:tabs>
        <w:ind w:left="1418" w:hanging="1418"/>
      </w:pPr>
      <w:rPr>
        <w:rFonts w:ascii="Arial" w:hAnsi="Arial" w:hint="default"/>
        <w:b/>
        <w:i w:val="0"/>
        <w:caps w:val="0"/>
        <w:sz w:val="24"/>
      </w:rPr>
    </w:lvl>
  </w:abstractNum>
  <w:abstractNum w:abstractNumId="9" w15:restartNumberingAfterBreak="0">
    <w:nsid w:val="5EF36900"/>
    <w:multiLevelType w:val="hybridMultilevel"/>
    <w:tmpl w:val="C5F246AA"/>
    <w:lvl w:ilvl="0" w:tplc="B3C881C4">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5F4D6A0E"/>
    <w:multiLevelType w:val="singleLevel"/>
    <w:tmpl w:val="BE50AB80"/>
    <w:lvl w:ilvl="0">
      <w:start w:val="1"/>
      <w:numFmt w:val="bullet"/>
      <w:pStyle w:val="Bullet1"/>
      <w:lvlText w:val=""/>
      <w:lvlJc w:val="left"/>
      <w:pPr>
        <w:tabs>
          <w:tab w:val="num" w:pos="425"/>
        </w:tabs>
        <w:ind w:left="425" w:hanging="425"/>
      </w:pPr>
      <w:rPr>
        <w:rFonts w:ascii="Wingdings" w:hAnsi="Wingdings" w:hint="default"/>
      </w:rPr>
    </w:lvl>
  </w:abstractNum>
  <w:abstractNum w:abstractNumId="11" w15:restartNumberingAfterBreak="0">
    <w:nsid w:val="72741E1A"/>
    <w:multiLevelType w:val="hybridMultilevel"/>
    <w:tmpl w:val="A922F4AE"/>
    <w:lvl w:ilvl="0" w:tplc="D186BCC6">
      <w:start w:val="8"/>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CED73FB"/>
    <w:multiLevelType w:val="hybridMultilevel"/>
    <w:tmpl w:val="818C6026"/>
    <w:lvl w:ilvl="0" w:tplc="15A60584">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0"/>
  </w:num>
  <w:num w:numId="2">
    <w:abstractNumId w:val="1"/>
  </w:num>
  <w:num w:numId="3">
    <w:abstractNumId w:val="6"/>
  </w:num>
  <w:num w:numId="4">
    <w:abstractNumId w:val="2"/>
  </w:num>
  <w:num w:numId="5">
    <w:abstractNumId w:val="10"/>
  </w:num>
  <w:num w:numId="6">
    <w:abstractNumId w:val="5"/>
  </w:num>
  <w:num w:numId="7">
    <w:abstractNumId w:val="0"/>
  </w:num>
  <w:num w:numId="8">
    <w:abstractNumId w:val="7"/>
  </w:num>
  <w:num w:numId="9">
    <w:abstractNumId w:val="8"/>
  </w:num>
  <w:num w:numId="10">
    <w:abstractNumId w:val="3"/>
  </w:num>
  <w:num w:numId="11">
    <w:abstractNumId w:val="11"/>
  </w:num>
  <w:num w:numId="12">
    <w:abstractNumId w:val="12"/>
  </w:num>
  <w:num w:numId="13">
    <w:abstractNumId w:val="9"/>
  </w:num>
  <w:num w:numId="14">
    <w:abstractNumId w:val="4"/>
  </w:num>
  <w:num w:numId="15">
    <w:abstractNumId w:val="10"/>
  </w:num>
  <w:num w:numId="16">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13D"/>
    <w:rsid w:val="00002CC7"/>
    <w:rsid w:val="0000433C"/>
    <w:rsid w:val="00010EE6"/>
    <w:rsid w:val="00012DF5"/>
    <w:rsid w:val="00022369"/>
    <w:rsid w:val="00025E35"/>
    <w:rsid w:val="0002610F"/>
    <w:rsid w:val="0003021B"/>
    <w:rsid w:val="00031B39"/>
    <w:rsid w:val="00032304"/>
    <w:rsid w:val="00034152"/>
    <w:rsid w:val="00034C02"/>
    <w:rsid w:val="0003597C"/>
    <w:rsid w:val="0004127D"/>
    <w:rsid w:val="00041A60"/>
    <w:rsid w:val="00043464"/>
    <w:rsid w:val="0004506F"/>
    <w:rsid w:val="00045F75"/>
    <w:rsid w:val="00046AE8"/>
    <w:rsid w:val="00046E7B"/>
    <w:rsid w:val="000478D9"/>
    <w:rsid w:val="000513ED"/>
    <w:rsid w:val="00053F54"/>
    <w:rsid w:val="00054B4E"/>
    <w:rsid w:val="00055F70"/>
    <w:rsid w:val="0005603C"/>
    <w:rsid w:val="000613F1"/>
    <w:rsid w:val="00062695"/>
    <w:rsid w:val="000676B4"/>
    <w:rsid w:val="00070C38"/>
    <w:rsid w:val="00076073"/>
    <w:rsid w:val="00076126"/>
    <w:rsid w:val="00084382"/>
    <w:rsid w:val="00087D04"/>
    <w:rsid w:val="00092121"/>
    <w:rsid w:val="000937F8"/>
    <w:rsid w:val="000A1593"/>
    <w:rsid w:val="000A5000"/>
    <w:rsid w:val="000A6FC4"/>
    <w:rsid w:val="000B0F16"/>
    <w:rsid w:val="000C3239"/>
    <w:rsid w:val="000C4A8E"/>
    <w:rsid w:val="000C553C"/>
    <w:rsid w:val="000D196C"/>
    <w:rsid w:val="000D19D4"/>
    <w:rsid w:val="000D1C54"/>
    <w:rsid w:val="000D4387"/>
    <w:rsid w:val="000D558A"/>
    <w:rsid w:val="000D7F88"/>
    <w:rsid w:val="000F0930"/>
    <w:rsid w:val="000F1A36"/>
    <w:rsid w:val="000F2048"/>
    <w:rsid w:val="000F7FD2"/>
    <w:rsid w:val="00111784"/>
    <w:rsid w:val="001152A9"/>
    <w:rsid w:val="001244FD"/>
    <w:rsid w:val="00125B2E"/>
    <w:rsid w:val="00126B14"/>
    <w:rsid w:val="0013085E"/>
    <w:rsid w:val="00131AC4"/>
    <w:rsid w:val="00131CA6"/>
    <w:rsid w:val="001326F8"/>
    <w:rsid w:val="001327B3"/>
    <w:rsid w:val="00132805"/>
    <w:rsid w:val="001332AE"/>
    <w:rsid w:val="00133365"/>
    <w:rsid w:val="0013470D"/>
    <w:rsid w:val="0013628D"/>
    <w:rsid w:val="00145506"/>
    <w:rsid w:val="001466D5"/>
    <w:rsid w:val="00156240"/>
    <w:rsid w:val="00163BB6"/>
    <w:rsid w:val="001642C9"/>
    <w:rsid w:val="00165FC6"/>
    <w:rsid w:val="001711B4"/>
    <w:rsid w:val="00172CDE"/>
    <w:rsid w:val="00173395"/>
    <w:rsid w:val="001764BC"/>
    <w:rsid w:val="00180985"/>
    <w:rsid w:val="00183355"/>
    <w:rsid w:val="0018346E"/>
    <w:rsid w:val="00183C56"/>
    <w:rsid w:val="00183CB5"/>
    <w:rsid w:val="00185B9E"/>
    <w:rsid w:val="00190AF9"/>
    <w:rsid w:val="00193001"/>
    <w:rsid w:val="00193707"/>
    <w:rsid w:val="00194563"/>
    <w:rsid w:val="00196719"/>
    <w:rsid w:val="001A1198"/>
    <w:rsid w:val="001A7CC1"/>
    <w:rsid w:val="001B2931"/>
    <w:rsid w:val="001B4FB4"/>
    <w:rsid w:val="001B73FE"/>
    <w:rsid w:val="001B7BAB"/>
    <w:rsid w:val="001C2818"/>
    <w:rsid w:val="001C2AB3"/>
    <w:rsid w:val="001C6928"/>
    <w:rsid w:val="001C6E0E"/>
    <w:rsid w:val="001C7046"/>
    <w:rsid w:val="001D2518"/>
    <w:rsid w:val="001D3E8A"/>
    <w:rsid w:val="001D58D1"/>
    <w:rsid w:val="001D6AFF"/>
    <w:rsid w:val="001E0494"/>
    <w:rsid w:val="001E2E42"/>
    <w:rsid w:val="001E4E39"/>
    <w:rsid w:val="001E6911"/>
    <w:rsid w:val="001F02F0"/>
    <w:rsid w:val="001F0482"/>
    <w:rsid w:val="001F1596"/>
    <w:rsid w:val="00201C3B"/>
    <w:rsid w:val="002055B0"/>
    <w:rsid w:val="002063CE"/>
    <w:rsid w:val="0020665F"/>
    <w:rsid w:val="0021618C"/>
    <w:rsid w:val="002172BC"/>
    <w:rsid w:val="00226726"/>
    <w:rsid w:val="002278FB"/>
    <w:rsid w:val="00227E59"/>
    <w:rsid w:val="00231FFE"/>
    <w:rsid w:val="0023343A"/>
    <w:rsid w:val="00244421"/>
    <w:rsid w:val="002448AD"/>
    <w:rsid w:val="00246F02"/>
    <w:rsid w:val="0025090A"/>
    <w:rsid w:val="00251472"/>
    <w:rsid w:val="00252507"/>
    <w:rsid w:val="002543C6"/>
    <w:rsid w:val="002564DC"/>
    <w:rsid w:val="00256B39"/>
    <w:rsid w:val="002570B0"/>
    <w:rsid w:val="00257212"/>
    <w:rsid w:val="00260B1C"/>
    <w:rsid w:val="002626D4"/>
    <w:rsid w:val="002710A9"/>
    <w:rsid w:val="00271C03"/>
    <w:rsid w:val="002734D6"/>
    <w:rsid w:val="002737F9"/>
    <w:rsid w:val="00283D55"/>
    <w:rsid w:val="002878D2"/>
    <w:rsid w:val="00291626"/>
    <w:rsid w:val="00295B7D"/>
    <w:rsid w:val="002A60D4"/>
    <w:rsid w:val="002A6730"/>
    <w:rsid w:val="002A7920"/>
    <w:rsid w:val="002A7E10"/>
    <w:rsid w:val="002B7C27"/>
    <w:rsid w:val="002C1042"/>
    <w:rsid w:val="002D23CD"/>
    <w:rsid w:val="002D5373"/>
    <w:rsid w:val="002D592B"/>
    <w:rsid w:val="002E3F37"/>
    <w:rsid w:val="002E728D"/>
    <w:rsid w:val="002F3391"/>
    <w:rsid w:val="002F5B4F"/>
    <w:rsid w:val="0030013E"/>
    <w:rsid w:val="00303DE6"/>
    <w:rsid w:val="0030421D"/>
    <w:rsid w:val="0031013D"/>
    <w:rsid w:val="00311787"/>
    <w:rsid w:val="00322BAF"/>
    <w:rsid w:val="00326D84"/>
    <w:rsid w:val="0032722E"/>
    <w:rsid w:val="00327943"/>
    <w:rsid w:val="00327BEF"/>
    <w:rsid w:val="0033033C"/>
    <w:rsid w:val="00331BA0"/>
    <w:rsid w:val="00331ECB"/>
    <w:rsid w:val="003435E4"/>
    <w:rsid w:val="003450F6"/>
    <w:rsid w:val="00346119"/>
    <w:rsid w:val="003556AC"/>
    <w:rsid w:val="00357A66"/>
    <w:rsid w:val="00361356"/>
    <w:rsid w:val="003614BB"/>
    <w:rsid w:val="00363A32"/>
    <w:rsid w:val="00363ADC"/>
    <w:rsid w:val="00364147"/>
    <w:rsid w:val="00365527"/>
    <w:rsid w:val="003664ED"/>
    <w:rsid w:val="0037668F"/>
    <w:rsid w:val="00381D08"/>
    <w:rsid w:val="00382841"/>
    <w:rsid w:val="0038285D"/>
    <w:rsid w:val="00385BA8"/>
    <w:rsid w:val="003922A6"/>
    <w:rsid w:val="00394230"/>
    <w:rsid w:val="00394F56"/>
    <w:rsid w:val="00396A89"/>
    <w:rsid w:val="003A21D0"/>
    <w:rsid w:val="003A3300"/>
    <w:rsid w:val="003A3E68"/>
    <w:rsid w:val="003A5BA2"/>
    <w:rsid w:val="003B0AA6"/>
    <w:rsid w:val="003B3E9A"/>
    <w:rsid w:val="003B4D0E"/>
    <w:rsid w:val="003B5ADE"/>
    <w:rsid w:val="003B72FD"/>
    <w:rsid w:val="003B7CEC"/>
    <w:rsid w:val="003C22BA"/>
    <w:rsid w:val="003C2AAD"/>
    <w:rsid w:val="003D0191"/>
    <w:rsid w:val="003D06C6"/>
    <w:rsid w:val="003D06F0"/>
    <w:rsid w:val="003D3865"/>
    <w:rsid w:val="003D7B60"/>
    <w:rsid w:val="003E1BC1"/>
    <w:rsid w:val="003E397B"/>
    <w:rsid w:val="003E3F5E"/>
    <w:rsid w:val="003F1B0B"/>
    <w:rsid w:val="003F3D5F"/>
    <w:rsid w:val="00401F35"/>
    <w:rsid w:val="004063B4"/>
    <w:rsid w:val="00411464"/>
    <w:rsid w:val="00412FF1"/>
    <w:rsid w:val="004146A7"/>
    <w:rsid w:val="00415B33"/>
    <w:rsid w:val="00417E02"/>
    <w:rsid w:val="00420422"/>
    <w:rsid w:val="00423689"/>
    <w:rsid w:val="004342F3"/>
    <w:rsid w:val="004411EB"/>
    <w:rsid w:val="00441FD9"/>
    <w:rsid w:val="00442308"/>
    <w:rsid w:val="00443DDE"/>
    <w:rsid w:val="00445939"/>
    <w:rsid w:val="00447DCC"/>
    <w:rsid w:val="004543C9"/>
    <w:rsid w:val="00457B4E"/>
    <w:rsid w:val="004615C6"/>
    <w:rsid w:val="00467ADD"/>
    <w:rsid w:val="00471394"/>
    <w:rsid w:val="0047183D"/>
    <w:rsid w:val="00473840"/>
    <w:rsid w:val="00474921"/>
    <w:rsid w:val="00474BCE"/>
    <w:rsid w:val="00475351"/>
    <w:rsid w:val="00480139"/>
    <w:rsid w:val="004803CE"/>
    <w:rsid w:val="00483BC9"/>
    <w:rsid w:val="00484204"/>
    <w:rsid w:val="00485EA7"/>
    <w:rsid w:val="00491343"/>
    <w:rsid w:val="00492131"/>
    <w:rsid w:val="00495081"/>
    <w:rsid w:val="004969CD"/>
    <w:rsid w:val="004A033D"/>
    <w:rsid w:val="004A312D"/>
    <w:rsid w:val="004A6254"/>
    <w:rsid w:val="004A6D05"/>
    <w:rsid w:val="004B2BB4"/>
    <w:rsid w:val="004B3929"/>
    <w:rsid w:val="004B3EDB"/>
    <w:rsid w:val="004B550C"/>
    <w:rsid w:val="004B5643"/>
    <w:rsid w:val="004B6A70"/>
    <w:rsid w:val="004B7782"/>
    <w:rsid w:val="004C3994"/>
    <w:rsid w:val="004C65C6"/>
    <w:rsid w:val="004C7F2B"/>
    <w:rsid w:val="004D4717"/>
    <w:rsid w:val="004E1FE6"/>
    <w:rsid w:val="004E5AF5"/>
    <w:rsid w:val="004E7C50"/>
    <w:rsid w:val="004F2153"/>
    <w:rsid w:val="004F259F"/>
    <w:rsid w:val="004F4979"/>
    <w:rsid w:val="004F578F"/>
    <w:rsid w:val="00500F00"/>
    <w:rsid w:val="00513E5A"/>
    <w:rsid w:val="005144E8"/>
    <w:rsid w:val="00530459"/>
    <w:rsid w:val="00534E95"/>
    <w:rsid w:val="00535975"/>
    <w:rsid w:val="00542DFB"/>
    <w:rsid w:val="0054462C"/>
    <w:rsid w:val="005510CD"/>
    <w:rsid w:val="00552AA1"/>
    <w:rsid w:val="00555DC0"/>
    <w:rsid w:val="00560046"/>
    <w:rsid w:val="005614BD"/>
    <w:rsid w:val="0056153F"/>
    <w:rsid w:val="0056194F"/>
    <w:rsid w:val="00562647"/>
    <w:rsid w:val="005630D5"/>
    <w:rsid w:val="00564A05"/>
    <w:rsid w:val="00570B8F"/>
    <w:rsid w:val="00580CE1"/>
    <w:rsid w:val="00581229"/>
    <w:rsid w:val="00581A94"/>
    <w:rsid w:val="005826D6"/>
    <w:rsid w:val="00583D7E"/>
    <w:rsid w:val="0058407E"/>
    <w:rsid w:val="00585A11"/>
    <w:rsid w:val="00587ED5"/>
    <w:rsid w:val="00590C1D"/>
    <w:rsid w:val="00591968"/>
    <w:rsid w:val="00597975"/>
    <w:rsid w:val="005A03CF"/>
    <w:rsid w:val="005A075D"/>
    <w:rsid w:val="005A126E"/>
    <w:rsid w:val="005A2A36"/>
    <w:rsid w:val="005A5F34"/>
    <w:rsid w:val="005B207C"/>
    <w:rsid w:val="005B3C6D"/>
    <w:rsid w:val="005C0A05"/>
    <w:rsid w:val="005C4128"/>
    <w:rsid w:val="005D0168"/>
    <w:rsid w:val="005D2734"/>
    <w:rsid w:val="005D282B"/>
    <w:rsid w:val="005D47FB"/>
    <w:rsid w:val="005D7623"/>
    <w:rsid w:val="005E3941"/>
    <w:rsid w:val="005E57A7"/>
    <w:rsid w:val="005E75F6"/>
    <w:rsid w:val="005F313D"/>
    <w:rsid w:val="005F44EF"/>
    <w:rsid w:val="00601A87"/>
    <w:rsid w:val="006071DD"/>
    <w:rsid w:val="006116F5"/>
    <w:rsid w:val="006162B6"/>
    <w:rsid w:val="006245D7"/>
    <w:rsid w:val="006252D5"/>
    <w:rsid w:val="006259AC"/>
    <w:rsid w:val="006312BE"/>
    <w:rsid w:val="00646F3C"/>
    <w:rsid w:val="00647002"/>
    <w:rsid w:val="00647228"/>
    <w:rsid w:val="0065031E"/>
    <w:rsid w:val="006544F0"/>
    <w:rsid w:val="00654957"/>
    <w:rsid w:val="00662264"/>
    <w:rsid w:val="00664514"/>
    <w:rsid w:val="006645A2"/>
    <w:rsid w:val="00667C6F"/>
    <w:rsid w:val="00670D7C"/>
    <w:rsid w:val="006741A9"/>
    <w:rsid w:val="00674EDF"/>
    <w:rsid w:val="00681AD6"/>
    <w:rsid w:val="006837A4"/>
    <w:rsid w:val="00684AA2"/>
    <w:rsid w:val="00686BE0"/>
    <w:rsid w:val="00686F71"/>
    <w:rsid w:val="006906CB"/>
    <w:rsid w:val="00690B4C"/>
    <w:rsid w:val="00693FD9"/>
    <w:rsid w:val="006944D5"/>
    <w:rsid w:val="006A0716"/>
    <w:rsid w:val="006A1C32"/>
    <w:rsid w:val="006A4D92"/>
    <w:rsid w:val="006A5966"/>
    <w:rsid w:val="006B5D8D"/>
    <w:rsid w:val="006B6714"/>
    <w:rsid w:val="006C4296"/>
    <w:rsid w:val="006D1F05"/>
    <w:rsid w:val="006D7FDA"/>
    <w:rsid w:val="006E12FD"/>
    <w:rsid w:val="006E2072"/>
    <w:rsid w:val="006E54D4"/>
    <w:rsid w:val="006E70E7"/>
    <w:rsid w:val="006F3173"/>
    <w:rsid w:val="006F5442"/>
    <w:rsid w:val="006F5ECB"/>
    <w:rsid w:val="00706122"/>
    <w:rsid w:val="007165F4"/>
    <w:rsid w:val="00716CD2"/>
    <w:rsid w:val="00717D6B"/>
    <w:rsid w:val="007234F6"/>
    <w:rsid w:val="00726E7A"/>
    <w:rsid w:val="0073082B"/>
    <w:rsid w:val="00731797"/>
    <w:rsid w:val="007340CE"/>
    <w:rsid w:val="00735AAD"/>
    <w:rsid w:val="007400DA"/>
    <w:rsid w:val="00744DF7"/>
    <w:rsid w:val="00746380"/>
    <w:rsid w:val="00746519"/>
    <w:rsid w:val="0074742F"/>
    <w:rsid w:val="007500D0"/>
    <w:rsid w:val="007529BE"/>
    <w:rsid w:val="007613E0"/>
    <w:rsid w:val="00763A34"/>
    <w:rsid w:val="007657D9"/>
    <w:rsid w:val="0076595E"/>
    <w:rsid w:val="00765E32"/>
    <w:rsid w:val="00773AF3"/>
    <w:rsid w:val="007763D5"/>
    <w:rsid w:val="00776921"/>
    <w:rsid w:val="00777545"/>
    <w:rsid w:val="00781BA7"/>
    <w:rsid w:val="00781E5F"/>
    <w:rsid w:val="00784382"/>
    <w:rsid w:val="007856EE"/>
    <w:rsid w:val="00786564"/>
    <w:rsid w:val="007873B4"/>
    <w:rsid w:val="0079085A"/>
    <w:rsid w:val="007915C5"/>
    <w:rsid w:val="00792027"/>
    <w:rsid w:val="007932BD"/>
    <w:rsid w:val="00796339"/>
    <w:rsid w:val="007A0ADA"/>
    <w:rsid w:val="007A183C"/>
    <w:rsid w:val="007A3596"/>
    <w:rsid w:val="007A67A7"/>
    <w:rsid w:val="007B25EC"/>
    <w:rsid w:val="007B3F17"/>
    <w:rsid w:val="007B718D"/>
    <w:rsid w:val="007C0257"/>
    <w:rsid w:val="007C053E"/>
    <w:rsid w:val="007C0E78"/>
    <w:rsid w:val="007C17DC"/>
    <w:rsid w:val="007C1AAD"/>
    <w:rsid w:val="007C23B9"/>
    <w:rsid w:val="007C3358"/>
    <w:rsid w:val="007C44DB"/>
    <w:rsid w:val="007C7D6E"/>
    <w:rsid w:val="007D4D4C"/>
    <w:rsid w:val="007D59F2"/>
    <w:rsid w:val="007E3CA0"/>
    <w:rsid w:val="007E3E18"/>
    <w:rsid w:val="007E6543"/>
    <w:rsid w:val="007E73B0"/>
    <w:rsid w:val="007F2B20"/>
    <w:rsid w:val="00801603"/>
    <w:rsid w:val="00804CF6"/>
    <w:rsid w:val="00805C38"/>
    <w:rsid w:val="008065B9"/>
    <w:rsid w:val="00810288"/>
    <w:rsid w:val="00810D63"/>
    <w:rsid w:val="00810FA8"/>
    <w:rsid w:val="008145B6"/>
    <w:rsid w:val="00817883"/>
    <w:rsid w:val="00821DAF"/>
    <w:rsid w:val="00822025"/>
    <w:rsid w:val="00825B01"/>
    <w:rsid w:val="00827E81"/>
    <w:rsid w:val="00835209"/>
    <w:rsid w:val="00840207"/>
    <w:rsid w:val="00841A38"/>
    <w:rsid w:val="008422DC"/>
    <w:rsid w:val="008426A9"/>
    <w:rsid w:val="008453BB"/>
    <w:rsid w:val="0084627F"/>
    <w:rsid w:val="00846E65"/>
    <w:rsid w:val="00847FBC"/>
    <w:rsid w:val="0086001A"/>
    <w:rsid w:val="00872C52"/>
    <w:rsid w:val="0087330B"/>
    <w:rsid w:val="00873BBA"/>
    <w:rsid w:val="00877323"/>
    <w:rsid w:val="00882778"/>
    <w:rsid w:val="00883D21"/>
    <w:rsid w:val="00885556"/>
    <w:rsid w:val="00886450"/>
    <w:rsid w:val="00887BEC"/>
    <w:rsid w:val="00892B35"/>
    <w:rsid w:val="008940DE"/>
    <w:rsid w:val="00895C89"/>
    <w:rsid w:val="00896D78"/>
    <w:rsid w:val="00897A04"/>
    <w:rsid w:val="008A1C9C"/>
    <w:rsid w:val="008A4C79"/>
    <w:rsid w:val="008B205F"/>
    <w:rsid w:val="008B40F9"/>
    <w:rsid w:val="008B7C94"/>
    <w:rsid w:val="008C51EA"/>
    <w:rsid w:val="008C5E21"/>
    <w:rsid w:val="008D1466"/>
    <w:rsid w:val="008D517F"/>
    <w:rsid w:val="008D5D8D"/>
    <w:rsid w:val="008D788B"/>
    <w:rsid w:val="008E14E9"/>
    <w:rsid w:val="008E18A3"/>
    <w:rsid w:val="008E4940"/>
    <w:rsid w:val="008E4EA2"/>
    <w:rsid w:val="008F28DC"/>
    <w:rsid w:val="008F32FF"/>
    <w:rsid w:val="008F37C0"/>
    <w:rsid w:val="008F4CA8"/>
    <w:rsid w:val="009009F2"/>
    <w:rsid w:val="00900B76"/>
    <w:rsid w:val="00902CD7"/>
    <w:rsid w:val="009166F4"/>
    <w:rsid w:val="009213EB"/>
    <w:rsid w:val="00923360"/>
    <w:rsid w:val="00924CE1"/>
    <w:rsid w:val="009308A6"/>
    <w:rsid w:val="00932924"/>
    <w:rsid w:val="00932A3D"/>
    <w:rsid w:val="00940DE2"/>
    <w:rsid w:val="00954F4E"/>
    <w:rsid w:val="00957F53"/>
    <w:rsid w:val="00965E3A"/>
    <w:rsid w:val="00965F94"/>
    <w:rsid w:val="00970B6C"/>
    <w:rsid w:val="00976FCF"/>
    <w:rsid w:val="0097788C"/>
    <w:rsid w:val="00977E93"/>
    <w:rsid w:val="009801E9"/>
    <w:rsid w:val="00980919"/>
    <w:rsid w:val="00981E39"/>
    <w:rsid w:val="00984DEB"/>
    <w:rsid w:val="00994ECA"/>
    <w:rsid w:val="00995109"/>
    <w:rsid w:val="00996DE1"/>
    <w:rsid w:val="009A1ACD"/>
    <w:rsid w:val="009B2413"/>
    <w:rsid w:val="009B4B51"/>
    <w:rsid w:val="009B4D51"/>
    <w:rsid w:val="009C598C"/>
    <w:rsid w:val="009D4D05"/>
    <w:rsid w:val="009D5529"/>
    <w:rsid w:val="009D7CFA"/>
    <w:rsid w:val="009E4A0E"/>
    <w:rsid w:val="009E6EB1"/>
    <w:rsid w:val="009F5BD2"/>
    <w:rsid w:val="009F5EAF"/>
    <w:rsid w:val="009F6F20"/>
    <w:rsid w:val="009F7C9B"/>
    <w:rsid w:val="00A04B0B"/>
    <w:rsid w:val="00A06D9A"/>
    <w:rsid w:val="00A10994"/>
    <w:rsid w:val="00A11057"/>
    <w:rsid w:val="00A14BDF"/>
    <w:rsid w:val="00A232EF"/>
    <w:rsid w:val="00A23DA4"/>
    <w:rsid w:val="00A23EFD"/>
    <w:rsid w:val="00A25C29"/>
    <w:rsid w:val="00A26960"/>
    <w:rsid w:val="00A26995"/>
    <w:rsid w:val="00A3311F"/>
    <w:rsid w:val="00A43E97"/>
    <w:rsid w:val="00A445D2"/>
    <w:rsid w:val="00A44E0F"/>
    <w:rsid w:val="00A4586A"/>
    <w:rsid w:val="00A46672"/>
    <w:rsid w:val="00A521B0"/>
    <w:rsid w:val="00A60AED"/>
    <w:rsid w:val="00A613D2"/>
    <w:rsid w:val="00A616D6"/>
    <w:rsid w:val="00A63B80"/>
    <w:rsid w:val="00A64202"/>
    <w:rsid w:val="00A64F34"/>
    <w:rsid w:val="00A65B4C"/>
    <w:rsid w:val="00A6758E"/>
    <w:rsid w:val="00A83959"/>
    <w:rsid w:val="00A839B7"/>
    <w:rsid w:val="00A851BE"/>
    <w:rsid w:val="00A90E29"/>
    <w:rsid w:val="00A97EDC"/>
    <w:rsid w:val="00AA28FC"/>
    <w:rsid w:val="00AA6192"/>
    <w:rsid w:val="00AA6231"/>
    <w:rsid w:val="00AB3F13"/>
    <w:rsid w:val="00AB7E02"/>
    <w:rsid w:val="00AC074E"/>
    <w:rsid w:val="00AC5103"/>
    <w:rsid w:val="00AD11B6"/>
    <w:rsid w:val="00AD3832"/>
    <w:rsid w:val="00AD3C5C"/>
    <w:rsid w:val="00AD7D33"/>
    <w:rsid w:val="00AE26B3"/>
    <w:rsid w:val="00AE509E"/>
    <w:rsid w:val="00AF28E7"/>
    <w:rsid w:val="00AF3317"/>
    <w:rsid w:val="00AF532E"/>
    <w:rsid w:val="00AF7E44"/>
    <w:rsid w:val="00AF7EEA"/>
    <w:rsid w:val="00B043E1"/>
    <w:rsid w:val="00B1797F"/>
    <w:rsid w:val="00B2148E"/>
    <w:rsid w:val="00B34485"/>
    <w:rsid w:val="00B348D5"/>
    <w:rsid w:val="00B362CE"/>
    <w:rsid w:val="00B377A0"/>
    <w:rsid w:val="00B41655"/>
    <w:rsid w:val="00B443CE"/>
    <w:rsid w:val="00B451BC"/>
    <w:rsid w:val="00B53BD1"/>
    <w:rsid w:val="00B55553"/>
    <w:rsid w:val="00B5639F"/>
    <w:rsid w:val="00B56661"/>
    <w:rsid w:val="00B60593"/>
    <w:rsid w:val="00B71F06"/>
    <w:rsid w:val="00B7620A"/>
    <w:rsid w:val="00B86A31"/>
    <w:rsid w:val="00B874E9"/>
    <w:rsid w:val="00B935EF"/>
    <w:rsid w:val="00B94ABD"/>
    <w:rsid w:val="00B95C28"/>
    <w:rsid w:val="00B96194"/>
    <w:rsid w:val="00BA390E"/>
    <w:rsid w:val="00BA44E2"/>
    <w:rsid w:val="00BB2558"/>
    <w:rsid w:val="00BB3517"/>
    <w:rsid w:val="00BC0777"/>
    <w:rsid w:val="00BC14BC"/>
    <w:rsid w:val="00BC4CF3"/>
    <w:rsid w:val="00BC7489"/>
    <w:rsid w:val="00BC773F"/>
    <w:rsid w:val="00BD3D6A"/>
    <w:rsid w:val="00BD7D2D"/>
    <w:rsid w:val="00BE1862"/>
    <w:rsid w:val="00BE2992"/>
    <w:rsid w:val="00BE2A13"/>
    <w:rsid w:val="00BE4CA8"/>
    <w:rsid w:val="00BE50DA"/>
    <w:rsid w:val="00BE5BE0"/>
    <w:rsid w:val="00BE6EF1"/>
    <w:rsid w:val="00BF4136"/>
    <w:rsid w:val="00BF6304"/>
    <w:rsid w:val="00BF71BB"/>
    <w:rsid w:val="00C002EF"/>
    <w:rsid w:val="00C05694"/>
    <w:rsid w:val="00C06D28"/>
    <w:rsid w:val="00C07955"/>
    <w:rsid w:val="00C10494"/>
    <w:rsid w:val="00C116BB"/>
    <w:rsid w:val="00C137EC"/>
    <w:rsid w:val="00C179B1"/>
    <w:rsid w:val="00C17C55"/>
    <w:rsid w:val="00C21E55"/>
    <w:rsid w:val="00C328A4"/>
    <w:rsid w:val="00C35D91"/>
    <w:rsid w:val="00C36312"/>
    <w:rsid w:val="00C42571"/>
    <w:rsid w:val="00C51D18"/>
    <w:rsid w:val="00C55EAB"/>
    <w:rsid w:val="00C56228"/>
    <w:rsid w:val="00C612B2"/>
    <w:rsid w:val="00C624DC"/>
    <w:rsid w:val="00C63F25"/>
    <w:rsid w:val="00C75023"/>
    <w:rsid w:val="00C83C28"/>
    <w:rsid w:val="00C9165E"/>
    <w:rsid w:val="00C92D1A"/>
    <w:rsid w:val="00C94DEA"/>
    <w:rsid w:val="00C97169"/>
    <w:rsid w:val="00CA2425"/>
    <w:rsid w:val="00CA5493"/>
    <w:rsid w:val="00CB3771"/>
    <w:rsid w:val="00CC01C6"/>
    <w:rsid w:val="00CC5E09"/>
    <w:rsid w:val="00CD14BB"/>
    <w:rsid w:val="00CD1A1E"/>
    <w:rsid w:val="00CD26B8"/>
    <w:rsid w:val="00CD4480"/>
    <w:rsid w:val="00CD6BD2"/>
    <w:rsid w:val="00CE0EA6"/>
    <w:rsid w:val="00CE369A"/>
    <w:rsid w:val="00CE4903"/>
    <w:rsid w:val="00CE4C03"/>
    <w:rsid w:val="00CE6E96"/>
    <w:rsid w:val="00CF084F"/>
    <w:rsid w:val="00CF0E62"/>
    <w:rsid w:val="00CF6E13"/>
    <w:rsid w:val="00D02E34"/>
    <w:rsid w:val="00D03C2C"/>
    <w:rsid w:val="00D03EB6"/>
    <w:rsid w:val="00D057C2"/>
    <w:rsid w:val="00D10527"/>
    <w:rsid w:val="00D12ABA"/>
    <w:rsid w:val="00D241D9"/>
    <w:rsid w:val="00D26BBF"/>
    <w:rsid w:val="00D27E14"/>
    <w:rsid w:val="00D34138"/>
    <w:rsid w:val="00D3610C"/>
    <w:rsid w:val="00D36449"/>
    <w:rsid w:val="00D45173"/>
    <w:rsid w:val="00D47158"/>
    <w:rsid w:val="00D4736C"/>
    <w:rsid w:val="00D544F0"/>
    <w:rsid w:val="00D5691F"/>
    <w:rsid w:val="00D624B2"/>
    <w:rsid w:val="00D62646"/>
    <w:rsid w:val="00D6514C"/>
    <w:rsid w:val="00D674E1"/>
    <w:rsid w:val="00D70CBE"/>
    <w:rsid w:val="00D74A45"/>
    <w:rsid w:val="00D76F72"/>
    <w:rsid w:val="00D777CF"/>
    <w:rsid w:val="00D80A56"/>
    <w:rsid w:val="00D80F35"/>
    <w:rsid w:val="00D82FBE"/>
    <w:rsid w:val="00D946E8"/>
    <w:rsid w:val="00D94D08"/>
    <w:rsid w:val="00D97F57"/>
    <w:rsid w:val="00DA183D"/>
    <w:rsid w:val="00DA7B10"/>
    <w:rsid w:val="00DB3371"/>
    <w:rsid w:val="00DB7987"/>
    <w:rsid w:val="00DC04CC"/>
    <w:rsid w:val="00DC0AA6"/>
    <w:rsid w:val="00DC1236"/>
    <w:rsid w:val="00DC215B"/>
    <w:rsid w:val="00DC5087"/>
    <w:rsid w:val="00DC7E98"/>
    <w:rsid w:val="00DD160A"/>
    <w:rsid w:val="00DD2863"/>
    <w:rsid w:val="00DD31DB"/>
    <w:rsid w:val="00DE4379"/>
    <w:rsid w:val="00DE74F6"/>
    <w:rsid w:val="00DE7F19"/>
    <w:rsid w:val="00DF032A"/>
    <w:rsid w:val="00DF6283"/>
    <w:rsid w:val="00E05CF9"/>
    <w:rsid w:val="00E05E63"/>
    <w:rsid w:val="00E0619E"/>
    <w:rsid w:val="00E10549"/>
    <w:rsid w:val="00E13E9D"/>
    <w:rsid w:val="00E14F4A"/>
    <w:rsid w:val="00E15668"/>
    <w:rsid w:val="00E17D25"/>
    <w:rsid w:val="00E2707B"/>
    <w:rsid w:val="00E2780C"/>
    <w:rsid w:val="00E33D81"/>
    <w:rsid w:val="00E33E0B"/>
    <w:rsid w:val="00E343BF"/>
    <w:rsid w:val="00E34CFB"/>
    <w:rsid w:val="00E434C6"/>
    <w:rsid w:val="00E465B2"/>
    <w:rsid w:val="00E468C6"/>
    <w:rsid w:val="00E46BA7"/>
    <w:rsid w:val="00E55328"/>
    <w:rsid w:val="00E60CBB"/>
    <w:rsid w:val="00E63001"/>
    <w:rsid w:val="00E723DE"/>
    <w:rsid w:val="00E7368A"/>
    <w:rsid w:val="00E8319F"/>
    <w:rsid w:val="00E86EA2"/>
    <w:rsid w:val="00E87B50"/>
    <w:rsid w:val="00E87ECC"/>
    <w:rsid w:val="00E91125"/>
    <w:rsid w:val="00E940A9"/>
    <w:rsid w:val="00E943D8"/>
    <w:rsid w:val="00EA0DE0"/>
    <w:rsid w:val="00EA37E9"/>
    <w:rsid w:val="00EA6270"/>
    <w:rsid w:val="00EA6F92"/>
    <w:rsid w:val="00EA7CE7"/>
    <w:rsid w:val="00EA7E2D"/>
    <w:rsid w:val="00EB0ABA"/>
    <w:rsid w:val="00EB11BB"/>
    <w:rsid w:val="00EB1472"/>
    <w:rsid w:val="00EB2F82"/>
    <w:rsid w:val="00EB3FE8"/>
    <w:rsid w:val="00EB4CDA"/>
    <w:rsid w:val="00EC2E87"/>
    <w:rsid w:val="00EC4B83"/>
    <w:rsid w:val="00EC71AD"/>
    <w:rsid w:val="00EC7DBF"/>
    <w:rsid w:val="00ED0722"/>
    <w:rsid w:val="00ED273A"/>
    <w:rsid w:val="00ED2EA1"/>
    <w:rsid w:val="00ED3642"/>
    <w:rsid w:val="00ED3997"/>
    <w:rsid w:val="00ED4253"/>
    <w:rsid w:val="00ED50F4"/>
    <w:rsid w:val="00ED6EBE"/>
    <w:rsid w:val="00ED700A"/>
    <w:rsid w:val="00EE26A6"/>
    <w:rsid w:val="00EE2800"/>
    <w:rsid w:val="00EE4705"/>
    <w:rsid w:val="00EE4977"/>
    <w:rsid w:val="00EE638E"/>
    <w:rsid w:val="00EF180A"/>
    <w:rsid w:val="00EF6A45"/>
    <w:rsid w:val="00EF737B"/>
    <w:rsid w:val="00F03323"/>
    <w:rsid w:val="00F07A7C"/>
    <w:rsid w:val="00F11B5D"/>
    <w:rsid w:val="00F13527"/>
    <w:rsid w:val="00F13940"/>
    <w:rsid w:val="00F13C69"/>
    <w:rsid w:val="00F13FFA"/>
    <w:rsid w:val="00F242BF"/>
    <w:rsid w:val="00F24AE4"/>
    <w:rsid w:val="00F2563B"/>
    <w:rsid w:val="00F31AFB"/>
    <w:rsid w:val="00F32A3F"/>
    <w:rsid w:val="00F37E43"/>
    <w:rsid w:val="00F437E3"/>
    <w:rsid w:val="00F44FFE"/>
    <w:rsid w:val="00F47E1A"/>
    <w:rsid w:val="00F51803"/>
    <w:rsid w:val="00F55F24"/>
    <w:rsid w:val="00F6162B"/>
    <w:rsid w:val="00F625CA"/>
    <w:rsid w:val="00F669CF"/>
    <w:rsid w:val="00F67A20"/>
    <w:rsid w:val="00F7158B"/>
    <w:rsid w:val="00F718EF"/>
    <w:rsid w:val="00F72B50"/>
    <w:rsid w:val="00F8146D"/>
    <w:rsid w:val="00F82CC2"/>
    <w:rsid w:val="00F844C3"/>
    <w:rsid w:val="00FA77CE"/>
    <w:rsid w:val="00FB09BF"/>
    <w:rsid w:val="00FB3A41"/>
    <w:rsid w:val="00FC323B"/>
    <w:rsid w:val="00FD650C"/>
    <w:rsid w:val="00FD65E9"/>
    <w:rsid w:val="00FE562F"/>
    <w:rsid w:val="00FF0002"/>
    <w:rsid w:val="00FF39DE"/>
    <w:rsid w:val="00FF54A7"/>
    <w:rsid w:val="00FF6977"/>
    <w:rsid w:val="01B7C9C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99B2E1C"/>
  <w15:docId w15:val="{1FD388DD-CBE9-4313-A7D4-664940558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E75F6"/>
    <w:rPr>
      <w:lang w:val="en-US" w:eastAsia="en-US"/>
    </w:rPr>
  </w:style>
  <w:style w:type="paragraph" w:styleId="Heading1">
    <w:name w:val="heading 1"/>
    <w:basedOn w:val="Normal"/>
    <w:next w:val="BodyText"/>
    <w:link w:val="Heading1Char"/>
    <w:qFormat/>
    <w:rsid w:val="008B7C94"/>
    <w:pPr>
      <w:keepNext/>
      <w:tabs>
        <w:tab w:val="left" w:pos="284"/>
      </w:tabs>
      <w:spacing w:before="400"/>
      <w:outlineLvl w:val="0"/>
    </w:pPr>
    <w:rPr>
      <w:rFonts w:ascii="Lucida Sans" w:hAnsi="Lucida Sans"/>
      <w:kern w:val="28"/>
      <w:sz w:val="36"/>
      <w:szCs w:val="36"/>
      <w:lang w:val="en-AU"/>
    </w:rPr>
  </w:style>
  <w:style w:type="paragraph" w:styleId="Heading2">
    <w:name w:val="heading 2"/>
    <w:basedOn w:val="Normal"/>
    <w:next w:val="BodyText"/>
    <w:qFormat/>
    <w:rsid w:val="008B7C94"/>
    <w:pPr>
      <w:keepNext/>
      <w:widowControl w:val="0"/>
      <w:pBdr>
        <w:bottom w:val="single" w:sz="6" w:space="5" w:color="999999"/>
      </w:pBdr>
      <w:spacing w:before="500"/>
      <w:outlineLvl w:val="1"/>
    </w:pPr>
    <w:rPr>
      <w:rFonts w:ascii="Lucida Sans" w:hAnsi="Lucida Sans"/>
      <w:b/>
      <w:kern w:val="28"/>
      <w:sz w:val="27"/>
      <w:szCs w:val="36"/>
      <w:lang w:val="en-AU"/>
    </w:rPr>
  </w:style>
  <w:style w:type="paragraph" w:styleId="Heading3">
    <w:name w:val="heading 3"/>
    <w:basedOn w:val="Heading2"/>
    <w:next w:val="BodyText"/>
    <w:qFormat/>
    <w:rsid w:val="008B7C94"/>
    <w:pPr>
      <w:pBdr>
        <w:bottom w:val="none" w:sz="0" w:space="0" w:color="auto"/>
      </w:pBdr>
      <w:spacing w:before="400" w:line="320" w:lineRule="exact"/>
      <w:outlineLvl w:val="2"/>
    </w:pPr>
    <w:rPr>
      <w:sz w:val="24"/>
    </w:rPr>
  </w:style>
  <w:style w:type="paragraph" w:styleId="Heading4">
    <w:name w:val="heading 4"/>
    <w:basedOn w:val="Heading3"/>
    <w:next w:val="Normal"/>
    <w:qFormat/>
    <w:rsid w:val="008B7C94"/>
    <w:pPr>
      <w:outlineLvl w:val="3"/>
    </w:pPr>
    <w:rPr>
      <w:sz w:val="21"/>
    </w:rPr>
  </w:style>
  <w:style w:type="paragraph" w:styleId="Heading5">
    <w:name w:val="heading 5"/>
    <w:basedOn w:val="Heading4"/>
    <w:next w:val="BodyText"/>
    <w:qFormat/>
    <w:rsid w:val="008B7C94"/>
    <w:pPr>
      <w:spacing w:after="60"/>
      <w:outlineLvl w:val="4"/>
    </w:pPr>
    <w:rPr>
      <w:b w:val="0"/>
    </w:rPr>
  </w:style>
  <w:style w:type="paragraph" w:styleId="Heading6">
    <w:name w:val="heading 6"/>
    <w:basedOn w:val="Heading1"/>
    <w:next w:val="Normal"/>
    <w:qFormat/>
    <w:rsid w:val="008B7C94"/>
    <w:pPr>
      <w:spacing w:before="120"/>
      <w:outlineLvl w:val="5"/>
    </w:pPr>
    <w:rPr>
      <w:rFonts w:ascii="Times New Roman" w:hAnsi="Times New Roman"/>
      <w:b/>
      <w:i/>
      <w:caps/>
      <w:kern w:val="0"/>
      <w:sz w:val="24"/>
    </w:rPr>
  </w:style>
  <w:style w:type="paragraph" w:styleId="Heading7">
    <w:name w:val="heading 7"/>
    <w:basedOn w:val="Heading5"/>
    <w:next w:val="Normal"/>
    <w:qFormat/>
    <w:rsid w:val="008B7C94"/>
    <w:pPr>
      <w:spacing w:before="120"/>
      <w:ind w:left="425"/>
      <w:jc w:val="both"/>
      <w:outlineLvl w:val="6"/>
    </w:pPr>
    <w:rPr>
      <w:i/>
      <w:sz w:val="23"/>
    </w:rPr>
  </w:style>
  <w:style w:type="paragraph" w:styleId="Heading8">
    <w:name w:val="heading 8"/>
    <w:basedOn w:val="Heading7"/>
    <w:next w:val="Normal"/>
    <w:qFormat/>
    <w:rsid w:val="008B7C94"/>
    <w:pPr>
      <w:outlineLvl w:val="7"/>
    </w:pPr>
    <w:rPr>
      <w:i w:val="0"/>
    </w:rPr>
  </w:style>
  <w:style w:type="paragraph" w:styleId="Heading9">
    <w:name w:val="heading 9"/>
    <w:basedOn w:val="Heading8"/>
    <w:next w:val="Normal"/>
    <w:qFormat/>
    <w:rsid w:val="008B7C94"/>
    <w:pPr>
      <w:ind w:left="851"/>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autoRedefine/>
    <w:rsid w:val="00ED3642"/>
    <w:pPr>
      <w:spacing w:before="60" w:after="60" w:line="240" w:lineRule="atLeast"/>
      <w:ind w:right="-142"/>
    </w:pPr>
    <w:rPr>
      <w:rFonts w:ascii="Arial" w:hAnsi="Arial" w:cs="Arial"/>
      <w:sz w:val="17"/>
      <w:szCs w:val="17"/>
      <w:lang w:eastAsia="en-US"/>
    </w:rPr>
  </w:style>
  <w:style w:type="paragraph" w:customStyle="1" w:styleId="BodyTextNumbered">
    <w:name w:val="Body Text Numbered"/>
    <w:basedOn w:val="Normal"/>
    <w:rsid w:val="005E75F6"/>
    <w:pPr>
      <w:tabs>
        <w:tab w:val="num" w:pos="425"/>
      </w:tabs>
      <w:ind w:left="425" w:right="1111" w:hanging="425"/>
    </w:pPr>
  </w:style>
  <w:style w:type="paragraph" w:customStyle="1" w:styleId="BodyTextBox">
    <w:name w:val="Body Text Box"/>
    <w:basedOn w:val="BodyTextNumbered"/>
    <w:link w:val="BodyTextBoxChar"/>
    <w:autoRedefine/>
    <w:rsid w:val="008B7C94"/>
    <w:pPr>
      <w:widowControl w:val="0"/>
      <w:tabs>
        <w:tab w:val="clear" w:pos="425"/>
      </w:tabs>
      <w:spacing w:after="40"/>
      <w:ind w:left="0" w:right="0" w:firstLine="0"/>
      <w:jc w:val="both"/>
    </w:pPr>
    <w:rPr>
      <w:sz w:val="21"/>
      <w:lang w:eastAsia="en-AU"/>
    </w:rPr>
  </w:style>
  <w:style w:type="paragraph" w:styleId="BodyTextIndent2">
    <w:name w:val="Body Text Indent 2"/>
    <w:basedOn w:val="Normal"/>
    <w:autoRedefine/>
    <w:rsid w:val="005E75F6"/>
    <w:pPr>
      <w:spacing w:after="120"/>
      <w:ind w:left="284"/>
    </w:pPr>
    <w:rPr>
      <w:i/>
      <w:sz w:val="23"/>
    </w:rPr>
  </w:style>
  <w:style w:type="paragraph" w:customStyle="1" w:styleId="BodyTextlettereditaliclist">
    <w:name w:val="Body Text lettered italic list"/>
    <w:basedOn w:val="Normal"/>
    <w:rsid w:val="005E75F6"/>
    <w:pPr>
      <w:ind w:left="426" w:hanging="426"/>
    </w:pPr>
    <w:rPr>
      <w:i/>
    </w:rPr>
  </w:style>
  <w:style w:type="paragraph" w:customStyle="1" w:styleId="ObjectHeading">
    <w:name w:val="Object Heading"/>
    <w:basedOn w:val="Heading3"/>
    <w:next w:val="Normal"/>
    <w:rsid w:val="005E75F6"/>
    <w:pPr>
      <w:tabs>
        <w:tab w:val="left" w:pos="1418"/>
      </w:tabs>
      <w:spacing w:after="120"/>
      <w:ind w:left="1418" w:hanging="1418"/>
    </w:pPr>
    <w:rPr>
      <w:kern w:val="0"/>
    </w:rPr>
  </w:style>
  <w:style w:type="paragraph" w:customStyle="1" w:styleId="BoxHeading">
    <w:name w:val="Box Heading"/>
    <w:basedOn w:val="ObjectHeading"/>
    <w:autoRedefine/>
    <w:rsid w:val="005E75F6"/>
    <w:pPr>
      <w:tabs>
        <w:tab w:val="clear" w:pos="1418"/>
      </w:tabs>
      <w:spacing w:before="120"/>
      <w:ind w:left="0" w:firstLine="0"/>
    </w:pPr>
    <w:rPr>
      <w:lang w:val="en-US"/>
    </w:rPr>
  </w:style>
  <w:style w:type="paragraph" w:customStyle="1" w:styleId="Bullet1">
    <w:name w:val="Bullet 1"/>
    <w:basedOn w:val="BodyText"/>
    <w:autoRedefine/>
    <w:rsid w:val="008B7C94"/>
    <w:pPr>
      <w:numPr>
        <w:numId w:val="5"/>
      </w:numPr>
      <w:spacing w:line="320" w:lineRule="exact"/>
    </w:pPr>
  </w:style>
  <w:style w:type="paragraph" w:customStyle="1" w:styleId="Bullet1box">
    <w:name w:val="Bullet 1 box"/>
    <w:basedOn w:val="Bullet1inabox"/>
    <w:autoRedefine/>
    <w:qFormat/>
    <w:rsid w:val="008B7C94"/>
    <w:pPr>
      <w:numPr>
        <w:numId w:val="6"/>
      </w:numPr>
    </w:pPr>
    <w:rPr>
      <w:sz w:val="22"/>
    </w:rPr>
  </w:style>
  <w:style w:type="paragraph" w:customStyle="1" w:styleId="Bullet1inabox">
    <w:name w:val="Bullet 1 in a box"/>
    <w:basedOn w:val="Bullet1"/>
    <w:autoRedefine/>
    <w:rsid w:val="008B7C94"/>
    <w:pPr>
      <w:numPr>
        <w:numId w:val="7"/>
      </w:numPr>
    </w:pPr>
    <w:rPr>
      <w:sz w:val="21"/>
    </w:rPr>
  </w:style>
  <w:style w:type="paragraph" w:customStyle="1" w:styleId="Bullet1Paragraph">
    <w:name w:val="Bullet 1 Paragraph"/>
    <w:basedOn w:val="Normal"/>
    <w:link w:val="Bullet1ParagraphChar"/>
    <w:rsid w:val="005E75F6"/>
    <w:pPr>
      <w:ind w:left="432"/>
      <w:jc w:val="both"/>
    </w:pPr>
    <w:rPr>
      <w:sz w:val="23"/>
      <w:szCs w:val="23"/>
    </w:rPr>
  </w:style>
  <w:style w:type="character" w:customStyle="1" w:styleId="Bullet1ParagraphChar">
    <w:name w:val="Bullet 1 Paragraph Char"/>
    <w:basedOn w:val="DefaultParagraphFont"/>
    <w:link w:val="Bullet1Paragraph"/>
    <w:rsid w:val="005E75F6"/>
    <w:rPr>
      <w:sz w:val="23"/>
      <w:szCs w:val="23"/>
      <w:lang w:val="en-US" w:eastAsia="en-US" w:bidi="ar-SA"/>
    </w:rPr>
  </w:style>
  <w:style w:type="paragraph" w:customStyle="1" w:styleId="Bullet2">
    <w:name w:val="Bullet 2"/>
    <w:basedOn w:val="Bullet1"/>
    <w:rsid w:val="008B7C94"/>
    <w:pPr>
      <w:numPr>
        <w:numId w:val="8"/>
      </w:numPr>
      <w:spacing w:line="300" w:lineRule="exact"/>
      <w:jc w:val="both"/>
    </w:pPr>
  </w:style>
  <w:style w:type="paragraph" w:customStyle="1" w:styleId="Bullet2innumberedlist">
    <w:name w:val="Bullet 2 in numbered list"/>
    <w:basedOn w:val="Bullet2"/>
    <w:rsid w:val="005E75F6"/>
    <w:pPr>
      <w:numPr>
        <w:numId w:val="0"/>
      </w:numPr>
      <w:tabs>
        <w:tab w:val="num" w:pos="851"/>
      </w:tabs>
      <w:spacing w:after="0"/>
      <w:ind w:left="851" w:hanging="426"/>
    </w:pPr>
  </w:style>
  <w:style w:type="paragraph" w:customStyle="1" w:styleId="Bullet2Paragraph">
    <w:name w:val="Bullet 2 Paragraph"/>
    <w:basedOn w:val="Bullet1Paragraph"/>
    <w:rsid w:val="005E75F6"/>
    <w:pPr>
      <w:ind w:left="851"/>
    </w:pPr>
  </w:style>
  <w:style w:type="paragraph" w:customStyle="1" w:styleId="Bullet3">
    <w:name w:val="Bullet 3"/>
    <w:basedOn w:val="Bullet2"/>
    <w:rsid w:val="005E75F6"/>
    <w:pPr>
      <w:numPr>
        <w:numId w:val="2"/>
      </w:numPr>
    </w:pPr>
  </w:style>
  <w:style w:type="paragraph" w:customStyle="1" w:styleId="Bullet3Paragraph">
    <w:name w:val="Bullet 3 Paragraph"/>
    <w:basedOn w:val="Bullet2Paragraph"/>
    <w:rsid w:val="005E75F6"/>
    <w:pPr>
      <w:ind w:left="1276"/>
    </w:pPr>
  </w:style>
  <w:style w:type="paragraph" w:customStyle="1" w:styleId="Bullet4">
    <w:name w:val="Bullet 4"/>
    <w:basedOn w:val="Bullet3"/>
    <w:rsid w:val="005E75F6"/>
    <w:pPr>
      <w:numPr>
        <w:numId w:val="3"/>
      </w:numPr>
    </w:pPr>
  </w:style>
  <w:style w:type="paragraph" w:customStyle="1" w:styleId="Bullet4Paragraph">
    <w:name w:val="Bullet 4 Paragraph"/>
    <w:basedOn w:val="Bullet3Paragraph"/>
    <w:rsid w:val="005E75F6"/>
    <w:pPr>
      <w:ind w:left="1701"/>
    </w:pPr>
  </w:style>
  <w:style w:type="paragraph" w:customStyle="1" w:styleId="ChapterHeading">
    <w:name w:val="Chapter Heading"/>
    <w:basedOn w:val="Heading1"/>
    <w:next w:val="Normal"/>
    <w:rsid w:val="005E75F6"/>
    <w:pPr>
      <w:pageBreakBefore/>
      <w:pBdr>
        <w:bottom w:val="threeDEmboss" w:sz="24" w:space="1" w:color="auto"/>
      </w:pBdr>
      <w:tabs>
        <w:tab w:val="left" w:pos="2268"/>
      </w:tabs>
      <w:spacing w:before="600" w:after="480"/>
      <w:ind w:left="2268" w:hanging="2268"/>
    </w:pPr>
    <w:rPr>
      <w:rFonts w:ascii="Tahoma" w:hAnsi="Tahoma"/>
      <w:sz w:val="32"/>
    </w:rPr>
  </w:style>
  <w:style w:type="paragraph" w:customStyle="1" w:styleId="ChartHeading">
    <w:name w:val="Chart Heading"/>
    <w:basedOn w:val="Normal"/>
    <w:autoRedefine/>
    <w:rsid w:val="008B7C94"/>
    <w:pPr>
      <w:keepLines/>
      <w:numPr>
        <w:numId w:val="9"/>
      </w:numPr>
      <w:spacing w:after="120"/>
      <w:ind w:right="-266"/>
    </w:pPr>
    <w:rPr>
      <w:rFonts w:ascii="Arial" w:hAnsi="Arial"/>
      <w:b/>
      <w:sz w:val="24"/>
    </w:rPr>
  </w:style>
  <w:style w:type="paragraph" w:styleId="Footer">
    <w:name w:val="footer"/>
    <w:basedOn w:val="Normal"/>
    <w:link w:val="FooterChar"/>
    <w:rsid w:val="005E75F6"/>
    <w:pPr>
      <w:pBdr>
        <w:top w:val="single" w:sz="4" w:space="1" w:color="auto"/>
      </w:pBdr>
      <w:tabs>
        <w:tab w:val="right" w:pos="7655"/>
      </w:tabs>
    </w:pPr>
    <w:rPr>
      <w:rFonts w:ascii="Arial" w:hAnsi="Arial"/>
      <w:sz w:val="18"/>
    </w:rPr>
  </w:style>
  <w:style w:type="character" w:styleId="FootnoteReference">
    <w:name w:val="footnote reference"/>
    <w:basedOn w:val="DefaultParagraphFont"/>
    <w:semiHidden/>
    <w:rsid w:val="005E75F6"/>
    <w:rPr>
      <w:vertAlign w:val="superscript"/>
    </w:rPr>
  </w:style>
  <w:style w:type="paragraph" w:styleId="FootnoteText">
    <w:name w:val="footnote text"/>
    <w:basedOn w:val="Normal"/>
    <w:semiHidden/>
    <w:rsid w:val="005E75F6"/>
    <w:pPr>
      <w:spacing w:before="80" w:after="80"/>
      <w:ind w:left="709" w:hanging="142"/>
    </w:pPr>
    <w:rPr>
      <w:i/>
      <w:sz w:val="16"/>
    </w:rPr>
  </w:style>
  <w:style w:type="paragraph" w:styleId="Header">
    <w:name w:val="header"/>
    <w:basedOn w:val="Normal"/>
    <w:link w:val="HeaderChar"/>
    <w:uiPriority w:val="99"/>
    <w:rsid w:val="005E75F6"/>
    <w:pPr>
      <w:tabs>
        <w:tab w:val="center" w:pos="4153"/>
        <w:tab w:val="right" w:pos="8306"/>
      </w:tabs>
    </w:pPr>
  </w:style>
  <w:style w:type="paragraph" w:customStyle="1" w:styleId="Object">
    <w:name w:val="Object"/>
    <w:basedOn w:val="Normal"/>
    <w:next w:val="Normal"/>
    <w:rsid w:val="005E75F6"/>
    <w:pPr>
      <w:jc w:val="center"/>
    </w:pPr>
  </w:style>
  <w:style w:type="paragraph" w:customStyle="1" w:styleId="ObjectFootnote">
    <w:name w:val="Object Footnote"/>
    <w:basedOn w:val="Object"/>
    <w:next w:val="Normal"/>
    <w:rsid w:val="005E75F6"/>
    <w:pPr>
      <w:spacing w:after="60"/>
    </w:pPr>
    <w:rPr>
      <w:i/>
      <w:sz w:val="14"/>
    </w:rPr>
  </w:style>
  <w:style w:type="paragraph" w:customStyle="1" w:styleId="ObjectFootnotelettered">
    <w:name w:val="Object Footnote lettered"/>
    <w:basedOn w:val="ObjectFootnote"/>
    <w:autoRedefine/>
    <w:rsid w:val="005E75F6"/>
    <w:pPr>
      <w:numPr>
        <w:ilvl w:val="1"/>
        <w:numId w:val="4"/>
      </w:numPr>
      <w:spacing w:before="60"/>
      <w:jc w:val="both"/>
    </w:pPr>
    <w:rPr>
      <w:sz w:val="16"/>
    </w:rPr>
  </w:style>
  <w:style w:type="character" w:styleId="PageNumber">
    <w:name w:val="page number"/>
    <w:basedOn w:val="DefaultParagraphFont"/>
    <w:rsid w:val="005E75F6"/>
  </w:style>
  <w:style w:type="paragraph" w:customStyle="1" w:styleId="TableFootnote">
    <w:name w:val="Table Footnote"/>
    <w:basedOn w:val="Normal"/>
    <w:rsid w:val="005E75F6"/>
    <w:pPr>
      <w:spacing w:before="60" w:after="60"/>
      <w:ind w:left="284"/>
    </w:pPr>
    <w:rPr>
      <w:i/>
      <w:sz w:val="16"/>
    </w:rPr>
  </w:style>
  <w:style w:type="paragraph" w:customStyle="1" w:styleId="TableHeading">
    <w:name w:val="Table Heading"/>
    <w:basedOn w:val="Normal"/>
    <w:autoRedefine/>
    <w:rsid w:val="008B7C94"/>
    <w:pPr>
      <w:keepNext/>
      <w:keepLines/>
      <w:spacing w:before="240"/>
    </w:pPr>
    <w:rPr>
      <w:rFonts w:ascii="Arial" w:hAnsi="Arial"/>
      <w:b/>
      <w:sz w:val="24"/>
      <w:lang w:val="en-AU"/>
    </w:rPr>
  </w:style>
  <w:style w:type="paragraph" w:customStyle="1" w:styleId="TableHeadingCont">
    <w:name w:val="Table Heading Cont'"/>
    <w:basedOn w:val="TableHeading"/>
    <w:rsid w:val="005E75F6"/>
    <w:pPr>
      <w:tabs>
        <w:tab w:val="left" w:pos="1418"/>
      </w:tabs>
    </w:pPr>
  </w:style>
  <w:style w:type="character" w:customStyle="1" w:styleId="BodyTextChar">
    <w:name w:val="Body Text Char"/>
    <w:basedOn w:val="DefaultParagraphFont"/>
    <w:link w:val="BodyText"/>
    <w:rsid w:val="00ED3642"/>
    <w:rPr>
      <w:rFonts w:ascii="Arial" w:hAnsi="Arial" w:cs="Arial"/>
      <w:sz w:val="17"/>
      <w:szCs w:val="17"/>
      <w:lang w:eastAsia="en-US"/>
    </w:rPr>
  </w:style>
  <w:style w:type="paragraph" w:styleId="BalloonText">
    <w:name w:val="Balloon Text"/>
    <w:basedOn w:val="Normal"/>
    <w:semiHidden/>
    <w:rsid w:val="00B96194"/>
    <w:rPr>
      <w:rFonts w:ascii="Tahoma" w:hAnsi="Tahoma" w:cs="Tahoma"/>
      <w:sz w:val="16"/>
      <w:szCs w:val="16"/>
    </w:rPr>
  </w:style>
  <w:style w:type="character" w:styleId="FollowedHyperlink">
    <w:name w:val="FollowedHyperlink"/>
    <w:basedOn w:val="DefaultParagraphFont"/>
    <w:rsid w:val="00CE6E96"/>
    <w:rPr>
      <w:color w:val="800080"/>
      <w:u w:val="single"/>
    </w:rPr>
  </w:style>
  <w:style w:type="paragraph" w:customStyle="1" w:styleId="Header3">
    <w:name w:val="Header 3"/>
    <w:basedOn w:val="Heading1"/>
    <w:rsid w:val="00817883"/>
  </w:style>
  <w:style w:type="character" w:styleId="Strong">
    <w:name w:val="Strong"/>
    <w:basedOn w:val="DefaultParagraphFont"/>
    <w:qFormat/>
    <w:rsid w:val="0000433C"/>
    <w:rPr>
      <w:b/>
      <w:bCs/>
    </w:rPr>
  </w:style>
  <w:style w:type="character" w:styleId="Hyperlink">
    <w:name w:val="Hyperlink"/>
    <w:basedOn w:val="DefaultParagraphFont"/>
    <w:rsid w:val="007873B4"/>
    <w:rPr>
      <w:color w:val="0000FF"/>
      <w:u w:val="single"/>
    </w:rPr>
  </w:style>
  <w:style w:type="paragraph" w:styleId="NormalWeb">
    <w:name w:val="Normal (Web)"/>
    <w:basedOn w:val="Normal"/>
    <w:rsid w:val="007873B4"/>
    <w:pPr>
      <w:spacing w:before="100" w:beforeAutospacing="1" w:after="100" w:afterAutospacing="1"/>
    </w:pPr>
    <w:rPr>
      <w:sz w:val="24"/>
      <w:szCs w:val="24"/>
      <w:lang w:val="en-AU" w:eastAsia="en-AU"/>
    </w:rPr>
  </w:style>
  <w:style w:type="character" w:customStyle="1" w:styleId="CharChar">
    <w:name w:val="Char Char"/>
    <w:basedOn w:val="DefaultParagraphFont"/>
    <w:locked/>
    <w:rsid w:val="004411EB"/>
    <w:rPr>
      <w:rFonts w:cs="Times New Roman"/>
      <w:sz w:val="23"/>
      <w:lang w:val="en-AU" w:eastAsia="en-US" w:bidi="ar-SA"/>
    </w:rPr>
  </w:style>
  <w:style w:type="paragraph" w:customStyle="1" w:styleId="Heading1BP2">
    <w:name w:val="Heading 1 BP2"/>
    <w:rsid w:val="008B7C94"/>
    <w:pPr>
      <w:keepNext/>
      <w:tabs>
        <w:tab w:val="left" w:pos="284"/>
      </w:tabs>
      <w:spacing w:before="400" w:after="240"/>
    </w:pPr>
    <w:rPr>
      <w:rFonts w:ascii="Lucida Sans" w:hAnsi="Lucida Sans"/>
      <w:kern w:val="28"/>
      <w:sz w:val="36"/>
      <w:szCs w:val="36"/>
      <w:lang w:eastAsia="en-US"/>
    </w:rPr>
  </w:style>
  <w:style w:type="table" w:styleId="TableGrid">
    <w:name w:val="Table Grid"/>
    <w:basedOn w:val="TableNormal"/>
    <w:rsid w:val="00257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xChar">
    <w:name w:val="Body Text Box Char"/>
    <w:basedOn w:val="DefaultParagraphFont"/>
    <w:link w:val="BodyTextBox"/>
    <w:rsid w:val="00EA7E2D"/>
    <w:rPr>
      <w:sz w:val="21"/>
      <w:lang w:val="en-US"/>
    </w:rPr>
  </w:style>
  <w:style w:type="character" w:styleId="CommentReference">
    <w:name w:val="annotation reference"/>
    <w:basedOn w:val="DefaultParagraphFont"/>
    <w:rsid w:val="003B5ADE"/>
    <w:rPr>
      <w:sz w:val="16"/>
      <w:szCs w:val="16"/>
    </w:rPr>
  </w:style>
  <w:style w:type="paragraph" w:styleId="CommentText">
    <w:name w:val="annotation text"/>
    <w:basedOn w:val="Normal"/>
    <w:link w:val="CommentTextChar"/>
    <w:rsid w:val="003B5ADE"/>
  </w:style>
  <w:style w:type="character" w:customStyle="1" w:styleId="CommentTextChar">
    <w:name w:val="Comment Text Char"/>
    <w:basedOn w:val="DefaultParagraphFont"/>
    <w:link w:val="CommentText"/>
    <w:rsid w:val="003B5ADE"/>
    <w:rPr>
      <w:lang w:val="en-US" w:eastAsia="en-US"/>
    </w:rPr>
  </w:style>
  <w:style w:type="paragraph" w:styleId="CommentSubject">
    <w:name w:val="annotation subject"/>
    <w:basedOn w:val="CommentText"/>
    <w:next w:val="CommentText"/>
    <w:link w:val="CommentSubjectChar"/>
    <w:rsid w:val="003B5ADE"/>
    <w:rPr>
      <w:b/>
      <w:bCs/>
    </w:rPr>
  </w:style>
  <w:style w:type="character" w:customStyle="1" w:styleId="CommentSubjectChar">
    <w:name w:val="Comment Subject Char"/>
    <w:basedOn w:val="CommentTextChar"/>
    <w:link w:val="CommentSubject"/>
    <w:rsid w:val="003B5ADE"/>
    <w:rPr>
      <w:b/>
      <w:bCs/>
      <w:lang w:val="en-US" w:eastAsia="en-US"/>
    </w:rPr>
  </w:style>
  <w:style w:type="character" w:customStyle="1" w:styleId="HeaderChar">
    <w:name w:val="Header Char"/>
    <w:link w:val="Header"/>
    <w:uiPriority w:val="99"/>
    <w:rsid w:val="004B2BB4"/>
    <w:rPr>
      <w:lang w:val="en-US" w:eastAsia="en-US"/>
    </w:rPr>
  </w:style>
  <w:style w:type="character" w:customStyle="1" w:styleId="FooterChar">
    <w:name w:val="Footer Char"/>
    <w:link w:val="Footer"/>
    <w:rsid w:val="004B2BB4"/>
    <w:rPr>
      <w:rFonts w:ascii="Arial" w:hAnsi="Arial"/>
      <w:sz w:val="18"/>
      <w:lang w:val="en-US" w:eastAsia="en-US"/>
    </w:rPr>
  </w:style>
  <w:style w:type="character" w:customStyle="1" w:styleId="Heading1Char">
    <w:name w:val="Heading 1 Char"/>
    <w:link w:val="Heading1"/>
    <w:rsid w:val="004B2BB4"/>
    <w:rPr>
      <w:rFonts w:ascii="Lucida Sans" w:hAnsi="Lucida Sans"/>
      <w:kern w:val="28"/>
      <w:sz w:val="36"/>
      <w:szCs w:val="36"/>
      <w:lang w:eastAsia="en-US"/>
    </w:rPr>
  </w:style>
  <w:style w:type="paragraph" w:styleId="ListParagraph">
    <w:name w:val="List Paragraph"/>
    <w:basedOn w:val="Normal"/>
    <w:uiPriority w:val="34"/>
    <w:qFormat/>
    <w:rsid w:val="00070C38"/>
    <w:pPr>
      <w:ind w:left="720"/>
      <w:contextualSpacing/>
    </w:pPr>
  </w:style>
  <w:style w:type="paragraph" w:styleId="Revision">
    <w:name w:val="Revision"/>
    <w:hidden/>
    <w:uiPriority w:val="99"/>
    <w:semiHidden/>
    <w:rsid w:val="0056194F"/>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476182">
      <w:bodyDiv w:val="1"/>
      <w:marLeft w:val="0"/>
      <w:marRight w:val="0"/>
      <w:marTop w:val="0"/>
      <w:marBottom w:val="0"/>
      <w:divBdr>
        <w:top w:val="none" w:sz="0" w:space="0" w:color="auto"/>
        <w:left w:val="none" w:sz="0" w:space="0" w:color="auto"/>
        <w:bottom w:val="none" w:sz="0" w:space="0" w:color="auto"/>
        <w:right w:val="none" w:sz="0" w:space="0" w:color="auto"/>
      </w:divBdr>
      <w:divsChild>
        <w:div w:id="1538543472">
          <w:marLeft w:val="0"/>
          <w:marRight w:val="0"/>
          <w:marTop w:val="0"/>
          <w:marBottom w:val="0"/>
          <w:divBdr>
            <w:top w:val="none" w:sz="0" w:space="0" w:color="auto"/>
            <w:left w:val="none" w:sz="0" w:space="0" w:color="auto"/>
            <w:bottom w:val="none" w:sz="0" w:space="0" w:color="auto"/>
            <w:right w:val="none" w:sz="0" w:space="0" w:color="auto"/>
          </w:divBdr>
          <w:divsChild>
            <w:div w:id="11141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8511">
      <w:bodyDiv w:val="1"/>
      <w:marLeft w:val="60"/>
      <w:marRight w:val="60"/>
      <w:marTop w:val="60"/>
      <w:marBottom w:val="15"/>
      <w:divBdr>
        <w:top w:val="none" w:sz="0" w:space="0" w:color="auto"/>
        <w:left w:val="none" w:sz="0" w:space="0" w:color="auto"/>
        <w:bottom w:val="none" w:sz="0" w:space="0" w:color="auto"/>
        <w:right w:val="none" w:sz="0" w:space="0" w:color="auto"/>
      </w:divBdr>
      <w:divsChild>
        <w:div w:id="21709607">
          <w:marLeft w:val="0"/>
          <w:marRight w:val="0"/>
          <w:marTop w:val="0"/>
          <w:marBottom w:val="0"/>
          <w:divBdr>
            <w:top w:val="none" w:sz="0" w:space="0" w:color="auto"/>
            <w:left w:val="none" w:sz="0" w:space="0" w:color="auto"/>
            <w:bottom w:val="none" w:sz="0" w:space="0" w:color="auto"/>
            <w:right w:val="none" w:sz="0" w:space="0" w:color="auto"/>
          </w:divBdr>
        </w:div>
      </w:divsChild>
    </w:div>
    <w:div w:id="1290086368">
      <w:bodyDiv w:val="1"/>
      <w:marLeft w:val="60"/>
      <w:marRight w:val="60"/>
      <w:marTop w:val="60"/>
      <w:marBottom w:val="15"/>
      <w:divBdr>
        <w:top w:val="none" w:sz="0" w:space="0" w:color="auto"/>
        <w:left w:val="none" w:sz="0" w:space="0" w:color="auto"/>
        <w:bottom w:val="none" w:sz="0" w:space="0" w:color="auto"/>
        <w:right w:val="none" w:sz="0" w:space="0" w:color="auto"/>
      </w:divBdr>
      <w:divsChild>
        <w:div w:id="884482726">
          <w:marLeft w:val="0"/>
          <w:marRight w:val="0"/>
          <w:marTop w:val="0"/>
          <w:marBottom w:val="0"/>
          <w:divBdr>
            <w:top w:val="none" w:sz="0" w:space="0" w:color="auto"/>
            <w:left w:val="none" w:sz="0" w:space="0" w:color="auto"/>
            <w:bottom w:val="none" w:sz="0" w:space="0" w:color="auto"/>
            <w:right w:val="none" w:sz="0" w:space="0" w:color="auto"/>
          </w:divBdr>
        </w:div>
      </w:divsChild>
    </w:div>
    <w:div w:id="1331714859">
      <w:bodyDiv w:val="1"/>
      <w:marLeft w:val="0"/>
      <w:marRight w:val="0"/>
      <w:marTop w:val="0"/>
      <w:marBottom w:val="0"/>
      <w:divBdr>
        <w:top w:val="none" w:sz="0" w:space="0" w:color="auto"/>
        <w:left w:val="none" w:sz="0" w:space="0" w:color="auto"/>
        <w:bottom w:val="none" w:sz="0" w:space="0" w:color="auto"/>
        <w:right w:val="none" w:sz="0" w:space="0" w:color="auto"/>
      </w:divBdr>
    </w:div>
    <w:div w:id="194484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F16F1AFBDE54EBD2685E90FE1922F" ma:contentTypeVersion="11" ma:contentTypeDescription="Create a new document." ma:contentTypeScope="" ma:versionID="09dc3bd8f1f17fedb8a1949fc26bace1">
  <xsd:schema xmlns:xsd="http://www.w3.org/2001/XMLSchema" xmlns:xs="http://www.w3.org/2001/XMLSchema" xmlns:p="http://schemas.microsoft.com/office/2006/metadata/properties" xmlns:ns2="801a5968-9419-4033-b9de-7ffe8168468e" xmlns:ns3="1c478e85-8130-4c67-8ee4-8bdf1c0e6049" targetNamespace="http://schemas.microsoft.com/office/2006/metadata/properties" ma:root="true" ma:fieldsID="b368971463d79661f3ec0885fa2b6f01" ns2:_="" ns3:_="">
    <xsd:import namespace="801a5968-9419-4033-b9de-7ffe8168468e"/>
    <xsd:import namespace="1c478e85-8130-4c67-8ee4-8bdf1c0e604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1a5968-9419-4033-b9de-7ffe8168468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478e85-8130-4c67-8ee4-8bdf1c0e604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c478e85-8130-4c67-8ee4-8bdf1c0e60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912CA-5A47-4190-ADD0-06EF48A94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1a5968-9419-4033-b9de-7ffe8168468e"/>
    <ds:schemaRef ds:uri="1c478e85-8130-4c67-8ee4-8bdf1c0e60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050353-5C69-4987-BF77-AF7D6E2C636D}">
  <ds:schemaRefs>
    <ds:schemaRef ds:uri="801a5968-9419-4033-b9de-7ffe8168468e"/>
    <ds:schemaRef ds:uri="http://schemas.microsoft.com/office/2006/documentManagement/types"/>
    <ds:schemaRef ds:uri="http://purl.org/dc/terms/"/>
    <ds:schemaRef ds:uri="http://schemas.microsoft.com/office/2006/metadata/properties"/>
    <ds:schemaRef ds:uri="1c478e85-8130-4c67-8ee4-8bdf1c0e6049"/>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897CCA4-34D7-425E-AA65-1F9FA3F09495}">
  <ds:schemaRefs>
    <ds:schemaRef ds:uri="http://schemas.microsoft.com/sharepoint/v3/contenttype/forms"/>
  </ds:schemaRefs>
</ds:datastoreItem>
</file>

<file path=customXml/itemProps4.xml><?xml version="1.0" encoding="utf-8"?>
<ds:datastoreItem xmlns:ds="http://schemas.openxmlformats.org/officeDocument/2006/customXml" ds:itemID="{6B013842-0D96-4C07-9D7F-024CF802D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3</Pages>
  <Words>1729</Words>
  <Characters>10198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Budget Papers 2013-14, Budget Paper No. 2 - Budget Statement - Glossay</vt:lpstr>
    </vt:vector>
  </TitlesOfParts>
  <Company>NSW Treasury</Company>
  <LinksUpToDate>false</LinksUpToDate>
  <CharactersWithSpaces>11904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Papers 2019-20 Budget Paper No. 2 - Budget Infrastructure - Glossay</dc:title>
  <dc:creator>The Treasury</dc:creator>
  <cp:lastModifiedBy>Francess Lavorato</cp:lastModifiedBy>
  <cp:revision>158</cp:revision>
  <cp:lastPrinted>2019-06-15T08:10:00Z</cp:lastPrinted>
  <dcterms:created xsi:type="dcterms:W3CDTF">2018-06-04T22:54:00Z</dcterms:created>
  <dcterms:modified xsi:type="dcterms:W3CDTF">2019-06-15T08:11:00Z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0x010100F02F16F1AFBDE54EBD2685E90FE1922F</vt:lpwstr>
  </property>
  <property fmtid="{D5CDD505-2E9C-101B-9397-08002B2CF9AE}" pid="3" name="AuthorIds_UIVersion_1024">
    <vt:lpwstr>6,15</vt:lpwstr>
  </property>
</Properties>
</file>